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90312E" w14:textId="54403972" w:rsidR="00E43BB5" w:rsidRDefault="00E43BB5" w:rsidP="00002888">
      <w:pPr>
        <w:pStyle w:val="Heading1"/>
        <w:spacing w:before="0" w:line="360" w:lineRule="auto"/>
        <w:jc w:val="left"/>
        <w:rPr>
          <w:rFonts w:ascii="Times New Roman" w:hAnsi="Times New Roman" w:cs="Times New Roman"/>
          <w:b/>
          <w:bCs/>
          <w:sz w:val="24"/>
          <w:szCs w:val="24"/>
          <w:lang w:val="en-GB"/>
        </w:rPr>
      </w:pPr>
      <w:r w:rsidRPr="00002888">
        <w:rPr>
          <w:rFonts w:ascii="Times New Roman" w:hAnsi="Times New Roman" w:cs="Times New Roman"/>
          <w:b/>
          <w:bCs/>
          <w:sz w:val="24"/>
          <w:szCs w:val="24"/>
          <w:lang w:val="en-GB"/>
        </w:rPr>
        <w:t>Review</w:t>
      </w:r>
    </w:p>
    <w:p w14:paraId="3EE8BA82" w14:textId="77777777" w:rsidR="00002888" w:rsidRPr="00002888" w:rsidRDefault="00002888" w:rsidP="00002888">
      <w:pPr>
        <w:rPr>
          <w:lang w:val="en-GB"/>
        </w:rPr>
      </w:pPr>
    </w:p>
    <w:p w14:paraId="0F5247C6" w14:textId="1153B475" w:rsidR="2AE5F8B8" w:rsidRDefault="6E07E219" w:rsidP="00002888">
      <w:pPr>
        <w:pStyle w:val="Title"/>
        <w:spacing w:before="0" w:line="360" w:lineRule="auto"/>
        <w:jc w:val="left"/>
        <w:rPr>
          <w:rFonts w:ascii="Times New Roman" w:hAnsi="Times New Roman" w:cs="Times New Roman"/>
          <w:b/>
          <w:bCs/>
          <w:sz w:val="24"/>
          <w:szCs w:val="24"/>
          <w:lang w:val="en-GB"/>
        </w:rPr>
      </w:pPr>
      <w:r w:rsidRPr="00002888">
        <w:rPr>
          <w:rFonts w:ascii="Times New Roman" w:hAnsi="Times New Roman" w:cs="Times New Roman"/>
          <w:b/>
          <w:bCs/>
          <w:sz w:val="24"/>
          <w:szCs w:val="24"/>
          <w:lang w:val="en-GB"/>
        </w:rPr>
        <w:t xml:space="preserve">The (epi)genomic landscape of splenic marginal zone lymphoma; biological implications, clinical </w:t>
      </w:r>
      <w:r w:rsidR="004D506B" w:rsidRPr="00002888">
        <w:rPr>
          <w:rFonts w:ascii="Times New Roman" w:hAnsi="Times New Roman" w:cs="Times New Roman"/>
          <w:b/>
          <w:bCs/>
          <w:sz w:val="24"/>
          <w:szCs w:val="24"/>
          <w:lang w:val="en-GB"/>
        </w:rPr>
        <w:t>utility,</w:t>
      </w:r>
      <w:r w:rsidRPr="00002888">
        <w:rPr>
          <w:rFonts w:ascii="Times New Roman" w:hAnsi="Times New Roman" w:cs="Times New Roman"/>
          <w:b/>
          <w:bCs/>
          <w:sz w:val="24"/>
          <w:szCs w:val="24"/>
          <w:lang w:val="en-GB"/>
        </w:rPr>
        <w:t xml:space="preserve"> and future ques</w:t>
      </w:r>
      <w:r w:rsidR="7FDE1CF2" w:rsidRPr="00002888">
        <w:rPr>
          <w:rFonts w:ascii="Times New Roman" w:hAnsi="Times New Roman" w:cs="Times New Roman"/>
          <w:b/>
          <w:bCs/>
          <w:sz w:val="24"/>
          <w:szCs w:val="24"/>
          <w:lang w:val="en-GB"/>
        </w:rPr>
        <w:t>tions</w:t>
      </w:r>
    </w:p>
    <w:p w14:paraId="533E9424" w14:textId="77777777" w:rsidR="00002888" w:rsidRPr="00002888" w:rsidRDefault="00002888" w:rsidP="00002888">
      <w:pPr>
        <w:rPr>
          <w:lang w:val="en-GB"/>
        </w:rPr>
      </w:pPr>
    </w:p>
    <w:p w14:paraId="028E7DA6" w14:textId="5FB905DD" w:rsidR="00E43BB5" w:rsidRDefault="00CB5682" w:rsidP="00002888">
      <w:pPr>
        <w:pStyle w:val="Heading2"/>
        <w:spacing w:before="0" w:after="0" w:line="360" w:lineRule="auto"/>
        <w:rPr>
          <w:sz w:val="24"/>
          <w:szCs w:val="24"/>
          <w:vertAlign w:val="superscript"/>
        </w:rPr>
      </w:pPr>
      <w:r w:rsidRPr="00002888">
        <w:rPr>
          <w:sz w:val="24"/>
          <w:szCs w:val="24"/>
        </w:rPr>
        <w:t>Carolina Jaramillo Oquendo</w:t>
      </w:r>
      <w:r w:rsidR="00672CC7" w:rsidRPr="00002888">
        <w:rPr>
          <w:sz w:val="24"/>
          <w:szCs w:val="24"/>
          <w:vertAlign w:val="superscript"/>
        </w:rPr>
        <w:t>1</w:t>
      </w:r>
      <w:r w:rsidRPr="00002888">
        <w:rPr>
          <w:sz w:val="24"/>
          <w:szCs w:val="24"/>
        </w:rPr>
        <w:t>, Helen Parker</w:t>
      </w:r>
      <w:r w:rsidR="00672CC7" w:rsidRPr="00002888">
        <w:rPr>
          <w:sz w:val="24"/>
          <w:szCs w:val="24"/>
          <w:vertAlign w:val="superscript"/>
        </w:rPr>
        <w:t>2</w:t>
      </w:r>
      <w:r w:rsidRPr="00002888">
        <w:rPr>
          <w:sz w:val="24"/>
          <w:szCs w:val="24"/>
        </w:rPr>
        <w:t xml:space="preserve">, </w:t>
      </w:r>
      <w:r w:rsidR="003572E5" w:rsidRPr="00002888">
        <w:rPr>
          <w:sz w:val="24"/>
          <w:szCs w:val="24"/>
        </w:rPr>
        <w:t>David Oscier</w:t>
      </w:r>
      <w:r w:rsidR="003572E5" w:rsidRPr="00002888">
        <w:rPr>
          <w:sz w:val="24"/>
          <w:szCs w:val="24"/>
          <w:vertAlign w:val="superscript"/>
        </w:rPr>
        <w:t>3</w:t>
      </w:r>
      <w:r w:rsidR="003572E5" w:rsidRPr="00002888">
        <w:rPr>
          <w:sz w:val="24"/>
          <w:szCs w:val="24"/>
        </w:rPr>
        <w:t xml:space="preserve">, </w:t>
      </w:r>
      <w:r w:rsidR="00FB5983" w:rsidRPr="00002888">
        <w:rPr>
          <w:sz w:val="24"/>
          <w:szCs w:val="24"/>
        </w:rPr>
        <w:t>Sarah Ennis</w:t>
      </w:r>
      <w:r w:rsidR="00FB5983" w:rsidRPr="00002888">
        <w:rPr>
          <w:sz w:val="24"/>
          <w:szCs w:val="24"/>
          <w:vertAlign w:val="superscript"/>
        </w:rPr>
        <w:t>1</w:t>
      </w:r>
      <w:r w:rsidR="00FB5983" w:rsidRPr="00002888">
        <w:rPr>
          <w:sz w:val="24"/>
          <w:szCs w:val="24"/>
        </w:rPr>
        <w:t>, Jane Gibson</w:t>
      </w:r>
      <w:r w:rsidR="00FB5983" w:rsidRPr="00002888">
        <w:rPr>
          <w:sz w:val="24"/>
          <w:szCs w:val="24"/>
          <w:vertAlign w:val="superscript"/>
        </w:rPr>
        <w:t>2</w:t>
      </w:r>
      <w:r w:rsidR="00FB5983" w:rsidRPr="00002888">
        <w:rPr>
          <w:sz w:val="24"/>
          <w:szCs w:val="24"/>
        </w:rPr>
        <w:t xml:space="preserve"> and </w:t>
      </w:r>
      <w:r w:rsidRPr="00002888">
        <w:rPr>
          <w:sz w:val="24"/>
          <w:szCs w:val="24"/>
        </w:rPr>
        <w:t xml:space="preserve">Jonathan </w:t>
      </w:r>
      <w:r w:rsidR="00FB5983" w:rsidRPr="00002888">
        <w:rPr>
          <w:sz w:val="24"/>
          <w:szCs w:val="24"/>
        </w:rPr>
        <w:t xml:space="preserve">C </w:t>
      </w:r>
      <w:r w:rsidRPr="00002888">
        <w:rPr>
          <w:sz w:val="24"/>
          <w:szCs w:val="24"/>
        </w:rPr>
        <w:t>Strefford</w:t>
      </w:r>
      <w:r w:rsidR="00672CC7" w:rsidRPr="00002888">
        <w:rPr>
          <w:sz w:val="24"/>
          <w:szCs w:val="24"/>
          <w:vertAlign w:val="superscript"/>
        </w:rPr>
        <w:t>2</w:t>
      </w:r>
    </w:p>
    <w:p w14:paraId="5822DFBC" w14:textId="77777777" w:rsidR="00002888" w:rsidRPr="00002888" w:rsidRDefault="00002888" w:rsidP="00002888">
      <w:pPr>
        <w:rPr>
          <w:lang w:val="en-GB"/>
        </w:rPr>
      </w:pPr>
    </w:p>
    <w:p w14:paraId="7AF9BFC4" w14:textId="5CD417CB" w:rsidR="00672CC7" w:rsidRPr="00002888" w:rsidRDefault="004A5897" w:rsidP="00002888">
      <w:pPr>
        <w:pStyle w:val="Heading4"/>
        <w:spacing w:before="0" w:beforeAutospacing="0" w:after="0" w:afterAutospacing="0" w:line="360" w:lineRule="auto"/>
        <w:jc w:val="left"/>
        <w:rPr>
          <w:rFonts w:ascii="Times New Roman" w:eastAsia="SimSun" w:hAnsi="Times New Roman"/>
          <w:i w:val="0"/>
          <w:sz w:val="24"/>
        </w:rPr>
      </w:pPr>
      <w:r w:rsidRPr="00002888">
        <w:rPr>
          <w:rFonts w:ascii="Times New Roman" w:eastAsia="SimSun" w:hAnsi="Times New Roman"/>
          <w:i w:val="0"/>
          <w:sz w:val="24"/>
          <w:vertAlign w:val="superscript"/>
        </w:rPr>
        <w:t>1</w:t>
      </w:r>
      <w:r w:rsidR="0042115B" w:rsidRPr="00002888">
        <w:rPr>
          <w:rFonts w:ascii="Times New Roman" w:eastAsia="SimSun" w:hAnsi="Times New Roman"/>
          <w:i w:val="0"/>
          <w:sz w:val="24"/>
        </w:rPr>
        <w:t xml:space="preserve"> Human Genetics and Genomic Medicine, Faculty of Medicine, University of Southampton, Southampton, U</w:t>
      </w:r>
      <w:r w:rsidR="08A4BFDB" w:rsidRPr="00002888">
        <w:rPr>
          <w:rFonts w:ascii="Times New Roman" w:eastAsia="SimSun" w:hAnsi="Times New Roman"/>
          <w:i w:val="0"/>
          <w:sz w:val="24"/>
        </w:rPr>
        <w:t>K.</w:t>
      </w:r>
    </w:p>
    <w:p w14:paraId="4DE9A8ED" w14:textId="6F8F2E9E" w:rsidR="0042115B" w:rsidRPr="00002888" w:rsidRDefault="004A5897" w:rsidP="00002888">
      <w:pPr>
        <w:pStyle w:val="Heading4"/>
        <w:spacing w:before="0" w:beforeAutospacing="0" w:after="0" w:afterAutospacing="0" w:line="360" w:lineRule="auto"/>
        <w:jc w:val="left"/>
        <w:rPr>
          <w:rFonts w:ascii="Times New Roman" w:eastAsia="SimSun" w:hAnsi="Times New Roman"/>
          <w:i w:val="0"/>
          <w:sz w:val="24"/>
        </w:rPr>
      </w:pPr>
      <w:r w:rsidRPr="00002888">
        <w:rPr>
          <w:rFonts w:ascii="Times New Roman" w:eastAsia="SimSun" w:hAnsi="Times New Roman"/>
          <w:i w:val="0"/>
          <w:sz w:val="24"/>
          <w:vertAlign w:val="superscript"/>
        </w:rPr>
        <w:t>2</w:t>
      </w:r>
      <w:r w:rsidRPr="00002888">
        <w:rPr>
          <w:rFonts w:ascii="Times New Roman" w:eastAsia="SimSun" w:hAnsi="Times New Roman"/>
          <w:i w:val="0"/>
          <w:sz w:val="24"/>
        </w:rPr>
        <w:t xml:space="preserve"> </w:t>
      </w:r>
      <w:r w:rsidR="0042115B" w:rsidRPr="00002888">
        <w:rPr>
          <w:rFonts w:ascii="Times New Roman" w:eastAsia="SimSun" w:hAnsi="Times New Roman"/>
          <w:i w:val="0"/>
          <w:sz w:val="24"/>
        </w:rPr>
        <w:t>Cancer Sciences, Faculty of Medicine, University of Southampton, Southampton, UK.</w:t>
      </w:r>
    </w:p>
    <w:p w14:paraId="653172C9" w14:textId="3A12327C" w:rsidR="00816879" w:rsidRDefault="00816879" w:rsidP="00002888">
      <w:pPr>
        <w:pStyle w:val="Heading4"/>
        <w:spacing w:before="0" w:beforeAutospacing="0" w:after="0" w:afterAutospacing="0" w:line="360" w:lineRule="auto"/>
        <w:jc w:val="left"/>
        <w:rPr>
          <w:rFonts w:ascii="Times New Roman" w:eastAsia="SimSun" w:hAnsi="Times New Roman"/>
          <w:i w:val="0"/>
          <w:sz w:val="24"/>
        </w:rPr>
      </w:pPr>
      <w:r w:rsidRPr="00002888">
        <w:rPr>
          <w:rFonts w:ascii="Times New Roman" w:eastAsia="SimSun" w:hAnsi="Times New Roman"/>
          <w:i w:val="0"/>
          <w:sz w:val="24"/>
          <w:vertAlign w:val="superscript"/>
        </w:rPr>
        <w:t xml:space="preserve">3 </w:t>
      </w:r>
      <w:r w:rsidRPr="00002888">
        <w:rPr>
          <w:rFonts w:ascii="Times New Roman" w:eastAsia="SimSun" w:hAnsi="Times New Roman"/>
          <w:i w:val="0"/>
          <w:sz w:val="24"/>
        </w:rPr>
        <w:t>Department of Haematology. Royal Bournemouth Hospital, Bournemouth, UK</w:t>
      </w:r>
    </w:p>
    <w:p w14:paraId="672786FA" w14:textId="77777777" w:rsidR="00002888" w:rsidRPr="00002888" w:rsidRDefault="00002888" w:rsidP="00002888">
      <w:pPr>
        <w:pStyle w:val="Heading4"/>
        <w:spacing w:before="0" w:beforeAutospacing="0" w:after="0" w:afterAutospacing="0" w:line="360" w:lineRule="auto"/>
        <w:jc w:val="left"/>
        <w:rPr>
          <w:rFonts w:ascii="Times New Roman" w:eastAsia="SimSun" w:hAnsi="Times New Roman"/>
          <w:i w:val="0"/>
          <w:sz w:val="24"/>
        </w:rPr>
      </w:pPr>
    </w:p>
    <w:p w14:paraId="5EB8B688" w14:textId="58C12C8D" w:rsidR="00816879" w:rsidRDefault="00816879" w:rsidP="00002888">
      <w:pPr>
        <w:spacing w:before="0" w:after="0" w:line="360" w:lineRule="auto"/>
        <w:jc w:val="left"/>
        <w:rPr>
          <w:rFonts w:ascii="Times New Roman" w:hAnsi="Times New Roman" w:cs="Times New Roman"/>
          <w:sz w:val="24"/>
          <w:szCs w:val="24"/>
          <w:shd w:val="clear" w:color="auto" w:fill="FFFFFF"/>
          <w:lang w:val="en-GB" w:eastAsia="en-GB"/>
        </w:rPr>
      </w:pPr>
      <w:r w:rsidRPr="00002888">
        <w:rPr>
          <w:rFonts w:ascii="Times New Roman" w:hAnsi="Times New Roman" w:cs="Times New Roman"/>
          <w:b/>
          <w:bCs/>
          <w:sz w:val="24"/>
          <w:szCs w:val="24"/>
          <w:lang w:val="en-GB"/>
        </w:rPr>
        <w:t xml:space="preserve">Correspondence </w:t>
      </w:r>
      <w:proofErr w:type="gramStart"/>
      <w:r w:rsidRPr="00002888">
        <w:rPr>
          <w:rFonts w:ascii="Times New Roman" w:hAnsi="Times New Roman" w:cs="Times New Roman"/>
          <w:b/>
          <w:bCs/>
          <w:sz w:val="24"/>
          <w:szCs w:val="24"/>
          <w:lang w:val="en-GB"/>
        </w:rPr>
        <w:t>to:</w:t>
      </w:r>
      <w:proofErr w:type="gramEnd"/>
      <w:r w:rsidRPr="00002888">
        <w:rPr>
          <w:rFonts w:ascii="Times New Roman" w:hAnsi="Times New Roman" w:cs="Times New Roman"/>
          <w:sz w:val="24"/>
          <w:szCs w:val="24"/>
          <w:lang w:val="en-GB"/>
        </w:rPr>
        <w:t xml:space="preserve"> Prof. Jonathan </w:t>
      </w:r>
      <w:r w:rsidR="000D45E6" w:rsidRPr="00002888">
        <w:rPr>
          <w:rFonts w:ascii="Times New Roman" w:hAnsi="Times New Roman" w:cs="Times New Roman"/>
          <w:sz w:val="24"/>
          <w:szCs w:val="24"/>
          <w:lang w:val="en-GB"/>
        </w:rPr>
        <w:t xml:space="preserve">C </w:t>
      </w:r>
      <w:r w:rsidRPr="00002888">
        <w:rPr>
          <w:rFonts w:ascii="Times New Roman" w:hAnsi="Times New Roman" w:cs="Times New Roman"/>
          <w:sz w:val="24"/>
          <w:szCs w:val="24"/>
          <w:lang w:val="en-GB"/>
        </w:rPr>
        <w:t xml:space="preserve">Strefford, Cancer Genomics, School of Cancer Sciences, Faculty of Medicine, University of Southampton, MP824 Somers Building, Southampton General Hospital, </w:t>
      </w:r>
      <w:proofErr w:type="spellStart"/>
      <w:r w:rsidRPr="00002888">
        <w:rPr>
          <w:rFonts w:ascii="Times New Roman" w:hAnsi="Times New Roman" w:cs="Times New Roman"/>
          <w:sz w:val="24"/>
          <w:szCs w:val="24"/>
          <w:lang w:val="en-GB"/>
        </w:rPr>
        <w:t>Tremona</w:t>
      </w:r>
      <w:proofErr w:type="spellEnd"/>
      <w:r w:rsidRPr="00002888">
        <w:rPr>
          <w:rFonts w:ascii="Times New Roman" w:hAnsi="Times New Roman" w:cs="Times New Roman"/>
          <w:sz w:val="24"/>
          <w:szCs w:val="24"/>
          <w:lang w:val="en-GB"/>
        </w:rPr>
        <w:t xml:space="preserve"> Road, Southampton, SO16 6YD, UK. E-mail: </w:t>
      </w:r>
      <w:r w:rsidR="00E21317" w:rsidRPr="00002888">
        <w:rPr>
          <w:rFonts w:ascii="Times New Roman" w:eastAsia="Times New Roman" w:hAnsi="Times New Roman" w:cs="Times New Roman"/>
          <w:sz w:val="24"/>
          <w:szCs w:val="24"/>
          <w:lang w:val="en-GB"/>
        </w:rPr>
        <w:t>jcs@soton.ac.uk</w:t>
      </w:r>
      <w:r w:rsidRPr="00002888">
        <w:rPr>
          <w:rFonts w:ascii="Times New Roman" w:hAnsi="Times New Roman" w:cs="Times New Roman"/>
          <w:sz w:val="24"/>
          <w:szCs w:val="24"/>
          <w:lang w:val="en-GB"/>
        </w:rPr>
        <w:t xml:space="preserve">; ORCID: </w:t>
      </w:r>
      <w:r w:rsidRPr="00002888">
        <w:rPr>
          <w:rFonts w:ascii="Times New Roman" w:hAnsi="Times New Roman" w:cs="Times New Roman"/>
          <w:sz w:val="24"/>
          <w:szCs w:val="24"/>
          <w:shd w:val="clear" w:color="auto" w:fill="FFFFFF"/>
          <w:lang w:val="en-GB" w:eastAsia="en-GB"/>
        </w:rPr>
        <w:t>0000-0002-0972-2881</w:t>
      </w:r>
    </w:p>
    <w:p w14:paraId="05D70946" w14:textId="77777777" w:rsidR="00002888" w:rsidRPr="00002888" w:rsidRDefault="00002888" w:rsidP="00002888">
      <w:pPr>
        <w:spacing w:before="0" w:after="0" w:line="360" w:lineRule="auto"/>
        <w:jc w:val="left"/>
        <w:rPr>
          <w:rFonts w:ascii="Times New Roman" w:hAnsi="Times New Roman" w:cs="Times New Roman"/>
          <w:color w:val="494A4C"/>
          <w:sz w:val="24"/>
          <w:szCs w:val="24"/>
          <w:shd w:val="clear" w:color="auto" w:fill="FFFFFF"/>
          <w:lang w:val="en-GB" w:eastAsia="en-GB"/>
        </w:rPr>
      </w:pPr>
    </w:p>
    <w:p w14:paraId="47CA807F" w14:textId="19514DFB" w:rsidR="00D93837" w:rsidRPr="00002888" w:rsidRDefault="00814224" w:rsidP="00002888">
      <w:pPr>
        <w:pStyle w:val="Heading1"/>
        <w:spacing w:before="0" w:line="360" w:lineRule="auto"/>
        <w:jc w:val="left"/>
        <w:rPr>
          <w:rFonts w:ascii="Times New Roman" w:hAnsi="Times New Roman" w:cs="Times New Roman"/>
          <w:b/>
          <w:bCs/>
          <w:sz w:val="24"/>
          <w:szCs w:val="24"/>
        </w:rPr>
      </w:pPr>
      <w:r w:rsidRPr="00002888">
        <w:rPr>
          <w:rFonts w:ascii="Times New Roman" w:hAnsi="Times New Roman" w:cs="Times New Roman"/>
          <w:b/>
          <w:bCs/>
          <w:sz w:val="24"/>
          <w:szCs w:val="24"/>
        </w:rPr>
        <w:t>A</w:t>
      </w:r>
      <w:r w:rsidR="009D7A98" w:rsidRPr="00002888">
        <w:rPr>
          <w:rFonts w:ascii="Times New Roman" w:hAnsi="Times New Roman" w:cs="Times New Roman"/>
          <w:b/>
          <w:bCs/>
          <w:sz w:val="24"/>
          <w:szCs w:val="24"/>
        </w:rPr>
        <w:t>bstract</w:t>
      </w:r>
    </w:p>
    <w:p w14:paraId="516E3B54" w14:textId="18ADA41B" w:rsidR="00A444B4" w:rsidRDefault="00B77574" w:rsidP="00002888">
      <w:pPr>
        <w:spacing w:before="0" w:after="0" w:line="360" w:lineRule="auto"/>
        <w:jc w:val="left"/>
        <w:rPr>
          <w:rFonts w:ascii="Times New Roman" w:hAnsi="Times New Roman" w:cs="Times New Roman"/>
          <w:sz w:val="24"/>
          <w:szCs w:val="24"/>
          <w:lang w:val="en-GB"/>
        </w:rPr>
      </w:pPr>
      <w:r w:rsidRPr="00002888">
        <w:rPr>
          <w:rFonts w:ascii="Times New Roman" w:hAnsi="Times New Roman" w:cs="Times New Roman"/>
          <w:sz w:val="24"/>
          <w:szCs w:val="24"/>
          <w:lang w:val="en-GB"/>
        </w:rPr>
        <w:t>Splenic marginal zone lymphoma (SMZL)</w:t>
      </w:r>
      <w:r w:rsidR="008A03E0" w:rsidRPr="00002888">
        <w:rPr>
          <w:rFonts w:ascii="Times New Roman" w:hAnsi="Times New Roman" w:cs="Times New Roman"/>
          <w:sz w:val="24"/>
          <w:szCs w:val="24"/>
          <w:lang w:val="en-GB"/>
        </w:rPr>
        <w:t xml:space="preserve"> </w:t>
      </w:r>
      <w:r w:rsidR="00486B4B" w:rsidRPr="00002888">
        <w:rPr>
          <w:rFonts w:ascii="Times New Roman" w:hAnsi="Times New Roman" w:cs="Times New Roman"/>
          <w:sz w:val="24"/>
          <w:szCs w:val="24"/>
          <w:lang w:val="en-GB"/>
        </w:rPr>
        <w:t>i</w:t>
      </w:r>
      <w:r w:rsidRPr="00002888">
        <w:rPr>
          <w:rFonts w:ascii="Times New Roman" w:hAnsi="Times New Roman" w:cs="Times New Roman"/>
          <w:sz w:val="24"/>
          <w:szCs w:val="24"/>
          <w:lang w:val="en-GB"/>
        </w:rPr>
        <w:t>s</w:t>
      </w:r>
      <w:r w:rsidR="00486B4B" w:rsidRPr="00002888">
        <w:rPr>
          <w:rFonts w:ascii="Times New Roman" w:hAnsi="Times New Roman" w:cs="Times New Roman"/>
          <w:sz w:val="24"/>
          <w:szCs w:val="24"/>
          <w:lang w:val="en-GB"/>
        </w:rPr>
        <w:t xml:space="preserve"> an indolent </w:t>
      </w:r>
      <w:r w:rsidR="00800AFB" w:rsidRPr="00002888">
        <w:rPr>
          <w:rFonts w:ascii="Times New Roman" w:hAnsi="Times New Roman" w:cs="Times New Roman"/>
          <w:sz w:val="24"/>
          <w:szCs w:val="24"/>
          <w:lang w:val="en-GB"/>
        </w:rPr>
        <w:t xml:space="preserve">B-cell </w:t>
      </w:r>
      <w:r w:rsidR="00486B4B" w:rsidRPr="00002888">
        <w:rPr>
          <w:rFonts w:ascii="Times New Roman" w:hAnsi="Times New Roman" w:cs="Times New Roman"/>
          <w:sz w:val="24"/>
          <w:szCs w:val="24"/>
          <w:lang w:val="en-GB"/>
        </w:rPr>
        <w:t xml:space="preserve">lymphoma </w:t>
      </w:r>
      <w:r w:rsidR="008A03E0" w:rsidRPr="00002888">
        <w:rPr>
          <w:rFonts w:ascii="Times New Roman" w:hAnsi="Times New Roman" w:cs="Times New Roman"/>
          <w:sz w:val="24"/>
          <w:szCs w:val="24"/>
          <w:lang w:val="en-GB"/>
        </w:rPr>
        <w:t>compris</w:t>
      </w:r>
      <w:r w:rsidR="00486B4B" w:rsidRPr="00002888">
        <w:rPr>
          <w:rFonts w:ascii="Times New Roman" w:hAnsi="Times New Roman" w:cs="Times New Roman"/>
          <w:sz w:val="24"/>
          <w:szCs w:val="24"/>
          <w:lang w:val="en-GB"/>
        </w:rPr>
        <w:t>ing</w:t>
      </w:r>
      <w:r w:rsidR="008A03E0" w:rsidRPr="00002888">
        <w:rPr>
          <w:rFonts w:ascii="Times New Roman" w:hAnsi="Times New Roman" w:cs="Times New Roman"/>
          <w:sz w:val="24"/>
          <w:szCs w:val="24"/>
          <w:lang w:val="en-GB"/>
        </w:rPr>
        <w:t xml:space="preserve"> less than 2% of lymphoid neoplasms</w:t>
      </w:r>
      <w:r w:rsidR="28A245D3" w:rsidRPr="00002888">
        <w:rPr>
          <w:rFonts w:ascii="Times New Roman" w:hAnsi="Times New Roman" w:cs="Times New Roman"/>
          <w:sz w:val="24"/>
          <w:szCs w:val="24"/>
          <w:lang w:val="en-GB"/>
        </w:rPr>
        <w:t xml:space="preserve">. </w:t>
      </w:r>
      <w:r w:rsidR="00A1023A" w:rsidRPr="00002888">
        <w:rPr>
          <w:rFonts w:ascii="Times New Roman" w:hAnsi="Times New Roman" w:cs="Times New Roman"/>
          <w:sz w:val="24"/>
          <w:szCs w:val="24"/>
          <w:lang w:val="en-GB"/>
        </w:rPr>
        <w:t xml:space="preserve">Approximately 70% of patients have a progressive disease requiring treatment </w:t>
      </w:r>
      <w:r w:rsidR="009314DA" w:rsidRPr="00002888">
        <w:rPr>
          <w:rFonts w:ascii="Times New Roman" w:hAnsi="Times New Roman" w:cs="Times New Roman"/>
          <w:sz w:val="24"/>
          <w:szCs w:val="24"/>
          <w:lang w:val="en-GB"/>
        </w:rPr>
        <w:t>and</w:t>
      </w:r>
      <w:r w:rsidR="00A1023A" w:rsidRPr="00002888">
        <w:rPr>
          <w:rFonts w:ascii="Times New Roman" w:hAnsi="Times New Roman" w:cs="Times New Roman"/>
          <w:sz w:val="24"/>
          <w:szCs w:val="24"/>
          <w:lang w:val="en-GB"/>
        </w:rPr>
        <w:t xml:space="preserve"> up to 30% of patients relapse or transform to diffuse large B-cell lymphoma</w:t>
      </w:r>
      <w:r w:rsidR="009314DA" w:rsidRPr="00002888">
        <w:rPr>
          <w:rFonts w:ascii="Times New Roman" w:hAnsi="Times New Roman" w:cs="Times New Roman"/>
          <w:sz w:val="24"/>
          <w:szCs w:val="24"/>
          <w:lang w:val="en-GB"/>
        </w:rPr>
        <w:t xml:space="preserve">. </w:t>
      </w:r>
      <w:r w:rsidR="00A444B4" w:rsidRPr="00002888">
        <w:rPr>
          <w:rFonts w:ascii="Times New Roman" w:hAnsi="Times New Roman" w:cs="Times New Roman"/>
          <w:sz w:val="24"/>
          <w:szCs w:val="24"/>
          <w:lang w:val="en-GB"/>
        </w:rPr>
        <w:t>Whilst r</w:t>
      </w:r>
      <w:r w:rsidR="00816879" w:rsidRPr="00002888">
        <w:rPr>
          <w:rFonts w:ascii="Times New Roman" w:hAnsi="Times New Roman" w:cs="Times New Roman"/>
          <w:sz w:val="24"/>
          <w:szCs w:val="24"/>
          <w:lang w:val="en-GB"/>
        </w:rPr>
        <w:t xml:space="preserve">esearch over the last decade </w:t>
      </w:r>
      <w:r w:rsidR="00A444B4" w:rsidRPr="00002888">
        <w:rPr>
          <w:rFonts w:ascii="Times New Roman" w:hAnsi="Times New Roman" w:cs="Times New Roman"/>
          <w:sz w:val="24"/>
          <w:szCs w:val="24"/>
          <w:lang w:val="en-GB"/>
        </w:rPr>
        <w:t>has transformed our understanding of many B-cell tumours, it is only beginning to</w:t>
      </w:r>
      <w:r w:rsidR="00816879" w:rsidRPr="00002888">
        <w:rPr>
          <w:rFonts w:ascii="Times New Roman" w:hAnsi="Times New Roman" w:cs="Times New Roman"/>
          <w:sz w:val="24"/>
          <w:szCs w:val="24"/>
          <w:lang w:val="en-GB"/>
        </w:rPr>
        <w:t xml:space="preserve"> shed light on </w:t>
      </w:r>
      <w:r w:rsidR="00FE5D5C" w:rsidRPr="00002888">
        <w:rPr>
          <w:rFonts w:ascii="Times New Roman" w:hAnsi="Times New Roman" w:cs="Times New Roman"/>
          <w:sz w:val="24"/>
          <w:szCs w:val="24"/>
          <w:lang w:val="en-GB"/>
        </w:rPr>
        <w:t>the</w:t>
      </w:r>
      <w:r w:rsidR="00816879" w:rsidRPr="00002888">
        <w:rPr>
          <w:rFonts w:ascii="Times New Roman" w:hAnsi="Times New Roman" w:cs="Times New Roman"/>
          <w:sz w:val="24"/>
          <w:szCs w:val="24"/>
          <w:lang w:val="en-GB"/>
        </w:rPr>
        <w:t xml:space="preserve"> molecular pathogenesis </w:t>
      </w:r>
      <w:r w:rsidR="00A444B4" w:rsidRPr="00002888">
        <w:rPr>
          <w:rFonts w:ascii="Times New Roman" w:hAnsi="Times New Roman" w:cs="Times New Roman"/>
          <w:sz w:val="24"/>
          <w:szCs w:val="24"/>
          <w:lang w:val="en-GB"/>
        </w:rPr>
        <w:t>of SMZL. Expansive immunogenetic investigations have shown biases in the immunoglobulin gene repertoire with distinct patterns of somatic hypermutation, suggesting a pathogenic role for antigen selectio</w:t>
      </w:r>
      <w:r w:rsidR="00F56DD0" w:rsidRPr="00002888">
        <w:rPr>
          <w:rFonts w:ascii="Times New Roman" w:hAnsi="Times New Roman" w:cs="Times New Roman"/>
          <w:sz w:val="24"/>
          <w:szCs w:val="24"/>
          <w:lang w:val="en-GB"/>
        </w:rPr>
        <w:t>n</w:t>
      </w:r>
      <w:r w:rsidR="0086193D" w:rsidRPr="00002888">
        <w:rPr>
          <w:rFonts w:ascii="Times New Roman" w:hAnsi="Times New Roman" w:cs="Times New Roman"/>
          <w:sz w:val="24"/>
          <w:szCs w:val="24"/>
          <w:lang w:val="en-GB"/>
        </w:rPr>
        <w:t xml:space="preserve">. In parallel </w:t>
      </w:r>
      <w:r w:rsidR="00FC2092" w:rsidRPr="00002888">
        <w:rPr>
          <w:rFonts w:ascii="Times New Roman" w:hAnsi="Times New Roman" w:cs="Times New Roman"/>
          <w:sz w:val="24"/>
          <w:szCs w:val="24"/>
          <w:lang w:val="en-GB"/>
        </w:rPr>
        <w:t>c</w:t>
      </w:r>
      <w:r w:rsidR="00A444B4" w:rsidRPr="00002888">
        <w:rPr>
          <w:rFonts w:ascii="Times New Roman" w:hAnsi="Times New Roman" w:cs="Times New Roman"/>
          <w:sz w:val="24"/>
          <w:szCs w:val="24"/>
          <w:lang w:val="en-GB"/>
        </w:rPr>
        <w:t xml:space="preserve">ytogenetic studies have </w:t>
      </w:r>
      <w:r w:rsidR="5E768E93" w:rsidRPr="00002888">
        <w:rPr>
          <w:rFonts w:ascii="Times New Roman" w:hAnsi="Times New Roman" w:cs="Times New Roman"/>
          <w:sz w:val="24"/>
          <w:szCs w:val="24"/>
          <w:lang w:val="en-GB"/>
        </w:rPr>
        <w:t>found</w:t>
      </w:r>
      <w:r w:rsidR="00A444B4" w:rsidRPr="00002888">
        <w:rPr>
          <w:rFonts w:ascii="Times New Roman" w:hAnsi="Times New Roman" w:cs="Times New Roman"/>
          <w:sz w:val="24"/>
          <w:szCs w:val="24"/>
          <w:lang w:val="en-GB"/>
        </w:rPr>
        <w:t xml:space="preserve"> </w:t>
      </w:r>
      <w:proofErr w:type="gramStart"/>
      <w:r w:rsidR="00A444B4" w:rsidRPr="00002888">
        <w:rPr>
          <w:rFonts w:ascii="Times New Roman" w:hAnsi="Times New Roman" w:cs="Times New Roman"/>
          <w:sz w:val="24"/>
          <w:szCs w:val="24"/>
          <w:lang w:val="en-GB"/>
        </w:rPr>
        <w:t>a number of</w:t>
      </w:r>
      <w:proofErr w:type="gramEnd"/>
      <w:r w:rsidR="00A444B4" w:rsidRPr="00002888">
        <w:rPr>
          <w:rFonts w:ascii="Times New Roman" w:hAnsi="Times New Roman" w:cs="Times New Roman"/>
          <w:sz w:val="24"/>
          <w:szCs w:val="24"/>
          <w:lang w:val="en-GB"/>
        </w:rPr>
        <w:t xml:space="preserve"> recurrent chromosomal lesions, in particular a deletion of the long arm of chromosome 7, though causative genes have not been identified. </w:t>
      </w:r>
      <w:r w:rsidR="0080781F" w:rsidRPr="00002888">
        <w:rPr>
          <w:rFonts w:ascii="Times New Roman" w:hAnsi="Times New Roman" w:cs="Times New Roman"/>
          <w:sz w:val="24"/>
          <w:szCs w:val="24"/>
          <w:lang w:val="en-GB"/>
        </w:rPr>
        <w:t xml:space="preserve">Our understanding of the mutational landscape of SMZL is built on a limited number of index cases, but has </w:t>
      </w:r>
      <w:r w:rsidR="124275AF" w:rsidRPr="00002888">
        <w:rPr>
          <w:rFonts w:ascii="Times New Roman" w:hAnsi="Times New Roman" w:cs="Times New Roman"/>
          <w:sz w:val="24"/>
          <w:szCs w:val="24"/>
          <w:lang w:val="en-GB"/>
        </w:rPr>
        <w:t>highlighted</w:t>
      </w:r>
      <w:r w:rsidR="0080781F" w:rsidRPr="00002888">
        <w:rPr>
          <w:rFonts w:ascii="Times New Roman" w:hAnsi="Times New Roman" w:cs="Times New Roman"/>
          <w:sz w:val="24"/>
          <w:szCs w:val="24"/>
          <w:lang w:val="en-GB"/>
        </w:rPr>
        <w:t xml:space="preserve"> recurrent mutations in </w:t>
      </w:r>
      <w:r w:rsidR="0080781F" w:rsidRPr="00002888">
        <w:rPr>
          <w:rFonts w:ascii="Times New Roman" w:hAnsi="Times New Roman" w:cs="Times New Roman"/>
          <w:i/>
          <w:iCs/>
          <w:sz w:val="24"/>
          <w:szCs w:val="24"/>
          <w:lang w:val="en-GB"/>
        </w:rPr>
        <w:t>KLF2, NOTCH2</w:t>
      </w:r>
      <w:r w:rsidR="0080781F" w:rsidRPr="00002888">
        <w:rPr>
          <w:rFonts w:ascii="Times New Roman" w:hAnsi="Times New Roman" w:cs="Times New Roman"/>
          <w:sz w:val="24"/>
          <w:szCs w:val="24"/>
          <w:lang w:val="en-GB"/>
        </w:rPr>
        <w:t xml:space="preserve"> and </w:t>
      </w:r>
      <w:r w:rsidR="0080781F" w:rsidRPr="00002888">
        <w:rPr>
          <w:rFonts w:ascii="Times New Roman" w:hAnsi="Times New Roman" w:cs="Times New Roman"/>
          <w:i/>
          <w:iCs/>
          <w:sz w:val="24"/>
          <w:szCs w:val="24"/>
          <w:lang w:val="en-GB"/>
        </w:rPr>
        <w:t>TP53</w:t>
      </w:r>
      <w:r w:rsidR="0080781F" w:rsidRPr="00002888">
        <w:rPr>
          <w:rFonts w:ascii="Times New Roman" w:hAnsi="Times New Roman" w:cs="Times New Roman"/>
          <w:sz w:val="24"/>
          <w:szCs w:val="24"/>
          <w:lang w:val="en-GB"/>
        </w:rPr>
        <w:t xml:space="preserve">, and a spectrum of </w:t>
      </w:r>
      <w:r w:rsidR="0080781F" w:rsidRPr="00002888">
        <w:rPr>
          <w:rFonts w:ascii="Times New Roman" w:hAnsi="Times New Roman" w:cs="Times New Roman"/>
          <w:sz w:val="24"/>
          <w:szCs w:val="24"/>
          <w:lang w:val="en-GB"/>
        </w:rPr>
        <w:lastRenderedPageBreak/>
        <w:t>genes that cluster within biological pathways of import</w:t>
      </w:r>
      <w:r w:rsidR="0063315A" w:rsidRPr="00002888">
        <w:rPr>
          <w:rFonts w:ascii="Times New Roman" w:hAnsi="Times New Roman" w:cs="Times New Roman"/>
          <w:sz w:val="24"/>
          <w:szCs w:val="24"/>
          <w:lang w:val="en-GB"/>
        </w:rPr>
        <w:t>ance</w:t>
      </w:r>
      <w:r w:rsidR="0080781F" w:rsidRPr="00002888">
        <w:rPr>
          <w:rFonts w:ascii="Times New Roman" w:hAnsi="Times New Roman" w:cs="Times New Roman"/>
          <w:sz w:val="24"/>
          <w:szCs w:val="24"/>
          <w:lang w:val="en-GB"/>
        </w:rPr>
        <w:t xml:space="preserve"> in B-cell differentiation. </w:t>
      </w:r>
      <w:r w:rsidR="002B1032" w:rsidRPr="00002888">
        <w:rPr>
          <w:rFonts w:ascii="Times New Roman" w:hAnsi="Times New Roman" w:cs="Times New Roman"/>
          <w:sz w:val="24"/>
          <w:szCs w:val="24"/>
          <w:lang w:val="en-GB"/>
        </w:rPr>
        <w:t>While p</w:t>
      </w:r>
      <w:r w:rsidR="00DD0637" w:rsidRPr="00002888">
        <w:rPr>
          <w:rFonts w:ascii="Times New Roman" w:hAnsi="Times New Roman" w:cs="Times New Roman"/>
          <w:sz w:val="24"/>
          <w:szCs w:val="24"/>
          <w:lang w:val="en-GB"/>
        </w:rPr>
        <w:t>reliminary DNA methylation profiling</w:t>
      </w:r>
      <w:r w:rsidR="0063315A" w:rsidRPr="00002888">
        <w:rPr>
          <w:rFonts w:ascii="Times New Roman" w:hAnsi="Times New Roman" w:cs="Times New Roman"/>
          <w:sz w:val="24"/>
          <w:szCs w:val="24"/>
          <w:lang w:val="en-GB"/>
        </w:rPr>
        <w:t xml:space="preserve"> has</w:t>
      </w:r>
      <w:r w:rsidR="00DD0637" w:rsidRPr="00002888">
        <w:rPr>
          <w:rFonts w:ascii="Times New Roman" w:hAnsi="Times New Roman" w:cs="Times New Roman"/>
          <w:sz w:val="24"/>
          <w:szCs w:val="24"/>
          <w:lang w:val="en-GB"/>
        </w:rPr>
        <w:t xml:space="preserve"> </w:t>
      </w:r>
      <w:r w:rsidR="3DB34A4E" w:rsidRPr="00002888">
        <w:rPr>
          <w:rFonts w:ascii="Times New Roman" w:hAnsi="Times New Roman" w:cs="Times New Roman"/>
          <w:sz w:val="24"/>
          <w:szCs w:val="24"/>
          <w:lang w:val="en-GB"/>
        </w:rPr>
        <w:t>showed</w:t>
      </w:r>
      <w:r w:rsidR="001B1413" w:rsidRPr="00002888">
        <w:rPr>
          <w:rFonts w:ascii="Times New Roman" w:hAnsi="Times New Roman" w:cs="Times New Roman"/>
          <w:sz w:val="24"/>
          <w:szCs w:val="24"/>
          <w:lang w:val="en-GB"/>
        </w:rPr>
        <w:t xml:space="preserve"> epigenetically distinct patient sub-groups, includ</w:t>
      </w:r>
      <w:r w:rsidR="00D15DED" w:rsidRPr="00002888">
        <w:rPr>
          <w:rFonts w:ascii="Times New Roman" w:hAnsi="Times New Roman" w:cs="Times New Roman"/>
          <w:sz w:val="24"/>
          <w:szCs w:val="24"/>
          <w:lang w:val="en-GB"/>
        </w:rPr>
        <w:t>ing</w:t>
      </w:r>
      <w:r w:rsidR="001B1413" w:rsidRPr="00002888">
        <w:rPr>
          <w:rFonts w:ascii="Times New Roman" w:hAnsi="Times New Roman" w:cs="Times New Roman"/>
          <w:sz w:val="24"/>
          <w:szCs w:val="24"/>
          <w:lang w:val="en-GB"/>
        </w:rPr>
        <w:t xml:space="preserve"> a group defined by elevated expression of </w:t>
      </w:r>
      <w:proofErr w:type="spellStart"/>
      <w:r w:rsidR="001B1413" w:rsidRPr="00002888">
        <w:rPr>
          <w:rFonts w:ascii="Times New Roman" w:hAnsi="Times New Roman" w:cs="Times New Roman"/>
          <w:sz w:val="24"/>
          <w:szCs w:val="24"/>
          <w:lang w:val="en-GB"/>
        </w:rPr>
        <w:t>polycomb</w:t>
      </w:r>
      <w:proofErr w:type="spellEnd"/>
      <w:r w:rsidR="001B1413" w:rsidRPr="00002888">
        <w:rPr>
          <w:rFonts w:ascii="Times New Roman" w:hAnsi="Times New Roman" w:cs="Times New Roman"/>
          <w:sz w:val="24"/>
          <w:szCs w:val="24"/>
          <w:lang w:val="en-GB"/>
        </w:rPr>
        <w:t xml:space="preserve"> repressor complex 2 components. This review will provide an overview of our current understanding of the molecular basis of SMZL, and how this information impacts on patient outcomes. Furthermore, we will outline</w:t>
      </w:r>
      <w:r w:rsidR="00987BFC" w:rsidRPr="00002888">
        <w:rPr>
          <w:rFonts w:ascii="Times New Roman" w:hAnsi="Times New Roman" w:cs="Times New Roman"/>
          <w:sz w:val="24"/>
          <w:szCs w:val="24"/>
          <w:lang w:val="en-GB"/>
        </w:rPr>
        <w:t>;</w:t>
      </w:r>
      <w:r w:rsidR="001B1413" w:rsidRPr="00002888">
        <w:rPr>
          <w:rFonts w:ascii="Times New Roman" w:hAnsi="Times New Roman" w:cs="Times New Roman"/>
          <w:sz w:val="24"/>
          <w:szCs w:val="24"/>
          <w:lang w:val="en-GB"/>
        </w:rPr>
        <w:t xml:space="preserve"> </w:t>
      </w:r>
      <w:r w:rsidR="00376783" w:rsidRPr="00002888">
        <w:rPr>
          <w:rFonts w:ascii="Times New Roman" w:hAnsi="Times New Roman" w:cs="Times New Roman"/>
          <w:sz w:val="24"/>
          <w:szCs w:val="24"/>
          <w:lang w:val="en-GB"/>
        </w:rPr>
        <w:t>1</w:t>
      </w:r>
      <w:r w:rsidR="001B1413" w:rsidRPr="00002888">
        <w:rPr>
          <w:rFonts w:ascii="Times New Roman" w:hAnsi="Times New Roman" w:cs="Times New Roman"/>
          <w:sz w:val="24"/>
          <w:szCs w:val="24"/>
          <w:lang w:val="en-GB"/>
        </w:rPr>
        <w:t xml:space="preserve">) the knowledge gaps that still exist, 2) a potential future research direction, and 3) how a detailed </w:t>
      </w:r>
      <w:r w:rsidR="001A6CA0" w:rsidRPr="00002888">
        <w:rPr>
          <w:rFonts w:ascii="Times New Roman" w:hAnsi="Times New Roman" w:cs="Times New Roman"/>
          <w:sz w:val="24"/>
          <w:szCs w:val="24"/>
          <w:lang w:val="en-GB"/>
        </w:rPr>
        <w:t>m</w:t>
      </w:r>
      <w:r w:rsidR="001B1413" w:rsidRPr="00002888">
        <w:rPr>
          <w:rFonts w:ascii="Times New Roman" w:hAnsi="Times New Roman" w:cs="Times New Roman"/>
          <w:sz w:val="24"/>
          <w:szCs w:val="24"/>
          <w:lang w:val="en-GB"/>
        </w:rPr>
        <w:t>olecular understand</w:t>
      </w:r>
      <w:r w:rsidR="00F51D3F" w:rsidRPr="00002888">
        <w:rPr>
          <w:rFonts w:ascii="Times New Roman" w:hAnsi="Times New Roman" w:cs="Times New Roman"/>
          <w:sz w:val="24"/>
          <w:szCs w:val="24"/>
          <w:lang w:val="en-GB"/>
        </w:rPr>
        <w:t>ing</w:t>
      </w:r>
      <w:r w:rsidR="001B1413" w:rsidRPr="00002888">
        <w:rPr>
          <w:rFonts w:ascii="Times New Roman" w:hAnsi="Times New Roman" w:cs="Times New Roman"/>
          <w:sz w:val="24"/>
          <w:szCs w:val="24"/>
          <w:lang w:val="en-GB"/>
        </w:rPr>
        <w:t xml:space="preserve"> of the disease will ultimately provide patients with improved management and treatment choices</w:t>
      </w:r>
      <w:r w:rsidR="00123A4B" w:rsidRPr="00002888">
        <w:rPr>
          <w:rFonts w:ascii="Times New Roman" w:hAnsi="Times New Roman" w:cs="Times New Roman"/>
          <w:sz w:val="24"/>
          <w:szCs w:val="24"/>
          <w:lang w:val="en-GB"/>
        </w:rPr>
        <w:t>.</w:t>
      </w:r>
    </w:p>
    <w:p w14:paraId="587D56E1" w14:textId="77777777" w:rsidR="00002888" w:rsidRPr="00002888" w:rsidRDefault="00002888" w:rsidP="00002888">
      <w:pPr>
        <w:spacing w:before="0" w:after="0" w:line="360" w:lineRule="auto"/>
        <w:jc w:val="left"/>
        <w:rPr>
          <w:rFonts w:ascii="Times New Roman" w:hAnsi="Times New Roman" w:cs="Times New Roman"/>
          <w:sz w:val="24"/>
          <w:szCs w:val="24"/>
          <w:lang w:val="en-GB"/>
        </w:rPr>
      </w:pPr>
    </w:p>
    <w:p w14:paraId="77D881B7" w14:textId="12D28BD8" w:rsidR="000F3BA2" w:rsidRPr="00002888" w:rsidRDefault="000F3BA2" w:rsidP="00002888">
      <w:pPr>
        <w:spacing w:before="0" w:after="0" w:line="360" w:lineRule="auto"/>
        <w:jc w:val="left"/>
        <w:rPr>
          <w:rFonts w:ascii="Times New Roman" w:hAnsi="Times New Roman" w:cs="Times New Roman"/>
          <w:sz w:val="24"/>
          <w:szCs w:val="24"/>
          <w:lang w:val="en-GB"/>
        </w:rPr>
      </w:pPr>
      <w:r w:rsidRPr="00002888">
        <w:rPr>
          <w:rFonts w:ascii="Times New Roman" w:hAnsi="Times New Roman" w:cs="Times New Roman"/>
          <w:b/>
          <w:bCs/>
          <w:sz w:val="24"/>
          <w:szCs w:val="24"/>
          <w:lang w:val="en-GB"/>
        </w:rPr>
        <w:t xml:space="preserve">Keywords: </w:t>
      </w:r>
      <w:r w:rsidRPr="00002888">
        <w:rPr>
          <w:rFonts w:ascii="Times New Roman" w:hAnsi="Times New Roman" w:cs="Times New Roman"/>
          <w:sz w:val="24"/>
          <w:szCs w:val="24"/>
          <w:lang w:val="en-GB"/>
        </w:rPr>
        <w:t>splenic marginal zone lymphoma</w:t>
      </w:r>
      <w:r w:rsidR="005E4E3E" w:rsidRPr="00002888">
        <w:rPr>
          <w:rFonts w:ascii="Times New Roman" w:hAnsi="Times New Roman" w:cs="Times New Roman"/>
          <w:sz w:val="24"/>
          <w:szCs w:val="24"/>
          <w:lang w:val="en-GB"/>
        </w:rPr>
        <w:t xml:space="preserve"> </w:t>
      </w:r>
      <w:r w:rsidR="00702223" w:rsidRPr="00002888">
        <w:rPr>
          <w:rFonts w:ascii="Times New Roman" w:hAnsi="Times New Roman" w:cs="Times New Roman"/>
          <w:sz w:val="24"/>
          <w:szCs w:val="24"/>
          <w:lang w:val="en-GB"/>
        </w:rPr>
        <w:t>(SMZL)</w:t>
      </w:r>
      <w:r w:rsidR="0098416C" w:rsidRPr="00002888">
        <w:rPr>
          <w:rFonts w:ascii="Times New Roman" w:hAnsi="Times New Roman" w:cs="Times New Roman"/>
          <w:sz w:val="24"/>
          <w:szCs w:val="24"/>
          <w:lang w:val="en-GB"/>
        </w:rPr>
        <w:t>, pathogenesis, genetic</w:t>
      </w:r>
      <w:r w:rsidR="003A2D3F" w:rsidRPr="00002888">
        <w:rPr>
          <w:rFonts w:ascii="Times New Roman" w:hAnsi="Times New Roman" w:cs="Times New Roman"/>
          <w:sz w:val="24"/>
          <w:szCs w:val="24"/>
          <w:lang w:val="en-GB"/>
        </w:rPr>
        <w:t>s, epigenetics, clinical</w:t>
      </w:r>
    </w:p>
    <w:p w14:paraId="3B0F7A04" w14:textId="3FFDBAC5" w:rsidR="00814224" w:rsidRPr="00002888" w:rsidRDefault="00814224" w:rsidP="00002888">
      <w:pPr>
        <w:pStyle w:val="Heading1"/>
        <w:spacing w:before="0" w:line="360" w:lineRule="auto"/>
        <w:jc w:val="left"/>
        <w:rPr>
          <w:rFonts w:ascii="Times New Roman" w:hAnsi="Times New Roman" w:cs="Times New Roman"/>
          <w:b/>
          <w:bCs/>
          <w:sz w:val="24"/>
          <w:szCs w:val="24"/>
        </w:rPr>
      </w:pPr>
      <w:r w:rsidRPr="00002888">
        <w:rPr>
          <w:rFonts w:ascii="Times New Roman" w:hAnsi="Times New Roman" w:cs="Times New Roman"/>
          <w:sz w:val="24"/>
          <w:szCs w:val="24"/>
          <w:lang w:val="en-GB"/>
        </w:rPr>
        <w:br w:type="page"/>
      </w:r>
      <w:r w:rsidR="00AA1EA1" w:rsidRPr="00002888">
        <w:rPr>
          <w:rFonts w:ascii="Times New Roman" w:hAnsi="Times New Roman" w:cs="Times New Roman"/>
          <w:b/>
          <w:bCs/>
          <w:sz w:val="24"/>
          <w:szCs w:val="24"/>
        </w:rPr>
        <w:lastRenderedPageBreak/>
        <w:t xml:space="preserve">INTRODUCTION </w:t>
      </w:r>
    </w:p>
    <w:p w14:paraId="4774AD42" w14:textId="0A99F203" w:rsidR="001B6C1E" w:rsidRPr="00002888" w:rsidRDefault="25C9960A" w:rsidP="00002888">
      <w:pPr>
        <w:spacing w:before="0" w:after="0" w:line="360" w:lineRule="auto"/>
        <w:jc w:val="left"/>
        <w:rPr>
          <w:rFonts w:ascii="Times New Roman" w:hAnsi="Times New Roman" w:cs="Times New Roman"/>
          <w:sz w:val="24"/>
          <w:szCs w:val="24"/>
          <w:lang w:val="en-GB"/>
        </w:rPr>
      </w:pPr>
      <w:r w:rsidRPr="00002888">
        <w:rPr>
          <w:rFonts w:ascii="Times New Roman" w:hAnsi="Times New Roman" w:cs="Times New Roman"/>
          <w:sz w:val="24"/>
          <w:szCs w:val="24"/>
          <w:lang w:val="en-GB"/>
        </w:rPr>
        <w:t xml:space="preserve">The World Health Organization (WHO) </w:t>
      </w:r>
      <w:r w:rsidR="00816879" w:rsidRPr="00002888">
        <w:rPr>
          <w:rFonts w:ascii="Times New Roman" w:hAnsi="Times New Roman" w:cs="Times New Roman"/>
          <w:sz w:val="24"/>
          <w:szCs w:val="24"/>
          <w:lang w:val="en-GB"/>
        </w:rPr>
        <w:t xml:space="preserve">classification of tumours of the hematopoietic and </w:t>
      </w:r>
      <w:r w:rsidR="00587AC3" w:rsidRPr="00002888">
        <w:rPr>
          <w:rFonts w:ascii="Times New Roman" w:hAnsi="Times New Roman" w:cs="Times New Roman"/>
          <w:sz w:val="24"/>
          <w:szCs w:val="24"/>
          <w:lang w:val="en-GB"/>
        </w:rPr>
        <w:t>lymphoid</w:t>
      </w:r>
      <w:r w:rsidR="00816879" w:rsidRPr="00002888">
        <w:rPr>
          <w:rFonts w:ascii="Times New Roman" w:hAnsi="Times New Roman" w:cs="Times New Roman"/>
          <w:sz w:val="24"/>
          <w:szCs w:val="24"/>
          <w:lang w:val="en-GB"/>
        </w:rPr>
        <w:t xml:space="preserve"> tissues define</w:t>
      </w:r>
      <w:r w:rsidR="00587AC3" w:rsidRPr="00002888">
        <w:rPr>
          <w:rFonts w:ascii="Times New Roman" w:hAnsi="Times New Roman" w:cs="Times New Roman"/>
          <w:sz w:val="24"/>
          <w:szCs w:val="24"/>
          <w:lang w:val="en-GB"/>
        </w:rPr>
        <w:t>s</w:t>
      </w:r>
      <w:r w:rsidR="00816879" w:rsidRPr="00002888">
        <w:rPr>
          <w:rFonts w:ascii="Times New Roman" w:hAnsi="Times New Roman" w:cs="Times New Roman"/>
          <w:sz w:val="24"/>
          <w:szCs w:val="24"/>
          <w:lang w:val="en-GB"/>
        </w:rPr>
        <w:t xml:space="preserve"> three marginal zone </w:t>
      </w:r>
      <w:r w:rsidR="147DBD1F" w:rsidRPr="00002888">
        <w:rPr>
          <w:rFonts w:ascii="Times New Roman" w:hAnsi="Times New Roman" w:cs="Times New Roman"/>
          <w:sz w:val="24"/>
          <w:szCs w:val="24"/>
          <w:lang w:val="en-GB"/>
        </w:rPr>
        <w:t xml:space="preserve">(MZ) </w:t>
      </w:r>
      <w:r w:rsidR="00816879" w:rsidRPr="00002888">
        <w:rPr>
          <w:rFonts w:ascii="Times New Roman" w:hAnsi="Times New Roman" w:cs="Times New Roman"/>
          <w:sz w:val="24"/>
          <w:szCs w:val="24"/>
          <w:lang w:val="en-GB"/>
        </w:rPr>
        <w:t>lymphoma</w:t>
      </w:r>
      <w:r w:rsidR="00587AC3" w:rsidRPr="00002888">
        <w:rPr>
          <w:rFonts w:ascii="Times New Roman" w:hAnsi="Times New Roman" w:cs="Times New Roman"/>
          <w:sz w:val="24"/>
          <w:szCs w:val="24"/>
          <w:lang w:val="en-GB"/>
        </w:rPr>
        <w:t xml:space="preserve"> </w:t>
      </w:r>
      <w:r w:rsidR="00816879" w:rsidRPr="00002888">
        <w:rPr>
          <w:rFonts w:ascii="Times New Roman" w:hAnsi="Times New Roman" w:cs="Times New Roman"/>
          <w:sz w:val="24"/>
          <w:szCs w:val="24"/>
          <w:lang w:val="en-GB"/>
        </w:rPr>
        <w:t xml:space="preserve">entities, </w:t>
      </w:r>
      <w:r w:rsidR="03854667" w:rsidRPr="00002888">
        <w:rPr>
          <w:rFonts w:ascii="Times New Roman" w:hAnsi="Times New Roman" w:cs="Times New Roman"/>
          <w:sz w:val="24"/>
          <w:szCs w:val="24"/>
          <w:lang w:val="en-GB"/>
        </w:rPr>
        <w:t>splenic marginal zone lymphoma (</w:t>
      </w:r>
      <w:r w:rsidRPr="00002888">
        <w:rPr>
          <w:rFonts w:ascii="Times New Roman" w:hAnsi="Times New Roman" w:cs="Times New Roman"/>
          <w:sz w:val="24"/>
          <w:szCs w:val="24"/>
          <w:lang w:val="en-GB"/>
        </w:rPr>
        <w:t>SMZL</w:t>
      </w:r>
      <w:r w:rsidR="03854667" w:rsidRPr="00002888">
        <w:rPr>
          <w:rFonts w:ascii="Times New Roman" w:hAnsi="Times New Roman" w:cs="Times New Roman"/>
          <w:sz w:val="24"/>
          <w:szCs w:val="24"/>
          <w:lang w:val="en-GB"/>
        </w:rPr>
        <w:t>)</w:t>
      </w:r>
      <w:r w:rsidR="00587AC3" w:rsidRPr="00002888">
        <w:rPr>
          <w:rFonts w:ascii="Times New Roman" w:hAnsi="Times New Roman" w:cs="Times New Roman"/>
          <w:sz w:val="24"/>
          <w:szCs w:val="24"/>
          <w:lang w:val="en-GB"/>
        </w:rPr>
        <w:t xml:space="preserve">, nodal MZL (NMZL) and </w:t>
      </w:r>
      <w:proofErr w:type="spellStart"/>
      <w:r w:rsidR="00587AC3" w:rsidRPr="00002888">
        <w:rPr>
          <w:rFonts w:ascii="Times New Roman" w:hAnsi="Times New Roman" w:cs="Times New Roman"/>
          <w:sz w:val="24"/>
          <w:szCs w:val="24"/>
          <w:lang w:val="en-GB"/>
        </w:rPr>
        <w:t>extranodal</w:t>
      </w:r>
      <w:proofErr w:type="spellEnd"/>
      <w:r w:rsidR="00587AC3" w:rsidRPr="00002888">
        <w:rPr>
          <w:rFonts w:ascii="Times New Roman" w:hAnsi="Times New Roman" w:cs="Times New Roman"/>
          <w:sz w:val="24"/>
          <w:szCs w:val="24"/>
          <w:lang w:val="en-GB"/>
        </w:rPr>
        <w:t xml:space="preserve"> MZL (ENMZL) </w:t>
      </w:r>
      <w:r w:rsidR="007779AC" w:rsidRPr="00002888">
        <w:rPr>
          <w:rFonts w:ascii="Times New Roman" w:hAnsi="Times New Roman" w:cs="Times New Roman"/>
          <w:sz w:val="24"/>
          <w:szCs w:val="24"/>
          <w:lang w:val="en-GB"/>
        </w:rPr>
        <w:fldChar w:fldCharType="begin" w:fldLock="1"/>
      </w:r>
      <w:r w:rsidR="00EB4D78" w:rsidRPr="00002888">
        <w:rPr>
          <w:rFonts w:ascii="Times New Roman" w:hAnsi="Times New Roman" w:cs="Times New Roman"/>
          <w:sz w:val="24"/>
          <w:szCs w:val="24"/>
          <w:lang w:val="en-GB"/>
        </w:rPr>
        <w:instrText>ADDIN CSL_CITATION {"citationItems":[{"id":"ITEM-1","itemData":{"DOI":"10.1182/blood-2016-01-643569","ISSN":"0006-4971","abstract":"A revision of the nearly 8-year-old World Health Organization classification of the lymphoid neoplasms and the accompanying monograph is being published. It reflects a consensus among hematopathologists, geneticists, and clinicians regarding both updates to current entities as well as the addition of a limited number of new provisional entities. The revision clarifies the diagnosis and management of lesions at the very early stages of lymphomagenesis, refines the diagnostic criteria for some entities, details the expanding genetic/molecular landscape of numerous lymphoid neoplasms and their clinical correlates, and refers to investigations leading to more targeted therapeutic strategies. The major changes are reviewed with an emphasis on the most important advances in our understanding that impact our diagnostic approach, clinical expectations, and therapeutic strategies for the lymphoid neoplasms.","author":[{"dropping-particle":"","family":"Swerdlow","given":"Steven H.","non-dropping-particle":"","parse-names":false,"suffix":""},{"dropping-particle":"","family":"Campo","given":"Elias","non-dropping-particle":"","parse-names":false,"suffix":""},{"dropping-particle":"","family":"Pileri","given":"Stefano A.","non-dropping-particle":"","parse-names":false,"suffix":""},{"dropping-particle":"","family":"Harris","given":"Nancy Lee","non-dropping-particle":"","parse-names":false,"suffix":""},{"dropping-particle":"","family":"Stein","given":"Harald","non-dropping-particle":"","parse-names":false,"suffix":""},{"dropping-particle":"","family":"Siebert","given":"Reiner","non-dropping-particle":"","parse-names":false,"suffix":""},{"dropping-particle":"","family":"Advani","given":"Ranjana","non-dropping-particle":"","parse-names":false,"suffix":""},{"dropping-particle":"","family":"Ghielmini","given":"Michele","non-dropping-particle":"","parse-names":false,"suffix":""},{"dropping-particle":"","family":"Salles","given":"Gilles A.","non-dropping-particle":"","parse-names":false,"suffix":""},{"dropping-particle":"","family":"Zelenetz","given":"Andrew D.","non-dropping-particle":"","parse-names":false,"suffix":""},{"dropping-particle":"","family":"Jaffe","given":"Elaine S.","non-dropping-particle":"","parse-names":false,"suffix":""}],"container-title":"Blood","id":"ITEM-1","issue":"20","issued":{"date-parts":[["2016","5","19"]]},"page":"2375-2390","title":"The 2016 revision of the World Health Organization classification of lymphoid neoplasms","type":"article-journal","volume":"127"},"uris":["http://www.mendeley.com/documents/?uuid=9b89334e-b802-4e8b-b394-407ace5a3e9d"]}],"mendeley":{"formattedCitation":"(Swerdlow et al., 2016)","plainTextFormattedCitation":"(Swerdlow et al., 2016)","previouslyFormattedCitation":"(Swerdlow et al., 2016)"},"properties":{"noteIndex":0},"schema":"https://github.com/citation-style-language/schema/raw/master/csl-citation.json"}</w:instrText>
      </w:r>
      <w:r w:rsidR="007779AC" w:rsidRPr="00002888">
        <w:rPr>
          <w:rFonts w:ascii="Times New Roman" w:hAnsi="Times New Roman" w:cs="Times New Roman"/>
          <w:sz w:val="24"/>
          <w:szCs w:val="24"/>
          <w:lang w:val="en-GB"/>
        </w:rPr>
        <w:fldChar w:fldCharType="separate"/>
      </w:r>
      <w:r w:rsidR="00A15967" w:rsidRPr="00002888">
        <w:rPr>
          <w:rFonts w:ascii="Times New Roman" w:hAnsi="Times New Roman" w:cs="Times New Roman"/>
          <w:noProof/>
          <w:sz w:val="24"/>
          <w:szCs w:val="24"/>
          <w:lang w:val="en-GB"/>
        </w:rPr>
        <w:t>(Swerdlow et al., 2016)</w:t>
      </w:r>
      <w:r w:rsidR="007779AC" w:rsidRPr="00002888">
        <w:rPr>
          <w:rFonts w:ascii="Times New Roman" w:hAnsi="Times New Roman" w:cs="Times New Roman"/>
          <w:sz w:val="24"/>
          <w:szCs w:val="24"/>
          <w:lang w:val="en-GB"/>
        </w:rPr>
        <w:fldChar w:fldCharType="end"/>
      </w:r>
      <w:r w:rsidR="00587AC3" w:rsidRPr="00002888">
        <w:rPr>
          <w:rFonts w:ascii="Times New Roman" w:hAnsi="Times New Roman" w:cs="Times New Roman"/>
          <w:sz w:val="24"/>
          <w:szCs w:val="24"/>
          <w:lang w:val="en-GB"/>
        </w:rPr>
        <w:t>. In addition</w:t>
      </w:r>
      <w:r w:rsidR="007B0821" w:rsidRPr="00002888">
        <w:rPr>
          <w:rFonts w:ascii="Times New Roman" w:hAnsi="Times New Roman" w:cs="Times New Roman"/>
          <w:sz w:val="24"/>
          <w:szCs w:val="24"/>
          <w:lang w:val="en-GB"/>
        </w:rPr>
        <w:t>,</w:t>
      </w:r>
      <w:r w:rsidR="00587AC3" w:rsidRPr="00002888">
        <w:rPr>
          <w:rFonts w:ascii="Times New Roman" w:hAnsi="Times New Roman" w:cs="Times New Roman"/>
          <w:sz w:val="24"/>
          <w:szCs w:val="24"/>
          <w:lang w:val="en-GB"/>
        </w:rPr>
        <w:t xml:space="preserve"> a number of provisional entities are emerging; these </w:t>
      </w:r>
      <w:r w:rsidR="00587AC3" w:rsidRPr="00245037">
        <w:rPr>
          <w:rFonts w:ascii="Times New Roman" w:hAnsi="Times New Roman" w:cs="Times New Roman"/>
          <w:sz w:val="24"/>
          <w:szCs w:val="24"/>
          <w:lang w:val="en-GB"/>
        </w:rPr>
        <w:t xml:space="preserve">include splenic </w:t>
      </w:r>
      <w:r w:rsidR="00C17786" w:rsidRPr="00245037">
        <w:rPr>
          <w:rFonts w:ascii="Times New Roman" w:hAnsi="Times New Roman" w:cs="Times New Roman"/>
          <w:sz w:val="24"/>
          <w:szCs w:val="24"/>
          <w:lang w:val="en-GB"/>
        </w:rPr>
        <w:t xml:space="preserve">diffuse </w:t>
      </w:r>
      <w:r w:rsidR="00587AC3" w:rsidRPr="00245037">
        <w:rPr>
          <w:rFonts w:ascii="Times New Roman" w:hAnsi="Times New Roman" w:cs="Times New Roman"/>
          <w:sz w:val="24"/>
          <w:szCs w:val="24"/>
          <w:lang w:val="en-GB"/>
        </w:rPr>
        <w:t>red pulp lymphoma</w:t>
      </w:r>
      <w:r w:rsidR="00C17786" w:rsidRPr="00245037">
        <w:rPr>
          <w:rFonts w:ascii="Times New Roman" w:hAnsi="Times New Roman" w:cs="Times New Roman"/>
          <w:sz w:val="24"/>
          <w:szCs w:val="24"/>
          <w:lang w:val="en-GB"/>
        </w:rPr>
        <w:t xml:space="preserve"> (SDRPL)</w:t>
      </w:r>
      <w:r w:rsidR="00A51AEF" w:rsidRPr="00245037">
        <w:rPr>
          <w:rFonts w:ascii="Times New Roman" w:hAnsi="Times New Roman" w:cs="Times New Roman"/>
          <w:sz w:val="24"/>
          <w:szCs w:val="24"/>
          <w:lang w:val="en-GB"/>
        </w:rPr>
        <w:t xml:space="preserve">, </w:t>
      </w:r>
      <w:r w:rsidR="00587AC3" w:rsidRPr="00245037">
        <w:rPr>
          <w:rFonts w:ascii="Times New Roman" w:hAnsi="Times New Roman" w:cs="Times New Roman"/>
          <w:sz w:val="24"/>
          <w:szCs w:val="24"/>
          <w:lang w:val="en-GB"/>
        </w:rPr>
        <w:t>hairy cell leuk</w:t>
      </w:r>
      <w:r w:rsidR="0020025E" w:rsidRPr="00245037">
        <w:rPr>
          <w:rFonts w:ascii="Times New Roman" w:hAnsi="Times New Roman" w:cs="Times New Roman"/>
          <w:sz w:val="24"/>
          <w:szCs w:val="24"/>
          <w:lang w:val="en-GB"/>
        </w:rPr>
        <w:t>a</w:t>
      </w:r>
      <w:r w:rsidR="00587AC3" w:rsidRPr="00245037">
        <w:rPr>
          <w:rFonts w:ascii="Times New Roman" w:hAnsi="Times New Roman" w:cs="Times New Roman"/>
          <w:sz w:val="24"/>
          <w:szCs w:val="24"/>
          <w:lang w:val="en-GB"/>
        </w:rPr>
        <w:t xml:space="preserve">emia-variant </w:t>
      </w:r>
      <w:r w:rsidR="00C17786" w:rsidRPr="00245037">
        <w:rPr>
          <w:rFonts w:ascii="Times New Roman" w:hAnsi="Times New Roman" w:cs="Times New Roman"/>
          <w:sz w:val="24"/>
          <w:szCs w:val="24"/>
          <w:lang w:val="en-GB"/>
        </w:rPr>
        <w:t>(HCL</w:t>
      </w:r>
      <w:r w:rsidR="00781FAC" w:rsidRPr="00245037">
        <w:rPr>
          <w:rFonts w:ascii="Times New Roman" w:hAnsi="Times New Roman" w:cs="Times New Roman"/>
          <w:sz w:val="24"/>
          <w:szCs w:val="24"/>
          <w:lang w:val="en-GB"/>
        </w:rPr>
        <w:t>-</w:t>
      </w:r>
      <w:r w:rsidR="00C17786" w:rsidRPr="00245037">
        <w:rPr>
          <w:rFonts w:ascii="Times New Roman" w:hAnsi="Times New Roman" w:cs="Times New Roman"/>
          <w:sz w:val="24"/>
          <w:szCs w:val="24"/>
          <w:lang w:val="en-GB"/>
        </w:rPr>
        <w:t xml:space="preserve">v) </w:t>
      </w:r>
      <w:r w:rsidR="00587AC3" w:rsidRPr="00245037">
        <w:rPr>
          <w:rFonts w:ascii="Times New Roman" w:hAnsi="Times New Roman" w:cs="Times New Roman"/>
          <w:sz w:val="24"/>
          <w:szCs w:val="24"/>
          <w:lang w:val="en-GB"/>
        </w:rPr>
        <w:t xml:space="preserve">and clonal </w:t>
      </w:r>
      <w:r w:rsidR="008722AE" w:rsidRPr="00245037">
        <w:rPr>
          <w:rFonts w:ascii="Times New Roman" w:hAnsi="Times New Roman" w:cs="Times New Roman"/>
          <w:sz w:val="24"/>
          <w:szCs w:val="24"/>
          <w:lang w:val="en-GB"/>
        </w:rPr>
        <w:t xml:space="preserve">B-cell </w:t>
      </w:r>
      <w:r w:rsidR="00587AC3" w:rsidRPr="00245037">
        <w:rPr>
          <w:rFonts w:ascii="Times New Roman" w:hAnsi="Times New Roman" w:cs="Times New Roman"/>
          <w:sz w:val="24"/>
          <w:szCs w:val="24"/>
          <w:lang w:val="en-GB"/>
        </w:rPr>
        <w:t xml:space="preserve">lymphocytosis of </w:t>
      </w:r>
      <w:r w:rsidR="003835B5" w:rsidRPr="00245037">
        <w:rPr>
          <w:rFonts w:ascii="Times New Roman" w:hAnsi="Times New Roman" w:cs="Times New Roman"/>
          <w:sz w:val="24"/>
          <w:szCs w:val="24"/>
          <w:lang w:val="en-GB"/>
        </w:rPr>
        <w:t>marginal zone</w:t>
      </w:r>
      <w:r w:rsidR="00587AC3" w:rsidRPr="00245037">
        <w:rPr>
          <w:rFonts w:ascii="Times New Roman" w:hAnsi="Times New Roman" w:cs="Times New Roman"/>
          <w:sz w:val="24"/>
          <w:szCs w:val="24"/>
          <w:lang w:val="en-GB"/>
        </w:rPr>
        <w:t xml:space="preserve"> origin (CBL-MZ), the latter of which is clonally</w:t>
      </w:r>
      <w:r w:rsidR="00587AC3" w:rsidRPr="00002888">
        <w:rPr>
          <w:rFonts w:ascii="Times New Roman" w:hAnsi="Times New Roman" w:cs="Times New Roman"/>
          <w:sz w:val="24"/>
          <w:szCs w:val="24"/>
          <w:lang w:val="en-GB"/>
        </w:rPr>
        <w:t xml:space="preserve"> related to SMZL in a proportion of cases </w:t>
      </w:r>
      <w:r w:rsidR="009743F2" w:rsidRPr="00002888">
        <w:rPr>
          <w:rFonts w:ascii="Times New Roman" w:hAnsi="Times New Roman" w:cs="Times New Roman"/>
          <w:sz w:val="24"/>
          <w:szCs w:val="24"/>
          <w:lang w:val="en-GB"/>
        </w:rPr>
        <w:fldChar w:fldCharType="begin" w:fldLock="1"/>
      </w:r>
      <w:r w:rsidR="002D0214" w:rsidRPr="00002888">
        <w:rPr>
          <w:rFonts w:ascii="Times New Roman" w:hAnsi="Times New Roman" w:cs="Times New Roman"/>
          <w:sz w:val="24"/>
          <w:szCs w:val="24"/>
          <w:lang w:val="en-GB"/>
        </w:rPr>
        <w:instrText>ADDIN CSL_CITATION {"citationItems":[{"id":"ITEM-1","itemData":{"DOI":"10.3324/haematol.2009.013714","ISSN":"1592-8721 (Electronic)","PMID":"20220064","abstract":"BACKGROUND: Splenic diffuse red pulp small B-cell lymphoma is an uncommon B-cell  lymphoma, now recognized as a provisional entity in the 2008 update of the WHO Classification. Additional work is required to review this entity and establish its diagnostic features. DESIGN AND METHODS: We have retrospectively analyzed the disease features in a highly selected series of 17 patients diagnosed as splenic diffuse red pulp small B-cell lymphoma. RESULTS: The median age was 65.5 years (range 40-79 years) and there was a predominance of males (male/female ratio: 2.4). Clinical manifestations were mainly derived from splenomegaly. Splenectomy was the front-line treatment in 11 symptomatic patients; the remaining 6 received chemotherapy initially followed by splenectomy. After a mean follow-up of 72 months, the five-year overall survival was 93%. All cases showed a purely diffuse pattern of splenic infiltration by monomorphous small cells with small round nuclei and pale cytoplasm. All bone marrow biopsies showed tumoral infiltration, with intrasinusoidal infiltration. Peripheral blood cells were small to medium-sized, with clumped chromatin and round nuclear outline and villous cytoplasm. Neoplastic cells had a CD20(+), CD23(-), bcl6(-), Annexin A1- phenotype, with frequent expression of DBA44+ (15/17) and IgG (10/15). FCM data had a B-cell phenotype (CD19(+), CD20(+), CD22(+)) with FMC7 (10/11) and CD11c (5/8) expression. Clonal IgH rearrangement studies in 4 cases showed IgVH mutations in all cases, without VH1.2 usage. CONCLUSIONS: Our data suggest that splenic diffuse red pulp small B-cell lymphoma is a distinct entity with morphological and immunophenotypical features that differ from those of other splenic lymphomas.","author":[{"dropping-particle":"","family":"Kanellis","given":"George","non-dropping-particle":"","parse-names":false,"suffix":""},{"dropping-particle":"","family":"Mollejo","given":"Manuela","non-dropping-particle":"","parse-names":false,"suffix":""},{"dropping-particle":"","family":"Montes-Moreno","given":"Santiago","non-dropping-particle":"","parse-names":false,"suffix":""},{"dropping-particle":"","family":"Rodriguez-Pinilla","given":"Socorro-María","non-dropping-particle":"","parse-names":false,"suffix":""},{"dropping-particle":"","family":"Cigudosa","given":"Juan C","non-dropping-particle":"","parse-names":false,"suffix":""},{"dropping-particle":"","family":"Algara","given":"Patricia","non-dropping-particle":"","parse-names":false,"suffix":""},{"dropping-particle":"","family":"Montalban","given":"Carlos","non-dropping-particle":"","parse-names":false,"suffix":""},{"dropping-particle":"","family":"Matutes","given":"Estella","non-dropping-particle":"","parse-names":false,"suffix":""},{"dropping-particle":"","family":"Wotherspoon","given":"Andrew","non-dropping-particle":"","parse-names":false,"suffix":""},{"dropping-particle":"","family":"Piris","given":"Miguel A","non-dropping-particle":"","parse-names":false,"suffix":""}],"container-title":"Haematologica","id":"ITEM-1","issue":"7","issued":{"date-parts":[["2010","7"]]},"language":"eng","page":"1122-1129","title":"Splenic diffuse red pulp small B-cell lymphoma: revision of a series of cases  reveals characteristic clinico-pathological features.","type":"article-journal","volume":"95"},"uris":["http://www.mendeley.com/documents/?uuid=e4e1d70c-ade1-495d-84bb-1070666e5b0e"]},{"id":"ITEM-2","itemData":{"ISSN":"1944-7930 (Electronic)","PMID":"22541613","abstract":"Among splenic lymphomas with circulating cells presenting cytoplasmic projections, a  homogeneous clinico-pathological entity has been recently individualized as Splenic Diffuse Red Pulp Lymphomas (SDRPL) and introduced in the provisional \"unclassifiable splenic lymphoma\" category of the current updated WHO classification until more is known. SDRPL presents characteristic circulating basophilic villous lymphocytes and diffuse infiltration of the splenic red pulp, distinct from Splenic Marginal Zone Lymphoma (SMZL) and Hairy Cell Leukemia (HCL), but reminiscent of HCL-Variant (HCL-V). Series of SDRPL remain sparse in the literature and controversies exist about the relationship with other splenic lymphomas. Distinction of these disorders at diagnosis can be difficult, but an adequate diagnosis is important due to differences in patient management and clinical outcome. Especially, BRAF mutations have been detected in almost all patients with HCL that may have implications for pathogenesis, diagnosis, and targeted therapy. This review will report literature data and discuss the differential diagnosis, particularly with HCL-V.","author":[{"dropping-particle":"","family":"Traverse-Glehen","given":"Alexandra","non-dropping-particle":"","parse-names":false,"suffix":""},{"dropping-particle":"","family":"Baseggio","given":"Lucile","non-dropping-particle":"","parse-names":false,"suffix":""},{"dropping-particle":"","family":"Salles","given":"Gilles","non-dropping-particle":"","parse-names":false,"suffix":""},{"dropping-particle":"","family":"Coiffier","given":"Bertrand","non-dropping-particle":"","parse-names":false,"suffix":""},{"dropping-particle":"","family":"Felman","given":"Pascale","non-dropping-particle":"","parse-names":false,"suffix":""},{"dropping-particle":"","family":"Berger","given":"Françoise","non-dropping-particle":"","parse-names":false,"suffix":""}],"container-title":"Discovery medicine","id":"ITEM-2","issue":"71","issued":{"date-parts":[["2012","4"]]},"language":"eng","page":"253-265","publisher-place":"United States","title":"Splenic diffuse red pulp small-B cell lymphoma: toward the emergence of a new  lymphoma entity.","type":"article-journal","volume":"13"},"uris":["http://www.mendeley.com/documents/?uuid=e58cb98a-abb2-4381-8ea5-49164a94dab5"]},{"id":"ITEM-3","itemData":{"DOI":"10.1182/blood-2013-07-515155","ISSN":"0006-4971","abstract":"Clonal B-cell lymphocytosis of potential marginal-zone origin (CBL-MZ) rarely progresses to a well-recognized lymphoma. CBL-MZ does not require treatment in the absence of progressive disease.","author":[{"dropping-particle":"","family":"Xochelli","given":"Aliki","non-dropping-particle":"","parse-names":false,"suffix":""},{"dropping-particle":"","family":"Kalpadakis","given":"Christina","non-dropping-particle":"","parse-names":false,"suffix":""},{"dropping-particle":"","family":"Gardiner","given":"Anne","non-dropping-particle":"","parse-names":false,"suffix":""},{"dropping-particle":"","family":"Baliakas","given":"Panagiotis","non-dropping-particle":"","parse-names":false,"suffix":""},{"dropping-particle":"","family":"Vassilakopoulos","given":"Theodoros P.","non-dropping-particle":"","parse-names":false,"suffix":""},{"dropping-particle":"","family":"Mould","given":"Sarah","non-dropping-particle":"","parse-names":false,"suffix":""},{"dropping-particle":"","family":"Davis","given":"Zadie","non-dropping-particle":"","parse-names":false,"suffix":""},{"dropping-particle":"","family":"Stalika","given":"Evangelia","non-dropping-particle":"","parse-names":false,"suffix":""},{"dropping-particle":"","family":"Kanellis","given":"George","non-dropping-particle":"","parse-names":false,"suffix":""},{"dropping-particle":"","family":"Angelopoulou","given":"Maria K.","non-dropping-particle":"","parse-names":false,"suffix":""},{"dropping-particle":"","family":"McIver-Brown","given":"Neil","non-dropping-particle":"","parse-names":false,"suffix":""},{"dropping-particle":"","family":"Ibbotson","given":"Rachel","non-dropping-particle":"","parse-names":false,"suffix":""},{"dropping-particle":"","family":"Sachanas","given":"Sotirios","non-dropping-particle":"","parse-names":false,"suffix":""},{"dropping-particle":"","family":"Korkolopoulou","given":"Penelope","non-dropping-particle":"","parse-names":false,"suffix":""},{"dropping-particle":"","family":"Athanasiadou","given":"Anastasia","non-dropping-particle":"","parse-names":false,"suffix":""},{"dropping-particle":"","family":"Anagnostopoulos","given":"Achilles","non-dropping-particle":"","parse-names":false,"suffix":""},{"dropping-particle":"","family":"Papadaki","given":"Helen A.","non-dropping-particle":"","parse-names":false,"suffix":""},{"dropping-particle":"","family":"Papadaki","given":"Theodora","non-dropping-particle":"","parse-names":false,"suffix":""},{"dropping-particle":"","family":"Stamatopoulos","given":"Kostas","non-dropping-particle":"","parse-names":false,"suffix":""},{"dropping-particle":"","family":"Pangalis","given":"Gerassimos A.","non-dropping-particle":"","parse-names":false,"suffix":""},{"dropping-particle":"","family":"Oscier","given":"David","non-dropping-particle":"","parse-names":false,"suffix":""}],"container-title":"Blood","id":"ITEM-3","issue":"8","issued":{"date-parts":[["2014","2","20"]]},"page":"1199-1206","title":"Clonal B-cell lymphocytosis exhibiting immunophenotypic features consistent with a marginal-zone origin: is this a distinct entity?","type":"article-journal","volume":"123"},"uris":["http://www.mendeley.com/documents/?uuid=8c567e0d-2d9a-4f2e-bf0d-d1cfe84a42db"]},{"id":"ITEM-4","itemData":{"DOI":"10.1182/blood-2019-130288","ISSN":"0006-4971","abstract":"Diagnosis of non-CLL B Cell Chronic Lymphoproliferative Disorders (BCLPD), defined by the detection of peripheral blood (PB) B-Cell clone with flow cytometry (FC) Matutesscore≤3, is not an infrequent event in clinical daily practice. Only a portion of these cases may be actually classified according to the 2016 revision of WHO classification of lymphoid neoplasms, as in these cases a non-bone marrow (BM) tissue biopsy is rarely available due to \"liquid-only disease\" (BM, PB, splenomegaly) or difficult accessible sites. The two most likely diagnosis of BCLPD according to WHO 2016 are splenic marginal-zone lymphoma (SMZL) and monoclonal B Cell lymphocytosis (MBL) with non-CLL phenotype (CD19+, CD20+, SIg+, CD5-), sometimes reported as MZL-like, defined by monotypic clonal B lymphocytes (CBL) &lt;5 x 109/l. A recent study pointed out a similar outcome regardless CBL value exceeding or not this arbitrary cut-off in strictly defined cases (absence of cytopenias, splenomegaly and adenopathy) of clonal B cell lymphocytosis with marginal-zone features (CBL-MZ) and confirmed the really indolent behaviour of this entity (Xochelli, Blood 2014).On these bases we decided to retrospectively collect clinical, immunophenotypic, molecular features and outcome of all consecutive patients (pts) with CD5- CBL-MZ owing to the Department of Hematology of University of Insubria (Varese, Italy) from 2011 to 2019 and to compare them with overt SMZL cases. Excluding 5 SMZL pts who were splenectomized, all cases were diagnosed by means of non-BM tissue biopsy, namely BM histology and PB/BM FC, FISH and molecular studies, when appropriate, and complete laboratory and imaging staging procedures (CT scan or US).The primary objective of the study was time to progression (TTP) for CBL-MZ group. Secondary objectives were overall survival (OS), progression-free survival (PFS) for treated pts and evaluation of early progression &lt;24 months (Early POD) (Luminari, Blood 2019).Overall we collected complete data of 33 pts with CD5- CBL-MZ, and 44 with SMZL (Table 1).Focusing on CBL-MZ, FC immunophenotypic findings showed a B-Cell population with Matutes score 0 to 2 in all cases, uniform expression of B Cell antigens, namely CD19, CD20 strong, FMC7 (93%), SIg (intermediate/bright in 71%), while CD10 and CD5 were consistently negative. CD23 was expressed in 18%, CD38 in 9% and CD49b in 95%. BM sinusoidal infiltration pattern was detected in 50% of cases. TP53 mutation/deletion was detected in 4/1…","author":[{"dropping-particle":"","family":"Merli","given":"Michele","non-dropping-particle":"","parse-names":false,"suffix":""},{"dropping-particle":"","family":"Bianchi","given":"Benedetta","non-dropping-particle":"","parse-names":false,"suffix":""},{"dropping-particle":"","family":"Bertù","given":"Lorenza","non-dropping-particle":"","parse-names":false,"suffix":""},{"dropping-particle":"","family":"Ferrario","given":"Andrea","non-dropping-particle":"","parse-names":false,"suffix":""},{"dropping-particle":"","family":"Mora","given":"Barbara","non-dropping-particle":"","parse-names":false,"suffix":""},{"dropping-particle":"","family":"Uccella","given":"Silvia","non-dropping-particle":"","parse-names":false,"suffix":""},{"dropping-particle":"","family":"Furlan","given":"Daniela","non-dropping-particle":"","parse-names":false,"suffix":""},{"dropping-particle":"","family":"Tibiletti","given":"Maria Grazia","non-dropping-particle":"","parse-names":false,"suffix":""},{"dropping-particle":"","family":"Cattaneo","given":"Simona","non-dropping-particle":"","parse-names":false,"suffix":""},{"dropping-particle":"","family":"Sessa","given":"Fausto","non-dropping-particle":"","parse-names":false,"suffix":""},{"dropping-particle":"","family":"Passamonti","given":"Francesco","non-dropping-particle":"","parse-names":false,"suffix":""}],"container-title":"Blood","id":"ITEM-4","issue":"Supplement_1","issued":{"date-parts":[["2019","11","13"]]},"page":"4017-4017","publisher":"American Society of Hematology","title":"Clonal B-Cell Lymphocytosis with Mariginal-Zone Features: Comparison with Overt Splenic Marginal-Zone Lymphomas in 77 Patients from a Monocentric Series","type":"article-journal","volume":"134"},"uris":["http://www.mendeley.com/documents/?uuid=5c9c2210-1ab3-3b91-b24f-87e274a2a2de"]}],"mendeley":{"formattedCitation":"(Kanellis et al., 2010; Merli et al., 2019; Traverse-Glehen et al., 2012; Xochelli et al., 2014)","plainTextFormattedCitation":"(Kanellis et al., 2010; Merli et al., 2019; Traverse-Glehen et al., 2012; Xochelli et al., 2014)","previouslyFormattedCitation":"(Kanellis et al., 2010; Merli et al., 2019; Traverse-Glehen et al., 2012; Xochelli et al., 2014)"},"properties":{"noteIndex":0},"schema":"https://github.com/citation-style-language/schema/raw/master/csl-citation.json"}</w:instrText>
      </w:r>
      <w:r w:rsidR="009743F2" w:rsidRPr="00002888">
        <w:rPr>
          <w:rFonts w:ascii="Times New Roman" w:hAnsi="Times New Roman" w:cs="Times New Roman"/>
          <w:sz w:val="24"/>
          <w:szCs w:val="24"/>
          <w:lang w:val="en-GB"/>
        </w:rPr>
        <w:fldChar w:fldCharType="separate"/>
      </w:r>
      <w:r w:rsidR="00440600" w:rsidRPr="00002888">
        <w:rPr>
          <w:rFonts w:ascii="Times New Roman" w:hAnsi="Times New Roman" w:cs="Times New Roman"/>
          <w:noProof/>
          <w:sz w:val="24"/>
          <w:szCs w:val="24"/>
          <w:lang w:val="en-GB"/>
        </w:rPr>
        <w:t>(Kanellis et al., 2010; Merli et al., 2019; Traverse-Glehen et al., 2012; Xochelli et al., 2014)</w:t>
      </w:r>
      <w:r w:rsidR="009743F2" w:rsidRPr="00002888">
        <w:rPr>
          <w:rFonts w:ascii="Times New Roman" w:hAnsi="Times New Roman" w:cs="Times New Roman"/>
          <w:sz w:val="24"/>
          <w:szCs w:val="24"/>
          <w:lang w:val="en-GB"/>
        </w:rPr>
        <w:fldChar w:fldCharType="end"/>
      </w:r>
      <w:r w:rsidR="00587AC3" w:rsidRPr="00002888">
        <w:rPr>
          <w:rFonts w:ascii="Times New Roman" w:hAnsi="Times New Roman" w:cs="Times New Roman"/>
          <w:sz w:val="24"/>
          <w:szCs w:val="24"/>
          <w:lang w:val="en-GB"/>
        </w:rPr>
        <w:t xml:space="preserve">. SMZL </w:t>
      </w:r>
      <w:r w:rsidR="00BD7F5C" w:rsidRPr="00002888">
        <w:rPr>
          <w:rFonts w:ascii="Times New Roman" w:hAnsi="Times New Roman" w:cs="Times New Roman"/>
          <w:sz w:val="24"/>
          <w:szCs w:val="24"/>
          <w:lang w:val="en-GB"/>
        </w:rPr>
        <w:t>comprises less than 2% of lymphoid neoplasms</w:t>
      </w:r>
      <w:r w:rsidR="002A43DC" w:rsidRPr="00002888">
        <w:rPr>
          <w:rFonts w:ascii="Times New Roman" w:hAnsi="Times New Roman" w:cs="Times New Roman"/>
          <w:sz w:val="24"/>
          <w:szCs w:val="24"/>
          <w:lang w:val="en-GB"/>
        </w:rPr>
        <w:t xml:space="preserve"> and typically </w:t>
      </w:r>
      <w:r w:rsidR="00A51AEF" w:rsidRPr="00002888">
        <w:rPr>
          <w:rFonts w:ascii="Times New Roman" w:hAnsi="Times New Roman" w:cs="Times New Roman"/>
          <w:sz w:val="24"/>
          <w:szCs w:val="24"/>
          <w:lang w:val="en-GB"/>
        </w:rPr>
        <w:t>involving the spleen, bone marrow and peripheral blood (PB)</w:t>
      </w:r>
      <w:r w:rsidR="00C674A2" w:rsidRPr="00002888">
        <w:rPr>
          <w:rFonts w:ascii="Times New Roman" w:hAnsi="Times New Roman" w:cs="Times New Roman"/>
          <w:sz w:val="24"/>
          <w:szCs w:val="24"/>
          <w:lang w:val="en-GB"/>
        </w:rPr>
        <w:t>, although a minority of p</w:t>
      </w:r>
      <w:r w:rsidR="2C258DD8" w:rsidRPr="00002888">
        <w:rPr>
          <w:rFonts w:ascii="Times New Roman" w:hAnsi="Times New Roman" w:cs="Times New Roman"/>
          <w:sz w:val="24"/>
          <w:szCs w:val="24"/>
          <w:lang w:val="en-GB"/>
        </w:rPr>
        <w:t xml:space="preserve">atients </w:t>
      </w:r>
      <w:r w:rsidR="00C674A2" w:rsidRPr="00002888">
        <w:rPr>
          <w:rFonts w:ascii="Times New Roman" w:hAnsi="Times New Roman" w:cs="Times New Roman"/>
          <w:sz w:val="24"/>
          <w:szCs w:val="24"/>
          <w:lang w:val="en-GB"/>
        </w:rPr>
        <w:t>have low volume extra hilar intra-abdominal lymphadenopathy detectable on CT scanning</w:t>
      </w:r>
      <w:r w:rsidR="00E62F67" w:rsidRPr="00002888">
        <w:rPr>
          <w:rFonts w:ascii="Times New Roman" w:hAnsi="Times New Roman" w:cs="Times New Roman"/>
          <w:sz w:val="24"/>
          <w:szCs w:val="24"/>
          <w:lang w:val="en-GB"/>
        </w:rPr>
        <w:t>. Patients</w:t>
      </w:r>
      <w:r w:rsidR="001A3C19" w:rsidRPr="00002888">
        <w:rPr>
          <w:rFonts w:ascii="Times New Roman" w:hAnsi="Times New Roman" w:cs="Times New Roman"/>
          <w:sz w:val="24"/>
          <w:szCs w:val="24"/>
          <w:lang w:val="en-GB"/>
        </w:rPr>
        <w:t xml:space="preserve"> </w:t>
      </w:r>
      <w:r w:rsidR="00E62F67" w:rsidRPr="00002888">
        <w:rPr>
          <w:rFonts w:ascii="Times New Roman" w:hAnsi="Times New Roman" w:cs="Times New Roman"/>
          <w:sz w:val="24"/>
          <w:szCs w:val="24"/>
          <w:lang w:val="en-GB"/>
        </w:rPr>
        <w:t xml:space="preserve">most commonly </w:t>
      </w:r>
      <w:r w:rsidR="2C258DD8" w:rsidRPr="00002888">
        <w:rPr>
          <w:rFonts w:ascii="Times New Roman" w:hAnsi="Times New Roman" w:cs="Times New Roman"/>
          <w:sz w:val="24"/>
          <w:szCs w:val="24"/>
          <w:lang w:val="en-GB"/>
        </w:rPr>
        <w:t xml:space="preserve">present with </w:t>
      </w:r>
      <w:r w:rsidR="415A44CD" w:rsidRPr="00002888">
        <w:rPr>
          <w:rFonts w:ascii="Times New Roman" w:hAnsi="Times New Roman" w:cs="Times New Roman"/>
          <w:sz w:val="24"/>
          <w:szCs w:val="24"/>
          <w:lang w:val="en-GB"/>
        </w:rPr>
        <w:t>abdominal discomfort</w:t>
      </w:r>
      <w:r w:rsidR="00E62F67" w:rsidRPr="00002888">
        <w:rPr>
          <w:rFonts w:ascii="Times New Roman" w:hAnsi="Times New Roman" w:cs="Times New Roman"/>
          <w:sz w:val="24"/>
          <w:szCs w:val="24"/>
          <w:lang w:val="en-GB"/>
        </w:rPr>
        <w:t xml:space="preserve"> due to massive</w:t>
      </w:r>
      <w:r w:rsidR="0E34A60D" w:rsidRPr="00002888">
        <w:rPr>
          <w:rFonts w:ascii="Times New Roman" w:hAnsi="Times New Roman" w:cs="Times New Roman"/>
          <w:sz w:val="24"/>
          <w:szCs w:val="24"/>
          <w:lang w:val="en-GB"/>
        </w:rPr>
        <w:t xml:space="preserve"> </w:t>
      </w:r>
      <w:r w:rsidR="2C258DD8" w:rsidRPr="00002888">
        <w:rPr>
          <w:rFonts w:ascii="Times New Roman" w:hAnsi="Times New Roman" w:cs="Times New Roman"/>
          <w:sz w:val="24"/>
          <w:szCs w:val="24"/>
          <w:lang w:val="en-GB"/>
        </w:rPr>
        <w:t>splenomegaly,</w:t>
      </w:r>
      <w:r w:rsidR="0E34A60D" w:rsidRPr="00002888">
        <w:rPr>
          <w:rFonts w:ascii="Times New Roman" w:hAnsi="Times New Roman" w:cs="Times New Roman"/>
          <w:sz w:val="24"/>
          <w:szCs w:val="24"/>
          <w:lang w:val="en-GB"/>
        </w:rPr>
        <w:t xml:space="preserve"> an</w:t>
      </w:r>
      <w:r w:rsidR="2417040F" w:rsidRPr="00002888">
        <w:rPr>
          <w:rFonts w:ascii="Times New Roman" w:hAnsi="Times New Roman" w:cs="Times New Roman"/>
          <w:sz w:val="24"/>
          <w:szCs w:val="24"/>
          <w:lang w:val="en-GB"/>
        </w:rPr>
        <w:t>a</w:t>
      </w:r>
      <w:r w:rsidR="0E34A60D" w:rsidRPr="00002888">
        <w:rPr>
          <w:rFonts w:ascii="Times New Roman" w:hAnsi="Times New Roman" w:cs="Times New Roman"/>
          <w:sz w:val="24"/>
          <w:szCs w:val="24"/>
          <w:lang w:val="en-GB"/>
        </w:rPr>
        <w:t>emia</w:t>
      </w:r>
      <w:r w:rsidR="00E62F67" w:rsidRPr="00002888">
        <w:rPr>
          <w:rFonts w:ascii="Times New Roman" w:hAnsi="Times New Roman" w:cs="Times New Roman"/>
          <w:sz w:val="24"/>
          <w:szCs w:val="24"/>
          <w:lang w:val="en-GB"/>
        </w:rPr>
        <w:t xml:space="preserve"> secondary to hypersplenism</w:t>
      </w:r>
      <w:r w:rsidR="007F01B2" w:rsidRPr="00002888">
        <w:rPr>
          <w:rFonts w:ascii="Times New Roman" w:hAnsi="Times New Roman" w:cs="Times New Roman"/>
          <w:sz w:val="24"/>
          <w:szCs w:val="24"/>
          <w:lang w:val="en-GB"/>
        </w:rPr>
        <w:t xml:space="preserve"> or auto-immune haemolysis, or incidentally due to either clinical or radiological detection of asymp</w:t>
      </w:r>
      <w:r w:rsidR="001A3C19" w:rsidRPr="00002888">
        <w:rPr>
          <w:rFonts w:ascii="Times New Roman" w:hAnsi="Times New Roman" w:cs="Times New Roman"/>
          <w:sz w:val="24"/>
          <w:szCs w:val="24"/>
          <w:lang w:val="en-GB"/>
        </w:rPr>
        <w:t>tomatic splenomegaly or an abnormal blood count. The m</w:t>
      </w:r>
      <w:r w:rsidR="2ED65994" w:rsidRPr="00002888">
        <w:rPr>
          <w:rFonts w:ascii="Times New Roman" w:hAnsi="Times New Roman" w:cs="Times New Roman"/>
          <w:sz w:val="24"/>
          <w:szCs w:val="24"/>
          <w:lang w:val="en-GB"/>
        </w:rPr>
        <w:t xml:space="preserve">edian age of diagnosis is 65 </w:t>
      </w:r>
      <w:r w:rsidR="00C17786" w:rsidRPr="00002888">
        <w:rPr>
          <w:rFonts w:ascii="Times New Roman" w:hAnsi="Times New Roman" w:cs="Times New Roman"/>
          <w:sz w:val="24"/>
          <w:szCs w:val="24"/>
          <w:lang w:val="en-GB"/>
        </w:rPr>
        <w:t xml:space="preserve">and </w:t>
      </w:r>
      <w:r w:rsidR="00B21490" w:rsidRPr="00002888">
        <w:rPr>
          <w:rFonts w:ascii="Times New Roman" w:hAnsi="Times New Roman" w:cs="Times New Roman"/>
          <w:sz w:val="24"/>
          <w:szCs w:val="24"/>
          <w:lang w:val="en-GB"/>
        </w:rPr>
        <w:t xml:space="preserve">patients </w:t>
      </w:r>
      <w:r w:rsidR="00C17786" w:rsidRPr="00002888">
        <w:rPr>
          <w:rFonts w:ascii="Times New Roman" w:hAnsi="Times New Roman" w:cs="Times New Roman"/>
          <w:sz w:val="24"/>
          <w:szCs w:val="24"/>
          <w:lang w:val="en-GB"/>
        </w:rPr>
        <w:t>exhibit a 10-year median survival</w:t>
      </w:r>
      <w:r w:rsidR="00C17786" w:rsidRPr="00002888" w:rsidDel="00A51AEF">
        <w:rPr>
          <w:rFonts w:ascii="Times New Roman" w:hAnsi="Times New Roman" w:cs="Times New Roman"/>
          <w:sz w:val="24"/>
          <w:szCs w:val="24"/>
          <w:lang w:val="en-GB"/>
        </w:rPr>
        <w:t xml:space="preserve"> </w:t>
      </w:r>
      <w:r w:rsidR="00C17786" w:rsidRPr="00002888">
        <w:rPr>
          <w:rFonts w:ascii="Times New Roman" w:hAnsi="Times New Roman" w:cs="Times New Roman"/>
          <w:sz w:val="24"/>
          <w:szCs w:val="24"/>
          <w:lang w:val="en-GB"/>
        </w:rPr>
        <w:t>time</w:t>
      </w:r>
      <w:r w:rsidR="00AA6596" w:rsidRPr="00002888">
        <w:rPr>
          <w:rFonts w:ascii="Times New Roman" w:hAnsi="Times New Roman" w:cs="Times New Roman"/>
          <w:sz w:val="24"/>
          <w:szCs w:val="24"/>
          <w:lang w:val="en-GB"/>
        </w:rPr>
        <w:t xml:space="preserve"> </w:t>
      </w:r>
      <w:r w:rsidR="0020025E" w:rsidRPr="00002888">
        <w:rPr>
          <w:rFonts w:ascii="Times New Roman" w:hAnsi="Times New Roman" w:cs="Times New Roman"/>
          <w:sz w:val="24"/>
          <w:szCs w:val="24"/>
          <w:lang w:val="en-GB"/>
        </w:rPr>
        <w:fldChar w:fldCharType="begin" w:fldLock="1"/>
      </w:r>
      <w:r w:rsidR="00EB4D78" w:rsidRPr="00002888">
        <w:rPr>
          <w:rFonts w:ascii="Times New Roman" w:hAnsi="Times New Roman" w:cs="Times New Roman"/>
          <w:sz w:val="24"/>
          <w:szCs w:val="24"/>
          <w:lang w:val="en-GB"/>
        </w:rPr>
        <w:instrText>ADDIN CSL_CITATION {"citationItems":[{"id":"ITEM-1","itemData":{"ISSN":"0006-4971 (Print)","PMID":"12176884","abstract":"A precise description of clinical features at presentation and analysis of clinical  and biologic prognostic factors in splenic marginal zone lymphoma (SMZL) are still lacking. Here we describe the clinical and biologic features of a series of 60 SMZL patients diagnosed after splenectomy. Analysis for overall survival (OS), failure-free survival (FFS), and the probability of obtaining a response was performed using univariate and multivariate tests. The median age of the patient was 63 years (range, 35-84 years). Performance status according to the Eastern Cooperative Oncology Group (ECOG scale) was 0 = 16%, 1 = 58%, and 2 = 25%. Of the 60 patients, 53 (86.6%) were at Ann Arbor stage IV. All 60 patients received splenectomies, 29 of 60 also received chemotherapy, and 2 received spleen radiotherapy. A complete response (CR) was achieved by 38.3% of patients, and a partial response (PR) was achieved by 55%. Mean OS of the series was 103 months (range, 2-164 months); mean FFS was 40 months (range, 3-164 months). At 5 years from diagnosis, 39 patients (65%) were alive. Patients dying from the disease had a relatively aggressive clinical course, with a short survival (17.5 months [range, 2-72 months]). Significant prognostic factors in multivariate analysis were (1) (for OS and FFS) lack of response to therapy (CR versus noncomplete response [nCR]) and involvement of nonhematopoietic sites, and (2) (for the probability of obtaining CR) bone marrow involvement. Chemotherapy did not influence OS or FFS. p53 overexpression predicted a shorter OS in the univariate analysis. These data confirm the relative indolence of this disease, indicating the existence of a subset of more aggressive cases, which should stimulate the search for predictive biologic factors and alternative therapies.","author":[{"dropping-particle":"","family":"Chacón","given":"Jose I","non-dropping-particle":"","parse-names":false,"suffix":""},{"dropping-particle":"","family":"Mollejo","given":"Manuela","non-dropping-particle":"","parse-names":false,"suffix":""},{"dropping-particle":"","family":"Muñoz","given":"Enriqueta","non-dropping-particle":"","parse-names":false,"suffix":""},{"dropping-particle":"","family":"Algara","given":"Patricia","non-dropping-particle":"","parse-names":false,"suffix":""},{"dropping-particle":"","family":"Mateo","given":"Marisol","non-dropping-particle":"","parse-names":false,"suffix":""},{"dropping-particle":"","family":"Lopez","given":"Luis","non-dropping-particle":"","parse-names":false,"suffix":""},{"dropping-particle":"","family":"Andrade","given":"Jesús","non-dropping-particle":"","parse-names":false,"suffix":""},{"dropping-particle":"","family":"Carbonero","given":"Iciar García","non-dropping-particle":"","parse-names":false,"suffix":""},{"dropping-particle":"","family":"Martínez","given":"Beatriz","non-dropping-particle":"","parse-names":false,"suffix":""},{"dropping-particle":"","family":"Piris","given":"Miguel A","non-dropping-particle":"","parse-names":false,"suffix":""},{"dropping-particle":"","family":"Cruz","given":"Miguel A","non-dropping-particle":"","parse-names":false,"suffix":""}],"container-title":"Blood","id":"ITEM-1","issue":"5","issued":{"date-parts":[["2002","9"]]},"language":"eng","page":"1648-1654","publisher-place":"United States","title":"Splenic marginal zone lymphoma: clinical characteristics and prognostic factors in a  series of 60 patients.","type":"article-journal","volume":"100"},"uris":["http://www.mendeley.com/documents/?uuid=ab0b0dfa-3311-4444-9379-5084a82154fa"]},{"id":"ITEM-2","itemData":{"DOI":"10.1038/sj.leu.2405068","ISSN":"14765551","abstract":"Since the initial description of splenic marginal zone lymphoma (SMZL) in 1992, an increasing number of publications have dealt with multiple aspects of SMZL diagnosis, molecular pathogenesis and treatment. This process has identified multi-ple inconsistencies in the diagnostic criteria and lack of clear guidelines for the staging and treatment. The authors of this review have held several meetings and exchanged series of cases with the objective of agreeing on the main diagnostic, staging and therapeutic guidelines for patients with this condition. Specific working groups were created for diagnostic criteria, immunophenotype, staging and treatment. As results of this work, guidelines are proposed for diagnosis, differential diagnosis, staging, prognostic factors, treatment and response criteria. The guidelines proposed here are intended to con-tribute to the standardization of the diagnosis and treatment of these patients, and should facilitate the future development of clinical trials that could define more precisely predictive markers for histological progression or lack of response, and evaluate new drugs or treatments.","author":[{"dropping-particle":"","family":"Matutes","given":"E.","non-dropping-particle":"","parse-names":false,"suffix":""},{"dropping-particle":"","family":"Oscier","given":"D.","non-dropping-particle":"","parse-names":false,"suffix":""},{"dropping-particle":"","family":"Montalban","given":"C.","non-dropping-particle":"","parse-names":false,"suffix":""},{"dropping-particle":"","family":"Berger","given":"F.","non-dropping-particle":"","parse-names":false,"suffix":""},{"dropping-particle":"","family":"Callet-Bauchu","given":"E.","non-dropping-particle":"","parse-names":false,"suffix":""},{"dropping-particle":"","family":"Dogan","given":"A.","non-dropping-particle":"","parse-names":false,"suffix":""},{"dropping-particle":"","family":"Felman","given":"P.","non-dropping-particle":"","parse-names":false,"suffix":""},{"dropping-particle":"","family":"Franco","given":"V.","non-dropping-particle":"","parse-names":false,"suffix":""},{"dropping-particle":"","family":"Iannitto","given":"E.","non-dropping-particle":"","parse-names":false,"suffix":""},{"dropping-particle":"","family":"Mollejo","given":"M.","non-dropping-particle":"","parse-names":false,"suffix":""},{"dropping-particle":"","family":"Papadaki","given":"T.","non-dropping-particle":"","parse-names":false,"suffix":""},{"dropping-particle":"","family":"Remstein","given":"E. D.","non-dropping-particle":"","parse-names":false,"suffix":""},{"dropping-particle":"","family":"Salar","given":"A.","non-dropping-particle":"","parse-names":false,"suffix":""},{"dropping-particle":"","family":"Solé","given":"F.","non-dropping-particle":"","parse-names":false,"suffix":""},{"dropping-particle":"","family":"Stamatopoulos","given":"K.","non-dropping-particle":"","parse-names":false,"suffix":""},{"dropping-particle":"","family":"Thieblemont","given":"C.","non-dropping-particle":"","parse-names":false,"suffix":""},{"dropping-particle":"","family":"Traverse-Glehen","given":"A.","non-dropping-particle":"","parse-names":false,"suffix":""},{"dropping-particle":"","family":"Wotherspoon","given":"A.","non-dropping-particle":"","parse-names":false,"suffix":""},{"dropping-particle":"","family":"Coiffier","given":"B.","non-dropping-particle":"","parse-names":false,"suffix":""},{"dropping-particle":"","family":"Piris","given":"M. A.","non-dropping-particle":"","parse-names":false,"suffix":""}],"container-title":"Leukemia","id":"ITEM-2","issue":"3","issued":{"date-parts":[["2008"]]},"page":"487-495","title":"Splenic marginal zone lymphoma proposals for a revision of diagnostic, staging and therapeutic criteria","type":"article-journal","volume":"22"},"uris":["http://www.mendeley.com/documents/?uuid=1f9a6fad-8d3c-4289-8acc-a8c07d59d8f3"]}],"mendeley":{"formattedCitation":"(Chacón et al., 2002; Matutes et al., 2008)","plainTextFormattedCitation":"(Chacón et al., 2002; Matutes et al., 2008)","previouslyFormattedCitation":"(Chacón et al., 2002; Matutes et al., 2008)"},"properties":{"noteIndex":0},"schema":"https://github.com/citation-style-language/schema/raw/master/csl-citation.json"}</w:instrText>
      </w:r>
      <w:r w:rsidR="0020025E" w:rsidRPr="00002888">
        <w:rPr>
          <w:rFonts w:ascii="Times New Roman" w:hAnsi="Times New Roman" w:cs="Times New Roman"/>
          <w:sz w:val="24"/>
          <w:szCs w:val="24"/>
          <w:lang w:val="en-GB"/>
        </w:rPr>
        <w:fldChar w:fldCharType="separate"/>
      </w:r>
      <w:r w:rsidR="00A15967" w:rsidRPr="00002888">
        <w:rPr>
          <w:rFonts w:ascii="Times New Roman" w:hAnsi="Times New Roman" w:cs="Times New Roman"/>
          <w:noProof/>
          <w:sz w:val="24"/>
          <w:szCs w:val="24"/>
          <w:lang w:val="en-GB"/>
        </w:rPr>
        <w:t>(Chacón et al., 2002; Matutes et al., 2008)</w:t>
      </w:r>
      <w:r w:rsidR="0020025E" w:rsidRPr="00002888">
        <w:rPr>
          <w:rFonts w:ascii="Times New Roman" w:hAnsi="Times New Roman" w:cs="Times New Roman"/>
          <w:sz w:val="24"/>
          <w:szCs w:val="24"/>
          <w:lang w:val="en-GB"/>
        </w:rPr>
        <w:fldChar w:fldCharType="end"/>
      </w:r>
      <w:r w:rsidR="03854667" w:rsidRPr="00002888">
        <w:rPr>
          <w:rFonts w:ascii="Times New Roman" w:hAnsi="Times New Roman" w:cs="Times New Roman"/>
          <w:sz w:val="24"/>
          <w:szCs w:val="24"/>
          <w:lang w:val="en-GB"/>
        </w:rPr>
        <w:t xml:space="preserve">. </w:t>
      </w:r>
      <w:r w:rsidR="006523CA" w:rsidRPr="00002888">
        <w:rPr>
          <w:rFonts w:ascii="Times New Roman" w:hAnsi="Times New Roman" w:cs="Times New Roman"/>
          <w:sz w:val="24"/>
          <w:szCs w:val="24"/>
          <w:lang w:val="en-GB"/>
        </w:rPr>
        <w:t>The diagnosis is most secure in patients who undergo splenectomy, now performed almost always for therapeutic reasons, but increasingly relies on a combination of clinical features together with an assessment of lymphocyte morphology and immunophenotype</w:t>
      </w:r>
      <w:r w:rsidR="00062B5F" w:rsidRPr="00002888">
        <w:rPr>
          <w:rFonts w:ascii="Times New Roman" w:hAnsi="Times New Roman" w:cs="Times New Roman"/>
          <w:sz w:val="24"/>
          <w:szCs w:val="24"/>
          <w:lang w:val="en-GB"/>
        </w:rPr>
        <w:t>,</w:t>
      </w:r>
      <w:r w:rsidR="006523CA" w:rsidRPr="00002888">
        <w:rPr>
          <w:rFonts w:ascii="Times New Roman" w:hAnsi="Times New Roman" w:cs="Times New Roman"/>
          <w:sz w:val="24"/>
          <w:szCs w:val="24"/>
          <w:lang w:val="en-GB"/>
        </w:rPr>
        <w:t xml:space="preserve"> bone marrow histology and immunohistochemistry </w:t>
      </w:r>
      <w:r w:rsidR="006523CA" w:rsidRPr="00002888">
        <w:rPr>
          <w:rFonts w:ascii="Times New Roman" w:hAnsi="Times New Roman" w:cs="Times New Roman"/>
          <w:sz w:val="24"/>
          <w:szCs w:val="24"/>
          <w:lang w:val="en-GB"/>
        </w:rPr>
        <w:fldChar w:fldCharType="begin" w:fldLock="1"/>
      </w:r>
      <w:r w:rsidR="006523CA" w:rsidRPr="00002888">
        <w:rPr>
          <w:rFonts w:ascii="Times New Roman" w:hAnsi="Times New Roman" w:cs="Times New Roman"/>
          <w:sz w:val="24"/>
          <w:szCs w:val="24"/>
          <w:lang w:val="en-GB"/>
        </w:rPr>
        <w:instrText>ADDIN CSL_CITATION {"citationItems":[{"id":"ITEM-1","itemData":{"DOI":"10.1038/sj.leu.2405068","ISSN":"14765551","abstract":"Since the initial description of splenic marginal zone lymphoma (SMZL) in 1992, an increasing number of publications have dealt with multiple aspects of SMZL diagnosis, molecular pathogenesis and treatment. This process has identified multi-ple inconsistencies in the diagnostic criteria and lack of clear guidelines for the staging and treatment. The authors of this review have held several meetings and exchanged series of cases with the objective of agreeing on the main diagnostic, staging and therapeutic guidelines for patients with this condition. Specific working groups were created for diagnostic criteria, immunophenotype, staging and treatment. As results of this work, guidelines are proposed for diagnosis, differential diagnosis, staging, prognostic factors, treatment and response criteria. The guidelines proposed here are intended to con-tribute to the standardization of the diagnosis and treatment of these patients, and should facilitate the future development of clinical trials that could define more precisely predictive markers for histological progression or lack of response, and evaluate new drugs or treatments.","author":[{"dropping-particle":"","family":"Matutes","given":"E.","non-dropping-particle":"","parse-names":false,"suffix":""},{"dropping-particle":"","family":"Oscier","given":"D.","non-dropping-particle":"","parse-names":false,"suffix":""},{"dropping-particle":"","family":"Montalban","given":"C.","non-dropping-particle":"","parse-names":false,"suffix":""},{"dropping-particle":"","family":"Berger","given":"F.","non-dropping-particle":"","parse-names":false,"suffix":""},{"dropping-particle":"","family":"Callet-Bauchu","given":"E.","non-dropping-particle":"","parse-names":false,"suffix":""},{"dropping-particle":"","family":"Dogan","given":"A.","non-dropping-particle":"","parse-names":false,"suffix":""},{"dropping-particle":"","family":"Felman","given":"P.","non-dropping-particle":"","parse-names":false,"suffix":""},{"dropping-particle":"","family":"Franco","given":"V.","non-dropping-particle":"","parse-names":false,"suffix":""},{"dropping-particle":"","family":"Iannitto","given":"E.","non-dropping-particle":"","parse-names":false,"suffix":""},{"dropping-particle":"","family":"Mollejo","given":"M.","non-dropping-particle":"","parse-names":false,"suffix":""},{"dropping-particle":"","family":"Papadaki","given":"T.","non-dropping-particle":"","parse-names":false,"suffix":""},{"dropping-particle":"","family":"Remstein","given":"E. D.","non-dropping-particle":"","parse-names":false,"suffix":""},{"dropping-particle":"","family":"Salar","given":"A.","non-dropping-particle":"","parse-names":false,"suffix":""},{"dropping-particle":"","family":"Solé","given":"F.","non-dropping-particle":"","parse-names":false,"suffix":""},{"dropping-particle":"","family":"Stamatopoulos","given":"K.","non-dropping-particle":"","parse-names":false,"suffix":""},{"dropping-particle":"","family":"Thieblemont","given":"C.","non-dropping-particle":"","parse-names":false,"suffix":""},{"dropping-particle":"","family":"Traverse-Glehen","given":"A.","non-dropping-particle":"","parse-names":false,"suffix":""},{"dropping-particle":"","family":"Wotherspoon","given":"A.","non-dropping-particle":"","parse-names":false,"suffix":""},{"dropping-particle":"","family":"Coiffier","given":"B.","non-dropping-particle":"","parse-names":false,"suffix":""},{"dropping-particle":"","family":"Piris","given":"M. A.","non-dropping-particle":"","parse-names":false,"suffix":""}],"container-title":"Leukemia","id":"ITEM-1","issue":"3","issued":{"date-parts":[["2008"]]},"page":"487-495","title":"Splenic marginal zone lymphoma proposals for a revision of diagnostic, staging and therapeutic criteria","type":"article-journal","volume":"22"},"uris":["http://www.mendeley.com/documents/?uuid=1f9a6fad-8d3c-4289-8acc-a8c07d59d8f3"]},{"id":"ITEM-2","itemData":{"ISBN":"9789283244943","author":[{"dropping-particle":"","family":"Swerdlow","given":"Steven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urgen","non-dropping-particle":"","parse-names":false,"suffix":""},{"dropping-particle":"","family":"Vardiman","given":"James W.","non-dropping-particle":"","parse-names":false,"suffix":""}],"edition":"Rev. 4th e","editor":[{"dropping-particle":"","family":"Swerdlow","given":"Steven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urgen","non-dropping-particle":"","parse-names":false,"suffix":""},{"dropping-particle":"","family":"Vardiman","given":"James W.","non-dropping-particle":"","parse-names":false,"suffix":""}],"id":"ITEM-2","issued":{"date-parts":[["2008"]]},"publisher":"International Agency for Research on Cancer","publisher-place":"Lyon","title":"WHO Classification of Tumours of Haematopoietic and Lymphoid Tissues","type":"book"},"uris":["http://www.mendeley.com/documents/?uuid=f1796951-c973-4869-8162-6385d2ef8f51"]}],"mendeley":{"formattedCitation":"(Matutes et al., 2008; Swerdlow et al., 2008)","plainTextFormattedCitation":"(Matutes et al., 2008; Swerdlow et al., 2008)","previouslyFormattedCitation":"(Matutes et al., 2008; Swerdlow et al., 2008)"},"properties":{"noteIndex":0},"schema":"https://github.com/citation-style-language/schema/raw/master/csl-citation.json"}</w:instrText>
      </w:r>
      <w:r w:rsidR="006523CA" w:rsidRPr="00002888">
        <w:rPr>
          <w:rFonts w:ascii="Times New Roman" w:hAnsi="Times New Roman" w:cs="Times New Roman"/>
          <w:sz w:val="24"/>
          <w:szCs w:val="24"/>
          <w:lang w:val="en-GB"/>
        </w:rPr>
        <w:fldChar w:fldCharType="separate"/>
      </w:r>
      <w:r w:rsidR="006523CA" w:rsidRPr="00002888">
        <w:rPr>
          <w:rFonts w:ascii="Times New Roman" w:hAnsi="Times New Roman" w:cs="Times New Roman"/>
          <w:noProof/>
          <w:sz w:val="24"/>
          <w:szCs w:val="24"/>
          <w:lang w:val="en-GB"/>
        </w:rPr>
        <w:t>(Matutes et al., 2008; Swerdlow et al., 2008)</w:t>
      </w:r>
      <w:r w:rsidR="006523CA" w:rsidRPr="00002888">
        <w:rPr>
          <w:rFonts w:ascii="Times New Roman" w:hAnsi="Times New Roman" w:cs="Times New Roman"/>
          <w:sz w:val="24"/>
          <w:szCs w:val="24"/>
          <w:lang w:val="en-GB"/>
        </w:rPr>
        <w:fldChar w:fldCharType="end"/>
      </w:r>
      <w:r w:rsidR="006523CA" w:rsidRPr="00002888">
        <w:rPr>
          <w:rFonts w:ascii="Times New Roman" w:hAnsi="Times New Roman" w:cs="Times New Roman"/>
          <w:sz w:val="24"/>
          <w:szCs w:val="24"/>
          <w:lang w:val="en-GB"/>
        </w:rPr>
        <w:t>. In the absence of splenic histology, the differential diagnosis from common low</w:t>
      </w:r>
      <w:r w:rsidR="2253CE97" w:rsidRPr="00002888">
        <w:rPr>
          <w:rFonts w:ascii="Times New Roman" w:hAnsi="Times New Roman" w:cs="Times New Roman"/>
          <w:sz w:val="24"/>
          <w:szCs w:val="24"/>
          <w:lang w:val="en-GB"/>
        </w:rPr>
        <w:t>-</w:t>
      </w:r>
      <w:r w:rsidR="006523CA" w:rsidRPr="00002888">
        <w:rPr>
          <w:rFonts w:ascii="Times New Roman" w:hAnsi="Times New Roman" w:cs="Times New Roman"/>
          <w:sz w:val="24"/>
          <w:szCs w:val="24"/>
          <w:lang w:val="en-GB"/>
        </w:rPr>
        <w:t>grade B</w:t>
      </w:r>
      <w:r w:rsidR="00922509" w:rsidRPr="00002888">
        <w:rPr>
          <w:rFonts w:ascii="Times New Roman" w:hAnsi="Times New Roman" w:cs="Times New Roman"/>
          <w:sz w:val="24"/>
          <w:szCs w:val="24"/>
          <w:lang w:val="en-GB"/>
        </w:rPr>
        <w:t>-</w:t>
      </w:r>
      <w:r w:rsidR="006523CA" w:rsidRPr="00002888">
        <w:rPr>
          <w:rFonts w:ascii="Times New Roman" w:hAnsi="Times New Roman" w:cs="Times New Roman"/>
          <w:sz w:val="24"/>
          <w:szCs w:val="24"/>
          <w:lang w:val="en-GB"/>
        </w:rPr>
        <w:t xml:space="preserve">cell disorders such as </w:t>
      </w:r>
      <w:r w:rsidR="00922509" w:rsidRPr="00002888">
        <w:rPr>
          <w:rFonts w:ascii="Times New Roman" w:hAnsi="Times New Roman" w:cs="Times New Roman"/>
          <w:sz w:val="24"/>
          <w:szCs w:val="24"/>
          <w:lang w:val="en-GB"/>
        </w:rPr>
        <w:t>chronic lymphocytic leukaemia (</w:t>
      </w:r>
      <w:r w:rsidR="006523CA" w:rsidRPr="00002888">
        <w:rPr>
          <w:rFonts w:ascii="Times New Roman" w:hAnsi="Times New Roman" w:cs="Times New Roman"/>
          <w:sz w:val="24"/>
          <w:szCs w:val="24"/>
          <w:lang w:val="en-GB"/>
        </w:rPr>
        <w:t>CLL</w:t>
      </w:r>
      <w:r w:rsidR="00922509" w:rsidRPr="00002888">
        <w:rPr>
          <w:rFonts w:ascii="Times New Roman" w:hAnsi="Times New Roman" w:cs="Times New Roman"/>
          <w:sz w:val="24"/>
          <w:szCs w:val="24"/>
          <w:lang w:val="en-GB"/>
        </w:rPr>
        <w:t>)</w:t>
      </w:r>
      <w:r w:rsidR="006523CA" w:rsidRPr="00002888">
        <w:rPr>
          <w:rFonts w:ascii="Times New Roman" w:hAnsi="Times New Roman" w:cs="Times New Roman"/>
          <w:sz w:val="24"/>
          <w:szCs w:val="24"/>
          <w:lang w:val="en-GB"/>
        </w:rPr>
        <w:t>,</w:t>
      </w:r>
      <w:r w:rsidR="00922509" w:rsidRPr="00002888">
        <w:rPr>
          <w:rFonts w:ascii="Times New Roman" w:hAnsi="Times New Roman" w:cs="Times New Roman"/>
          <w:sz w:val="24"/>
          <w:szCs w:val="24"/>
          <w:lang w:val="en-GB"/>
        </w:rPr>
        <w:t xml:space="preserve"> </w:t>
      </w:r>
      <w:r w:rsidR="00EC5D35" w:rsidRPr="00002888">
        <w:rPr>
          <w:rFonts w:ascii="Times New Roman" w:hAnsi="Times New Roman" w:cs="Times New Roman"/>
          <w:sz w:val="24"/>
          <w:szCs w:val="24"/>
          <w:lang w:val="en-GB"/>
        </w:rPr>
        <w:t>follicular lymphoma (</w:t>
      </w:r>
      <w:r w:rsidR="006523CA" w:rsidRPr="00002888">
        <w:rPr>
          <w:rFonts w:ascii="Times New Roman" w:hAnsi="Times New Roman" w:cs="Times New Roman"/>
          <w:sz w:val="24"/>
          <w:szCs w:val="24"/>
          <w:lang w:val="en-GB"/>
        </w:rPr>
        <w:t>FL</w:t>
      </w:r>
      <w:r w:rsidR="00EC5D35" w:rsidRPr="00002888">
        <w:rPr>
          <w:rFonts w:ascii="Times New Roman" w:hAnsi="Times New Roman" w:cs="Times New Roman"/>
          <w:sz w:val="24"/>
          <w:szCs w:val="24"/>
          <w:lang w:val="en-GB"/>
        </w:rPr>
        <w:t>)</w:t>
      </w:r>
      <w:r w:rsidR="006523CA" w:rsidRPr="00002888">
        <w:rPr>
          <w:rFonts w:ascii="Times New Roman" w:hAnsi="Times New Roman" w:cs="Times New Roman"/>
          <w:sz w:val="24"/>
          <w:szCs w:val="24"/>
          <w:lang w:val="en-GB"/>
        </w:rPr>
        <w:t xml:space="preserve">, and </w:t>
      </w:r>
      <w:r w:rsidR="00781FAC" w:rsidRPr="00002888">
        <w:rPr>
          <w:rFonts w:ascii="Times New Roman" w:hAnsi="Times New Roman" w:cs="Times New Roman"/>
          <w:sz w:val="24"/>
          <w:szCs w:val="24"/>
          <w:lang w:val="en-GB"/>
        </w:rPr>
        <w:t>mantle cell lymphoma (</w:t>
      </w:r>
      <w:r w:rsidR="006523CA" w:rsidRPr="00002888">
        <w:rPr>
          <w:rFonts w:ascii="Times New Roman" w:hAnsi="Times New Roman" w:cs="Times New Roman"/>
          <w:sz w:val="24"/>
          <w:szCs w:val="24"/>
          <w:lang w:val="en-GB"/>
        </w:rPr>
        <w:t>MCL</w:t>
      </w:r>
      <w:r w:rsidR="00781FAC" w:rsidRPr="00002888">
        <w:rPr>
          <w:rFonts w:ascii="Times New Roman" w:hAnsi="Times New Roman" w:cs="Times New Roman"/>
          <w:sz w:val="24"/>
          <w:szCs w:val="24"/>
          <w:lang w:val="en-GB"/>
        </w:rPr>
        <w:t>)</w:t>
      </w:r>
      <w:r w:rsidR="006523CA" w:rsidRPr="00002888">
        <w:rPr>
          <w:rFonts w:ascii="Times New Roman" w:hAnsi="Times New Roman" w:cs="Times New Roman"/>
          <w:sz w:val="24"/>
          <w:szCs w:val="24"/>
          <w:lang w:val="en-GB"/>
        </w:rPr>
        <w:t xml:space="preserve"> is usually straightforward but SMZL lacks a disease specific immunophenotype and the distinction between SMZL and some cases of HCL-v, SDRPL and </w:t>
      </w:r>
      <w:r w:rsidR="00DF0DA3" w:rsidRPr="00002888">
        <w:rPr>
          <w:rFonts w:ascii="Times New Roman" w:hAnsi="Times New Roman" w:cs="Times New Roman"/>
          <w:sz w:val="24"/>
          <w:szCs w:val="24"/>
          <w:lang w:val="en-GB"/>
        </w:rPr>
        <w:t>lymphoplasmacytic lymphoma (</w:t>
      </w:r>
      <w:r w:rsidR="006523CA" w:rsidRPr="00002888">
        <w:rPr>
          <w:rFonts w:ascii="Times New Roman" w:hAnsi="Times New Roman" w:cs="Times New Roman"/>
          <w:sz w:val="24"/>
          <w:szCs w:val="24"/>
          <w:lang w:val="en-GB"/>
        </w:rPr>
        <w:t>LPL</w:t>
      </w:r>
      <w:r w:rsidR="00DF0DA3" w:rsidRPr="00002888">
        <w:rPr>
          <w:rFonts w:ascii="Times New Roman" w:hAnsi="Times New Roman" w:cs="Times New Roman"/>
          <w:sz w:val="24"/>
          <w:szCs w:val="24"/>
          <w:lang w:val="en-GB"/>
        </w:rPr>
        <w:t>)</w:t>
      </w:r>
      <w:r w:rsidR="006523CA" w:rsidRPr="00002888">
        <w:rPr>
          <w:rFonts w:ascii="Times New Roman" w:hAnsi="Times New Roman" w:cs="Times New Roman"/>
          <w:sz w:val="24"/>
          <w:szCs w:val="24"/>
          <w:lang w:val="en-GB"/>
        </w:rPr>
        <w:t xml:space="preserve"> may be more difficult. Approximately 70% of patient</w:t>
      </w:r>
      <w:r w:rsidR="00CB7C8E" w:rsidRPr="00002888">
        <w:rPr>
          <w:rFonts w:ascii="Times New Roman" w:hAnsi="Times New Roman" w:cs="Times New Roman"/>
          <w:sz w:val="24"/>
          <w:szCs w:val="24"/>
          <w:lang w:val="en-GB"/>
        </w:rPr>
        <w:t>s</w:t>
      </w:r>
      <w:r w:rsidR="006523CA" w:rsidRPr="00002888">
        <w:rPr>
          <w:rFonts w:ascii="Times New Roman" w:hAnsi="Times New Roman" w:cs="Times New Roman"/>
          <w:sz w:val="24"/>
          <w:szCs w:val="24"/>
          <w:lang w:val="en-GB"/>
        </w:rPr>
        <w:t xml:space="preserve"> have a progressive disease requiring treatment. Standard treatment options include splenectomy, Rituximab or Rituximab and </w:t>
      </w:r>
      <w:proofErr w:type="spellStart"/>
      <w:r w:rsidR="006523CA" w:rsidRPr="00002888">
        <w:rPr>
          <w:rFonts w:ascii="Times New Roman" w:hAnsi="Times New Roman" w:cs="Times New Roman"/>
          <w:sz w:val="24"/>
          <w:szCs w:val="24"/>
          <w:lang w:val="en-GB"/>
        </w:rPr>
        <w:t>bendamustine</w:t>
      </w:r>
      <w:proofErr w:type="spellEnd"/>
      <w:r w:rsidR="006523CA" w:rsidRPr="00002888">
        <w:rPr>
          <w:rFonts w:ascii="Times New Roman" w:hAnsi="Times New Roman" w:cs="Times New Roman"/>
          <w:sz w:val="24"/>
          <w:szCs w:val="24"/>
          <w:lang w:val="en-GB"/>
        </w:rPr>
        <w:t xml:space="preserve">, all of which achieve high response rates with prolonged progression-free survival </w:t>
      </w:r>
      <w:r w:rsidR="006523CA" w:rsidRPr="00002888">
        <w:rPr>
          <w:rFonts w:ascii="Times New Roman" w:hAnsi="Times New Roman" w:cs="Times New Roman"/>
          <w:sz w:val="24"/>
          <w:szCs w:val="24"/>
          <w:lang w:val="en-GB"/>
        </w:rPr>
        <w:fldChar w:fldCharType="begin" w:fldLock="1"/>
      </w:r>
      <w:r w:rsidR="006523CA" w:rsidRPr="00002888">
        <w:rPr>
          <w:rFonts w:ascii="Times New Roman" w:hAnsi="Times New Roman" w:cs="Times New Roman"/>
          <w:sz w:val="24"/>
          <w:szCs w:val="24"/>
          <w:lang w:val="en-GB"/>
        </w:rPr>
        <w:instrText>ADDIN CSL_CITATION {"citationItems":[{"id":"ITEM-1","itemData":{"DOI":"10.1016/j.annonc.2019.10.010","ISSN":"1569-8041","PMID":"31912792","author":[{"dropping-particle":"","family":"Zucca","given":"E.","non-dropping-particle":"","parse-names":false,"suffix":""},{"dropping-particle":"","family":"Arcaini","given":"L.","non-dropping-particle":"","parse-names":false,"suffix":""},{"dropping-particle":"","family":"Buske","given":"C.","non-dropping-particle":"","parse-names":false,"suffix":""},{"dropping-particle":"","family":"Johnson","given":"P. W.","non-dropping-particle":"","parse-names":false,"suffix":""},{"dropping-particle":"","family":"Ponzoni","given":"M.","non-dropping-particle":"","parse-names":false,"suffix":""},{"dropping-particle":"","family":"Raderer","given":"M.","non-dropping-particle":"","parse-names":false,"suffix":""},{"dropping-particle":"","family":"Ricardi","given":"U.","non-dropping-particle":"","parse-names":false,"suffix":""},{"dropping-particle":"","family":"Salar","given":"A.","non-dropping-particle":"","parse-names":false,"suffix":""},{"dropping-particle":"","family":"Stamatopoulos","given":"K.","non-dropping-particle":"","parse-names":false,"suffix":""},{"dropping-particle":"","family":"Thieblemont","given":"C.","non-dropping-particle":"","parse-names":false,"suffix":""},{"dropping-particle":"","family":"Wotherspoon","given":"A.","non-dropping-particle":"","parse-names":false,"suffix":""},{"dropping-particle":"","family":"Ladetto","given":"M.","non-dropping-particle":"","parse-names":false,"suffix":""},{"dropping-particle":"","family":"ESMO Guidelines Committee. Electronic address: clinicalguidelines@esmo.org","given":"","non-dropping-particle":"","parse-names":false,"suffix":""}],"container-title":"Annals of oncology : official journal of the European Society for Medical Oncology","id":"ITEM-1","issue":"1","issued":{"date-parts":[["2020"]]},"page":"17-29","publisher":"Elsevier Ltd.","title":"Marginal zone lymphomas: ESMO Clinical Practice Guidelines for diagnosis, treatment and follow-up.","type":"article-journal","volume":"31"},"uris":["http://www.mendeley.com/documents/?uuid=a6a63baf-44f1-498c-a8e1-b42d92708d33"]},{"id":"ITEM-2","itemData":{"DOI":"10.1186/s13045-020-01018-6","ISSN":"1756-8722","abstract":"Mature B cell neoplasms, previously indolent non-Hodgkin lymphomas (iNHLs), are a heterogeneous group of malignancies sharing similar disease courses and treatment paradigms. Most patients with iNHL have an excellent prognosis, and in many, treatment can be deferred for years. However, some patients will have an accelerated course and may experience transformation into aggressive lymphomas. In this review, we focus on management concepts shared across iNHLs, as well as histology-specific strategies. We address open questions in the field, including the influence of genomics and molecular pathway alterations on treatment decisions. In addition, we review the management of uncommon clinical entities including nodular lymphocyte-predominant Hodgkin lymphoma, hairy cell leukemia, splenic lymphoma and primary lymphoma of extranodal sites. Finally, we include a perspective on novel targeted therapies, antibodies, antibody–drug conjugates, bispecific T cell engagers and chimeric antigen receptor T cell therapy.","author":[{"dropping-particle":"","family":"Lumish","given":"Melissa","non-dropping-particle":"","parse-names":false,"suffix":""},{"dropping-particle":"","family":"Falchi","given":"Lorenzo","non-dropping-particle":"","parse-names":false,"suffix":""},{"dropping-particle":"","family":"Imber","given":"Brandon S.","non-dropping-particle":"","parse-names":false,"suffix":""},{"dropping-particle":"","family":"Scordo","given":"Michael","non-dropping-particle":"","parse-names":false,"suffix":""},{"dropping-particle":"","family":"Keudell","given":"Gottfried","non-dropping-particle":"von","parse-names":false,"suffix":""},{"dropping-particle":"","family":"Joffe","given":"Erel","non-dropping-particle":"","parse-names":false,"suffix":""}],"container-title":"Journal of Hematology &amp; Oncology","id":"ITEM-2","issue":"1","issued":{"date-parts":[["2021","12","6"]]},"page":"5","publisher":"BioMed Central","title":"How we treat mature B-cell neoplasms (indolent B-cell lymphomas)","type":"article-journal","volume":"14"},"uris":["http://www.mendeley.com/documents/?uuid=c20ace42-8cf9-4880-956c-38583d1b9cd8"]}],"mendeley":{"formattedCitation":"(Lumish et al., 2021; Zucca et al., 2020)","plainTextFormattedCitation":"(Lumish et al., 2021; Zucca et al., 2020)","previouslyFormattedCitation":"(Lumish et al., 2021; Zucca et al., 2020)"},"properties":{"noteIndex":0},"schema":"https://github.com/citation-style-language/schema/raw/master/csl-citation.json"}</w:instrText>
      </w:r>
      <w:r w:rsidR="006523CA" w:rsidRPr="00002888">
        <w:rPr>
          <w:rFonts w:ascii="Times New Roman" w:hAnsi="Times New Roman" w:cs="Times New Roman"/>
          <w:sz w:val="24"/>
          <w:szCs w:val="24"/>
          <w:lang w:val="en-GB"/>
        </w:rPr>
        <w:fldChar w:fldCharType="separate"/>
      </w:r>
      <w:r w:rsidR="006523CA" w:rsidRPr="00002888">
        <w:rPr>
          <w:rFonts w:ascii="Times New Roman" w:hAnsi="Times New Roman" w:cs="Times New Roman"/>
          <w:noProof/>
          <w:sz w:val="24"/>
          <w:szCs w:val="24"/>
          <w:lang w:val="en-GB"/>
        </w:rPr>
        <w:t>(Lumish et al., 2021; Zucca et al., 2020)</w:t>
      </w:r>
      <w:r w:rsidR="006523CA" w:rsidRPr="00002888">
        <w:rPr>
          <w:rFonts w:ascii="Times New Roman" w:hAnsi="Times New Roman" w:cs="Times New Roman"/>
          <w:sz w:val="24"/>
          <w:szCs w:val="24"/>
          <w:lang w:val="en-GB"/>
        </w:rPr>
        <w:fldChar w:fldCharType="end"/>
      </w:r>
      <w:r w:rsidR="006523CA" w:rsidRPr="00002888">
        <w:rPr>
          <w:rFonts w:ascii="Times New Roman" w:hAnsi="Times New Roman" w:cs="Times New Roman"/>
          <w:sz w:val="24"/>
          <w:szCs w:val="24"/>
          <w:lang w:val="en-GB"/>
        </w:rPr>
        <w:t>. However up to 30% of patients relapse and are intolerant of, or resistant to, standard therapies or transform to diffuse large B-cell lymphoma (DLBCL) with dismal survival (</w:t>
      </w:r>
      <w:proofErr w:type="spellStart"/>
      <w:r w:rsidR="006523CA" w:rsidRPr="00002888">
        <w:rPr>
          <w:rFonts w:ascii="Times New Roman" w:hAnsi="Times New Roman" w:cs="Times New Roman"/>
          <w:sz w:val="24"/>
          <w:szCs w:val="24"/>
          <w:lang w:val="en-GB"/>
        </w:rPr>
        <w:t>Arcaini</w:t>
      </w:r>
      <w:proofErr w:type="spellEnd"/>
      <w:r w:rsidR="006523CA" w:rsidRPr="00002888">
        <w:rPr>
          <w:rFonts w:ascii="Times New Roman" w:hAnsi="Times New Roman" w:cs="Times New Roman"/>
          <w:sz w:val="24"/>
          <w:szCs w:val="24"/>
          <w:lang w:val="en-GB"/>
        </w:rPr>
        <w:t xml:space="preserve">, Rossi, and </w:t>
      </w:r>
      <w:proofErr w:type="spellStart"/>
      <w:r w:rsidR="006523CA" w:rsidRPr="00002888">
        <w:rPr>
          <w:rFonts w:ascii="Times New Roman" w:hAnsi="Times New Roman" w:cs="Times New Roman"/>
          <w:sz w:val="24"/>
          <w:szCs w:val="24"/>
          <w:lang w:val="en-GB"/>
        </w:rPr>
        <w:t>Paulli</w:t>
      </w:r>
      <w:proofErr w:type="spellEnd"/>
      <w:r w:rsidR="006523CA" w:rsidRPr="00002888">
        <w:rPr>
          <w:rFonts w:ascii="Times New Roman" w:hAnsi="Times New Roman" w:cs="Times New Roman"/>
          <w:sz w:val="24"/>
          <w:szCs w:val="24"/>
          <w:lang w:val="en-GB"/>
        </w:rPr>
        <w:t xml:space="preserve"> 2016). Therefore</w:t>
      </w:r>
      <w:r w:rsidR="00FA58BB" w:rsidRPr="00002888">
        <w:rPr>
          <w:rFonts w:ascii="Times New Roman" w:hAnsi="Times New Roman" w:cs="Times New Roman"/>
          <w:sz w:val="24"/>
          <w:szCs w:val="24"/>
          <w:lang w:val="en-GB"/>
        </w:rPr>
        <w:t>,</w:t>
      </w:r>
      <w:r w:rsidR="00330136" w:rsidRPr="00002888">
        <w:rPr>
          <w:rFonts w:ascii="Times New Roman" w:hAnsi="Times New Roman" w:cs="Times New Roman"/>
          <w:sz w:val="24"/>
          <w:szCs w:val="24"/>
          <w:lang w:val="en-GB"/>
        </w:rPr>
        <w:t xml:space="preserve"> there is</w:t>
      </w:r>
      <w:r w:rsidR="006523CA" w:rsidRPr="00002888">
        <w:rPr>
          <w:rFonts w:ascii="Times New Roman" w:hAnsi="Times New Roman" w:cs="Times New Roman"/>
          <w:sz w:val="24"/>
          <w:szCs w:val="24"/>
          <w:lang w:val="en-GB"/>
        </w:rPr>
        <w:t xml:space="preserve"> an unmet need for well tolerated, preferably oral, novel therapies.</w:t>
      </w:r>
    </w:p>
    <w:p w14:paraId="0CF908DB" w14:textId="3CE2B517" w:rsidR="001E54D9" w:rsidRPr="00002888" w:rsidRDefault="001E54D9" w:rsidP="00002888">
      <w:pPr>
        <w:spacing w:before="0" w:after="0" w:line="360" w:lineRule="auto"/>
        <w:jc w:val="left"/>
        <w:rPr>
          <w:rFonts w:ascii="Times New Roman" w:hAnsi="Times New Roman" w:cs="Times New Roman"/>
          <w:sz w:val="24"/>
          <w:szCs w:val="24"/>
          <w:lang w:val="en-GB"/>
        </w:rPr>
      </w:pPr>
      <w:r w:rsidRPr="00002888">
        <w:rPr>
          <w:rFonts w:ascii="Times New Roman" w:hAnsi="Times New Roman" w:cs="Times New Roman"/>
          <w:sz w:val="24"/>
          <w:szCs w:val="24"/>
          <w:lang w:val="en-GB"/>
        </w:rPr>
        <w:lastRenderedPageBreak/>
        <w:t xml:space="preserve">Whilst SMZL </w:t>
      </w:r>
      <w:r w:rsidR="067DAD2B" w:rsidRPr="00002888">
        <w:rPr>
          <w:rFonts w:ascii="Times New Roman" w:hAnsi="Times New Roman" w:cs="Times New Roman"/>
          <w:sz w:val="24"/>
          <w:szCs w:val="24"/>
          <w:lang w:val="en-GB"/>
        </w:rPr>
        <w:t>is still</w:t>
      </w:r>
      <w:r w:rsidRPr="00002888">
        <w:rPr>
          <w:rFonts w:ascii="Times New Roman" w:hAnsi="Times New Roman" w:cs="Times New Roman"/>
          <w:sz w:val="24"/>
          <w:szCs w:val="24"/>
          <w:lang w:val="en-GB"/>
        </w:rPr>
        <w:t xml:space="preserve"> a relatively under-studie</w:t>
      </w:r>
      <w:r w:rsidR="247F42E7" w:rsidRPr="00002888">
        <w:rPr>
          <w:rFonts w:ascii="Times New Roman" w:hAnsi="Times New Roman" w:cs="Times New Roman"/>
          <w:sz w:val="24"/>
          <w:szCs w:val="24"/>
          <w:lang w:val="en-GB"/>
        </w:rPr>
        <w:t>d</w:t>
      </w:r>
      <w:r w:rsidRPr="00002888">
        <w:rPr>
          <w:rFonts w:ascii="Times New Roman" w:hAnsi="Times New Roman" w:cs="Times New Roman"/>
          <w:sz w:val="24"/>
          <w:szCs w:val="24"/>
          <w:lang w:val="en-GB"/>
        </w:rPr>
        <w:t xml:space="preserve"> malignancy, </w:t>
      </w:r>
      <w:r w:rsidR="47E510DD" w:rsidRPr="00002888">
        <w:rPr>
          <w:rFonts w:ascii="Times New Roman" w:hAnsi="Times New Roman" w:cs="Times New Roman"/>
          <w:sz w:val="24"/>
          <w:szCs w:val="24"/>
          <w:lang w:val="en-GB"/>
        </w:rPr>
        <w:t>several</w:t>
      </w:r>
      <w:r w:rsidRPr="00002888">
        <w:rPr>
          <w:rFonts w:ascii="Times New Roman" w:hAnsi="Times New Roman" w:cs="Times New Roman"/>
          <w:sz w:val="24"/>
          <w:szCs w:val="24"/>
          <w:lang w:val="en-GB"/>
        </w:rPr>
        <w:t xml:space="preserve"> works published over the last decade or so have begun to unravel the intrinsic molecular defects present in the SMZL B-cell, and extrinsic cellular mechanisms that reflect micro-environmental </w:t>
      </w:r>
      <w:r w:rsidR="000D2CEA" w:rsidRPr="00002888">
        <w:rPr>
          <w:rFonts w:ascii="Times New Roman" w:hAnsi="Times New Roman" w:cs="Times New Roman"/>
          <w:sz w:val="24"/>
          <w:szCs w:val="24"/>
          <w:lang w:val="en-GB"/>
        </w:rPr>
        <w:t>and antigenic interactions</w:t>
      </w:r>
      <w:r w:rsidR="006A5843" w:rsidRPr="00002888">
        <w:rPr>
          <w:rFonts w:ascii="Times New Roman" w:hAnsi="Times New Roman" w:cs="Times New Roman"/>
          <w:sz w:val="24"/>
          <w:szCs w:val="24"/>
          <w:lang w:val="en-GB"/>
        </w:rPr>
        <w:t xml:space="preserve"> (</w:t>
      </w:r>
      <w:r w:rsidR="006A5843" w:rsidRPr="00002888">
        <w:rPr>
          <w:rFonts w:ascii="Times New Roman" w:hAnsi="Times New Roman" w:cs="Times New Roman"/>
          <w:b/>
          <w:bCs/>
          <w:sz w:val="24"/>
          <w:szCs w:val="24"/>
          <w:lang w:val="en-GB"/>
        </w:rPr>
        <w:t>Figure 1</w:t>
      </w:r>
      <w:r w:rsidR="006A5843" w:rsidRPr="00002888">
        <w:rPr>
          <w:rFonts w:ascii="Times New Roman" w:hAnsi="Times New Roman" w:cs="Times New Roman"/>
          <w:sz w:val="24"/>
          <w:szCs w:val="24"/>
          <w:lang w:val="en-GB"/>
        </w:rPr>
        <w:t>)</w:t>
      </w:r>
      <w:r w:rsidR="000D2CEA" w:rsidRPr="00002888">
        <w:rPr>
          <w:rFonts w:ascii="Times New Roman" w:hAnsi="Times New Roman" w:cs="Times New Roman"/>
          <w:sz w:val="24"/>
          <w:szCs w:val="24"/>
          <w:lang w:val="en-GB"/>
        </w:rPr>
        <w:t xml:space="preserve">. This review </w:t>
      </w:r>
      <w:r w:rsidR="00BE0B90" w:rsidRPr="00002888">
        <w:rPr>
          <w:rFonts w:ascii="Times New Roman" w:hAnsi="Times New Roman" w:cs="Times New Roman"/>
          <w:sz w:val="24"/>
          <w:szCs w:val="24"/>
          <w:lang w:val="en-GB"/>
        </w:rPr>
        <w:t>will focus on provid</w:t>
      </w:r>
      <w:r w:rsidR="005A4243" w:rsidRPr="00002888">
        <w:rPr>
          <w:rFonts w:ascii="Times New Roman" w:hAnsi="Times New Roman" w:cs="Times New Roman"/>
          <w:sz w:val="24"/>
          <w:szCs w:val="24"/>
          <w:lang w:val="en-GB"/>
        </w:rPr>
        <w:t>ing</w:t>
      </w:r>
      <w:r w:rsidR="00BE0B90" w:rsidRPr="00002888">
        <w:rPr>
          <w:rFonts w:ascii="Times New Roman" w:hAnsi="Times New Roman" w:cs="Times New Roman"/>
          <w:sz w:val="24"/>
          <w:szCs w:val="24"/>
          <w:lang w:val="en-GB"/>
        </w:rPr>
        <w:t xml:space="preserve"> a summary of</w:t>
      </w:r>
      <w:r w:rsidR="000D2CEA" w:rsidRPr="00002888">
        <w:rPr>
          <w:rFonts w:ascii="Times New Roman" w:hAnsi="Times New Roman" w:cs="Times New Roman"/>
          <w:sz w:val="24"/>
          <w:szCs w:val="24"/>
          <w:lang w:val="en-GB"/>
        </w:rPr>
        <w:t xml:space="preserve"> the </w:t>
      </w:r>
      <w:r w:rsidR="00BE0B90" w:rsidRPr="00002888">
        <w:rPr>
          <w:rFonts w:ascii="Times New Roman" w:hAnsi="Times New Roman" w:cs="Times New Roman"/>
          <w:sz w:val="24"/>
          <w:szCs w:val="24"/>
          <w:lang w:val="en-GB"/>
        </w:rPr>
        <w:t>(</w:t>
      </w:r>
      <w:r w:rsidR="000D2CEA" w:rsidRPr="00002888">
        <w:rPr>
          <w:rFonts w:ascii="Times New Roman" w:hAnsi="Times New Roman" w:cs="Times New Roman"/>
          <w:sz w:val="24"/>
          <w:szCs w:val="24"/>
          <w:lang w:val="en-GB"/>
        </w:rPr>
        <w:t>epi</w:t>
      </w:r>
      <w:r w:rsidR="00BE0B90" w:rsidRPr="00002888">
        <w:rPr>
          <w:rFonts w:ascii="Times New Roman" w:hAnsi="Times New Roman" w:cs="Times New Roman"/>
          <w:sz w:val="24"/>
          <w:szCs w:val="24"/>
          <w:lang w:val="en-GB"/>
        </w:rPr>
        <w:t>)</w:t>
      </w:r>
      <w:r w:rsidR="000D2CEA" w:rsidRPr="00002888">
        <w:rPr>
          <w:rFonts w:ascii="Times New Roman" w:hAnsi="Times New Roman" w:cs="Times New Roman"/>
          <w:sz w:val="24"/>
          <w:szCs w:val="24"/>
          <w:lang w:val="en-GB"/>
        </w:rPr>
        <w:t xml:space="preserve">genetic </w:t>
      </w:r>
      <w:r w:rsidR="00BE0B90" w:rsidRPr="00002888">
        <w:rPr>
          <w:rFonts w:ascii="Times New Roman" w:hAnsi="Times New Roman" w:cs="Times New Roman"/>
          <w:sz w:val="24"/>
          <w:szCs w:val="24"/>
          <w:lang w:val="en-GB"/>
        </w:rPr>
        <w:t>and immunogenetic landscape</w:t>
      </w:r>
      <w:r w:rsidR="000D2CEA" w:rsidRPr="00002888">
        <w:rPr>
          <w:rFonts w:ascii="Times New Roman" w:hAnsi="Times New Roman" w:cs="Times New Roman"/>
          <w:sz w:val="24"/>
          <w:szCs w:val="24"/>
          <w:lang w:val="en-GB"/>
        </w:rPr>
        <w:t xml:space="preserve"> </w:t>
      </w:r>
      <w:r w:rsidR="00BE0B90" w:rsidRPr="00002888">
        <w:rPr>
          <w:rFonts w:ascii="Times New Roman" w:hAnsi="Times New Roman" w:cs="Times New Roman"/>
          <w:sz w:val="24"/>
          <w:szCs w:val="24"/>
          <w:lang w:val="en-GB"/>
        </w:rPr>
        <w:t>of the disease</w:t>
      </w:r>
      <w:r w:rsidR="00EE386A" w:rsidRPr="00002888">
        <w:rPr>
          <w:rFonts w:ascii="Times New Roman" w:hAnsi="Times New Roman" w:cs="Times New Roman"/>
          <w:sz w:val="24"/>
          <w:szCs w:val="24"/>
          <w:lang w:val="en-GB"/>
        </w:rPr>
        <w:t xml:space="preserve">, the associated </w:t>
      </w:r>
      <w:proofErr w:type="spellStart"/>
      <w:r w:rsidR="00EE386A" w:rsidRPr="00002888">
        <w:rPr>
          <w:rFonts w:ascii="Times New Roman" w:hAnsi="Times New Roman" w:cs="Times New Roman"/>
          <w:sz w:val="24"/>
          <w:szCs w:val="24"/>
          <w:lang w:val="en-GB"/>
        </w:rPr>
        <w:t>clin</w:t>
      </w:r>
      <w:r w:rsidR="00E21317" w:rsidRPr="00002888">
        <w:rPr>
          <w:rFonts w:ascii="Times New Roman" w:hAnsi="Times New Roman" w:cs="Times New Roman"/>
          <w:sz w:val="24"/>
          <w:szCs w:val="24"/>
          <w:lang w:val="en-GB"/>
        </w:rPr>
        <w:t>i</w:t>
      </w:r>
      <w:r w:rsidR="00EE386A" w:rsidRPr="00002888">
        <w:rPr>
          <w:rFonts w:ascii="Times New Roman" w:hAnsi="Times New Roman" w:cs="Times New Roman"/>
          <w:sz w:val="24"/>
          <w:szCs w:val="24"/>
          <w:lang w:val="en-GB"/>
        </w:rPr>
        <w:t>co</w:t>
      </w:r>
      <w:proofErr w:type="spellEnd"/>
      <w:r w:rsidR="00EE386A" w:rsidRPr="00002888">
        <w:rPr>
          <w:rFonts w:ascii="Times New Roman" w:hAnsi="Times New Roman" w:cs="Times New Roman"/>
          <w:sz w:val="24"/>
          <w:szCs w:val="24"/>
          <w:lang w:val="en-GB"/>
        </w:rPr>
        <w:t xml:space="preserve">-biological implications of these aberrations, as well as </w:t>
      </w:r>
      <w:r w:rsidR="7319500A" w:rsidRPr="00002888">
        <w:rPr>
          <w:rFonts w:ascii="Times New Roman" w:hAnsi="Times New Roman" w:cs="Times New Roman"/>
          <w:sz w:val="24"/>
          <w:szCs w:val="24"/>
          <w:lang w:val="en-GB"/>
        </w:rPr>
        <w:t>supplying</w:t>
      </w:r>
      <w:r w:rsidR="00EE386A" w:rsidRPr="00002888">
        <w:rPr>
          <w:rFonts w:ascii="Times New Roman" w:hAnsi="Times New Roman" w:cs="Times New Roman"/>
          <w:sz w:val="24"/>
          <w:szCs w:val="24"/>
          <w:lang w:val="en-GB"/>
        </w:rPr>
        <w:t xml:space="preserve"> an overview of key unanswered questions that might direct future research in this area.</w:t>
      </w:r>
    </w:p>
    <w:p w14:paraId="604A16EF" w14:textId="023BC756" w:rsidR="00AA1EA1" w:rsidRDefault="00590D92" w:rsidP="00814224">
      <w:pPr>
        <w:rPr>
          <w:rFonts w:ascii="Times New Roman" w:hAnsi="Times New Roman" w:cs="Times New Roman"/>
          <w:lang w:val="en-GB"/>
        </w:rPr>
      </w:pPr>
      <w:r>
        <w:rPr>
          <w:rFonts w:ascii="Times New Roman" w:hAnsi="Times New Roman" w:cs="Times New Roman"/>
          <w:noProof/>
          <w:lang w:eastAsia="zh-CN"/>
        </w:rPr>
        <w:lastRenderedPageBreak/>
        <w:drawing>
          <wp:inline distT="0" distB="0" distL="0" distR="0" wp14:anchorId="58E5D844" wp14:editId="29C70E66">
            <wp:extent cx="5943600" cy="7429500"/>
            <wp:effectExtent l="0" t="0" r="0" b="0"/>
            <wp:docPr id="6" name="Picture 6"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emai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3DC11D0C" w14:textId="5DC55E1A" w:rsidR="00690610" w:rsidRDefault="00690610" w:rsidP="00814224">
      <w:pPr>
        <w:rPr>
          <w:rFonts w:ascii="Times New Roman" w:hAnsi="Times New Roman" w:cs="Times New Roman"/>
          <w:sz w:val="20"/>
          <w:szCs w:val="20"/>
          <w:lang w:val="en-GB"/>
        </w:rPr>
      </w:pPr>
      <w:r w:rsidRPr="001C7AA5">
        <w:rPr>
          <w:rFonts w:ascii="Times New Roman" w:hAnsi="Times New Roman" w:cs="Times New Roman"/>
          <w:b/>
          <w:bCs/>
          <w:sz w:val="20"/>
          <w:szCs w:val="20"/>
          <w:lang w:val="en-GB"/>
        </w:rPr>
        <w:t>Figure 1</w:t>
      </w:r>
      <w:r w:rsidRPr="001C7AA5">
        <w:rPr>
          <w:rFonts w:ascii="Times New Roman" w:hAnsi="Times New Roman" w:cs="Times New Roman"/>
          <w:sz w:val="20"/>
          <w:szCs w:val="20"/>
          <w:lang w:val="en-GB"/>
        </w:rPr>
        <w:t xml:space="preserve">. </w:t>
      </w:r>
      <w:r w:rsidR="009E1EC4" w:rsidRPr="001C7AA5">
        <w:rPr>
          <w:rFonts w:ascii="Times New Roman" w:hAnsi="Times New Roman" w:cs="Times New Roman"/>
          <w:sz w:val="20"/>
          <w:szCs w:val="20"/>
          <w:lang w:val="en-GB"/>
        </w:rPr>
        <w:t>Timeline highlighting historical milestones in the understanding of SMZL.</w:t>
      </w:r>
      <w:r w:rsidR="002F74CE">
        <w:rPr>
          <w:rFonts w:ascii="Times New Roman" w:hAnsi="Times New Roman" w:cs="Times New Roman"/>
          <w:sz w:val="20"/>
          <w:szCs w:val="20"/>
          <w:lang w:val="en-GB"/>
        </w:rPr>
        <w:t xml:space="preserve"> Additional references</w:t>
      </w:r>
      <w:r w:rsidR="00CD4F4D">
        <w:rPr>
          <w:rFonts w:ascii="Times New Roman" w:hAnsi="Times New Roman" w:cs="Times New Roman"/>
          <w:sz w:val="20"/>
          <w:szCs w:val="20"/>
          <w:lang w:val="en-GB"/>
        </w:rPr>
        <w:t xml:space="preserve"> </w:t>
      </w:r>
      <w:r w:rsidR="00AB04A9">
        <w:rPr>
          <w:rFonts w:ascii="Times New Roman" w:hAnsi="Times New Roman" w:cs="Times New Roman"/>
          <w:sz w:val="20"/>
          <w:szCs w:val="20"/>
          <w:lang w:val="en-GB"/>
        </w:rPr>
        <w:fldChar w:fldCharType="begin" w:fldLock="1"/>
      </w:r>
      <w:r w:rsidR="00EA7188">
        <w:rPr>
          <w:rFonts w:ascii="Times New Roman" w:hAnsi="Times New Roman" w:cs="Times New Roman"/>
          <w:sz w:val="20"/>
          <w:szCs w:val="20"/>
          <w:lang w:val="en-GB"/>
        </w:rPr>
        <w:instrText>ADDIN CSL_CITATION {"citationItems":[{"id":"ITEM-1","itemData":{"DOI":"10.1136/jcp.40.6.642","ISSN":"00219746","abstract":"The clinical, hematological, morphological and histological features of a series of 22 patients presenting with splenic lymphoma with circulating villous lymphocytes were assessed and compared with those of patients with other forms of chronic B cell leukemia in an attempt to differentiate this condition from hairy cell leukemia, prolymphocytic leukemia, and chronic lymphocytic leukemia, with which this condition has many features in common. The disease was twice as common in men than in women, with a mean (SD) age at diagnosis of 72 (9) years, and the most consistent presenting feature was massive enlargement of the spleen, which showed white and red pulp disease with a plasmacytic component. Small monoclonal bands were found in 60% of cases.","author":[{"dropping-particle":"V.","family":"Melo","given":"J.","non-dropping-particle":"","parse-names":false,"suffix":""},{"dropping-particle":"","family":"Hegde","given":"U.","non-dropping-particle":"","parse-names":false,"suffix":""},{"dropping-particle":"","family":"Parreira","given":"A.","non-dropping-particle":"","parse-names":false,"suffix":""},{"dropping-particle":"","family":"Thompson","given":"I.","non-dropping-particle":"","parse-names":false,"suffix":""},{"dropping-particle":"","family":"Lampert","given":"I. A.","non-dropping-particle":"","parse-names":false,"suffix":""},{"dropping-particle":"","family":"Catovsky","given":"D.","non-dropping-particle":"","parse-names":false,"suffix":""}],"container-title":"Journal of Clinical Pathology","id":"ITEM-1","issue":"6","issued":{"date-parts":[["1987"]]},"page":"642-651","publisher":"J Clin Pathol","title":"Splenic B cell lymphoma with circulating villous lymphocytes: Differential diagnosis of B cell leukaemias with large spleens","type":"article-journal","volume":"40"},"uris":["http://www.mendeley.com/documents/?uuid=00a9f341-3937-3028-96a0-8bcdb4e87bf3"]},{"id":"ITEM-2","itemData":{"DOI":"10.1111/j.1365-2141.1991.tb04417.x","ISSN":"13652141","PMID":"2064958","abstract":"Summary We studied the natural history and response to treatment in 50 patients with splenic lymphoma with villous lymphocytes followed for a minimum of 6 months and up to 15 years (median 3·7 years). The disease occurs in the elderly (median 68 years) and affects males more than females (M/F ratio 1·77). The median survival for the group was not reached but 82% were surviving at 3 years and 78% at 5 years. Twelve patients (24%) died, one‐third of deaths were disease related (four patients) and one‐half were due to cardiovascular disease or another malignancy (six patients). The outcome was worse for males (31% died) than females (11% died). Fourteen patients were not treated and 10 remain alive between 1 and 6 years from diagnosis. The remaining patients were treated by chemotherapy, splenic irradiation or splenectomy. The response to chemotherapy was poor and only eight of 22 (36%) patients treated achieved a good response. Splenic irradiation was employed in seven patients and three benefited from it. Splenectomy seems to be the treatment of choice, with significant improvement seen in 19 of 20 patients with one post‐operative death. This response, lasting from 6 months to 7 years (median 4 years), was seen irrespective of whether splenectomy was the initial treatment or used later in management. Copyright © 1991, Wiley Blackwell. All rights reserved","author":[{"dropping-particle":"","family":"Mulligan","given":"Stephen P.","non-dropping-particle":"","parse-names":false,"suffix":""},{"dropping-particle":"","family":"Matutes","given":"Estella","non-dropping-particle":"","parse-names":false,"suffix":""},{"dropping-particle":"","family":"Dearden","given":"Claire","non-dropping-particle":"","parse-names":false,"suffix":""},{"dropping-particle":"","family":"Catovsky","given":"Daniel","non-dropping-particle":"","parse-names":false,"suffix":""}],"container-title":"British Journal of Haematology","id":"ITEM-2","issue":"2","issued":{"date-parts":[["1991"]]},"page":"206-209","publisher":"Br J Haematol","title":"Splenic lymphoma with villous lymphocytes: natural history and response to therapy in 50 cases","type":"article-journal","volume":"78"},"uris":["http://www.mendeley.com/documents/?uuid=03e420a5-aff1-3920-b34a-3efc45502937"]},{"id":"ITEM-3","itemData":{"DOI":"10.1097/00000478-199205000-00004","ISSN":"01475185","PMID":"1599024","abstract":"We describe four female patients with primary splenic low-grade non- Hodgkin's B-cell lymphomas with the morphology and immunophenotype of splenic marginal zone lymphocytes. The patients presented with splenomegaly, anemia, and weight loss. The bone marrow was involved in all four cases. Liver involvement was found in one patient; and in another, a CT scan revealed lymphadenopathy in the chest and abdomen. The histology of the spleen was characterized by broad concentric strands of monomorphic medium-sized lymphocytes around lymphoid follicles in one case and infiltrating follicles in two cases. Selective replacement of follicles was seen in one case. Tumor in splenic hilar lymph nodes (four cases) and liver (one case) was similar. Three patients remain well 4, 9, and 12 months, respectively, after splenectomy without further treatment. One patient who received chemotherapy died 1 year after splenectomy.","author":[{"dropping-particle":"","family":"Schmid","given":"C.","non-dropping-particle":"","parse-names":false,"suffix":""},{"dropping-particle":"","family":"Kirkham","given":"N.","non-dropping-particle":"","parse-names":false,"suffix":""},{"dropping-particle":"","family":"Diss","given":"T.","non-dropping-particle":"","parse-names":false,"suffix":""},{"dropping-particle":"","family":"Isaacson","given":"P. G.","non-dropping-particle":"","parse-names":false,"suffix":""}],"container-title":"American Journal of Surgical Pathology","id":"ITEM-3","issue":"5","issued":{"date-parts":[["1992"]]},"page":"455-466","publisher":"Am J Surg Pathol","title":"Splenic marginal zone cell lymphoma","type":"article-journal","volume":"16"},"uris":["http://www.mendeley.com/documents/?uuid=f59e52b0-9696-3414-b210-3d6d68d7bcc6"]},{"id":"ITEM-4","itemData":{"DOI":"10.1182/blood.v84.1.270.270","ISSN":"00064971","PMID":"8018922","abstract":"A phenotypic and molecular evaluation was made of 15 patients with mature B-cell leukemia/lymphoma showing exclusive spleen and bone marrow involvement. According to French-American-British criteria, these cases could not be classified as classical B-cell chronic lymphocytic leukemia, hairy cell leukemia and its variant forms, splenic lymphoma with villous lymphocytes, or leukemic phase non-Hodgkin's lymphoma (NHL; follicular or intermediate type). The immunophenotype pattern (high surface Ig and CD25 expression, and little or no reactivity with CD5, CD23, and CD11c) and cytomorphologic features of these neoplasms suggested an origin in the marginal zone of the spleen. Molecular analysis did not show any involvement of the dominantly acting oncogenes generally associated with lymphoid malignancies (c-myc, bcl-2, bcl-1, Ras), but mutations of the p53 tumor suppressor gene involving exons 5, 6, and 8 were found in 6 cases (6 of 15, 40%). In 4 cases, the p53 alterations consisted of a point mutation leading to amino acid substitution. In the remaining 2 cases, an insertion or deletion resulting in a frame-shift of the protein was observed. In all but 1 of the cases, the wild-type sequence at the mutation site was barely visible, implying the loss of the normal p53 allele in leukemic cells. All of the cases showed a clinical course compatible with that of low-grade NHL, regardless of the p53 loss/mutation. Overall, our data suggest the existence of a form of splenic B-cell leukemia/lymphoma of possible marginal zone origin in which p53 inactivation may play an important pathogenetic role.","author":[{"dropping-particle":"","family":"Baldini","given":"Luca","non-dropping-particle":"","parse-names":false,"suffix":""},{"dropping-particle":"","family":"Fracchiolla","given":"Nicola Stefano","non-dropping-particle":"","parse-names":false,"suffix":""},{"dropping-particle":"","family":"Cro","given":"Lilla Marcella","non-dropping-particle":"","parse-names":false,"suffix":""},{"dropping-particle":"","family":"Trecca","given":"Dino","non-dropping-particle":"","parse-names":false,"suffix":""},{"dropping-particle":"","family":"Romitti","given":"Lorenza","non-dropping-particle":"","parse-names":false,"suffix":""},{"dropping-particle":"","family":"Polli","given":"Elio","non-dropping-particle":"","parse-names":false,"suffix":""},{"dropping-particle":"","family":"Maiolo","given":"Anna Teresa","non-dropping-particle":"","parse-names":false,"suffix":""},{"dropping-particle":"","family":"Neri","given":"Antonino","non-dropping-particle":"","parse-names":false,"suffix":""}],"container-title":"Blood","id":"ITEM-4","issue":"1","issued":{"date-parts":[["1994","7","1"]]},"page":"270-278","publisher":"American Society of Hematology","title":"Frequent p53 gene involvement in splenic B-cell leukemia/lymphomas of possible marginal zone origin","type":"article-journal","volume":"84"},"uris":["http://www.mendeley.com/documents/?uuid=f9684098-048b-30c8-aaeb-615460a398f5"]},{"id":"ITEM-5","itemData":{"ISSN":"0006-4971 (Print)","PMID":"7888678","abstract":"Splenic lymphoma with villous lymphocytes (SLVL) is a recently defined subgroup of  chronic B-cell lymphoproliferative diseases. The characteristic morphology of the tumor cells, together with phenotypic and cytogenetic findings, indicate that it is a distinct entity, but the nature of the cell or origin and its relationship to other low-grade lymphomas is unclear. For B-cell tumors, analysis of the variable region heavy chain (VH) genes used to encode the clonal Ig has shown marked differences between histologic categories, both in gene usage and extent of somatic mutation. An investigation of VH genes used in five typical cases of SLVL has shown somatic hypermutation from germline sequences in all cases, indicating that the cell of origin has been exposed to the hypermutation mechanism. However, no clonal heterogeneity was detectable, demonstrating that the tumor cell does not accumulate further mutations. These characteristics are similar to those found in mature postfollicular B cells, such as plasma cells. The distribution of mutations leading to replacement amino acids differed among the cases, with three of five cases showing clear evidence for antigen selection.","author":[{"dropping-particle":"","family":"Zhu","given":"D","non-dropping-particle":"","parse-names":false,"suffix":""},{"dropping-particle":"","family":"Oscier","given":"D G","non-dropping-particle":"","parse-names":false,"suffix":""},{"dropping-particle":"","family":"Stevenson","given":"F K","non-dropping-particle":"","parse-names":false,"suffix":""}],"container-title":"Blood","id":"ITEM-5","issue":"6","issued":{"date-parts":[["1995","3"]]},"language":"eng","page":"1603-1607","publisher-place":"United States","title":"Splenic lymphoma with villous lymphocytes involves B cells with extensively mutated  Ig heavy chain variable region genes.","type":"article-journal","volume":"85"},"uris":["http://www.mendeley.com/documents/?uuid=3e72d8eb-4a9c-42ba-b5a3-3f3085806f3d"]},{"id":"ITEM-6","itemData":{"DOI":"10.1097/00000478-199510000-00005","ISSN":"01475185","PMID":"7573673","abstract":"The recognition and classification of the different varieties of splenic low-grade B-cell lymphomas have been hampered by the rarity of histological studies of surgical splenectomy specimens of B-cell lymphoma. In an effort to characterize the recently described splenic marginal zone lymphoma (SMZL), we conducted a survey of 13 patients with this type of tumor using the criteria defined by Schmid for its recognition (Schmid et al., Am J Surg Pathol 1992;16:455-66). Primary splenic high-grade lymphomas, T-cell lymphomas, and secondary infiltration by other recognized low-grade B-cell lymphomas, with the exception of splenic lymphoma with villous lymphocytes, were excluded. This selection gave rise to a homogeneous group of tumors with similar clinical, histological, immunohistochemical, and molecular features. Our study showed the critical parameters for their recognition to be morphological, including macroscopic micronodularity and the constant presence of white- and red-pulp infiltration, marginal zone pattern, and plasmacytic differentiation. No t(14;18) or PRAD-1/cyclin D1 overexpression was detect able in any case. Clinically, the tumors were widespread with a protracted evolution. Nodal infiltration by SMZL in our cases was morphologically similar to monocytoid B-cell lymphoma. SMZL could constitute the largest group of primary splenic malignant lymphomas, partially overlapping with splenic lymphoma with villous lymphocytes. Specific molecular markers for SMZL have yet to be defined. Because of the limited number of cases, the question of therapy for this group of lymphomas must remain open for the future.","author":[{"dropping-particle":"","family":"Mollejo","given":"M.","non-dropping-particle":"","parse-names":false,"suffix":""},{"dropping-particle":"","family":"Menarguez","given":"J.","non-dropping-particle":"","parse-names":false,"suffix":""},{"dropping-particle":"","family":"Lloret","given":"E.","non-dropping-particle":"","parse-names":false,"suffix":""},{"dropping-particle":"","family":"Sanchez","given":"A.","non-dropping-particle":"","parse-names":false,"suffix":""},{"dropping-particle":"","family":"Campo","given":"E.","non-dropping-particle":"","parse-names":false,"suffix":""},{"dropping-particle":"","family":"Algara","given":"P.","non-dropping-particle":"","parse-names":false,"suffix":""},{"dropping-particle":"","family":"Cristobal","given":"E.","non-dropping-particle":"","parse-names":false,"suffix":""},{"dropping-particle":"","family":"Sanchez","given":"E.","non-dropping-particle":"","parse-names":false,"suffix":""},{"dropping-particle":"","family":"Piris","given":"M. A.","non-dropping-particle":"","parse-names":false,"suffix":""}],"container-title":"American Journal of Surgical Pathology","id":"ITEM-6","issue":"10","issued":{"date-parts":[["1995"]]},"page":"1146-1157","publisher":"Lippincott Williams and Wilkins","title":"Splenic marginal zone lymphoma: A distinctive type of low-grade B-cell lymphoma: A clinicopathological study of 13 cases","type":"article-journal","volume":"19"},"uris":["http://www.mendeley.com/documents/?uuid=03998d67-fd08-3191-b390-6007ad3cc24c"]},{"id":"ITEM-7","itemData":{"DOI":"10.1056/nejmoa013376","ISSN":"0028-4793","PMID":"12110736","abstract":"Background: Some epidemiologic studies suggest a link between hepatitis C virus (HCV) infection and some B-cell non-Hodgkin's lymphomas. We undertook this study after a patient with splenic lymphoma with villous lymphocytes had a hematologic response after antiviral treatment of HCV infection. Methods: Nine patients who had splenic lymphoma with villous lymphocytes and HCV infection were treated with interferon alfa-2b (3 million IU three times per week) alone or in combination with ribavirin (1000 to 1200 mg per day). The outcomes were compared with those of six similarly treated patients with splenic lymphoma with villous lymphocytes who tested negative for HCV infection. Results: Of the nine patients with HCV infection who received interferon alfa, seven had a complete remission after the loss of detectable HCV RNA. The other two patients had a partial and a complete remission after the addition of ribavirin and the loss of detectable HCV RNA. One patient had a relapse when the HCV RNA load again became detectable in blood. In contrast, none of the six HCV-negative patients had a response to interferon therapy. Conclusions In patients with splenic lymphoma with villous lymphocytes who are infected with HCV, treatment with interferon can lead to regression of the lymphoma. Copyright © 2002 Massachusetts Medical Society.","author":[{"dropping-particle":"","family":"Hermine","given":"Olivier","non-dropping-particle":"","parse-names":false,"suffix":""},{"dropping-particle":"","family":"Lefrère","given":"François","non-dropping-particle":"","parse-names":false,"suffix":""},{"dropping-particle":"","family":"Bronowicki","given":"Jean-Pierre","non-dropping-particle":"","parse-names":false,"suffix":""},{"dropping-particle":"","family":"Mariette","given":"Xavier","non-dropping-particle":"","parse-names":false,"suffix":""},{"dropping-particle":"","family":"Jondeau","given":"Katayoun","non-dropping-particle":"","parse-names":false,"suffix":""},{"dropping-particle":"","family":"Eclache-Saudreau","given":"Virginie","non-dropping-particle":"","parse-names":false,"suffix":""},{"dropping-particle":"","family":"Delmas","given":"Béatrice","non-dropping-particle":"","parse-names":false,"suffix":""},{"dropping-particle":"","family":"Valensi","given":"Françoise","non-dropping-particle":"","parse-names":false,"suffix":""},{"dropping-particle":"","family":"Cacoub","given":"Patrice","non-dropping-particle":"","parse-names":false,"suffix":""},{"dropping-particle":"","family":"Brechot","given":"Christian","non-dropping-particle":"","parse-names":false,"suffix":""},{"dropping-particle":"","family":"Varet","given":"Bruno","non-dropping-particle":"","parse-names":false,"suffix":""},{"dropping-particle":"","family":"Troussard","given":"Xavier","non-dropping-particle":"","parse-names":false,"suffix":""}],"container-title":"New England Journal of Medicine","id":"ITEM-7","issue":"2","issued":{"date-parts":[["2002","7","11"]]},"page":"89-94","publisher":"Massachusetts Medical Society","title":"Regression of Splenic Lymphoma with Villous Lymphocytes after Treatment of Hepatitis C Virus Infection","type":"article-journal","volume":"347"},"uris":["http://www.mendeley.com/documents/?uuid=b95b8a80-ceba-3472-96c1-bb88b993e0a2"]},{"id":"ITEM-8","itemData":{"DOI":"10.1182/blood-2008-08-174110","ISSN":"00064971","PMID":"19258598","abstract":"Unique and shared cytogenetic abnormalities have been documented for marginal zone lymphomas (MZLs) arising at different sites. Recently, homozygous deletions of the chromosomal band 6q23, involving the tumor necrosis factor alpha-induced protein 3 (TNFAIP3, A20) gene, a negative regulator of NF-κB, were described in ocular adnexal MZL, suggesting a role for A20 as a tumor suppressor in this disease. Here, we investigated inactivation of A20 by DNA mutations or deletions in a panel of extranodal MZL (EMZL), nodal MZL (NMZL), and splenic MZL (SMZL). Inactivating mutations encoding truncated A20 proteins were identified in 6 (19%) of 32 MZLs, including 2 (18%) of 11 EMZLs, 3 (33%) of 9 NMZLs, and 1 (8%) of 12 SMZLs. Two additional unmutated nonsplenic MZLs also showed monoallelic or biallelic A20 deletions by fluorescent in situ hybridization (FISH) and/or SNP-arrays. Thus, A20 inactivation by either somatic mutation and/or deletion represents a common genetic aberration across all MZL subtypes, which may contribute to lymphomagenesis by inducing constitutive NF-κB activation. © 2009 by The American Society of Hematology.","author":[{"dropping-particle":"","family":"Novak","given":"Urban","non-dropping-particle":"","parse-names":false,"suffix":""},{"dropping-particle":"","family":"Rinaldi","given":"Andrea","non-dropping-particle":"","parse-names":false,"suffix":""},{"dropping-particle":"","family":"Kwee","given":"Ivo","non-dropping-particle":"","parse-names":false,"suffix":""},{"dropping-particle":"V.","family":"Nandula","given":"Subhadra","non-dropping-particle":"","parse-names":false,"suffix":""},{"dropping-particle":"","family":"Rancoita","given":"Paola M.V.","non-dropping-particle":"","parse-names":false,"suffix":""},{"dropping-particle":"","family":"Compagno","given":"Mara","non-dropping-particle":"","parse-names":false,"suffix":""},{"dropping-particle":"","family":"Cerri","given":"Michaela","non-dropping-particle":"","parse-names":false,"suffix":""},{"dropping-particle":"","family":"Rossi","given":"Davide","non-dropping-particle":"","parse-names":false,"suffix":""},{"dropping-particle":"V.","family":"Murty","given":"Vundavalli","non-dropping-particle":"","parse-names":false,"suffix":""},{"dropping-particle":"","family":"Zucca","given":"Emanuele","non-dropping-particle":"","parse-names":false,"suffix":""},{"dropping-particle":"","family":"Gaidano","given":"Gianluca","non-dropping-particle":"","parse-names":false,"suffix":""},{"dropping-particle":"","family":"Dalla-Favera","given":"Riccardo","non-dropping-particle":"","parse-names":false,"suffix":""},{"dropping-particle":"","family":"Pasqualucci","given":"Laura","non-dropping-particle":"","parse-names":false,"suffix":""},{"dropping-particle":"","family":"Bhagat","given":"Govind","non-dropping-particle":"","parse-names":false,"suffix":""},{"dropping-particle":"","family":"Bertoni","given":"Francesco","non-dropping-particle":"","parse-names":false,"suffix":""}],"container-title":"Blood","id":"ITEM-8","issue":"20","issued":{"date-parts":[["2009"]]},"page":"4918-4921","publisher":"Blood","title":"The NF-κB negative regulator TNFAIP3 (A20) is inactivated by somatic mutations and genomic deletions in marginal zone lymphomas","type":"article-journal","volume":"113"},"uris":["http://www.mendeley.com/documents/?uuid=d2f8138c-3c9f-380a-a4bc-5a84b6bf418f"]},{"id":"ITEM-9","itemData":{"DOI":"10.1111/j.1365-2141.1993.tb03337.x","ISSN":"0007-1048 (Print)","PMID":"8136270","abstract":"We report the cytogenetic findings on 31 cases of splenic lymphoma with villous  lymphocytes (SLVL). TPA stimulated cells from peripheral blood (28 cases), spleen (two cases) and lymph node (one case) with SLVL have been analysed. A clonal chromosome abnormality was found in 27/31 patients (87%); this was identified as a simple abnormality in 12 cases and a complex one in 15. Four recurring abnormalities were seen: t(11;14)(q13;q32) in five patients, deletions or translocations involving 7q in seven patients, iso 17q in four patients and translocations involving 2p11 in four patients. The high frequency of clonal chromosome abnormalities in SLVL contrasts with the usually benign clinical course of this disease. Abnormalities found frequently in patients with chronic lymphocytic leukaemia (CLL) such as trisomy 12 and deletions or translocations involving 13q14 were each seen in only one patient. No case had the t(14;18) characteristic of follicular lymphoma. Our findings demonstrate the high frequency of clonal and often complex chromosome abnormalities in SLVL. Although a unique chromosome rearrangement has not been identified, a pattern of four recurrent abnormalities has emerged. Our results suggest that SLVL is distinct on cytogenetic grounds from B-CLL and follicular lymphoma but shows similarity with mantle cell lymphoma, lymphoplasmacytic lymphoma and B-PLL.","author":[{"dropping-particle":"","family":"Oscier","given":"D G","non-dropping-particle":"","parse-names":false,"suffix":""},{"dropping-particle":"","family":"Matutes","given":"E","non-dropping-particle":"","parse-names":false,"suffix":""},{"dropping-particle":"","family":"Gardiner","given":"A","non-dropping-particle":"","parse-names":false,"suffix":""},{"dropping-particle":"","family":"Glide","given":"S","non-dropping-particle":"","parse-names":false,"suffix":""},{"dropping-particle":"","family":"Mould","given":"S","non-dropping-particle":"","parse-names":false,"suffix":""},{"dropping-particle":"","family":"Brito-Babapulle","given":"V","non-dropping-particle":"","parse-names":false,"suffix":""},{"dropping-particle":"","family":"Ellis","given":"J","non-dropping-particle":"","parse-names":false,"suffix":""},{"dropping-particle":"","family":"Catovsky","given":"D","non-dropping-particle":"","parse-names":false,"suffix":""}],"container-title":"British journal of haematology","id":"ITEM-9","issue":"3","issued":{"date-parts":[["1993","11"]]},"language":"eng","page":"487-491","publisher-place":"England","title":"Cytogenetic studies in splenic lymphoma with villous lymphocytes.","type":"article-journal","volume":"85"},"uris":["http://www.mendeley.com/documents/?uuid=b623c24a-e669-4b86-8767-0160e36eb374"]}],"mendeley":{"formattedCitation":"(Baldini et al., 1994; Hermine et al., 2002; Melo et al., 1987; Mollejo et al., 1995; Mulligan et al., 1991; Novak et al., 2009; Oscier et al., 1993; Schmid et al., 1992; Zhu et al., 1995)","plainTextFormattedCitation":"(Baldini et al., 1994; Hermine et al., 2002; Melo et al., 1987; Mollejo et al., 1995; Mulligan et al., 1991; Novak et al., 2009; Oscier et al., 1993; Schmid et al., 1992; Zhu et al., 1995)","previouslyFormattedCitation":"(Baldini et al., 1994; Hermine et al., 2002; Melo et al., 1987; Mollejo et al., 1995; Mulligan et al., 1991; Novak et al., 2009; Oscier et al., 1993; Schmid et al., 1992; Zhu et al., 1995)"},"properties":{"noteIndex":0},"schema":"https://github.com/citation-style-language/schema/raw/master/csl-citation.json"}</w:instrText>
      </w:r>
      <w:r w:rsidR="00AB04A9">
        <w:rPr>
          <w:rFonts w:ascii="Times New Roman" w:hAnsi="Times New Roman" w:cs="Times New Roman"/>
          <w:sz w:val="20"/>
          <w:szCs w:val="20"/>
          <w:lang w:val="en-GB"/>
        </w:rPr>
        <w:fldChar w:fldCharType="separate"/>
      </w:r>
      <w:r w:rsidR="00560829" w:rsidRPr="00560829">
        <w:rPr>
          <w:rFonts w:ascii="Times New Roman" w:hAnsi="Times New Roman" w:cs="Times New Roman"/>
          <w:noProof/>
          <w:sz w:val="20"/>
          <w:szCs w:val="20"/>
          <w:lang w:val="en-GB"/>
        </w:rPr>
        <w:t>(Baldini et al., 1994; Hermine et al., 2002; Melo et al., 1987; Mollejo et al., 1995; Mulligan et al., 1991; Novak et al., 2009; Oscier et al., 1993; Schmid et al., 1992; Zhu et al., 1995)</w:t>
      </w:r>
      <w:r w:rsidR="00AB04A9">
        <w:rPr>
          <w:rFonts w:ascii="Times New Roman" w:hAnsi="Times New Roman" w:cs="Times New Roman"/>
          <w:sz w:val="20"/>
          <w:szCs w:val="20"/>
          <w:lang w:val="en-GB"/>
        </w:rPr>
        <w:fldChar w:fldCharType="end"/>
      </w:r>
    </w:p>
    <w:p w14:paraId="77B80101" w14:textId="77777777" w:rsidR="00002888" w:rsidRPr="001C7AA5" w:rsidRDefault="00002888" w:rsidP="00814224">
      <w:pPr>
        <w:rPr>
          <w:rFonts w:ascii="Times New Roman" w:hAnsi="Times New Roman" w:cs="Times New Roman"/>
          <w:sz w:val="20"/>
          <w:szCs w:val="20"/>
          <w:lang w:val="en-GB"/>
        </w:rPr>
      </w:pPr>
    </w:p>
    <w:p w14:paraId="0BC6C97F" w14:textId="293E9400" w:rsidR="002D2432" w:rsidRPr="00002888" w:rsidRDefault="00457379" w:rsidP="00002888">
      <w:pPr>
        <w:pStyle w:val="Heading1"/>
        <w:spacing w:before="0" w:line="360" w:lineRule="auto"/>
        <w:jc w:val="left"/>
        <w:rPr>
          <w:rFonts w:ascii="Times New Roman" w:hAnsi="Times New Roman" w:cs="Times New Roman"/>
          <w:b/>
          <w:bCs/>
          <w:sz w:val="24"/>
          <w:szCs w:val="24"/>
        </w:rPr>
      </w:pPr>
      <w:r w:rsidRPr="00002888">
        <w:rPr>
          <w:rFonts w:ascii="Times New Roman" w:hAnsi="Times New Roman" w:cs="Times New Roman"/>
          <w:b/>
          <w:bCs/>
          <w:sz w:val="24"/>
          <w:szCs w:val="24"/>
        </w:rPr>
        <w:lastRenderedPageBreak/>
        <w:t>ANALYSIS OF THE IMMUNOGLOBULIN GENES</w:t>
      </w:r>
    </w:p>
    <w:p w14:paraId="0397BF13" w14:textId="3ED87DEC" w:rsidR="0008595F" w:rsidRDefault="0008595F" w:rsidP="00002888">
      <w:pPr>
        <w:spacing w:before="0" w:after="0" w:line="360" w:lineRule="auto"/>
        <w:jc w:val="left"/>
        <w:rPr>
          <w:rFonts w:ascii="Times New Roman" w:hAnsi="Times New Roman" w:cs="Times New Roman"/>
          <w:sz w:val="24"/>
          <w:szCs w:val="24"/>
          <w:lang w:val="en-GB"/>
        </w:rPr>
      </w:pPr>
      <w:r w:rsidRPr="00002888">
        <w:rPr>
          <w:rFonts w:ascii="Times New Roman" w:eastAsiaTheme="minorEastAsia" w:hAnsi="Times New Roman" w:cs="Times New Roman"/>
          <w:kern w:val="2"/>
          <w:sz w:val="24"/>
          <w:szCs w:val="24"/>
          <w:lang w:eastAsia="zh-CN"/>
        </w:rPr>
        <w:t xml:space="preserve">The most important molecule expressed on the cell surface of SMZL </w:t>
      </w:r>
      <w:r w:rsidR="00440600" w:rsidRPr="00002888">
        <w:rPr>
          <w:rFonts w:ascii="Times New Roman" w:eastAsiaTheme="minorEastAsia" w:hAnsi="Times New Roman" w:cs="Times New Roman"/>
          <w:kern w:val="2"/>
          <w:sz w:val="24"/>
          <w:szCs w:val="24"/>
          <w:lang w:eastAsia="zh-CN"/>
        </w:rPr>
        <w:t>B</w:t>
      </w:r>
      <w:r w:rsidRPr="00002888">
        <w:rPr>
          <w:rFonts w:ascii="Times New Roman" w:eastAsiaTheme="minorEastAsia" w:hAnsi="Times New Roman" w:cs="Times New Roman"/>
          <w:kern w:val="2"/>
          <w:sz w:val="24"/>
          <w:szCs w:val="24"/>
          <w:lang w:eastAsia="zh-CN"/>
        </w:rPr>
        <w:t>-cells is the B-cell receptor</w:t>
      </w:r>
      <w:r w:rsidR="0A22E26C" w:rsidRPr="00002888">
        <w:rPr>
          <w:rFonts w:ascii="Times New Roman" w:eastAsiaTheme="minorEastAsia" w:hAnsi="Times New Roman" w:cs="Times New Roman"/>
          <w:kern w:val="2"/>
          <w:sz w:val="24"/>
          <w:szCs w:val="24"/>
          <w:lang w:eastAsia="zh-CN"/>
        </w:rPr>
        <w:t xml:space="preserve"> (BCR)</w:t>
      </w:r>
      <w:r w:rsidRPr="00002888">
        <w:rPr>
          <w:rFonts w:ascii="Times New Roman" w:eastAsiaTheme="minorEastAsia" w:hAnsi="Times New Roman" w:cs="Times New Roman"/>
          <w:kern w:val="2"/>
          <w:sz w:val="24"/>
          <w:szCs w:val="24"/>
          <w:lang w:eastAsia="zh-CN"/>
        </w:rPr>
        <w:t xml:space="preserve">, that allows interaction with antigens and antigenic elements within the </w:t>
      </w:r>
      <w:proofErr w:type="spellStart"/>
      <w:r w:rsidRPr="00002888">
        <w:rPr>
          <w:rFonts w:ascii="Times New Roman" w:eastAsiaTheme="minorEastAsia" w:hAnsi="Times New Roman" w:cs="Times New Roman"/>
          <w:kern w:val="2"/>
          <w:sz w:val="24"/>
          <w:szCs w:val="24"/>
          <w:lang w:eastAsia="zh-CN"/>
        </w:rPr>
        <w:t>tumour</w:t>
      </w:r>
      <w:proofErr w:type="spellEnd"/>
      <w:r w:rsidRPr="00002888">
        <w:rPr>
          <w:rFonts w:ascii="Times New Roman" w:eastAsiaTheme="minorEastAsia" w:hAnsi="Times New Roman" w:cs="Times New Roman"/>
          <w:kern w:val="2"/>
          <w:sz w:val="24"/>
          <w:szCs w:val="24"/>
          <w:lang w:eastAsia="zh-CN"/>
        </w:rPr>
        <w:t xml:space="preserve"> microenvironment. </w:t>
      </w:r>
      <w:r w:rsidR="00EE386A" w:rsidRPr="00002888">
        <w:rPr>
          <w:rFonts w:ascii="Times New Roman" w:eastAsiaTheme="minorEastAsia" w:hAnsi="Times New Roman" w:cs="Times New Roman"/>
          <w:kern w:val="2"/>
          <w:sz w:val="24"/>
          <w:szCs w:val="24"/>
          <w:lang w:eastAsia="zh-CN"/>
        </w:rPr>
        <w:t xml:space="preserve">Seminal </w:t>
      </w:r>
      <w:r w:rsidR="00721F03" w:rsidRPr="00002888">
        <w:rPr>
          <w:rFonts w:ascii="Times New Roman" w:eastAsiaTheme="minorEastAsia" w:hAnsi="Times New Roman" w:cs="Times New Roman"/>
          <w:kern w:val="2"/>
          <w:sz w:val="24"/>
          <w:szCs w:val="24"/>
          <w:lang w:eastAsia="zh-CN"/>
        </w:rPr>
        <w:t>sequencing</w:t>
      </w:r>
      <w:r w:rsidRPr="00002888">
        <w:rPr>
          <w:rFonts w:ascii="Times New Roman" w:eastAsiaTheme="minorEastAsia" w:hAnsi="Times New Roman" w:cs="Times New Roman"/>
          <w:kern w:val="2"/>
          <w:sz w:val="24"/>
          <w:szCs w:val="24"/>
          <w:lang w:eastAsia="zh-CN"/>
        </w:rPr>
        <w:t xml:space="preserve"> </w:t>
      </w:r>
      <w:r w:rsidR="00EE386A" w:rsidRPr="00002888">
        <w:rPr>
          <w:rFonts w:ascii="Times New Roman" w:eastAsiaTheme="minorEastAsia" w:hAnsi="Times New Roman" w:cs="Times New Roman"/>
          <w:kern w:val="2"/>
          <w:sz w:val="24"/>
          <w:szCs w:val="24"/>
          <w:lang w:eastAsia="zh-CN"/>
        </w:rPr>
        <w:t xml:space="preserve">studies </w:t>
      </w:r>
      <w:r w:rsidR="00721F03" w:rsidRPr="00002888">
        <w:rPr>
          <w:rFonts w:ascii="Times New Roman" w:eastAsiaTheme="minorEastAsia" w:hAnsi="Times New Roman" w:cs="Times New Roman"/>
          <w:kern w:val="2"/>
          <w:sz w:val="24"/>
          <w:szCs w:val="24"/>
          <w:lang w:eastAsia="zh-CN"/>
        </w:rPr>
        <w:t xml:space="preserve">of the immunoglobulin (IG) </w:t>
      </w:r>
      <w:r w:rsidR="00EE386A" w:rsidRPr="00002888">
        <w:rPr>
          <w:rFonts w:ascii="Times New Roman" w:eastAsiaTheme="minorEastAsia" w:hAnsi="Times New Roman" w:cs="Times New Roman"/>
          <w:kern w:val="2"/>
          <w:sz w:val="24"/>
          <w:szCs w:val="24"/>
          <w:lang w:eastAsia="zh-CN"/>
        </w:rPr>
        <w:t>have been performed on the myriad of mature B-cell neoplasms, including SMZL, where they have identified key features of the B-cell receptor immunoglobulin repertoire indicating that clonal B-cell selection</w:t>
      </w:r>
      <w:r w:rsidR="00EE386A" w:rsidRPr="00002888">
        <w:rPr>
          <w:rFonts w:ascii="Times New Roman" w:hAnsi="Times New Roman" w:cs="Times New Roman"/>
          <w:sz w:val="24"/>
          <w:szCs w:val="24"/>
          <w:lang w:val="en-GB"/>
        </w:rPr>
        <w:t xml:space="preserve"> by antigen/superantigens is an important feature of SMZL pathophysiology.</w:t>
      </w:r>
      <w:r w:rsidR="00FA3A69" w:rsidRPr="00002888">
        <w:rPr>
          <w:rFonts w:ascii="Times New Roman" w:hAnsi="Times New Roman" w:cs="Times New Roman"/>
          <w:sz w:val="24"/>
          <w:szCs w:val="24"/>
          <w:lang w:val="en-GB"/>
        </w:rPr>
        <w:t xml:space="preserve"> </w:t>
      </w:r>
      <w:r w:rsidR="007C2333" w:rsidRPr="00002888">
        <w:rPr>
          <w:rFonts w:ascii="Times New Roman" w:hAnsi="Times New Roman" w:cs="Times New Roman"/>
          <w:sz w:val="24"/>
          <w:szCs w:val="24"/>
          <w:lang w:val="en-GB"/>
        </w:rPr>
        <w:t>I</w:t>
      </w:r>
      <w:r w:rsidR="00D70750" w:rsidRPr="00002888">
        <w:rPr>
          <w:rFonts w:ascii="Times New Roman" w:hAnsi="Times New Roman" w:cs="Times New Roman"/>
          <w:sz w:val="24"/>
          <w:szCs w:val="24"/>
          <w:lang w:val="en-GB"/>
        </w:rPr>
        <w:t>nvestigat</w:t>
      </w:r>
      <w:r w:rsidR="007C2333" w:rsidRPr="00002888">
        <w:rPr>
          <w:rFonts w:ascii="Times New Roman" w:hAnsi="Times New Roman" w:cs="Times New Roman"/>
          <w:sz w:val="24"/>
          <w:szCs w:val="24"/>
          <w:lang w:val="en-GB"/>
        </w:rPr>
        <w:t>ion of</w:t>
      </w:r>
      <w:r w:rsidR="00D70750" w:rsidRPr="00002888">
        <w:rPr>
          <w:rFonts w:ascii="Times New Roman" w:hAnsi="Times New Roman" w:cs="Times New Roman"/>
          <w:sz w:val="24"/>
          <w:szCs w:val="24"/>
          <w:lang w:val="en-GB"/>
        </w:rPr>
        <w:t xml:space="preserve"> large SMZL cohorts </w:t>
      </w:r>
      <w:r w:rsidR="007C2333" w:rsidRPr="00002888">
        <w:rPr>
          <w:rFonts w:ascii="Times New Roman" w:hAnsi="Times New Roman" w:cs="Times New Roman"/>
          <w:sz w:val="24"/>
          <w:szCs w:val="24"/>
          <w:lang w:val="en-GB"/>
        </w:rPr>
        <w:t>has demonstrated remarkabl</w:t>
      </w:r>
      <w:r w:rsidR="7F7F867B" w:rsidRPr="00002888">
        <w:rPr>
          <w:rFonts w:ascii="Times New Roman" w:hAnsi="Times New Roman" w:cs="Times New Roman"/>
          <w:sz w:val="24"/>
          <w:szCs w:val="24"/>
          <w:lang w:val="en-GB"/>
        </w:rPr>
        <w:t>y</w:t>
      </w:r>
      <w:r w:rsidR="007C2333" w:rsidRPr="00002888">
        <w:rPr>
          <w:rFonts w:ascii="Times New Roman" w:hAnsi="Times New Roman" w:cs="Times New Roman"/>
          <w:sz w:val="24"/>
          <w:szCs w:val="24"/>
          <w:lang w:val="en-GB"/>
        </w:rPr>
        <w:t xml:space="preserve"> bias</w:t>
      </w:r>
      <w:r w:rsidR="5C74E8BF" w:rsidRPr="00002888">
        <w:rPr>
          <w:rFonts w:ascii="Times New Roman" w:hAnsi="Times New Roman" w:cs="Times New Roman"/>
          <w:sz w:val="24"/>
          <w:szCs w:val="24"/>
          <w:lang w:val="en-GB"/>
        </w:rPr>
        <w:t>ed</w:t>
      </w:r>
      <w:r w:rsidR="007C2333" w:rsidRPr="00002888">
        <w:rPr>
          <w:rFonts w:ascii="Times New Roman" w:hAnsi="Times New Roman" w:cs="Times New Roman"/>
          <w:sz w:val="24"/>
          <w:szCs w:val="24"/>
          <w:lang w:val="en-GB"/>
        </w:rPr>
        <w:t xml:space="preserve"> </w:t>
      </w:r>
      <w:r w:rsidR="009844B4" w:rsidRPr="00002888">
        <w:rPr>
          <w:rFonts w:ascii="Times New Roman" w:hAnsi="Times New Roman" w:cs="Times New Roman"/>
          <w:sz w:val="24"/>
          <w:szCs w:val="24"/>
          <w:lang w:val="en-GB"/>
        </w:rPr>
        <w:t>usage of</w:t>
      </w:r>
      <w:r w:rsidR="003A2FEC" w:rsidRPr="00002888">
        <w:rPr>
          <w:rFonts w:ascii="Times New Roman" w:hAnsi="Times New Roman" w:cs="Times New Roman"/>
          <w:sz w:val="24"/>
          <w:szCs w:val="24"/>
          <w:lang w:val="en-GB"/>
        </w:rPr>
        <w:t xml:space="preserve"> immunoglobulin heavy chain </w:t>
      </w:r>
      <w:r w:rsidR="00175F0C" w:rsidRPr="00002888">
        <w:rPr>
          <w:rFonts w:ascii="Times New Roman" w:hAnsi="Times New Roman" w:cs="Times New Roman"/>
          <w:sz w:val="24"/>
          <w:szCs w:val="24"/>
          <w:lang w:val="en-GB"/>
        </w:rPr>
        <w:t>(</w:t>
      </w:r>
      <w:r w:rsidR="00175F0C" w:rsidRPr="00002888">
        <w:rPr>
          <w:rFonts w:ascii="Times New Roman" w:hAnsi="Times New Roman" w:cs="Times New Roman"/>
          <w:i/>
          <w:iCs/>
          <w:sz w:val="24"/>
          <w:szCs w:val="24"/>
          <w:lang w:val="en-GB"/>
        </w:rPr>
        <w:t>IGHV</w:t>
      </w:r>
      <w:r w:rsidR="00175F0C" w:rsidRPr="00002888">
        <w:rPr>
          <w:rFonts w:ascii="Times New Roman" w:hAnsi="Times New Roman" w:cs="Times New Roman"/>
          <w:sz w:val="24"/>
          <w:szCs w:val="24"/>
          <w:lang w:val="en-GB"/>
        </w:rPr>
        <w:t xml:space="preserve">) </w:t>
      </w:r>
      <w:r w:rsidR="003A2FEC" w:rsidRPr="00002888">
        <w:rPr>
          <w:rFonts w:ascii="Times New Roman" w:hAnsi="Times New Roman" w:cs="Times New Roman"/>
          <w:sz w:val="24"/>
          <w:szCs w:val="24"/>
          <w:lang w:val="en-GB"/>
        </w:rPr>
        <w:t>genes</w:t>
      </w:r>
      <w:r w:rsidR="17F52E7B" w:rsidRPr="00002888">
        <w:rPr>
          <w:rFonts w:ascii="Times New Roman" w:hAnsi="Times New Roman" w:cs="Times New Roman"/>
          <w:sz w:val="24"/>
          <w:szCs w:val="24"/>
          <w:lang w:val="en-GB"/>
        </w:rPr>
        <w:t>,</w:t>
      </w:r>
      <w:r w:rsidR="0017521C" w:rsidRPr="00002888">
        <w:rPr>
          <w:rFonts w:ascii="Times New Roman" w:hAnsi="Times New Roman" w:cs="Times New Roman"/>
          <w:sz w:val="24"/>
          <w:szCs w:val="24"/>
          <w:lang w:val="en-GB"/>
        </w:rPr>
        <w:t xml:space="preserve"> namely </w:t>
      </w:r>
      <w:r w:rsidR="007C2333" w:rsidRPr="00002888">
        <w:rPr>
          <w:rFonts w:ascii="Times New Roman" w:hAnsi="Times New Roman" w:cs="Times New Roman"/>
          <w:sz w:val="24"/>
          <w:szCs w:val="24"/>
          <w:lang w:val="en-GB"/>
        </w:rPr>
        <w:t xml:space="preserve">enrichment of the </w:t>
      </w:r>
      <w:r w:rsidR="0017521C" w:rsidRPr="00002888">
        <w:rPr>
          <w:rFonts w:ascii="Times New Roman" w:hAnsi="Times New Roman" w:cs="Times New Roman"/>
          <w:i/>
          <w:iCs/>
          <w:sz w:val="24"/>
          <w:szCs w:val="24"/>
          <w:lang w:val="en-GB"/>
        </w:rPr>
        <w:t>IGHV1-</w:t>
      </w:r>
      <w:r w:rsidR="00511F5B" w:rsidRPr="00002888">
        <w:rPr>
          <w:rFonts w:ascii="Times New Roman" w:hAnsi="Times New Roman" w:cs="Times New Roman"/>
          <w:i/>
          <w:iCs/>
          <w:sz w:val="24"/>
          <w:szCs w:val="24"/>
          <w:lang w:val="en-GB"/>
        </w:rPr>
        <w:t>0</w:t>
      </w:r>
      <w:r w:rsidR="0017521C" w:rsidRPr="00002888">
        <w:rPr>
          <w:rFonts w:ascii="Times New Roman" w:hAnsi="Times New Roman" w:cs="Times New Roman"/>
          <w:i/>
          <w:iCs/>
          <w:sz w:val="24"/>
          <w:szCs w:val="24"/>
          <w:lang w:val="en-GB"/>
        </w:rPr>
        <w:t>2</w:t>
      </w:r>
      <w:r w:rsidR="00EE2B1D" w:rsidRPr="00002888">
        <w:rPr>
          <w:rFonts w:ascii="Times New Roman" w:hAnsi="Times New Roman" w:cs="Times New Roman"/>
          <w:sz w:val="24"/>
          <w:szCs w:val="24"/>
          <w:lang w:val="en-GB"/>
        </w:rPr>
        <w:t xml:space="preserve"> (30%)</w:t>
      </w:r>
      <w:r w:rsidR="0017521C" w:rsidRPr="00002888">
        <w:rPr>
          <w:rFonts w:ascii="Times New Roman" w:hAnsi="Times New Roman" w:cs="Times New Roman"/>
          <w:sz w:val="24"/>
          <w:szCs w:val="24"/>
          <w:lang w:val="en-GB"/>
        </w:rPr>
        <w:t xml:space="preserve">, </w:t>
      </w:r>
      <w:r w:rsidR="0017521C" w:rsidRPr="00002888">
        <w:rPr>
          <w:rFonts w:ascii="Times New Roman" w:hAnsi="Times New Roman" w:cs="Times New Roman"/>
          <w:i/>
          <w:iCs/>
          <w:sz w:val="24"/>
          <w:szCs w:val="24"/>
          <w:lang w:val="en-GB"/>
        </w:rPr>
        <w:t>IGHV4-34</w:t>
      </w:r>
      <w:r w:rsidR="0017521C" w:rsidRPr="00002888">
        <w:rPr>
          <w:rFonts w:ascii="Times New Roman" w:hAnsi="Times New Roman" w:cs="Times New Roman"/>
          <w:sz w:val="24"/>
          <w:szCs w:val="24"/>
          <w:lang w:val="en-GB"/>
        </w:rPr>
        <w:t xml:space="preserve"> </w:t>
      </w:r>
      <w:r w:rsidR="00EE2B1D" w:rsidRPr="00002888">
        <w:rPr>
          <w:rFonts w:ascii="Times New Roman" w:hAnsi="Times New Roman" w:cs="Times New Roman"/>
          <w:sz w:val="24"/>
          <w:szCs w:val="24"/>
          <w:lang w:val="en-GB"/>
        </w:rPr>
        <w:t xml:space="preserve">(11%) </w:t>
      </w:r>
      <w:r w:rsidR="0017521C" w:rsidRPr="00002888">
        <w:rPr>
          <w:rFonts w:ascii="Times New Roman" w:hAnsi="Times New Roman" w:cs="Times New Roman"/>
          <w:sz w:val="24"/>
          <w:szCs w:val="24"/>
          <w:lang w:val="en-GB"/>
        </w:rPr>
        <w:t xml:space="preserve">and </w:t>
      </w:r>
      <w:r w:rsidR="0017521C" w:rsidRPr="00002888">
        <w:rPr>
          <w:rFonts w:ascii="Times New Roman" w:hAnsi="Times New Roman" w:cs="Times New Roman"/>
          <w:i/>
          <w:iCs/>
          <w:sz w:val="24"/>
          <w:szCs w:val="24"/>
          <w:lang w:val="en-GB"/>
        </w:rPr>
        <w:t>IGHV3-23</w:t>
      </w:r>
      <w:r w:rsidR="0017521C" w:rsidRPr="00002888">
        <w:rPr>
          <w:rFonts w:ascii="Times New Roman" w:hAnsi="Times New Roman" w:cs="Times New Roman"/>
          <w:sz w:val="24"/>
          <w:szCs w:val="24"/>
          <w:lang w:val="en-GB"/>
        </w:rPr>
        <w:t xml:space="preserve"> </w:t>
      </w:r>
      <w:r w:rsidR="00EE2B1D" w:rsidRPr="00002888">
        <w:rPr>
          <w:rFonts w:ascii="Times New Roman" w:hAnsi="Times New Roman" w:cs="Times New Roman"/>
          <w:sz w:val="24"/>
          <w:szCs w:val="24"/>
          <w:lang w:val="en-GB"/>
        </w:rPr>
        <w:t xml:space="preserve">(9%) </w:t>
      </w:r>
      <w:r w:rsidR="007C2333" w:rsidRPr="00002888">
        <w:rPr>
          <w:rFonts w:ascii="Times New Roman" w:hAnsi="Times New Roman" w:cs="Times New Roman"/>
          <w:sz w:val="24"/>
          <w:szCs w:val="24"/>
          <w:lang w:val="en-GB"/>
        </w:rPr>
        <w:t>genes</w:t>
      </w:r>
      <w:r w:rsidRPr="00002888">
        <w:rPr>
          <w:rFonts w:ascii="Times New Roman" w:hAnsi="Times New Roman" w:cs="Times New Roman"/>
          <w:sz w:val="24"/>
          <w:szCs w:val="24"/>
          <w:lang w:val="en-GB"/>
        </w:rPr>
        <w:t>, that collectively represent almost half of SMZL cases</w:t>
      </w:r>
      <w:r w:rsidR="007C2333" w:rsidRPr="00002888">
        <w:rPr>
          <w:rFonts w:ascii="Times New Roman" w:hAnsi="Times New Roman" w:cs="Times New Roman"/>
          <w:sz w:val="24"/>
          <w:szCs w:val="24"/>
          <w:lang w:val="en-GB"/>
        </w:rPr>
        <w:t xml:space="preserve"> </w:t>
      </w:r>
      <w:r w:rsidR="0017521C" w:rsidRPr="00002888">
        <w:rPr>
          <w:rFonts w:ascii="Times New Roman" w:hAnsi="Times New Roman" w:cs="Times New Roman"/>
          <w:sz w:val="24"/>
          <w:szCs w:val="24"/>
          <w:lang w:val="en-GB"/>
        </w:rPr>
        <w:fldChar w:fldCharType="begin" w:fldLock="1"/>
      </w:r>
      <w:r w:rsidR="00EB4D78" w:rsidRPr="00002888">
        <w:rPr>
          <w:rFonts w:ascii="Times New Roman" w:hAnsi="Times New Roman" w:cs="Times New Roman"/>
          <w:sz w:val="24"/>
          <w:szCs w:val="24"/>
          <w:lang w:val="en-GB"/>
        </w:rPr>
        <w:instrText>ADDIN CSL_CITATION {"citationItems":[{"id":"ITEM-1","itemData":{"DOI":"10.1038/leu.2012.3","ISSN":"1476-5551","PMID":"22222599","abstract":"We performed an immunogenetic analysis of 345 IGHV-IGHD-IGHJ rearrangements from 337 cases with primary splenic small B-cell lymphomas of marginal-zone origin. Three immunoglobulin (IG) heavy variable (IGHV) genes accounted for 45.8% of the cases (IGHV1-2, 24.9%; IGHV4-34, 12.8%; IGHV3-23, 8.1%). Particularly for the IGHV1-2 gene, strong biases were evident regarding utilization of different alleles, with 79/86 rearrangements (92%) using allele (*)04. Among cases more stringently classified as splenic marginal-zone lymphoma (SMZL) thanks to the availability of splenic histopathological specimens, the frequency of IGHV1-2(*)04 peaked at 31%. The IGHV1-2(*)04 rearrangements carried significantly longer complementarity-determining region-3 (CDR3) than all other cases and showed biased IGHD gene usage, leading to CDR3s with common motifs. The great majority of analyzed rearrangements (299/345, 86.7%) carried IGHV genes with some impact of somatic hypermutation, from minimal to pronounced. Noticeably, 75/79 (95%) IGHV1-2(*)04 rearrangements were mutated; however, they mostly (56/75 cases; 74.6%) carried few mutations (97-99.9% germline identity) of conservative nature and restricted distribution. These distinctive features of the IG receptors indicate selection by (super)antigenic element(s) in the pathogenesis of SMZL. Furthermore, they raise the possibility that certain SMZL subtypes could derive from progenitor populations adapted to particular antigenic challenges through selection of VH domain specificities, in particular the IGHV1-2(*)04 allele.","author":[{"dropping-particle":"","family":"Bikos","given":"V.","non-dropping-particle":"","parse-names":false,"suffix":""},{"dropping-particle":"","family":"Darzentas","given":"N.","non-dropping-particle":"","parse-names":false,"suffix":""},{"dropping-particle":"","family":"Hadzidimitriou","given":"A.","non-dropping-particle":"","parse-names":false,"suffix":""},{"dropping-particle":"","family":"Davis","given":"Z.","non-dropping-particle":"","parse-names":false,"suffix":""},{"dropping-particle":"","family":"Hockley","given":"S.","non-dropping-particle":"","parse-names":false,"suffix":""},{"dropping-particle":"","family":"Traverse-Glehen","given":"A.","non-dropping-particle":"","parse-names":false,"suffix":""},{"dropping-particle":"","family":"Algara","given":"P.","non-dropping-particle":"","parse-names":false,"suffix":""},{"dropping-particle":"","family":"Santoro","given":"A.","non-dropping-particle":"","parse-names":false,"suffix":""},{"dropping-particle":"","family":"Gonzalez","given":"D.","non-dropping-particle":"","parse-names":false,"suffix":""},{"dropping-particle":"","family":"Mollejo","given":"M.","non-dropping-particle":"","parse-names":false,"suffix":""},{"dropping-particle":"","family":"Dagklis","given":"A.","non-dropping-particle":"","parse-names":false,"suffix":""},{"dropping-particle":"","family":"Gangemi","given":"F.","non-dropping-particle":"","parse-names":false,"suffix":""},{"dropping-particle":"","family":"Bosler","given":"D. S.","non-dropping-particle":"","parse-names":false,"suffix":""},{"dropping-particle":"","family":"Bourikas","given":"G.","non-dropping-particle":"","parse-names":false,"suffix":""},{"dropping-particle":"","family":"Anagnostopoulos","given":"A.","non-dropping-particle":"","parse-names":false,"suffix":""},{"dropping-particle":"","family":"Tsaftaris","given":"A.","non-dropping-particle":"","parse-names":false,"suffix":""},{"dropping-particle":"","family":"Iannitto","given":"E.","non-dropping-particle":"","parse-names":false,"suffix":""},{"dropping-particle":"","family":"Ponzoni","given":"M.","non-dropping-particle":"","parse-names":false,"suffix":""},{"dropping-particle":"","family":"Felman","given":"P.","non-dropping-particle":"","parse-names":false,"suffix":""},{"dropping-particle":"","family":"Berger","given":"F.","non-dropping-particle":"","parse-names":false,"suffix":""},{"dropping-particle":"","family":"Belessi","given":"C.","non-dropping-particle":"","parse-names":false,"suffix":""},{"dropping-particle":"","family":"Ghia","given":"P.","non-dropping-particle":"","parse-names":false,"suffix":""},{"dropping-particle":"","family":"Papadaki","given":"T.","non-dropping-particle":"","parse-names":false,"suffix":""},{"dropping-particle":"","family":"Dogan","given":"A.","non-dropping-particle":"","parse-names":false,"suffix":""},{"dropping-particle":"","family":"Degano","given":"M.","non-dropping-particle":"","parse-names":false,"suffix":""},{"dropping-particle":"","family":"Matutes","given":"E.","non-dropping-particle":"","parse-names":false,"suffix":""},{"dropping-particle":"","family":"Piris","given":"M. A.","non-dropping-particle":"","parse-names":false,"suffix":""},{"dropping-particle":"","family":"Oscier","given":"D.","non-dropping-particle":"","parse-names":false,"suffix":""},{"dropping-particle":"","family":"Stamatopoulos","given":"K.","non-dropping-particle":"","parse-names":false,"suffix":""}],"container-title":"Leukemia","id":"ITEM-1","issue":"7","issued":{"date-parts":[["2012","7"]]},"page":"1638-46","publisher":"Nature Publishing Group","title":"Over 30% of patients with splenic marginal zone lymphoma express the same immunoglobulin heavy variable gene: ontogenetic implications.","type":"article-journal","volume":"26"},"uris":["http://www.mendeley.com/documents/?uuid=823912f5-04a2-440b-9c88-95753fbf4b1d"]},{"id":"ITEM-2","itemData":{"DOI":"10.1002/path.5209","ISSN":"1096-9896","PMID":"30484876","abstract":"The B cell receptor immunoglobulin (Ig) gene repertoires of marginal zone (MZ) lymphoproliferations were analyzed in order to obtain insight into their ontogenetic relationships. Our cohort included cases with MZ lymphomas (n = 488), i.e. splenic (SMZL), nodal (NMZL) and extranodal (ENMZL), as well as provisional entities (n = 76), according to the WHO classification. The most striking Ig gene repertoire skewing was observed in SMZL. However, restrictions were also identified in all other MZ lymphomas studied, particularly ENMZL, with significantly different Ig gene distributions depending on the primary site of involvement. Cross-entity comparisons of the MZ Ig sequence dataset with a large dataset of Ig sequences (MZ-related or not; n = 65 837) revealed four major clusters of cases sharing homologous ('public') heavy variable complementarity-determining region 3. These clusters included rearrangements from SMZL, ENMZL (gastric, salivary gland, ocular adnexa), chronic lymphocytic leukemia, but also rheumatoid factors and non-malignant splenic MZ cells. In conclusion, different MZ lymphomas display biased immunogenetic signatures indicating distinct antigen exposure histories. The existence of rare public stereotypes raises the intriguing possibility that common, pathogen-triggered, immune-mediated mechanisms may result in diverse B lymphoproliferations due to targeting versatile progenitor B cells and/or operating in particular microenvironments. Copyright © 2018 Pathological Society of Great Britain and Ireland. Published by John Wiley &amp; Sons, Ltd.","author":[{"dropping-particle":"","family":"Xochelli","given":"Aliki","non-dropping-particle":"","parse-names":false,"suffix":""},{"dropping-particle":"","family":"Bikos","given":"Vasilis","non-dropping-particle":"","parse-names":false,"suffix":""},{"dropping-particle":"","family":"Polychronidou","given":"Eleftheria","non-dropping-particle":"","parse-names":false,"suffix":""},{"dropping-particle":"","family":"Galigalidou","given":"Chrysi","non-dropping-particle":"","parse-names":false,"suffix":""},{"dropping-particle":"","family":"Agathangelidis","given":"Andreas","non-dropping-particle":"","parse-names":false,"suffix":""},{"dropping-particle":"","family":"Charlotte","given":"Frédéric","non-dropping-particle":"","parse-names":false,"suffix":""},{"dropping-particle":"","family":"Moschonas","given":"Panagiotis","non-dropping-particle":"","parse-names":false,"suffix":""},{"dropping-particle":"","family":"Davis","given":"Zadie","non-dropping-particle":"","parse-names":false,"suffix":""},{"dropping-particle":"","family":"Colombo","given":"Monica","non-dropping-particle":"","parse-names":false,"suffix":""},{"dropping-particle":"","family":"Roumelioti","given":"Maria","non-dropping-particle":"","parse-names":false,"suffix":""},{"dropping-particle":"","family":"Sutton","given":"Lesley-Ann","non-dropping-particle":"","parse-names":false,"suffix":""},{"dropping-particle":"","family":"Groenen","given":"Patricia","non-dropping-particle":"","parse-names":false,"suffix":""},{"dropping-particle":"","family":"Brand","given":"Michiel","non-dropping-particle":"van den","parse-names":false,"suffix":""},{"dropping-particle":"","family":"Boudjoghra","given":"Myriam","non-dropping-particle":"","parse-names":false,"suffix":""},{"dropping-particle":"","family":"Algara","given":"Patricia","non-dropping-particle":"","parse-names":false,"suffix":""},{"dropping-particle":"","family":"Traverse-Glehen","given":"Alexandra","non-dropping-particle":"","parse-names":false,"suffix":""},{"dropping-particle":"","family":"Ferrer","given":"Ana","non-dropping-particle":"","parse-names":false,"suffix":""},{"dropping-particle":"","family":"Stalika","given":"Evangelia","non-dropping-particle":"","parse-names":false,"suffix":""},{"dropping-particle":"","family":"Karypidou","given":"Maria","non-dropping-particle":"","parse-names":false,"suffix":""},{"dropping-particle":"","family":"Kanellis","given":"George","non-dropping-particle":"","parse-names":false,"suffix":""},{"dropping-particle":"","family":"Kalpadakis","given":"Christina","non-dropping-particle":"","parse-names":false,"suffix":""},{"dropping-particle":"","family":"Mollejo","given":"Manuella","non-dropping-particle":"","parse-names":false,"suffix":""},{"dropping-particle":"","family":"Pangalis","given":"Gerasimos","non-dropping-particle":"","parse-names":false,"suffix":""},{"dropping-particle":"","family":"Vlamos","given":"Panayiotis","non-dropping-particle":"","parse-names":false,"suffix":""},{"dropping-particle":"","family":"Amini","given":"Rose-Marie","non-dropping-particle":"","parse-names":false,"suffix":""},{"dropping-particle":"","family":"Pospisilova","given":"Sarka","non-dropping-particle":"","parse-names":false,"suffix":""},{"dropping-particle":"","family":"Gonzalez","given":"David","non-dropping-particle":"","parse-names":false,"suffix":""},{"dropping-particle":"","family":"Ponzoni","given":"Maurilio","non-dropping-particle":"","parse-names":false,"suffix":""},{"dropping-particle":"","family":"Anagnostopoulos","given":"Achilles","non-dropping-particle":"","parse-names":false,"suffix":""},{"dropping-particle":"","family":"Giudicelli","given":"Véronique","non-dropping-particle":"","parse-names":false,"suffix":""},{"dropping-particle":"","family":"Lefranc","given":"Marie-Paule","non-dropping-particle":"","parse-names":false,"suffix":""},{"dropping-particle":"","family":"Espinet","given":"Blanca","non-dropping-particle":"","parse-names":false,"suffix":""},{"dropping-particle":"","family":"Panagiotidis","given":"Panagiotis","non-dropping-particle":"","parse-names":false,"suffix":""},{"dropping-particle":"","family":"Piris","given":"Miguel Angel","non-dropping-particle":"","parse-names":false,"suffix":""},{"dropping-particle":"","family":"Du","given":"Ming-Qing","non-dropping-particle":"","parse-names":false,"suffix":""},{"dropping-particle":"","family":"Rosenquist","given":"Richard","non-dropping-particle":"","parse-names":false,"suffix":""},{"dropping-particle":"","family":"Papadaki","given":"Theodora","non-dropping-particle":"","parse-names":false,"suffix":""},{"dropping-particle":"","family":"Belessi","given":"Chrysoula","non-dropping-particle":"","parse-names":false,"suffix":""},{"dropping-particle":"","family":"Ferrarini","given":"Manlio","non-dropping-particle":"","parse-names":false,"suffix":""},{"dropping-particle":"","family":"Oscier","given":"David","non-dropping-particle":"","parse-names":false,"suffix":""},{"dropping-particle":"","family":"Tzovaras","given":"Dimitrios","non-dropping-particle":"","parse-names":false,"suffix":""},{"dropping-particle":"","family":"Ghia","given":"Paolo","non-dropping-particle":"","parse-names":false,"suffix":""},{"dropping-particle":"","family":"Davi","given":"Frederic","non-dropping-particle":"","parse-names":false,"suffix":""},{"dropping-particle":"","family":"Hadzidimitriou","given":"Anastasia","non-dropping-particle":"","parse-names":false,"suffix":""},{"dropping-particle":"","family":"Stamatopoulos","given":"Kostas","non-dropping-particle":"","parse-names":false,"suffix":""}],"container-title":"The Journal of pathology","id":"ITEM-2","issue":"4","issued":{"date-parts":[["2019"]]},"page":"416-421","title":"Disease-biased and shared characteristics of the immunoglobulin gene repertoires in marginal zone B cell lymphoproliferations.","type":"article-journal","volume":"247"},"uris":["http://www.mendeley.com/documents/?uuid=d2194108-2c82-4e91-b84c-a1bb256b05b6"]}],"mendeley":{"formattedCitation":"(Bikos et al., 2012; Xochelli et al., 2019)","plainTextFormattedCitation":"(Bikos et al., 2012; Xochelli et al., 2019)","previouslyFormattedCitation":"(Bikos et al., 2012; Xochelli et al., 2019)"},"properties":{"noteIndex":0},"schema":"https://github.com/citation-style-language/schema/raw/master/csl-citation.json"}</w:instrText>
      </w:r>
      <w:r w:rsidR="0017521C" w:rsidRPr="00002888">
        <w:rPr>
          <w:rFonts w:ascii="Times New Roman" w:hAnsi="Times New Roman" w:cs="Times New Roman"/>
          <w:sz w:val="24"/>
          <w:szCs w:val="24"/>
          <w:lang w:val="en-GB"/>
        </w:rPr>
        <w:fldChar w:fldCharType="separate"/>
      </w:r>
      <w:r w:rsidR="00A15967" w:rsidRPr="00002888">
        <w:rPr>
          <w:rFonts w:ascii="Times New Roman" w:hAnsi="Times New Roman" w:cs="Times New Roman"/>
          <w:noProof/>
          <w:sz w:val="24"/>
          <w:szCs w:val="24"/>
          <w:lang w:val="en-GB"/>
        </w:rPr>
        <w:t>(Bikos et al., 2012; Xochelli et al., 2019)</w:t>
      </w:r>
      <w:r w:rsidR="0017521C" w:rsidRPr="00002888">
        <w:rPr>
          <w:rFonts w:ascii="Times New Roman" w:hAnsi="Times New Roman" w:cs="Times New Roman"/>
          <w:sz w:val="24"/>
          <w:szCs w:val="24"/>
          <w:lang w:val="en-GB"/>
        </w:rPr>
        <w:fldChar w:fldCharType="end"/>
      </w:r>
      <w:r w:rsidR="0017521C" w:rsidRPr="00002888">
        <w:rPr>
          <w:rFonts w:ascii="Times New Roman" w:hAnsi="Times New Roman" w:cs="Times New Roman"/>
          <w:sz w:val="24"/>
          <w:szCs w:val="24"/>
          <w:lang w:val="en-GB"/>
        </w:rPr>
        <w:t>.</w:t>
      </w:r>
      <w:r w:rsidRPr="00002888">
        <w:rPr>
          <w:rFonts w:ascii="Times New Roman" w:hAnsi="Times New Roman" w:cs="Times New Roman"/>
          <w:sz w:val="24"/>
          <w:szCs w:val="24"/>
          <w:lang w:val="en-GB"/>
        </w:rPr>
        <w:t xml:space="preserve"> Of note is the </w:t>
      </w:r>
      <w:r w:rsidR="6E6CBBB9" w:rsidRPr="00002888">
        <w:rPr>
          <w:rFonts w:ascii="Times New Roman" w:hAnsi="Times New Roman" w:cs="Times New Roman"/>
          <w:sz w:val="24"/>
          <w:szCs w:val="24"/>
          <w:lang w:val="en-GB"/>
        </w:rPr>
        <w:t>scarcity</w:t>
      </w:r>
      <w:r w:rsidRPr="00002888">
        <w:rPr>
          <w:rFonts w:ascii="Times New Roman" w:hAnsi="Times New Roman" w:cs="Times New Roman"/>
          <w:sz w:val="24"/>
          <w:szCs w:val="24"/>
          <w:lang w:val="en-GB"/>
        </w:rPr>
        <w:t xml:space="preserve"> of the </w:t>
      </w:r>
      <w:r w:rsidRPr="00002888">
        <w:rPr>
          <w:rFonts w:ascii="Times New Roman" w:hAnsi="Times New Roman" w:cs="Times New Roman"/>
          <w:i/>
          <w:iCs/>
          <w:sz w:val="24"/>
          <w:szCs w:val="24"/>
          <w:lang w:val="en-GB"/>
        </w:rPr>
        <w:t>IGHV1-02</w:t>
      </w:r>
      <w:r w:rsidRPr="00002888">
        <w:rPr>
          <w:rFonts w:ascii="Times New Roman" w:hAnsi="Times New Roman" w:cs="Times New Roman"/>
          <w:sz w:val="24"/>
          <w:szCs w:val="24"/>
          <w:lang w:val="en-GB"/>
        </w:rPr>
        <w:t xml:space="preserve"> gene in other mature B-cell tumours, even</w:t>
      </w:r>
      <w:r w:rsidR="00721F03" w:rsidRPr="00002888">
        <w:rPr>
          <w:rFonts w:ascii="Times New Roman" w:hAnsi="Times New Roman" w:cs="Times New Roman"/>
          <w:sz w:val="24"/>
          <w:szCs w:val="24"/>
          <w:lang w:val="en-GB"/>
        </w:rPr>
        <w:t xml:space="preserve"> tumours of the spleen, such as SDR</w:t>
      </w:r>
      <w:r w:rsidR="00D86610" w:rsidRPr="00002888">
        <w:rPr>
          <w:rFonts w:ascii="Times New Roman" w:hAnsi="Times New Roman" w:cs="Times New Roman"/>
          <w:sz w:val="24"/>
          <w:szCs w:val="24"/>
          <w:lang w:val="en-GB"/>
        </w:rPr>
        <w:t>P</w:t>
      </w:r>
      <w:r w:rsidR="00721F03" w:rsidRPr="00002888">
        <w:rPr>
          <w:rFonts w:ascii="Times New Roman" w:hAnsi="Times New Roman" w:cs="Times New Roman"/>
          <w:sz w:val="24"/>
          <w:szCs w:val="24"/>
          <w:lang w:val="en-GB"/>
        </w:rPr>
        <w:t>L</w:t>
      </w:r>
      <w:r w:rsidR="001144D5" w:rsidRPr="00002888">
        <w:rPr>
          <w:rFonts w:ascii="Times New Roman" w:hAnsi="Times New Roman" w:cs="Times New Roman"/>
          <w:sz w:val="24"/>
          <w:szCs w:val="24"/>
          <w:lang w:val="en-GB"/>
        </w:rPr>
        <w:t xml:space="preserve"> </w:t>
      </w:r>
      <w:r w:rsidR="00A26F96" w:rsidRPr="00002888">
        <w:rPr>
          <w:rFonts w:ascii="Times New Roman" w:hAnsi="Times New Roman" w:cs="Times New Roman"/>
          <w:sz w:val="24"/>
          <w:szCs w:val="24"/>
          <w:lang w:val="en-GB"/>
        </w:rPr>
        <w:fldChar w:fldCharType="begin" w:fldLock="1"/>
      </w:r>
      <w:r w:rsidR="00A26F96" w:rsidRPr="00002888">
        <w:rPr>
          <w:rFonts w:ascii="Times New Roman" w:hAnsi="Times New Roman" w:cs="Times New Roman"/>
          <w:sz w:val="24"/>
          <w:szCs w:val="24"/>
          <w:lang w:val="en-GB"/>
        </w:rPr>
        <w:instrText>ADDIN CSL_CITATION {"citationItems":[{"id":"ITEM-1","itemData":{"DOI":"10.1038/leu.2012.3","ISSN":"1476-5551","PMID":"22222599","abstract":"We performed an immunogenetic analysis of 345 IGHV-IGHD-IGHJ rearrangements from 337 cases with primary splenic small B-cell lymphomas of marginal-zone origin. Three immunoglobulin (IG) heavy variable (IGHV) genes accounted for 45.8% of the cases (IGHV1-2, 24.9%; IGHV4-34, 12.8%; IGHV3-23, 8.1%). Particularly for the IGHV1-2 gene, strong biases were evident regarding utilization of different alleles, with 79/86 rearrangements (92%) using allele (*)04. Among cases more stringently classified as splenic marginal-zone lymphoma (SMZL) thanks to the availability of splenic histopathological specimens, the frequency of IGHV1-2(*)04 peaked at 31%. The IGHV1-2(*)04 rearrangements carried significantly longer complementarity-determining region-3 (CDR3) than all other cases and showed biased IGHD gene usage, leading to CDR3s with common motifs. The great majority of analyzed rearrangements (299/345, 86.7%) carried IGHV genes with some impact of somatic hypermutation, from minimal to pronounced. Noticeably, 75/79 (95%) IGHV1-2(*)04 rearrangements were mutated; however, they mostly (56/75 cases; 74.6%) carried few mutations (97-99.9% germline identity) of conservative nature and restricted distribution. These distinctive features of the IG receptors indicate selection by (super)antigenic element(s) in the pathogenesis of SMZL. Furthermore, they raise the possibility that certain SMZL subtypes could derive from progenitor populations adapted to particular antigenic challenges through selection of VH domain specificities, in particular the IGHV1-2(*)04 allele.","author":[{"dropping-particle":"","family":"Bikos","given":"V.","non-dropping-particle":"","parse-names":false,"suffix":""},{"dropping-particle":"","family":"Darzentas","given":"N.","non-dropping-particle":"","parse-names":false,"suffix":""},{"dropping-particle":"","family":"Hadzidimitriou","given":"A.","non-dropping-particle":"","parse-names":false,"suffix":""},{"dropping-particle":"","family":"Davis","given":"Z.","non-dropping-particle":"","parse-names":false,"suffix":""},{"dropping-particle":"","family":"Hockley","given":"S.","non-dropping-particle":"","parse-names":false,"suffix":""},{"dropping-particle":"","family":"Traverse-Glehen","given":"A.","non-dropping-particle":"","parse-names":false,"suffix":""},{"dropping-particle":"","family":"Algara","given":"P.","non-dropping-particle":"","parse-names":false,"suffix":""},{"dropping-particle":"","family":"Santoro","given":"A.","non-dropping-particle":"","parse-names":false,"suffix":""},{"dropping-particle":"","family":"Gonzalez","given":"D.","non-dropping-particle":"","parse-names":false,"suffix":""},{"dropping-particle":"","family":"Mollejo","given":"M.","non-dropping-particle":"","parse-names":false,"suffix":""},{"dropping-particle":"","family":"Dagklis","given":"A.","non-dropping-particle":"","parse-names":false,"suffix":""},{"dropping-particle":"","family":"Gangemi","given":"F.","non-dropping-particle":"","parse-names":false,"suffix":""},{"dropping-particle":"","family":"Bosler","given":"D. S.","non-dropping-particle":"","parse-names":false,"suffix":""},{"dropping-particle":"","family":"Bourikas","given":"G.","non-dropping-particle":"","parse-names":false,"suffix":""},{"dropping-particle":"","family":"Anagnostopoulos","given":"A.","non-dropping-particle":"","parse-names":false,"suffix":""},{"dropping-particle":"","family":"Tsaftaris","given":"A.","non-dropping-particle":"","parse-names":false,"suffix":""},{"dropping-particle":"","family":"Iannitto","given":"E.","non-dropping-particle":"","parse-names":false,"suffix":""},{"dropping-particle":"","family":"Ponzoni","given":"M.","non-dropping-particle":"","parse-names":false,"suffix":""},{"dropping-particle":"","family":"Felman","given":"P.","non-dropping-particle":"","parse-names":false,"suffix":""},{"dropping-particle":"","family":"Berger","given":"F.","non-dropping-particle":"","parse-names":false,"suffix":""},{"dropping-particle":"","family":"Belessi","given":"C.","non-dropping-particle":"","parse-names":false,"suffix":""},{"dropping-particle":"","family":"Ghia","given":"P.","non-dropping-particle":"","parse-names":false,"suffix":""},{"dropping-particle":"","family":"Papadaki","given":"T.","non-dropping-particle":"","parse-names":false,"suffix":""},{"dropping-particle":"","family":"Dogan","given":"A.","non-dropping-particle":"","parse-names":false,"suffix":""},{"dropping-particle":"","family":"Degano","given":"M.","non-dropping-particle":"","parse-names":false,"suffix":""},{"dropping-particle":"","family":"Matutes","given":"E.","non-dropping-particle":"","parse-names":false,"suffix":""},{"dropping-particle":"","family":"Piris","given":"M. A.","non-dropping-particle":"","parse-names":false,"suffix":""},{"dropping-particle":"","family":"Oscier","given":"D.","non-dropping-particle":"","parse-names":false,"suffix":""},{"dropping-particle":"","family":"Stamatopoulos","given":"K.","non-dropping-particle":"","parse-names":false,"suffix":""}],"container-title":"Leukemia","id":"ITEM-1","issue":"7","issued":{"date-parts":[["2012","7"]]},"page":"1638-46","publisher":"Nature Publishing Group","title":"Over 30% of patients with splenic marginal zone lymphoma express the same immunoglobulin heavy variable gene: ontogenetic implications.","type":"article-journal","volume":"26"},"uris":["http://www.mendeley.com/documents/?uuid=823912f5-04a2-440b-9c88-95753fbf4b1d"]}],"mendeley":{"formattedCitation":"(Bikos et al., 2012)","plainTextFormattedCitation":"(Bikos et al., 2012)","previouslyFormattedCitation":"(Bikos et al., 2012)"},"properties":{"noteIndex":0},"schema":"https://github.com/citation-style-language/schema/raw/master/csl-citation.json"}</w:instrText>
      </w:r>
      <w:r w:rsidR="00A26F96" w:rsidRPr="00002888">
        <w:rPr>
          <w:rFonts w:ascii="Times New Roman" w:hAnsi="Times New Roman" w:cs="Times New Roman"/>
          <w:sz w:val="24"/>
          <w:szCs w:val="24"/>
          <w:lang w:val="en-GB"/>
        </w:rPr>
        <w:fldChar w:fldCharType="separate"/>
      </w:r>
      <w:r w:rsidR="00A26F96" w:rsidRPr="00002888">
        <w:rPr>
          <w:rFonts w:ascii="Times New Roman" w:hAnsi="Times New Roman" w:cs="Times New Roman"/>
          <w:noProof/>
          <w:sz w:val="24"/>
          <w:szCs w:val="24"/>
          <w:lang w:val="en-GB"/>
        </w:rPr>
        <w:t>(Bikos et al., 2012)</w:t>
      </w:r>
      <w:r w:rsidR="00A26F96" w:rsidRPr="00002888">
        <w:rPr>
          <w:rFonts w:ascii="Times New Roman" w:hAnsi="Times New Roman" w:cs="Times New Roman"/>
          <w:sz w:val="24"/>
          <w:szCs w:val="24"/>
          <w:lang w:val="en-GB"/>
        </w:rPr>
        <w:fldChar w:fldCharType="end"/>
      </w:r>
      <w:r w:rsidR="00721F03" w:rsidRPr="00002888">
        <w:rPr>
          <w:rFonts w:ascii="Times New Roman" w:hAnsi="Times New Roman" w:cs="Times New Roman"/>
          <w:sz w:val="24"/>
          <w:szCs w:val="24"/>
          <w:lang w:val="en-GB"/>
        </w:rPr>
        <w:t>, suggesting that a distinctive selection process may predominate in SMZL pathogenesis.</w:t>
      </w:r>
    </w:p>
    <w:p w14:paraId="12638B99" w14:textId="77777777" w:rsidR="00002888" w:rsidRPr="00002888" w:rsidRDefault="00002888" w:rsidP="00002888">
      <w:pPr>
        <w:spacing w:before="0" w:after="0" w:line="360" w:lineRule="auto"/>
        <w:jc w:val="left"/>
        <w:rPr>
          <w:rFonts w:ascii="Times New Roman" w:hAnsi="Times New Roman" w:cs="Times New Roman"/>
          <w:sz w:val="24"/>
          <w:szCs w:val="24"/>
          <w:lang w:val="en-GB"/>
        </w:rPr>
      </w:pPr>
    </w:p>
    <w:p w14:paraId="7417E093" w14:textId="6BEDCA66" w:rsidR="007C2333" w:rsidRDefault="00EE2B1D" w:rsidP="00002888">
      <w:pPr>
        <w:spacing w:before="0" w:after="0" w:line="360" w:lineRule="auto"/>
        <w:jc w:val="left"/>
        <w:rPr>
          <w:rFonts w:ascii="Times New Roman" w:hAnsi="Times New Roman" w:cs="Times New Roman"/>
          <w:sz w:val="24"/>
          <w:szCs w:val="24"/>
          <w:lang w:val="en-GB"/>
        </w:rPr>
      </w:pPr>
      <w:r w:rsidRPr="00002888">
        <w:rPr>
          <w:rFonts w:ascii="Times New Roman" w:hAnsi="Times New Roman" w:cs="Times New Roman"/>
          <w:sz w:val="24"/>
          <w:szCs w:val="24"/>
          <w:lang w:val="en-GB"/>
        </w:rPr>
        <w:t>T</w:t>
      </w:r>
      <w:r w:rsidR="00523717" w:rsidRPr="00002888">
        <w:rPr>
          <w:rFonts w:ascii="Times New Roman" w:hAnsi="Times New Roman" w:cs="Times New Roman"/>
          <w:sz w:val="24"/>
          <w:szCs w:val="24"/>
          <w:lang w:val="en-GB"/>
        </w:rPr>
        <w:t xml:space="preserve">he majority </w:t>
      </w:r>
      <w:r w:rsidR="00721F03" w:rsidRPr="00002888">
        <w:rPr>
          <w:rFonts w:ascii="Times New Roman" w:hAnsi="Times New Roman" w:cs="Times New Roman"/>
          <w:sz w:val="24"/>
          <w:szCs w:val="24"/>
          <w:lang w:val="en-GB"/>
        </w:rPr>
        <w:t xml:space="preserve">(90%) </w:t>
      </w:r>
      <w:r w:rsidRPr="00002888">
        <w:rPr>
          <w:rFonts w:ascii="Times New Roman" w:hAnsi="Times New Roman" w:cs="Times New Roman"/>
          <w:sz w:val="24"/>
          <w:szCs w:val="24"/>
          <w:lang w:val="en-GB"/>
        </w:rPr>
        <w:t xml:space="preserve">of </w:t>
      </w:r>
      <w:r w:rsidRPr="00002888">
        <w:rPr>
          <w:rFonts w:ascii="Times New Roman" w:hAnsi="Times New Roman" w:cs="Times New Roman"/>
          <w:i/>
          <w:iCs/>
          <w:sz w:val="24"/>
          <w:szCs w:val="24"/>
          <w:lang w:val="en-GB"/>
        </w:rPr>
        <w:t>IGHV1-</w:t>
      </w:r>
      <w:r w:rsidR="00283DCC" w:rsidRPr="00002888">
        <w:rPr>
          <w:rFonts w:ascii="Times New Roman" w:hAnsi="Times New Roman" w:cs="Times New Roman"/>
          <w:i/>
          <w:iCs/>
          <w:sz w:val="24"/>
          <w:szCs w:val="24"/>
          <w:lang w:val="en-GB"/>
        </w:rPr>
        <w:t>0</w:t>
      </w:r>
      <w:r w:rsidRPr="00002888">
        <w:rPr>
          <w:rFonts w:ascii="Times New Roman" w:hAnsi="Times New Roman" w:cs="Times New Roman"/>
          <w:i/>
          <w:iCs/>
          <w:sz w:val="24"/>
          <w:szCs w:val="24"/>
          <w:lang w:val="en-GB"/>
        </w:rPr>
        <w:t>2</w:t>
      </w:r>
      <w:r w:rsidRPr="00002888">
        <w:rPr>
          <w:rFonts w:ascii="Times New Roman" w:hAnsi="Times New Roman" w:cs="Times New Roman"/>
          <w:sz w:val="24"/>
          <w:szCs w:val="24"/>
          <w:lang w:val="en-GB"/>
        </w:rPr>
        <w:t xml:space="preserve"> </w:t>
      </w:r>
      <w:r w:rsidR="00721F03" w:rsidRPr="00002888">
        <w:rPr>
          <w:rFonts w:ascii="Times New Roman" w:hAnsi="Times New Roman" w:cs="Times New Roman"/>
          <w:sz w:val="24"/>
          <w:szCs w:val="24"/>
          <w:lang w:val="en-GB"/>
        </w:rPr>
        <w:t xml:space="preserve">patients </w:t>
      </w:r>
      <w:r w:rsidRPr="00002888">
        <w:rPr>
          <w:rFonts w:ascii="Times New Roman" w:hAnsi="Times New Roman" w:cs="Times New Roman"/>
          <w:sz w:val="24"/>
          <w:szCs w:val="24"/>
          <w:lang w:val="en-GB"/>
        </w:rPr>
        <w:t xml:space="preserve">are </w:t>
      </w:r>
      <w:r w:rsidR="00523717" w:rsidRPr="00002888">
        <w:rPr>
          <w:rFonts w:ascii="Times New Roman" w:hAnsi="Times New Roman" w:cs="Times New Roman"/>
          <w:i/>
          <w:iCs/>
          <w:sz w:val="24"/>
          <w:szCs w:val="24"/>
          <w:lang w:val="en-GB"/>
        </w:rPr>
        <w:t>IGHV1-</w:t>
      </w:r>
      <w:r w:rsidR="00511F5B" w:rsidRPr="00002888">
        <w:rPr>
          <w:rFonts w:ascii="Times New Roman" w:hAnsi="Times New Roman" w:cs="Times New Roman"/>
          <w:i/>
          <w:iCs/>
          <w:sz w:val="24"/>
          <w:szCs w:val="24"/>
          <w:lang w:val="en-GB"/>
        </w:rPr>
        <w:t>0</w:t>
      </w:r>
      <w:r w:rsidR="00523717" w:rsidRPr="00002888">
        <w:rPr>
          <w:rFonts w:ascii="Times New Roman" w:hAnsi="Times New Roman" w:cs="Times New Roman"/>
          <w:i/>
          <w:iCs/>
          <w:sz w:val="24"/>
          <w:szCs w:val="24"/>
          <w:lang w:val="en-GB"/>
        </w:rPr>
        <w:t>2*04</w:t>
      </w:r>
      <w:r w:rsidR="00523717" w:rsidRPr="00002888">
        <w:rPr>
          <w:rFonts w:ascii="Times New Roman" w:hAnsi="Times New Roman" w:cs="Times New Roman"/>
          <w:sz w:val="24"/>
          <w:szCs w:val="24"/>
          <w:lang w:val="en-GB"/>
        </w:rPr>
        <w:t xml:space="preserve"> </w:t>
      </w:r>
      <w:r w:rsidR="00D95258" w:rsidRPr="00002888">
        <w:rPr>
          <w:rFonts w:ascii="Times New Roman" w:hAnsi="Times New Roman" w:cs="Times New Roman"/>
          <w:sz w:val="24"/>
          <w:szCs w:val="24"/>
          <w:lang w:val="en-GB"/>
        </w:rPr>
        <w:fldChar w:fldCharType="begin" w:fldLock="1"/>
      </w:r>
      <w:r w:rsidR="00EB4D78" w:rsidRPr="00002888">
        <w:rPr>
          <w:rFonts w:ascii="Times New Roman" w:hAnsi="Times New Roman" w:cs="Times New Roman"/>
          <w:sz w:val="24"/>
          <w:szCs w:val="24"/>
          <w:lang w:val="en-GB"/>
        </w:rPr>
        <w:instrText>ADDIN CSL_CITATION {"citationItems":[{"id":"ITEM-1","itemData":{"DOI":"10.1038/leu.2012.3","ISSN":"1476-5551","PMID":"22222599","abstract":"We performed an immunogenetic analysis of 345 IGHV-IGHD-IGHJ rearrangements from 337 cases with primary splenic small B-cell lymphomas of marginal-zone origin. Three immunoglobulin (IG) heavy variable (IGHV) genes accounted for 45.8% of the cases (IGHV1-2, 24.9%; IGHV4-34, 12.8%; IGHV3-23, 8.1%). Particularly for the IGHV1-2 gene, strong biases were evident regarding utilization of different alleles, with 79/86 rearrangements (92%) using allele (*)04. Among cases more stringently classified as splenic marginal-zone lymphoma (SMZL) thanks to the availability of splenic histopathological specimens, the frequency of IGHV1-2(*)04 peaked at 31%. The IGHV1-2(*)04 rearrangements carried significantly longer complementarity-determining region-3 (CDR3) than all other cases and showed biased IGHD gene usage, leading to CDR3s with common motifs. The great majority of analyzed rearrangements (299/345, 86.7%) carried IGHV genes with some impact of somatic hypermutation, from minimal to pronounced. Noticeably, 75/79 (95%) IGHV1-2(*)04 rearrangements were mutated; however, they mostly (56/75 cases; 74.6%) carried few mutations (97-99.9% germline identity) of conservative nature and restricted distribution. These distinctive features of the IG receptors indicate selection by (super)antigenic element(s) in the pathogenesis of SMZL. Furthermore, they raise the possibility that certain SMZL subtypes could derive from progenitor populations adapted to particular antigenic challenges through selection of VH domain specificities, in particular the IGHV1-2(*)04 allele.","author":[{"dropping-particle":"","family":"Bikos","given":"V.","non-dropping-particle":"","parse-names":false,"suffix":""},{"dropping-particle":"","family":"Darzentas","given":"N.","non-dropping-particle":"","parse-names":false,"suffix":""},{"dropping-particle":"","family":"Hadzidimitriou","given":"A.","non-dropping-particle":"","parse-names":false,"suffix":""},{"dropping-particle":"","family":"Davis","given":"Z.","non-dropping-particle":"","parse-names":false,"suffix":""},{"dropping-particle":"","family":"Hockley","given":"S.","non-dropping-particle":"","parse-names":false,"suffix":""},{"dropping-particle":"","family":"Traverse-Glehen","given":"A.","non-dropping-particle":"","parse-names":false,"suffix":""},{"dropping-particle":"","family":"Algara","given":"P.","non-dropping-particle":"","parse-names":false,"suffix":""},{"dropping-particle":"","family":"Santoro","given":"A.","non-dropping-particle":"","parse-names":false,"suffix":""},{"dropping-particle":"","family":"Gonzalez","given":"D.","non-dropping-particle":"","parse-names":false,"suffix":""},{"dropping-particle":"","family":"Mollejo","given":"M.","non-dropping-particle":"","parse-names":false,"suffix":""},{"dropping-particle":"","family":"Dagklis","given":"A.","non-dropping-particle":"","parse-names":false,"suffix":""},{"dropping-particle":"","family":"Gangemi","given":"F.","non-dropping-particle":"","parse-names":false,"suffix":""},{"dropping-particle":"","family":"Bosler","given":"D. S.","non-dropping-particle":"","parse-names":false,"suffix":""},{"dropping-particle":"","family":"Bourikas","given":"G.","non-dropping-particle":"","parse-names":false,"suffix":""},{"dropping-particle":"","family":"Anagnostopoulos","given":"A.","non-dropping-particle":"","parse-names":false,"suffix":""},{"dropping-particle":"","family":"Tsaftaris","given":"A.","non-dropping-particle":"","parse-names":false,"suffix":""},{"dropping-particle":"","family":"Iannitto","given":"E.","non-dropping-particle":"","parse-names":false,"suffix":""},{"dropping-particle":"","family":"Ponzoni","given":"M.","non-dropping-particle":"","parse-names":false,"suffix":""},{"dropping-particle":"","family":"Felman","given":"P.","non-dropping-particle":"","parse-names":false,"suffix":""},{"dropping-particle":"","family":"Berger","given":"F.","non-dropping-particle":"","parse-names":false,"suffix":""},{"dropping-particle":"","family":"Belessi","given":"C.","non-dropping-particle":"","parse-names":false,"suffix":""},{"dropping-particle":"","family":"Ghia","given":"P.","non-dropping-particle":"","parse-names":false,"suffix":""},{"dropping-particle":"","family":"Papadaki","given":"T.","non-dropping-particle":"","parse-names":false,"suffix":""},{"dropping-particle":"","family":"Dogan","given":"A.","non-dropping-particle":"","parse-names":false,"suffix":""},{"dropping-particle":"","family":"Degano","given":"M.","non-dropping-particle":"","parse-names":false,"suffix":""},{"dropping-particle":"","family":"Matutes","given":"E.","non-dropping-particle":"","parse-names":false,"suffix":""},{"dropping-particle":"","family":"Piris","given":"M. A.","non-dropping-particle":"","parse-names":false,"suffix":""},{"dropping-particle":"","family":"Oscier","given":"D.","non-dropping-particle":"","parse-names":false,"suffix":""},{"dropping-particle":"","family":"Stamatopoulos","given":"K.","non-dropping-particle":"","parse-names":false,"suffix":""}],"container-title":"Leukemia","id":"ITEM-1","issue":"7","issued":{"date-parts":[["2012","7"]]},"page":"1638-46","publisher":"Nature Publishing Group","title":"Over 30% of patients with splenic marginal zone lymphoma express the same immunoglobulin heavy variable gene: ontogenetic implications.","type":"article-journal","volume":"26"},"uris":["http://www.mendeley.com/documents/?uuid=823912f5-04a2-440b-9c88-95753fbf4b1d"]},{"id":"ITEM-2","itemData":{"DOI":"10.1158/1078-0432.CCR-15-1170","ISSN":"1078-0432","PMID":"26647217","abstract":"PURPOSE Prompted by the extensive biases in the immunoglobulin (IG) gene repertoire of splenic marginal-zone lymphoma (SMZL), supporting antigen selection in SMZL ontogeny, we sought to investigate whether antigen involvement is also relevant post-transformation. EXPERIMENTAL DESIGN We conducted a large-scale subcloning study of the IG rearrangements of 40 SMZL cases aimed at assessing intraclonal diversification (ID) due to ongoing somatic hypermutation (SHM). RESULTS ID was identified in 17 of 21 (81%) rearrangements using the immunoglobulin heavy variable (IGHV)1-2*04 gene versus 8 of 19 (40%) rearrangements utilizing other IGHV genes (P= 0.001). ID was also evident in most analyzed IG light chain gene rearrangements, albeit was more limited compared with IG heavy chains. Identical sequence changes were shared by subclones from different patients utilizing the IGHV1-2*04 gene, confirming restricted ongoing SHM profiles. Non-IGHV1-2*04 cases displayed both a lower number of ongoing SHMs and a lack of shared mutations (per group of cases utilizing the same IGHV gene). CONCLUSIONS These findings support ongoing antigen involvement in a sizable portion of SMZL and further argue that IGHV1-2*04 SMZL may represent a distinct molecular subtype of the disease.","author":[{"dropping-particle":"","family":"Bikos","given":"Vasilis","non-dropping-particle":"","parse-names":false,"suffix":""},{"dropping-particle":"","family":"Karypidou","given":"Maria","non-dropping-particle":"","parse-names":false,"suffix":""},{"dropping-particle":"","family":"Stalika","given":"Evangelia","non-dropping-particle":"","parse-names":false,"suffix":""},{"dropping-particle":"","family":"Baliakas","given":"Panagiotis","non-dropping-particle":"","parse-names":false,"suffix":""},{"dropping-particle":"","family":"Xochelli","given":"Aliki","non-dropping-particle":"","parse-names":false,"suffix":""},{"dropping-particle":"","family":"Sutton","given":"Lesley-Ann","non-dropping-particle":"","parse-names":false,"suffix":""},{"dropping-particle":"","family":"Papadopoulos","given":"George","non-dropping-particle":"","parse-names":false,"suffix":""},{"dropping-particle":"","family":"Agathangelidis","given":"Andreas","non-dropping-particle":"","parse-names":false,"suffix":""},{"dropping-particle":"","family":"Papadopoulou","given":"Evdoxia","non-dropping-particle":"","parse-names":false,"suffix":""},{"dropping-particle":"","family":"Davis","given":"Zadie","non-dropping-particle":"","parse-names":false,"suffix":""},{"dropping-particle":"","family":"Algara","given":"Patricia","non-dropping-particle":"","parse-names":false,"suffix":""},{"dropping-particle":"","family":"Kanellis","given":"George","non-dropping-particle":"","parse-names":false,"suffix":""},{"dropping-particle":"","family":"Traverse-Glehen","given":"Alexandra","non-dropping-particle":"","parse-names":false,"suffix":""},{"dropping-particle":"","family":"Mollejo","given":"Manuela","non-dropping-particle":"","parse-names":false,"suffix":""},{"dropping-particle":"","family":"Anagnostopoulos","given":"Achilles","non-dropping-particle":"","parse-names":false,"suffix":""},{"dropping-particle":"","family":"Ponzoni","given":"Maurilio","non-dropping-particle":"","parse-names":false,"suffix":""},{"dropping-particle":"","family":"Gonzalez","given":"David","non-dropping-particle":"","parse-names":false,"suffix":""},{"dropping-particle":"","family":"Pospisilova","given":"Sarka","non-dropping-particle":"","parse-names":false,"suffix":""},{"dropping-particle":"","family":"Matutes","given":"Estella","non-dropping-particle":"","parse-names":false,"suffix":""},{"dropping-particle":"","family":"Piris","given":"Miguel Angel","non-dropping-particle":"","parse-names":false,"suffix":""},{"dropping-particle":"","family":"Papadaki","given":"Theodora","non-dropping-particle":"","parse-names":false,"suffix":""},{"dropping-particle":"","family":"Ghia","given":"Paolo","non-dropping-particle":"","parse-names":false,"suffix":""},{"dropping-particle":"","family":"Rosenquist","given":"Richard","non-dropping-particle":"","parse-names":false,"suffix":""},{"dropping-particle":"","family":"Oscier","given":"David","non-dropping-particle":"","parse-names":false,"suffix":""},{"dropping-particle":"","family":"Darzentas","given":"Nikos","non-dropping-particle":"","parse-names":false,"suffix":""},{"dropping-particle":"","family":"Tzovaras","given":"Dimitrios","non-dropping-particle":"","parse-names":false,"suffix":""},{"dropping-particle":"","family":"Belessi","given":"Chrysoula","non-dropping-particle":"","parse-names":false,"suffix":""},{"dropping-particle":"","family":"Hadzidimitriou","given":"Anastasia","non-dropping-particle":"","parse-names":false,"suffix":""},{"dropping-particle":"","family":"Stamatopoulos","given":"Kostas","non-dropping-particle":"","parse-names":false,"suffix":""}],"container-title":"Clinical Cancer Research","id":"ITEM-2","issue":"8","issued":{"date-parts":[["2016","4","15"]]},"page":"2032-2040","title":"An Immunogenetic Signature of Ongoing Antigen Interactions in Splenic Marginal Zone Lymphoma Expressing IGHV1-2*04 Receptors","type":"article-journal","volume":"22"},"uris":["http://www.mendeley.com/documents/?uuid=71d22cf0-356a-4905-a288-cfe9ca5a8f61"]},{"id":"ITEM-3","itemData":{"DOI":"10.1002/path.5209","ISSN":"1096-9896","PMID":"30484876","abstract":"The B cell receptor immunoglobulin (Ig) gene repertoires of marginal zone (MZ) lymphoproliferations were analyzed in order to obtain insight into their ontogenetic relationships. Our cohort included cases with MZ lymphomas (n = 488), i.e. splenic (SMZL), nodal (NMZL) and extranodal (ENMZL), as well as provisional entities (n = 76), according to the WHO classification. The most striking Ig gene repertoire skewing was observed in SMZL. However, restrictions were also identified in all other MZ lymphomas studied, particularly ENMZL, with significantly different Ig gene distributions depending on the primary site of involvement. Cross-entity comparisons of the MZ Ig sequence dataset with a large dataset of Ig sequences (MZ-related or not; n = 65 837) revealed four major clusters of cases sharing homologous ('public') heavy variable complementarity-determining region 3. These clusters included rearrangements from SMZL, ENMZL (gastric, salivary gland, ocular adnexa), chronic lymphocytic leukemia, but also rheumatoid factors and non-malignant splenic MZ cells. In conclusion, different MZ lymphomas display biased immunogenetic signatures indicating distinct antigen exposure histories. The existence of rare public stereotypes raises the intriguing possibility that common, pathogen-triggered, immune-mediated mechanisms may result in diverse B lymphoproliferations due to targeting versatile progenitor B cells and/or operating in particular microenvironments. Copyright © 2018 Pathological Society of Great Britain and Ireland. Published by John Wiley &amp; Sons, Ltd.","author":[{"dropping-particle":"","family":"Xochelli","given":"Aliki","non-dropping-particle":"","parse-names":false,"suffix":""},{"dropping-particle":"","family":"Bikos","given":"Vasilis","non-dropping-particle":"","parse-names":false,"suffix":""},{"dropping-particle":"","family":"Polychronidou","given":"Eleftheria","non-dropping-particle":"","parse-names":false,"suffix":""},{"dropping-particle":"","family":"Galigalidou","given":"Chrysi","non-dropping-particle":"","parse-names":false,"suffix":""},{"dropping-particle":"","family":"Agathangelidis","given":"Andreas","non-dropping-particle":"","parse-names":false,"suffix":""},{"dropping-particle":"","family":"Charlotte","given":"Frédéric","non-dropping-particle":"","parse-names":false,"suffix":""},{"dropping-particle":"","family":"Moschonas","given":"Panagiotis","non-dropping-particle":"","parse-names":false,"suffix":""},{"dropping-particle":"","family":"Davis","given":"Zadie","non-dropping-particle":"","parse-names":false,"suffix":""},{"dropping-particle":"","family":"Colombo","given":"Monica","non-dropping-particle":"","parse-names":false,"suffix":""},{"dropping-particle":"","family":"Roumelioti","given":"Maria","non-dropping-particle":"","parse-names":false,"suffix":""},{"dropping-particle":"","family":"Sutton","given":"Lesley-Ann","non-dropping-particle":"","parse-names":false,"suffix":""},{"dropping-particle":"","family":"Groenen","given":"Patricia","non-dropping-particle":"","parse-names":false,"suffix":""},{"dropping-particle":"","family":"Brand","given":"Michiel","non-dropping-particle":"van den","parse-names":false,"suffix":""},{"dropping-particle":"","family":"Boudjoghra","given":"Myriam","non-dropping-particle":"","parse-names":false,"suffix":""},{"dropping-particle":"","family":"Algara","given":"Patricia","non-dropping-particle":"","parse-names":false,"suffix":""},{"dropping-particle":"","family":"Traverse-Glehen","given":"Alexandra","non-dropping-particle":"","parse-names":false,"suffix":""},{"dropping-particle":"","family":"Ferrer","given":"Ana","non-dropping-particle":"","parse-names":false,"suffix":""},{"dropping-particle":"","family":"Stalika","given":"Evangelia","non-dropping-particle":"","parse-names":false,"suffix":""},{"dropping-particle":"","family":"Karypidou","given":"Maria","non-dropping-particle":"","parse-names":false,"suffix":""},{"dropping-particle":"","family":"Kanellis","given":"George","non-dropping-particle":"","parse-names":false,"suffix":""},{"dropping-particle":"","family":"Kalpadakis","given":"Christina","non-dropping-particle":"","parse-names":false,"suffix":""},{"dropping-particle":"","family":"Mollejo","given":"Manuella","non-dropping-particle":"","parse-names":false,"suffix":""},{"dropping-particle":"","family":"Pangalis","given":"Gerasimos","non-dropping-particle":"","parse-names":false,"suffix":""},{"dropping-particle":"","family":"Vlamos","given":"Panayiotis","non-dropping-particle":"","parse-names":false,"suffix":""},{"dropping-particle":"","family":"Amini","given":"Rose-Marie","non-dropping-particle":"","parse-names":false,"suffix":""},{"dropping-particle":"","family":"Pospisilova","given":"Sarka","non-dropping-particle":"","parse-names":false,"suffix":""},{"dropping-particle":"","family":"Gonzalez","given":"David","non-dropping-particle":"","parse-names":false,"suffix":""},{"dropping-particle":"","family":"Ponzoni","given":"Maurilio","non-dropping-particle":"","parse-names":false,"suffix":""},{"dropping-particle":"","family":"Anagnostopoulos","given":"Achilles","non-dropping-particle":"","parse-names":false,"suffix":""},{"dropping-particle":"","family":"Giudicelli","given":"Véronique","non-dropping-particle":"","parse-names":false,"suffix":""},{"dropping-particle":"","family":"Lefranc","given":"Marie-Paule","non-dropping-particle":"","parse-names":false,"suffix":""},{"dropping-particle":"","family":"Espinet","given":"Blanca","non-dropping-particle":"","parse-names":false,"suffix":""},{"dropping-particle":"","family":"Panagiotidis","given":"Panagiotis","non-dropping-particle":"","parse-names":false,"suffix":""},{"dropping-particle":"","family":"Piris","given":"Miguel Angel","non-dropping-particle":"","parse-names":false,"suffix":""},{"dropping-particle":"","family":"Du","given":"Ming-Qing","non-dropping-particle":"","parse-names":false,"suffix":""},{"dropping-particle":"","family":"Rosenquist","given":"Richard","non-dropping-particle":"","parse-names":false,"suffix":""},{"dropping-particle":"","family":"Papadaki","given":"Theodora","non-dropping-particle":"","parse-names":false,"suffix":""},{"dropping-particle":"","family":"Belessi","given":"Chrysoula","non-dropping-particle":"","parse-names":false,"suffix":""},{"dropping-particle":"","family":"Ferrarini","given":"Manlio","non-dropping-particle":"","parse-names":false,"suffix":""},{"dropping-particle":"","family":"Oscier","given":"David","non-dropping-particle":"","parse-names":false,"suffix":""},{"dropping-particle":"","family":"Tzovaras","given":"Dimitrios","non-dropping-particle":"","parse-names":false,"suffix":""},{"dropping-particle":"","family":"Ghia","given":"Paolo","non-dropping-particle":"","parse-names":false,"suffix":""},{"dropping-particle":"","family":"Davi","given":"Frederic","non-dropping-particle":"","parse-names":false,"suffix":""},{"dropping-particle":"","family":"Hadzidimitriou","given":"Anastasia","non-dropping-particle":"","parse-names":false,"suffix":""},{"dropping-particle":"","family":"Stamatopoulos","given":"Kostas","non-dropping-particle":"","parse-names":false,"suffix":""}],"container-title":"The Journal of pathology","id":"ITEM-3","issue":"4","issued":{"date-parts":[["2019"]]},"page":"416-421","title":"Disease-biased and shared characteristics of the immunoglobulin gene repertoires in marginal zone B cell lymphoproliferations.","type":"article-journal","volume":"247"},"uris":["http://www.mendeley.com/documents/?uuid=d2194108-2c82-4e91-b84c-a1bb256b05b6"]}],"mendeley":{"formattedCitation":"(Bikos et al., 2016, 2012; Xochelli et al., 2019)","plainTextFormattedCitation":"(Bikos et al., 2016, 2012; Xochelli et al., 2019)","previouslyFormattedCitation":"(Bikos et al., 2016, 2012; Xochelli et al., 2019)"},"properties":{"noteIndex":0},"schema":"https://github.com/citation-style-language/schema/raw/master/csl-citation.json"}</w:instrText>
      </w:r>
      <w:r w:rsidR="00D95258" w:rsidRPr="00002888">
        <w:rPr>
          <w:rFonts w:ascii="Times New Roman" w:hAnsi="Times New Roman" w:cs="Times New Roman"/>
          <w:sz w:val="24"/>
          <w:szCs w:val="24"/>
          <w:lang w:val="en-GB"/>
        </w:rPr>
        <w:fldChar w:fldCharType="separate"/>
      </w:r>
      <w:r w:rsidR="00A15967" w:rsidRPr="00002888">
        <w:rPr>
          <w:rFonts w:ascii="Times New Roman" w:hAnsi="Times New Roman" w:cs="Times New Roman"/>
          <w:noProof/>
          <w:sz w:val="24"/>
          <w:szCs w:val="24"/>
          <w:lang w:val="en-GB"/>
        </w:rPr>
        <w:t>(Bikos et al., 2016, 2012; Xochelli et al., 2019)</w:t>
      </w:r>
      <w:r w:rsidR="00D95258" w:rsidRPr="00002888">
        <w:rPr>
          <w:rFonts w:ascii="Times New Roman" w:hAnsi="Times New Roman" w:cs="Times New Roman"/>
          <w:sz w:val="24"/>
          <w:szCs w:val="24"/>
          <w:lang w:val="en-GB"/>
        </w:rPr>
        <w:fldChar w:fldCharType="end"/>
      </w:r>
      <w:r w:rsidR="00721F03" w:rsidRPr="00002888">
        <w:rPr>
          <w:rFonts w:ascii="Times New Roman" w:hAnsi="Times New Roman" w:cs="Times New Roman"/>
          <w:sz w:val="24"/>
          <w:szCs w:val="24"/>
          <w:lang w:val="en-GB"/>
        </w:rPr>
        <w:t xml:space="preserve"> with extended restriction to the level of polymorphic variation</w:t>
      </w:r>
      <w:r w:rsidR="000B79E5" w:rsidRPr="00002888">
        <w:rPr>
          <w:rFonts w:ascii="Times New Roman" w:hAnsi="Times New Roman" w:cs="Times New Roman"/>
          <w:sz w:val="24"/>
          <w:szCs w:val="24"/>
          <w:lang w:val="en-GB"/>
        </w:rPr>
        <w:t>.</w:t>
      </w:r>
      <w:r w:rsidR="009F23FB" w:rsidRPr="00002888">
        <w:rPr>
          <w:rFonts w:ascii="Times New Roman" w:hAnsi="Times New Roman" w:cs="Times New Roman"/>
          <w:sz w:val="24"/>
          <w:szCs w:val="24"/>
          <w:lang w:val="en-GB"/>
        </w:rPr>
        <w:t xml:space="preserve"> </w:t>
      </w:r>
      <w:r w:rsidR="007C2333" w:rsidRPr="00002888">
        <w:rPr>
          <w:rFonts w:ascii="Times New Roman" w:hAnsi="Times New Roman" w:cs="Times New Roman"/>
          <w:sz w:val="24"/>
          <w:szCs w:val="24"/>
          <w:lang w:val="en-GB"/>
        </w:rPr>
        <w:t>Evidence of s</w:t>
      </w:r>
      <w:r w:rsidR="00C405B1" w:rsidRPr="00002888">
        <w:rPr>
          <w:rFonts w:ascii="Times New Roman" w:hAnsi="Times New Roman" w:cs="Times New Roman"/>
          <w:sz w:val="24"/>
          <w:szCs w:val="24"/>
          <w:lang w:val="en-GB"/>
        </w:rPr>
        <w:t xml:space="preserve">omatic hypermutation (SHM) is seen in </w:t>
      </w:r>
      <w:r w:rsidR="007C2333" w:rsidRPr="00002888">
        <w:rPr>
          <w:rFonts w:ascii="Times New Roman" w:hAnsi="Times New Roman" w:cs="Times New Roman"/>
          <w:sz w:val="24"/>
          <w:szCs w:val="24"/>
          <w:lang w:val="en-GB"/>
        </w:rPr>
        <w:t>the majority of</w:t>
      </w:r>
      <w:r w:rsidR="0091408A" w:rsidRPr="00002888">
        <w:rPr>
          <w:rFonts w:ascii="Times New Roman" w:hAnsi="Times New Roman" w:cs="Times New Roman"/>
          <w:sz w:val="24"/>
          <w:szCs w:val="24"/>
          <w:lang w:val="en-GB"/>
        </w:rPr>
        <w:t xml:space="preserve"> </w:t>
      </w:r>
      <w:r w:rsidR="009C2340" w:rsidRPr="00002888">
        <w:rPr>
          <w:rFonts w:ascii="Times New Roman" w:hAnsi="Times New Roman" w:cs="Times New Roman"/>
          <w:i/>
          <w:iCs/>
          <w:sz w:val="24"/>
          <w:szCs w:val="24"/>
          <w:lang w:val="en-GB"/>
        </w:rPr>
        <w:t xml:space="preserve">IGHV1-02*04 </w:t>
      </w:r>
      <w:r w:rsidR="0091408A" w:rsidRPr="00002888">
        <w:rPr>
          <w:rFonts w:ascii="Times New Roman" w:hAnsi="Times New Roman" w:cs="Times New Roman"/>
          <w:i/>
          <w:iCs/>
          <w:sz w:val="24"/>
          <w:szCs w:val="24"/>
          <w:lang w:val="en-GB"/>
        </w:rPr>
        <w:t>SMZL</w:t>
      </w:r>
      <w:r w:rsidR="00A5698A" w:rsidRPr="00002888">
        <w:rPr>
          <w:rFonts w:ascii="Times New Roman" w:hAnsi="Times New Roman" w:cs="Times New Roman"/>
          <w:sz w:val="24"/>
          <w:szCs w:val="24"/>
          <w:lang w:val="en-GB"/>
        </w:rPr>
        <w:t xml:space="preserve"> </w:t>
      </w:r>
      <w:r w:rsidR="0091408A" w:rsidRPr="00002888">
        <w:rPr>
          <w:rFonts w:ascii="Times New Roman" w:hAnsi="Times New Roman" w:cs="Times New Roman"/>
          <w:sz w:val="24"/>
          <w:szCs w:val="24"/>
          <w:lang w:val="en-GB"/>
        </w:rPr>
        <w:t>cases (~</w:t>
      </w:r>
      <w:r w:rsidR="007E4AC9" w:rsidRPr="00002888">
        <w:rPr>
          <w:rFonts w:ascii="Times New Roman" w:hAnsi="Times New Roman" w:cs="Times New Roman"/>
          <w:sz w:val="24"/>
          <w:szCs w:val="24"/>
          <w:lang w:val="en-GB"/>
        </w:rPr>
        <w:t>95</w:t>
      </w:r>
      <w:r w:rsidR="00C51394" w:rsidRPr="00002888">
        <w:rPr>
          <w:rFonts w:ascii="Times New Roman" w:hAnsi="Times New Roman" w:cs="Times New Roman"/>
          <w:sz w:val="24"/>
          <w:szCs w:val="24"/>
          <w:lang w:val="en-GB"/>
        </w:rPr>
        <w:t>%</w:t>
      </w:r>
      <w:r w:rsidR="00777CDF" w:rsidRPr="00002888">
        <w:rPr>
          <w:rFonts w:ascii="Times New Roman" w:hAnsi="Times New Roman" w:cs="Times New Roman"/>
          <w:sz w:val="24"/>
          <w:szCs w:val="24"/>
          <w:lang w:val="en-GB"/>
        </w:rPr>
        <w:t>)</w:t>
      </w:r>
      <w:r w:rsidR="00CC09A0" w:rsidRPr="00002888">
        <w:rPr>
          <w:rFonts w:ascii="Times New Roman" w:hAnsi="Times New Roman" w:cs="Times New Roman"/>
          <w:sz w:val="24"/>
          <w:szCs w:val="24"/>
          <w:lang w:val="en-GB"/>
        </w:rPr>
        <w:t xml:space="preserve"> suggesting </w:t>
      </w:r>
      <w:r w:rsidR="00D23DA3" w:rsidRPr="00002888">
        <w:rPr>
          <w:rFonts w:ascii="Times New Roman" w:hAnsi="Times New Roman" w:cs="Times New Roman"/>
          <w:sz w:val="24"/>
          <w:szCs w:val="24"/>
          <w:lang w:val="en-GB"/>
        </w:rPr>
        <w:t>exposure to antigen</w:t>
      </w:r>
      <w:r w:rsidR="0093554B" w:rsidRPr="00002888">
        <w:rPr>
          <w:rFonts w:ascii="Times New Roman" w:hAnsi="Times New Roman" w:cs="Times New Roman"/>
          <w:sz w:val="24"/>
          <w:szCs w:val="24"/>
          <w:lang w:val="en-GB"/>
        </w:rPr>
        <w:t xml:space="preserve"> </w:t>
      </w:r>
      <w:r w:rsidR="00FA3A69" w:rsidRPr="00002888">
        <w:rPr>
          <w:rFonts w:ascii="Times New Roman" w:hAnsi="Times New Roman" w:cs="Times New Roman"/>
          <w:sz w:val="24"/>
          <w:szCs w:val="24"/>
          <w:lang w:val="en-GB"/>
        </w:rPr>
        <w:t>is both important in progenitor tumour cell selection but also relevant to ongoing evolution</w:t>
      </w:r>
      <w:r w:rsidR="007779AC" w:rsidRPr="00002888">
        <w:rPr>
          <w:rFonts w:ascii="Times New Roman" w:hAnsi="Times New Roman" w:cs="Times New Roman"/>
          <w:sz w:val="24"/>
          <w:szCs w:val="24"/>
          <w:lang w:val="en-GB"/>
        </w:rPr>
        <w:t xml:space="preserve"> </w:t>
      </w:r>
      <w:r w:rsidR="007779AC" w:rsidRPr="00002888">
        <w:rPr>
          <w:rFonts w:ascii="Times New Roman" w:hAnsi="Times New Roman" w:cs="Times New Roman"/>
          <w:sz w:val="24"/>
          <w:szCs w:val="24"/>
          <w:lang w:val="en-GB"/>
        </w:rPr>
        <w:fldChar w:fldCharType="begin" w:fldLock="1"/>
      </w:r>
      <w:r w:rsidR="00EB4D78" w:rsidRPr="00002888">
        <w:rPr>
          <w:rFonts w:ascii="Times New Roman" w:hAnsi="Times New Roman" w:cs="Times New Roman"/>
          <w:sz w:val="24"/>
          <w:szCs w:val="24"/>
          <w:lang w:val="en-GB"/>
        </w:rPr>
        <w:instrText>ADDIN CSL_CITATION {"citationItems":[{"id":"ITEM-1","itemData":{"DOI":"10.1158/1078-0432.CCR-15-1170","ISSN":"1078-0432","PMID":"26647217","abstract":"PURPOSE Prompted by the extensive biases in the immunoglobulin (IG) gene repertoire of splenic marginal-zone lymphoma (SMZL), supporting antigen selection in SMZL ontogeny, we sought to investigate whether antigen involvement is also relevant post-transformation. EXPERIMENTAL DESIGN We conducted a large-scale subcloning study of the IG rearrangements of 40 SMZL cases aimed at assessing intraclonal diversification (ID) due to ongoing somatic hypermutation (SHM). RESULTS ID was identified in 17 of 21 (81%) rearrangements using the immunoglobulin heavy variable (IGHV)1-2*04 gene versus 8 of 19 (40%) rearrangements utilizing other IGHV genes (P= 0.001). ID was also evident in most analyzed IG light chain gene rearrangements, albeit was more limited compared with IG heavy chains. Identical sequence changes were shared by subclones from different patients utilizing the IGHV1-2*04 gene, confirming restricted ongoing SHM profiles. Non-IGHV1-2*04 cases displayed both a lower number of ongoing SHMs and a lack of shared mutations (per group of cases utilizing the same IGHV gene). CONCLUSIONS These findings support ongoing antigen involvement in a sizable portion of SMZL and further argue that IGHV1-2*04 SMZL may represent a distinct molecular subtype of the disease.","author":[{"dropping-particle":"","family":"Bikos","given":"Vasilis","non-dropping-particle":"","parse-names":false,"suffix":""},{"dropping-particle":"","family":"Karypidou","given":"Maria","non-dropping-particle":"","parse-names":false,"suffix":""},{"dropping-particle":"","family":"Stalika","given":"Evangelia","non-dropping-particle":"","parse-names":false,"suffix":""},{"dropping-particle":"","family":"Baliakas","given":"Panagiotis","non-dropping-particle":"","parse-names":false,"suffix":""},{"dropping-particle":"","family":"Xochelli","given":"Aliki","non-dropping-particle":"","parse-names":false,"suffix":""},{"dropping-particle":"","family":"Sutton","given":"Lesley-Ann","non-dropping-particle":"","parse-names":false,"suffix":""},{"dropping-particle":"","family":"Papadopoulos","given":"George","non-dropping-particle":"","parse-names":false,"suffix":""},{"dropping-particle":"","family":"Agathangelidis","given":"Andreas","non-dropping-particle":"","parse-names":false,"suffix":""},{"dropping-particle":"","family":"Papadopoulou","given":"Evdoxia","non-dropping-particle":"","parse-names":false,"suffix":""},{"dropping-particle":"","family":"Davis","given":"Zadie","non-dropping-particle":"","parse-names":false,"suffix":""},{"dropping-particle":"","family":"Algara","given":"Patricia","non-dropping-particle":"","parse-names":false,"suffix":""},{"dropping-particle":"","family":"Kanellis","given":"George","non-dropping-particle":"","parse-names":false,"suffix":""},{"dropping-particle":"","family":"Traverse-Glehen","given":"Alexandra","non-dropping-particle":"","parse-names":false,"suffix":""},{"dropping-particle":"","family":"Mollejo","given":"Manuela","non-dropping-particle":"","parse-names":false,"suffix":""},{"dropping-particle":"","family":"Anagnostopoulos","given":"Achilles","non-dropping-particle":"","parse-names":false,"suffix":""},{"dropping-particle":"","family":"Ponzoni","given":"Maurilio","non-dropping-particle":"","parse-names":false,"suffix":""},{"dropping-particle":"","family":"Gonzalez","given":"David","non-dropping-particle":"","parse-names":false,"suffix":""},{"dropping-particle":"","family":"Pospisilova","given":"Sarka","non-dropping-particle":"","parse-names":false,"suffix":""},{"dropping-particle":"","family":"Matutes","given":"Estella","non-dropping-particle":"","parse-names":false,"suffix":""},{"dropping-particle":"","family":"Piris","given":"Miguel Angel","non-dropping-particle":"","parse-names":false,"suffix":""},{"dropping-particle":"","family":"Papadaki","given":"Theodora","non-dropping-particle":"","parse-names":false,"suffix":""},{"dropping-particle":"","family":"Ghia","given":"Paolo","non-dropping-particle":"","parse-names":false,"suffix":""},{"dropping-particle":"","family":"Rosenquist","given":"Richard","non-dropping-particle":"","parse-names":false,"suffix":""},{"dropping-particle":"","family":"Oscier","given":"David","non-dropping-particle":"","parse-names":false,"suffix":""},{"dropping-particle":"","family":"Darzentas","given":"Nikos","non-dropping-particle":"","parse-names":false,"suffix":""},{"dropping-particle":"","family":"Tzovaras","given":"Dimitrios","non-dropping-particle":"","parse-names":false,"suffix":""},{"dropping-particle":"","family":"Belessi","given":"Chrysoula","non-dropping-particle":"","parse-names":false,"suffix":""},{"dropping-particle":"","family":"Hadzidimitriou","given":"Anastasia","non-dropping-particle":"","parse-names":false,"suffix":""},{"dropping-particle":"","family":"Stamatopoulos","given":"Kostas","non-dropping-particle":"","parse-names":false,"suffix":""}],"container-title":"Clinical Cancer Research","id":"ITEM-1","issue":"8","issued":{"date-parts":[["2016","4","15"]]},"page":"2032-2040","title":"An Immunogenetic Signature of Ongoing Antigen Interactions in Splenic Marginal Zone Lymphoma Expressing IGHV1-2*04 Receptors","type":"article-journal","volume":"22"},"uris":["http://www.mendeley.com/documents/?uuid=71d22cf0-356a-4905-a288-cfe9ca5a8f61"]}],"mendeley":{"formattedCitation":"(Bikos et al., 2016)","plainTextFormattedCitation":"(Bikos et al., 2016)","previouslyFormattedCitation":"(Bikos et al., 2016)"},"properties":{"noteIndex":0},"schema":"https://github.com/citation-style-language/schema/raw/master/csl-citation.json"}</w:instrText>
      </w:r>
      <w:r w:rsidR="007779AC" w:rsidRPr="00002888">
        <w:rPr>
          <w:rFonts w:ascii="Times New Roman" w:hAnsi="Times New Roman" w:cs="Times New Roman"/>
          <w:sz w:val="24"/>
          <w:szCs w:val="24"/>
          <w:lang w:val="en-GB"/>
        </w:rPr>
        <w:fldChar w:fldCharType="separate"/>
      </w:r>
      <w:r w:rsidR="00A15967" w:rsidRPr="00002888">
        <w:rPr>
          <w:rFonts w:ascii="Times New Roman" w:hAnsi="Times New Roman" w:cs="Times New Roman"/>
          <w:noProof/>
          <w:sz w:val="24"/>
          <w:szCs w:val="24"/>
          <w:lang w:val="en-GB"/>
        </w:rPr>
        <w:t>(Bikos et al., 2016)</w:t>
      </w:r>
      <w:r w:rsidR="007779AC" w:rsidRPr="00002888">
        <w:rPr>
          <w:rFonts w:ascii="Times New Roman" w:hAnsi="Times New Roman" w:cs="Times New Roman"/>
          <w:sz w:val="24"/>
          <w:szCs w:val="24"/>
          <w:lang w:val="en-GB"/>
        </w:rPr>
        <w:fldChar w:fldCharType="end"/>
      </w:r>
      <w:r w:rsidR="00D23DA3" w:rsidRPr="00002888">
        <w:rPr>
          <w:rFonts w:ascii="Times New Roman" w:hAnsi="Times New Roman" w:cs="Times New Roman"/>
          <w:sz w:val="24"/>
          <w:szCs w:val="24"/>
          <w:lang w:val="en-GB"/>
        </w:rPr>
        <w:t>.</w:t>
      </w:r>
      <w:r w:rsidR="00A8548E" w:rsidRPr="00002888">
        <w:rPr>
          <w:rFonts w:ascii="Times New Roman" w:hAnsi="Times New Roman" w:cs="Times New Roman"/>
          <w:sz w:val="24"/>
          <w:szCs w:val="24"/>
          <w:lang w:val="en-GB"/>
        </w:rPr>
        <w:t xml:space="preserve"> </w:t>
      </w:r>
      <w:r w:rsidR="00CF521C" w:rsidRPr="00002888">
        <w:rPr>
          <w:rFonts w:ascii="Times New Roman" w:hAnsi="Times New Roman" w:cs="Times New Roman"/>
          <w:i/>
          <w:iCs/>
          <w:sz w:val="24"/>
          <w:szCs w:val="24"/>
          <w:lang w:val="en-GB"/>
        </w:rPr>
        <w:t>IGHV1-02*04</w:t>
      </w:r>
      <w:r w:rsidR="00CF521C" w:rsidRPr="00002888">
        <w:rPr>
          <w:rFonts w:ascii="Times New Roman" w:hAnsi="Times New Roman" w:cs="Times New Roman"/>
          <w:sz w:val="24"/>
          <w:szCs w:val="24"/>
          <w:lang w:val="en-GB"/>
        </w:rPr>
        <w:t xml:space="preserve"> cases carry extended VH CDR3 sequences, biased </w:t>
      </w:r>
      <w:r w:rsidR="00CF521C" w:rsidRPr="00002888">
        <w:rPr>
          <w:rFonts w:ascii="Times New Roman" w:hAnsi="Times New Roman" w:cs="Times New Roman"/>
          <w:i/>
          <w:iCs/>
          <w:sz w:val="24"/>
          <w:szCs w:val="24"/>
          <w:lang w:val="en-GB"/>
        </w:rPr>
        <w:t>IGHD</w:t>
      </w:r>
      <w:r w:rsidR="00CF521C" w:rsidRPr="00002888">
        <w:rPr>
          <w:rFonts w:ascii="Times New Roman" w:hAnsi="Times New Roman" w:cs="Times New Roman"/>
          <w:sz w:val="24"/>
          <w:szCs w:val="24"/>
          <w:lang w:val="en-GB"/>
        </w:rPr>
        <w:t xml:space="preserve"> </w:t>
      </w:r>
      <w:r w:rsidR="00CF521C" w:rsidRPr="00245037">
        <w:rPr>
          <w:rFonts w:ascii="Times New Roman" w:hAnsi="Times New Roman" w:cs="Times New Roman"/>
          <w:sz w:val="24"/>
          <w:szCs w:val="24"/>
          <w:lang w:val="en-GB"/>
        </w:rPr>
        <w:t xml:space="preserve">and </w:t>
      </w:r>
      <w:r w:rsidR="00CF521C" w:rsidRPr="00245037">
        <w:rPr>
          <w:rFonts w:ascii="Times New Roman" w:hAnsi="Times New Roman" w:cs="Times New Roman"/>
          <w:i/>
          <w:iCs/>
          <w:sz w:val="24"/>
          <w:szCs w:val="24"/>
          <w:lang w:val="en-GB"/>
        </w:rPr>
        <w:t>IGH</w:t>
      </w:r>
      <w:r w:rsidR="003D7E86" w:rsidRPr="00245037">
        <w:rPr>
          <w:rFonts w:ascii="Times New Roman" w:hAnsi="Times New Roman" w:cs="Times New Roman"/>
          <w:i/>
          <w:iCs/>
          <w:sz w:val="24"/>
          <w:szCs w:val="24"/>
          <w:lang w:val="en-GB"/>
        </w:rPr>
        <w:t>J</w:t>
      </w:r>
      <w:r w:rsidR="00CF521C" w:rsidRPr="00245037">
        <w:rPr>
          <w:rFonts w:ascii="Times New Roman" w:hAnsi="Times New Roman" w:cs="Times New Roman"/>
          <w:sz w:val="24"/>
          <w:szCs w:val="24"/>
          <w:lang w:val="en-GB"/>
        </w:rPr>
        <w:t xml:space="preserve"> gene</w:t>
      </w:r>
      <w:r w:rsidR="00CF521C" w:rsidRPr="00002888">
        <w:rPr>
          <w:rFonts w:ascii="Times New Roman" w:hAnsi="Times New Roman" w:cs="Times New Roman"/>
          <w:sz w:val="24"/>
          <w:szCs w:val="24"/>
          <w:lang w:val="en-GB"/>
        </w:rPr>
        <w:t xml:space="preserve"> usage, and distinct patterns of SHM </w:t>
      </w:r>
      <w:r w:rsidR="009B28CF" w:rsidRPr="00002888">
        <w:rPr>
          <w:rFonts w:ascii="Times New Roman" w:hAnsi="Times New Roman" w:cs="Times New Roman"/>
          <w:sz w:val="24"/>
          <w:szCs w:val="24"/>
          <w:lang w:val="en-GB"/>
        </w:rPr>
        <w:fldChar w:fldCharType="begin" w:fldLock="1"/>
      </w:r>
      <w:r w:rsidR="00A175FA" w:rsidRPr="00002888">
        <w:rPr>
          <w:rFonts w:ascii="Times New Roman" w:hAnsi="Times New Roman" w:cs="Times New Roman"/>
          <w:sz w:val="24"/>
          <w:szCs w:val="24"/>
          <w:lang w:val="en-GB"/>
        </w:rPr>
        <w:instrText>ADDIN CSL_CITATION {"citationItems":[{"id":"ITEM-1","itemData":{"DOI":"10.1038/leu.2012.3","ISSN":"1476-5551","PMID":"22222599","abstract":"We performed an immunogenetic analysis of 345 IGHV-IGHD-IGHJ rearrangements from 337 cases with primary splenic small B-cell lymphomas of marginal-zone origin. Three immunoglobulin (IG) heavy variable (IGHV) genes accounted for 45.8% of the cases (IGHV1-2, 24.9%; IGHV4-34, 12.8%; IGHV3-23, 8.1%). Particularly for the IGHV1-2 gene, strong biases were evident regarding utilization of different alleles, with 79/86 rearrangements (92%) using allele (*)04. Among cases more stringently classified as splenic marginal-zone lymphoma (SMZL) thanks to the availability of splenic histopathological specimens, the frequency of IGHV1-2(*)04 peaked at 31%. The IGHV1-2(*)04 rearrangements carried significantly longer complementarity-determining region-3 (CDR3) than all other cases and showed biased IGHD gene usage, leading to CDR3s with common motifs. The great majority of analyzed rearrangements (299/345, 86.7%) carried IGHV genes with some impact of somatic hypermutation, from minimal to pronounced. Noticeably, 75/79 (95%) IGHV1-2(*)04 rearrangements were mutated; however, they mostly (56/75 cases; 74.6%) carried few mutations (97-99.9% germline identity) of conservative nature and restricted distribution. These distinctive features of the IG receptors indicate selection by (super)antigenic element(s) in the pathogenesis of SMZL. Furthermore, they raise the possibility that certain SMZL subtypes could derive from progenitor populations adapted to particular antigenic challenges through selection of VH domain specificities, in particular the IGHV1-2(*)04 allele.","author":[{"dropping-particle":"","family":"Bikos","given":"V.","non-dropping-particle":"","parse-names":false,"suffix":""},{"dropping-particle":"","family":"Darzentas","given":"N.","non-dropping-particle":"","parse-names":false,"suffix":""},{"dropping-particle":"","family":"Hadzidimitriou","given":"A.","non-dropping-particle":"","parse-names":false,"suffix":""},{"dropping-particle":"","family":"Davis","given":"Z.","non-dropping-particle":"","parse-names":false,"suffix":""},{"dropping-particle":"","family":"Hockley","given":"S.","non-dropping-particle":"","parse-names":false,"suffix":""},{"dropping-particle":"","family":"Traverse-Glehen","given":"A.","non-dropping-particle":"","parse-names":false,"suffix":""},{"dropping-particle":"","family":"Algara","given":"P.","non-dropping-particle":"","parse-names":false,"suffix":""},{"dropping-particle":"","family":"Santoro","given":"A.","non-dropping-particle":"","parse-names":false,"suffix":""},{"dropping-particle":"","family":"Gonzalez","given":"D.","non-dropping-particle":"","parse-names":false,"suffix":""},{"dropping-particle":"","family":"Mollejo","given":"M.","non-dropping-particle":"","parse-names":false,"suffix":""},{"dropping-particle":"","family":"Dagklis","given":"A.","non-dropping-particle":"","parse-names":false,"suffix":""},{"dropping-particle":"","family":"Gangemi","given":"F.","non-dropping-particle":"","parse-names":false,"suffix":""},{"dropping-particle":"","family":"Bosler","given":"D. S.","non-dropping-particle":"","parse-names":false,"suffix":""},{"dropping-particle":"","family":"Bourikas","given":"G.","non-dropping-particle":"","parse-names":false,"suffix":""},{"dropping-particle":"","family":"Anagnostopoulos","given":"A.","non-dropping-particle":"","parse-names":false,"suffix":""},{"dropping-particle":"","family":"Tsaftaris","given":"A.","non-dropping-particle":"","parse-names":false,"suffix":""},{"dropping-particle":"","family":"Iannitto","given":"E.","non-dropping-particle":"","parse-names":false,"suffix":""},{"dropping-particle":"","family":"Ponzoni","given":"M.","non-dropping-particle":"","parse-names":false,"suffix":""},{"dropping-particle":"","family":"Felman","given":"P.","non-dropping-particle":"","parse-names":false,"suffix":""},{"dropping-particle":"","family":"Berger","given":"F.","non-dropping-particle":"","parse-names":false,"suffix":""},{"dropping-particle":"","family":"Belessi","given":"C.","non-dropping-particle":"","parse-names":false,"suffix":""},{"dropping-particle":"","family":"Ghia","given":"P.","non-dropping-particle":"","parse-names":false,"suffix":""},{"dropping-particle":"","family":"Papadaki","given":"T.","non-dropping-particle":"","parse-names":false,"suffix":""},{"dropping-particle":"","family":"Dogan","given":"A.","non-dropping-particle":"","parse-names":false,"suffix":""},{"dropping-particle":"","family":"Degano","given":"M.","non-dropping-particle":"","parse-names":false,"suffix":""},{"dropping-particle":"","family":"Matutes","given":"E.","non-dropping-particle":"","parse-names":false,"suffix":""},{"dropping-particle":"","family":"Piris","given":"M. A.","non-dropping-particle":"","parse-names":false,"suffix":""},{"dropping-particle":"","family":"Oscier","given":"D.","non-dropping-particle":"","parse-names":false,"suffix":""},{"dropping-particle":"","family":"Stamatopoulos","given":"K.","non-dropping-particle":"","parse-names":false,"suffix":""}],"container-title":"Leukemia","id":"ITEM-1","issue":"7","issued":{"date-parts":[["2012","7"]]},"page":"1638-46","publisher":"Nature Publishing Group","title":"Over 30% of patients with splenic marginal zone lymphoma express the same immunoglobulin heavy variable gene: ontogenetic implications.","type":"article-journal","volume":"26"},"uris":["http://www.mendeley.com/documents/?uuid=823912f5-04a2-440b-9c88-95753fbf4b1d"]}],"mendeley":{"formattedCitation":"(Bikos et al., 2012)","plainTextFormattedCitation":"(Bikos et al., 2012)","previouslyFormattedCitation":"(Bikos et al., 2012)"},"properties":{"noteIndex":0},"schema":"https://github.com/citation-style-language/schema/raw/master/csl-citation.json"}</w:instrText>
      </w:r>
      <w:r w:rsidR="009B28CF" w:rsidRPr="00002888">
        <w:rPr>
          <w:rFonts w:ascii="Times New Roman" w:hAnsi="Times New Roman" w:cs="Times New Roman"/>
          <w:sz w:val="24"/>
          <w:szCs w:val="24"/>
          <w:lang w:val="en-GB"/>
        </w:rPr>
        <w:fldChar w:fldCharType="separate"/>
      </w:r>
      <w:r w:rsidR="009B28CF" w:rsidRPr="00002888">
        <w:rPr>
          <w:rFonts w:ascii="Times New Roman" w:hAnsi="Times New Roman" w:cs="Times New Roman"/>
          <w:noProof/>
          <w:sz w:val="24"/>
          <w:szCs w:val="24"/>
          <w:lang w:val="en-GB"/>
        </w:rPr>
        <w:t>(Bikos et al., 2012)</w:t>
      </w:r>
      <w:r w:rsidR="009B28CF" w:rsidRPr="00002888">
        <w:rPr>
          <w:rFonts w:ascii="Times New Roman" w:hAnsi="Times New Roman" w:cs="Times New Roman"/>
          <w:sz w:val="24"/>
          <w:szCs w:val="24"/>
          <w:lang w:val="en-GB"/>
        </w:rPr>
        <w:fldChar w:fldCharType="end"/>
      </w:r>
      <w:r w:rsidR="008E6572" w:rsidRPr="00002888">
        <w:rPr>
          <w:rFonts w:ascii="Times New Roman" w:hAnsi="Times New Roman" w:cs="Times New Roman"/>
          <w:sz w:val="24"/>
          <w:szCs w:val="24"/>
          <w:lang w:val="en-GB"/>
        </w:rPr>
        <w:t xml:space="preserve">. </w:t>
      </w:r>
      <w:r w:rsidR="00CF521C" w:rsidRPr="00002888">
        <w:rPr>
          <w:rFonts w:ascii="Times New Roman" w:hAnsi="Times New Roman" w:cs="Times New Roman"/>
          <w:i/>
          <w:iCs/>
          <w:sz w:val="24"/>
          <w:szCs w:val="24"/>
          <w:lang w:val="en-GB"/>
        </w:rPr>
        <w:t>IGHV</w:t>
      </w:r>
      <w:r w:rsidR="004A072A" w:rsidRPr="00002888">
        <w:rPr>
          <w:rFonts w:ascii="Times New Roman" w:hAnsi="Times New Roman" w:cs="Times New Roman"/>
          <w:i/>
          <w:iCs/>
          <w:sz w:val="24"/>
          <w:szCs w:val="24"/>
          <w:lang w:val="en-GB"/>
        </w:rPr>
        <w:t>1</w:t>
      </w:r>
      <w:r w:rsidR="00CF521C" w:rsidRPr="00002888">
        <w:rPr>
          <w:rFonts w:ascii="Times New Roman" w:hAnsi="Times New Roman" w:cs="Times New Roman"/>
          <w:i/>
          <w:iCs/>
          <w:sz w:val="24"/>
          <w:szCs w:val="24"/>
          <w:lang w:val="en-GB"/>
        </w:rPr>
        <w:t>-</w:t>
      </w:r>
      <w:r w:rsidR="00440600" w:rsidRPr="00002888">
        <w:rPr>
          <w:rFonts w:ascii="Times New Roman" w:hAnsi="Times New Roman" w:cs="Times New Roman"/>
          <w:i/>
          <w:iCs/>
          <w:sz w:val="24"/>
          <w:szCs w:val="24"/>
          <w:lang w:val="en-GB"/>
        </w:rPr>
        <w:t>0</w:t>
      </w:r>
      <w:r w:rsidR="00CF521C" w:rsidRPr="00002888">
        <w:rPr>
          <w:rFonts w:ascii="Times New Roman" w:hAnsi="Times New Roman" w:cs="Times New Roman"/>
          <w:i/>
          <w:iCs/>
          <w:sz w:val="24"/>
          <w:szCs w:val="24"/>
          <w:lang w:val="en-GB"/>
        </w:rPr>
        <w:t>2</w:t>
      </w:r>
      <w:r w:rsidR="00CF521C" w:rsidRPr="00002888">
        <w:rPr>
          <w:rFonts w:ascii="Times New Roman" w:hAnsi="Times New Roman" w:cs="Times New Roman"/>
          <w:sz w:val="24"/>
          <w:szCs w:val="24"/>
          <w:lang w:val="en-GB"/>
        </w:rPr>
        <w:t xml:space="preserve"> cases with allele *</w:t>
      </w:r>
      <w:r w:rsidR="00AE4C4C" w:rsidRPr="00002888">
        <w:rPr>
          <w:rFonts w:ascii="Times New Roman" w:hAnsi="Times New Roman" w:cs="Times New Roman"/>
          <w:sz w:val="24"/>
          <w:szCs w:val="24"/>
          <w:lang w:val="en-GB"/>
        </w:rPr>
        <w:t>0</w:t>
      </w:r>
      <w:r w:rsidR="00CF521C" w:rsidRPr="00002888">
        <w:rPr>
          <w:rFonts w:ascii="Times New Roman" w:hAnsi="Times New Roman" w:cs="Times New Roman"/>
          <w:sz w:val="24"/>
          <w:szCs w:val="24"/>
          <w:lang w:val="en-GB"/>
        </w:rPr>
        <w:t xml:space="preserve">4 may have unique immunogenetic features as the polymorphism encodes a tryptophan (W) residue rather than arginine (R) at position 75 of VH FR3, with the latter playing a role in IG structural stability and conformation. </w:t>
      </w:r>
      <w:r w:rsidR="008E6572" w:rsidRPr="00002888">
        <w:rPr>
          <w:rFonts w:ascii="Times New Roman" w:hAnsi="Times New Roman" w:cs="Times New Roman"/>
          <w:sz w:val="24"/>
          <w:szCs w:val="24"/>
          <w:lang w:val="en-GB"/>
        </w:rPr>
        <w:t xml:space="preserve">As will be </w:t>
      </w:r>
      <w:r w:rsidR="009C2340" w:rsidRPr="00002888">
        <w:rPr>
          <w:rFonts w:ascii="Times New Roman" w:hAnsi="Times New Roman" w:cs="Times New Roman"/>
          <w:sz w:val="24"/>
          <w:szCs w:val="24"/>
          <w:lang w:val="en-GB"/>
        </w:rPr>
        <w:t xml:space="preserve">discussed in more detail later, key somatic mutations and acquired copy number changes define the disease but are also associated with specific immunological backgrounds. Most notable is the enrichment of 7q deletions and </w:t>
      </w:r>
      <w:r w:rsidR="009C2340" w:rsidRPr="00002888">
        <w:rPr>
          <w:rFonts w:ascii="Times New Roman" w:hAnsi="Times New Roman" w:cs="Times New Roman"/>
          <w:i/>
          <w:iCs/>
          <w:sz w:val="24"/>
          <w:szCs w:val="24"/>
          <w:lang w:val="en-GB"/>
        </w:rPr>
        <w:t>KLF2</w:t>
      </w:r>
      <w:r w:rsidR="009C2340" w:rsidRPr="00002888">
        <w:rPr>
          <w:rFonts w:ascii="Times New Roman" w:hAnsi="Times New Roman" w:cs="Times New Roman"/>
          <w:sz w:val="24"/>
          <w:szCs w:val="24"/>
          <w:lang w:val="en-GB"/>
        </w:rPr>
        <w:t xml:space="preserve"> and </w:t>
      </w:r>
      <w:r w:rsidR="009C2340" w:rsidRPr="00002888">
        <w:rPr>
          <w:rFonts w:ascii="Times New Roman" w:hAnsi="Times New Roman" w:cs="Times New Roman"/>
          <w:i/>
          <w:iCs/>
          <w:sz w:val="24"/>
          <w:szCs w:val="24"/>
          <w:lang w:val="en-GB"/>
        </w:rPr>
        <w:t>NOTCH2</w:t>
      </w:r>
      <w:r w:rsidR="009C2340" w:rsidRPr="00002888">
        <w:rPr>
          <w:rFonts w:ascii="Times New Roman" w:hAnsi="Times New Roman" w:cs="Times New Roman"/>
          <w:sz w:val="24"/>
          <w:szCs w:val="24"/>
          <w:lang w:val="en-GB"/>
        </w:rPr>
        <w:t xml:space="preserve"> mutations in </w:t>
      </w:r>
      <w:r w:rsidR="009C2340" w:rsidRPr="00002888">
        <w:rPr>
          <w:rFonts w:ascii="Times New Roman" w:hAnsi="Times New Roman" w:cs="Times New Roman"/>
          <w:i/>
          <w:iCs/>
          <w:sz w:val="24"/>
          <w:szCs w:val="24"/>
          <w:lang w:val="en-GB"/>
        </w:rPr>
        <w:t>IGHV1-02*04</w:t>
      </w:r>
      <w:r w:rsidR="009C2340" w:rsidRPr="00002888">
        <w:rPr>
          <w:rFonts w:ascii="Times New Roman" w:hAnsi="Times New Roman" w:cs="Times New Roman"/>
          <w:sz w:val="24"/>
          <w:szCs w:val="24"/>
          <w:lang w:val="en-GB"/>
        </w:rPr>
        <w:t xml:space="preserve"> SMZL </w:t>
      </w:r>
      <w:r w:rsidR="009C2340" w:rsidRPr="00002888">
        <w:rPr>
          <w:rFonts w:ascii="Times New Roman" w:hAnsi="Times New Roman" w:cs="Times New Roman"/>
          <w:sz w:val="24"/>
          <w:szCs w:val="24"/>
          <w:lang w:val="en-GB"/>
        </w:rPr>
        <w:fldChar w:fldCharType="begin" w:fldLock="1"/>
      </w:r>
      <w:r w:rsidR="00EB4D78" w:rsidRPr="00002888">
        <w:rPr>
          <w:rFonts w:ascii="Times New Roman" w:hAnsi="Times New Roman" w:cs="Times New Roman"/>
          <w:sz w:val="24"/>
          <w:szCs w:val="24"/>
          <w:lang w:val="en-GB"/>
        </w:rPr>
        <w:instrText>ADDIN CSL_CITATION {"citationItems":[{"id":"ITEM-1","itemData":{"DOI":"10.1038/leu.2014.330","ISSN":"14765551","PMID":"25428260","abstract":"To characterise the genetics of splenic marginal zone lymphoma (SMZL), we performed whole exome sequencing of 16 cases and identified novel recurrent inactivating mutations in Kruppel-like factor 2 (KLF2), a gene whose deficiency was previously shown to cause splenic marginal zone hyperplasia in mice. KLF2 mutation was found in 40 (42%) of 96 SMZLs, but rarely in other B-cell lymphomas. The majority of KLF2 mutations were frameshift indels or nonsense changes, with missense mutations clustered in the C-terminal zinc finger domains. Functional assays showed that these mutations inactivated the ability of KLF2 to suppress NF-κB activation by TLR, BCR, BAFFR and TNFR signalling. Further extensive investigations revealed common and distinct genetic changes between SMZL with and without KLF2 mutation. IGHV1-2 rearrangement and 7q deletion were primarily seen in SMZL with KLF2 mutation, while MYD88 and TP53 mutations were nearly exclusively found in those without KLF2 mutation. NOTCH2, TRAF3, TNFAIP3 and CARD11 mutations were observed in SMZL both with and without KLF2 mutation. Taken together, KLF2 mutation is the most common genetic change in SMZL and identifies a subset with a distinct genotype characterised by multi-genetic changes. These different genetic changes may deregulate various signalling pathways and generate cooperative oncogenic properties, thereby contributing to lymphomagenesis.","author":[{"dropping-particle":"","family":"Clipson","given":"A.","non-dropping-particle":"","parse-names":false,"suffix":""},{"dropping-particle":"","family":"Wang","given":"M.","non-dropping-particle":"","parse-names":false,"suffix":""},{"dropping-particle":"","family":"Leval","given":"L.","non-dropping-particle":"De","parse-names":false,"suffix":""},{"dropping-particle":"","family":"Ashton-Key","given":"M.","non-dropping-particle":"","parse-names":false,"suffix":""},{"dropping-particle":"","family":"Wotherspoon","given":"A.","non-dropping-particle":"","parse-names":false,"suffix":""},{"dropping-particle":"","family":"Vassiliou","given":"G.","non-dropping-particle":"","parse-names":false,"suffix":""},{"dropping-particle":"","family":"Bolli","given":"N.","non-dropping-particle":"","parse-names":false,"suffix":""},{"dropping-particle":"","family":"Grove","given":"C.","non-dropping-particle":"","parse-names":false,"suffix":""},{"dropping-particle":"","family":"Moody","given":"S.","non-dropping-particle":"","parse-names":false,"suffix":""},{"dropping-particle":"","family":"Escudero-Ibarz","given":"L.","non-dropping-particle":"","parse-names":false,"suffix":""},{"dropping-particle":"","family":"Gundem","given":"G.","non-dropping-particle":"","parse-names":false,"suffix":""},{"dropping-particle":"","family":"Brugger","given":"K.","non-dropping-particle":"","parse-names":false,"suffix":""},{"dropping-particle":"","family":"Xue","given":"X.","non-dropping-particle":"","parse-names":false,"suffix":""},{"dropping-particle":"","family":"Mi","given":"E.","non-dropping-particle":"","parse-names":false,"suffix":""},{"dropping-particle":"","family":"Bench","given":"A.","non-dropping-particle":"","parse-names":false,"suffix":""},{"dropping-particle":"","family":"Scott","given":"M.","non-dropping-particle":"","parse-names":false,"suffix":""},{"dropping-particle":"","family":"Liu","given":"H.","non-dropping-particle":"","parse-names":false,"suffix":""},{"dropping-particle":"","family":"Follows","given":"G.","non-dropping-particle":"","parse-names":false,"suffix":""},{"dropping-particle":"","family":"Robles","given":"E. F.","non-dropping-particle":"","parse-names":false,"suffix":""},{"dropping-particle":"","family":"Martinez-Climent","given":"J. A.","non-dropping-particle":"","parse-names":false,"suffix":""},{"dropping-particle":"","family":"Oscier","given":"D.","non-dropping-particle":"","parse-names":false,"suffix":""},{"dropping-particle":"","family":"Watkins","given":"A. J.","non-dropping-particle":"","parse-names":false,"suffix":""},{"dropping-particle":"","family":"Du","given":"M. Q.","non-dropping-particle":"","parse-names":false,"suffix":""}],"container-title":"Leukemia","id":"ITEM-1","issue":"5","issued":{"date-parts":[["2015"]]},"page":"1177-1185","title":"KLF2 mutation is the most frequent somatic change in splenic marginal zone lymphoma and identifies a subset with distinct genotype","type":"article-journal","volume":"29"},"uris":["http://www.mendeley.com/documents/?uuid=9a03fc8c-403a-4b3d-8ecb-3673a4b13433"]},{"id":"ITEM-2","itemData":{"DOI":"10.1158/1078-0432.CCR-14-2759","ISSN":"15573265","PMID":"25779943","abstract":"Purpose: Mounting evidence supports the clinical significance of gene mutations and immunogenetic features in common mature B-cell malignancies.\\n\\nExperimental Design: We undertook a detailed characterization of the genetic background of splenic marginal zone lymphoma (SMZL), using targeted resequencing and explored potential clinical implications in a multinational cohort of 175 patients with SMZL.\\n\\nResults: We identified recurrent mutations in TP53 (16%), KLF2 (12%), NOTCH2 (10%), TNFAIP3 (7%), MLL2 (11%), MYD88 (7%), and ARID1A (6%), all genes known to be targeted by somatic mutation in SMZL. KLF2 mutations were early, clonal events, enriched in patients with del(7q) and IGHV1-2*04 B-cell receptor immunoglobulins, and were associated with a short median time to first treatment (0.12 vs. 1.11 years; P = 0.01). In multivariate analysis, mutations in NOTCH2 [HR, 2.12; 95% confidence interval (CI), 1.02–4.4; P = 0.044] and 100% germline IGHV gene identity (HR, 2.19; 95% CI, 1.05–4.55; P = 0.036) were independent markers of short time to first treatment, whereas TP53 mutations were an independent marker of short overall survival (HR, 2.36; 95 % CI, 1.08–5.2; P = 0.03).\\n\\nConclusions: We identify key associations between gene mutations and clinical outcome, demonstrating for the first time that NOTCH2 and TP53 gene mutations are independent markers of reduced treatment-free and overall survival, respectively. Clin Cancer Res; 21(18); 4174–83. ©2015 AACR .","author":[{"dropping-particle":"","family":"Parry","given":"Marina","non-dropping-particle":"","parse-names":false,"suffix":""},{"dropping-particle":"","family":"Rose-Zerilli","given":"Matthew J.J.","non-dropping-particle":"","parse-names":false,"suffix":""},{"dropping-particle":"","family":"Ljungström","given":"Viktor","non-dropping-particle":"","parse-names":false,"suffix":""},{"dropping-particle":"","family":"Gibson","given":"Jane","non-dropping-particle":"","parse-names":false,"suffix":""},{"dropping-particle":"","family":"Wang","given":"Jun","non-dropping-particle":"","parse-names":false,"suffix":""},{"dropping-particle":"","family":"Walewska","given":"Renata","non-dropping-particle":"","parse-names":false,"suffix":""},{"dropping-particle":"","family":"Parker","given":"Helen","non-dropping-particle":"","parse-names":false,"suffix":""},{"dropping-particle":"","family":"Parker","given":"Anton","non-dropping-particle":"","parse-names":false,"suffix":""},{"dropping-particle":"","family":"Davis","given":"Zadie","non-dropping-particle":"","parse-names":false,"suffix":""},{"dropping-particle":"","family":"Gardiner","given":"Anne","non-dropping-particle":"","parse-names":false,"suffix":""},{"dropping-particle":"","family":"McIver-Brown","given":"Neil","non-dropping-particle":"","parse-names":false,"suffix":""},{"dropping-particle":"","family":"Kalpadakis","given":"Christina","non-dropping-particle":"","parse-names":false,"suffix":""},{"dropping-particle":"","family":"Xochelli","given":"Aliki","non-dropping-particle":"","parse-names":false,"suffix":""},{"dropping-particle":"","family":"Anagnostopoulos","given":"Achilles","non-dropping-particle":"","parse-names":false,"suffix":""},{"dropping-particle":"","family":"Fazi","given":"Claudia","non-dropping-particle":"","parse-names":false,"suffix":""},{"dropping-particle":"","family":"Castro","given":"David Gonzalez","non-dropping-particle":"De","parse-names":false,"suffix":""},{"dropping-particle":"","family":"Dearden","given":"Claire","non-dropping-particle":"","parse-names":false,"suffix":""},{"dropping-particle":"","family":"Pratt","given":"Guy","non-dropping-particle":"","parse-names":false,"suffix":""},{"dropping-particle":"","family":"Rosenquist","given":"Richard","non-dropping-particle":"","parse-names":false,"suffix":""},{"dropping-particle":"","family":"Ashton-Key","given":"Margaret","non-dropping-particle":"","parse-names":false,"suffix":""},{"dropping-particle":"","family":"Forconi","given":"Francesco","non-dropping-particle":"","parse-names":false,"suffix":""},{"dropping-particle":"","family":"Collins","given":"Andrew","non-dropping-particle":"","parse-names":false,"suffix":""},{"dropping-particle":"","family":"Ghia","given":"Paolo","non-dropping-particle":"","parse-names":false,"suffix":""},{"dropping-particle":"","family":"Matutes","given":"Estella","non-dropping-particle":"","parse-names":false,"suffix":""},{"dropping-particle":"","family":"Pangalis","given":"Gerassimos","non-dropping-particle":"","parse-names":false,"suffix":""},{"dropping-particle":"","family":"Stamatopoulos","given":"Kostas","non-dropping-particle":"","parse-names":false,"suffix":""},{"dropping-particle":"","family":"Oscier","given":"David","non-dropping-particle":"","parse-names":false,"suffix":""},{"dropping-particle":"","family":"Strefford","given":"Jonathan C.","non-dropping-particle":"","parse-names":false,"suffix":""}],"container-title":"Clinical Cancer Research","id":"ITEM-2","issue":"18","issued":{"date-parts":[["2015"]]},"page":"4174-4183","title":"Genetics and prognostication in splenic marginal zone lymphoma: Revelations from deep sequencing","type":"article-journal","volume":"21"},"uris":["http://www.mendeley.com/documents/?uuid=81509c2c-3e61-4115-bfa1-3ac38fc7fb12"]}],"mendeley":{"formattedCitation":"(Clipson et al., 2015; Parry et al., 2015)","plainTextFormattedCitation":"(Clipson et al., 2015; Parry et al., 2015)","previouslyFormattedCitation":"(Clipson et al., 2015; Parry et al., 2015)"},"properties":{"noteIndex":0},"schema":"https://github.com/citation-style-language/schema/raw/master/csl-citation.json"}</w:instrText>
      </w:r>
      <w:r w:rsidR="009C2340" w:rsidRPr="00002888">
        <w:rPr>
          <w:rFonts w:ascii="Times New Roman" w:hAnsi="Times New Roman" w:cs="Times New Roman"/>
          <w:sz w:val="24"/>
          <w:szCs w:val="24"/>
          <w:lang w:val="en-GB"/>
        </w:rPr>
        <w:fldChar w:fldCharType="separate"/>
      </w:r>
      <w:r w:rsidR="00A15967" w:rsidRPr="00002888">
        <w:rPr>
          <w:rFonts w:ascii="Times New Roman" w:hAnsi="Times New Roman" w:cs="Times New Roman"/>
          <w:noProof/>
          <w:sz w:val="24"/>
          <w:szCs w:val="24"/>
          <w:lang w:val="en-GB"/>
        </w:rPr>
        <w:t>(Clipson et al., 2015; Parry et al., 2015)</w:t>
      </w:r>
      <w:r w:rsidR="009C2340" w:rsidRPr="00002888">
        <w:rPr>
          <w:rFonts w:ascii="Times New Roman" w:hAnsi="Times New Roman" w:cs="Times New Roman"/>
          <w:sz w:val="24"/>
          <w:szCs w:val="24"/>
          <w:lang w:val="en-GB"/>
        </w:rPr>
        <w:fldChar w:fldCharType="end"/>
      </w:r>
      <w:r w:rsidR="009C2340" w:rsidRPr="00002888">
        <w:rPr>
          <w:rFonts w:ascii="Times New Roman" w:hAnsi="Times New Roman" w:cs="Times New Roman"/>
          <w:sz w:val="24"/>
          <w:szCs w:val="24"/>
          <w:lang w:val="en-GB"/>
        </w:rPr>
        <w:t xml:space="preserve">. </w:t>
      </w:r>
      <w:r w:rsidR="007C2333" w:rsidRPr="00002888">
        <w:rPr>
          <w:rFonts w:ascii="Times New Roman" w:hAnsi="Times New Roman" w:cs="Times New Roman"/>
          <w:sz w:val="24"/>
          <w:szCs w:val="24"/>
          <w:lang w:val="en-GB"/>
        </w:rPr>
        <w:t>These analyses</w:t>
      </w:r>
      <w:r w:rsidR="009C2340" w:rsidRPr="00002888">
        <w:rPr>
          <w:rFonts w:ascii="Times New Roman" w:hAnsi="Times New Roman" w:cs="Times New Roman"/>
          <w:sz w:val="24"/>
          <w:szCs w:val="24"/>
          <w:lang w:val="en-GB"/>
        </w:rPr>
        <w:t>,</w:t>
      </w:r>
      <w:r w:rsidR="007C2333" w:rsidRPr="00002888">
        <w:rPr>
          <w:rFonts w:ascii="Times New Roman" w:hAnsi="Times New Roman" w:cs="Times New Roman"/>
          <w:sz w:val="24"/>
          <w:szCs w:val="24"/>
          <w:lang w:val="en-GB"/>
        </w:rPr>
        <w:t xml:space="preserve"> </w:t>
      </w:r>
      <w:r w:rsidR="009C2340" w:rsidRPr="00002888">
        <w:rPr>
          <w:rFonts w:ascii="Times New Roman" w:hAnsi="Times New Roman" w:cs="Times New Roman"/>
          <w:sz w:val="24"/>
          <w:szCs w:val="24"/>
          <w:lang w:val="en-GB"/>
        </w:rPr>
        <w:t>with preliminary DNA methylation and transcriptomic studies</w:t>
      </w:r>
      <w:r w:rsidR="00C720F6" w:rsidRPr="00002888">
        <w:rPr>
          <w:rFonts w:ascii="Times New Roman" w:hAnsi="Times New Roman" w:cs="Times New Roman"/>
          <w:sz w:val="24"/>
          <w:szCs w:val="24"/>
          <w:lang w:val="en-GB"/>
        </w:rPr>
        <w:t xml:space="preserve"> </w:t>
      </w:r>
      <w:r w:rsidR="00C720F6" w:rsidRPr="00002888">
        <w:rPr>
          <w:rFonts w:ascii="Times New Roman" w:hAnsi="Times New Roman" w:cs="Times New Roman"/>
          <w:sz w:val="24"/>
          <w:szCs w:val="24"/>
          <w:lang w:val="en-GB"/>
        </w:rPr>
        <w:fldChar w:fldCharType="begin" w:fldLock="1"/>
      </w:r>
      <w:r w:rsidR="00EB4D78" w:rsidRPr="00002888">
        <w:rPr>
          <w:rFonts w:ascii="Times New Roman" w:hAnsi="Times New Roman" w:cs="Times New Roman"/>
          <w:sz w:val="24"/>
          <w:szCs w:val="24"/>
          <w:lang w:val="en-GB"/>
        </w:rPr>
        <w:instrText>ADDIN CSL_CITATION {"citationItems":[{"id":"ITEM-1","itemData":{"DOI":"10.1182/blood-2014-08-596247","ISSN":"0006-4971","PMID":"25612624","abstract":"Methylation profiling identifies subgroups of SMZL with distinct biological features. Demethylating agents can reverse some of the adverse epigenetic alterations.","author":[{"dropping-particle":"","family":"Arribas","given":"Alberto J.","non-dropping-particle":"","parse-names":false,"suffix":""},{"dropping-particle":"","family":"Rinaldi","given":"Andrea","non-dropping-particle":"","parse-names":false,"suffix":""},{"dropping-particle":"","family":"Mensah","given":"Afua A.","non-dropping-particle":"","parse-names":false,"suffix":""},{"dropping-particle":"","family":"Kwee","given":"Ivo","non-dropping-particle":"","parse-names":false,"suffix":""},{"dropping-particle":"","family":"Cascione","given":"Luciano","non-dropping-particle":"","parse-names":false,"suffix":""},{"dropping-particle":"","family":"Robles","given":"Eloy F.","non-dropping-particle":"","parse-names":false,"suffix":""},{"dropping-particle":"","family":"Martinez-Climent","given":"Jose A.","non-dropping-particle":"","parse-names":false,"suffix":""},{"dropping-particle":"","family":"Oscier","given":"David","non-dropping-particle":"","parse-names":false,"suffix":""},{"dropping-particle":"","family":"Arcaini","given":"Luca","non-dropping-particle":"","parse-names":false,"suffix":""},{"dropping-particle":"","family":"Baldini","given":"Luca","non-dropping-particle":"","parse-names":false,"suffix":""},{"dropping-particle":"","family":"Marasca","given":"Roberto","non-dropping-particle":"","parse-names":false,"suffix":""},{"dropping-particle":"","family":"Thieblemont","given":"Catherine","non-dropping-particle":"","parse-names":false,"suffix":""},{"dropping-particle":"","family":"Briere","given":"Josette","non-dropping-particle":"","parse-names":false,"suffix":""},{"dropping-particle":"","family":"Forconi","given":"Francesco","non-dropping-particle":"","parse-names":false,"suffix":""},{"dropping-particle":"","family":"Zamò","given":"Alberto","non-dropping-particle":"","parse-names":false,"suffix":""},{"dropping-particle":"","family":"Bonifacio","given":"Massimiliano","non-dropping-particle":"","parse-names":false,"suffix":""},{"dropping-particle":"","family":"Mollejo","given":"Manuela","non-dropping-particle":"","parse-names":false,"suffix":""},{"dropping-particle":"","family":"Facchetti","given":"Fabio","non-dropping-particle":"","parse-names":false,"suffix":""},{"dropping-particle":"","family":"Dirnhofer","given":"Stephan","non-dropping-particle":"","parse-names":false,"suffix":""},{"dropping-particle":"","family":"Ponzoni","given":"Maurilio","non-dropping-particle":"","parse-names":false,"suffix":""},{"dropping-particle":"","family":"Bhagat","given":"Govind","non-dropping-particle":"","parse-names":false,"suffix":""},{"dropping-particle":"","family":"Piris","given":"Miguel A.","non-dropping-particle":"","parse-names":false,"suffix":""},{"dropping-particle":"","family":"Gaidano","given":"Gianluca","non-dropping-particle":"","parse-names":false,"suffix":""},{"dropping-particle":"","family":"Zucca","given":"Emanuele","non-dropping-particle":"","parse-names":false,"suffix":""},{"dropping-particle":"","family":"Rossi","given":"Davide","non-dropping-particle":"","parse-names":false,"suffix":""},{"dropping-particle":"","family":"Bertoni","given":"Francesco","non-dropping-particle":"","parse-names":false,"suffix":""}],"container-title":"Blood","id":"ITEM-1","issue":"12","issued":{"date-parts":[["2015","3","19"]]},"page":"1922-1931","title":"DNA methylation profiling identifies two splenic marginal zone lymphoma subgroups with different clinical and genetic features","type":"article-journal","volume":"125"},"uris":["http://www.mendeley.com/documents/?uuid=f9d5c83f-ede8-4d1a-b946-90f6b7efba70"]},{"id":"ITEM-2","itemData":{"DOI":"10.1016/j.beha.2016.09.003","ISSN":"1532-1924","PMID":"28288713","abstract":"Promoter DNA methylation is a major regulator of gene expression and transcription. The identification of methylation changes is important for understanding disease pathogenesis, for identifying prognostic markers and can drive novel therapeutic approaches. In this review we summarize the current knowledge regarding DNA methylation in MALT lymphoma, splenic marginal zone lymphoma, nodal marginal zone lymphoma. Despite important differences in the study design for different publications and the existence of a sole large and genome-wide methylation study for splenic marginal zone lymphoma, it is clear that DNA methylation plays an important role in marginal zone lymphomas, in which it contributes to the inactivation of tumor suppressors but also to the expression of genes sustaining tumor cell survival and proliferation. Existing preclinical data provide the rationale to target the methylation machinery in these disorders.","author":[{"dropping-particle":"","family":"Arribas","given":"Alberto J.","non-dropping-particle":"","parse-names":false,"suffix":""},{"dropping-particle":"","family":"Bertoni","given":"Francesco","non-dropping-particle":"","parse-names":false,"suffix":""}],"container-title":"Best practice &amp; research. Clinical haematology","id":"ITEM-2","issue":"1-2","issued":{"date-parts":[["2017"]]},"page":"24-31","publisher":"Elsevier Ltd","title":"Methylation patterns in marginal zone lymphoma.","type":"article-journal","volume":"30"},"uris":["http://www.mendeley.com/documents/?uuid=5107fd38-5774-49a0-bd69-f7f74b2bb2e2"]}],"mendeley":{"formattedCitation":"(Arribas et al., 2015; Arribas and Bertoni, 2017)","plainTextFormattedCitation":"(Arribas et al., 2015; Arribas and Bertoni, 2017)","previouslyFormattedCitation":"(Arribas et al., 2015; Arribas and Bertoni, 2017)"},"properties":{"noteIndex":0},"schema":"https://github.com/citation-style-language/schema/raw/master/csl-citation.json"}</w:instrText>
      </w:r>
      <w:r w:rsidR="00C720F6" w:rsidRPr="00002888">
        <w:rPr>
          <w:rFonts w:ascii="Times New Roman" w:hAnsi="Times New Roman" w:cs="Times New Roman"/>
          <w:sz w:val="24"/>
          <w:szCs w:val="24"/>
          <w:lang w:val="en-GB"/>
        </w:rPr>
        <w:fldChar w:fldCharType="separate"/>
      </w:r>
      <w:r w:rsidR="00A15967" w:rsidRPr="00002888">
        <w:rPr>
          <w:rFonts w:ascii="Times New Roman" w:hAnsi="Times New Roman" w:cs="Times New Roman"/>
          <w:noProof/>
          <w:sz w:val="24"/>
          <w:szCs w:val="24"/>
          <w:lang w:val="en-GB"/>
        </w:rPr>
        <w:t>(Arribas et al., 2015; Arribas and Bertoni, 2017)</w:t>
      </w:r>
      <w:r w:rsidR="00C720F6" w:rsidRPr="00002888">
        <w:rPr>
          <w:rFonts w:ascii="Times New Roman" w:hAnsi="Times New Roman" w:cs="Times New Roman"/>
          <w:sz w:val="24"/>
          <w:szCs w:val="24"/>
          <w:lang w:val="en-GB"/>
        </w:rPr>
        <w:fldChar w:fldCharType="end"/>
      </w:r>
      <w:r w:rsidR="009C2340" w:rsidRPr="00002888">
        <w:rPr>
          <w:rFonts w:ascii="Times New Roman" w:hAnsi="Times New Roman" w:cs="Times New Roman"/>
          <w:sz w:val="24"/>
          <w:szCs w:val="24"/>
          <w:lang w:val="en-GB"/>
        </w:rPr>
        <w:t xml:space="preserve">, </w:t>
      </w:r>
      <w:r w:rsidR="007C2333" w:rsidRPr="00002888">
        <w:rPr>
          <w:rFonts w:ascii="Times New Roman" w:hAnsi="Times New Roman" w:cs="Times New Roman"/>
          <w:sz w:val="24"/>
          <w:szCs w:val="24"/>
          <w:lang w:val="en-GB"/>
        </w:rPr>
        <w:t>suggest</w:t>
      </w:r>
      <w:r w:rsidR="009C2340" w:rsidRPr="00002888">
        <w:rPr>
          <w:rFonts w:ascii="Times New Roman" w:hAnsi="Times New Roman" w:cs="Times New Roman"/>
          <w:sz w:val="24"/>
          <w:szCs w:val="24"/>
          <w:lang w:val="en-GB"/>
        </w:rPr>
        <w:t xml:space="preserve"> cases with</w:t>
      </w:r>
      <w:r w:rsidR="007C2333" w:rsidRPr="00002888">
        <w:rPr>
          <w:rFonts w:ascii="Times New Roman" w:hAnsi="Times New Roman" w:cs="Times New Roman"/>
          <w:sz w:val="24"/>
          <w:szCs w:val="24"/>
          <w:lang w:val="en-GB"/>
        </w:rPr>
        <w:t xml:space="preserve"> </w:t>
      </w:r>
      <w:r w:rsidR="007C2333" w:rsidRPr="00002888">
        <w:rPr>
          <w:rFonts w:ascii="Times New Roman" w:hAnsi="Times New Roman" w:cs="Times New Roman"/>
          <w:i/>
          <w:iCs/>
          <w:sz w:val="24"/>
          <w:szCs w:val="24"/>
          <w:lang w:val="en-GB"/>
        </w:rPr>
        <w:t>IGHV1-02*04</w:t>
      </w:r>
      <w:r w:rsidR="007C2333" w:rsidRPr="00002888">
        <w:rPr>
          <w:rFonts w:ascii="Times New Roman" w:hAnsi="Times New Roman" w:cs="Times New Roman"/>
          <w:sz w:val="24"/>
          <w:szCs w:val="24"/>
          <w:lang w:val="en-GB"/>
        </w:rPr>
        <w:t xml:space="preserve"> represent a distinct patient sub-group, that is likely to </w:t>
      </w:r>
      <w:r w:rsidR="00BC472C" w:rsidRPr="00002888">
        <w:rPr>
          <w:rFonts w:ascii="Times New Roman" w:hAnsi="Times New Roman" w:cs="Times New Roman"/>
          <w:sz w:val="24"/>
          <w:szCs w:val="24"/>
          <w:lang w:val="en-GB"/>
        </w:rPr>
        <w:t xml:space="preserve">have </w:t>
      </w:r>
      <w:r w:rsidR="007C2333" w:rsidRPr="00002888">
        <w:rPr>
          <w:rFonts w:ascii="Times New Roman" w:hAnsi="Times New Roman" w:cs="Times New Roman"/>
          <w:sz w:val="24"/>
          <w:szCs w:val="24"/>
          <w:lang w:val="en-GB"/>
        </w:rPr>
        <w:t>emerge</w:t>
      </w:r>
      <w:r w:rsidR="00BC472C" w:rsidRPr="00002888">
        <w:rPr>
          <w:rFonts w:ascii="Times New Roman" w:hAnsi="Times New Roman" w:cs="Times New Roman"/>
          <w:sz w:val="24"/>
          <w:szCs w:val="24"/>
          <w:lang w:val="en-GB"/>
        </w:rPr>
        <w:t>d</w:t>
      </w:r>
      <w:r w:rsidR="007C2333" w:rsidRPr="00002888">
        <w:rPr>
          <w:rFonts w:ascii="Times New Roman" w:hAnsi="Times New Roman" w:cs="Times New Roman"/>
          <w:sz w:val="24"/>
          <w:szCs w:val="24"/>
          <w:lang w:val="en-GB"/>
        </w:rPr>
        <w:t xml:space="preserve"> from </w:t>
      </w:r>
      <w:r w:rsidR="00BC472C" w:rsidRPr="00002888">
        <w:rPr>
          <w:rFonts w:ascii="Times New Roman" w:hAnsi="Times New Roman" w:cs="Times New Roman"/>
          <w:sz w:val="24"/>
          <w:szCs w:val="24"/>
          <w:lang w:val="en-GB"/>
        </w:rPr>
        <w:t xml:space="preserve">a cell with </w:t>
      </w:r>
      <w:r w:rsidR="007C2333" w:rsidRPr="00002888">
        <w:rPr>
          <w:rFonts w:ascii="Times New Roman" w:hAnsi="Times New Roman" w:cs="Times New Roman"/>
          <w:sz w:val="24"/>
          <w:szCs w:val="24"/>
          <w:lang w:val="en-GB"/>
        </w:rPr>
        <w:t xml:space="preserve">a distinct </w:t>
      </w:r>
      <w:r w:rsidR="00CF521C" w:rsidRPr="00002888">
        <w:rPr>
          <w:rFonts w:ascii="Times New Roman" w:hAnsi="Times New Roman" w:cs="Times New Roman"/>
          <w:sz w:val="24"/>
          <w:szCs w:val="24"/>
          <w:lang w:val="en-GB"/>
        </w:rPr>
        <w:t xml:space="preserve">ancestry </w:t>
      </w:r>
      <w:r w:rsidR="00BC472C" w:rsidRPr="00002888">
        <w:rPr>
          <w:rFonts w:ascii="Times New Roman" w:hAnsi="Times New Roman" w:cs="Times New Roman"/>
          <w:sz w:val="24"/>
          <w:szCs w:val="24"/>
          <w:lang w:val="en-GB"/>
        </w:rPr>
        <w:t xml:space="preserve">and/or unique immune activation process followed by </w:t>
      </w:r>
      <w:r w:rsidR="007C2333" w:rsidRPr="00002888">
        <w:rPr>
          <w:rFonts w:ascii="Times New Roman" w:hAnsi="Times New Roman" w:cs="Times New Roman"/>
          <w:sz w:val="24"/>
          <w:szCs w:val="24"/>
          <w:lang w:val="en-GB"/>
        </w:rPr>
        <w:t>transform</w:t>
      </w:r>
      <w:r w:rsidR="00BC472C" w:rsidRPr="00002888">
        <w:rPr>
          <w:rFonts w:ascii="Times New Roman" w:hAnsi="Times New Roman" w:cs="Times New Roman"/>
          <w:sz w:val="24"/>
          <w:szCs w:val="24"/>
          <w:lang w:val="en-GB"/>
        </w:rPr>
        <w:t>ation,</w:t>
      </w:r>
      <w:r w:rsidR="007C2333" w:rsidRPr="00002888">
        <w:rPr>
          <w:rFonts w:ascii="Times New Roman" w:hAnsi="Times New Roman" w:cs="Times New Roman"/>
          <w:sz w:val="24"/>
          <w:szCs w:val="24"/>
          <w:lang w:val="en-GB"/>
        </w:rPr>
        <w:t xml:space="preserve"> </w:t>
      </w:r>
      <w:r w:rsidR="00FA3A69" w:rsidRPr="00002888">
        <w:rPr>
          <w:rFonts w:ascii="Times New Roman" w:hAnsi="Times New Roman" w:cs="Times New Roman"/>
          <w:sz w:val="24"/>
          <w:szCs w:val="24"/>
          <w:lang w:val="en-GB"/>
        </w:rPr>
        <w:t>ongoing</w:t>
      </w:r>
      <w:r w:rsidR="007C2333" w:rsidRPr="00002888">
        <w:rPr>
          <w:rFonts w:ascii="Times New Roman" w:hAnsi="Times New Roman" w:cs="Times New Roman"/>
          <w:sz w:val="24"/>
          <w:szCs w:val="24"/>
          <w:lang w:val="en-GB"/>
        </w:rPr>
        <w:t xml:space="preserve"> antigen exposure, with shared </w:t>
      </w:r>
      <w:r w:rsidR="00FA3A69" w:rsidRPr="00002888">
        <w:rPr>
          <w:rFonts w:ascii="Times New Roman" w:hAnsi="Times New Roman" w:cs="Times New Roman"/>
          <w:sz w:val="24"/>
          <w:szCs w:val="24"/>
          <w:lang w:val="en-GB"/>
        </w:rPr>
        <w:t>genomic lesions and poor survival</w:t>
      </w:r>
      <w:r w:rsidR="00B06E60" w:rsidRPr="00002888">
        <w:rPr>
          <w:rFonts w:ascii="Times New Roman" w:hAnsi="Times New Roman" w:cs="Times New Roman"/>
          <w:sz w:val="24"/>
          <w:szCs w:val="24"/>
          <w:lang w:val="en-GB"/>
        </w:rPr>
        <w:t xml:space="preserve"> </w:t>
      </w:r>
      <w:r w:rsidR="00C720F6" w:rsidRPr="00002888">
        <w:rPr>
          <w:rFonts w:ascii="Times New Roman" w:hAnsi="Times New Roman" w:cs="Times New Roman"/>
          <w:sz w:val="24"/>
          <w:szCs w:val="24"/>
          <w:lang w:val="en-GB"/>
        </w:rPr>
        <w:fldChar w:fldCharType="begin" w:fldLock="1"/>
      </w:r>
      <w:r w:rsidR="00EB4D78" w:rsidRPr="00002888">
        <w:rPr>
          <w:rFonts w:ascii="Times New Roman" w:hAnsi="Times New Roman" w:cs="Times New Roman"/>
          <w:sz w:val="24"/>
          <w:szCs w:val="24"/>
          <w:lang w:val="en-GB"/>
        </w:rPr>
        <w:instrText>ADDIN CSL_CITATION {"citationItems":[{"id":"ITEM-1","itemData":{"DOI":"10.1158/1078-0432.CCR-14-2759","ISSN":"15573265","PMID":"25779943","abstract":"Purpose: Mounting evidence supports the clinical significance of gene mutations and immunogenetic features in common mature B-cell malignancies.\\n\\nExperimental Design: We undertook a detailed characterization of the genetic background of splenic marginal zone lymphoma (SMZL), using targeted resequencing and explored potential clinical implications in a multinational cohort of 175 patients with SMZL.\\n\\nResults: We identified recurrent mutations in TP53 (16%), KLF2 (12%), NOTCH2 (10%), TNFAIP3 (7%), MLL2 (11%), MYD88 (7%), and ARID1A (6%), all genes known to be targeted by somatic mutation in SMZL. KLF2 mutations were early, clonal events, enriched in patients with del(7q) and IGHV1-2*04 B-cell receptor immunoglobulins, and were associated with a short median time to first treatment (0.12 vs. 1.11 years; P = 0.01). In multivariate analysis, mutations in NOTCH2 [HR, 2.12; 95% confidence interval (CI), 1.02–4.4; P = 0.044] and 100% germline IGHV gene identity (HR, 2.19; 95% CI, 1.05–4.55; P = 0.036) were independent markers of short time to first treatment, whereas TP53 mutations were an independent marker of short overall survival (HR, 2.36; 95 % CI, 1.08–5.2; P = 0.03).\\n\\nConclusions: We identify key associations between gene mutations and clinical outcome, demonstrating for the first time that NOTCH2 and TP53 gene mutations are independent markers of reduced treatment-free and overall survival, respectively. Clin Cancer Res; 21(18); 4174–83. ©2015 AACR .","author":[{"dropping-particle":"","family":"Parry","given":"Marina","non-dropping-particle":"","parse-names":false,"suffix":""},{"dropping-particle":"","family":"Rose-Zerilli","given":"Matthew J.J.","non-dropping-particle":"","parse-names":false,"suffix":""},{"dropping-particle":"","family":"Ljungström","given":"Viktor","non-dropping-particle":"","parse-names":false,"suffix":""},{"dropping-particle":"","family":"Gibson","given":"Jane","non-dropping-particle":"","parse-names":false,"suffix":""},{"dropping-particle":"","family":"Wang","given":"Jun","non-dropping-particle":"","parse-names":false,"suffix":""},{"dropping-particle":"","family":"Walewska","given":"Renata","non-dropping-particle":"","parse-names":false,"suffix":""},{"dropping-particle":"","family":"Parker","given":"Helen","non-dropping-particle":"","parse-names":false,"suffix":""},{"dropping-particle":"","family":"Parker","given":"Anton","non-dropping-particle":"","parse-names":false,"suffix":""},{"dropping-particle":"","family":"Davis","given":"Zadie","non-dropping-particle":"","parse-names":false,"suffix":""},{"dropping-particle":"","family":"Gardiner","given":"Anne","non-dropping-particle":"","parse-names":false,"suffix":""},{"dropping-particle":"","family":"McIver-Brown","given":"Neil","non-dropping-particle":"","parse-names":false,"suffix":""},{"dropping-particle":"","family":"Kalpadakis","given":"Christina","non-dropping-particle":"","parse-names":false,"suffix":""},{"dropping-particle":"","family":"Xochelli","given":"Aliki","non-dropping-particle":"","parse-names":false,"suffix":""},{"dropping-particle":"","family":"Anagnostopoulos","given":"Achilles","non-dropping-particle":"","parse-names":false,"suffix":""},{"dropping-particle":"","family":"Fazi","given":"Claudia","non-dropping-particle":"","parse-names":false,"suffix":""},{"dropping-particle":"","family":"Castro","given":"David Gonzalez","non-dropping-particle":"De","parse-names":false,"suffix":""},{"dropping-particle":"","family":"Dearden","given":"Claire","non-dropping-particle":"","parse-names":false,"suffix":""},{"dropping-particle":"","family":"Pratt","given":"Guy","non-dropping-particle":"","parse-names":false,"suffix":""},{"dropping-particle":"","family":"Rosenquist","given":"Richard","non-dropping-particle":"","parse-names":false,"suffix":""},{"dropping-particle":"","family":"Ashton-Key","given":"Margaret","non-dropping-particle":"","parse-names":false,"suffix":""},{"dropping-particle":"","family":"Forconi","given":"Francesco","non-dropping-particle":"","parse-names":false,"suffix":""},{"dropping-particle":"","family":"Collins","given":"Andrew","non-dropping-particle":"","parse-names":false,"suffix":""},{"dropping-particle":"","family":"Ghia","given":"Paolo","non-dropping-particle":"","parse-names":false,"suffix":""},{"dropping-particle":"","family":"Matutes","given":"Estella","non-dropping-particle":"","parse-names":false,"suffix":""},{"dropping-particle":"","family":"Pangalis","given":"Gerassimos","non-dropping-particle":"","parse-names":false,"suffix":""},{"dropping-particle":"","family":"Stamatopoulos","given":"Kostas","non-dropping-particle":"","parse-names":false,"suffix":""},{"dropping-particle":"","family":"Oscier","given":"David","non-dropping-particle":"","parse-names":false,"suffix":""},{"dropping-particle":"","family":"Strefford","given":"Jonathan C.","non-dropping-particle":"","parse-names":false,"suffix":""}],"container-title":"Clinical Cancer Research","id":"ITEM-1","issue":"18","issued":{"date-parts":[["2015"]]},"page":"4174-4183","title":"Genetics and prognostication in splenic marginal zone lymphoma: Revelations from deep sequencing","type":"article-journal","volume":"21"},"uris":["http://www.mendeley.com/documents/?uuid=81509c2c-3e61-4115-bfa1-3ac38fc7fb12"]}],"mendeley":{"formattedCitation":"(Parry et al., 2015)","plainTextFormattedCitation":"(Parry et al., 2015)","previouslyFormattedCitation":"(Parry et al., 2015)"},"properties":{"noteIndex":0},"schema":"https://github.com/citation-style-language/schema/raw/master/csl-citation.json"}</w:instrText>
      </w:r>
      <w:r w:rsidR="00C720F6" w:rsidRPr="00002888">
        <w:rPr>
          <w:rFonts w:ascii="Times New Roman" w:hAnsi="Times New Roman" w:cs="Times New Roman"/>
          <w:sz w:val="24"/>
          <w:szCs w:val="24"/>
          <w:lang w:val="en-GB"/>
        </w:rPr>
        <w:fldChar w:fldCharType="separate"/>
      </w:r>
      <w:r w:rsidR="00A15967" w:rsidRPr="00002888">
        <w:rPr>
          <w:rFonts w:ascii="Times New Roman" w:hAnsi="Times New Roman" w:cs="Times New Roman"/>
          <w:noProof/>
          <w:sz w:val="24"/>
          <w:szCs w:val="24"/>
          <w:lang w:val="en-GB"/>
        </w:rPr>
        <w:t>(Parry et al., 2015)</w:t>
      </w:r>
      <w:r w:rsidR="00C720F6" w:rsidRPr="00002888">
        <w:rPr>
          <w:rFonts w:ascii="Times New Roman" w:hAnsi="Times New Roman" w:cs="Times New Roman"/>
          <w:sz w:val="24"/>
          <w:szCs w:val="24"/>
          <w:lang w:val="en-GB"/>
        </w:rPr>
        <w:fldChar w:fldCharType="end"/>
      </w:r>
      <w:r w:rsidR="007C2333" w:rsidRPr="00002888">
        <w:rPr>
          <w:rFonts w:ascii="Times New Roman" w:hAnsi="Times New Roman" w:cs="Times New Roman"/>
          <w:sz w:val="24"/>
          <w:szCs w:val="24"/>
          <w:lang w:val="en-GB"/>
        </w:rPr>
        <w:t xml:space="preserve">. </w:t>
      </w:r>
    </w:p>
    <w:p w14:paraId="66DECC6C" w14:textId="7F654A59" w:rsidR="00F25D41" w:rsidRDefault="00DD2000" w:rsidP="00002888">
      <w:pPr>
        <w:spacing w:before="0" w:after="0" w:line="360" w:lineRule="auto"/>
        <w:jc w:val="left"/>
        <w:rPr>
          <w:rFonts w:ascii="Times New Roman" w:hAnsi="Times New Roman" w:cs="Times New Roman"/>
          <w:bCs/>
          <w:sz w:val="24"/>
          <w:szCs w:val="24"/>
          <w:lang w:val="en-GB"/>
        </w:rPr>
      </w:pPr>
      <w:r w:rsidRPr="00002888">
        <w:rPr>
          <w:rFonts w:ascii="Times New Roman" w:hAnsi="Times New Roman" w:cs="Times New Roman"/>
          <w:bCs/>
          <w:sz w:val="24"/>
          <w:szCs w:val="24"/>
          <w:lang w:val="en-GB"/>
        </w:rPr>
        <w:lastRenderedPageBreak/>
        <w:t>The critical part that the BCR play</w:t>
      </w:r>
      <w:r w:rsidR="002D0214" w:rsidRPr="00002888">
        <w:rPr>
          <w:rFonts w:ascii="Times New Roman" w:hAnsi="Times New Roman" w:cs="Times New Roman"/>
          <w:bCs/>
          <w:sz w:val="24"/>
          <w:szCs w:val="24"/>
          <w:lang w:val="en-GB"/>
        </w:rPr>
        <w:t>s</w:t>
      </w:r>
      <w:r w:rsidRPr="00002888">
        <w:rPr>
          <w:rFonts w:ascii="Times New Roman" w:hAnsi="Times New Roman" w:cs="Times New Roman"/>
          <w:bCs/>
          <w:sz w:val="24"/>
          <w:szCs w:val="24"/>
          <w:lang w:val="en-GB"/>
        </w:rPr>
        <w:t xml:space="preserve"> in SMZL is further emphasized by the presence of somatic hypermutations, as only 12% of cases lack any evidence of SHM at the </w:t>
      </w:r>
      <w:r w:rsidRPr="00002888">
        <w:rPr>
          <w:rFonts w:ascii="Times New Roman" w:hAnsi="Times New Roman" w:cs="Times New Roman"/>
          <w:bCs/>
          <w:i/>
          <w:iCs/>
          <w:sz w:val="24"/>
          <w:szCs w:val="24"/>
          <w:lang w:val="en-GB"/>
        </w:rPr>
        <w:t>IGHV</w:t>
      </w:r>
      <w:r w:rsidRPr="00002888">
        <w:rPr>
          <w:rFonts w:ascii="Times New Roman" w:hAnsi="Times New Roman" w:cs="Times New Roman"/>
          <w:bCs/>
          <w:sz w:val="24"/>
          <w:szCs w:val="24"/>
          <w:lang w:val="en-GB"/>
        </w:rPr>
        <w:t xml:space="preserve"> locus, and might be considered truly unmutated </w:t>
      </w:r>
      <w:r w:rsidR="00147835" w:rsidRPr="00002888">
        <w:rPr>
          <w:rFonts w:ascii="Times New Roman" w:hAnsi="Times New Roman" w:cs="Times New Roman"/>
          <w:bCs/>
          <w:sz w:val="24"/>
          <w:szCs w:val="24"/>
          <w:lang w:val="en-GB"/>
        </w:rPr>
        <w:fldChar w:fldCharType="begin" w:fldLock="1"/>
      </w:r>
      <w:r w:rsidR="00147835" w:rsidRPr="00002888">
        <w:rPr>
          <w:rFonts w:ascii="Times New Roman" w:hAnsi="Times New Roman" w:cs="Times New Roman"/>
          <w:bCs/>
          <w:sz w:val="24"/>
          <w:szCs w:val="24"/>
          <w:lang w:val="en-GB"/>
        </w:rPr>
        <w:instrText>ADDIN CSL_CITATION {"citationItems":[{"id":"ITEM-1","itemData":{"DOI":"10.1038/leu.2012.3","ISSN":"1476-5551","PMID":"22222599","abstract":"We performed an immunogenetic analysis of 345 IGHV-IGHD-IGHJ rearrangements from 337 cases with primary splenic small B-cell lymphomas of marginal-zone origin. Three immunoglobulin (IG) heavy variable (IGHV) genes accounted for 45.8% of the cases (IGHV1-2, 24.9%; IGHV4-34, 12.8%; IGHV3-23, 8.1%). Particularly for the IGHV1-2 gene, strong biases were evident regarding utilization of different alleles, with 79/86 rearrangements (92%) using allele (*)04. Among cases more stringently classified as splenic marginal-zone lymphoma (SMZL) thanks to the availability of splenic histopathological specimens, the frequency of IGHV1-2(*)04 peaked at 31%. The IGHV1-2(*)04 rearrangements carried significantly longer complementarity-determining region-3 (CDR3) than all other cases and showed biased IGHD gene usage, leading to CDR3s with common motifs. The great majority of analyzed rearrangements (299/345, 86.7%) carried IGHV genes with some impact of somatic hypermutation, from minimal to pronounced. Noticeably, 75/79 (95%) IGHV1-2(*)04 rearrangements were mutated; however, they mostly (56/75 cases; 74.6%) carried few mutations (97-99.9% germline identity) of conservative nature and restricted distribution. These distinctive features of the IG receptors indicate selection by (super)antigenic element(s) in the pathogenesis of SMZL. Furthermore, they raise the possibility that certain SMZL subtypes could derive from progenitor populations adapted to particular antigenic challenges through selection of VH domain specificities, in particular the IGHV1-2(*)04 allele.","author":[{"dropping-particle":"","family":"Bikos","given":"V.","non-dropping-particle":"","parse-names":false,"suffix":""},{"dropping-particle":"","family":"Darzentas","given":"N.","non-dropping-particle":"","parse-names":false,"suffix":""},{"dropping-particle":"","family":"Hadzidimitriou","given":"A.","non-dropping-particle":"","parse-names":false,"suffix":""},{"dropping-particle":"","family":"Davis","given":"Z.","non-dropping-particle":"","parse-names":false,"suffix":""},{"dropping-particle":"","family":"Hockley","given":"S.","non-dropping-particle":"","parse-names":false,"suffix":""},{"dropping-particle":"","family":"Traverse-Glehen","given":"A.","non-dropping-particle":"","parse-names":false,"suffix":""},{"dropping-particle":"","family":"Algara","given":"P.","non-dropping-particle":"","parse-names":false,"suffix":""},{"dropping-particle":"","family":"Santoro","given":"A.","non-dropping-particle":"","parse-names":false,"suffix":""},{"dropping-particle":"","family":"Gonzalez","given":"D.","non-dropping-particle":"","parse-names":false,"suffix":""},{"dropping-particle":"","family":"Mollejo","given":"M.","non-dropping-particle":"","parse-names":false,"suffix":""},{"dropping-particle":"","family":"Dagklis","given":"A.","non-dropping-particle":"","parse-names":false,"suffix":""},{"dropping-particle":"","family":"Gangemi","given":"F.","non-dropping-particle":"","parse-names":false,"suffix":""},{"dropping-particle":"","family":"Bosler","given":"D. S.","non-dropping-particle":"","parse-names":false,"suffix":""},{"dropping-particle":"","family":"Bourikas","given":"G.","non-dropping-particle":"","parse-names":false,"suffix":""},{"dropping-particle":"","family":"Anagnostopoulos","given":"A.","non-dropping-particle":"","parse-names":false,"suffix":""},{"dropping-particle":"","family":"Tsaftaris","given":"A.","non-dropping-particle":"","parse-names":false,"suffix":""},{"dropping-particle":"","family":"Iannitto","given":"E.","non-dropping-particle":"","parse-names":false,"suffix":""},{"dropping-particle":"","family":"Ponzoni","given":"M.","non-dropping-particle":"","parse-names":false,"suffix":""},{"dropping-particle":"","family":"Felman","given":"P.","non-dropping-particle":"","parse-names":false,"suffix":""},{"dropping-particle":"","family":"Berger","given":"F.","non-dropping-particle":"","parse-names":false,"suffix":""},{"dropping-particle":"","family":"Belessi","given":"C.","non-dropping-particle":"","parse-names":false,"suffix":""},{"dropping-particle":"","family":"Ghia","given":"P.","non-dropping-particle":"","parse-names":false,"suffix":""},{"dropping-particle":"","family":"Papadaki","given":"T.","non-dropping-particle":"","parse-names":false,"suffix":""},{"dropping-particle":"","family":"Dogan","given":"A.","non-dropping-particle":"","parse-names":false,"suffix":""},{"dropping-particle":"","family":"Degano","given":"M.","non-dropping-particle":"","parse-names":false,"suffix":""},{"dropping-particle":"","family":"Matutes","given":"E.","non-dropping-particle":"","parse-names":false,"suffix":""},{"dropping-particle":"","family":"Piris","given":"M. A.","non-dropping-particle":"","parse-names":false,"suffix":""},{"dropping-particle":"","family":"Oscier","given":"D.","non-dropping-particle":"","parse-names":false,"suffix":""},{"dropping-particle":"","family":"Stamatopoulos","given":"K.","non-dropping-particle":"","parse-names":false,"suffix":""}],"container-title":"Leukemia","id":"ITEM-1","issue":"7","issued":{"date-parts":[["2012","7"]]},"page":"1638-46","publisher":"Nature Publishing Group","title":"Over 30% of patients with splenic marginal zone lymphoma express the same immunoglobulin heavy variable gene: ontogenetic implications.","type":"article-journal","volume":"26"},"uris":["http://www.mendeley.com/documents/?uuid=823912f5-04a2-440b-9c88-95753fbf4b1d"]},{"id":"ITEM-2","itemData":{"DOI":"10.1002/path.5209","ISSN":"1096-9896","PMID":"30484876","abstract":"The B cell receptor immunoglobulin (Ig) gene repertoires of marginal zone (MZ) lymphoproliferations were analyzed in order to obtain insight into their ontogenetic relationships. Our cohort included cases with MZ lymphomas (n = 488), i.e. splenic (SMZL), nodal (NMZL) and extranodal (ENMZL), as well as provisional entities (n = 76), according to the WHO classification. The most striking Ig gene repertoire skewing was observed in SMZL. However, restrictions were also identified in all other MZ lymphomas studied, particularly ENMZL, with significantly different Ig gene distributions depending on the primary site of involvement. Cross-entity comparisons of the MZ Ig sequence dataset with a large dataset of Ig sequences (MZ-related or not; n = 65 837) revealed four major clusters of cases sharing homologous ('public') heavy variable complementarity-determining region 3. These clusters included rearrangements from SMZL, ENMZL (gastric, salivary gland, ocular adnexa), chronic lymphocytic leukemia, but also rheumatoid factors and non-malignant splenic MZ cells. In conclusion, different MZ lymphomas display biased immunogenetic signatures indicating distinct antigen exposure histories. The existence of rare public stereotypes raises the intriguing possibility that common, pathogen-triggered, immune-mediated mechanisms may result in diverse B lymphoproliferations due to targeting versatile progenitor B cells and/or operating in particular microenvironments. Copyright © 2018 Pathological Society of Great Britain and Ireland. Published by John Wiley &amp; Sons, Ltd.","author":[{"dropping-particle":"","family":"Xochelli","given":"Aliki","non-dropping-particle":"","parse-names":false,"suffix":""},{"dropping-particle":"","family":"Bikos","given":"Vasilis","non-dropping-particle":"","parse-names":false,"suffix":""},{"dropping-particle":"","family":"Polychronidou","given":"Eleftheria","non-dropping-particle":"","parse-names":false,"suffix":""},{"dropping-particle":"","family":"Galigalidou","given":"Chrysi","non-dropping-particle":"","parse-names":false,"suffix":""},{"dropping-particle":"","family":"Agathangelidis","given":"Andreas","non-dropping-particle":"","parse-names":false,"suffix":""},{"dropping-particle":"","family":"Charlotte","given":"Frédéric","non-dropping-particle":"","parse-names":false,"suffix":""},{"dropping-particle":"","family":"Moschonas","given":"Panagiotis","non-dropping-particle":"","parse-names":false,"suffix":""},{"dropping-particle":"","family":"Davis","given":"Zadie","non-dropping-particle":"","parse-names":false,"suffix":""},{"dropping-particle":"","family":"Colombo","given":"Monica","non-dropping-particle":"","parse-names":false,"suffix":""},{"dropping-particle":"","family":"Roumelioti","given":"Maria","non-dropping-particle":"","parse-names":false,"suffix":""},{"dropping-particle":"","family":"Sutton","given":"Lesley-Ann","non-dropping-particle":"","parse-names":false,"suffix":""},{"dropping-particle":"","family":"Groenen","given":"Patricia","non-dropping-particle":"","parse-names":false,"suffix":""},{"dropping-particle":"","family":"Brand","given":"Michiel","non-dropping-particle":"van den","parse-names":false,"suffix":""},{"dropping-particle":"","family":"Boudjoghra","given":"Myriam","non-dropping-particle":"","parse-names":false,"suffix":""},{"dropping-particle":"","family":"Algara","given":"Patricia","non-dropping-particle":"","parse-names":false,"suffix":""},{"dropping-particle":"","family":"Traverse-Glehen","given":"Alexandra","non-dropping-particle":"","parse-names":false,"suffix":""},{"dropping-particle":"","family":"Ferrer","given":"Ana","non-dropping-particle":"","parse-names":false,"suffix":""},{"dropping-particle":"","family":"Stalika","given":"Evangelia","non-dropping-particle":"","parse-names":false,"suffix":""},{"dropping-particle":"","family":"Karypidou","given":"Maria","non-dropping-particle":"","parse-names":false,"suffix":""},{"dropping-particle":"","family":"Kanellis","given":"George","non-dropping-particle":"","parse-names":false,"suffix":""},{"dropping-particle":"","family":"Kalpadakis","given":"Christina","non-dropping-particle":"","parse-names":false,"suffix":""},{"dropping-particle":"","family":"Mollejo","given":"Manuella","non-dropping-particle":"","parse-names":false,"suffix":""},{"dropping-particle":"","family":"Pangalis","given":"Gerasimos","non-dropping-particle":"","parse-names":false,"suffix":""},{"dropping-particle":"","family":"Vlamos","given":"Panayiotis","non-dropping-particle":"","parse-names":false,"suffix":""},{"dropping-particle":"","family":"Amini","given":"Rose-Marie","non-dropping-particle":"","parse-names":false,"suffix":""},{"dropping-particle":"","family":"Pospisilova","given":"Sarka","non-dropping-particle":"","parse-names":false,"suffix":""},{"dropping-particle":"","family":"Gonzalez","given":"David","non-dropping-particle":"","parse-names":false,"suffix":""},{"dropping-particle":"","family":"Ponzoni","given":"Maurilio","non-dropping-particle":"","parse-names":false,"suffix":""},{"dropping-particle":"","family":"Anagnostopoulos","given":"Achilles","non-dropping-particle":"","parse-names":false,"suffix":""},{"dropping-particle":"","family":"Giudicelli","given":"Véronique","non-dropping-particle":"","parse-names":false,"suffix":""},{"dropping-particle":"","family":"Lefranc","given":"Marie-Paule","non-dropping-particle":"","parse-names":false,"suffix":""},{"dropping-particle":"","family":"Espinet","given":"Blanca","non-dropping-particle":"","parse-names":false,"suffix":""},{"dropping-particle":"","family":"Panagiotidis","given":"Panagiotis","non-dropping-particle":"","parse-names":false,"suffix":""},{"dropping-particle":"","family":"Piris","given":"Miguel Angel","non-dropping-particle":"","parse-names":false,"suffix":""},{"dropping-particle":"","family":"Du","given":"Ming-Qing","non-dropping-particle":"","parse-names":false,"suffix":""},{"dropping-particle":"","family":"Rosenquist","given":"Richard","non-dropping-particle":"","parse-names":false,"suffix":""},{"dropping-particle":"","family":"Papadaki","given":"Theodora","non-dropping-particle":"","parse-names":false,"suffix":""},{"dropping-particle":"","family":"Belessi","given":"Chrysoula","non-dropping-particle":"","parse-names":false,"suffix":""},{"dropping-particle":"","family":"Ferrarini","given":"Manlio","non-dropping-particle":"","parse-names":false,"suffix":""},{"dropping-particle":"","family":"Oscier","given":"David","non-dropping-particle":"","parse-names":false,"suffix":""},{"dropping-particle":"","family":"Tzovaras","given":"Dimitrios","non-dropping-particle":"","parse-names":false,"suffix":""},{"dropping-particle":"","family":"Ghia","given":"Paolo","non-dropping-particle":"","parse-names":false,"suffix":""},{"dropping-particle":"","family":"Davi","given":"Frederic","non-dropping-particle":"","parse-names":false,"suffix":""},{"dropping-particle":"","family":"Hadzidimitriou","given":"Anastasia","non-dropping-particle":"","parse-names":false,"suffix":""},{"dropping-particle":"","family":"Stamatopoulos","given":"Kostas","non-dropping-particle":"","parse-names":false,"suffix":""}],"container-title":"The Journal of pathology","id":"ITEM-2","issue":"4","issued":{"date-parts":[["2019"]]},"page":"416-421","title":"Disease-biased and shared characteristics of the immunoglobulin gene repertoires in marginal zone B cell lymphoproliferations.","type":"article-journal","volume":"247"},"uris":["http://www.mendeley.com/documents/?uuid=d2194108-2c82-4e91-b84c-a1bb256b05b6"]}],"mendeley":{"formattedCitation":"(Bikos et al., 2012; Xochelli et al., 2019)","plainTextFormattedCitation":"(Bikos et al., 2012; Xochelli et al., 2019)","previouslyFormattedCitation":"(Bikos et al., 2012; Xochelli et al., 2019)"},"properties":{"noteIndex":0},"schema":"https://github.com/citation-style-language/schema/raw/master/csl-citation.json"}</w:instrText>
      </w:r>
      <w:r w:rsidR="00147835" w:rsidRPr="00002888">
        <w:rPr>
          <w:rFonts w:ascii="Times New Roman" w:hAnsi="Times New Roman" w:cs="Times New Roman"/>
          <w:bCs/>
          <w:sz w:val="24"/>
          <w:szCs w:val="24"/>
          <w:lang w:val="en-GB"/>
        </w:rPr>
        <w:fldChar w:fldCharType="separate"/>
      </w:r>
      <w:r w:rsidR="00147835" w:rsidRPr="00002888">
        <w:rPr>
          <w:rFonts w:ascii="Times New Roman" w:hAnsi="Times New Roman" w:cs="Times New Roman"/>
          <w:bCs/>
          <w:noProof/>
          <w:sz w:val="24"/>
          <w:szCs w:val="24"/>
          <w:lang w:val="en-GB"/>
        </w:rPr>
        <w:t>(Bikos et al., 2012; Xochelli et al., 2019)</w:t>
      </w:r>
      <w:r w:rsidR="00147835" w:rsidRPr="00002888">
        <w:rPr>
          <w:rFonts w:ascii="Times New Roman" w:hAnsi="Times New Roman" w:cs="Times New Roman"/>
          <w:bCs/>
          <w:sz w:val="24"/>
          <w:szCs w:val="24"/>
          <w:lang w:val="en-GB"/>
        </w:rPr>
        <w:fldChar w:fldCharType="end"/>
      </w:r>
      <w:r w:rsidRPr="00002888">
        <w:rPr>
          <w:rFonts w:ascii="Times New Roman" w:hAnsi="Times New Roman" w:cs="Times New Roman"/>
          <w:bCs/>
          <w:sz w:val="24"/>
          <w:szCs w:val="24"/>
          <w:lang w:val="en-GB"/>
        </w:rPr>
        <w:t xml:space="preserve">. The remaining cases exhibit evidence of SHM at the </w:t>
      </w:r>
      <w:r w:rsidRPr="00002888">
        <w:rPr>
          <w:rFonts w:ascii="Times New Roman" w:hAnsi="Times New Roman" w:cs="Times New Roman"/>
          <w:bCs/>
          <w:i/>
          <w:iCs/>
          <w:sz w:val="24"/>
          <w:szCs w:val="24"/>
          <w:lang w:val="en-GB"/>
        </w:rPr>
        <w:t>IGHV</w:t>
      </w:r>
      <w:r w:rsidRPr="00002888">
        <w:rPr>
          <w:rFonts w:ascii="Times New Roman" w:hAnsi="Times New Roman" w:cs="Times New Roman"/>
          <w:bCs/>
          <w:sz w:val="24"/>
          <w:szCs w:val="24"/>
          <w:lang w:val="en-GB"/>
        </w:rPr>
        <w:t xml:space="preserve"> locus, with 38% and 50% defined as borderline (97-99.9%</w:t>
      </w:r>
      <w:r w:rsidR="00122F1E" w:rsidRPr="00002888">
        <w:rPr>
          <w:rFonts w:ascii="Times New Roman" w:hAnsi="Times New Roman" w:cs="Times New Roman"/>
          <w:bCs/>
          <w:sz w:val="24"/>
          <w:szCs w:val="24"/>
          <w:lang w:val="en-GB"/>
        </w:rPr>
        <w:t xml:space="preserve"> </w:t>
      </w:r>
      <w:r w:rsidR="00122F1E" w:rsidRPr="00002888">
        <w:rPr>
          <w:rFonts w:ascii="Times New Roman" w:hAnsi="Times New Roman" w:cs="Times New Roman"/>
          <w:bCs/>
          <w:i/>
          <w:iCs/>
          <w:sz w:val="24"/>
          <w:szCs w:val="24"/>
          <w:lang w:val="en-GB"/>
        </w:rPr>
        <w:t>IGHV</w:t>
      </w:r>
      <w:r w:rsidR="00122F1E" w:rsidRPr="00002888">
        <w:rPr>
          <w:rFonts w:ascii="Times New Roman" w:hAnsi="Times New Roman" w:cs="Times New Roman"/>
          <w:bCs/>
          <w:sz w:val="24"/>
          <w:szCs w:val="24"/>
          <w:lang w:val="en-GB"/>
        </w:rPr>
        <w:t xml:space="preserve"> gene identi</w:t>
      </w:r>
      <w:r w:rsidR="002D0214" w:rsidRPr="00002888">
        <w:rPr>
          <w:rFonts w:ascii="Times New Roman" w:hAnsi="Times New Roman" w:cs="Times New Roman"/>
          <w:bCs/>
          <w:sz w:val="24"/>
          <w:szCs w:val="24"/>
          <w:lang w:val="en-GB"/>
        </w:rPr>
        <w:t>t</w:t>
      </w:r>
      <w:r w:rsidR="00122F1E" w:rsidRPr="00002888">
        <w:rPr>
          <w:rFonts w:ascii="Times New Roman" w:hAnsi="Times New Roman" w:cs="Times New Roman"/>
          <w:bCs/>
          <w:sz w:val="24"/>
          <w:szCs w:val="24"/>
          <w:lang w:val="en-GB"/>
        </w:rPr>
        <w:t>y to germline) and significantly mutat</w:t>
      </w:r>
      <w:r w:rsidR="002D0214" w:rsidRPr="00002888">
        <w:rPr>
          <w:rFonts w:ascii="Times New Roman" w:hAnsi="Times New Roman" w:cs="Times New Roman"/>
          <w:bCs/>
          <w:sz w:val="24"/>
          <w:szCs w:val="24"/>
          <w:lang w:val="en-GB"/>
        </w:rPr>
        <w:t>ed</w:t>
      </w:r>
      <w:r w:rsidR="00122F1E" w:rsidRPr="00002888">
        <w:rPr>
          <w:rFonts w:ascii="Times New Roman" w:hAnsi="Times New Roman" w:cs="Times New Roman"/>
          <w:bCs/>
          <w:sz w:val="24"/>
          <w:szCs w:val="24"/>
          <w:lang w:val="en-GB"/>
        </w:rPr>
        <w:t xml:space="preserve"> (&lt;97% </w:t>
      </w:r>
      <w:r w:rsidR="003D7F64" w:rsidRPr="00002888">
        <w:rPr>
          <w:rFonts w:ascii="Times New Roman" w:hAnsi="Times New Roman" w:cs="Times New Roman"/>
          <w:bCs/>
          <w:i/>
          <w:iCs/>
          <w:sz w:val="24"/>
          <w:szCs w:val="24"/>
          <w:lang w:val="en-GB"/>
        </w:rPr>
        <w:t>IGHV</w:t>
      </w:r>
      <w:r w:rsidR="003D7F64" w:rsidRPr="00002888">
        <w:rPr>
          <w:rFonts w:ascii="Times New Roman" w:hAnsi="Times New Roman" w:cs="Times New Roman"/>
          <w:bCs/>
          <w:sz w:val="24"/>
          <w:szCs w:val="24"/>
          <w:lang w:val="en-GB"/>
        </w:rPr>
        <w:t xml:space="preserve"> gene </w:t>
      </w:r>
      <w:r w:rsidR="00122F1E" w:rsidRPr="00002888">
        <w:rPr>
          <w:rFonts w:ascii="Times New Roman" w:hAnsi="Times New Roman" w:cs="Times New Roman"/>
          <w:bCs/>
          <w:sz w:val="24"/>
          <w:szCs w:val="24"/>
          <w:lang w:val="en-GB"/>
        </w:rPr>
        <w:t>identi</w:t>
      </w:r>
      <w:r w:rsidR="002D0214" w:rsidRPr="00002888">
        <w:rPr>
          <w:rFonts w:ascii="Times New Roman" w:hAnsi="Times New Roman" w:cs="Times New Roman"/>
          <w:bCs/>
          <w:sz w:val="24"/>
          <w:szCs w:val="24"/>
          <w:lang w:val="en-GB"/>
        </w:rPr>
        <w:t>t</w:t>
      </w:r>
      <w:r w:rsidR="00122F1E" w:rsidRPr="00002888">
        <w:rPr>
          <w:rFonts w:ascii="Times New Roman" w:hAnsi="Times New Roman" w:cs="Times New Roman"/>
          <w:bCs/>
          <w:sz w:val="24"/>
          <w:szCs w:val="24"/>
          <w:lang w:val="en-GB"/>
        </w:rPr>
        <w:t>y to germline</w:t>
      </w:r>
      <w:r w:rsidR="00122F1E" w:rsidRPr="00002888">
        <w:rPr>
          <w:rFonts w:ascii="Times New Roman" w:hAnsi="Times New Roman" w:cs="Times New Roman"/>
          <w:sz w:val="24"/>
          <w:szCs w:val="24"/>
          <w:lang w:val="en-GB"/>
        </w:rPr>
        <w:t>)</w:t>
      </w:r>
      <w:r w:rsidR="64A7ECFF" w:rsidRPr="00002888">
        <w:rPr>
          <w:rFonts w:ascii="Times New Roman" w:hAnsi="Times New Roman" w:cs="Times New Roman"/>
          <w:sz w:val="24"/>
          <w:szCs w:val="24"/>
          <w:lang w:val="en-GB"/>
        </w:rPr>
        <w:t xml:space="preserve"> respectively</w:t>
      </w:r>
      <w:r w:rsidR="00122F1E" w:rsidRPr="00002888">
        <w:rPr>
          <w:rFonts w:ascii="Times New Roman" w:hAnsi="Times New Roman" w:cs="Times New Roman"/>
          <w:sz w:val="24"/>
          <w:szCs w:val="24"/>
          <w:lang w:val="en-GB"/>
        </w:rPr>
        <w:t>.</w:t>
      </w:r>
      <w:r w:rsidR="00122F1E" w:rsidRPr="00002888">
        <w:rPr>
          <w:rFonts w:ascii="Times New Roman" w:hAnsi="Times New Roman" w:cs="Times New Roman"/>
          <w:bCs/>
          <w:sz w:val="24"/>
          <w:szCs w:val="24"/>
          <w:lang w:val="en-GB"/>
        </w:rPr>
        <w:t xml:space="preserve"> The majority (71%) of </w:t>
      </w:r>
      <w:r w:rsidR="00122F1E" w:rsidRPr="00002888">
        <w:rPr>
          <w:rFonts w:ascii="Times New Roman" w:hAnsi="Times New Roman" w:cs="Times New Roman"/>
          <w:bCs/>
          <w:i/>
          <w:iCs/>
          <w:sz w:val="24"/>
          <w:szCs w:val="24"/>
          <w:lang w:val="en-GB"/>
        </w:rPr>
        <w:t>IGHV1-02*04</w:t>
      </w:r>
      <w:r w:rsidR="00122F1E" w:rsidRPr="00002888">
        <w:rPr>
          <w:rFonts w:ascii="Times New Roman" w:hAnsi="Times New Roman" w:cs="Times New Roman"/>
          <w:bCs/>
          <w:sz w:val="24"/>
          <w:szCs w:val="24"/>
          <w:lang w:val="en-GB"/>
        </w:rPr>
        <w:t xml:space="preserve"> cases harbour borderline levels of SHM, often benign in nature that cluster in the framework region</w:t>
      </w:r>
      <w:r w:rsidR="005709EB" w:rsidRPr="00002888">
        <w:rPr>
          <w:rFonts w:ascii="Times New Roman" w:hAnsi="Times New Roman" w:cs="Times New Roman"/>
          <w:bCs/>
          <w:sz w:val="24"/>
          <w:szCs w:val="24"/>
          <w:lang w:val="en-GB"/>
        </w:rPr>
        <w:t xml:space="preserve"> </w:t>
      </w:r>
      <w:r w:rsidR="005709EB" w:rsidRPr="00245037">
        <w:rPr>
          <w:rFonts w:ascii="Times New Roman" w:hAnsi="Times New Roman" w:cs="Times New Roman"/>
          <w:bCs/>
          <w:sz w:val="24"/>
          <w:szCs w:val="24"/>
          <w:lang w:val="en-GB"/>
        </w:rPr>
        <w:fldChar w:fldCharType="begin" w:fldLock="1"/>
      </w:r>
      <w:r w:rsidR="003B6080" w:rsidRPr="00245037">
        <w:rPr>
          <w:rFonts w:ascii="Times New Roman" w:hAnsi="Times New Roman" w:cs="Times New Roman"/>
          <w:bCs/>
          <w:sz w:val="24"/>
          <w:szCs w:val="24"/>
          <w:lang w:val="en-GB"/>
        </w:rPr>
        <w:instrText>ADDIN CSL_CITATION {"citationItems":[{"id":"ITEM-1","itemData":{"DOI":"10.1038/leu.2012.3","ISSN":"1476-5551","PMID":"22222599","abstract":"We performed an immunogenetic analysis of 345 IGHV-IGHD-IGHJ rearrangements from 337 cases with primary splenic small B-cell lymphomas of marginal-zone origin. Three immunoglobulin (IG) heavy variable (IGHV) genes accounted for 45.8% of the cases (IGHV1-2, 24.9%; IGHV4-34, 12.8%; IGHV3-23, 8.1%). Particularly for the IGHV1-2 gene, strong biases were evident regarding utilization of different alleles, with 79/86 rearrangements (92%) using allele (*)04. Among cases more stringently classified as splenic marginal-zone lymphoma (SMZL) thanks to the availability of splenic histopathological specimens, the frequency of IGHV1-2(*)04 peaked at 31%. The IGHV1-2(*)04 rearrangements carried significantly longer complementarity-determining region-3 (CDR3) than all other cases and showed biased IGHD gene usage, leading to CDR3s with common motifs. The great majority of analyzed rearrangements (299/345, 86.7%) carried IGHV genes with some impact of somatic hypermutation, from minimal to pronounced. Noticeably, 75/79 (95%) IGHV1-2(*)04 rearrangements were mutated; however, they mostly (56/75 cases; 74.6%) carried few mutations (97-99.9% germline identity) of conservative nature and restricted distribution. These distinctive features of the IG receptors indicate selection by (super)antigenic element(s) in the pathogenesis of SMZL. Furthermore, they raise the possibility that certain SMZL subtypes could derive from progenitor populations adapted to particular antigenic challenges through selection of VH domain specificities, in particular the IGHV1-2(*)04 allele.","author":[{"dropping-particle":"","family":"Bikos","given":"V.","non-dropping-particle":"","parse-names":false,"suffix":""},{"dropping-particle":"","family":"Darzentas","given":"N.","non-dropping-particle":"","parse-names":false,"suffix":""},{"dropping-particle":"","family":"Hadzidimitriou","given":"A.","non-dropping-particle":"","parse-names":false,"suffix":""},{"dropping-particle":"","family":"Davis","given":"Z.","non-dropping-particle":"","parse-names":false,"suffix":""},{"dropping-particle":"","family":"Hockley","given":"S.","non-dropping-particle":"","parse-names":false,"suffix":""},{"dropping-particle":"","family":"Traverse-Glehen","given":"A.","non-dropping-particle":"","parse-names":false,"suffix":""},{"dropping-particle":"","family":"Algara","given":"P.","non-dropping-particle":"","parse-names":false,"suffix":""},{"dropping-particle":"","family":"Santoro","given":"A.","non-dropping-particle":"","parse-names":false,"suffix":""},{"dropping-particle":"","family":"Gonzalez","given":"D.","non-dropping-particle":"","parse-names":false,"suffix":""},{"dropping-particle":"","family":"Mollejo","given":"M.","non-dropping-particle":"","parse-names":false,"suffix":""},{"dropping-particle":"","family":"Dagklis","given":"A.","non-dropping-particle":"","parse-names":false,"suffix":""},{"dropping-particle":"","family":"Gangemi","given":"F.","non-dropping-particle":"","parse-names":false,"suffix":""},{"dropping-particle":"","family":"Bosler","given":"D. S.","non-dropping-particle":"","parse-names":false,"suffix":""},{"dropping-particle":"","family":"Bourikas","given":"G.","non-dropping-particle":"","parse-names":false,"suffix":""},{"dropping-particle":"","family":"Anagnostopoulos","given":"A.","non-dropping-particle":"","parse-names":false,"suffix":""},{"dropping-particle":"","family":"Tsaftaris","given":"A.","non-dropping-particle":"","parse-names":false,"suffix":""},{"dropping-particle":"","family":"Iannitto","given":"E.","non-dropping-particle":"","parse-names":false,"suffix":""},{"dropping-particle":"","family":"Ponzoni","given":"M.","non-dropping-particle":"","parse-names":false,"suffix":""},{"dropping-particle":"","family":"Felman","given":"P.","non-dropping-particle":"","parse-names":false,"suffix":""},{"dropping-particle":"","family":"Berger","given":"F.","non-dropping-particle":"","parse-names":false,"suffix":""},{"dropping-particle":"","family":"Belessi","given":"C.","non-dropping-particle":"","parse-names":false,"suffix":""},{"dropping-particle":"","family":"Ghia","given":"P.","non-dropping-particle":"","parse-names":false,"suffix":""},{"dropping-particle":"","family":"Papadaki","given":"T.","non-dropping-particle":"","parse-names":false,"suffix":""},{"dropping-particle":"","family":"Dogan","given":"A.","non-dropping-particle":"","parse-names":false,"suffix":""},{"dropping-particle":"","family":"Degano","given":"M.","non-dropping-particle":"","parse-names":false,"suffix":""},{"dropping-particle":"","family":"Matutes","given":"E.","non-dropping-particle":"","parse-names":false,"suffix":""},{"dropping-particle":"","family":"Piris","given":"M. A.","non-dropping-particle":"","parse-names":false,"suffix":""},{"dropping-particle":"","family":"Oscier","given":"D.","non-dropping-particle":"","parse-names":false,"suffix":""},{"dropping-particle":"","family":"Stamatopoulos","given":"K.","non-dropping-particle":"","parse-names":false,"suffix":""}],"container-title":"Leukemia","id":"ITEM-1","issue":"7","issued":{"date-parts":[["2012","7"]]},"page":"1638-46","publisher":"Nature Publishing Group","title":"Over 30% of patients with splenic marginal zone lymphoma express the same immunoglobulin heavy variable gene: ontogenetic implications.","type":"article-journal","volume":"26"},"uris":["http://www.mendeley.com/documents/?uuid=823912f5-04a2-440b-9c88-95753fbf4b1d"]},{"id":"ITEM-2","itemData":{"DOI":"10.1158/1078-0432.CCR-15-1170","ISSN":"1078-0432","PMID":"26647217","abstract":"PURPOSE Prompted by the extensive biases in the immunoglobulin (IG) gene repertoire of splenic marginal-zone lymphoma (SMZL), supporting antigen selection in SMZL ontogeny, we sought to investigate whether antigen involvement is also relevant post-transformation. EXPERIMENTAL DESIGN We conducted a large-scale subcloning study of the IG rearrangements of 40 SMZL cases aimed at assessing intraclonal diversification (ID) due to ongoing somatic hypermutation (SHM). RESULTS ID was identified in 17 of 21 (81%) rearrangements using the immunoglobulin heavy variable (IGHV)1-2*04 gene versus 8 of 19 (40%) rearrangements utilizing other IGHV genes (P= 0.001). ID was also evident in most analyzed IG light chain gene rearrangements, albeit was more limited compared with IG heavy chains. Identical sequence changes were shared by subclones from different patients utilizing the IGHV1-2*04 gene, confirming restricted ongoing SHM profiles. Non-IGHV1-2*04 cases displayed both a lower number of ongoing SHMs and a lack of shared mutations (per group of cases utilizing the same IGHV gene). CONCLUSIONS These findings support ongoing antigen involvement in a sizable portion of SMZL and further argue that IGHV1-2*04 SMZL may represent a distinct molecular subtype of the disease.","author":[{"dropping-particle":"","family":"Bikos","given":"Vasilis","non-dropping-particle":"","parse-names":false,"suffix":""},{"dropping-particle":"","family":"Karypidou","given":"Maria","non-dropping-particle":"","parse-names":false,"suffix":""},{"dropping-particle":"","family":"Stalika","given":"Evangelia","non-dropping-particle":"","parse-names":false,"suffix":""},{"dropping-particle":"","family":"Baliakas","given":"Panagiotis","non-dropping-particle":"","parse-names":false,"suffix":""},{"dropping-particle":"","family":"Xochelli","given":"Aliki","non-dropping-particle":"","parse-names":false,"suffix":""},{"dropping-particle":"","family":"Sutton","given":"Lesley-Ann","non-dropping-particle":"","parse-names":false,"suffix":""},{"dropping-particle":"","family":"Papadopoulos","given":"George","non-dropping-particle":"","parse-names":false,"suffix":""},{"dropping-particle":"","family":"Agathangelidis","given":"Andreas","non-dropping-particle":"","parse-names":false,"suffix":""},{"dropping-particle":"","family":"Papadopoulou","given":"Evdoxia","non-dropping-particle":"","parse-names":false,"suffix":""},{"dropping-particle":"","family":"Davis","given":"Zadie","non-dropping-particle":"","parse-names":false,"suffix":""},{"dropping-particle":"","family":"Algara","given":"Patricia","non-dropping-particle":"","parse-names":false,"suffix":""},{"dropping-particle":"","family":"Kanellis","given":"George","non-dropping-particle":"","parse-names":false,"suffix":""},{"dropping-particle":"","family":"Traverse-Glehen","given":"Alexandra","non-dropping-particle":"","parse-names":false,"suffix":""},{"dropping-particle":"","family":"Mollejo","given":"Manuela","non-dropping-particle":"","parse-names":false,"suffix":""},{"dropping-particle":"","family":"Anagnostopoulos","given":"Achilles","non-dropping-particle":"","parse-names":false,"suffix":""},{"dropping-particle":"","family":"Ponzoni","given":"Maurilio","non-dropping-particle":"","parse-names":false,"suffix":""},{"dropping-particle":"","family":"Gonzalez","given":"David","non-dropping-particle":"","parse-names":false,"suffix":""},{"dropping-particle":"","family":"Pospisilova","given":"Sarka","non-dropping-particle":"","parse-names":false,"suffix":""},{"dropping-particle":"","family":"Matutes","given":"Estella","non-dropping-particle":"","parse-names":false,"suffix":""},{"dropping-particle":"","family":"Piris","given":"Miguel Angel","non-dropping-particle":"","parse-names":false,"suffix":""},{"dropping-particle":"","family":"Papadaki","given":"Theodora","non-dropping-particle":"","parse-names":false,"suffix":""},{"dropping-particle":"","family":"Ghia","given":"Paolo","non-dropping-particle":"","parse-names":false,"suffix":""},{"dropping-particle":"","family":"Rosenquist","given":"Richard","non-dropping-particle":"","parse-names":false,"suffix":""},{"dropping-particle":"","family":"Oscier","given":"David","non-dropping-particle":"","parse-names":false,"suffix":""},{"dropping-particle":"","family":"Darzentas","given":"Nikos","non-dropping-particle":"","parse-names":false,"suffix":""},{"dropping-particle":"","family":"Tzovaras","given":"Dimitrios","non-dropping-particle":"","parse-names":false,"suffix":""},{"dropping-particle":"","family":"Belessi","given":"Chrysoula","non-dropping-particle":"","parse-names":false,"suffix":""},{"dropping-particle":"","family":"Hadzidimitriou","given":"Anastasia","non-dropping-particle":"","parse-names":false,"suffix":""},{"dropping-particle":"","family":"Stamatopoulos","given":"Kostas","non-dropping-particle":"","parse-names":false,"suffix":""}],"container-title":"Clinical Cancer Research","id":"ITEM-2","issue":"8","issued":{"date-parts":[["2016","4","15"]]},"page":"2032-2040","title":"An Immunogenetic Signature of Ongoing Antigen Interactions in Splenic Marginal Zone Lymphoma Expressing IGHV1-2*04 Receptors","type":"article-journal","volume":"22"},"uris":["http://www.mendeley.com/documents/?uuid=71d22cf0-356a-4905-a288-cfe9ca5a8f61"]}],"mendeley":{"formattedCitation":"(Bikos et al., 2016, 2012)","plainTextFormattedCitation":"(Bikos et al., 2016, 2012)","previouslyFormattedCitation":"(Bikos et al., 2016, 2012)"},"properties":{"noteIndex":0},"schema":"https://github.com/citation-style-language/schema/raw/master/csl-citation.json"}</w:instrText>
      </w:r>
      <w:r w:rsidR="005709EB" w:rsidRPr="00245037">
        <w:rPr>
          <w:rFonts w:ascii="Times New Roman" w:hAnsi="Times New Roman" w:cs="Times New Roman"/>
          <w:bCs/>
          <w:sz w:val="24"/>
          <w:szCs w:val="24"/>
          <w:lang w:val="en-GB"/>
        </w:rPr>
        <w:fldChar w:fldCharType="separate"/>
      </w:r>
      <w:r w:rsidR="005709EB" w:rsidRPr="00245037">
        <w:rPr>
          <w:rFonts w:ascii="Times New Roman" w:hAnsi="Times New Roman" w:cs="Times New Roman"/>
          <w:bCs/>
          <w:noProof/>
          <w:sz w:val="24"/>
          <w:szCs w:val="24"/>
          <w:lang w:val="en-GB"/>
        </w:rPr>
        <w:t>(Bikos et al., 2016, 2012)</w:t>
      </w:r>
      <w:r w:rsidR="005709EB" w:rsidRPr="00245037">
        <w:rPr>
          <w:rFonts w:ascii="Times New Roman" w:hAnsi="Times New Roman" w:cs="Times New Roman"/>
          <w:bCs/>
          <w:sz w:val="24"/>
          <w:szCs w:val="24"/>
          <w:lang w:val="en-GB"/>
        </w:rPr>
        <w:fldChar w:fldCharType="end"/>
      </w:r>
      <w:r w:rsidR="00122F1E" w:rsidRPr="00245037">
        <w:rPr>
          <w:rFonts w:ascii="Times New Roman" w:hAnsi="Times New Roman" w:cs="Times New Roman"/>
          <w:bCs/>
          <w:sz w:val="24"/>
          <w:szCs w:val="24"/>
          <w:lang w:val="en-GB"/>
        </w:rPr>
        <w:t xml:space="preserve">. </w:t>
      </w:r>
      <w:r w:rsidR="00F25D41" w:rsidRPr="00245037">
        <w:rPr>
          <w:rFonts w:ascii="Times New Roman" w:hAnsi="Times New Roman" w:cs="Times New Roman"/>
          <w:bCs/>
          <w:sz w:val="24"/>
          <w:szCs w:val="24"/>
          <w:lang w:val="en-GB"/>
        </w:rPr>
        <w:t>Whilst levels of SHM represent a critically important prognostic and predic</w:t>
      </w:r>
      <w:r w:rsidR="008722AE" w:rsidRPr="00245037">
        <w:rPr>
          <w:rFonts w:ascii="Times New Roman" w:hAnsi="Times New Roman" w:cs="Times New Roman"/>
          <w:bCs/>
          <w:sz w:val="24"/>
          <w:szCs w:val="24"/>
          <w:lang w:val="en-GB"/>
        </w:rPr>
        <w:t>tive</w:t>
      </w:r>
      <w:r w:rsidR="00F25D41" w:rsidRPr="00245037">
        <w:rPr>
          <w:rFonts w:ascii="Times New Roman" w:hAnsi="Times New Roman" w:cs="Times New Roman"/>
          <w:bCs/>
          <w:sz w:val="24"/>
          <w:szCs w:val="24"/>
          <w:lang w:val="en-GB"/>
        </w:rPr>
        <w:t xml:space="preserve"> biomar</w:t>
      </w:r>
      <w:r w:rsidR="00F25D41" w:rsidRPr="00002888">
        <w:rPr>
          <w:rFonts w:ascii="Times New Roman" w:hAnsi="Times New Roman" w:cs="Times New Roman"/>
          <w:bCs/>
          <w:sz w:val="24"/>
          <w:szCs w:val="24"/>
          <w:lang w:val="en-GB"/>
        </w:rPr>
        <w:t xml:space="preserve">ker in CLL </w:t>
      </w:r>
      <w:r w:rsidR="00136D9F" w:rsidRPr="00002888">
        <w:rPr>
          <w:rFonts w:ascii="Times New Roman" w:hAnsi="Times New Roman" w:cs="Times New Roman"/>
          <w:bCs/>
          <w:sz w:val="24"/>
          <w:szCs w:val="24"/>
          <w:lang w:val="en-GB"/>
        </w:rPr>
        <w:fldChar w:fldCharType="begin" w:fldLock="1"/>
      </w:r>
      <w:r w:rsidR="00E87EB9" w:rsidRPr="00002888">
        <w:rPr>
          <w:rFonts w:ascii="Times New Roman" w:hAnsi="Times New Roman" w:cs="Times New Roman"/>
          <w:bCs/>
          <w:sz w:val="24"/>
          <w:szCs w:val="24"/>
          <w:lang w:val="en-GB"/>
        </w:rPr>
        <w:instrText>ADDIN CSL_CITATION {"citationItems":[{"id":"ITEM-1","itemData":{"DOI":"10.1182/blood.v94.6.1848","ISSN":"00064971","PMID":"10477713","abstract":"Despite having several characteristics of naive B cells, chronic lymphocytic leukemia (CLL) cells have been shown in some cases to have somatically mutated Ig variable region genes, indicating that the cell of origin has passed through the germinal center. A previous study of patients with CLL found an association between lack of somatic mutation and trisomy 12 and, therefore, possibly with a less favorable prognosis. We have sequenced the Ig V(H) genes of the tumor cells of 84 patients with CLL and correlated our findings with clinical features. A total of 38 cases (45.2%) showed ≥98% sequence homology with the nearest germline V(H) gene; 46 cases (54.8%) showed &gt;2% somatic mutation. Unmutated V(H) genes were significantly associated with V1-69 and D3-3 usage, with atypical morphology; isolated trisomy 12, advanced stage and progressive disease. Survival was significantly worse for patients with unmutated V(H) genes irrespective of stage. Median survival for stage A patients with unmutated V(H) genes was 95 months compared with 293 months for patients whose tumors had mutated V(H) genes (P = .0008). The simplest explanation is that CLL comprises 2 different diseases with different clinical courses. One, arising from a memory B cell, has a benign course, the other, arising from a naive B cell, is more malignant.","author":[{"dropping-particle":"","family":"Hamblin","given":"Terry J.","non-dropping-particle":"","parse-names":false,"suffix":""},{"dropping-particle":"","family":"Davis","given":"Zadie","non-dropping-particle":"","parse-names":false,"suffix":""},{"dropping-particle":"","family":"Gardiner","given":"Anne","non-dropping-particle":"","parse-names":false,"suffix":""},{"dropping-particle":"","family":"Oscier","given":"David G.","non-dropping-particle":"","parse-names":false,"suffix":""},{"dropping-particle":"","family":"Stevenson","given":"Freda K.","non-dropping-particle":"","parse-names":false,"suffix":""}],"container-title":"Blood","id":"ITEM-1","issue":"6","issued":{"date-parts":[["1999","9","15"]]},"page":"1848-1854","publisher":"W.B. Saunders","title":"Unmutated Ig V(H) genes are associated with a more aggressive form of chronic lymphocytic leukemia","type":"article-journal","volume":"94"},"uris":["http://www.mendeley.com/documents/?uuid=c91ea3cb-d5f0-38d9-9489-098bb79ede57"]},{"id":"ITEM-2","itemData":{"DOI":"10.1182/blood.v94.6.1840","ISSN":"0006-4971","abstract":"Cellular immunophenotypic studies were performed on a cohort of randomly selected IgM+ B-chronic lymphocytic leukemia (B-CLL) cases for which Ig VH and VL gene sequences were available. The cases were categorized based on V gene mutation status and CD38 expression and analyzed for treatment history and survival. The B-CLL cases could be divided into 2 groups. Those patients with unmutated V genes displayed higher percentages of CD38+ B-CLL cells (≥30%) than those with mutated V genes that had lower percentages of CD38+ cells (&amp;lt;30%). Patients in both the unmutated and the ≥30% CD38+ groups responded poorly to continuous multiregimen chemotherapy (including fludarabine) and had shorter survival. In contrast, the mutated and the &amp;lt;30% CD38+ groups required minimal or no chemotherapy and had prolonged survival. These observations were true also for those patients who stratified to the Rai intermediate risk category. In the mutated and the &amp;lt;30% CD38+ groups, males and females were virtually equally distributed, whereas in the unmutated and the ≥30% CD38+ groups, a marked male predominance was found. Thus, Ig V gene mutation status and the percentages of CD38+B-CLL cells appear to be accurate predictors of clinical outcome in B-CLL patients. These parameters, especially CD38 expression that can be analyzed conveniently in most clinical laboratories, should be valuable adjuncts to the present staging systems for predicting the clinical course in individual B-CLL cases. Future evaluations of new therapeutic strategies and drugs should take into account the different natural histories of patients categorized in these manners.","author":[{"dropping-particle":"","family":"Damle","given":"Rajendra N.","non-dropping-particle":"","parse-names":false,"suffix":""},{"dropping-particle":"","family":"Wasil","given":"Tarun","non-dropping-particle":"","parse-names":false,"suffix":""},{"dropping-particle":"","family":"Fais","given":"Franco","non-dropping-particle":"","parse-names":false,"suffix":""},{"dropping-particle":"","family":"Ghiotto","given":"Fabio","non-dropping-particle":"","parse-names":false,"suffix":""},{"dropping-particle":"","family":"Valetto","given":"Angelo","non-dropping-particle":"","parse-names":false,"suffix":""},{"dropping-particle":"","family":"Allen","given":"Steven L.","non-dropping-particle":"","parse-names":false,"suffix":""},{"dropping-particle":"","family":"Buchbinder","given":"Aby","non-dropping-particle":"","parse-names":false,"suffix":""},{"dropping-particle":"","family":"Budman","given":"Daniel","non-dropping-particle":"","parse-names":false,"suffix":""},{"dropping-particle":"","family":"Dittmar","given":"Klaus","non-dropping-particle":"","parse-names":false,"suffix":""},{"dropping-particle":"","family":"Kolitz","given":"Jonathan","non-dropping-particle":"","parse-names":false,"suffix":""},{"dropping-particle":"","family":"Lichtman","given":"Stuart M.","non-dropping-particle":"","parse-names":false,"suffix":""},{"dropping-particle":"","family":"Schulman","given":"Philip","non-dropping-particle":"","parse-names":false,"suffix":""},{"dropping-particle":"","family":"Vinciguerra","given":"Vincent P.","non-dropping-particle":"","parse-names":false,"suffix":""},{"dropping-particle":"","family":"Rai","given":"Kanti R.","non-dropping-particle":"","parse-names":false,"suffix":""},{"dropping-particle":"","family":"Ferrarini","given":"Manlio","non-dropping-particle":"","parse-names":false,"suffix":""},{"dropping-particle":"","family":"Chiorazzi","given":"Nicholas","non-dropping-particle":"","parse-names":false,"suffix":""}],"container-title":"Blood","id":"ITEM-2","issue":"6","issued":{"date-parts":[["1999","9","15"]]},"page":"1840-1847","publisher":"American Society of Hematology","title":"Ig V Gene Mutation Status and CD38 Expression As Novel Prognostic Indicators in Chronic Lymphocytic Leukemia","type":"article-journal","volume":"94"},"uris":["http://www.mendeley.com/documents/?uuid=920849d2-1378-3c22-9199-b8ac30543a4e"]}],"mendeley":{"formattedCitation":"(Damle et al., 1999; Hamblin et al., 1999)","plainTextFormattedCitation":"(Damle et al., 1999; Hamblin et al., 1999)","previouslyFormattedCitation":"(Damle et al., 1999; Hamblin et al., 1999)"},"properties":{"noteIndex":0},"schema":"https://github.com/citation-style-language/schema/raw/master/csl-citation.json"}</w:instrText>
      </w:r>
      <w:r w:rsidR="00136D9F" w:rsidRPr="00002888">
        <w:rPr>
          <w:rFonts w:ascii="Times New Roman" w:hAnsi="Times New Roman" w:cs="Times New Roman"/>
          <w:bCs/>
          <w:sz w:val="24"/>
          <w:szCs w:val="24"/>
          <w:lang w:val="en-GB"/>
        </w:rPr>
        <w:fldChar w:fldCharType="separate"/>
      </w:r>
      <w:r w:rsidR="00136D9F" w:rsidRPr="00002888">
        <w:rPr>
          <w:rFonts w:ascii="Times New Roman" w:hAnsi="Times New Roman" w:cs="Times New Roman"/>
          <w:bCs/>
          <w:noProof/>
          <w:sz w:val="24"/>
          <w:szCs w:val="24"/>
          <w:lang w:val="en-GB"/>
        </w:rPr>
        <w:t>(Damle et al., 1999; Hamblin et al., 1999)</w:t>
      </w:r>
      <w:r w:rsidR="00136D9F" w:rsidRPr="00002888">
        <w:rPr>
          <w:rFonts w:ascii="Times New Roman" w:hAnsi="Times New Roman" w:cs="Times New Roman"/>
          <w:bCs/>
          <w:sz w:val="24"/>
          <w:szCs w:val="24"/>
          <w:lang w:val="en-GB"/>
        </w:rPr>
        <w:fldChar w:fldCharType="end"/>
      </w:r>
      <w:r w:rsidR="00F25D41" w:rsidRPr="00002888">
        <w:rPr>
          <w:rFonts w:ascii="Times New Roman" w:hAnsi="Times New Roman" w:cs="Times New Roman"/>
          <w:bCs/>
          <w:sz w:val="24"/>
          <w:szCs w:val="24"/>
          <w:lang w:val="en-GB"/>
        </w:rPr>
        <w:t xml:space="preserve">, their clinical utility in SMZL is less established. Using SHM cut-offs established for CLL, </w:t>
      </w:r>
      <w:r w:rsidR="1FE712DA" w:rsidRPr="00002888">
        <w:rPr>
          <w:rFonts w:ascii="Times New Roman" w:hAnsi="Times New Roman" w:cs="Times New Roman"/>
          <w:sz w:val="24"/>
          <w:szCs w:val="24"/>
          <w:lang w:val="en-GB"/>
        </w:rPr>
        <w:t>although</w:t>
      </w:r>
      <w:r w:rsidR="00F25D41" w:rsidRPr="00002888">
        <w:rPr>
          <w:rFonts w:ascii="Times New Roman" w:hAnsi="Times New Roman" w:cs="Times New Roman"/>
          <w:bCs/>
          <w:sz w:val="24"/>
          <w:szCs w:val="24"/>
          <w:lang w:val="en-GB"/>
        </w:rPr>
        <w:t xml:space="preserve"> SHM levels are likely to be disease-specific, showed no difference in progression-free and overall survival between mutated and unmutated </w:t>
      </w:r>
      <w:r w:rsidR="00F25D41" w:rsidRPr="00002888">
        <w:rPr>
          <w:rFonts w:ascii="Times New Roman" w:hAnsi="Times New Roman" w:cs="Times New Roman"/>
          <w:bCs/>
          <w:i/>
          <w:iCs/>
          <w:sz w:val="24"/>
          <w:szCs w:val="24"/>
          <w:lang w:val="en-GB"/>
        </w:rPr>
        <w:t>IGHV</w:t>
      </w:r>
      <w:r w:rsidR="00F25D41" w:rsidRPr="00002888">
        <w:rPr>
          <w:rFonts w:ascii="Times New Roman" w:hAnsi="Times New Roman" w:cs="Times New Roman"/>
          <w:bCs/>
          <w:sz w:val="24"/>
          <w:szCs w:val="24"/>
          <w:lang w:val="en-GB"/>
        </w:rPr>
        <w:t xml:space="preserve"> cases </w:t>
      </w:r>
      <w:r w:rsidR="00E87EB9" w:rsidRPr="00002888">
        <w:rPr>
          <w:rFonts w:ascii="Times New Roman" w:hAnsi="Times New Roman" w:cs="Times New Roman"/>
          <w:bCs/>
          <w:sz w:val="24"/>
          <w:szCs w:val="24"/>
          <w:lang w:val="en-GB"/>
        </w:rPr>
        <w:fldChar w:fldCharType="begin" w:fldLock="1"/>
      </w:r>
      <w:r w:rsidR="00284279" w:rsidRPr="00002888">
        <w:rPr>
          <w:rFonts w:ascii="Times New Roman" w:hAnsi="Times New Roman" w:cs="Times New Roman"/>
          <w:bCs/>
          <w:sz w:val="24"/>
          <w:szCs w:val="24"/>
          <w:lang w:val="en-GB"/>
        </w:rPr>
        <w:instrText>ADDIN CSL_CITATION {"citationItems":[{"id":"ITEM-1","itemData":{"DOI":"10.1182/blood-2010-01-264275","ISSN":"0006-4971","PMID":"21115979","abstract":"Marginal zone B-cell lymphomas (MZLs) have been divided into 3 distinct subtypes (extranodal MZLs of mucosa-associated lymphoid tissue [MALT] type, nodal MZLs, and splenic MZLs). Nevertheless, the relationship between the subtypes is still unclear. We performed a comprehensive analysis of genomic DNA copy number changes in a very large series of MZL cases with the aim of addressing this question. Samples from 218 MZL patients (25 nodal, 57 MALT, 134 splenic, and 2 not better specified MZLs) were analyzed with the Affymetrix Human Mapping 250K SNP arrays, and the data combined with matched gene expression in 33 of 218 cases. MALT lymphoma presented significantly more frequently gains at 3p, 6p, 18p, and del(6q23) (TNFAIP3/A20), whereas splenic MZLs was associated with del(7q31), del(8p). Nodal MZLs did not show statistically significant differences compared with MALT lymphoma while lacking the splenic MZLs-related 7q losses. Gains of 3q and 18q were common to all 3 subtypes. del(8p) was often present together with del(17p) (TP53). Although del(17p) did not determine a worse outcome and del(8p) was only of borderline significance, the presence of both deletions had a highly significant negative impact on the outcome of splenic MZLs.","author":[{"dropping-particle":"","family":"Rinaldi","given":"Andrea","non-dropping-particle":"","parse-names":false,"suffix":""},{"dropping-particle":"","family":"Mian","given":"Michael","non-dropping-particle":"","parse-names":false,"suffix":""},{"dropping-particle":"","family":"Chigrinova","given":"Ekaterina","non-dropping-particle":"","parse-names":false,"suffix":""},{"dropping-particle":"","family":"Arcaini","given":"Luca","non-dropping-particle":"","parse-names":false,"suffix":""},{"dropping-particle":"","family":"Bhagat","given":"Govind","non-dropping-particle":"","parse-names":false,"suffix":""},{"dropping-particle":"","family":"Novak","given":"Urban","non-dropping-particle":"","parse-names":false,"suffix":""},{"dropping-particle":"V.","family":"Rancoita","given":"Paola M.","non-dropping-particle":"","parse-names":false,"suffix":""},{"dropping-particle":"","family":"Campos","given":"Cassio P.","non-dropping-particle":"De","parse-names":false,"suffix":""},{"dropping-particle":"","family":"Forconi","given":"Francesco","non-dropping-particle":"","parse-names":false,"suffix":""},{"dropping-particle":"","family":"Gascoyne","given":"Randy D","non-dropping-particle":"","parse-names":false,"suffix":""},{"dropping-particle":"","family":"Facchetti","given":"Fabio","non-dropping-particle":"","parse-names":false,"suffix":""},{"dropping-particle":"","family":"Ponzoni","given":"Maurilio","non-dropping-particle":"","parse-names":false,"suffix":""},{"dropping-particle":"","family":"Govi","given":"Silvia","non-dropping-particle":"","parse-names":false,"suffix":""},{"dropping-particle":"","family":"Ferreri","given":"Andrés J. M.","non-dropping-particle":"","parse-names":false,"suffix":""},{"dropping-particle":"","family":"Mollejo","given":"Manuela","non-dropping-particle":"","parse-names":false,"suffix":""},{"dropping-particle":"","family":"Piris","given":"Miguel A","non-dropping-particle":"","parse-names":false,"suffix":""},{"dropping-particle":"","family":"Baldini","given":"Luca","non-dropping-particle":"","parse-names":false,"suffix":""},{"dropping-particle":"","family":"Soulier","given":"Jean","non-dropping-particle":"","parse-names":false,"suffix":""},{"dropping-particle":"","family":"Thieblemont","given":"Catherine","non-dropping-particle":"","parse-names":false,"suffix":""},{"dropping-particle":"","family":"Canzonieri","given":"Vincenzo","non-dropping-particle":"","parse-names":false,"suffix":""},{"dropping-particle":"","family":"Gattei","given":"Valter","non-dropping-particle":"","parse-names":false,"suffix":""},{"dropping-particle":"","family":"Marasca","given":"Roberto","non-dropping-particle":"","parse-names":false,"suffix":""},{"dropping-particle":"","family":"Franceschetti","given":"Silvia","non-dropping-particle":"","parse-names":false,"suffix":""},{"dropping-particle":"","family":"Gaidano","given":"Gianluca","non-dropping-particle":"","parse-names":false,"suffix":""},{"dropping-particle":"","family":"Tucci","given":"Alessandra","non-dropping-particle":"","parse-names":false,"suffix":""},{"dropping-particle":"","family":"Uccella","given":"Silvia","non-dropping-particle":"","parse-names":false,"suffix":""},{"dropping-particle":"","family":"Tibiletti","given":"Maria Grazia","non-dropping-particle":"","parse-names":false,"suffix":""},{"dropping-particle":"","family":"Dirnhofer","given":"Stephan","non-dropping-particle":"","parse-names":false,"suffix":""},{"dropping-particle":"","family":"Tripodo","given":"Claudio","non-dropping-particle":"","parse-names":false,"suffix":""},{"dropping-particle":"","family":"Doglioni","given":"Claudio","non-dropping-particle":"","parse-names":false,"suffix":""},{"dropping-particle":"","family":"Dalla Favera","given":"Riccardo","non-dropping-particle":"","parse-names":false,"suffix":""},{"dropping-particle":"","family":"Cavalli","given":"Franco","non-dropping-particle":"","parse-names":false,"suffix":""},{"dropping-particle":"","family":"Zucca","given":"Emanuele","non-dropping-particle":"","parse-names":false,"suffix":""},{"dropping-particle":"","family":"Kwee","given":"Ivo","non-dropping-particle":"","parse-names":false,"suffix":""},{"dropping-particle":"","family":"Bertoni","given":"Francesco","non-dropping-particle":"","parse-names":false,"suffix":""}],"container-title":"Blood","id":"ITEM-1","issue":"5","issued":{"date-parts":[["2011","2","3"]]},"page":"1595-1604","title":"Genome-wide DNA profiling of marginal zone lymphomas identifies subtype-specific lesions with an impact on the clinical outcome","type":"article-journal","volume":"117"},"uris":["http://www.mendeley.com/documents/?uuid=6ac62c53-1030-4cf0-9e7a-baca26dde9a6"]},{"id":"ITEM-2","itemData":{"DOI":"10.1016/j.bcmd.2009.01.004","ISSN":"10799796","PMID":"19250848","abstract":"Immunoglobulin gene usage and somatic mutation patterns were studied in 59 patients with splenic marginal zone lymphoma and were correlated with clinical characteristics. Fifty-nine IGHV rearrangements were amplified. IGHV1, IGHV3, and IGHV4 subgroups accounted for 30%, 56%, and 14% of sequences, respectively. IGHV genes most frequently used were IGHV1-2 (n = 12), IGHV3-23 (n = 15), IGHV3-30 (n = 7) and IGHV4-34 (n = 5). IGHV was unmutated in 25%. Villous lymphocytes &gt; 10% were detected in 50% of patients belonging to the IGHV1-2 group, in 21% of the IGHV3-23 group, and in no patient of the IGHV3-30 group (p = 0.05). Liver involvement was present in 50% of the IGHV3-30 group, in 9% of the IGHV3-23 group, and in no patient of the IGHV1-2 group (p = 0.04). HCV-serology was positive in 50% of the IGHV3-30 group, in 7% of the IGHV3-23 group, and in 17% of the IGHV1-2 group (p = 0.04). The proportion of intermediate and high risk patients according to the SMZL score was higher in the unmutated respect to the mutated group (69% vs 32%, p = 0.05). In conclusion, IGHV rearrangement analysis in splenic marginal zone B-cell lymphoma reveals a non-random preference for use of IGHV1-2, IGHV3-23 and IGHV3-30 genes, whose presence differs according to clinical features and prognostic category. © 2009 Elsevier Inc. All rights reserved.","author":[{"dropping-particle":"","family":"Arcaini","given":"Luca","non-dropping-particle":"","parse-names":false,"suffix":""},{"dropping-particle":"","family":"Zibellini","given":"Silvia","non-dropping-particle":"","parse-names":false,"suffix":""},{"dropping-particle":"","family":"Passamonti","given":"Francesco","non-dropping-particle":"","parse-names":false,"suffix":""},{"dropping-particle":"","family":"Rattotti","given":"Sara","non-dropping-particle":"","parse-names":false,"suffix":""},{"dropping-particle":"","family":"Lucioni","given":"Marco","non-dropping-particle":"","parse-names":false,"suffix":""},{"dropping-particle":"","family":"Invernizzi","given":"Rosangela","non-dropping-particle":"","parse-names":false,"suffix":""},{"dropping-particle":"","family":"Merli","given":"Michele","non-dropping-particle":"","parse-names":false,"suffix":""},{"dropping-particle":"","family":"Rizzi","given":"Silvia","non-dropping-particle":"","parse-names":false,"suffix":""},{"dropping-particle":"","family":"Boveri","given":"Emanuela","non-dropping-particle":"","parse-names":false,"suffix":""},{"dropping-particle":"","family":"Rumi","given":"Elisa","non-dropping-particle":"","parse-names":false,"suffix":""},{"dropping-particle":"","family":"Astori","given":"Cesare","non-dropping-particle":"","parse-names":false,"suffix":""},{"dropping-particle":"","family":"Picone","given":"Cristina","non-dropping-particle":"","parse-names":false,"suffix":""},{"dropping-particle":"","family":"Varettoni","given":"Marzia","non-dropping-particle":"","parse-names":false,"suffix":""},{"dropping-particle":"","family":"Pascutto","given":"Cristiana","non-dropping-particle":"","parse-names":false,"suffix":""},{"dropping-particle":"","family":"Paulli","given":"Marco","non-dropping-particle":"","parse-names":false,"suffix":""},{"dropping-particle":"","family":"Lazzarino","given":"Mario","non-dropping-particle":"","parse-names":false,"suffix":""}],"container-title":"Blood Cells, Molecules, and Diseases","id":"ITEM-2","issue":"3","issued":{"date-parts":[["2009","5"]]},"page":"286-291","publisher":"Blood Cells Mol Dis","title":"Splenic marginal zone lymphoma: Clinical clustering of immunoglobulin heavy chain repertoires","type":"article-journal","volume":"42"},"uris":["http://www.mendeley.com/documents/?uuid=e0520bd6-6c91-38e6-a523-dfbb8c67d388"]}],"mendeley":{"formattedCitation":"(Arcaini et al., 2009; Rinaldi et al., 2011)","plainTextFormattedCitation":"(Arcaini et al., 2009; Rinaldi et al., 2011)","previouslyFormattedCitation":"(Arcaini et al., 2009; Rinaldi et al., 2011)"},"properties":{"noteIndex":0},"schema":"https://github.com/citation-style-language/schema/raw/master/csl-citation.json"}</w:instrText>
      </w:r>
      <w:r w:rsidR="00E87EB9" w:rsidRPr="00002888">
        <w:rPr>
          <w:rFonts w:ascii="Times New Roman" w:hAnsi="Times New Roman" w:cs="Times New Roman"/>
          <w:bCs/>
          <w:sz w:val="24"/>
          <w:szCs w:val="24"/>
          <w:lang w:val="en-GB"/>
        </w:rPr>
        <w:fldChar w:fldCharType="separate"/>
      </w:r>
      <w:r w:rsidR="001254EB" w:rsidRPr="00002888">
        <w:rPr>
          <w:rFonts w:ascii="Times New Roman" w:hAnsi="Times New Roman" w:cs="Times New Roman"/>
          <w:bCs/>
          <w:noProof/>
          <w:sz w:val="24"/>
          <w:szCs w:val="24"/>
          <w:lang w:val="en-GB"/>
        </w:rPr>
        <w:t>(Arcaini et al., 2009; Rinaldi et al., 2011)</w:t>
      </w:r>
      <w:r w:rsidR="00E87EB9" w:rsidRPr="00002888">
        <w:rPr>
          <w:rFonts w:ascii="Times New Roman" w:hAnsi="Times New Roman" w:cs="Times New Roman"/>
          <w:bCs/>
          <w:sz w:val="24"/>
          <w:szCs w:val="24"/>
          <w:lang w:val="en-GB"/>
        </w:rPr>
        <w:fldChar w:fldCharType="end"/>
      </w:r>
      <w:r w:rsidR="00E87EB9" w:rsidRPr="00002888">
        <w:rPr>
          <w:rFonts w:ascii="Times New Roman" w:hAnsi="Times New Roman" w:cs="Times New Roman"/>
          <w:bCs/>
          <w:sz w:val="24"/>
          <w:szCs w:val="24"/>
          <w:lang w:val="en-GB"/>
        </w:rPr>
        <w:t xml:space="preserve"> </w:t>
      </w:r>
      <w:r w:rsidR="00F25D41" w:rsidRPr="00002888">
        <w:rPr>
          <w:rFonts w:ascii="Times New Roman" w:hAnsi="Times New Roman" w:cs="Times New Roman"/>
          <w:bCs/>
          <w:sz w:val="24"/>
          <w:szCs w:val="24"/>
          <w:lang w:val="en-GB"/>
        </w:rPr>
        <w:t>. I</w:t>
      </w:r>
      <w:r w:rsidR="000C468A" w:rsidRPr="00002888">
        <w:rPr>
          <w:rFonts w:ascii="Times New Roman" w:hAnsi="Times New Roman" w:cs="Times New Roman"/>
          <w:bCs/>
          <w:sz w:val="24"/>
          <w:szCs w:val="24"/>
          <w:lang w:val="en-GB"/>
        </w:rPr>
        <w:t>n</w:t>
      </w:r>
      <w:r w:rsidR="00F25D41" w:rsidRPr="00002888">
        <w:rPr>
          <w:rFonts w:ascii="Times New Roman" w:hAnsi="Times New Roman" w:cs="Times New Roman"/>
          <w:bCs/>
          <w:sz w:val="24"/>
          <w:szCs w:val="24"/>
          <w:lang w:val="en-GB"/>
        </w:rPr>
        <w:t xml:space="preserve"> contra</w:t>
      </w:r>
      <w:r w:rsidR="002D0214" w:rsidRPr="00002888">
        <w:rPr>
          <w:rFonts w:ascii="Times New Roman" w:hAnsi="Times New Roman" w:cs="Times New Roman"/>
          <w:bCs/>
          <w:sz w:val="24"/>
          <w:szCs w:val="24"/>
          <w:lang w:val="en-GB"/>
        </w:rPr>
        <w:t>s</w:t>
      </w:r>
      <w:r w:rsidR="00F25D41" w:rsidRPr="00002888">
        <w:rPr>
          <w:rFonts w:ascii="Times New Roman" w:hAnsi="Times New Roman" w:cs="Times New Roman"/>
          <w:bCs/>
          <w:sz w:val="24"/>
          <w:szCs w:val="24"/>
          <w:lang w:val="en-GB"/>
        </w:rPr>
        <w:t xml:space="preserve">t, we </w:t>
      </w:r>
      <w:r w:rsidR="000C468A" w:rsidRPr="00002888">
        <w:rPr>
          <w:rFonts w:ascii="Times New Roman" w:hAnsi="Times New Roman" w:cs="Times New Roman"/>
          <w:bCs/>
          <w:sz w:val="24"/>
          <w:szCs w:val="24"/>
          <w:lang w:val="en-GB"/>
        </w:rPr>
        <w:t xml:space="preserve">have shown </w:t>
      </w:r>
      <w:r w:rsidR="009C54A2" w:rsidRPr="00002888">
        <w:rPr>
          <w:rFonts w:ascii="Times New Roman" w:hAnsi="Times New Roman" w:cs="Times New Roman"/>
          <w:bCs/>
          <w:sz w:val="24"/>
          <w:szCs w:val="24"/>
          <w:lang w:val="en-GB"/>
        </w:rPr>
        <w:t xml:space="preserve">that a physiological definition, based on the complete absence of SHM (truly unmutated), is able to provide independent prognostic information, with truly unmutated cases exhibiting reduced time to treatment </w:t>
      </w:r>
      <w:r w:rsidR="00C57D59" w:rsidRPr="00002888">
        <w:rPr>
          <w:rFonts w:ascii="Times New Roman" w:hAnsi="Times New Roman" w:cs="Times New Roman"/>
          <w:bCs/>
          <w:sz w:val="24"/>
          <w:szCs w:val="24"/>
          <w:lang w:val="en-GB"/>
        </w:rPr>
        <w:fldChar w:fldCharType="begin" w:fldLock="1"/>
      </w:r>
      <w:r w:rsidR="00B0100E" w:rsidRPr="00002888">
        <w:rPr>
          <w:rFonts w:ascii="Times New Roman" w:hAnsi="Times New Roman" w:cs="Times New Roman"/>
          <w:bCs/>
          <w:sz w:val="24"/>
          <w:szCs w:val="24"/>
          <w:lang w:val="en-GB"/>
        </w:rPr>
        <w:instrText>ADDIN CSL_CITATION {"citationItems":[{"id":"ITEM-1","itemData":{"DOI":"10.1158/1078-0432.CCR-14-2759","ISSN":"15573265","PMID":"25779943","abstract":"Purpose: Mounting evidence supports the clinical significance of gene mutations and immunogenetic features in common mature B-cell malignancies.\\n\\nExperimental Design: We undertook a detailed characterization of the genetic background of splenic marginal zone lymphoma (SMZL), using targeted resequencing and explored potential clinical implications in a multinational cohort of 175 patients with SMZL.\\n\\nResults: We identified recurrent mutations in TP53 (16%), KLF2 (12%), NOTCH2 (10%), TNFAIP3 (7%), MLL2 (11%), MYD88 (7%), and ARID1A (6%), all genes known to be targeted by somatic mutation in SMZL. KLF2 mutations were early, clonal events, enriched in patients with del(7q) and IGHV1-2*04 B-cell receptor immunoglobulins, and were associated with a short median time to first treatment (0.12 vs. 1.11 years; P = 0.01). In multivariate analysis, mutations in NOTCH2 [HR, 2.12; 95% confidence interval (CI), 1.02–4.4; P = 0.044] and 100% germline IGHV gene identity (HR, 2.19; 95% CI, 1.05–4.55; P = 0.036) were independent markers of short time to first treatment, whereas TP53 mutations were an independent marker of short overall survival (HR, 2.36; 95 % CI, 1.08–5.2; P = 0.03).\\n\\nConclusions: We identify key associations between gene mutations and clinical outcome, demonstrating for the first time that NOTCH2 and TP53 gene mutations are independent markers of reduced treatment-free and overall survival, respectively. Clin Cancer Res; 21(18); 4174–83. ©2015 AACR .","author":[{"dropping-particle":"","family":"Parry","given":"Marina","non-dropping-particle":"","parse-names":false,"suffix":""},{"dropping-particle":"","family":"Rose-Zerilli","given":"Matthew J.J.","non-dropping-particle":"","parse-names":false,"suffix":""},{"dropping-particle":"","family":"Ljungström","given":"Viktor","non-dropping-particle":"","parse-names":false,"suffix":""},{"dropping-particle":"","family":"Gibson","given":"Jane","non-dropping-particle":"","parse-names":false,"suffix":""},{"dropping-particle":"","family":"Wang","given":"Jun","non-dropping-particle":"","parse-names":false,"suffix":""},{"dropping-particle":"","family":"Walewska","given":"Renata","non-dropping-particle":"","parse-names":false,"suffix":""},{"dropping-particle":"","family":"Parker","given":"Helen","non-dropping-particle":"","parse-names":false,"suffix":""},{"dropping-particle":"","family":"Parker","given":"Anton","non-dropping-particle":"","parse-names":false,"suffix":""},{"dropping-particle":"","family":"Davis","given":"Zadie","non-dropping-particle":"","parse-names":false,"suffix":""},{"dropping-particle":"","family":"Gardiner","given":"Anne","non-dropping-particle":"","parse-names":false,"suffix":""},{"dropping-particle":"","family":"McIver-Brown","given":"Neil","non-dropping-particle":"","parse-names":false,"suffix":""},{"dropping-particle":"","family":"Kalpadakis","given":"Christina","non-dropping-particle":"","parse-names":false,"suffix":""},{"dropping-particle":"","family":"Xochelli","given":"Aliki","non-dropping-particle":"","parse-names":false,"suffix":""},{"dropping-particle":"","family":"Anagnostopoulos","given":"Achilles","non-dropping-particle":"","parse-names":false,"suffix":""},{"dropping-particle":"","family":"Fazi","given":"Claudia","non-dropping-particle":"","parse-names":false,"suffix":""},{"dropping-particle":"","family":"Castro","given":"David Gonzalez","non-dropping-particle":"De","parse-names":false,"suffix":""},{"dropping-particle":"","family":"Dearden","given":"Claire","non-dropping-particle":"","parse-names":false,"suffix":""},{"dropping-particle":"","family":"Pratt","given":"Guy","non-dropping-particle":"","parse-names":false,"suffix":""},{"dropping-particle":"","family":"Rosenquist","given":"Richard","non-dropping-particle":"","parse-names":false,"suffix":""},{"dropping-particle":"","family":"Ashton-Key","given":"Margaret","non-dropping-particle":"","parse-names":false,"suffix":""},{"dropping-particle":"","family":"Forconi","given":"Francesco","non-dropping-particle":"","parse-names":false,"suffix":""},{"dropping-particle":"","family":"Collins","given":"Andrew","non-dropping-particle":"","parse-names":false,"suffix":""},{"dropping-particle":"","family":"Ghia","given":"Paolo","non-dropping-particle":"","parse-names":false,"suffix":""},{"dropping-particle":"","family":"Matutes","given":"Estella","non-dropping-particle":"","parse-names":false,"suffix":""},{"dropping-particle":"","family":"Pangalis","given":"Gerassimos","non-dropping-particle":"","parse-names":false,"suffix":""},{"dropping-particle":"","family":"Stamatopoulos","given":"Kostas","non-dropping-particle":"","parse-names":false,"suffix":""},{"dropping-particle":"","family":"Oscier","given":"David","non-dropping-particle":"","parse-names":false,"suffix":""},{"dropping-particle":"","family":"Strefford","given":"Jonathan C.","non-dropping-particle":"","parse-names":false,"suffix":""}],"container-title":"Clinical Cancer Research","id":"ITEM-1","issue":"18","issued":{"date-parts":[["2015"]]},"page":"4174-4183","title":"Genetics and prognostication in splenic marginal zone lymphoma: Revelations from deep sequencing","type":"article-journal","volume":"21"},"uris":["http://www.mendeley.com/documents/?uuid=81509c2c-3e61-4115-bfa1-3ac38fc7fb12"]}],"mendeley":{"formattedCitation":"(Parry et al., 2015)","plainTextFormattedCitation":"(Parry et al., 2015)","previouslyFormattedCitation":"(Parry et al., 2015)"},"properties":{"noteIndex":0},"schema":"https://github.com/citation-style-language/schema/raw/master/csl-citation.json"}</w:instrText>
      </w:r>
      <w:r w:rsidR="00C57D59" w:rsidRPr="00002888">
        <w:rPr>
          <w:rFonts w:ascii="Times New Roman" w:hAnsi="Times New Roman" w:cs="Times New Roman"/>
          <w:bCs/>
          <w:sz w:val="24"/>
          <w:szCs w:val="24"/>
          <w:lang w:val="en-GB"/>
        </w:rPr>
        <w:fldChar w:fldCharType="separate"/>
      </w:r>
      <w:r w:rsidR="00C57D59" w:rsidRPr="00002888">
        <w:rPr>
          <w:rFonts w:ascii="Times New Roman" w:hAnsi="Times New Roman" w:cs="Times New Roman"/>
          <w:bCs/>
          <w:noProof/>
          <w:sz w:val="24"/>
          <w:szCs w:val="24"/>
          <w:lang w:val="en-GB"/>
        </w:rPr>
        <w:t>(Parry et al., 2015)</w:t>
      </w:r>
      <w:r w:rsidR="00C57D59" w:rsidRPr="00002888">
        <w:rPr>
          <w:rFonts w:ascii="Times New Roman" w:hAnsi="Times New Roman" w:cs="Times New Roman"/>
          <w:bCs/>
          <w:sz w:val="24"/>
          <w:szCs w:val="24"/>
          <w:lang w:val="en-GB"/>
        </w:rPr>
        <w:fldChar w:fldCharType="end"/>
      </w:r>
      <w:r w:rsidR="009C54A2" w:rsidRPr="00002888">
        <w:rPr>
          <w:rFonts w:ascii="Times New Roman" w:hAnsi="Times New Roman" w:cs="Times New Roman"/>
          <w:bCs/>
          <w:sz w:val="24"/>
          <w:szCs w:val="24"/>
          <w:lang w:val="en-GB"/>
        </w:rPr>
        <w:t xml:space="preserve">. Taken together, </w:t>
      </w:r>
      <w:r w:rsidR="002D0214" w:rsidRPr="00002888">
        <w:rPr>
          <w:rFonts w:ascii="Times New Roman" w:hAnsi="Times New Roman" w:cs="Times New Roman"/>
          <w:bCs/>
          <w:sz w:val="24"/>
          <w:szCs w:val="24"/>
          <w:lang w:val="en-GB"/>
        </w:rPr>
        <w:t>these observations</w:t>
      </w:r>
      <w:r w:rsidR="009C54A2" w:rsidRPr="00002888">
        <w:rPr>
          <w:rFonts w:ascii="Times New Roman" w:hAnsi="Times New Roman" w:cs="Times New Roman"/>
          <w:bCs/>
          <w:sz w:val="24"/>
          <w:szCs w:val="24"/>
          <w:lang w:val="en-GB"/>
        </w:rPr>
        <w:t xml:space="preserve"> show that we continue to lack a definitive understanding of the clinical utility of SHM in SMZL, </w:t>
      </w:r>
      <w:r w:rsidR="009C54A2" w:rsidRPr="00002888">
        <w:rPr>
          <w:rFonts w:ascii="Times New Roman" w:hAnsi="Times New Roman" w:cs="Times New Roman"/>
          <w:sz w:val="24"/>
          <w:szCs w:val="24"/>
          <w:lang w:val="en-GB"/>
        </w:rPr>
        <w:t>like</w:t>
      </w:r>
      <w:r w:rsidR="53C161A0" w:rsidRPr="00002888">
        <w:rPr>
          <w:rFonts w:ascii="Times New Roman" w:hAnsi="Times New Roman" w:cs="Times New Roman"/>
          <w:sz w:val="24"/>
          <w:szCs w:val="24"/>
          <w:lang w:val="en-GB"/>
        </w:rPr>
        <w:t>ly</w:t>
      </w:r>
      <w:r w:rsidR="009C54A2" w:rsidRPr="00002888">
        <w:rPr>
          <w:rFonts w:ascii="Times New Roman" w:hAnsi="Times New Roman" w:cs="Times New Roman"/>
          <w:bCs/>
          <w:sz w:val="24"/>
          <w:szCs w:val="24"/>
          <w:lang w:val="en-GB"/>
        </w:rPr>
        <w:t xml:space="preserve"> the result of small patient cohorts, heterogeneous treatment, and an inaccurate definition of the most biologically and clinically relevant SHM cut-offs.</w:t>
      </w:r>
    </w:p>
    <w:p w14:paraId="28F3D047" w14:textId="77777777" w:rsidR="00002888" w:rsidRPr="00002888" w:rsidRDefault="00002888" w:rsidP="00002888">
      <w:pPr>
        <w:spacing w:before="0" w:after="0" w:line="360" w:lineRule="auto"/>
        <w:jc w:val="left"/>
        <w:rPr>
          <w:rFonts w:ascii="Times New Roman" w:hAnsi="Times New Roman" w:cs="Times New Roman"/>
          <w:bCs/>
          <w:sz w:val="24"/>
          <w:szCs w:val="24"/>
          <w:lang w:val="en-GB"/>
        </w:rPr>
      </w:pPr>
    </w:p>
    <w:p w14:paraId="54EE0A7A" w14:textId="49518EB8" w:rsidR="006446CB" w:rsidRPr="00002888" w:rsidRDefault="00867BEC" w:rsidP="00002888">
      <w:pPr>
        <w:pStyle w:val="Heading1"/>
        <w:spacing w:before="0" w:line="360" w:lineRule="auto"/>
        <w:jc w:val="left"/>
        <w:rPr>
          <w:rFonts w:ascii="Times New Roman" w:hAnsi="Times New Roman" w:cs="Times New Roman"/>
          <w:b/>
          <w:bCs/>
          <w:sz w:val="24"/>
          <w:szCs w:val="24"/>
          <w:lang w:val="en-GB"/>
        </w:rPr>
      </w:pPr>
      <w:r w:rsidRPr="00002888">
        <w:rPr>
          <w:rFonts w:ascii="Times New Roman" w:hAnsi="Times New Roman" w:cs="Times New Roman"/>
          <w:b/>
          <w:bCs/>
          <w:sz w:val="24"/>
          <w:szCs w:val="24"/>
          <w:lang w:val="en-GB"/>
        </w:rPr>
        <w:t>SOMATIC GENOMIC ABERRATIONS</w:t>
      </w:r>
    </w:p>
    <w:p w14:paraId="76218FCA" w14:textId="47889A77" w:rsidR="00863612" w:rsidRDefault="00956450" w:rsidP="00002888">
      <w:pPr>
        <w:spacing w:before="0" w:after="0" w:line="360" w:lineRule="auto"/>
        <w:jc w:val="left"/>
        <w:rPr>
          <w:rFonts w:ascii="Times New Roman" w:hAnsi="Times New Roman" w:cs="Times New Roman"/>
          <w:sz w:val="24"/>
          <w:szCs w:val="24"/>
          <w:lang w:val="en-GB"/>
        </w:rPr>
      </w:pPr>
      <w:r w:rsidRPr="00002888">
        <w:rPr>
          <w:rFonts w:ascii="Times New Roman" w:hAnsi="Times New Roman" w:cs="Times New Roman"/>
          <w:sz w:val="24"/>
          <w:szCs w:val="24"/>
          <w:lang w:val="en-GB"/>
        </w:rPr>
        <w:t>The largest reported study of cytogenetic abnormalities in SMZL comprised 330 untreated cases of whom 143 had undergone splenectomy</w:t>
      </w:r>
      <w:r w:rsidR="00665BC3" w:rsidRPr="00002888">
        <w:rPr>
          <w:rFonts w:ascii="Times New Roman" w:hAnsi="Times New Roman" w:cs="Times New Roman"/>
          <w:sz w:val="24"/>
          <w:szCs w:val="24"/>
          <w:lang w:val="en-GB"/>
        </w:rPr>
        <w:t xml:space="preserve"> </w:t>
      </w:r>
      <w:r w:rsidR="00665BC3" w:rsidRPr="00002888">
        <w:rPr>
          <w:rFonts w:ascii="Times New Roman" w:hAnsi="Times New Roman" w:cs="Times New Roman"/>
          <w:sz w:val="24"/>
          <w:szCs w:val="24"/>
          <w:lang w:val="en-GB"/>
        </w:rPr>
        <w:fldChar w:fldCharType="begin" w:fldLock="1"/>
      </w:r>
      <w:r w:rsidR="00665BC3" w:rsidRPr="00002888">
        <w:rPr>
          <w:rFonts w:ascii="Times New Roman" w:hAnsi="Times New Roman" w:cs="Times New Roman"/>
          <w:sz w:val="24"/>
          <w:szCs w:val="24"/>
          <w:lang w:val="en-GB"/>
        </w:rPr>
        <w:instrText>ADDIN CSL_CITATION {"citationItems":[{"id":"ITEM-1","itemData":{"DOI":"10.1182/blood-2010-02-267476","ISSN":"0006-4971","abstract":"We conducted a retrospective collaborative study to cytogenetically characterize splenic marginal zone lymphoma (SMZL) and ascertain the prognostic value of chromosomal aberrations. Of 330 cases, 72% displayed an aberrant karyotype, 53% were complex, and 29% had a single aberration. The predominant aberrations were gains of 3/3q and 12q, deletions of 7q and 6q and translocations involving 8q/1q/14q. CD5 expression was detected in 39 of 158 cases (25%). The cytogenetic makeup of the CD5+ group differed significantly from that of the CD5− group. Cases with unmutated IGHV were significantly associated with deletions of 7q and TP53. A strong association was noted between usage of the IGVH1-2 and deletion 7q, 14q alterations, and abnormal karyotype. On univariate analysis, patients with more than or equal to 2 aberrations, 14q alterations, and TP53 deletions had the shortest survival; 7q deletion did not affect survival. On multivariate analysis, cytogenetic aberrations did not retain prognostic significance; the parameters negatively affecting survival were hemoglobin and age. In conclusion, the cytogenetic profile of SMZL is distinct from other B-cell lymphomas. Complexity of the karyotype, 14q aberrations, and TP53 deletions are poor prognostic indicators and may be considered together with other clinicobiologic parameters to ascertain the prognosis of SMZL.","author":[{"dropping-particle":"","family":"Salido","given":"Marta","non-dropping-particle":"","parse-names":false,"suffix":""},{"dropping-particle":"","family":"Baró","given":"Cristina","non-dropping-particle":"","parse-names":false,"suffix":""},{"dropping-particle":"","family":"Oscier","given":"David","non-dropping-particle":"","parse-names":false,"suffix":""},{"dropping-particle":"","family":"Stamatopoulos","given":"Kostas","non-dropping-particle":"","parse-names":false,"suffix":""},{"dropping-particle":"","family":"Dierlamm","given":"Judith","non-dropping-particle":"","parse-names":false,"suffix":""},{"dropping-particle":"","family":"Matutes","given":"Estela","non-dropping-particle":"","parse-names":false,"suffix":""},{"dropping-particle":"","family":"Traverse-Glehen","given":"Alexandra","non-dropping-particle":"","parse-names":false,"suffix":""},{"dropping-particle":"","family":"Berger","given":"Francoise","non-dropping-particle":"","parse-names":false,"suffix":""},{"dropping-particle":"","family":"Felman","given":"Pascale","non-dropping-particle":"","parse-names":false,"suffix":""},{"dropping-particle":"","family":"Thieblemont","given":"Catherine","non-dropping-particle":"","parse-names":false,"suffix":""},{"dropping-particle":"","family":"Gesk","given":"Stefan","non-dropping-particle":"","parse-names":false,"suffix":""},{"dropping-particle":"","family":"Athanasiadou","given":"Anastasia","non-dropping-particle":"","parse-names":false,"suffix":""},{"dropping-particle":"","family":"Davis","given":"Zadie","non-dropping-particle":"","parse-names":false,"suffix":""},{"dropping-particle":"","family":"Gardiner","given":"Anne","non-dropping-particle":"","parse-names":false,"suffix":""},{"dropping-particle":"","family":"Milla","given":"Fuensanta","non-dropping-particle":"","parse-names":false,"suffix":""},{"dropping-particle":"","family":"Ferrer","given":"Ana","non-dropping-particle":"","parse-names":false,"suffix":""},{"dropping-particle":"","family":"Mollejo","given":"Manuela","non-dropping-particle":"","parse-names":false,"suffix":""},{"dropping-particle":"","family":"Calasanz","given":"Maria José","non-dropping-particle":"","parse-names":false,"suffix":""},{"dropping-particle":"","family":"Florensa","given":"Lourdes","non-dropping-particle":"","parse-names":false,"suffix":""},{"dropping-particle":"","family":"Espinet","given":"Blanca","non-dropping-particle":"","parse-names":false,"suffix":""},{"dropping-particle":"","family":"Luño","given":"Elisa","non-dropping-particle":"","parse-names":false,"suffix":""},{"dropping-particle":"","family":"Wlodarska","given":"Iwona","non-dropping-particle":"","parse-names":false,"suffix":""},{"dropping-particle":"","family":"Verhoef","given":"Gregor","non-dropping-particle":"","parse-names":false,"suffix":""},{"dropping-particle":"","family":"García-Granero","given":"Marta","non-dropping-particle":"","parse-names":false,"suffix":""},{"dropping-particle":"","family":"Salar","given":"Antonio","non-dropping-particle":"","parse-names":false,"suffix":""},{"dropping-particle":"","family":"Papadaki","given":"Theodora","non-dropping-particle":"","parse-names":false,"suffix":""},{"dropping-particle":"","family":"Serrano","given":"Sergio","non-dropping-particle":"","parse-names":false,"suffix":""},{"dropping-particle":"","family":"Piris","given":"Miguel A.","non-dropping-particle":"","parse-names":false,"suffix":""},{"dropping-particle":"","family":"Solé","given":"Francesc","non-dropping-particle":"","parse-names":false,"suffix":""}],"container-title":"Blood","id":"ITEM-1","issue":"9","issued":{"date-parts":[["2010","9","2"]]},"page":"1479-1488","title":"Cytogenetic aberrations and their prognostic value in a series of 330 splenic marginal zone B-cell lymphomas: a multicenter study of the Splenic B-Cell Lymphoma Group","type":"article-journal","volume":"116"},"uris":["http://www.mendeley.com/documents/?uuid=00dbce41-c817-49fc-b697-553243a471a1"]}],"mendeley":{"formattedCitation":"(Salido et al., 2010)","plainTextFormattedCitation":"(Salido et al., 2010)","previouslyFormattedCitation":"(Salido et al., 2010)"},"properties":{"noteIndex":0},"schema":"https://github.com/citation-style-language/schema/raw/master/csl-citation.json"}</w:instrText>
      </w:r>
      <w:r w:rsidR="00665BC3" w:rsidRPr="00002888">
        <w:rPr>
          <w:rFonts w:ascii="Times New Roman" w:hAnsi="Times New Roman" w:cs="Times New Roman"/>
          <w:sz w:val="24"/>
          <w:szCs w:val="24"/>
          <w:lang w:val="en-GB"/>
        </w:rPr>
        <w:fldChar w:fldCharType="separate"/>
      </w:r>
      <w:r w:rsidR="00665BC3" w:rsidRPr="00002888">
        <w:rPr>
          <w:rFonts w:ascii="Times New Roman" w:hAnsi="Times New Roman" w:cs="Times New Roman"/>
          <w:noProof/>
          <w:sz w:val="24"/>
          <w:szCs w:val="24"/>
          <w:lang w:val="en-GB"/>
        </w:rPr>
        <w:t>(Salido et al., 2010)</w:t>
      </w:r>
      <w:r w:rsidR="00665BC3" w:rsidRPr="00002888">
        <w:rPr>
          <w:rFonts w:ascii="Times New Roman" w:hAnsi="Times New Roman" w:cs="Times New Roman"/>
          <w:sz w:val="24"/>
          <w:szCs w:val="24"/>
          <w:lang w:val="en-GB"/>
        </w:rPr>
        <w:fldChar w:fldCharType="end"/>
      </w:r>
      <w:r w:rsidR="00665BC3" w:rsidRPr="00002888">
        <w:rPr>
          <w:rFonts w:ascii="Times New Roman" w:hAnsi="Times New Roman" w:cs="Times New Roman"/>
          <w:sz w:val="24"/>
          <w:szCs w:val="24"/>
          <w:lang w:val="en-GB"/>
        </w:rPr>
        <w:t>.</w:t>
      </w:r>
      <w:r w:rsidR="000578EB" w:rsidRPr="00002888">
        <w:rPr>
          <w:rFonts w:ascii="Times New Roman" w:hAnsi="Times New Roman" w:cs="Times New Roman"/>
          <w:sz w:val="24"/>
          <w:szCs w:val="24"/>
          <w:lang w:val="en-GB"/>
        </w:rPr>
        <w:t xml:space="preserve"> 7</w:t>
      </w:r>
      <w:r w:rsidR="00665BC3" w:rsidRPr="00002888">
        <w:rPr>
          <w:rFonts w:ascii="Times New Roman" w:hAnsi="Times New Roman" w:cs="Times New Roman"/>
          <w:sz w:val="24"/>
          <w:szCs w:val="24"/>
          <w:lang w:val="en-GB"/>
        </w:rPr>
        <w:t>2</w:t>
      </w:r>
      <w:r w:rsidR="000578EB" w:rsidRPr="00002888">
        <w:rPr>
          <w:rFonts w:ascii="Times New Roman" w:hAnsi="Times New Roman" w:cs="Times New Roman"/>
          <w:sz w:val="24"/>
          <w:szCs w:val="24"/>
          <w:lang w:val="en-GB"/>
        </w:rPr>
        <w:t xml:space="preserve">% </w:t>
      </w:r>
      <w:r w:rsidR="00665BC3" w:rsidRPr="00002888">
        <w:rPr>
          <w:rFonts w:ascii="Times New Roman" w:hAnsi="Times New Roman" w:cs="Times New Roman"/>
          <w:sz w:val="24"/>
          <w:szCs w:val="24"/>
          <w:lang w:val="en-GB"/>
        </w:rPr>
        <w:t>d</w:t>
      </w:r>
      <w:r w:rsidR="000578EB" w:rsidRPr="00002888">
        <w:rPr>
          <w:rFonts w:ascii="Times New Roman" w:hAnsi="Times New Roman" w:cs="Times New Roman"/>
          <w:sz w:val="24"/>
          <w:szCs w:val="24"/>
          <w:lang w:val="en-GB"/>
        </w:rPr>
        <w:t>isplay</w:t>
      </w:r>
      <w:r w:rsidR="00665BC3" w:rsidRPr="00002888">
        <w:rPr>
          <w:rFonts w:ascii="Times New Roman" w:hAnsi="Times New Roman" w:cs="Times New Roman"/>
          <w:sz w:val="24"/>
          <w:szCs w:val="24"/>
          <w:lang w:val="en-GB"/>
        </w:rPr>
        <w:t>ed</w:t>
      </w:r>
      <w:r w:rsidR="000578EB" w:rsidRPr="00002888">
        <w:rPr>
          <w:rFonts w:ascii="Times New Roman" w:hAnsi="Times New Roman" w:cs="Times New Roman"/>
          <w:sz w:val="24"/>
          <w:szCs w:val="24"/>
          <w:lang w:val="en-GB"/>
        </w:rPr>
        <w:t xml:space="preserve"> an abnormal karyotype using conventional chromosomal banding, with 50% exhibiting a complex karyotype (defined as three o</w:t>
      </w:r>
      <w:r w:rsidR="000E63B1" w:rsidRPr="00002888">
        <w:rPr>
          <w:rFonts w:ascii="Times New Roman" w:hAnsi="Times New Roman" w:cs="Times New Roman"/>
          <w:sz w:val="24"/>
          <w:szCs w:val="24"/>
          <w:lang w:val="en-GB"/>
        </w:rPr>
        <w:t>r</w:t>
      </w:r>
      <w:r w:rsidR="000578EB" w:rsidRPr="00002888">
        <w:rPr>
          <w:rFonts w:ascii="Times New Roman" w:hAnsi="Times New Roman" w:cs="Times New Roman"/>
          <w:sz w:val="24"/>
          <w:szCs w:val="24"/>
          <w:lang w:val="en-GB"/>
        </w:rPr>
        <w:t xml:space="preserve"> more cytogenetic aberrations). </w:t>
      </w:r>
      <w:proofErr w:type="gramStart"/>
      <w:r w:rsidR="007652B8" w:rsidRPr="00002888">
        <w:rPr>
          <w:rFonts w:ascii="Times New Roman" w:hAnsi="Times New Roman" w:cs="Times New Roman"/>
          <w:sz w:val="24"/>
          <w:szCs w:val="24"/>
          <w:lang w:val="en-GB"/>
        </w:rPr>
        <w:t>The majority of</w:t>
      </w:r>
      <w:proofErr w:type="gramEnd"/>
      <w:r w:rsidR="007652B8" w:rsidRPr="00002888">
        <w:rPr>
          <w:rFonts w:ascii="Times New Roman" w:hAnsi="Times New Roman" w:cs="Times New Roman"/>
          <w:sz w:val="24"/>
          <w:szCs w:val="24"/>
          <w:lang w:val="en-GB"/>
        </w:rPr>
        <w:t xml:space="preserve"> aberrations resulted in copy number abnormalities </w:t>
      </w:r>
      <w:r w:rsidR="3329513C" w:rsidRPr="00002888">
        <w:rPr>
          <w:rFonts w:ascii="Times New Roman" w:hAnsi="Times New Roman" w:cs="Times New Roman"/>
          <w:sz w:val="24"/>
          <w:szCs w:val="24"/>
          <w:lang w:val="en-GB"/>
        </w:rPr>
        <w:t>(CNA</w:t>
      </w:r>
      <w:r w:rsidR="00B63B9A" w:rsidRPr="00002888">
        <w:rPr>
          <w:rFonts w:ascii="Times New Roman" w:hAnsi="Times New Roman" w:cs="Times New Roman"/>
          <w:sz w:val="24"/>
          <w:szCs w:val="24"/>
          <w:lang w:val="en-GB"/>
        </w:rPr>
        <w:t>s</w:t>
      </w:r>
      <w:r w:rsidR="3329513C" w:rsidRPr="00002888">
        <w:rPr>
          <w:rFonts w:ascii="Times New Roman" w:hAnsi="Times New Roman" w:cs="Times New Roman"/>
          <w:sz w:val="24"/>
          <w:szCs w:val="24"/>
          <w:lang w:val="en-GB"/>
        </w:rPr>
        <w:t xml:space="preserve">) </w:t>
      </w:r>
      <w:r w:rsidR="007652B8" w:rsidRPr="00002888">
        <w:rPr>
          <w:rFonts w:ascii="Times New Roman" w:hAnsi="Times New Roman" w:cs="Times New Roman"/>
          <w:sz w:val="24"/>
          <w:szCs w:val="24"/>
          <w:lang w:val="en-GB"/>
        </w:rPr>
        <w:t>with chromosomal gain</w:t>
      </w:r>
      <w:r w:rsidR="00962A4F" w:rsidRPr="00002888">
        <w:rPr>
          <w:rFonts w:ascii="Times New Roman" w:hAnsi="Times New Roman" w:cs="Times New Roman"/>
          <w:sz w:val="24"/>
          <w:szCs w:val="24"/>
          <w:lang w:val="en-GB"/>
        </w:rPr>
        <w:t>s</w:t>
      </w:r>
      <w:r w:rsidR="007652B8" w:rsidRPr="00002888">
        <w:rPr>
          <w:rFonts w:ascii="Times New Roman" w:hAnsi="Times New Roman" w:cs="Times New Roman"/>
          <w:sz w:val="24"/>
          <w:szCs w:val="24"/>
          <w:lang w:val="en-GB"/>
        </w:rPr>
        <w:t xml:space="preserve"> exce</w:t>
      </w:r>
      <w:r w:rsidR="00962A4F" w:rsidRPr="00002888">
        <w:rPr>
          <w:rFonts w:ascii="Times New Roman" w:hAnsi="Times New Roman" w:cs="Times New Roman"/>
          <w:sz w:val="24"/>
          <w:szCs w:val="24"/>
          <w:lang w:val="en-GB"/>
        </w:rPr>
        <w:t>e</w:t>
      </w:r>
      <w:r w:rsidR="007652B8" w:rsidRPr="00002888">
        <w:rPr>
          <w:rFonts w:ascii="Times New Roman" w:hAnsi="Times New Roman" w:cs="Times New Roman"/>
          <w:sz w:val="24"/>
          <w:szCs w:val="24"/>
          <w:lang w:val="en-GB"/>
        </w:rPr>
        <w:t>ding</w:t>
      </w:r>
      <w:r w:rsidR="00962A4F" w:rsidRPr="00002888">
        <w:rPr>
          <w:rFonts w:ascii="Times New Roman" w:hAnsi="Times New Roman" w:cs="Times New Roman"/>
          <w:sz w:val="24"/>
          <w:szCs w:val="24"/>
          <w:lang w:val="en-GB"/>
        </w:rPr>
        <w:t xml:space="preserve"> losses. </w:t>
      </w:r>
      <w:r w:rsidR="00863612" w:rsidRPr="00002888">
        <w:rPr>
          <w:rFonts w:ascii="Times New Roman" w:hAnsi="Times New Roman" w:cs="Times New Roman"/>
          <w:sz w:val="24"/>
          <w:szCs w:val="24"/>
          <w:lang w:val="en-GB"/>
        </w:rPr>
        <w:t>The most frequent gains were: 3/3q, trisomy 18 and trisomy 12 comprising 25%, 12% and 8% of abnormal karyotypes, respectively. The commonest deletions involved 7q, 6q and 13q in 39%, 11.7% and 5% of cases respectively</w:t>
      </w:r>
      <w:r w:rsidR="0023226D" w:rsidRPr="00002888">
        <w:rPr>
          <w:rFonts w:ascii="Times New Roman" w:hAnsi="Times New Roman" w:cs="Times New Roman"/>
          <w:sz w:val="24"/>
          <w:szCs w:val="24"/>
          <w:lang w:val="en-GB"/>
        </w:rPr>
        <w:t xml:space="preserve"> (</w:t>
      </w:r>
      <w:r w:rsidR="0023226D" w:rsidRPr="00002888">
        <w:rPr>
          <w:rFonts w:ascii="Times New Roman" w:hAnsi="Times New Roman" w:cs="Times New Roman"/>
          <w:b/>
          <w:bCs/>
          <w:sz w:val="24"/>
          <w:szCs w:val="24"/>
          <w:lang w:val="en-GB"/>
        </w:rPr>
        <w:t>Table 1</w:t>
      </w:r>
      <w:r w:rsidR="0023226D" w:rsidRPr="00002888">
        <w:rPr>
          <w:rFonts w:ascii="Times New Roman" w:hAnsi="Times New Roman" w:cs="Times New Roman"/>
          <w:sz w:val="24"/>
          <w:szCs w:val="24"/>
          <w:lang w:val="en-GB"/>
        </w:rPr>
        <w:t>)</w:t>
      </w:r>
      <w:r w:rsidR="00863612" w:rsidRPr="00002888">
        <w:rPr>
          <w:rFonts w:ascii="Times New Roman" w:hAnsi="Times New Roman" w:cs="Times New Roman"/>
          <w:sz w:val="24"/>
          <w:szCs w:val="24"/>
          <w:lang w:val="en-GB"/>
        </w:rPr>
        <w:t xml:space="preserve">. 18% of cases had concomitant deletion of 7q and gain of 3q in the same karyotype. Interestingly the use of FISH probes and </w:t>
      </w:r>
      <w:r w:rsidR="0024273E" w:rsidRPr="00002888">
        <w:rPr>
          <w:rFonts w:ascii="Times New Roman" w:hAnsi="Times New Roman" w:cs="Times New Roman"/>
          <w:sz w:val="24"/>
          <w:szCs w:val="24"/>
          <w:lang w:val="en-GB"/>
        </w:rPr>
        <w:t>single nucleotide polymorphism (</w:t>
      </w:r>
      <w:r w:rsidR="00863612" w:rsidRPr="00002888">
        <w:rPr>
          <w:rFonts w:ascii="Times New Roman" w:hAnsi="Times New Roman" w:cs="Times New Roman"/>
          <w:sz w:val="24"/>
          <w:szCs w:val="24"/>
          <w:lang w:val="en-GB"/>
        </w:rPr>
        <w:t>SNP</w:t>
      </w:r>
      <w:r w:rsidR="0024273E" w:rsidRPr="00002888">
        <w:rPr>
          <w:rFonts w:ascii="Times New Roman" w:hAnsi="Times New Roman" w:cs="Times New Roman"/>
          <w:sz w:val="24"/>
          <w:szCs w:val="24"/>
          <w:lang w:val="en-GB"/>
        </w:rPr>
        <w:t>)</w:t>
      </w:r>
      <w:r w:rsidR="00863612" w:rsidRPr="00002888">
        <w:rPr>
          <w:rFonts w:ascii="Times New Roman" w:hAnsi="Times New Roman" w:cs="Times New Roman"/>
          <w:sz w:val="24"/>
          <w:szCs w:val="24"/>
          <w:lang w:val="en-GB"/>
        </w:rPr>
        <w:t xml:space="preserve"> arrays has shown that the loci of gene</w:t>
      </w:r>
      <w:r w:rsidR="3219FA72" w:rsidRPr="00002888">
        <w:rPr>
          <w:rFonts w:ascii="Times New Roman" w:hAnsi="Times New Roman" w:cs="Times New Roman"/>
          <w:sz w:val="24"/>
          <w:szCs w:val="24"/>
          <w:lang w:val="en-GB"/>
        </w:rPr>
        <w:t>s</w:t>
      </w:r>
      <w:r w:rsidR="00863612" w:rsidRPr="00002888">
        <w:rPr>
          <w:rFonts w:ascii="Times New Roman" w:hAnsi="Times New Roman" w:cs="Times New Roman"/>
          <w:sz w:val="24"/>
          <w:szCs w:val="24"/>
          <w:lang w:val="en-GB"/>
        </w:rPr>
        <w:t xml:space="preserve"> recurrently mutated in SMZL, such as </w:t>
      </w:r>
      <w:r w:rsidR="00863612" w:rsidRPr="00002888">
        <w:rPr>
          <w:rFonts w:ascii="Times New Roman" w:hAnsi="Times New Roman" w:cs="Times New Roman"/>
          <w:i/>
          <w:iCs/>
          <w:sz w:val="24"/>
          <w:szCs w:val="24"/>
          <w:lang w:val="en-GB"/>
        </w:rPr>
        <w:t>KLF2, BIRC3</w:t>
      </w:r>
      <w:r w:rsidR="00863612" w:rsidRPr="00002888">
        <w:rPr>
          <w:rFonts w:ascii="Times New Roman" w:hAnsi="Times New Roman" w:cs="Times New Roman"/>
          <w:sz w:val="24"/>
          <w:szCs w:val="24"/>
          <w:lang w:val="en-GB"/>
        </w:rPr>
        <w:t xml:space="preserve"> and </w:t>
      </w:r>
      <w:r w:rsidR="00863612" w:rsidRPr="00002888">
        <w:rPr>
          <w:rFonts w:ascii="Times New Roman" w:hAnsi="Times New Roman" w:cs="Times New Roman"/>
          <w:i/>
          <w:iCs/>
          <w:sz w:val="24"/>
          <w:szCs w:val="24"/>
          <w:lang w:val="en-GB"/>
        </w:rPr>
        <w:t>TRAP3</w:t>
      </w:r>
      <w:r w:rsidR="00863612" w:rsidRPr="00002888">
        <w:rPr>
          <w:rFonts w:ascii="Times New Roman" w:hAnsi="Times New Roman" w:cs="Times New Roman"/>
          <w:sz w:val="24"/>
          <w:szCs w:val="24"/>
          <w:lang w:val="en-GB"/>
        </w:rPr>
        <w:t xml:space="preserve"> may also be the site of small mono-allelic deletions </w:t>
      </w:r>
      <w:r w:rsidR="00B0100E" w:rsidRPr="00002888">
        <w:rPr>
          <w:rFonts w:ascii="Times New Roman" w:hAnsi="Times New Roman" w:cs="Times New Roman"/>
          <w:sz w:val="24"/>
          <w:szCs w:val="24"/>
          <w:lang w:val="en-GB"/>
        </w:rPr>
        <w:fldChar w:fldCharType="begin" w:fldLock="1"/>
      </w:r>
      <w:r w:rsidR="00B0100E" w:rsidRPr="00002888">
        <w:rPr>
          <w:rFonts w:ascii="Times New Roman" w:hAnsi="Times New Roman" w:cs="Times New Roman"/>
          <w:sz w:val="24"/>
          <w:szCs w:val="24"/>
          <w:lang w:val="en-GB"/>
        </w:rPr>
        <w:instrText>ADDIN CSL_CITATION {"citationItems":[{"id":"ITEM-1","itemData":{"DOI":"10.1182/blood-2011-06-359166","ISSN":"0006-4971","abstract":"Splenic marginal zone lymphoma (SMZL) is one of the few B-cell lymphoma types that remain orphan of molecular lesions in cancer-related genes. Detection of active NF-κB signaling in 14 (58%) of 24 SMZLs prompted the investigation of NF-κB molecular alterations in 101 SMZLs. Mutations and copy number abnormalities of NF-κB genes occurred in 36 (36%) of 101 SMZLs and targeted both canonical (TNFAIP3 and IKBKB) and noncanonical (BIRC3, TRAF3, MAP3K14) NF-κB pathways. Most alterations were mutually exclusive, documenting the existence of multiple independent mechanisms affecting NF-κB in SMZL. BIRC3 inactivation in SMZL recurred because of somatic mutations that disrupted the same RING domain that in extranodal marginal zone lymphoma is removed by the t(11;18) translocation, which points to BIRC3 disruption as a common mechanism across marginal zone B-cell lymphomagenesis. Genetic lesions of NF-κB provide a molecular basis for the pathogenesis of more than 30% of SMZLs and offer a suitable target for NF-κB therapeutic approaches in this lymphoma.","author":[{"dropping-particle":"","family":"Rossi","given":"Davide","non-dropping-particle":"","parse-names":false,"suffix":""},{"dropping-particle":"","family":"Deaglio","given":"Silvia","non-dropping-particle":"","parse-names":false,"suffix":""},{"dropping-particle":"","family":"Dominguez-Sola","given":"David","non-dropping-particle":"","parse-names":false,"suffix":""},{"dropping-particle":"","family":"Rasi","given":"Silvia","non-dropping-particle":"","parse-names":false,"suffix":""},{"dropping-particle":"","family":"Vaisitti","given":"Tiziana","non-dropping-particle":"","parse-names":false,"suffix":""},{"dropping-particle":"","family":"Agostinelli","given":"Claudio","non-dropping-particle":"","parse-names":false,"suffix":""},{"dropping-particle":"","family":"Spina","given":"Valeria","non-dropping-particle":"","parse-names":false,"suffix":""},{"dropping-particle":"","family":"Bruscaggin","given":"Alessio","non-dropping-particle":"","parse-names":false,"suffix":""},{"dropping-particle":"","family":"Monti","given":"Sara","non-dropping-particle":"","parse-names":false,"suffix":""},{"dropping-particle":"","family":"Cerri","given":"Michaela","non-dropping-particle":"","parse-names":false,"suffix":""},{"dropping-particle":"","family":"Cresta","given":"Stefania","non-dropping-particle":"","parse-names":false,"suffix":""},{"dropping-particle":"","family":"Fangazio","given":"Marco","non-dropping-particle":"","parse-names":false,"suffix":""},{"dropping-particle":"","family":"Arcaini","given":"Luca","non-dropping-particle":"","parse-names":false,"suffix":""},{"dropping-particle":"","family":"Lucioni","given":"Marco","non-dropping-particle":"","parse-names":false,"suffix":""},{"dropping-particle":"","family":"Marasca","given":"Roberto","non-dropping-particle":"","parse-names":false,"suffix":""},{"dropping-particle":"","family":"Thieblemont","given":"Catherine","non-dropping-particle":"","parse-names":false,"suffix":""},{"dropping-particle":"","family":"Capello","given":"Daniela","non-dropping-particle":"","parse-names":false,"suffix":""},{"dropping-particle":"","family":"Facchetti","given":"Fabio","non-dropping-particle":"","parse-names":false,"suffix":""},{"dropping-particle":"","family":"Kwee","given":"Ivo","non-dropping-particle":"","parse-names":false,"suffix":""},{"dropping-particle":"","family":"Pileri","given":"Stefano a","non-dropping-particle":"","parse-names":false,"suffix":""},{"dropping-particle":"","family":"Foà","given":"Robin","non-dropping-particle":"","parse-names":false,"suffix":""},{"dropping-particle":"","family":"Bertoni","given":"Francesco","non-dropping-particle":"","parse-names":false,"suffix":""},{"dropping-particle":"","family":"Dalla-Favera","given":"Riccardo","non-dropping-particle":"","parse-names":false,"suffix":""},{"dropping-particle":"","family":"Pasqualucci","given":"Laura","non-dropping-particle":"","parse-names":false,"suffix":""},{"dropping-particle":"","family":"Gaidano","given":"Gianluca","non-dropping-particle":"","parse-names":false,"suffix":""}],"container-title":"Blood","id":"ITEM-1","issue":"18","issued":{"date-parts":[["2011","11","3"]]},"page":"4930-4934","title":"Alteration of BIRC3 and multiple other NF-κB pathway genes in splenic marginal zone lymphoma","type":"article-journal","volume":"118"},"uris":["http://www.mendeley.com/documents/?uuid=1f1496bd-955d-4150-a829-b7b3cedaf89d"]},{"id":"ITEM-2","itemData":{"DOI":"10.1038/leu.2014.294","ISBN":"1476-5551 (Electronic) 0887-6924 (Linking)","ISSN":"0887-6924","PMID":"25283840","author":[{"dropping-particle":"","family":"Piva","given":"R.","non-dropping-particle":"","parse-names":false,"suffix":""},{"dropping-particle":"","family":"Deaglio","given":"S.","non-dropping-particle":"","parse-names":false,"suffix":""},{"dropping-particle":"","family":"Famà","given":"R.","non-dropping-particle":"","parse-names":false,"suffix":""},{"dropping-particle":"","family":"Buonincontri","given":"R.","non-dropping-particle":"","parse-names":false,"suffix":""},{"dropping-particle":"","family":"Scarfò","given":"I.","non-dropping-particle":"","parse-names":false,"suffix":""},{"dropping-particle":"","family":"Bruscaggin","given":"A.","non-dropping-particle":"","parse-names":false,"suffix":""},{"dropping-particle":"","family":"Mereu","given":"E.","non-dropping-particle":"","parse-names":false,"suffix":""},{"dropping-particle":"","family":"Serra","given":"S.","non-dropping-particle":"","parse-names":false,"suffix":""},{"dropping-particle":"","family":"Spina","given":"V.","non-dropping-particle":"","parse-names":false,"suffix":""},{"dropping-particle":"","family":"Brusa","given":"D.","non-dropping-particle":"","parse-names":false,"suffix":""},{"dropping-particle":"","family":"Garaffo","given":"G.","non-dropping-particle":"","parse-names":false,"suffix":""},{"dropping-particle":"","family":"Monti","given":"S.","non-dropping-particle":"","parse-names":false,"suffix":""},{"dropping-particle":"","family":"Dal Bo","given":"M.","non-dropping-particle":"","parse-names":false,"suffix":""},{"dropping-particle":"","family":"Marasca","given":"R.","non-dropping-particle":"","parse-names":false,"suffix":""},{"dropping-particle":"","family":"Arcaini","given":"L.","non-dropping-particle":"","parse-names":false,"suffix":""},{"dropping-particle":"","family":"Neri","given":"A.","non-dropping-particle":"","parse-names":false,"suffix":""},{"dropping-particle":"","family":"Gattei","given":"V.","non-dropping-particle":"","parse-names":false,"suffix":""},{"dropping-particle":"","family":"Paulli","given":"M.","non-dropping-particle":"","parse-names":false,"suffix":""},{"dropping-particle":"","family":"Tiacci","given":"E.","non-dropping-particle":"","parse-names":false,"suffix":""},{"dropping-particle":"","family":"Bertoni","given":"F.","non-dropping-particle":"","parse-names":false,"suffix":""},{"dropping-particle":"","family":"Pileri","given":"S. A.","non-dropping-particle":"","parse-names":false,"suffix":""},{"dropping-particle":"","family":"Foà","given":"R.","non-dropping-particle":"","parse-names":false,"suffix":""},{"dropping-particle":"","family":"Inghirami","given":"G.","non-dropping-particle":"","parse-names":false,"suffix":""},{"dropping-particle":"","family":"Gaidano","given":"G.","non-dropping-particle":"","parse-names":false,"suffix":""},{"dropping-particle":"","family":"Rossi","given":"D.","non-dropping-particle":"","parse-names":false,"suffix":""}],"container-title":"Leukemia","id":"ITEM-2","issue":"2","issued":{"date-parts":[["2015","2","6"]]},"page":"503-507","title":"The Krüppel-like factor 2 transcription factor gene is recurrently mutated in splenic marginal zone lymphoma","type":"article-journal","volume":"29"},"uris":["http://www.mendeley.com/documents/?uuid=f6a250b4-7e2b-40aa-a88a-0a5095ee447a"]}],"mendeley":{"formattedCitation":"(Piva et al., 2015; Rossi et al., 2011)","plainTextFormattedCitation":"(Piva et al., 2015; Rossi et al., 2011)","previouslyFormattedCitation":"(Piva et al., 2015; Rossi et al., 2011)"},"properties":{"noteIndex":0},"schema":"https://github.com/citation-style-language/schema/raw/master/csl-citation.json"}</w:instrText>
      </w:r>
      <w:r w:rsidR="00B0100E" w:rsidRPr="00002888">
        <w:rPr>
          <w:rFonts w:ascii="Times New Roman" w:hAnsi="Times New Roman" w:cs="Times New Roman"/>
          <w:sz w:val="24"/>
          <w:szCs w:val="24"/>
          <w:lang w:val="en-GB"/>
        </w:rPr>
        <w:fldChar w:fldCharType="separate"/>
      </w:r>
      <w:r w:rsidR="00B0100E" w:rsidRPr="00002888">
        <w:rPr>
          <w:rFonts w:ascii="Times New Roman" w:hAnsi="Times New Roman" w:cs="Times New Roman"/>
          <w:noProof/>
          <w:sz w:val="24"/>
          <w:szCs w:val="24"/>
          <w:lang w:val="en-GB"/>
        </w:rPr>
        <w:t xml:space="preserve">(Piva et al., 2015; Rossi </w:t>
      </w:r>
      <w:r w:rsidR="00B0100E" w:rsidRPr="00002888">
        <w:rPr>
          <w:rFonts w:ascii="Times New Roman" w:hAnsi="Times New Roman" w:cs="Times New Roman"/>
          <w:noProof/>
          <w:sz w:val="24"/>
          <w:szCs w:val="24"/>
          <w:lang w:val="en-GB"/>
        </w:rPr>
        <w:lastRenderedPageBreak/>
        <w:t>et al., 2011)</w:t>
      </w:r>
      <w:r w:rsidR="00B0100E" w:rsidRPr="00002888">
        <w:rPr>
          <w:rFonts w:ascii="Times New Roman" w:hAnsi="Times New Roman" w:cs="Times New Roman"/>
          <w:sz w:val="24"/>
          <w:szCs w:val="24"/>
          <w:lang w:val="en-GB"/>
        </w:rPr>
        <w:fldChar w:fldCharType="end"/>
      </w:r>
      <w:r w:rsidR="00863612" w:rsidRPr="00002888">
        <w:rPr>
          <w:rFonts w:ascii="Times New Roman" w:hAnsi="Times New Roman" w:cs="Times New Roman"/>
          <w:sz w:val="24"/>
          <w:szCs w:val="24"/>
          <w:lang w:val="en-GB"/>
        </w:rPr>
        <w:t xml:space="preserve">. In contrast the potential functional consequences of </w:t>
      </w:r>
      <w:proofErr w:type="spellStart"/>
      <w:r w:rsidR="00863612" w:rsidRPr="00002888">
        <w:rPr>
          <w:rFonts w:ascii="Times New Roman" w:hAnsi="Times New Roman" w:cs="Times New Roman"/>
          <w:sz w:val="24"/>
          <w:szCs w:val="24"/>
          <w:lang w:val="en-GB"/>
        </w:rPr>
        <w:t>trisomies</w:t>
      </w:r>
      <w:proofErr w:type="spellEnd"/>
      <w:r w:rsidR="00863612" w:rsidRPr="00002888">
        <w:rPr>
          <w:rFonts w:ascii="Times New Roman" w:hAnsi="Times New Roman" w:cs="Times New Roman"/>
          <w:sz w:val="24"/>
          <w:szCs w:val="24"/>
          <w:lang w:val="en-GB"/>
        </w:rPr>
        <w:t xml:space="preserve">, whole arm gains or large deletions are much more difficult to elucidate. Generally, chromosomes that are </w:t>
      </w:r>
      <w:r w:rsidR="684FE67A" w:rsidRPr="00002888">
        <w:rPr>
          <w:rFonts w:ascii="Times New Roman" w:hAnsi="Times New Roman" w:cs="Times New Roman"/>
          <w:sz w:val="24"/>
          <w:szCs w:val="24"/>
          <w:lang w:val="en-GB"/>
        </w:rPr>
        <w:t>repeatedly</w:t>
      </w:r>
      <w:r w:rsidR="00863612" w:rsidRPr="00002888">
        <w:rPr>
          <w:rFonts w:ascii="Times New Roman" w:hAnsi="Times New Roman" w:cs="Times New Roman"/>
          <w:sz w:val="24"/>
          <w:szCs w:val="24"/>
          <w:lang w:val="en-GB"/>
        </w:rPr>
        <w:t xml:space="preserve"> gained are enriched for genes that promote cell proliferation and similar aneuploidy patterns are seen in tumours derived from the same cell types</w:t>
      </w:r>
      <w:r w:rsidR="001E0F11" w:rsidRPr="00002888">
        <w:rPr>
          <w:rFonts w:ascii="Times New Roman" w:hAnsi="Times New Roman" w:cs="Times New Roman"/>
          <w:sz w:val="24"/>
          <w:szCs w:val="24"/>
          <w:lang w:val="en-GB"/>
        </w:rPr>
        <w:t xml:space="preserve"> </w:t>
      </w:r>
      <w:r w:rsidR="001E0F11" w:rsidRPr="00002888">
        <w:rPr>
          <w:rFonts w:ascii="Times New Roman" w:hAnsi="Times New Roman" w:cs="Times New Roman"/>
          <w:sz w:val="24"/>
          <w:szCs w:val="24"/>
          <w:lang w:val="en-GB"/>
        </w:rPr>
        <w:fldChar w:fldCharType="begin" w:fldLock="1"/>
      </w:r>
      <w:r w:rsidR="003A2844" w:rsidRPr="00002888">
        <w:rPr>
          <w:rFonts w:ascii="Times New Roman" w:hAnsi="Times New Roman" w:cs="Times New Roman"/>
          <w:sz w:val="24"/>
          <w:szCs w:val="24"/>
          <w:lang w:val="en-GB"/>
        </w:rPr>
        <w:instrText>ADDIN CSL_CITATION {"citationItems":[{"id":"ITEM-1","itemData":{"DOI":"10.1016/j.cell.2013.10.011","ISSN":"10974172","PMID":"24183448","abstract":"Summary Aneuploidy has been recognized as a hallmark of cancer for more than 100 years, yet no general theory to explain the recurring patterns of aneuploidy in cancer has emerged. Here, we develop Tumor Suppressor and Oncogene (TUSON) Explorer, a computational method that analyzes the patterns of mutational signatures in tumors and predicts the likelihood that any individual gene functions as a tumor suppressor (TSG) or oncogene (OG). By analyzing &gt;8,200 tumor-normal pairs, we provide statistical evidence suggesting that many more genes possess cancer driver properties than anticipated, forming a continuum of oncogenic potential. Integrating our driver predictions with information on somatic copy number alterations, we find that the distribution and potency of TSGs (STOP genes), OGs, and essential genes (GO genes) on chromosomes can predict the complex patterns of aneuploidy and copy number variation characteristic of cancer genomes. We propose that the cancer genome is shaped through a process of cumulative haploinsufficiency and triplosensitivity. © 2013 Elsevier Inc.","author":[{"dropping-particle":"","family":"Davoli","given":"Teresa","non-dropping-particle":"","parse-names":false,"suffix":""},{"dropping-particle":"","family":"Xu","given":"Andrew Wei","non-dropping-particle":"","parse-names":false,"suffix":""},{"dropping-particle":"","family":"Mengwasser","given":"Kristen E.","non-dropping-particle":"","parse-names":false,"suffix":""},{"dropping-particle":"","family":"Sack","given":"Laura M.","non-dropping-particle":"","parse-names":false,"suffix":""},{"dropping-particle":"","family":"Yoon","given":"John C.","non-dropping-particle":"","parse-names":false,"suffix":""},{"dropping-particle":"","family":"Park","given":"Peter J.","non-dropping-particle":"","parse-names":false,"suffix":""},{"dropping-particle":"","family":"Elledge","given":"Stephen J.","non-dropping-particle":"","parse-names":false,"suffix":""}],"container-title":"Cell","id":"ITEM-1","issue":"4","issued":{"date-parts":[["2013","11","7"]]},"page":"948","publisher":"Elsevier B.V.","title":"XCumulative haploinsufficiency and triplosensitivity drive aneuploidy patterns and shape the cancer genome","type":"article-journal","volume":"155"},"uris":["http://www.mendeley.com/documents/?uuid=ca595ffd-3089-3cc6-bd08-421e0aa234b2"]},{"id":"ITEM-2","itemData":{"DOI":"10.1016/j.cell.2018.02.037","ISSN":"10974172","PMID":"29576454","abstract":"Genomics has provided a detailed structural description of the cancer genome. Identifying oncogenic drivers that work primarily through dosage changes is a current challenge. Unrestrained proliferation is a critical hallmark of cancer. We constructed modular, barcoded libraries of human open reading frames (ORFs) and performed screens for proliferation regulators in multiple cell types. Approximately 10% of genes regulate proliferation, with most performing in an unexpectedly highly tissue-specific manner. Proliferation drivers in a given cell type showed specific enrichment in somatic copy number changes (SCNAs) from cognate tumors and helped predict aneuploidy patterns in those tumors, implying that tissue-type-specific genetic network architectures underlie SCNA and driver selection in different cancers. In vivo screening confirmed these results. We report a substantial contribution to the catalog of SCNA-associated cancer drivers, identifying 147 amplified and 107 deleted genes as potential drivers, and derive insights about the genetic network architecture of aneuploidy in tumors. The highly tissue-specific epigenetic landscape of a given cell type establishes its responsiveness to oncogenic proliferation signals and determines which drivers, somatic copy number changes, and anueploidies are selected during tumorigenesis.","author":[{"dropping-particle":"","family":"Sack","given":"Laura Magill","non-dropping-particle":"","parse-names":false,"suffix":""},{"dropping-particle":"","family":"Davoli","given":"Teresa","non-dropping-particle":"","parse-names":false,"suffix":""},{"dropping-particle":"","family":"Li","given":"Mamie Z.","non-dropping-particle":"","parse-names":false,"suffix":""},{"dropping-particle":"","family":"Li","given":"Yuyang","non-dropping-particle":"","parse-names":false,"suffix":""},{"dropping-particle":"","family":"Xu","given":"Qikai","non-dropping-particle":"","parse-names":false,"suffix":""},{"dropping-particle":"","family":"Naxerova","given":"Kamila","non-dropping-particle":"","parse-names":false,"suffix":""},{"dropping-particle":"","family":"Wooten","given":"Eric C.","non-dropping-particle":"","parse-names":false,"suffix":""},{"dropping-particle":"","family":"Bernardi","given":"Ronald J.","non-dropping-particle":"","parse-names":false,"suffix":""},{"dropping-particle":"","family":"Martin","given":"Timothy D.","non-dropping-particle":"","parse-names":false,"suffix":""},{"dropping-particle":"","family":"Chen","given":"Ting","non-dropping-particle":"","parse-names":false,"suffix":""},{"dropping-particle":"","family":"Leng","given":"Yumei","non-dropping-particle":"","parse-names":false,"suffix":""},{"dropping-particle":"","family":"Liang","given":"Anthony C.","non-dropping-particle":"","parse-names":false,"suffix":""},{"dropping-particle":"","family":"Scorsone","given":"Kathleen A.","non-dropping-particle":"","parse-names":false,"suffix":""},{"dropping-particle":"","family":"Westbrook","given":"Thomas F.","non-dropping-particle":"","parse-names":false,"suffix":""},{"dropping-particle":"","family":"Wong","given":"Kwok Kin","non-dropping-particle":"","parse-names":false,"suffix":""},{"dropping-particle":"","family":"Elledge","given":"Stephen J.","non-dropping-particle":"","parse-names":false,"suffix":""}],"container-title":"Cell","id":"ITEM-2","issue":"2","issued":{"date-parts":[["2018","4","5"]]},"page":"499-514.e23","publisher":"Cell Press","title":"Profound Tissue Specificity in Proliferation Control Underlies Cancer Drivers and Aneuploidy Patterns","type":"article-journal","volume":"173"},"uris":["http://www.mendeley.com/documents/?uuid=31b6e5a9-30e0-3773-8125-23f7832ef598"]}],"mendeley":{"formattedCitation":"(Davoli et al., 2013; Sack et al., 2018)","plainTextFormattedCitation":"(Davoli et al., 2013; Sack et al., 2018)","previouslyFormattedCitation":"(Davoli et al., 2013; Sack et al., 2018)"},"properties":{"noteIndex":0},"schema":"https://github.com/citation-style-language/schema/raw/master/csl-citation.json"}</w:instrText>
      </w:r>
      <w:r w:rsidR="001E0F11" w:rsidRPr="00002888">
        <w:rPr>
          <w:rFonts w:ascii="Times New Roman" w:hAnsi="Times New Roman" w:cs="Times New Roman"/>
          <w:sz w:val="24"/>
          <w:szCs w:val="24"/>
          <w:lang w:val="en-GB"/>
        </w:rPr>
        <w:fldChar w:fldCharType="separate"/>
      </w:r>
      <w:r w:rsidR="001E0F11" w:rsidRPr="00002888">
        <w:rPr>
          <w:rFonts w:ascii="Times New Roman" w:hAnsi="Times New Roman" w:cs="Times New Roman"/>
          <w:noProof/>
          <w:sz w:val="24"/>
          <w:szCs w:val="24"/>
          <w:lang w:val="en-GB"/>
        </w:rPr>
        <w:t>(Davoli et al., 2013; Sack et al., 2018)</w:t>
      </w:r>
      <w:r w:rsidR="001E0F11" w:rsidRPr="00002888">
        <w:rPr>
          <w:rFonts w:ascii="Times New Roman" w:hAnsi="Times New Roman" w:cs="Times New Roman"/>
          <w:sz w:val="24"/>
          <w:szCs w:val="24"/>
          <w:lang w:val="en-GB"/>
        </w:rPr>
        <w:fldChar w:fldCharType="end"/>
      </w:r>
      <w:r w:rsidR="00863612" w:rsidRPr="00002888">
        <w:rPr>
          <w:rFonts w:ascii="Times New Roman" w:hAnsi="Times New Roman" w:cs="Times New Roman"/>
          <w:sz w:val="24"/>
          <w:szCs w:val="24"/>
          <w:lang w:val="en-GB"/>
        </w:rPr>
        <w:t>. The latter observation would be consistent with the frequency of trisomy 3,</w:t>
      </w:r>
      <w:r w:rsidR="003A389D" w:rsidRPr="00002888">
        <w:rPr>
          <w:rFonts w:ascii="Times New Roman" w:hAnsi="Times New Roman" w:cs="Times New Roman"/>
          <w:sz w:val="24"/>
          <w:szCs w:val="24"/>
          <w:lang w:val="en-GB"/>
        </w:rPr>
        <w:t xml:space="preserve"> </w:t>
      </w:r>
      <w:r w:rsidR="00863612" w:rsidRPr="00002888">
        <w:rPr>
          <w:rFonts w:ascii="Times New Roman" w:hAnsi="Times New Roman" w:cs="Times New Roman"/>
          <w:sz w:val="24"/>
          <w:szCs w:val="24"/>
          <w:lang w:val="en-GB"/>
        </w:rPr>
        <w:t>12 and 18 across low grade B cell tumours.</w:t>
      </w:r>
    </w:p>
    <w:p w14:paraId="5E9A942E" w14:textId="77777777" w:rsidR="00002888" w:rsidRPr="00002888" w:rsidRDefault="00002888" w:rsidP="00002888">
      <w:pPr>
        <w:spacing w:before="0" w:after="0" w:line="360" w:lineRule="auto"/>
        <w:jc w:val="left"/>
        <w:rPr>
          <w:rFonts w:ascii="Times New Roman" w:hAnsi="Times New Roman" w:cs="Times New Roman"/>
          <w:sz w:val="24"/>
          <w:szCs w:val="24"/>
          <w:lang w:val="en-GB"/>
        </w:rPr>
      </w:pPr>
    </w:p>
    <w:p w14:paraId="0FD01E28" w14:textId="0FFF5098" w:rsidR="00F70239" w:rsidRDefault="00F70239" w:rsidP="00863612">
      <w:pPr>
        <w:rPr>
          <w:rFonts w:ascii="Times New Roman" w:hAnsi="Times New Roman" w:cs="Times New Roman"/>
          <w:sz w:val="20"/>
          <w:szCs w:val="20"/>
          <w:lang w:val="en-GB"/>
        </w:rPr>
      </w:pPr>
      <w:r w:rsidRPr="00F70239">
        <w:rPr>
          <w:rFonts w:ascii="Times New Roman" w:hAnsi="Times New Roman" w:cs="Times New Roman"/>
          <w:b/>
          <w:bCs/>
          <w:sz w:val="20"/>
          <w:szCs w:val="20"/>
          <w:lang w:val="en-GB"/>
        </w:rPr>
        <w:t>Table 1.</w:t>
      </w:r>
      <w:r>
        <w:rPr>
          <w:rFonts w:ascii="Times New Roman" w:hAnsi="Times New Roman" w:cs="Times New Roman"/>
          <w:sz w:val="20"/>
          <w:szCs w:val="20"/>
          <w:lang w:val="en-GB"/>
        </w:rPr>
        <w:t xml:space="preserve"> </w:t>
      </w:r>
      <w:r w:rsidRPr="00A50C79">
        <w:rPr>
          <w:rFonts w:ascii="Times New Roman" w:hAnsi="Times New Roman" w:cs="Times New Roman"/>
          <w:b/>
          <w:bCs/>
          <w:sz w:val="20"/>
          <w:szCs w:val="20"/>
          <w:lang w:val="en-GB"/>
        </w:rPr>
        <w:t>Summary of recurrent chromosomal aberrations in SMZL.</w:t>
      </w:r>
    </w:p>
    <w:tbl>
      <w:tblPr>
        <w:tblStyle w:val="GridTable1Light"/>
        <w:tblW w:w="10201" w:type="dxa"/>
        <w:tblLayout w:type="fixed"/>
        <w:tblLook w:val="06A0" w:firstRow="1" w:lastRow="0" w:firstColumn="1" w:lastColumn="0" w:noHBand="1" w:noVBand="1"/>
      </w:tblPr>
      <w:tblGrid>
        <w:gridCol w:w="1872"/>
        <w:gridCol w:w="1872"/>
        <w:gridCol w:w="6457"/>
      </w:tblGrid>
      <w:tr w:rsidR="00F70239" w:rsidRPr="00BE436C" w14:paraId="6685C310" w14:textId="77777777" w:rsidTr="008F7D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shd w:val="clear" w:color="auto" w:fill="D9E2F3" w:themeFill="accent1" w:themeFillTint="33"/>
          </w:tcPr>
          <w:p w14:paraId="4D1C749D" w14:textId="77777777" w:rsidR="00F70239" w:rsidRPr="00BE436C" w:rsidRDefault="00F70239" w:rsidP="00002888">
            <w:pPr>
              <w:rPr>
                <w:rFonts w:ascii="Times New Roman" w:hAnsi="Times New Roman" w:cs="Times New Roman"/>
                <w:sz w:val="18"/>
                <w:szCs w:val="18"/>
              </w:rPr>
            </w:pPr>
            <w:r w:rsidRPr="00BE436C">
              <w:rPr>
                <w:rFonts w:ascii="Times New Roman" w:hAnsi="Times New Roman" w:cs="Times New Roman"/>
                <w:sz w:val="18"/>
                <w:szCs w:val="18"/>
              </w:rPr>
              <w:t>Chromosome</w:t>
            </w:r>
          </w:p>
        </w:tc>
        <w:tc>
          <w:tcPr>
            <w:tcW w:w="1872" w:type="dxa"/>
            <w:shd w:val="clear" w:color="auto" w:fill="D9E2F3" w:themeFill="accent1" w:themeFillTint="33"/>
          </w:tcPr>
          <w:p w14:paraId="57B288C5" w14:textId="77777777" w:rsidR="00F70239" w:rsidRPr="00BE436C" w:rsidRDefault="00F70239" w:rsidP="0000288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rPr>
              <w:t>Frequency</w:t>
            </w:r>
          </w:p>
        </w:tc>
        <w:tc>
          <w:tcPr>
            <w:tcW w:w="6457" w:type="dxa"/>
            <w:shd w:val="clear" w:color="auto" w:fill="D9E2F3" w:themeFill="accent1" w:themeFillTint="33"/>
          </w:tcPr>
          <w:p w14:paraId="7735D052" w14:textId="77777777" w:rsidR="00F70239" w:rsidRPr="00BE436C" w:rsidRDefault="00F70239" w:rsidP="0000288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rPr>
              <w:t xml:space="preserve">Target genes / </w:t>
            </w:r>
            <w:proofErr w:type="spellStart"/>
            <w:r w:rsidRPr="00BE436C">
              <w:rPr>
                <w:rFonts w:ascii="Times New Roman" w:hAnsi="Times New Roman" w:cs="Times New Roman"/>
                <w:sz w:val="18"/>
                <w:szCs w:val="18"/>
              </w:rPr>
              <w:t>Clinico</w:t>
            </w:r>
            <w:proofErr w:type="spellEnd"/>
            <w:r w:rsidRPr="00BE436C">
              <w:rPr>
                <w:rFonts w:ascii="Times New Roman" w:hAnsi="Times New Roman" w:cs="Times New Roman"/>
                <w:sz w:val="18"/>
                <w:szCs w:val="18"/>
              </w:rPr>
              <w:t>-biological associations</w:t>
            </w:r>
          </w:p>
        </w:tc>
      </w:tr>
      <w:tr w:rsidR="00F70239" w:rsidRPr="00BE436C" w14:paraId="30DB8F75" w14:textId="77777777" w:rsidTr="00002888">
        <w:tc>
          <w:tcPr>
            <w:cnfStyle w:val="001000000000" w:firstRow="0" w:lastRow="0" w:firstColumn="1" w:lastColumn="0" w:oddVBand="0" w:evenVBand="0" w:oddHBand="0" w:evenHBand="0" w:firstRowFirstColumn="0" w:firstRowLastColumn="0" w:lastRowFirstColumn="0" w:lastRowLastColumn="0"/>
            <w:tcW w:w="1872" w:type="dxa"/>
          </w:tcPr>
          <w:p w14:paraId="34991E98" w14:textId="77777777" w:rsidR="00F70239" w:rsidRPr="00BE436C" w:rsidRDefault="00F70239" w:rsidP="00002888">
            <w:pPr>
              <w:rPr>
                <w:rFonts w:ascii="Times New Roman" w:hAnsi="Times New Roman" w:cs="Times New Roman"/>
                <w:sz w:val="18"/>
                <w:szCs w:val="18"/>
              </w:rPr>
            </w:pPr>
            <w:r w:rsidRPr="00BE436C">
              <w:rPr>
                <w:rFonts w:ascii="Times New Roman" w:hAnsi="Times New Roman" w:cs="Times New Roman"/>
                <w:sz w:val="18"/>
                <w:szCs w:val="18"/>
              </w:rPr>
              <w:t>7q-</w:t>
            </w:r>
          </w:p>
        </w:tc>
        <w:tc>
          <w:tcPr>
            <w:tcW w:w="1872" w:type="dxa"/>
          </w:tcPr>
          <w:p w14:paraId="713788A1"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rPr>
              <w:t>14% - 44%</w:t>
            </w:r>
          </w:p>
        </w:tc>
        <w:tc>
          <w:tcPr>
            <w:tcW w:w="6457" w:type="dxa"/>
          </w:tcPr>
          <w:p w14:paraId="7A817967"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rPr>
              <w:t>Unknown target gene(s)</w:t>
            </w:r>
          </w:p>
          <w:p w14:paraId="541B5A6E"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rPr>
              <w:t xml:space="preserve">High frequency in SMZL compared to other MZL </w:t>
            </w:r>
            <w:r w:rsidRPr="00BE436C">
              <w:rPr>
                <w:rFonts w:ascii="Times New Roman" w:hAnsi="Times New Roman" w:cs="Times New Roman"/>
                <w:sz w:val="18"/>
                <w:szCs w:val="18"/>
              </w:rPr>
              <w:fldChar w:fldCharType="begin" w:fldLock="1"/>
            </w:r>
            <w:r w:rsidRPr="00BE436C">
              <w:rPr>
                <w:rFonts w:ascii="Times New Roman" w:hAnsi="Times New Roman" w:cs="Times New Roman"/>
                <w:sz w:val="18"/>
                <w:szCs w:val="18"/>
              </w:rPr>
              <w:instrText>ADDIN CSL_CITATION {"citationItems":[{"id":"ITEM-1","itemData":{"DOI":"10.1002/path","ISBN":"1096-9896 (Electronic)\\r0022-3417 (Linking)","ISSN":"1096-9896","PMID":"19927301","abstract":"The functional significance of changes in nuclear structure and organization in transformed cells remains one of the most enigmatic questions in cancer biology. In this review, we discuss relationships between nuclear organization and transcription in terms of the three-dimensional arrangement of genes in the interphase cancer nucleus and the regulatory functions of nuclear matrix proteins. We also analyse the role of nuclear topology in the generation of gene fusions. We speculate that this type of multi-layered analysis will one day provide a framework for a more comprehensive understanding of the genetic origins of cancer and the identification of new therapeutic targets.","author":[{"dropping-particle":"","family":"Watkins","given":"James","non-dropping-particle":"","parse-names":false,"suffix":""},{"dropping-particle":"","family":"Huang","given":"Yuanxue","non-dropping-particle":"","parse-names":false,"suffix":""},{"dropping-particle":"","family":"Ye","given":"Hongtao","non-dropping-particle":"","parse-names":false,"suffix":""},{"dropping-particle":"","family":"Chanudet","given":"Estelle","non-dropping-particle":"","parse-names":false,"suffix":""},{"dropping-particle":"","family":"Johnson","given":"Nicola","non-dropping-particle":"","parse-names":false,"suffix":""},{"dropping-particle":"","family":"Hamoudi","given":"Rifat","non-dropping-particle":"","parse-names":false,"suffix":""},{"dropping-particle":"","family":"Liu","given":"Hongxiang","non-dropping-particle":"","parse-names":false,"suffix":""},{"dropping-particle":"","family":"Dong","given":"Gehong","non-dropping-particle":"","parse-names":false,"suffix":""},{"dropping-particle":"","family":"Attygalle","given":"Ayoma","non-dropping-particle":"","parse-names":false,"suffix":""},{"dropping-particle":"","family":"McPhail","given":"Ellen D.","non-dropping-particle":"","parse-names":false,"suffix":""},{"dropping-particle":"","family":"Law","given":"Mark E.","non-dropping-particle":"","parse-names":false,"suffix":""},{"dropping-particle":"","family":"Isaacson","given":"Peter G.","non-dropping-particle":"","parse-names":false,"suffix":""},{"dropping-particle":"","family":"Leval","given":"Laurence","non-dropping-particle":"de","parse-names":false,"suffix":""},{"dropping-particle":"","family":"Wotherspoon","given":"Andrew","non-dropping-particle":"","parse-names":false,"suffix":""},{"dropping-particle":"","family":"Du","given":"Ming-Qing","non-dropping-particle":"","parse-names":false,"suffix":""}],"container-title":"The Journal of pathology","id":"ITEM-1","issue":"September","issued":{"date-parts":[["2010"]]},"page":"114-125","title":"Splenic marginal zone lymphoma: characterization of 7q deletion and its value in diagnosis","type":"article-journal","volume":"220"},"uris":["http://www.mendeley.com/documents/?uuid=d90b808d-0a21-4c00-920d-ff172cebe4a8"]},{"id":"ITEM-2","itemData":{"DOI":"10.1182/blood-2010-01-264275","ISSN":"0006-4971","PMID":"21115979","abstract":"Marginal zone B-cell lymphomas (MZLs) have been divided into 3 distinct subtypes (extranodal MZLs of mucosa-associated lymphoid tissue [MALT] type, nodal MZLs, and splenic MZLs). Nevertheless, the relationship between the subtypes is still unclear. We performed a comprehensive analysis of genomic DNA copy number changes in a very large series of MZL cases with the aim of addressing this question. Samples from 218 MZL patients (25 nodal, 57 MALT, 134 splenic, and 2 not better specified MZLs) were analyzed with the Affymetrix Human Mapping 250K SNP arrays, and the data combined with matched gene expression in 33 of 218 cases. MALT lymphoma presented significantly more frequently gains at 3p, 6p, 18p, and del(6q23) (TNFAIP3/A20), whereas splenic MZLs was associated with del(7q31), del(8p). Nodal MZLs did not show statistically significant differences compared with MALT lymphoma while lacking the splenic MZLs-related 7q losses. Gains of 3q and 18q were common to all 3 subtypes. del(8p) was often present together with del(17p) (TP53). Although del(17p) did not determine a worse outcome and del(8p) was only of borderline significance, the presence of both deletions had a highly significant negative impact on the outcome of splenic MZLs.","author":[{"dropping-particle":"","family":"Rinaldi","given":"Andrea","non-dropping-particle":"","parse-names":false,"suffix":""},{"dropping-particle":"","family":"Mian","given":"Michael","non-dropping-particle":"","parse-names":false,"suffix":""},{"dropping-particle":"","family":"Chigrinova","given":"Ekaterina","non-dropping-particle":"","parse-names":false,"suffix":""},{"dropping-particle":"","family":"Arcaini","given":"Luca","non-dropping-particle":"","parse-names":false,"suffix":""},{"dropping-particle":"","family":"Bhagat","given":"Govind","non-dropping-particle":"","parse-names":false,"suffix":""},{"dropping-particle":"","family":"Novak","given":"Urban","non-dropping-particle":"","parse-names":false,"suffix":""},{"dropping-particle":"V.","family":"Rancoita","given":"Paola M.","non-dropping-particle":"","parse-names":false,"suffix":""},{"dropping-particle":"","family":"Campos","given":"Cassio P.","non-dropping-particle":"De","parse-names":false,"suffix":""},{"dropping-particle":"","family":"Forconi","given":"Francesco","non-dropping-particle":"","parse-names":false,"suffix":""},{"dropping-particle":"","family":"Gascoyne","given":"Randy D","non-dropping-particle":"","parse-names":false,"suffix":""},{"dropping-particle":"","family":"Facchetti","given":"Fabio","non-dropping-particle":"","parse-names":false,"suffix":""},{"dropping-particle":"","family":"Ponzoni","given":"Maurilio","non-dropping-particle":"","parse-names":false,"suffix":""},{"dropping-particle":"","family":"Govi","given":"Silvia","non-dropping-particle":"","parse-names":false,"suffix":""},{"dropping-particle":"","family":"Ferreri","given":"Andrés J. M.","non-dropping-particle":"","parse-names":false,"suffix":""},{"dropping-particle":"","family":"Mollejo","given":"Manuela","non-dropping-particle":"","parse-names":false,"suffix":""},{"dropping-particle":"","family":"Piris","given":"Miguel A","non-dropping-particle":"","parse-names":false,"suffix":""},{"dropping-particle":"","family":"Baldini","given":"Luca","non-dropping-particle":"","parse-names":false,"suffix":""},{"dropping-particle":"","family":"Soulier","given":"Jean","non-dropping-particle":"","parse-names":false,"suffix":""},{"dropping-particle":"","family":"Thieblemont","given":"Catherine","non-dropping-particle":"","parse-names":false,"suffix":""},{"dropping-particle":"","family":"Canzonieri","given":"Vincenzo","non-dropping-particle":"","parse-names":false,"suffix":""},{"dropping-particle":"","family":"Gattei","given":"Valter","non-dropping-particle":"","parse-names":false,"suffix":""},{"dropping-particle":"","family":"Marasca","given":"Roberto","non-dropping-particle":"","parse-names":false,"suffix":""},{"dropping-particle":"","family":"Franceschetti","given":"Silvia","non-dropping-particle":"","parse-names":false,"suffix":""},{"dropping-particle":"","family":"Gaidano","given":"Gianluca","non-dropping-particle":"","parse-names":false,"suffix":""},{"dropping-particle":"","family":"Tucci","given":"Alessandra","non-dropping-particle":"","parse-names":false,"suffix":""},{"dropping-particle":"","family":"Uccella","given":"Silvia","non-dropping-particle":"","parse-names":false,"suffix":""},{"dropping-particle":"","family":"Tibiletti","given":"Maria Grazia","non-dropping-particle":"","parse-names":false,"suffix":""},{"dropping-particle":"","family":"Dirnhofer","given":"Stephan","non-dropping-particle":"","parse-names":false,"suffix":""},{"dropping-particle":"","family":"Tripodo","given":"Claudio","non-dropping-particle":"","parse-names":false,"suffix":""},{"dropping-particle":"","family":"Doglioni","given":"Claudio","non-dropping-particle":"","parse-names":false,"suffix":""},{"dropping-particle":"","family":"Dalla Favera","given":"Riccardo","non-dropping-particle":"","parse-names":false,"suffix":""},{"dropping-particle":"","family":"Cavalli","given":"Franco","non-dropping-particle":"","parse-names":false,"suffix":""},{"dropping-particle":"","family":"Zucca","given":"Emanuele","non-dropping-particle":"","parse-names":false,"suffix":""},{"dropping-particle":"","family":"Kwee","given":"Ivo","non-dropping-particle":"","parse-names":false,"suffix":""},{"dropping-particle":"","family":"Bertoni","given":"Francesco","non-dropping-particle":"","parse-names":false,"suffix":""}],"container-title":"Blood","id":"ITEM-2","issue":"5","issued":{"date-parts":[["2011","2","3"]]},"page":"1595-1604","title":"Genome-wide DNA profiling of marginal zone lymphomas identifies subtype-specific lesions with an impact on the clinical outcome","type":"article-journal","volume":"117"},"uris":["http://www.mendeley.com/documents/?uuid=6ac62c53-1030-4cf0-9e7a-baca26dde9a6"]}],"mendeley":{"formattedCitation":"(Rinaldi et al., 2011; Watkins et al., 2010)","plainTextFormattedCitation":"(Rinaldi et al., 2011; Watkins et al., 2010)","previouslyFormattedCitation":"(Rinaldi et al., 2011; Watkins et al., 2010)"},"properties":{"noteIndex":0},"schema":"https://github.com/citation-style-language/schema/raw/master/csl-citation.json"}</w:instrText>
            </w:r>
            <w:r w:rsidRPr="00BE436C">
              <w:rPr>
                <w:rFonts w:ascii="Times New Roman" w:hAnsi="Times New Roman" w:cs="Times New Roman"/>
                <w:sz w:val="18"/>
                <w:szCs w:val="18"/>
              </w:rPr>
              <w:fldChar w:fldCharType="separate"/>
            </w:r>
            <w:r w:rsidRPr="00BE436C">
              <w:rPr>
                <w:rFonts w:ascii="Times New Roman" w:hAnsi="Times New Roman" w:cs="Times New Roman"/>
                <w:noProof/>
                <w:sz w:val="18"/>
                <w:szCs w:val="18"/>
              </w:rPr>
              <w:t>(Rinaldi et al., 2011; Watkins et al., 2010)</w:t>
            </w:r>
            <w:r w:rsidRPr="00BE436C">
              <w:rPr>
                <w:rFonts w:ascii="Times New Roman" w:hAnsi="Times New Roman" w:cs="Times New Roman"/>
                <w:sz w:val="18"/>
                <w:szCs w:val="18"/>
              </w:rPr>
              <w:fldChar w:fldCharType="end"/>
            </w:r>
          </w:p>
          <w:p w14:paraId="38690B19"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rPr>
              <w:t xml:space="preserve">Associated with unmutated </w:t>
            </w:r>
            <w:r w:rsidRPr="00BE436C">
              <w:rPr>
                <w:rFonts w:ascii="Times New Roman" w:hAnsi="Times New Roman" w:cs="Times New Roman"/>
                <w:i/>
                <w:iCs/>
                <w:sz w:val="18"/>
                <w:szCs w:val="18"/>
              </w:rPr>
              <w:t>IGHV</w:t>
            </w:r>
            <w:r w:rsidRPr="00BE436C">
              <w:rPr>
                <w:rFonts w:ascii="Times New Roman" w:hAnsi="Times New Roman" w:cs="Times New Roman"/>
                <w:sz w:val="18"/>
                <w:szCs w:val="18"/>
              </w:rPr>
              <w:t xml:space="preserve"> genes, </w:t>
            </w:r>
            <w:r w:rsidRPr="00BE436C">
              <w:rPr>
                <w:rFonts w:ascii="Times New Roman" w:hAnsi="Times New Roman" w:cs="Times New Roman"/>
                <w:i/>
                <w:iCs/>
                <w:sz w:val="18"/>
                <w:szCs w:val="18"/>
              </w:rPr>
              <w:t>IGHV1-2*04</w:t>
            </w:r>
            <w:r w:rsidRPr="00BE436C">
              <w:rPr>
                <w:rFonts w:ascii="Times New Roman" w:hAnsi="Times New Roman" w:cs="Times New Roman"/>
                <w:sz w:val="18"/>
                <w:szCs w:val="18"/>
              </w:rPr>
              <w:t xml:space="preserve"> usage, and </w:t>
            </w:r>
            <w:r w:rsidRPr="00BE436C">
              <w:rPr>
                <w:rFonts w:ascii="Times New Roman" w:hAnsi="Times New Roman" w:cs="Times New Roman"/>
                <w:i/>
                <w:iCs/>
                <w:sz w:val="18"/>
                <w:szCs w:val="18"/>
              </w:rPr>
              <w:t>KLF2</w:t>
            </w:r>
            <w:r w:rsidRPr="00BE436C">
              <w:rPr>
                <w:rFonts w:ascii="Times New Roman" w:hAnsi="Times New Roman" w:cs="Times New Roman"/>
                <w:sz w:val="18"/>
                <w:szCs w:val="18"/>
              </w:rPr>
              <w:t xml:space="preserve"> and </w:t>
            </w:r>
            <w:r w:rsidRPr="00BE436C">
              <w:rPr>
                <w:rFonts w:ascii="Times New Roman" w:hAnsi="Times New Roman" w:cs="Times New Roman"/>
                <w:i/>
                <w:iCs/>
                <w:sz w:val="18"/>
                <w:szCs w:val="18"/>
              </w:rPr>
              <w:t>NOTCH2</w:t>
            </w:r>
            <w:r w:rsidRPr="00BE436C">
              <w:rPr>
                <w:rFonts w:ascii="Times New Roman" w:hAnsi="Times New Roman" w:cs="Times New Roman"/>
                <w:sz w:val="18"/>
                <w:szCs w:val="18"/>
              </w:rPr>
              <w:t xml:space="preserve"> somatic mutations </w:t>
            </w:r>
            <w:r w:rsidRPr="00BE436C">
              <w:rPr>
                <w:rFonts w:ascii="Times New Roman" w:hAnsi="Times New Roman" w:cs="Times New Roman"/>
                <w:sz w:val="18"/>
                <w:szCs w:val="18"/>
              </w:rPr>
              <w:fldChar w:fldCharType="begin" w:fldLock="1"/>
            </w:r>
            <w:r w:rsidRPr="00BE436C">
              <w:rPr>
                <w:rFonts w:ascii="Times New Roman" w:hAnsi="Times New Roman" w:cs="Times New Roman"/>
                <w:sz w:val="18"/>
                <w:szCs w:val="18"/>
              </w:rPr>
              <w:instrText>ADDIN CSL_CITATION {"citationItems":[{"id":"ITEM-1","itemData":{"DOI":"10.1182/blood-2010-02-267476","ISSN":"0006-4971","abstract":"We conducted a retrospective collaborative study to cytogenetically characterize splenic marginal zone lymphoma (SMZL) and ascertain the prognostic value of chromosomal aberrations. Of 330 cases, 72% displayed an aberrant karyotype, 53% were complex, and 29% had a single aberration. The predominant aberrations were gains of 3/3q and 12q, deletions of 7q and 6q and translocations involving 8q/1q/14q. CD5 expression was detected in 39 of 158 cases (25%). The cytogenetic makeup of the CD5+ group differed significantly from that of the CD5− group. Cases with unmutated IGHV were significantly associated with deletions of 7q and TP53. A strong association was noted between usage of the IGVH1-2 and deletion 7q, 14q alterations, and abnormal karyotype. On univariate analysis, patients with more than or equal to 2 aberrations, 14q alterations, and TP53 deletions had the shortest survival; 7q deletion did not affect survival. On multivariate analysis, cytogenetic aberrations did not retain prognostic significance; the parameters negatively affecting survival were hemoglobin and age. In conclusion, the cytogenetic profile of SMZL is distinct from other B-cell lymphomas. Complexity of the karyotype, 14q aberrations, and TP53 deletions are poor prognostic indicators and may be considered together with other clinicobiologic parameters to ascertain the prognosis of SMZL.","author":[{"dropping-particle":"","family":"Salido","given":"Marta","non-dropping-particle":"","parse-names":false,"suffix":""},{"dropping-particle":"","family":"Baró","given":"Cristina","non-dropping-particle":"","parse-names":false,"suffix":""},{"dropping-particle":"","family":"Oscier","given":"David","non-dropping-particle":"","parse-names":false,"suffix":""},{"dropping-particle":"","family":"Stamatopoulos","given":"Kostas","non-dropping-particle":"","parse-names":false,"suffix":""},{"dropping-particle":"","family":"Dierlamm","given":"Judith","non-dropping-particle":"","parse-names":false,"suffix":""},{"dropping-particle":"","family":"Matutes","given":"Estela","non-dropping-particle":"","parse-names":false,"suffix":""},{"dropping-particle":"","family":"Traverse-Glehen","given":"Alexandra","non-dropping-particle":"","parse-names":false,"suffix":""},{"dropping-particle":"","family":"Berger","given":"Francoise","non-dropping-particle":"","parse-names":false,"suffix":""},{"dropping-particle":"","family":"Felman","given":"Pascale","non-dropping-particle":"","parse-names":false,"suffix":""},{"dropping-particle":"","family":"Thieblemont","given":"Catherine","non-dropping-particle":"","parse-names":false,"suffix":""},{"dropping-particle":"","family":"Gesk","given":"Stefan","non-dropping-particle":"","parse-names":false,"suffix":""},{"dropping-particle":"","family":"Athanasiadou","given":"Anastasia","non-dropping-particle":"","parse-names":false,"suffix":""},{"dropping-particle":"","family":"Davis","given":"Zadie","non-dropping-particle":"","parse-names":false,"suffix":""},{"dropping-particle":"","family":"Gardiner","given":"Anne","non-dropping-particle":"","parse-names":false,"suffix":""},{"dropping-particle":"","family":"Milla","given":"Fuensanta","non-dropping-particle":"","parse-names":false,"suffix":""},{"dropping-particle":"","family":"Ferrer","given":"Ana","non-dropping-particle":"","parse-names":false,"suffix":""},{"dropping-particle":"","family":"Mollejo","given":"Manuela","non-dropping-particle":"","parse-names":false,"suffix":""},{"dropping-particle":"","family":"Calasanz","given":"Maria José","non-dropping-particle":"","parse-names":false,"suffix":""},{"dropping-particle":"","family":"Florensa","given":"Lourdes","non-dropping-particle":"","parse-names":false,"suffix":""},{"dropping-particle":"","family":"Espinet","given":"Blanca","non-dropping-particle":"","parse-names":false,"suffix":""},{"dropping-particle":"","family":"Luño","given":"Elisa","non-dropping-particle":"","parse-names":false,"suffix":""},{"dropping-particle":"","family":"Wlodarska","given":"Iwona","non-dropping-particle":"","parse-names":false,"suffix":""},{"dropping-particle":"","family":"Verhoef","given":"Gregor","non-dropping-particle":"","parse-names":false,"suffix":""},{"dropping-particle":"","family":"García-Granero","given":"Marta","non-dropping-particle":"","parse-names":false,"suffix":""},{"dropping-particle":"","family":"Salar","given":"Antonio","non-dropping-particle":"","parse-names":false,"suffix":""},{"dropping-particle":"","family":"Papadaki","given":"Theodora","non-dropping-particle":"","parse-names":false,"suffix":""},{"dropping-particle":"","family":"Serrano","given":"Sergio","non-dropping-particle":"","parse-names":false,"suffix":""},{"dropping-particle":"","family":"Piris","given":"Miguel A.","non-dropping-particle":"","parse-names":false,"suffix":""},{"dropping-particle":"","family":"Solé","given":"Francesc","non-dropping-particle":"","parse-names":false,"suffix":""}],"container-title":"Blood","id":"ITEM-1","issue":"9","issued":{"date-parts":[["2010","9","2"]]},"page":"1479-1488","title":"Cytogenetic aberrations and their prognostic value in a series of 330 splenic marginal zone B-cell lymphomas: a multicenter study of the Splenic B-Cell Lymphoma Group","type":"article-journal","volume":"116"},"uris":["http://www.mendeley.com/documents/?uuid=00dbce41-c817-49fc-b697-553243a471a1"]},{"id":"ITEM-2","itemData":{"DOI":"10.1158/1078-0432.CCR-14-2759","ISSN":"15573265","PMID":"25779943","abstract":"Purpose: Mounting evidence supports the clinical significance of gene mutations and immunogenetic features in common mature B-cell malignancies.\\n\\nExperimental Design: We undertook a detailed characterization of the genetic background of splenic marginal zone lymphoma (SMZL), using targeted resequencing and explored potential clinical implications in a multinational cohort of 175 patients with SMZL.\\n\\nResults: We identified recurrent mutations in TP53 (16%), KLF2 (12%), NOTCH2 (10%), TNFAIP3 (7%), MLL2 (11%), MYD88 (7%), and ARID1A (6%), all genes known to be targeted by somatic mutation in SMZL. KLF2 mutations were early, clonal events, enriched in patients with del(7q) and IGHV1-2*04 B-cell receptor immunoglobulins, and were associated with a short median time to first treatment (0.12 vs. 1.11 years; P = 0.01). In multivariate analysis, mutations in NOTCH2 [HR, 2.12; 95% confidence interval (CI), 1.02–4.4; P = 0.044] and 100% germline IGHV gene identity (HR, 2.19; 95% CI, 1.05–4.55; P = 0.036) were independent markers of short time to first treatment, whereas TP53 mutations were an independent marker of short overall survival (HR, 2.36; 95 % CI, 1.08–5.2; P = 0.03).\\n\\nConclusions: We identify key associations between gene mutations and clinical outcome, demonstrating for the first time that NOTCH2 and TP53 gene mutations are independent markers of reduced treatment-free and overall survival, respectively. Clin Cancer Res; 21(18); 4174–83. ©2015 AACR .","author":[{"dropping-particle":"","family":"Parry","given":"Marina","non-dropping-particle":"","parse-names":false,"suffix":""},{"dropping-particle":"","family":"Rose-Zerilli","given":"Matthew J.J.","non-dropping-particle":"","parse-names":false,"suffix":""},{"dropping-particle":"","family":"Ljungström","given":"Viktor","non-dropping-particle":"","parse-names":false,"suffix":""},{"dropping-particle":"","family":"Gibson","given":"Jane","non-dropping-particle":"","parse-names":false,"suffix":""},{"dropping-particle":"","family":"Wang","given":"Jun","non-dropping-particle":"","parse-names":false,"suffix":""},{"dropping-particle":"","family":"Walewska","given":"Renata","non-dropping-particle":"","parse-names":false,"suffix":""},{"dropping-particle":"","family":"Parker","given":"Helen","non-dropping-particle":"","parse-names":false,"suffix":""},{"dropping-particle":"","family":"Parker","given":"Anton","non-dropping-particle":"","parse-names":false,"suffix":""},{"dropping-particle":"","family":"Davis","given":"Zadie","non-dropping-particle":"","parse-names":false,"suffix":""},{"dropping-particle":"","family":"Gardiner","given":"Anne","non-dropping-particle":"","parse-names":false,"suffix":""},{"dropping-particle":"","family":"McIver-Brown","given":"Neil","non-dropping-particle":"","parse-names":false,"suffix":""},{"dropping-particle":"","family":"Kalpadakis","given":"Christina","non-dropping-particle":"","parse-names":false,"suffix":""},{"dropping-particle":"","family":"Xochelli","given":"Aliki","non-dropping-particle":"","parse-names":false,"suffix":""},{"dropping-particle":"","family":"Anagnostopoulos","given":"Achilles","non-dropping-particle":"","parse-names":false,"suffix":""},{"dropping-particle":"","family":"Fazi","given":"Claudia","non-dropping-particle":"","parse-names":false,"suffix":""},{"dropping-particle":"","family":"Castro","given":"David Gonzalez","non-dropping-particle":"De","parse-names":false,"suffix":""},{"dropping-particle":"","family":"Dearden","given":"Claire","non-dropping-particle":"","parse-names":false,"suffix":""},{"dropping-particle":"","family":"Pratt","given":"Guy","non-dropping-particle":"","parse-names":false,"suffix":""},{"dropping-particle":"","family":"Rosenquist","given":"Richard","non-dropping-particle":"","parse-names":false,"suffix":""},{"dropping-particle":"","family":"Ashton-Key","given":"Margaret","non-dropping-particle":"","parse-names":false,"suffix":""},{"dropping-particle":"","family":"Forconi","given":"Francesco","non-dropping-particle":"","parse-names":false,"suffix":""},{"dropping-particle":"","family":"Collins","given":"Andrew","non-dropping-particle":"","parse-names":false,"suffix":""},{"dropping-particle":"","family":"Ghia","given":"Paolo","non-dropping-particle":"","parse-names":false,"suffix":""},{"dropping-particle":"","family":"Matutes","given":"Estella","non-dropping-particle":"","parse-names":false,"suffix":""},{"dropping-particle":"","family":"Pangalis","given":"Gerassimos","non-dropping-particle":"","parse-names":false,"suffix":""},{"dropping-particle":"","family":"Stamatopoulos","given":"Kostas","non-dropping-particle":"","parse-names":false,"suffix":""},{"dropping-particle":"","family":"Oscier","given":"David","non-dropping-particle":"","parse-names":false,"suffix":""},{"dropping-particle":"","family":"Strefford","given":"Jonathan C.","non-dropping-particle":"","parse-names":false,"suffix":""}],"container-title":"Clinical Cancer Research","id":"ITEM-2","issue":"18","issued":{"date-parts":[["2015"]]},"page":"4174-4183","title":"Genetics and prognostication in splenic marginal zone lymphoma: Revelations from deep sequencing","type":"article-journal","volume":"21"},"uris":["http://www.mendeley.com/documents/?uuid=81509c2c-3e61-4115-bfa1-3ac38fc7fb12"]},{"id":"ITEM-3","itemData":{"DOI":"10.1182/blood.V99.4.1299","ISSN":"1528-0020","abstract":"This study aimed to correlate the frequency of somatic mutations in the IgVH gene and the use of specific segments in the VH repertoire with the clinical and characteristic features of a series of 35 cases of splenic marginal zone lymphoma (SMZL). The cases were studied by seminested polymerase chain reaction by using primers from the FR1 and JH region. The results showed unexpected molecular heterogeneity in this entity, with 49% unmutated cases (less than 2% somatic mutations). The 7q31 deletions and a shorter overall survival were more frequent in this group. Additionally a high percentage (18 of 40 sequences) of SMZL cases showed usage of the VH1-2 segment, thereby emphasizing the singularity of this neoplasia, suggesting that this tumor derives from a highly selected B-cell population and encouraging the search for specific antigens that are pathogenically relevant in the genesis or progression of this tumor.","author":[{"dropping-particle":"","family":"Algara","given":"Patricia","non-dropping-particle":"","parse-names":false,"suffix":""},{"dropping-particle":"","family":"Mateo","given":"Marisol S.","non-dropping-particle":"","parse-names":false,"suffix":""},{"dropping-particle":"","family":"Sanchez-Beato","given":"Margarita","non-dropping-particle":"","parse-names":false,"suffix":""},{"dropping-particle":"","family":"Mollejo","given":"Manuela","non-dropping-particle":"","parse-names":false,"suffix":""},{"dropping-particle":"","family":"Navas","given":"Immaculada C.","non-dropping-particle":"","parse-names":false,"suffix":""},{"dropping-particle":"","family":"Romero","given":"Lourdes","non-dropping-particle":"","parse-names":false,"suffix":""},{"dropping-particle":"","family":"Solé","given":"Francesc","non-dropping-particle":"","parse-names":false,"suffix":""},{"dropping-particle":"","family":"Salido","given":"Marta","non-dropping-particle":"","parse-names":false,"suffix":""},{"dropping-particle":"","family":"Florensa","given":"Lourdes","non-dropping-particle":"","parse-names":false,"suffix":""},{"dropping-particle":"","family":"Martı́nez","given":"Pedro","non-dropping-particle":"","parse-names":false,"suffix":""},{"dropping-particle":"","family":"Campo","given":"Elias","non-dropping-particle":"","parse-names":false,"suffix":""},{"dropping-particle":"","family":"Piris","given":"Miguel A.","non-dropping-particle":"","parse-names":false,"suffix":""}],"container-title":"Blood","id":"ITEM-3","issue":"4","issued":{"date-parts":[["2002","2","15"]]},"page":"1299-1304","title":"Analysis of the IgVH somatic mutations in splenic marginal zone lymphoma defines a group of unmutated cases with frequent 7q deletion and adverse clinical course","type":"article-journal","volume":"99"},"uris":["http://www.mendeley.com/documents/?uuid=31d7fb5b-4197-480c-a834-027223e54712"]}],"mendeley":{"formattedCitation":"(Algara et al., 2002; Parry et al., 2015; Salido et al., 2010)","plainTextFormattedCitation":"(Algara et al., 2002; Parry et al., 2015; Salido et al., 2010)","previouslyFormattedCitation":"(Algara et al., 2002; Parry et al., 2015; Salido et al., 2010)"},"properties":{"noteIndex":0},"schema":"https://github.com/citation-style-language/schema/raw/master/csl-citation.json"}</w:instrText>
            </w:r>
            <w:r w:rsidRPr="00BE436C">
              <w:rPr>
                <w:rFonts w:ascii="Times New Roman" w:hAnsi="Times New Roman" w:cs="Times New Roman"/>
                <w:sz w:val="18"/>
                <w:szCs w:val="18"/>
              </w:rPr>
              <w:fldChar w:fldCharType="separate"/>
            </w:r>
            <w:r w:rsidRPr="00BE436C">
              <w:rPr>
                <w:rFonts w:ascii="Times New Roman" w:hAnsi="Times New Roman" w:cs="Times New Roman"/>
                <w:noProof/>
                <w:sz w:val="18"/>
                <w:szCs w:val="18"/>
              </w:rPr>
              <w:t>(Algara et al., 2002; Parry et al., 2015; Salido et al., 2010)</w:t>
            </w:r>
            <w:r w:rsidRPr="00BE436C">
              <w:rPr>
                <w:rFonts w:ascii="Times New Roman" w:hAnsi="Times New Roman" w:cs="Times New Roman"/>
                <w:sz w:val="18"/>
                <w:szCs w:val="18"/>
              </w:rPr>
              <w:fldChar w:fldCharType="end"/>
            </w:r>
            <w:r w:rsidRPr="00BE436C">
              <w:rPr>
                <w:rFonts w:ascii="Times New Roman" w:hAnsi="Times New Roman" w:cs="Times New Roman"/>
                <w:sz w:val="18"/>
                <w:szCs w:val="18"/>
              </w:rPr>
              <w:t xml:space="preserve"> </w:t>
            </w:r>
          </w:p>
        </w:tc>
      </w:tr>
      <w:tr w:rsidR="00F70239" w:rsidRPr="00BE436C" w14:paraId="157D6210" w14:textId="77777777" w:rsidTr="008F7DD3">
        <w:tc>
          <w:tcPr>
            <w:cnfStyle w:val="001000000000" w:firstRow="0" w:lastRow="0" w:firstColumn="1" w:lastColumn="0" w:oddVBand="0" w:evenVBand="0" w:oddHBand="0" w:evenHBand="0" w:firstRowFirstColumn="0" w:firstRowLastColumn="0" w:lastRowFirstColumn="0" w:lastRowLastColumn="0"/>
            <w:tcW w:w="1872" w:type="dxa"/>
            <w:shd w:val="clear" w:color="auto" w:fill="F2F2F2" w:themeFill="background1" w:themeFillShade="F2"/>
          </w:tcPr>
          <w:p w14:paraId="721B3904" w14:textId="77777777" w:rsidR="00F70239" w:rsidRPr="00BE436C" w:rsidRDefault="00F70239" w:rsidP="00002888">
            <w:pPr>
              <w:rPr>
                <w:rFonts w:ascii="Times New Roman" w:hAnsi="Times New Roman" w:cs="Times New Roman"/>
                <w:sz w:val="18"/>
                <w:szCs w:val="18"/>
              </w:rPr>
            </w:pPr>
            <w:r w:rsidRPr="00BE436C">
              <w:rPr>
                <w:rFonts w:ascii="Times New Roman" w:hAnsi="Times New Roman" w:cs="Times New Roman"/>
                <w:sz w:val="18"/>
                <w:szCs w:val="18"/>
              </w:rPr>
              <w:t>17p-</w:t>
            </w:r>
          </w:p>
        </w:tc>
        <w:tc>
          <w:tcPr>
            <w:tcW w:w="1872" w:type="dxa"/>
            <w:shd w:val="clear" w:color="auto" w:fill="F2F2F2" w:themeFill="background1" w:themeFillShade="F2"/>
          </w:tcPr>
          <w:p w14:paraId="19675387"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rPr>
              <w:t>5% - 32%</w:t>
            </w:r>
          </w:p>
        </w:tc>
        <w:tc>
          <w:tcPr>
            <w:tcW w:w="6457" w:type="dxa"/>
            <w:shd w:val="clear" w:color="auto" w:fill="F2F2F2" w:themeFill="background1" w:themeFillShade="F2"/>
          </w:tcPr>
          <w:p w14:paraId="2BFC2C4C"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i/>
                <w:iCs/>
                <w:sz w:val="18"/>
                <w:szCs w:val="18"/>
              </w:rPr>
              <w:t>TP53</w:t>
            </w:r>
            <w:r w:rsidRPr="00BE436C">
              <w:rPr>
                <w:rFonts w:ascii="Times New Roman" w:hAnsi="Times New Roman" w:cs="Times New Roman"/>
                <w:sz w:val="18"/>
                <w:szCs w:val="18"/>
              </w:rPr>
              <w:t xml:space="preserve"> gene</w:t>
            </w:r>
          </w:p>
          <w:p w14:paraId="043C39AD"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rPr>
              <w:t xml:space="preserve">Associated with worse prognosis in univariate analysis </w:t>
            </w:r>
            <w:r w:rsidRPr="00BE436C">
              <w:rPr>
                <w:rFonts w:ascii="Times New Roman" w:hAnsi="Times New Roman" w:cs="Times New Roman"/>
                <w:sz w:val="18"/>
                <w:szCs w:val="18"/>
              </w:rPr>
              <w:fldChar w:fldCharType="begin" w:fldLock="1"/>
            </w:r>
            <w:r w:rsidRPr="00BE436C">
              <w:rPr>
                <w:rFonts w:ascii="Times New Roman" w:hAnsi="Times New Roman" w:cs="Times New Roman"/>
                <w:sz w:val="18"/>
                <w:szCs w:val="18"/>
              </w:rPr>
              <w:instrText>ADDIN CSL_CITATION {"citationItems":[{"id":"ITEM-1","itemData":{"DOI":"10.1182/blood-2010-02-267476","ISSN":"0006-4971","abstract":"We conducted a retrospective collaborative study to cytogenetically characterize splenic marginal zone lymphoma (SMZL) and ascertain the prognostic value of chromosomal aberrations. Of 330 cases, 72% displayed an aberrant karyotype, 53% were complex, and 29% had a single aberration. The predominant aberrations were gains of 3/3q and 12q, deletions of 7q and 6q and translocations involving 8q/1q/14q. CD5 expression was detected in 39 of 158 cases (25%). The cytogenetic makeup of the CD5+ group differed significantly from that of the CD5− group. Cases with unmutated IGHV were significantly associated with deletions of 7q and TP53. A strong association was noted between usage of the IGVH1-2 and deletion 7q, 14q alterations, and abnormal karyotype. On univariate analysis, patients with more than or equal to 2 aberrations, 14q alterations, and TP53 deletions had the shortest survival; 7q deletion did not affect survival. On multivariate analysis, cytogenetic aberrations did not retain prognostic significance; the parameters negatively affecting survival were hemoglobin and age. In conclusion, the cytogenetic profile of SMZL is distinct from other B-cell lymphomas. Complexity of the karyotype, 14q aberrations, and TP53 deletions are poor prognostic indicators and may be considered together with other clinicobiologic parameters to ascertain the prognosis of SMZL.","author":[{"dropping-particle":"","family":"Salido","given":"Marta","non-dropping-particle":"","parse-names":false,"suffix":""},{"dropping-particle":"","family":"Baró","given":"Cristina","non-dropping-particle":"","parse-names":false,"suffix":""},{"dropping-particle":"","family":"Oscier","given":"David","non-dropping-particle":"","parse-names":false,"suffix":""},{"dropping-particle":"","family":"Stamatopoulos","given":"Kostas","non-dropping-particle":"","parse-names":false,"suffix":""},{"dropping-particle":"","family":"Dierlamm","given":"Judith","non-dropping-particle":"","parse-names":false,"suffix":""},{"dropping-particle":"","family":"Matutes","given":"Estela","non-dropping-particle":"","parse-names":false,"suffix":""},{"dropping-particle":"","family":"Traverse-Glehen","given":"Alexandra","non-dropping-particle":"","parse-names":false,"suffix":""},{"dropping-particle":"","family":"Berger","given":"Francoise","non-dropping-particle":"","parse-names":false,"suffix":""},{"dropping-particle":"","family":"Felman","given":"Pascale","non-dropping-particle":"","parse-names":false,"suffix":""},{"dropping-particle":"","family":"Thieblemont","given":"Catherine","non-dropping-particle":"","parse-names":false,"suffix":""},{"dropping-particle":"","family":"Gesk","given":"Stefan","non-dropping-particle":"","parse-names":false,"suffix":""},{"dropping-particle":"","family":"Athanasiadou","given":"Anastasia","non-dropping-particle":"","parse-names":false,"suffix":""},{"dropping-particle":"","family":"Davis","given":"Zadie","non-dropping-particle":"","parse-names":false,"suffix":""},{"dropping-particle":"","family":"Gardiner","given":"Anne","non-dropping-particle":"","parse-names":false,"suffix":""},{"dropping-particle":"","family":"Milla","given":"Fuensanta","non-dropping-particle":"","parse-names":false,"suffix":""},{"dropping-particle":"","family":"Ferrer","given":"Ana","non-dropping-particle":"","parse-names":false,"suffix":""},{"dropping-particle":"","family":"Mollejo","given":"Manuela","non-dropping-particle":"","parse-names":false,"suffix":""},{"dropping-particle":"","family":"Calasanz","given":"Maria José","non-dropping-particle":"","parse-names":false,"suffix":""},{"dropping-particle":"","family":"Florensa","given":"Lourdes","non-dropping-particle":"","parse-names":false,"suffix":""},{"dropping-particle":"","family":"Espinet","given":"Blanca","non-dropping-particle":"","parse-names":false,"suffix":""},{"dropping-particle":"","family":"Luño","given":"Elisa","non-dropping-particle":"","parse-names":false,"suffix":""},{"dropping-particle":"","family":"Wlodarska","given":"Iwona","non-dropping-particle":"","parse-names":false,"suffix":""},{"dropping-particle":"","family":"Verhoef","given":"Gregor","non-dropping-particle":"","parse-names":false,"suffix":""},{"dropping-particle":"","family":"García-Granero","given":"Marta","non-dropping-particle":"","parse-names":false,"suffix":""},{"dropping-particle":"","family":"Salar","given":"Antonio","non-dropping-particle":"","parse-names":false,"suffix":""},{"dropping-particle":"","family":"Papadaki","given":"Theodora","non-dropping-particle":"","parse-names":false,"suffix":""},{"dropping-particle":"","family":"Serrano","given":"Sergio","non-dropping-particle":"","parse-names":false,"suffix":""},{"dropping-particle":"","family":"Piris","given":"Miguel A.","non-dropping-particle":"","parse-names":false,"suffix":""},{"dropping-particle":"","family":"Solé","given":"Francesc","non-dropping-particle":"","parse-names":false,"suffix":""}],"container-title":"Blood","id":"ITEM-1","issue":"9","issued":{"date-parts":[["2010","9","2"]]},"page":"1479-1488","title":"Cytogenetic aberrations and their prognostic value in a series of 330 splenic marginal zone B-cell lymphomas: a multicenter study of the Splenic B-Cell Lymphoma Group","type":"article-journal","volume":"116"},"uris":["http://www.mendeley.com/documents/?uuid=00dbce41-c817-49fc-b697-553243a471a1"]}],"mendeley":{"formattedCitation":"(Salido et al., 2010)","plainTextFormattedCitation":"(Salido et al., 2010)","previouslyFormattedCitation":"(Salido et al., 2010)"},"properties":{"noteIndex":0},"schema":"https://github.com/citation-style-language/schema/raw/master/csl-citation.json"}</w:instrText>
            </w:r>
            <w:r w:rsidRPr="00BE436C">
              <w:rPr>
                <w:rFonts w:ascii="Times New Roman" w:hAnsi="Times New Roman" w:cs="Times New Roman"/>
                <w:sz w:val="18"/>
                <w:szCs w:val="18"/>
              </w:rPr>
              <w:fldChar w:fldCharType="separate"/>
            </w:r>
            <w:r w:rsidRPr="00BE436C">
              <w:rPr>
                <w:rFonts w:ascii="Times New Roman" w:hAnsi="Times New Roman" w:cs="Times New Roman"/>
                <w:noProof/>
                <w:sz w:val="18"/>
                <w:szCs w:val="18"/>
              </w:rPr>
              <w:t>(Salido et al., 2010)</w:t>
            </w:r>
            <w:r w:rsidRPr="00BE436C">
              <w:rPr>
                <w:rFonts w:ascii="Times New Roman" w:hAnsi="Times New Roman" w:cs="Times New Roman"/>
                <w:sz w:val="18"/>
                <w:szCs w:val="18"/>
              </w:rPr>
              <w:fldChar w:fldCharType="end"/>
            </w:r>
            <w:r w:rsidRPr="00BE436C">
              <w:rPr>
                <w:rFonts w:ascii="Times New Roman" w:hAnsi="Times New Roman" w:cs="Times New Roman"/>
                <w:sz w:val="18"/>
                <w:szCs w:val="18"/>
              </w:rPr>
              <w:t xml:space="preserve">. </w:t>
            </w:r>
          </w:p>
        </w:tc>
      </w:tr>
      <w:tr w:rsidR="00F70239" w:rsidRPr="00BE436C" w14:paraId="1BAA6131" w14:textId="77777777" w:rsidTr="00002888">
        <w:tc>
          <w:tcPr>
            <w:cnfStyle w:val="001000000000" w:firstRow="0" w:lastRow="0" w:firstColumn="1" w:lastColumn="0" w:oddVBand="0" w:evenVBand="0" w:oddHBand="0" w:evenHBand="0" w:firstRowFirstColumn="0" w:firstRowLastColumn="0" w:lastRowFirstColumn="0" w:lastRowLastColumn="0"/>
            <w:tcW w:w="1872" w:type="dxa"/>
          </w:tcPr>
          <w:p w14:paraId="0627CCD8" w14:textId="77777777" w:rsidR="00F70239" w:rsidRPr="00BE436C" w:rsidRDefault="00F70239" w:rsidP="00002888">
            <w:pPr>
              <w:rPr>
                <w:rFonts w:ascii="Times New Roman" w:hAnsi="Times New Roman" w:cs="Times New Roman"/>
                <w:sz w:val="18"/>
                <w:szCs w:val="18"/>
              </w:rPr>
            </w:pPr>
            <w:r w:rsidRPr="00BE436C">
              <w:rPr>
                <w:rFonts w:ascii="Times New Roman" w:hAnsi="Times New Roman" w:cs="Times New Roman"/>
                <w:sz w:val="18"/>
                <w:szCs w:val="18"/>
              </w:rPr>
              <w:t>6q-</w:t>
            </w:r>
          </w:p>
        </w:tc>
        <w:tc>
          <w:tcPr>
            <w:tcW w:w="1872" w:type="dxa"/>
          </w:tcPr>
          <w:p w14:paraId="3FEA2374"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rPr>
              <w:t>8% - 24%</w:t>
            </w:r>
          </w:p>
        </w:tc>
        <w:tc>
          <w:tcPr>
            <w:tcW w:w="6457" w:type="dxa"/>
          </w:tcPr>
          <w:p w14:paraId="145F00B2" w14:textId="25FEFE83"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rPr>
              <w:t xml:space="preserve">A fraction of cases include deletion of </w:t>
            </w:r>
            <w:r w:rsidRPr="00BE436C">
              <w:rPr>
                <w:rFonts w:ascii="Times New Roman" w:hAnsi="Times New Roman" w:cs="Times New Roman"/>
                <w:i/>
                <w:iCs/>
                <w:sz w:val="18"/>
                <w:szCs w:val="18"/>
              </w:rPr>
              <w:t xml:space="preserve">TNFAIP3 </w:t>
            </w:r>
            <w:r w:rsidRPr="00BE436C">
              <w:rPr>
                <w:rFonts w:ascii="Times New Roman" w:hAnsi="Times New Roman" w:cs="Times New Roman"/>
                <w:sz w:val="18"/>
                <w:szCs w:val="18"/>
              </w:rPr>
              <w:t>(negative regulator of NF-</w:t>
            </w:r>
            <w:r w:rsidR="00131C7E">
              <w:rPr>
                <w:rFonts w:ascii="Times New Roman" w:hAnsi="Times New Roman" w:cs="Times New Roman"/>
                <w:sz w:val="18"/>
                <w:szCs w:val="18"/>
                <w:lang w:val="en-GB"/>
              </w:rPr>
              <w:t>κ</w:t>
            </w:r>
            <w:r w:rsidRPr="00BE436C">
              <w:rPr>
                <w:rFonts w:ascii="Times New Roman" w:hAnsi="Times New Roman" w:cs="Times New Roman"/>
                <w:sz w:val="18"/>
                <w:szCs w:val="18"/>
              </w:rPr>
              <w:t>B)</w:t>
            </w:r>
          </w:p>
        </w:tc>
      </w:tr>
      <w:tr w:rsidR="00F70239" w:rsidRPr="00BE436C" w14:paraId="790778E9" w14:textId="77777777" w:rsidTr="008F7DD3">
        <w:tc>
          <w:tcPr>
            <w:cnfStyle w:val="001000000000" w:firstRow="0" w:lastRow="0" w:firstColumn="1" w:lastColumn="0" w:oddVBand="0" w:evenVBand="0" w:oddHBand="0" w:evenHBand="0" w:firstRowFirstColumn="0" w:firstRowLastColumn="0" w:lastRowFirstColumn="0" w:lastRowLastColumn="0"/>
            <w:tcW w:w="1872" w:type="dxa"/>
            <w:shd w:val="clear" w:color="auto" w:fill="F2F2F2" w:themeFill="background1" w:themeFillShade="F2"/>
          </w:tcPr>
          <w:p w14:paraId="725F54F0" w14:textId="77777777" w:rsidR="00F70239" w:rsidRPr="00BE436C" w:rsidRDefault="00F70239" w:rsidP="00002888">
            <w:pPr>
              <w:rPr>
                <w:rFonts w:ascii="Times New Roman" w:hAnsi="Times New Roman" w:cs="Times New Roman"/>
                <w:sz w:val="18"/>
                <w:szCs w:val="18"/>
              </w:rPr>
            </w:pPr>
            <w:r w:rsidRPr="00BE436C">
              <w:rPr>
                <w:rFonts w:ascii="Times New Roman" w:hAnsi="Times New Roman" w:cs="Times New Roman"/>
                <w:sz w:val="18"/>
                <w:szCs w:val="18"/>
                <w:lang w:val="en-GB"/>
              </w:rPr>
              <w:t>8p-</w:t>
            </w:r>
          </w:p>
        </w:tc>
        <w:tc>
          <w:tcPr>
            <w:tcW w:w="1872" w:type="dxa"/>
            <w:shd w:val="clear" w:color="auto" w:fill="F2F2F2" w:themeFill="background1" w:themeFillShade="F2"/>
          </w:tcPr>
          <w:p w14:paraId="4E4A679C"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lang w:val="en-GB"/>
              </w:rPr>
              <w:t>4% - 15%</w:t>
            </w:r>
          </w:p>
        </w:tc>
        <w:tc>
          <w:tcPr>
            <w:tcW w:w="6457" w:type="dxa"/>
            <w:shd w:val="clear" w:color="auto" w:fill="F2F2F2" w:themeFill="background1" w:themeFillShade="F2"/>
          </w:tcPr>
          <w:p w14:paraId="17759F38"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BE436C">
              <w:rPr>
                <w:rFonts w:ascii="Times New Roman" w:hAnsi="Times New Roman" w:cs="Times New Roman"/>
                <w:sz w:val="18"/>
                <w:szCs w:val="18"/>
                <w:lang w:val="en-GB"/>
              </w:rPr>
              <w:t xml:space="preserve">Associated with poor outcome in MZLs </w:t>
            </w:r>
            <w:r w:rsidRPr="00BE436C">
              <w:rPr>
                <w:rFonts w:ascii="Times New Roman" w:hAnsi="Times New Roman" w:cs="Times New Roman"/>
                <w:sz w:val="18"/>
                <w:szCs w:val="18"/>
                <w:lang w:val="en-GB"/>
              </w:rPr>
              <w:fldChar w:fldCharType="begin" w:fldLock="1"/>
            </w:r>
            <w:r w:rsidRPr="00BE436C">
              <w:rPr>
                <w:rFonts w:ascii="Times New Roman" w:hAnsi="Times New Roman" w:cs="Times New Roman"/>
                <w:sz w:val="18"/>
                <w:szCs w:val="18"/>
                <w:lang w:val="en-GB"/>
              </w:rPr>
              <w:instrText>ADDIN CSL_CITATION {"citationItems":[{"id":"ITEM-1","itemData":{"DOI":"10.1182/blood-2010-01-264275","ISSN":"0006-4971","PMID":"21115979","abstract":"Marginal zone B-cell lymphomas (MZLs) have been divided into 3 distinct subtypes (extranodal MZLs of mucosa-associated lymphoid tissue [MALT] type, nodal MZLs, and splenic MZLs). Nevertheless, the relationship between the subtypes is still unclear. We performed a comprehensive analysis of genomic DNA copy number changes in a very large series of MZL cases with the aim of addressing this question. Samples from 218 MZL patients (25 nodal, 57 MALT, 134 splenic, and 2 not better specified MZLs) were analyzed with the Affymetrix Human Mapping 250K SNP arrays, and the data combined with matched gene expression in 33 of 218 cases. MALT lymphoma presented significantly more frequently gains at 3p, 6p, 18p, and del(6q23) (TNFAIP3/A20), whereas splenic MZLs was associated with del(7q31), del(8p). Nodal MZLs did not show statistically significant differences compared with MALT lymphoma while lacking the splenic MZLs-related 7q losses. Gains of 3q and 18q were common to all 3 subtypes. del(8p) was often present together with del(17p) (TP53). Although del(17p) did not determine a worse outcome and del(8p) was only of borderline significance, the presence of both deletions had a highly significant negative impact on the outcome of splenic MZLs.","author":[{"dropping-particle":"","family":"Rinaldi","given":"Andrea","non-dropping-particle":"","parse-names":false,"suffix":""},{"dropping-particle":"","family":"Mian","given":"Michael","non-dropping-particle":"","parse-names":false,"suffix":""},{"dropping-particle":"","family":"Chigrinova","given":"Ekaterina","non-dropping-particle":"","parse-names":false,"suffix":""},{"dropping-particle":"","family":"Arcaini","given":"Luca","non-dropping-particle":"","parse-names":false,"suffix":""},{"dropping-particle":"","family":"Bhagat","given":"Govind","non-dropping-particle":"","parse-names":false,"suffix":""},{"dropping-particle":"","family":"Novak","given":"Urban","non-dropping-particle":"","parse-names":false,"suffix":""},{"dropping-particle":"V.","family":"Rancoita","given":"Paola M.","non-dropping-particle":"","parse-names":false,"suffix":""},{"dropping-particle":"","family":"Campos","given":"Cassio P.","non-dropping-particle":"De","parse-names":false,"suffix":""},{"dropping-particle":"","family":"Forconi","given":"Francesco","non-dropping-particle":"","parse-names":false,"suffix":""},{"dropping-particle":"","family":"Gascoyne","given":"Randy D","non-dropping-particle":"","parse-names":false,"suffix":""},{"dropping-particle":"","family":"Facchetti","given":"Fabio","non-dropping-particle":"","parse-names":false,"suffix":""},{"dropping-particle":"","family":"Ponzoni","given":"Maurilio","non-dropping-particle":"","parse-names":false,"suffix":""},{"dropping-particle":"","family":"Govi","given":"Silvia","non-dropping-particle":"","parse-names":false,"suffix":""},{"dropping-particle":"","family":"Ferreri","given":"Andrés J. M.","non-dropping-particle":"","parse-names":false,"suffix":""},{"dropping-particle":"","family":"Mollejo","given":"Manuela","non-dropping-particle":"","parse-names":false,"suffix":""},{"dropping-particle":"","family":"Piris","given":"Miguel A","non-dropping-particle":"","parse-names":false,"suffix":""},{"dropping-particle":"","family":"Baldini","given":"Luca","non-dropping-particle":"","parse-names":false,"suffix":""},{"dropping-particle":"","family":"Soulier","given":"Jean","non-dropping-particle":"","parse-names":false,"suffix":""},{"dropping-particle":"","family":"Thieblemont","given":"Catherine","non-dropping-particle":"","parse-names":false,"suffix":""},{"dropping-particle":"","family":"Canzonieri","given":"Vincenzo","non-dropping-particle":"","parse-names":false,"suffix":""},{"dropping-particle":"","family":"Gattei","given":"Valter","non-dropping-particle":"","parse-names":false,"suffix":""},{"dropping-particle":"","family":"Marasca","given":"Roberto","non-dropping-particle":"","parse-names":false,"suffix":""},{"dropping-particle":"","family":"Franceschetti","given":"Silvia","non-dropping-particle":"","parse-names":false,"suffix":""},{"dropping-particle":"","family":"Gaidano","given":"Gianluca","non-dropping-particle":"","parse-names":false,"suffix":""},{"dropping-particle":"","family":"Tucci","given":"Alessandra","non-dropping-particle":"","parse-names":false,"suffix":""},{"dropping-particle":"","family":"Uccella","given":"Silvia","non-dropping-particle":"","parse-names":false,"suffix":""},{"dropping-particle":"","family":"Tibiletti","given":"Maria Grazia","non-dropping-particle":"","parse-names":false,"suffix":""},{"dropping-particle":"","family":"Dirnhofer","given":"Stephan","non-dropping-particle":"","parse-names":false,"suffix":""},{"dropping-particle":"","family":"Tripodo","given":"Claudio","non-dropping-particle":"","parse-names":false,"suffix":""},{"dropping-particle":"","family":"Doglioni","given":"Claudio","non-dropping-particle":"","parse-names":false,"suffix":""},{"dropping-particle":"","family":"Dalla Favera","given":"Riccardo","non-dropping-particle":"","parse-names":false,"suffix":""},{"dropping-particle":"","family":"Cavalli","given":"Franco","non-dropping-particle":"","parse-names":false,"suffix":""},{"dropping-particle":"","family":"Zucca","given":"Emanuele","non-dropping-particle":"","parse-names":false,"suffix":""},{"dropping-particle":"","family":"Kwee","given":"Ivo","non-dropping-particle":"","parse-names":false,"suffix":""},{"dropping-particle":"","family":"Bertoni","given":"Francesco","non-dropping-particle":"","parse-names":false,"suffix":""}],"container-title":"Blood","id":"ITEM-1","issue":"5","issued":{"date-parts":[["2011","2","3"]]},"page":"1595-1604","title":"Genome-wide DNA profiling of marginal zone lymphomas identifies subtype-specific lesions with an impact on the clinical outcome","type":"article-journal","volume":"117"},"uris":["http://www.mendeley.com/documents/?uuid=6ac62c53-1030-4cf0-9e7a-baca26dde9a6"]}],"mendeley":{"formattedCitation":"(Rinaldi et al., 2011)","plainTextFormattedCitation":"(Rinaldi et al., 2011)","previouslyFormattedCitation":"(Rinaldi et al., 2011)"},"properties":{"noteIndex":0},"schema":"https://github.com/citation-style-language/schema/raw/master/csl-citation.json"}</w:instrText>
            </w:r>
            <w:r w:rsidRPr="00BE436C">
              <w:rPr>
                <w:rFonts w:ascii="Times New Roman" w:hAnsi="Times New Roman" w:cs="Times New Roman"/>
                <w:sz w:val="18"/>
                <w:szCs w:val="18"/>
                <w:lang w:val="en-GB"/>
              </w:rPr>
              <w:fldChar w:fldCharType="separate"/>
            </w:r>
            <w:r w:rsidRPr="00BE436C">
              <w:rPr>
                <w:rFonts w:ascii="Times New Roman" w:hAnsi="Times New Roman" w:cs="Times New Roman"/>
                <w:noProof/>
                <w:sz w:val="18"/>
                <w:szCs w:val="18"/>
                <w:lang w:val="en-GB"/>
              </w:rPr>
              <w:t>(Rinaldi et al., 2011)</w:t>
            </w:r>
            <w:r w:rsidRPr="00BE436C">
              <w:rPr>
                <w:rFonts w:ascii="Times New Roman" w:hAnsi="Times New Roman" w:cs="Times New Roman"/>
                <w:sz w:val="18"/>
                <w:szCs w:val="18"/>
                <w:lang w:val="en-GB"/>
              </w:rPr>
              <w:fldChar w:fldCharType="end"/>
            </w:r>
          </w:p>
          <w:p w14:paraId="1669EF21"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lang w:val="en-GB"/>
              </w:rPr>
              <w:t xml:space="preserve">No link with outcome unless co-existing with deletion of 17p </w:t>
            </w:r>
            <w:r w:rsidRPr="00BE436C">
              <w:rPr>
                <w:rFonts w:ascii="Times New Roman" w:hAnsi="Times New Roman" w:cs="Times New Roman"/>
                <w:sz w:val="18"/>
                <w:szCs w:val="18"/>
                <w:lang w:val="en-GB"/>
              </w:rPr>
              <w:fldChar w:fldCharType="begin" w:fldLock="1"/>
            </w:r>
            <w:r w:rsidRPr="00BE436C">
              <w:rPr>
                <w:rFonts w:ascii="Times New Roman" w:hAnsi="Times New Roman" w:cs="Times New Roman"/>
                <w:sz w:val="18"/>
                <w:szCs w:val="18"/>
                <w:lang w:val="en-GB"/>
              </w:rPr>
              <w:instrText>ADDIN CSL_CITATION {"citationItems":[{"id":"ITEM-1","itemData":{"DOI":"10.1182/blood-2010-01-264275","ISSN":"0006-4971","PMID":"21115979","abstract":"Marginal zone B-cell lymphomas (MZLs) have been divided into 3 distinct subtypes (extranodal MZLs of mucosa-associated lymphoid tissue [MALT] type, nodal MZLs, and splenic MZLs). Nevertheless, the relationship between the subtypes is still unclear. We performed a comprehensive analysis of genomic DNA copy number changes in a very large series of MZL cases with the aim of addressing this question. Samples from 218 MZL patients (25 nodal, 57 MALT, 134 splenic, and 2 not better specified MZLs) were analyzed with the Affymetrix Human Mapping 250K SNP arrays, and the data combined with matched gene expression in 33 of 218 cases. MALT lymphoma presented significantly more frequently gains at 3p, 6p, 18p, and del(6q23) (TNFAIP3/A20), whereas splenic MZLs was associated with del(7q31), del(8p). Nodal MZLs did not show statistically significant differences compared with MALT lymphoma while lacking the splenic MZLs-related 7q losses. Gains of 3q and 18q were common to all 3 subtypes. del(8p) was often present together with del(17p) (TP53). Although del(17p) did not determine a worse outcome and del(8p) was only of borderline significance, the presence of both deletions had a highly significant negative impact on the outcome of splenic MZLs.","author":[{"dropping-particle":"","family":"Rinaldi","given":"Andrea","non-dropping-particle":"","parse-names":false,"suffix":""},{"dropping-particle":"","family":"Mian","given":"Michael","non-dropping-particle":"","parse-names":false,"suffix":""},{"dropping-particle":"","family":"Chigrinova","given":"Ekaterina","non-dropping-particle":"","parse-names":false,"suffix":""},{"dropping-particle":"","family":"Arcaini","given":"Luca","non-dropping-particle":"","parse-names":false,"suffix":""},{"dropping-particle":"","family":"Bhagat","given":"Govind","non-dropping-particle":"","parse-names":false,"suffix":""},{"dropping-particle":"","family":"Novak","given":"Urban","non-dropping-particle":"","parse-names":false,"suffix":""},{"dropping-particle":"V.","family":"Rancoita","given":"Paola M.","non-dropping-particle":"","parse-names":false,"suffix":""},{"dropping-particle":"","family":"Campos","given":"Cassio P.","non-dropping-particle":"De","parse-names":false,"suffix":""},{"dropping-particle":"","family":"Forconi","given":"Francesco","non-dropping-particle":"","parse-names":false,"suffix":""},{"dropping-particle":"","family":"Gascoyne","given":"Randy D","non-dropping-particle":"","parse-names":false,"suffix":""},{"dropping-particle":"","family":"Facchetti","given":"Fabio","non-dropping-particle":"","parse-names":false,"suffix":""},{"dropping-particle":"","family":"Ponzoni","given":"Maurilio","non-dropping-particle":"","parse-names":false,"suffix":""},{"dropping-particle":"","family":"Govi","given":"Silvia","non-dropping-particle":"","parse-names":false,"suffix":""},{"dropping-particle":"","family":"Ferreri","given":"Andrés J. M.","non-dropping-particle":"","parse-names":false,"suffix":""},{"dropping-particle":"","family":"Mollejo","given":"Manuela","non-dropping-particle":"","parse-names":false,"suffix":""},{"dropping-particle":"","family":"Piris","given":"Miguel A","non-dropping-particle":"","parse-names":false,"suffix":""},{"dropping-particle":"","family":"Baldini","given":"Luca","non-dropping-particle":"","parse-names":false,"suffix":""},{"dropping-particle":"","family":"Soulier","given":"Jean","non-dropping-particle":"","parse-names":false,"suffix":""},{"dropping-particle":"","family":"Thieblemont","given":"Catherine","non-dropping-particle":"","parse-names":false,"suffix":""},{"dropping-particle":"","family":"Canzonieri","given":"Vincenzo","non-dropping-particle":"","parse-names":false,"suffix":""},{"dropping-particle":"","family":"Gattei","given":"Valter","non-dropping-particle":"","parse-names":false,"suffix":""},{"dropping-particle":"","family":"Marasca","given":"Roberto","non-dropping-particle":"","parse-names":false,"suffix":""},{"dropping-particle":"","family":"Franceschetti","given":"Silvia","non-dropping-particle":"","parse-names":false,"suffix":""},{"dropping-particle":"","family":"Gaidano","given":"Gianluca","non-dropping-particle":"","parse-names":false,"suffix":""},{"dropping-particle":"","family":"Tucci","given":"Alessandra","non-dropping-particle":"","parse-names":false,"suffix":""},{"dropping-particle":"","family":"Uccella","given":"Silvia","non-dropping-particle":"","parse-names":false,"suffix":""},{"dropping-particle":"","family":"Tibiletti","given":"Maria Grazia","non-dropping-particle":"","parse-names":false,"suffix":""},{"dropping-particle":"","family":"Dirnhofer","given":"Stephan","non-dropping-particle":"","parse-names":false,"suffix":""},{"dropping-particle":"","family":"Tripodo","given":"Claudio","non-dropping-particle":"","parse-names":false,"suffix":""},{"dropping-particle":"","family":"Doglioni","given":"Claudio","non-dropping-particle":"","parse-names":false,"suffix":""},{"dropping-particle":"","family":"Dalla Favera","given":"Riccardo","non-dropping-particle":"","parse-names":false,"suffix":""},{"dropping-particle":"","family":"Cavalli","given":"Franco","non-dropping-particle":"","parse-names":false,"suffix":""},{"dropping-particle":"","family":"Zucca","given":"Emanuele","non-dropping-particle":"","parse-names":false,"suffix":""},{"dropping-particle":"","family":"Kwee","given":"Ivo","non-dropping-particle":"","parse-names":false,"suffix":""},{"dropping-particle":"","family":"Bertoni","given":"Francesco","non-dropping-particle":"","parse-names":false,"suffix":""}],"container-title":"Blood","id":"ITEM-1","issue":"5","issued":{"date-parts":[["2011","2","3"]]},"page":"1595-1604","title":"Genome-wide DNA profiling of marginal zone lymphomas identifies subtype-specific lesions with an impact on the clinical outcome","type":"article-journal","volume":"117"},"uris":["http://www.mendeley.com/documents/?uuid=6ac62c53-1030-4cf0-9e7a-baca26dde9a6"]}],"mendeley":{"formattedCitation":"(Rinaldi et al., 2011)","plainTextFormattedCitation":"(Rinaldi et al., 2011)","previouslyFormattedCitation":"(Rinaldi et al., 2011)"},"properties":{"noteIndex":0},"schema":"https://github.com/citation-style-language/schema/raw/master/csl-citation.json"}</w:instrText>
            </w:r>
            <w:r w:rsidRPr="00BE436C">
              <w:rPr>
                <w:rFonts w:ascii="Times New Roman" w:hAnsi="Times New Roman" w:cs="Times New Roman"/>
                <w:sz w:val="18"/>
                <w:szCs w:val="18"/>
                <w:lang w:val="en-GB"/>
              </w:rPr>
              <w:fldChar w:fldCharType="separate"/>
            </w:r>
            <w:r w:rsidRPr="00BE436C">
              <w:rPr>
                <w:rFonts w:ascii="Times New Roman" w:hAnsi="Times New Roman" w:cs="Times New Roman"/>
                <w:noProof/>
                <w:sz w:val="18"/>
                <w:szCs w:val="18"/>
                <w:lang w:val="en-GB"/>
              </w:rPr>
              <w:t>(Rinaldi et al., 2011)</w:t>
            </w:r>
            <w:r w:rsidRPr="00BE436C">
              <w:rPr>
                <w:rFonts w:ascii="Times New Roman" w:hAnsi="Times New Roman" w:cs="Times New Roman"/>
                <w:sz w:val="18"/>
                <w:szCs w:val="18"/>
                <w:lang w:val="en-GB"/>
              </w:rPr>
              <w:fldChar w:fldCharType="end"/>
            </w:r>
          </w:p>
        </w:tc>
      </w:tr>
      <w:tr w:rsidR="00F70239" w:rsidRPr="00BE436C" w14:paraId="0B0A9511" w14:textId="77777777" w:rsidTr="00002888">
        <w:tc>
          <w:tcPr>
            <w:cnfStyle w:val="001000000000" w:firstRow="0" w:lastRow="0" w:firstColumn="1" w:lastColumn="0" w:oddVBand="0" w:evenVBand="0" w:oddHBand="0" w:evenHBand="0" w:firstRowFirstColumn="0" w:firstRowLastColumn="0" w:lastRowFirstColumn="0" w:lastRowLastColumn="0"/>
            <w:tcW w:w="1872" w:type="dxa"/>
          </w:tcPr>
          <w:p w14:paraId="2EB67E21" w14:textId="77777777" w:rsidR="00F70239" w:rsidRPr="00BE436C" w:rsidRDefault="00F70239" w:rsidP="00002888">
            <w:pPr>
              <w:rPr>
                <w:rFonts w:ascii="Times New Roman" w:hAnsi="Times New Roman" w:cs="Times New Roman"/>
                <w:sz w:val="18"/>
                <w:szCs w:val="18"/>
              </w:rPr>
            </w:pPr>
            <w:r w:rsidRPr="00BE436C">
              <w:rPr>
                <w:rFonts w:ascii="Times New Roman" w:hAnsi="Times New Roman" w:cs="Times New Roman"/>
                <w:sz w:val="18"/>
                <w:szCs w:val="18"/>
                <w:lang w:val="en-GB"/>
              </w:rPr>
              <w:t>13q-</w:t>
            </w:r>
          </w:p>
        </w:tc>
        <w:tc>
          <w:tcPr>
            <w:tcW w:w="1872" w:type="dxa"/>
          </w:tcPr>
          <w:p w14:paraId="2A1178A7"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lang w:val="en-GB"/>
              </w:rPr>
              <w:t>5% - 18%</w:t>
            </w:r>
          </w:p>
        </w:tc>
        <w:tc>
          <w:tcPr>
            <w:tcW w:w="6457" w:type="dxa"/>
          </w:tcPr>
          <w:p w14:paraId="7B4E6F23"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lang w:val="en-GB"/>
              </w:rPr>
              <w:t xml:space="preserve">SMZL cases with this lesion showed a genetic profile consistent with SMZL diagnosis </w:t>
            </w:r>
            <w:r w:rsidRPr="00BE436C">
              <w:rPr>
                <w:rFonts w:ascii="Times New Roman" w:hAnsi="Times New Roman" w:cs="Times New Roman"/>
                <w:sz w:val="18"/>
                <w:szCs w:val="18"/>
                <w:lang w:val="en-GB"/>
              </w:rPr>
              <w:fldChar w:fldCharType="begin" w:fldLock="1"/>
            </w:r>
            <w:r w:rsidRPr="00BE436C">
              <w:rPr>
                <w:rFonts w:ascii="Times New Roman" w:hAnsi="Times New Roman" w:cs="Times New Roman"/>
                <w:sz w:val="18"/>
                <w:szCs w:val="18"/>
                <w:lang w:val="en-GB"/>
              </w:rPr>
              <w:instrText>ADDIN CSL_CITATION {"citationItems":[{"id":"ITEM-1","itemData":{"DOI":"10.1182/blood-2010-01-264275","ISSN":"0006-4971","PMID":"21115979","abstract":"Marginal zone B-cell lymphomas (MZLs) have been divided into 3 distinct subtypes (extranodal MZLs of mucosa-associated lymphoid tissue [MALT] type, nodal MZLs, and splenic MZLs). Nevertheless, the relationship between the subtypes is still unclear. We performed a comprehensive analysis of genomic DNA copy number changes in a very large series of MZL cases with the aim of addressing this question. Samples from 218 MZL patients (25 nodal, 57 MALT, 134 splenic, and 2 not better specified MZLs) were analyzed with the Affymetrix Human Mapping 250K SNP arrays, and the data combined with matched gene expression in 33 of 218 cases. MALT lymphoma presented significantly more frequently gains at 3p, 6p, 18p, and del(6q23) (TNFAIP3/A20), whereas splenic MZLs was associated with del(7q31), del(8p). Nodal MZLs did not show statistically significant differences compared with MALT lymphoma while lacking the splenic MZLs-related 7q losses. Gains of 3q and 18q were common to all 3 subtypes. del(8p) was often present together with del(17p) (TP53). Although del(17p) did not determine a worse outcome and del(8p) was only of borderline significance, the presence of both deletions had a highly significant negative impact on the outcome of splenic MZLs.","author":[{"dropping-particle":"","family":"Rinaldi","given":"Andrea","non-dropping-particle":"","parse-names":false,"suffix":""},{"dropping-particle":"","family":"Mian","given":"Michael","non-dropping-particle":"","parse-names":false,"suffix":""},{"dropping-particle":"","family":"Chigrinova","given":"Ekaterina","non-dropping-particle":"","parse-names":false,"suffix":""},{"dropping-particle":"","family":"Arcaini","given":"Luca","non-dropping-particle":"","parse-names":false,"suffix":""},{"dropping-particle":"","family":"Bhagat","given":"Govind","non-dropping-particle":"","parse-names":false,"suffix":""},{"dropping-particle":"","family":"Novak","given":"Urban","non-dropping-particle":"","parse-names":false,"suffix":""},{"dropping-particle":"V.","family":"Rancoita","given":"Paola M.","non-dropping-particle":"","parse-names":false,"suffix":""},{"dropping-particle":"","family":"Campos","given":"Cassio P.","non-dropping-particle":"De","parse-names":false,"suffix":""},{"dropping-particle":"","family":"Forconi","given":"Francesco","non-dropping-particle":"","parse-names":false,"suffix":""},{"dropping-particle":"","family":"Gascoyne","given":"Randy D","non-dropping-particle":"","parse-names":false,"suffix":""},{"dropping-particle":"","family":"Facchetti","given":"Fabio","non-dropping-particle":"","parse-names":false,"suffix":""},{"dropping-particle":"","family":"Ponzoni","given":"Maurilio","non-dropping-particle":"","parse-names":false,"suffix":""},{"dropping-particle":"","family":"Govi","given":"Silvia","non-dropping-particle":"","parse-names":false,"suffix":""},{"dropping-particle":"","family":"Ferreri","given":"Andrés J. M.","non-dropping-particle":"","parse-names":false,"suffix":""},{"dropping-particle":"","family":"Mollejo","given":"Manuela","non-dropping-particle":"","parse-names":false,"suffix":""},{"dropping-particle":"","family":"Piris","given":"Miguel A","non-dropping-particle":"","parse-names":false,"suffix":""},{"dropping-particle":"","family":"Baldini","given":"Luca","non-dropping-particle":"","parse-names":false,"suffix":""},{"dropping-particle":"","family":"Soulier","given":"Jean","non-dropping-particle":"","parse-names":false,"suffix":""},{"dropping-particle":"","family":"Thieblemont","given":"Catherine","non-dropping-particle":"","parse-names":false,"suffix":""},{"dropping-particle":"","family":"Canzonieri","given":"Vincenzo","non-dropping-particle":"","parse-names":false,"suffix":""},{"dropping-particle":"","family":"Gattei","given":"Valter","non-dropping-particle":"","parse-names":false,"suffix":""},{"dropping-particle":"","family":"Marasca","given":"Roberto","non-dropping-particle":"","parse-names":false,"suffix":""},{"dropping-particle":"","family":"Franceschetti","given":"Silvia","non-dropping-particle":"","parse-names":false,"suffix":""},{"dropping-particle":"","family":"Gaidano","given":"Gianluca","non-dropping-particle":"","parse-names":false,"suffix":""},{"dropping-particle":"","family":"Tucci","given":"Alessandra","non-dropping-particle":"","parse-names":false,"suffix":""},{"dropping-particle":"","family":"Uccella","given":"Silvia","non-dropping-particle":"","parse-names":false,"suffix":""},{"dropping-particle":"","family":"Tibiletti","given":"Maria Grazia","non-dropping-particle":"","parse-names":false,"suffix":""},{"dropping-particle":"","family":"Dirnhofer","given":"Stephan","non-dropping-particle":"","parse-names":false,"suffix":""},{"dropping-particle":"","family":"Tripodo","given":"Claudio","non-dropping-particle":"","parse-names":false,"suffix":""},{"dropping-particle":"","family":"Doglioni","given":"Claudio","non-dropping-particle":"","parse-names":false,"suffix":""},{"dropping-particle":"","family":"Dalla Favera","given":"Riccardo","non-dropping-particle":"","parse-names":false,"suffix":""},{"dropping-particle":"","family":"Cavalli","given":"Franco","non-dropping-particle":"","parse-names":false,"suffix":""},{"dropping-particle":"","family":"Zucca","given":"Emanuele","non-dropping-particle":"","parse-names":false,"suffix":""},{"dropping-particle":"","family":"Kwee","given":"Ivo","non-dropping-particle":"","parse-names":false,"suffix":""},{"dropping-particle":"","family":"Bertoni","given":"Francesco","non-dropping-particle":"","parse-names":false,"suffix":""}],"container-title":"Blood","id":"ITEM-1","issue":"5","issued":{"date-parts":[["2011","2","3"]]},"page":"1595-1604","title":"Genome-wide DNA profiling of marginal zone lymphomas identifies subtype-specific lesions with an impact on the clinical outcome","type":"article-journal","volume":"117"},"uris":["http://www.mendeley.com/documents/?uuid=6ac62c53-1030-4cf0-9e7a-baca26dde9a6"]}],"mendeley":{"formattedCitation":"(Rinaldi et al., 2011)","plainTextFormattedCitation":"(Rinaldi et al., 2011)","previouslyFormattedCitation":"(Rinaldi et al., 2011)"},"properties":{"noteIndex":0},"schema":"https://github.com/citation-style-language/schema/raw/master/csl-citation.json"}</w:instrText>
            </w:r>
            <w:r w:rsidRPr="00BE436C">
              <w:rPr>
                <w:rFonts w:ascii="Times New Roman" w:hAnsi="Times New Roman" w:cs="Times New Roman"/>
                <w:sz w:val="18"/>
                <w:szCs w:val="18"/>
                <w:lang w:val="en-GB"/>
              </w:rPr>
              <w:fldChar w:fldCharType="separate"/>
            </w:r>
            <w:r w:rsidRPr="00BE436C">
              <w:rPr>
                <w:rFonts w:ascii="Times New Roman" w:hAnsi="Times New Roman" w:cs="Times New Roman"/>
                <w:noProof/>
                <w:sz w:val="18"/>
                <w:szCs w:val="18"/>
                <w:lang w:val="en-GB"/>
              </w:rPr>
              <w:t>(Rinaldi et al., 2011)</w:t>
            </w:r>
            <w:r w:rsidRPr="00BE436C">
              <w:rPr>
                <w:rFonts w:ascii="Times New Roman" w:hAnsi="Times New Roman" w:cs="Times New Roman"/>
                <w:sz w:val="18"/>
                <w:szCs w:val="18"/>
                <w:lang w:val="en-GB"/>
              </w:rPr>
              <w:fldChar w:fldCharType="end"/>
            </w:r>
          </w:p>
        </w:tc>
      </w:tr>
      <w:tr w:rsidR="00F70239" w:rsidRPr="00BE436C" w14:paraId="393AA241" w14:textId="77777777" w:rsidTr="008F7DD3">
        <w:tc>
          <w:tcPr>
            <w:cnfStyle w:val="001000000000" w:firstRow="0" w:lastRow="0" w:firstColumn="1" w:lastColumn="0" w:oddVBand="0" w:evenVBand="0" w:oddHBand="0" w:evenHBand="0" w:firstRowFirstColumn="0" w:firstRowLastColumn="0" w:lastRowFirstColumn="0" w:lastRowLastColumn="0"/>
            <w:tcW w:w="1872" w:type="dxa"/>
            <w:shd w:val="clear" w:color="auto" w:fill="F2F2F2" w:themeFill="background1" w:themeFillShade="F2"/>
          </w:tcPr>
          <w:p w14:paraId="300570B0" w14:textId="77777777" w:rsidR="00F70239" w:rsidRPr="00BE436C" w:rsidRDefault="00F70239" w:rsidP="00002888">
            <w:pPr>
              <w:rPr>
                <w:rFonts w:ascii="Times New Roman" w:hAnsi="Times New Roman" w:cs="Times New Roman"/>
                <w:sz w:val="18"/>
                <w:szCs w:val="18"/>
              </w:rPr>
            </w:pPr>
            <w:r w:rsidRPr="00BE436C">
              <w:rPr>
                <w:rFonts w:ascii="Times New Roman" w:hAnsi="Times New Roman" w:cs="Times New Roman"/>
                <w:sz w:val="18"/>
                <w:szCs w:val="18"/>
                <w:lang w:val="en-GB"/>
              </w:rPr>
              <w:t>14q-</w:t>
            </w:r>
          </w:p>
        </w:tc>
        <w:tc>
          <w:tcPr>
            <w:tcW w:w="1872" w:type="dxa"/>
            <w:shd w:val="clear" w:color="auto" w:fill="F2F2F2" w:themeFill="background1" w:themeFillShade="F2"/>
          </w:tcPr>
          <w:p w14:paraId="5BC0DCAA"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lang w:val="en-GB"/>
              </w:rPr>
              <w:t>3% - 10%</w:t>
            </w:r>
          </w:p>
        </w:tc>
        <w:tc>
          <w:tcPr>
            <w:tcW w:w="6457" w:type="dxa"/>
            <w:shd w:val="clear" w:color="auto" w:fill="F2F2F2" w:themeFill="background1" w:themeFillShade="F2"/>
          </w:tcPr>
          <w:p w14:paraId="10DE3F9A"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lang w:val="en-GB"/>
              </w:rPr>
              <w:t xml:space="preserve">Linked to inferior prognosis but detected in the context of a complex karyotype </w:t>
            </w:r>
            <w:r w:rsidRPr="00BE436C">
              <w:rPr>
                <w:rFonts w:ascii="Times New Roman" w:hAnsi="Times New Roman" w:cs="Times New Roman"/>
                <w:sz w:val="18"/>
                <w:szCs w:val="18"/>
                <w:lang w:val="en-GB"/>
              </w:rPr>
              <w:fldChar w:fldCharType="begin" w:fldLock="1"/>
            </w:r>
            <w:r w:rsidRPr="00BE436C">
              <w:rPr>
                <w:rFonts w:ascii="Times New Roman" w:hAnsi="Times New Roman" w:cs="Times New Roman"/>
                <w:sz w:val="18"/>
                <w:szCs w:val="18"/>
                <w:lang w:val="en-GB"/>
              </w:rPr>
              <w:instrText>ADDIN CSL_CITATION {"citationItems":[{"id":"ITEM-1","itemData":{"DOI":"10.1182/blood-2010-02-267476","ISSN":"0006-4971","abstract":"We conducted a retrospective collaborative study to cytogenetically characterize splenic marginal zone lymphoma (SMZL) and ascertain the prognostic value of chromosomal aberrations. Of 330 cases, 72% displayed an aberrant karyotype, 53% were complex, and 29% had a single aberration. The predominant aberrations were gains of 3/3q and 12q, deletions of 7q and 6q and translocations involving 8q/1q/14q. CD5 expression was detected in 39 of 158 cases (25%). The cytogenetic makeup of the CD5+ group differed significantly from that of the CD5− group. Cases with unmutated IGHV were significantly associated with deletions of 7q and TP53. A strong association was noted between usage of the IGVH1-2 and deletion 7q, 14q alterations, and abnormal karyotype. On univariate analysis, patients with more than or equal to 2 aberrations, 14q alterations, and TP53 deletions had the shortest survival; 7q deletion did not affect survival. On multivariate analysis, cytogenetic aberrations did not retain prognostic significance; the parameters negatively affecting survival were hemoglobin and age. In conclusion, the cytogenetic profile of SMZL is distinct from other B-cell lymphomas. Complexity of the karyotype, 14q aberrations, and TP53 deletions are poor prognostic indicators and may be considered together with other clinicobiologic parameters to ascertain the prognosis of SMZL.","author":[{"dropping-particle":"","family":"Salido","given":"Marta","non-dropping-particle":"","parse-names":false,"suffix":""},{"dropping-particle":"","family":"Baró","given":"Cristina","non-dropping-particle":"","parse-names":false,"suffix":""},{"dropping-particle":"","family":"Oscier","given":"David","non-dropping-particle":"","parse-names":false,"suffix":""},{"dropping-particle":"","family":"Stamatopoulos","given":"Kostas","non-dropping-particle":"","parse-names":false,"suffix":""},{"dropping-particle":"","family":"Dierlamm","given":"Judith","non-dropping-particle":"","parse-names":false,"suffix":""},{"dropping-particle":"","family":"Matutes","given":"Estela","non-dropping-particle":"","parse-names":false,"suffix":""},{"dropping-particle":"","family":"Traverse-Glehen","given":"Alexandra","non-dropping-particle":"","parse-names":false,"suffix":""},{"dropping-particle":"","family":"Berger","given":"Francoise","non-dropping-particle":"","parse-names":false,"suffix":""},{"dropping-particle":"","family":"Felman","given":"Pascale","non-dropping-particle":"","parse-names":false,"suffix":""},{"dropping-particle":"","family":"Thieblemont","given":"Catherine","non-dropping-particle":"","parse-names":false,"suffix":""},{"dropping-particle":"","family":"Gesk","given":"Stefan","non-dropping-particle":"","parse-names":false,"suffix":""},{"dropping-particle":"","family":"Athanasiadou","given":"Anastasia","non-dropping-particle":"","parse-names":false,"suffix":""},{"dropping-particle":"","family":"Davis","given":"Zadie","non-dropping-particle":"","parse-names":false,"suffix":""},{"dropping-particle":"","family":"Gardiner","given":"Anne","non-dropping-particle":"","parse-names":false,"suffix":""},{"dropping-particle":"","family":"Milla","given":"Fuensanta","non-dropping-particle":"","parse-names":false,"suffix":""},{"dropping-particle":"","family":"Ferrer","given":"Ana","non-dropping-particle":"","parse-names":false,"suffix":""},{"dropping-particle":"","family":"Mollejo","given":"Manuela","non-dropping-particle":"","parse-names":false,"suffix":""},{"dropping-particle":"","family":"Calasanz","given":"Maria José","non-dropping-particle":"","parse-names":false,"suffix":""},{"dropping-particle":"","family":"Florensa","given":"Lourdes","non-dropping-particle":"","parse-names":false,"suffix":""},{"dropping-particle":"","family":"Espinet","given":"Blanca","non-dropping-particle":"","parse-names":false,"suffix":""},{"dropping-particle":"","family":"Luño","given":"Elisa","non-dropping-particle":"","parse-names":false,"suffix":""},{"dropping-particle":"","family":"Wlodarska","given":"Iwona","non-dropping-particle":"","parse-names":false,"suffix":""},{"dropping-particle":"","family":"Verhoef","given":"Gregor","non-dropping-particle":"","parse-names":false,"suffix":""},{"dropping-particle":"","family":"García-Granero","given":"Marta","non-dropping-particle":"","parse-names":false,"suffix":""},{"dropping-particle":"","family":"Salar","given":"Antonio","non-dropping-particle":"","parse-names":false,"suffix":""},{"dropping-particle":"","family":"Papadaki","given":"Theodora","non-dropping-particle":"","parse-names":false,"suffix":""},{"dropping-particle":"","family":"Serrano","given":"Sergio","non-dropping-particle":"","parse-names":false,"suffix":""},{"dropping-particle":"","family":"Piris","given":"Miguel A.","non-dropping-particle":"","parse-names":false,"suffix":""},{"dropping-particle":"","family":"Solé","given":"Francesc","non-dropping-particle":"","parse-names":false,"suffix":""}],"container-title":"Blood","id":"ITEM-1","issue":"9","issued":{"date-parts":[["2010","9","2"]]},"page":"1479-1488","title":"Cytogenetic aberrations and their prognostic value in a series of 330 splenic marginal zone B-cell lymphomas: a multicenter study of the Splenic B-Cell Lymphoma Group","type":"article-journal","volume":"116"},"uris":["http://www.mendeley.com/documents/?uuid=00dbce41-c817-49fc-b697-553243a471a1"]}],"mendeley":{"formattedCitation":"(Salido et al., 2010)","plainTextFormattedCitation":"(Salido et al., 2010)","previouslyFormattedCitation":"(Salido et al., 2010)"},"properties":{"noteIndex":0},"schema":"https://github.com/citation-style-language/schema/raw/master/csl-citation.json"}</w:instrText>
            </w:r>
            <w:r w:rsidRPr="00BE436C">
              <w:rPr>
                <w:rFonts w:ascii="Times New Roman" w:hAnsi="Times New Roman" w:cs="Times New Roman"/>
                <w:sz w:val="18"/>
                <w:szCs w:val="18"/>
                <w:lang w:val="en-GB"/>
              </w:rPr>
              <w:fldChar w:fldCharType="separate"/>
            </w:r>
            <w:r w:rsidRPr="00BE436C">
              <w:rPr>
                <w:rFonts w:ascii="Times New Roman" w:hAnsi="Times New Roman" w:cs="Times New Roman"/>
                <w:noProof/>
                <w:sz w:val="18"/>
                <w:szCs w:val="18"/>
                <w:lang w:val="en-GB"/>
              </w:rPr>
              <w:t>(Salido et al., 2010)</w:t>
            </w:r>
            <w:r w:rsidRPr="00BE436C">
              <w:rPr>
                <w:rFonts w:ascii="Times New Roman" w:hAnsi="Times New Roman" w:cs="Times New Roman"/>
                <w:sz w:val="18"/>
                <w:szCs w:val="18"/>
                <w:lang w:val="en-GB"/>
              </w:rPr>
              <w:fldChar w:fldCharType="end"/>
            </w:r>
          </w:p>
        </w:tc>
      </w:tr>
      <w:tr w:rsidR="00F70239" w:rsidRPr="00BE436C" w14:paraId="32AADBA6" w14:textId="77777777" w:rsidTr="00002888">
        <w:tc>
          <w:tcPr>
            <w:cnfStyle w:val="001000000000" w:firstRow="0" w:lastRow="0" w:firstColumn="1" w:lastColumn="0" w:oddVBand="0" w:evenVBand="0" w:oddHBand="0" w:evenHBand="0" w:firstRowFirstColumn="0" w:firstRowLastColumn="0" w:lastRowFirstColumn="0" w:lastRowLastColumn="0"/>
            <w:tcW w:w="1872" w:type="dxa"/>
          </w:tcPr>
          <w:p w14:paraId="196F7101" w14:textId="77777777" w:rsidR="00F70239" w:rsidRPr="00BE436C" w:rsidRDefault="00F70239" w:rsidP="00002888">
            <w:pPr>
              <w:rPr>
                <w:rFonts w:ascii="Times New Roman" w:hAnsi="Times New Roman" w:cs="Times New Roman"/>
                <w:sz w:val="18"/>
                <w:szCs w:val="18"/>
              </w:rPr>
            </w:pPr>
            <w:r w:rsidRPr="00BE436C">
              <w:rPr>
                <w:rFonts w:ascii="Times New Roman" w:hAnsi="Times New Roman" w:cs="Times New Roman"/>
                <w:sz w:val="18"/>
                <w:szCs w:val="18"/>
              </w:rPr>
              <w:t>+3/3q+</w:t>
            </w:r>
          </w:p>
        </w:tc>
        <w:tc>
          <w:tcPr>
            <w:tcW w:w="1872" w:type="dxa"/>
          </w:tcPr>
          <w:p w14:paraId="634F0196"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rPr>
              <w:t>15% - 34%</w:t>
            </w:r>
          </w:p>
        </w:tc>
        <w:tc>
          <w:tcPr>
            <w:tcW w:w="6457" w:type="dxa"/>
          </w:tcPr>
          <w:p w14:paraId="68FCC99B"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rPr>
              <w:t>Two gained regions, one included BCL6 located at 3q27</w:t>
            </w:r>
          </w:p>
          <w:p w14:paraId="44CF31A6"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rPr>
              <w:t>Associated with complex karyotypes</w:t>
            </w:r>
          </w:p>
          <w:p w14:paraId="5BB08E30"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rPr>
              <w:t xml:space="preserve">Tend to occur in cases without del 7q </w:t>
            </w:r>
          </w:p>
          <w:p w14:paraId="1F4B9BF5"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rPr>
              <w:t>3q gains have been associated with gains at 1q and 17q22-q25.3, del 6q23.2-q24.1 (</w:t>
            </w:r>
            <w:r w:rsidRPr="00BE436C">
              <w:rPr>
                <w:rFonts w:ascii="Times New Roman" w:hAnsi="Times New Roman" w:cs="Times New Roman"/>
                <w:i/>
                <w:iCs/>
                <w:sz w:val="18"/>
                <w:szCs w:val="18"/>
              </w:rPr>
              <w:t>TNFAIP3</w:t>
            </w:r>
            <w:r w:rsidRPr="00BE436C">
              <w:rPr>
                <w:rFonts w:ascii="Times New Roman" w:hAnsi="Times New Roman" w:cs="Times New Roman"/>
                <w:sz w:val="18"/>
                <w:szCs w:val="18"/>
              </w:rPr>
              <w:t xml:space="preserve">) and del 6q25 </w:t>
            </w:r>
            <w:r w:rsidRPr="00BE436C">
              <w:rPr>
                <w:rFonts w:ascii="Times New Roman" w:hAnsi="Times New Roman" w:cs="Times New Roman"/>
                <w:sz w:val="18"/>
                <w:szCs w:val="18"/>
              </w:rPr>
              <w:fldChar w:fldCharType="begin" w:fldLock="1"/>
            </w:r>
            <w:r w:rsidRPr="00BE436C">
              <w:rPr>
                <w:rFonts w:ascii="Times New Roman" w:hAnsi="Times New Roman" w:cs="Times New Roman"/>
                <w:sz w:val="18"/>
                <w:szCs w:val="18"/>
              </w:rPr>
              <w:instrText>ADDIN CSL_CITATION {"citationItems":[{"id":"ITEM-1","itemData":{"DOI":"10.1182/blood-2010-01-264275","ISSN":"0006-4971","PMID":"21115979","abstract":"Marginal zone B-cell lymphomas (MZLs) have been divided into 3 distinct subtypes (extranodal MZLs of mucosa-associated lymphoid tissue [MALT] type, nodal MZLs, and splenic MZLs). Nevertheless, the relationship between the subtypes is still unclear. We performed a comprehensive analysis of genomic DNA copy number changes in a very large series of MZL cases with the aim of addressing this question. Samples from 218 MZL patients (25 nodal, 57 MALT, 134 splenic, and 2 not better specified MZLs) were analyzed with the Affymetrix Human Mapping 250K SNP arrays, and the data combined with matched gene expression in 33 of 218 cases. MALT lymphoma presented significantly more frequently gains at 3p, 6p, 18p, and del(6q23) (TNFAIP3/A20), whereas splenic MZLs was associated with del(7q31), del(8p). Nodal MZLs did not show statistically significant differences compared with MALT lymphoma while lacking the splenic MZLs-related 7q losses. Gains of 3q and 18q were common to all 3 subtypes. del(8p) was often present together with del(17p) (TP53). Although del(17p) did not determine a worse outcome and del(8p) was only of borderline significance, the presence of both deletions had a highly significant negative impact on the outcome of splenic MZLs.","author":[{"dropping-particle":"","family":"Rinaldi","given":"Andrea","non-dropping-particle":"","parse-names":false,"suffix":""},{"dropping-particle":"","family":"Mian","given":"Michael","non-dropping-particle":"","parse-names":false,"suffix":""},{"dropping-particle":"","family":"Chigrinova","given":"Ekaterina","non-dropping-particle":"","parse-names":false,"suffix":""},{"dropping-particle":"","family":"Arcaini","given":"Luca","non-dropping-particle":"","parse-names":false,"suffix":""},{"dropping-particle":"","family":"Bhagat","given":"Govind","non-dropping-particle":"","parse-names":false,"suffix":""},{"dropping-particle":"","family":"Novak","given":"Urban","non-dropping-particle":"","parse-names":false,"suffix":""},{"dropping-particle":"V.","family":"Rancoita","given":"Paola M.","non-dropping-particle":"","parse-names":false,"suffix":""},{"dropping-particle":"","family":"Campos","given":"Cassio P.","non-dropping-particle":"De","parse-names":false,"suffix":""},{"dropping-particle":"","family":"Forconi","given":"Francesco","non-dropping-particle":"","parse-names":false,"suffix":""},{"dropping-particle":"","family":"Gascoyne","given":"Randy D","non-dropping-particle":"","parse-names":false,"suffix":""},{"dropping-particle":"","family":"Facchetti","given":"Fabio","non-dropping-particle":"","parse-names":false,"suffix":""},{"dropping-particle":"","family":"Ponzoni","given":"Maurilio","non-dropping-particle":"","parse-names":false,"suffix":""},{"dropping-particle":"","family":"Govi","given":"Silvia","non-dropping-particle":"","parse-names":false,"suffix":""},{"dropping-particle":"","family":"Ferreri","given":"Andrés J. M.","non-dropping-particle":"","parse-names":false,"suffix":""},{"dropping-particle":"","family":"Mollejo","given":"Manuela","non-dropping-particle":"","parse-names":false,"suffix":""},{"dropping-particle":"","family":"Piris","given":"Miguel A","non-dropping-particle":"","parse-names":false,"suffix":""},{"dropping-particle":"","family":"Baldini","given":"Luca","non-dropping-particle":"","parse-names":false,"suffix":""},{"dropping-particle":"","family":"Soulier","given":"Jean","non-dropping-particle":"","parse-names":false,"suffix":""},{"dropping-particle":"","family":"Thieblemont","given":"Catherine","non-dropping-particle":"","parse-names":false,"suffix":""},{"dropping-particle":"","family":"Canzonieri","given":"Vincenzo","non-dropping-particle":"","parse-names":false,"suffix":""},{"dropping-particle":"","family":"Gattei","given":"Valter","non-dropping-particle":"","parse-names":false,"suffix":""},{"dropping-particle":"","family":"Marasca","given":"Roberto","non-dropping-particle":"","parse-names":false,"suffix":""},{"dropping-particle":"","family":"Franceschetti","given":"Silvia","non-dropping-particle":"","parse-names":false,"suffix":""},{"dropping-particle":"","family":"Gaidano","given":"Gianluca","non-dropping-particle":"","parse-names":false,"suffix":""},{"dropping-particle":"","family":"Tucci","given":"Alessandra","non-dropping-particle":"","parse-names":false,"suffix":""},{"dropping-particle":"","family":"Uccella","given":"Silvia","non-dropping-particle":"","parse-names":false,"suffix":""},{"dropping-particle":"","family":"Tibiletti","given":"Maria Grazia","non-dropping-particle":"","parse-names":false,"suffix":""},{"dropping-particle":"","family":"Dirnhofer","given":"Stephan","non-dropping-particle":"","parse-names":false,"suffix":""},{"dropping-particle":"","family":"Tripodo","given":"Claudio","non-dropping-particle":"","parse-names":false,"suffix":""},{"dropping-particle":"","family":"Doglioni","given":"Claudio","non-dropping-particle":"","parse-names":false,"suffix":""},{"dropping-particle":"","family":"Dalla Favera","given":"Riccardo","non-dropping-particle":"","parse-names":false,"suffix":""},{"dropping-particle":"","family":"Cavalli","given":"Franco","non-dropping-particle":"","parse-names":false,"suffix":""},{"dropping-particle":"","family":"Zucca","given":"Emanuele","non-dropping-particle":"","parse-names":false,"suffix":""},{"dropping-particle":"","family":"Kwee","given":"Ivo","non-dropping-particle":"","parse-names":false,"suffix":""},{"dropping-particle":"","family":"Bertoni","given":"Francesco","non-dropping-particle":"","parse-names":false,"suffix":""}],"container-title":"Blood","id":"ITEM-1","issue":"5","issued":{"date-parts":[["2011","2","3"]]},"page":"1595-1604","title":"Genome-wide DNA profiling of marginal zone lymphomas identifies subtype-specific lesions with an impact on the clinical outcome","type":"article-journal","volume":"117"},"uris":["http://www.mendeley.com/documents/?uuid=6ac62c53-1030-4cf0-9e7a-baca26dde9a6"]}],"mendeley":{"formattedCitation":"(Rinaldi et al., 2011)","plainTextFormattedCitation":"(Rinaldi et al., 2011)","previouslyFormattedCitation":"(Rinaldi et al., 2011)"},"properties":{"noteIndex":0},"schema":"https://github.com/citation-style-language/schema/raw/master/csl-citation.json"}</w:instrText>
            </w:r>
            <w:r w:rsidRPr="00BE436C">
              <w:rPr>
                <w:rFonts w:ascii="Times New Roman" w:hAnsi="Times New Roman" w:cs="Times New Roman"/>
                <w:sz w:val="18"/>
                <w:szCs w:val="18"/>
              </w:rPr>
              <w:fldChar w:fldCharType="separate"/>
            </w:r>
            <w:r w:rsidRPr="00BE436C">
              <w:rPr>
                <w:rFonts w:ascii="Times New Roman" w:hAnsi="Times New Roman" w:cs="Times New Roman"/>
                <w:noProof/>
                <w:sz w:val="18"/>
                <w:szCs w:val="18"/>
              </w:rPr>
              <w:t>(Rinaldi et al., 2011)</w:t>
            </w:r>
            <w:r w:rsidRPr="00BE436C">
              <w:rPr>
                <w:rFonts w:ascii="Times New Roman" w:hAnsi="Times New Roman" w:cs="Times New Roman"/>
                <w:sz w:val="18"/>
                <w:szCs w:val="18"/>
              </w:rPr>
              <w:fldChar w:fldCharType="end"/>
            </w:r>
          </w:p>
        </w:tc>
      </w:tr>
      <w:tr w:rsidR="00F70239" w:rsidRPr="00BE436C" w14:paraId="68612D36" w14:textId="77777777" w:rsidTr="008F7DD3">
        <w:tc>
          <w:tcPr>
            <w:cnfStyle w:val="001000000000" w:firstRow="0" w:lastRow="0" w:firstColumn="1" w:lastColumn="0" w:oddVBand="0" w:evenVBand="0" w:oddHBand="0" w:evenHBand="0" w:firstRowFirstColumn="0" w:firstRowLastColumn="0" w:lastRowFirstColumn="0" w:lastRowLastColumn="0"/>
            <w:tcW w:w="1872" w:type="dxa"/>
            <w:shd w:val="clear" w:color="auto" w:fill="F2F2F2" w:themeFill="background1" w:themeFillShade="F2"/>
          </w:tcPr>
          <w:p w14:paraId="5FB93A62" w14:textId="77777777" w:rsidR="00F70239" w:rsidRPr="00BE436C" w:rsidRDefault="00F70239" w:rsidP="00002888">
            <w:pPr>
              <w:rPr>
                <w:rFonts w:ascii="Times New Roman" w:hAnsi="Times New Roman" w:cs="Times New Roman"/>
                <w:sz w:val="18"/>
                <w:szCs w:val="18"/>
              </w:rPr>
            </w:pPr>
            <w:r w:rsidRPr="00BE436C">
              <w:rPr>
                <w:rFonts w:ascii="Times New Roman" w:hAnsi="Times New Roman" w:cs="Times New Roman"/>
                <w:sz w:val="18"/>
                <w:szCs w:val="18"/>
                <w:lang w:val="en-GB"/>
              </w:rPr>
              <w:t>+12/12q+</w:t>
            </w:r>
          </w:p>
        </w:tc>
        <w:tc>
          <w:tcPr>
            <w:tcW w:w="1872" w:type="dxa"/>
            <w:shd w:val="clear" w:color="auto" w:fill="F2F2F2" w:themeFill="background1" w:themeFillShade="F2"/>
          </w:tcPr>
          <w:p w14:paraId="60019B97"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lang w:val="en-GB"/>
              </w:rPr>
              <w:t>8% - 25%</w:t>
            </w:r>
          </w:p>
        </w:tc>
        <w:tc>
          <w:tcPr>
            <w:tcW w:w="6457" w:type="dxa"/>
            <w:shd w:val="clear" w:color="auto" w:fill="F2F2F2" w:themeFill="background1" w:themeFillShade="F2"/>
          </w:tcPr>
          <w:p w14:paraId="38BACF77"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BE436C">
              <w:rPr>
                <w:rFonts w:ascii="Times New Roman" w:hAnsi="Times New Roman" w:cs="Times New Roman"/>
                <w:sz w:val="18"/>
                <w:szCs w:val="18"/>
                <w:lang w:val="en-GB"/>
              </w:rPr>
              <w:t xml:space="preserve">Trisomy 12 &amp; use of VH3 family variable gene segment were found significantly associated with worse OS in univariate analysis but lost significance in multivariate analysis </w:t>
            </w:r>
            <w:r w:rsidRPr="00BE436C">
              <w:rPr>
                <w:rFonts w:ascii="Times New Roman" w:hAnsi="Times New Roman" w:cs="Times New Roman"/>
                <w:sz w:val="18"/>
                <w:szCs w:val="18"/>
                <w:lang w:val="en-GB"/>
              </w:rPr>
              <w:fldChar w:fldCharType="begin" w:fldLock="1"/>
            </w:r>
            <w:r w:rsidRPr="00BE436C">
              <w:rPr>
                <w:rFonts w:ascii="Times New Roman" w:hAnsi="Times New Roman" w:cs="Times New Roman"/>
                <w:sz w:val="18"/>
                <w:szCs w:val="18"/>
                <w:lang w:val="en-GB"/>
              </w:rPr>
              <w:instrText>ADDIN CSL_CITATION {"citationItems":[{"id":"ITEM-1","itemData":{"DOI":"10.1002/path","ISBN":"1096-9896 (Electronic)\\r0022-3417 (Linking)","ISSN":"1096-9896","PMID":"19927301","abstract":"The functional significance of changes in nuclear structure and organization in transformed cells remains one of the most enigmatic questions in cancer biology. In this review, we discuss relationships between nuclear organization and transcription in terms of the three-dimensional arrangement of genes in the interphase cancer nucleus and the regulatory functions of nuclear matrix proteins. We also analyse the role of nuclear topology in the generation of gene fusions. We speculate that this type of multi-layered analysis will one day provide a framework for a more comprehensive understanding of the genetic origins of cancer and the identification of new therapeutic targets.","author":[{"dropping-particle":"","family":"Watkins","given":"James","non-dropping-particle":"","parse-names":false,"suffix":""},{"dropping-particle":"","family":"Huang","given":"Yuanxue","non-dropping-particle":"","parse-names":false,"suffix":""},{"dropping-particle":"","family":"Ye","given":"Hongtao","non-dropping-particle":"","parse-names":false,"suffix":""},{"dropping-particle":"","family":"Chanudet","given":"Estelle","non-dropping-particle":"","parse-names":false,"suffix":""},{"dropping-particle":"","family":"Johnson","given":"Nicola","non-dropping-particle":"","parse-names":false,"suffix":""},{"dropping-particle":"","family":"Hamoudi","given":"Rifat","non-dropping-particle":"","parse-names":false,"suffix":""},{"dropping-particle":"","family":"Liu","given":"Hongxiang","non-dropping-particle":"","parse-names":false,"suffix":""},{"dropping-particle":"","family":"Dong","given":"Gehong","non-dropping-particle":"","parse-names":false,"suffix":""},{"dropping-particle":"","family":"Attygalle","given":"Ayoma","non-dropping-particle":"","parse-names":false,"suffix":""},{"dropping-particle":"","family":"McPhail","given":"Ellen D.","non-dropping-particle":"","parse-names":false,"suffix":""},{"dropping-particle":"","family":"Law","given":"Mark E.","non-dropping-particle":"","parse-names":false,"suffix":""},{"dropping-particle":"","family":"Isaacson","given":"Peter G.","non-dropping-particle":"","parse-names":false,"suffix":""},{"dropping-particle":"","family":"Leval","given":"Laurence","non-dropping-particle":"de","parse-names":false,"suffix":""},{"dropping-particle":"","family":"Wotherspoon","given":"Andrew","non-dropping-particle":"","parse-names":false,"suffix":""},{"dropping-particle":"","family":"Du","given":"Ming-Qing","non-dropping-particle":"","parse-names":false,"suffix":""}],"container-title":"The Journal of pathology","id":"ITEM-1","issue":"September","issued":{"date-parts":[["2010"]]},"page":"114-125","title":"Splenic marginal zone lymphoma: characterization of 7q deletion and its value in diagnosis","type":"article-journal","volume":"220"},"uris":["http://www.mendeley.com/documents/?uuid=d90b808d-0a21-4c00-920d-ff172cebe4a8"]}],"mendeley":{"formattedCitation":"(Watkins et al., 2010)","plainTextFormattedCitation":"(Watkins et al., 2010)","previouslyFormattedCitation":"(Watkins et al., 2010)"},"properties":{"noteIndex":0},"schema":"https://github.com/citation-style-language/schema/raw/master/csl-citation.json"}</w:instrText>
            </w:r>
            <w:r w:rsidRPr="00BE436C">
              <w:rPr>
                <w:rFonts w:ascii="Times New Roman" w:hAnsi="Times New Roman" w:cs="Times New Roman"/>
                <w:sz w:val="18"/>
                <w:szCs w:val="18"/>
                <w:lang w:val="en-GB"/>
              </w:rPr>
              <w:fldChar w:fldCharType="separate"/>
            </w:r>
            <w:r w:rsidRPr="00BE436C">
              <w:rPr>
                <w:rFonts w:ascii="Times New Roman" w:hAnsi="Times New Roman" w:cs="Times New Roman"/>
                <w:noProof/>
                <w:sz w:val="18"/>
                <w:szCs w:val="18"/>
                <w:lang w:val="en-GB"/>
              </w:rPr>
              <w:t>(Watkins et al., 2010)</w:t>
            </w:r>
            <w:r w:rsidRPr="00BE436C">
              <w:rPr>
                <w:rFonts w:ascii="Times New Roman" w:hAnsi="Times New Roman" w:cs="Times New Roman"/>
                <w:sz w:val="18"/>
                <w:szCs w:val="18"/>
                <w:lang w:val="en-GB"/>
              </w:rPr>
              <w:fldChar w:fldCharType="end"/>
            </w:r>
          </w:p>
          <w:p w14:paraId="71B5D960"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lang w:val="en-GB"/>
              </w:rPr>
              <w:t xml:space="preserve">Associated with gain of chromosome 3 </w:t>
            </w:r>
            <w:r w:rsidRPr="00BE436C">
              <w:rPr>
                <w:rFonts w:ascii="Times New Roman" w:hAnsi="Times New Roman" w:cs="Times New Roman"/>
                <w:sz w:val="18"/>
                <w:szCs w:val="18"/>
                <w:lang w:val="en-GB"/>
              </w:rPr>
              <w:fldChar w:fldCharType="begin" w:fldLock="1"/>
            </w:r>
            <w:r w:rsidRPr="00BE436C">
              <w:rPr>
                <w:rFonts w:ascii="Times New Roman" w:hAnsi="Times New Roman" w:cs="Times New Roman"/>
                <w:sz w:val="18"/>
                <w:szCs w:val="18"/>
                <w:lang w:val="en-GB"/>
              </w:rPr>
              <w:instrText>ADDIN CSL_CITATION {"citationItems":[{"id":"ITEM-1","itemData":{"DOI":"10.1182/blood-2010-02-267476","ISSN":"0006-4971","abstract":"We conducted a retrospective collaborative study to cytogenetically characterize splenic marginal zone lymphoma (SMZL) and ascertain the prognostic value of chromosomal aberrations. Of 330 cases, 72% displayed an aberrant karyotype, 53% were complex, and 29% had a single aberration. The predominant aberrations were gains of 3/3q and 12q, deletions of 7q and 6q and translocations involving 8q/1q/14q. CD5 expression was detected in 39 of 158 cases (25%). The cytogenetic makeup of the CD5+ group differed significantly from that of the CD5− group. Cases with unmutated IGHV were significantly associated with deletions of 7q and TP53. A strong association was noted between usage of the IGVH1-2 and deletion 7q, 14q alterations, and abnormal karyotype. On univariate analysis, patients with more than or equal to 2 aberrations, 14q alterations, and TP53 deletions had the shortest survival; 7q deletion did not affect survival. On multivariate analysis, cytogenetic aberrations did not retain prognostic significance; the parameters negatively affecting survival were hemoglobin and age. In conclusion, the cytogenetic profile of SMZL is distinct from other B-cell lymphomas. Complexity of the karyotype, 14q aberrations, and TP53 deletions are poor prognostic indicators and may be considered together with other clinicobiologic parameters to ascertain the prognosis of SMZL.","author":[{"dropping-particle":"","family":"Salido","given":"Marta","non-dropping-particle":"","parse-names":false,"suffix":""},{"dropping-particle":"","family":"Baró","given":"Cristina","non-dropping-particle":"","parse-names":false,"suffix":""},{"dropping-particle":"","family":"Oscier","given":"David","non-dropping-particle":"","parse-names":false,"suffix":""},{"dropping-particle":"","family":"Stamatopoulos","given":"Kostas","non-dropping-particle":"","parse-names":false,"suffix":""},{"dropping-particle":"","family":"Dierlamm","given":"Judith","non-dropping-particle":"","parse-names":false,"suffix":""},{"dropping-particle":"","family":"Matutes","given":"Estela","non-dropping-particle":"","parse-names":false,"suffix":""},{"dropping-particle":"","family":"Traverse-Glehen","given":"Alexandra","non-dropping-particle":"","parse-names":false,"suffix":""},{"dropping-particle":"","family":"Berger","given":"Francoise","non-dropping-particle":"","parse-names":false,"suffix":""},{"dropping-particle":"","family":"Felman","given":"Pascale","non-dropping-particle":"","parse-names":false,"suffix":""},{"dropping-particle":"","family":"Thieblemont","given":"Catherine","non-dropping-particle":"","parse-names":false,"suffix":""},{"dropping-particle":"","family":"Gesk","given":"Stefan","non-dropping-particle":"","parse-names":false,"suffix":""},{"dropping-particle":"","family":"Athanasiadou","given":"Anastasia","non-dropping-particle":"","parse-names":false,"suffix":""},{"dropping-particle":"","family":"Davis","given":"Zadie","non-dropping-particle":"","parse-names":false,"suffix":""},{"dropping-particle":"","family":"Gardiner","given":"Anne","non-dropping-particle":"","parse-names":false,"suffix":""},{"dropping-particle":"","family":"Milla","given":"Fuensanta","non-dropping-particle":"","parse-names":false,"suffix":""},{"dropping-particle":"","family":"Ferrer","given":"Ana","non-dropping-particle":"","parse-names":false,"suffix":""},{"dropping-particle":"","family":"Mollejo","given":"Manuela","non-dropping-particle":"","parse-names":false,"suffix":""},{"dropping-particle":"","family":"Calasanz","given":"Maria José","non-dropping-particle":"","parse-names":false,"suffix":""},{"dropping-particle":"","family":"Florensa","given":"Lourdes","non-dropping-particle":"","parse-names":false,"suffix":""},{"dropping-particle":"","family":"Espinet","given":"Blanca","non-dropping-particle":"","parse-names":false,"suffix":""},{"dropping-particle":"","family":"Luño","given":"Elisa","non-dropping-particle":"","parse-names":false,"suffix":""},{"dropping-particle":"","family":"Wlodarska","given":"Iwona","non-dropping-particle":"","parse-names":false,"suffix":""},{"dropping-particle":"","family":"Verhoef","given":"Gregor","non-dropping-particle":"","parse-names":false,"suffix":""},{"dropping-particle":"","family":"García-Granero","given":"Marta","non-dropping-particle":"","parse-names":false,"suffix":""},{"dropping-particle":"","family":"Salar","given":"Antonio","non-dropping-particle":"","parse-names":false,"suffix":""},{"dropping-particle":"","family":"Papadaki","given":"Theodora","non-dropping-particle":"","parse-names":false,"suffix":""},{"dropping-particle":"","family":"Serrano","given":"Sergio","non-dropping-particle":"","parse-names":false,"suffix":""},{"dropping-particle":"","family":"Piris","given":"Miguel A.","non-dropping-particle":"","parse-names":false,"suffix":""},{"dropping-particle":"","family":"Solé","given":"Francesc","non-dropping-particle":"","parse-names":false,"suffix":""}],"container-title":"Blood","id":"ITEM-1","issue":"9","issued":{"date-parts":[["2010","9","2"]]},"page":"1479-1488","title":"Cytogenetic aberrations and their prognostic value in a series of 330 splenic marginal zone B-cell lymphomas: a multicenter study of the Splenic B-Cell Lymphoma Group","type":"article-journal","volume":"116"},"uris":["http://www.mendeley.com/documents/?uuid=00dbce41-c817-49fc-b697-553243a471a1"]}],"mendeley":{"formattedCitation":"(Salido et al., 2010)","plainTextFormattedCitation":"(Salido et al., 2010)","previouslyFormattedCitation":"(Salido et al., 2010)"},"properties":{"noteIndex":0},"schema":"https://github.com/citation-style-language/schema/raw/master/csl-citation.json"}</w:instrText>
            </w:r>
            <w:r w:rsidRPr="00BE436C">
              <w:rPr>
                <w:rFonts w:ascii="Times New Roman" w:hAnsi="Times New Roman" w:cs="Times New Roman"/>
                <w:sz w:val="18"/>
                <w:szCs w:val="18"/>
                <w:lang w:val="en-GB"/>
              </w:rPr>
              <w:fldChar w:fldCharType="separate"/>
            </w:r>
            <w:r w:rsidRPr="00BE436C">
              <w:rPr>
                <w:rFonts w:ascii="Times New Roman" w:hAnsi="Times New Roman" w:cs="Times New Roman"/>
                <w:noProof/>
                <w:sz w:val="18"/>
                <w:szCs w:val="18"/>
                <w:lang w:val="en-GB"/>
              </w:rPr>
              <w:t>(Salido et al., 2010)</w:t>
            </w:r>
            <w:r w:rsidRPr="00BE436C">
              <w:rPr>
                <w:rFonts w:ascii="Times New Roman" w:hAnsi="Times New Roman" w:cs="Times New Roman"/>
                <w:sz w:val="18"/>
                <w:szCs w:val="18"/>
                <w:lang w:val="en-GB"/>
              </w:rPr>
              <w:fldChar w:fldCharType="end"/>
            </w:r>
          </w:p>
        </w:tc>
      </w:tr>
      <w:tr w:rsidR="00F70239" w:rsidRPr="00BE436C" w14:paraId="7E062CC1" w14:textId="77777777" w:rsidTr="00002888">
        <w:tc>
          <w:tcPr>
            <w:cnfStyle w:val="001000000000" w:firstRow="0" w:lastRow="0" w:firstColumn="1" w:lastColumn="0" w:oddVBand="0" w:evenVBand="0" w:oddHBand="0" w:evenHBand="0" w:firstRowFirstColumn="0" w:firstRowLastColumn="0" w:lastRowFirstColumn="0" w:lastRowLastColumn="0"/>
            <w:tcW w:w="1872" w:type="dxa"/>
          </w:tcPr>
          <w:p w14:paraId="73105BD6" w14:textId="77777777" w:rsidR="00F70239" w:rsidRPr="00BE436C" w:rsidRDefault="00F70239" w:rsidP="00002888">
            <w:pPr>
              <w:rPr>
                <w:rFonts w:ascii="Times New Roman" w:hAnsi="Times New Roman" w:cs="Times New Roman"/>
                <w:sz w:val="18"/>
                <w:szCs w:val="18"/>
              </w:rPr>
            </w:pPr>
            <w:r w:rsidRPr="00BE436C">
              <w:rPr>
                <w:rFonts w:ascii="Times New Roman" w:hAnsi="Times New Roman" w:cs="Times New Roman"/>
                <w:sz w:val="18"/>
                <w:szCs w:val="18"/>
                <w:lang w:val="en-GB"/>
              </w:rPr>
              <w:t>+18/18q+</w:t>
            </w:r>
          </w:p>
        </w:tc>
        <w:tc>
          <w:tcPr>
            <w:tcW w:w="1872" w:type="dxa"/>
          </w:tcPr>
          <w:p w14:paraId="55A01E2C"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lang w:val="en-GB"/>
              </w:rPr>
              <w:t>8% - 23%</w:t>
            </w:r>
          </w:p>
        </w:tc>
        <w:tc>
          <w:tcPr>
            <w:tcW w:w="6457" w:type="dxa"/>
          </w:tcPr>
          <w:p w14:paraId="7AB25A84"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BE436C">
              <w:rPr>
                <w:rFonts w:ascii="Times New Roman" w:hAnsi="Times New Roman" w:cs="Times New Roman"/>
                <w:sz w:val="18"/>
                <w:szCs w:val="18"/>
                <w:lang w:val="en-GB"/>
              </w:rPr>
              <w:t xml:space="preserve">Mutually exclusive to 7q deletions </w:t>
            </w:r>
            <w:r w:rsidRPr="00BE436C">
              <w:rPr>
                <w:rFonts w:ascii="Times New Roman" w:hAnsi="Times New Roman" w:cs="Times New Roman"/>
                <w:sz w:val="18"/>
                <w:szCs w:val="18"/>
                <w:lang w:val="en-GB"/>
              </w:rPr>
              <w:fldChar w:fldCharType="begin" w:fldLock="1"/>
            </w:r>
            <w:r w:rsidRPr="00BE436C">
              <w:rPr>
                <w:rFonts w:ascii="Times New Roman" w:hAnsi="Times New Roman" w:cs="Times New Roman"/>
                <w:sz w:val="18"/>
                <w:szCs w:val="18"/>
                <w:lang w:val="en-GB"/>
              </w:rPr>
              <w:instrText>ADDIN CSL_CITATION {"citationItems":[{"id":"ITEM-1","itemData":{"DOI":"10.1002/path","ISBN":"1096-9896 (Electronic)\\r0022-3417 (Linking)","ISSN":"1096-9896","PMID":"19927301","abstract":"The functional significance of changes in nuclear structure and organization in transformed cells remains one of the most enigmatic questions in cancer biology. In this review, we discuss relationships between nuclear organization and transcription in terms of the three-dimensional arrangement of genes in the interphase cancer nucleus and the regulatory functions of nuclear matrix proteins. We also analyse the role of nuclear topology in the generation of gene fusions. We speculate that this type of multi-layered analysis will one day provide a framework for a more comprehensive understanding of the genetic origins of cancer and the identification of new therapeutic targets.","author":[{"dropping-particle":"","family":"Watkins","given":"James","non-dropping-particle":"","parse-names":false,"suffix":""},{"dropping-particle":"","family":"Huang","given":"Yuanxue","non-dropping-particle":"","parse-names":false,"suffix":""},{"dropping-particle":"","family":"Ye","given":"Hongtao","non-dropping-particle":"","parse-names":false,"suffix":""},{"dropping-particle":"","family":"Chanudet","given":"Estelle","non-dropping-particle":"","parse-names":false,"suffix":""},{"dropping-particle":"","family":"Johnson","given":"Nicola","non-dropping-particle":"","parse-names":false,"suffix":""},{"dropping-particle":"","family":"Hamoudi","given":"Rifat","non-dropping-particle":"","parse-names":false,"suffix":""},{"dropping-particle":"","family":"Liu","given":"Hongxiang","non-dropping-particle":"","parse-names":false,"suffix":""},{"dropping-particle":"","family":"Dong","given":"Gehong","non-dropping-particle":"","parse-names":false,"suffix":""},{"dropping-particle":"","family":"Attygalle","given":"Ayoma","non-dropping-particle":"","parse-names":false,"suffix":""},{"dropping-particle":"","family":"McPhail","given":"Ellen D.","non-dropping-particle":"","parse-names":false,"suffix":""},{"dropping-particle":"","family":"Law","given":"Mark E.","non-dropping-particle":"","parse-names":false,"suffix":""},{"dropping-particle":"","family":"Isaacson","given":"Peter G.","non-dropping-particle":"","parse-names":false,"suffix":""},{"dropping-particle":"","family":"Leval","given":"Laurence","non-dropping-particle":"de","parse-names":false,"suffix":""},{"dropping-particle":"","family":"Wotherspoon","given":"Andrew","non-dropping-particle":"","parse-names":false,"suffix":""},{"dropping-particle":"","family":"Du","given":"Ming-Qing","non-dropping-particle":"","parse-names":false,"suffix":""}],"container-title":"The Journal of pathology","id":"ITEM-1","issue":"September","issued":{"date-parts":[["2010"]]},"page":"114-125","title":"Splenic marginal zone lymphoma: characterization of 7q deletion and its value in diagnosis","type":"article-journal","volume":"220"},"uris":["http://www.mendeley.com/documents/?uuid=d90b808d-0a21-4c00-920d-ff172cebe4a8"]}],"mendeley":{"formattedCitation":"(Watkins et al., 2010)","plainTextFormattedCitation":"(Watkins et al., 2010)","previouslyFormattedCitation":"(Watkins et al., 2010)"},"properties":{"noteIndex":0},"schema":"https://github.com/citation-style-language/schema/raw/master/csl-citation.json"}</w:instrText>
            </w:r>
            <w:r w:rsidRPr="00BE436C">
              <w:rPr>
                <w:rFonts w:ascii="Times New Roman" w:hAnsi="Times New Roman" w:cs="Times New Roman"/>
                <w:sz w:val="18"/>
                <w:szCs w:val="18"/>
                <w:lang w:val="en-GB"/>
              </w:rPr>
              <w:fldChar w:fldCharType="separate"/>
            </w:r>
            <w:r w:rsidRPr="00BE436C">
              <w:rPr>
                <w:rFonts w:ascii="Times New Roman" w:hAnsi="Times New Roman" w:cs="Times New Roman"/>
                <w:noProof/>
                <w:sz w:val="18"/>
                <w:szCs w:val="18"/>
                <w:lang w:val="en-GB"/>
              </w:rPr>
              <w:t>(Watkins et al., 2010)</w:t>
            </w:r>
            <w:r w:rsidRPr="00BE436C">
              <w:rPr>
                <w:rFonts w:ascii="Times New Roman" w:hAnsi="Times New Roman" w:cs="Times New Roman"/>
                <w:sz w:val="18"/>
                <w:szCs w:val="18"/>
                <w:lang w:val="en-GB"/>
              </w:rPr>
              <w:fldChar w:fldCharType="end"/>
            </w:r>
          </w:p>
          <w:p w14:paraId="274786AC"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BE436C">
              <w:rPr>
                <w:rFonts w:ascii="Times New Roman" w:hAnsi="Times New Roman" w:cs="Times New Roman"/>
                <w:sz w:val="18"/>
                <w:szCs w:val="18"/>
                <w:lang w:val="en-GB"/>
              </w:rPr>
              <w:t xml:space="preserve">Associated with gain of chromosome 3 </w:t>
            </w:r>
            <w:r w:rsidRPr="00BE436C">
              <w:rPr>
                <w:rFonts w:ascii="Times New Roman" w:hAnsi="Times New Roman" w:cs="Times New Roman"/>
                <w:sz w:val="18"/>
                <w:szCs w:val="18"/>
                <w:lang w:val="en-GB"/>
              </w:rPr>
              <w:fldChar w:fldCharType="begin" w:fldLock="1"/>
            </w:r>
            <w:r w:rsidRPr="00BE436C">
              <w:rPr>
                <w:rFonts w:ascii="Times New Roman" w:hAnsi="Times New Roman" w:cs="Times New Roman"/>
                <w:sz w:val="18"/>
                <w:szCs w:val="18"/>
                <w:lang w:val="en-GB"/>
              </w:rPr>
              <w:instrText>ADDIN CSL_CITATION {"citationItems":[{"id":"ITEM-1","itemData":{"DOI":"10.1182/blood-2010-02-267476","ISSN":"0006-4971","abstract":"We conducted a retrospective collaborative study to cytogenetically characterize splenic marginal zone lymphoma (SMZL) and ascertain the prognostic value of chromosomal aberrations. Of 330 cases, 72% displayed an aberrant karyotype, 53% were complex, and 29% had a single aberration. The predominant aberrations were gains of 3/3q and 12q, deletions of 7q and 6q and translocations involving 8q/1q/14q. CD5 expression was detected in 39 of 158 cases (25%). The cytogenetic makeup of the CD5+ group differed significantly from that of the CD5− group. Cases with unmutated IGHV were significantly associated with deletions of 7q and TP53. A strong association was noted between usage of the IGVH1-2 and deletion 7q, 14q alterations, and abnormal karyotype. On univariate analysis, patients with more than or equal to 2 aberrations, 14q alterations, and TP53 deletions had the shortest survival; 7q deletion did not affect survival. On multivariate analysis, cytogenetic aberrations did not retain prognostic significance; the parameters negatively affecting survival were hemoglobin and age. In conclusion, the cytogenetic profile of SMZL is distinct from other B-cell lymphomas. Complexity of the karyotype, 14q aberrations, and TP53 deletions are poor prognostic indicators and may be considered together with other clinicobiologic parameters to ascertain the prognosis of SMZL.","author":[{"dropping-particle":"","family":"Salido","given":"Marta","non-dropping-particle":"","parse-names":false,"suffix":""},{"dropping-particle":"","family":"Baró","given":"Cristina","non-dropping-particle":"","parse-names":false,"suffix":""},{"dropping-particle":"","family":"Oscier","given":"David","non-dropping-particle":"","parse-names":false,"suffix":""},{"dropping-particle":"","family":"Stamatopoulos","given":"Kostas","non-dropping-particle":"","parse-names":false,"suffix":""},{"dropping-particle":"","family":"Dierlamm","given":"Judith","non-dropping-particle":"","parse-names":false,"suffix":""},{"dropping-particle":"","family":"Matutes","given":"Estela","non-dropping-particle":"","parse-names":false,"suffix":""},{"dropping-particle":"","family":"Traverse-Glehen","given":"Alexandra","non-dropping-particle":"","parse-names":false,"suffix":""},{"dropping-particle":"","family":"Berger","given":"Francoise","non-dropping-particle":"","parse-names":false,"suffix":""},{"dropping-particle":"","family":"Felman","given":"Pascale","non-dropping-particle":"","parse-names":false,"suffix":""},{"dropping-particle":"","family":"Thieblemont","given":"Catherine","non-dropping-particle":"","parse-names":false,"suffix":""},{"dropping-particle":"","family":"Gesk","given":"Stefan","non-dropping-particle":"","parse-names":false,"suffix":""},{"dropping-particle":"","family":"Athanasiadou","given":"Anastasia","non-dropping-particle":"","parse-names":false,"suffix":""},{"dropping-particle":"","family":"Davis","given":"Zadie","non-dropping-particle":"","parse-names":false,"suffix":""},{"dropping-particle":"","family":"Gardiner","given":"Anne","non-dropping-particle":"","parse-names":false,"suffix":""},{"dropping-particle":"","family":"Milla","given":"Fuensanta","non-dropping-particle":"","parse-names":false,"suffix":""},{"dropping-particle":"","family":"Ferrer","given":"Ana","non-dropping-particle":"","parse-names":false,"suffix":""},{"dropping-particle":"","family":"Mollejo","given":"Manuela","non-dropping-particle":"","parse-names":false,"suffix":""},{"dropping-particle":"","family":"Calasanz","given":"Maria José","non-dropping-particle":"","parse-names":false,"suffix":""},{"dropping-particle":"","family":"Florensa","given":"Lourdes","non-dropping-particle":"","parse-names":false,"suffix":""},{"dropping-particle":"","family":"Espinet","given":"Blanca","non-dropping-particle":"","parse-names":false,"suffix":""},{"dropping-particle":"","family":"Luño","given":"Elisa","non-dropping-particle":"","parse-names":false,"suffix":""},{"dropping-particle":"","family":"Wlodarska","given":"Iwona","non-dropping-particle":"","parse-names":false,"suffix":""},{"dropping-particle":"","family":"Verhoef","given":"Gregor","non-dropping-particle":"","parse-names":false,"suffix":""},{"dropping-particle":"","family":"García-Granero","given":"Marta","non-dropping-particle":"","parse-names":false,"suffix":""},{"dropping-particle":"","family":"Salar","given":"Antonio","non-dropping-particle":"","parse-names":false,"suffix":""},{"dropping-particle":"","family":"Papadaki","given":"Theodora","non-dropping-particle":"","parse-names":false,"suffix":""},{"dropping-particle":"","family":"Serrano","given":"Sergio","non-dropping-particle":"","parse-names":false,"suffix":""},{"dropping-particle":"","family":"Piris","given":"Miguel A.","non-dropping-particle":"","parse-names":false,"suffix":""},{"dropping-particle":"","family":"Solé","given":"Francesc","non-dropping-particle":"","parse-names":false,"suffix":""}],"container-title":"Blood","id":"ITEM-1","issue":"9","issued":{"date-parts":[["2010","9","2"]]},"page":"1479-1488","title":"Cytogenetic aberrations and their prognostic value in a series of 330 splenic marginal zone B-cell lymphomas: a multicenter study of the Splenic B-Cell Lymphoma Group","type":"article-journal","volume":"116"},"uris":["http://www.mendeley.com/documents/?uuid=00dbce41-c817-49fc-b697-553243a471a1"]}],"mendeley":{"formattedCitation":"(Salido et al., 2010)","plainTextFormattedCitation":"(Salido et al., 2010)","previouslyFormattedCitation":"(Salido et al., 2010)"},"properties":{"noteIndex":0},"schema":"https://github.com/citation-style-language/schema/raw/master/csl-citation.json"}</w:instrText>
            </w:r>
            <w:r w:rsidRPr="00BE436C">
              <w:rPr>
                <w:rFonts w:ascii="Times New Roman" w:hAnsi="Times New Roman" w:cs="Times New Roman"/>
                <w:sz w:val="18"/>
                <w:szCs w:val="18"/>
                <w:lang w:val="en-GB"/>
              </w:rPr>
              <w:fldChar w:fldCharType="separate"/>
            </w:r>
            <w:r w:rsidRPr="00BE436C">
              <w:rPr>
                <w:rFonts w:ascii="Times New Roman" w:hAnsi="Times New Roman" w:cs="Times New Roman"/>
                <w:noProof/>
                <w:sz w:val="18"/>
                <w:szCs w:val="18"/>
                <w:lang w:val="en-GB"/>
              </w:rPr>
              <w:t>(Salido et al., 2010)</w:t>
            </w:r>
            <w:r w:rsidRPr="00BE436C">
              <w:rPr>
                <w:rFonts w:ascii="Times New Roman" w:hAnsi="Times New Roman" w:cs="Times New Roman"/>
                <w:sz w:val="18"/>
                <w:szCs w:val="18"/>
                <w:lang w:val="en-GB"/>
              </w:rPr>
              <w:fldChar w:fldCharType="end"/>
            </w:r>
          </w:p>
        </w:tc>
      </w:tr>
      <w:tr w:rsidR="00F70239" w:rsidRPr="00BE436C" w14:paraId="0BF193EF" w14:textId="77777777" w:rsidTr="008F7DD3">
        <w:tc>
          <w:tcPr>
            <w:cnfStyle w:val="001000000000" w:firstRow="0" w:lastRow="0" w:firstColumn="1" w:lastColumn="0" w:oddVBand="0" w:evenVBand="0" w:oddHBand="0" w:evenHBand="0" w:firstRowFirstColumn="0" w:firstRowLastColumn="0" w:lastRowFirstColumn="0" w:lastRowLastColumn="0"/>
            <w:tcW w:w="1872" w:type="dxa"/>
            <w:shd w:val="clear" w:color="auto" w:fill="F2F2F2" w:themeFill="background1" w:themeFillShade="F2"/>
          </w:tcPr>
          <w:p w14:paraId="4DEFD1C3" w14:textId="77777777" w:rsidR="00F70239" w:rsidRPr="00BE436C" w:rsidRDefault="00F70239" w:rsidP="00002888">
            <w:pPr>
              <w:rPr>
                <w:rFonts w:ascii="Times New Roman" w:hAnsi="Times New Roman" w:cs="Times New Roman"/>
                <w:sz w:val="18"/>
                <w:szCs w:val="18"/>
              </w:rPr>
            </w:pPr>
            <w:r w:rsidRPr="00BE436C">
              <w:rPr>
                <w:rFonts w:ascii="Times New Roman" w:hAnsi="Times New Roman" w:cs="Times New Roman"/>
                <w:sz w:val="18"/>
                <w:szCs w:val="18"/>
                <w:lang w:val="en-GB"/>
              </w:rPr>
              <w:lastRenderedPageBreak/>
              <w:t>8q+</w:t>
            </w:r>
          </w:p>
        </w:tc>
        <w:tc>
          <w:tcPr>
            <w:tcW w:w="1872" w:type="dxa"/>
            <w:shd w:val="clear" w:color="auto" w:fill="F2F2F2" w:themeFill="background1" w:themeFillShade="F2"/>
          </w:tcPr>
          <w:p w14:paraId="044F042E"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lang w:val="en-GB"/>
              </w:rPr>
              <w:t>2% - 20%</w:t>
            </w:r>
          </w:p>
        </w:tc>
        <w:tc>
          <w:tcPr>
            <w:tcW w:w="6457" w:type="dxa"/>
            <w:shd w:val="clear" w:color="auto" w:fill="F2F2F2" w:themeFill="background1" w:themeFillShade="F2"/>
          </w:tcPr>
          <w:p w14:paraId="6660001F" w14:textId="77777777" w:rsidR="00F70239" w:rsidRPr="00BE436C" w:rsidRDefault="00F70239" w:rsidP="000028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hAnsi="Times New Roman" w:cs="Times New Roman"/>
                <w:sz w:val="18"/>
                <w:szCs w:val="18"/>
                <w:lang w:val="en-GB"/>
              </w:rPr>
              <w:t xml:space="preserve">Gains of 8q that include </w:t>
            </w:r>
            <w:r w:rsidRPr="00BE436C">
              <w:rPr>
                <w:rFonts w:ascii="Times New Roman" w:hAnsi="Times New Roman" w:cs="Times New Roman"/>
                <w:i/>
                <w:iCs/>
                <w:sz w:val="18"/>
                <w:szCs w:val="18"/>
                <w:lang w:val="en-GB"/>
              </w:rPr>
              <w:t>MYC</w:t>
            </w:r>
            <w:r w:rsidRPr="00BE436C">
              <w:rPr>
                <w:rFonts w:ascii="Times New Roman" w:hAnsi="Times New Roman" w:cs="Times New Roman"/>
                <w:sz w:val="18"/>
                <w:szCs w:val="18"/>
                <w:lang w:val="en-GB"/>
              </w:rPr>
              <w:t xml:space="preserve"> gene locus were associated with poor clinical outcomes </w:t>
            </w:r>
            <w:r w:rsidRPr="00BE436C">
              <w:rPr>
                <w:rFonts w:ascii="Times New Roman" w:hAnsi="Times New Roman" w:cs="Times New Roman"/>
                <w:sz w:val="18"/>
                <w:szCs w:val="18"/>
                <w:lang w:val="en-GB"/>
              </w:rPr>
              <w:fldChar w:fldCharType="begin" w:fldLock="1"/>
            </w:r>
            <w:r w:rsidRPr="00BE436C">
              <w:rPr>
                <w:rFonts w:ascii="Times New Roman" w:hAnsi="Times New Roman" w:cs="Times New Roman"/>
                <w:sz w:val="18"/>
                <w:szCs w:val="18"/>
                <w:lang w:val="en-GB"/>
              </w:rPr>
              <w:instrText>ADDIN CSL_CITATION {"citationItems":[{"id":"ITEM-1","itemData":{"DOI":"10.1111/j.1365-2141.2012.09226.x","ISSN":"00071048","abstract":"Using high-resolution genomic microarray analysis, a distinct genomic profile was defined in 114 samples from patients with splenic marginal zone lymphoma (SMZL). Deletion or uniparental disomy of chromosome 7q were detected in 42 of 114 (37%) SMZLs but in only nine of 170 (5%) mature B-cell lymphomas (P &lt; 0·00001). The presence of unmutated IGHV, genomic complexity, 17p13-TP53 deletion and 8q-MYC gain, but not 7q deletion, correlated with shorter overall survival of SMZL patients. Mapping studies narrowed down a commonly deleted region of 2·7 Mb in 7q32.1-q32.2 spanning a region between the SND1 and COPG2 genes. High-throughput sequencing analysis of the 7q32-deleted segment did not identify biallelic deletions/insertions or clear pathogenic gene mutations, but detected six nucleotide changes in IRF5 (n = 2), TMEM209 (n = 2), CALU (n = 1) and ZC3HC1 (n = 1) not found in healthy individuals. Comparative expression analysis found a fourfold down-regulation of IRF5 gene in lymphomas with 7q32 deletion versus non-deleted tumours (P = 0·032). Ectopic expression of IRF5 in marginal-zone lymphoma cells decreased proliferation and increased apoptosis in vitro, and impaired lymphoma development in vivo. These results show that cryptic deletions, insertions and/or point mutations inactivating genes within 7q32 are not common in SMZL, and suggest that IRF5 may be a haploinsufficient tumour suppressor in this lymphoma entity.","author":[{"dropping-particle":"","family":"Fresquet","given":"Vicente","non-dropping-particle":"","parse-names":false,"suffix":""},{"dropping-particle":"","family":"Robles","given":"Eloy F.","non-dropping-particle":"","parse-names":false,"suffix":""},{"dropping-particle":"","family":"Parker","given":"Anton","non-dropping-particle":"","parse-names":false,"suffix":""},{"dropping-particle":"","family":"Martinez-Useros","given":"Javier","non-dropping-particle":"","parse-names":false,"suffix":""},{"dropping-particle":"","family":"Mena","given":"Maria","non-dropping-particle":"","parse-names":false,"suffix":""},{"dropping-particle":"","family":"Malumbres","given":"Raquel","non-dropping-particle":"","parse-names":false,"suffix":""},{"dropping-particle":"","family":"Agirre","given":"Xabier","non-dropping-particle":"","parse-names":false,"suffix":""},{"dropping-particle":"","family":"Catarino","given":"Susana","non-dropping-particle":"","parse-names":false,"suffix":""},{"dropping-particle":"","family":"Arteta","given":"David","non-dropping-particle":"","parse-names":false,"suffix":""},{"dropping-particle":"","family":"Osaba","given":"Lourdes","non-dropping-particle":"","parse-names":false,"suffix":""},{"dropping-particle":"","family":"Mollejo","given":"Manuela","non-dropping-particle":"","parse-names":false,"suffix":""},{"dropping-particle":"","family":"Hernandez-Rivas","given":"Jesus M.","non-dropping-particle":"","parse-names":false,"suffix":""},{"dropping-particle":"","family":"Calasanz","given":"Maria Jose","non-dropping-particle":"","parse-names":false,"suffix":""},{"dropping-particle":"","family":"Daibata","given":"Masanori","non-dropping-particle":"","parse-names":false,"suffix":""},{"dropping-particle":"","family":"Dyer","given":"Martin J.S.","non-dropping-particle":"","parse-names":false,"suffix":""},{"dropping-particle":"","family":"Prosper","given":"Felipe","non-dropping-particle":"","parse-names":false,"suffix":""},{"dropping-particle":"","family":"Vizcarra","given":"Esperanza","non-dropping-particle":"","parse-names":false,"suffix":""},{"dropping-particle":"","family":"Piris","given":"Miguel Ángel","non-dropping-particle":"","parse-names":false,"suffix":""},{"dropping-particle":"","family":"Oscier","given":"David","non-dropping-particle":"","parse-names":false,"suffix":""},{"dropping-particle":"","family":"Martinez-Climent","given":"Jose Angel","non-dropping-particle":"","parse-names":false,"suffix":""}],"container-title":"British Journal of Haematology","id":"ITEM-1","issue":"6","issued":{"date-parts":[["2012"]]},"page":"712-726","title":"High-throughput sequencing analysis of the chromosome 7q32 deletion reveals IRF5 as a potential tumour suppressor in splenic marginal-zone lymphoma","type":"article-journal","volume":"158"},"uris":["http://www.mendeley.com/documents/?uuid=2714e14e-698f-4333-abde-22b2781ab808"]}],"mendeley":{"formattedCitation":"(Fresquet et al., 2012)","plainTextFormattedCitation":"(Fresquet et al., 2012)","previouslyFormattedCitation":"(Fresquet et al., 2012)"},"properties":{"noteIndex":0},"schema":"https://github.com/citation-style-language/schema/raw/master/csl-citation.json"}</w:instrText>
            </w:r>
            <w:r w:rsidRPr="00BE436C">
              <w:rPr>
                <w:rFonts w:ascii="Times New Roman" w:hAnsi="Times New Roman" w:cs="Times New Roman"/>
                <w:sz w:val="18"/>
                <w:szCs w:val="18"/>
                <w:lang w:val="en-GB"/>
              </w:rPr>
              <w:fldChar w:fldCharType="separate"/>
            </w:r>
            <w:r w:rsidRPr="00BE436C">
              <w:rPr>
                <w:rFonts w:ascii="Times New Roman" w:hAnsi="Times New Roman" w:cs="Times New Roman"/>
                <w:noProof/>
                <w:sz w:val="18"/>
                <w:szCs w:val="18"/>
                <w:lang w:val="en-GB"/>
              </w:rPr>
              <w:t>(Fresquet et al., 2012)</w:t>
            </w:r>
            <w:r w:rsidRPr="00BE436C">
              <w:rPr>
                <w:rFonts w:ascii="Times New Roman" w:hAnsi="Times New Roman" w:cs="Times New Roman"/>
                <w:sz w:val="18"/>
                <w:szCs w:val="18"/>
                <w:lang w:val="en-GB"/>
              </w:rPr>
              <w:fldChar w:fldCharType="end"/>
            </w:r>
          </w:p>
        </w:tc>
      </w:tr>
    </w:tbl>
    <w:p w14:paraId="65E8FBF7" w14:textId="77777777" w:rsidR="00002888" w:rsidRDefault="00002888" w:rsidP="00002888">
      <w:pPr>
        <w:spacing w:before="0" w:after="0" w:line="360" w:lineRule="auto"/>
        <w:jc w:val="left"/>
        <w:rPr>
          <w:rFonts w:ascii="Times New Roman" w:hAnsi="Times New Roman" w:cs="Times New Roman"/>
          <w:sz w:val="24"/>
          <w:szCs w:val="24"/>
          <w:lang w:val="en-GB"/>
        </w:rPr>
      </w:pPr>
    </w:p>
    <w:p w14:paraId="2529C085" w14:textId="4D8C6015" w:rsidR="00A2452A" w:rsidRDefault="00A2452A" w:rsidP="00002888">
      <w:pPr>
        <w:spacing w:before="0" w:after="0" w:line="360" w:lineRule="auto"/>
        <w:jc w:val="left"/>
        <w:rPr>
          <w:rFonts w:ascii="Times New Roman" w:hAnsi="Times New Roman" w:cs="Times New Roman"/>
          <w:sz w:val="24"/>
          <w:szCs w:val="24"/>
          <w:lang w:val="en-GB"/>
        </w:rPr>
      </w:pPr>
      <w:r w:rsidRPr="00245037">
        <w:rPr>
          <w:rFonts w:ascii="Times New Roman" w:hAnsi="Times New Roman" w:cs="Times New Roman"/>
          <w:sz w:val="24"/>
          <w:szCs w:val="24"/>
          <w:lang w:val="en-GB"/>
        </w:rPr>
        <w:t>Studies of 5q deletions in</w:t>
      </w:r>
      <w:r w:rsidR="00AF40DC" w:rsidRPr="00245037">
        <w:rPr>
          <w:rFonts w:ascii="Times New Roman" w:hAnsi="Times New Roman" w:cs="Times New Roman"/>
          <w:sz w:val="24"/>
          <w:szCs w:val="24"/>
          <w:lang w:val="en-GB"/>
        </w:rPr>
        <w:t xml:space="preserve"> myelodysplastic syndromes (</w:t>
      </w:r>
      <w:r w:rsidRPr="00245037">
        <w:rPr>
          <w:rFonts w:ascii="Times New Roman" w:hAnsi="Times New Roman" w:cs="Times New Roman"/>
          <w:sz w:val="24"/>
          <w:szCs w:val="24"/>
          <w:lang w:val="en-GB"/>
        </w:rPr>
        <w:t>MDS</w:t>
      </w:r>
      <w:r w:rsidR="00AF40DC" w:rsidRPr="00245037">
        <w:rPr>
          <w:rFonts w:ascii="Times New Roman" w:hAnsi="Times New Roman" w:cs="Times New Roman"/>
          <w:sz w:val="24"/>
          <w:szCs w:val="24"/>
          <w:lang w:val="en-GB"/>
        </w:rPr>
        <w:t>)</w:t>
      </w:r>
      <w:r w:rsidRPr="00245037">
        <w:rPr>
          <w:rFonts w:ascii="Times New Roman" w:hAnsi="Times New Roman" w:cs="Times New Roman"/>
          <w:sz w:val="24"/>
          <w:szCs w:val="24"/>
          <w:lang w:val="en-GB"/>
        </w:rPr>
        <w:t xml:space="preserve"> and </w:t>
      </w:r>
      <w:r w:rsidR="00AF40DC" w:rsidRPr="00245037">
        <w:rPr>
          <w:rFonts w:ascii="Times New Roman" w:hAnsi="Times New Roman" w:cs="Times New Roman"/>
          <w:sz w:val="24"/>
          <w:szCs w:val="24"/>
          <w:lang w:val="en-GB"/>
        </w:rPr>
        <w:t>acute myelo</w:t>
      </w:r>
      <w:r w:rsidR="00F330EE" w:rsidRPr="00245037">
        <w:rPr>
          <w:rFonts w:ascii="Times New Roman" w:hAnsi="Times New Roman" w:cs="Times New Roman"/>
          <w:sz w:val="24"/>
          <w:szCs w:val="24"/>
          <w:lang w:val="en-GB"/>
        </w:rPr>
        <w:t>id leukaemia (</w:t>
      </w:r>
      <w:r w:rsidRPr="00245037">
        <w:rPr>
          <w:rFonts w:ascii="Times New Roman" w:hAnsi="Times New Roman" w:cs="Times New Roman"/>
          <w:sz w:val="24"/>
          <w:szCs w:val="24"/>
          <w:lang w:val="en-GB"/>
        </w:rPr>
        <w:t>AML</w:t>
      </w:r>
      <w:r w:rsidR="00F330EE" w:rsidRPr="00245037">
        <w:rPr>
          <w:rFonts w:ascii="Times New Roman" w:hAnsi="Times New Roman" w:cs="Times New Roman"/>
          <w:sz w:val="24"/>
          <w:szCs w:val="24"/>
          <w:lang w:val="en-GB"/>
        </w:rPr>
        <w:t>)</w:t>
      </w:r>
      <w:r w:rsidRPr="00245037">
        <w:rPr>
          <w:rFonts w:ascii="Times New Roman" w:hAnsi="Times New Roman" w:cs="Times New Roman"/>
          <w:sz w:val="24"/>
          <w:szCs w:val="24"/>
          <w:lang w:val="en-GB"/>
        </w:rPr>
        <w:t xml:space="preserve"> illustrate both the heterogeneity of their genomic landscape and provide a paradigm for the investigation of large deletions. </w:t>
      </w:r>
      <w:r w:rsidR="00A92FB5" w:rsidRPr="00245037">
        <w:rPr>
          <w:rFonts w:ascii="Times New Roman" w:hAnsi="Times New Roman" w:cs="Times New Roman"/>
          <w:sz w:val="24"/>
          <w:szCs w:val="24"/>
          <w:lang w:val="en-GB"/>
        </w:rPr>
        <w:t xml:space="preserve">However, </w:t>
      </w:r>
      <w:r w:rsidR="007C708F" w:rsidRPr="00245037">
        <w:rPr>
          <w:rFonts w:ascii="Times New Roman" w:hAnsi="Times New Roman" w:cs="Times New Roman"/>
          <w:sz w:val="24"/>
          <w:szCs w:val="24"/>
          <w:lang w:val="en-GB"/>
        </w:rPr>
        <w:t>unlike with 7</w:t>
      </w:r>
      <w:r w:rsidR="00BB4060" w:rsidRPr="00245037">
        <w:rPr>
          <w:rFonts w:ascii="Times New Roman" w:hAnsi="Times New Roman" w:cs="Times New Roman"/>
          <w:sz w:val="24"/>
          <w:szCs w:val="24"/>
          <w:lang w:val="en-GB"/>
        </w:rPr>
        <w:t>q</w:t>
      </w:r>
      <w:r w:rsidR="007C708F" w:rsidRPr="00245037">
        <w:rPr>
          <w:rFonts w:ascii="Times New Roman" w:hAnsi="Times New Roman" w:cs="Times New Roman"/>
          <w:sz w:val="24"/>
          <w:szCs w:val="24"/>
          <w:lang w:val="en-GB"/>
        </w:rPr>
        <w:t xml:space="preserve"> delet</w:t>
      </w:r>
      <w:r w:rsidR="00BB4060" w:rsidRPr="00245037">
        <w:rPr>
          <w:rFonts w:ascii="Times New Roman" w:hAnsi="Times New Roman" w:cs="Times New Roman"/>
          <w:sz w:val="24"/>
          <w:szCs w:val="24"/>
          <w:lang w:val="en-GB"/>
        </w:rPr>
        <w:t>ed</w:t>
      </w:r>
      <w:r w:rsidR="007C708F" w:rsidRPr="00245037">
        <w:rPr>
          <w:rFonts w:ascii="Times New Roman" w:hAnsi="Times New Roman" w:cs="Times New Roman"/>
          <w:sz w:val="24"/>
          <w:szCs w:val="24"/>
          <w:lang w:val="en-GB"/>
        </w:rPr>
        <w:t xml:space="preserve"> in SMZL</w:t>
      </w:r>
      <w:r w:rsidR="00BB4060" w:rsidRPr="00245037">
        <w:rPr>
          <w:rFonts w:ascii="Times New Roman" w:hAnsi="Times New Roman" w:cs="Times New Roman"/>
          <w:sz w:val="24"/>
          <w:szCs w:val="24"/>
          <w:lang w:val="en-GB"/>
        </w:rPr>
        <w:t xml:space="preserve"> patients</w:t>
      </w:r>
      <w:r w:rsidR="007C708F" w:rsidRPr="00245037">
        <w:rPr>
          <w:rFonts w:ascii="Times New Roman" w:hAnsi="Times New Roman" w:cs="Times New Roman"/>
          <w:sz w:val="24"/>
          <w:szCs w:val="24"/>
          <w:lang w:val="en-GB"/>
        </w:rPr>
        <w:t xml:space="preserve">, </w:t>
      </w:r>
      <w:r w:rsidR="00BB4060" w:rsidRPr="00245037">
        <w:rPr>
          <w:rFonts w:ascii="Times New Roman" w:hAnsi="Times New Roman" w:cs="Times New Roman"/>
          <w:sz w:val="24"/>
          <w:szCs w:val="24"/>
          <w:lang w:val="en-GB"/>
        </w:rPr>
        <w:t xml:space="preserve">different 5q minimally deletion regions (MDR) </w:t>
      </w:r>
      <w:r w:rsidR="007C708F" w:rsidRPr="00245037">
        <w:rPr>
          <w:rFonts w:ascii="Times New Roman" w:hAnsi="Times New Roman" w:cs="Times New Roman"/>
          <w:sz w:val="24"/>
          <w:szCs w:val="24"/>
          <w:lang w:val="en-GB"/>
        </w:rPr>
        <w:t xml:space="preserve">are associated with </w:t>
      </w:r>
      <w:r w:rsidR="00BB4060" w:rsidRPr="00245037">
        <w:rPr>
          <w:rFonts w:ascii="Times New Roman" w:hAnsi="Times New Roman" w:cs="Times New Roman"/>
          <w:sz w:val="24"/>
          <w:szCs w:val="24"/>
          <w:lang w:val="en-GB"/>
        </w:rPr>
        <w:t xml:space="preserve">distinct </w:t>
      </w:r>
      <w:r w:rsidR="007C708F" w:rsidRPr="00245037">
        <w:rPr>
          <w:rFonts w:ascii="Times New Roman" w:hAnsi="Times New Roman" w:cs="Times New Roman"/>
          <w:sz w:val="24"/>
          <w:szCs w:val="24"/>
          <w:lang w:val="en-GB"/>
        </w:rPr>
        <w:t>clinical phenotype</w:t>
      </w:r>
      <w:r w:rsidR="00BB4060" w:rsidRPr="00245037">
        <w:rPr>
          <w:rFonts w:ascii="Times New Roman" w:hAnsi="Times New Roman" w:cs="Times New Roman"/>
          <w:sz w:val="24"/>
          <w:szCs w:val="24"/>
          <w:lang w:val="en-GB"/>
        </w:rPr>
        <w:t>s</w:t>
      </w:r>
      <w:r w:rsidR="007C708F" w:rsidRPr="00245037">
        <w:rPr>
          <w:rFonts w:ascii="Times New Roman" w:hAnsi="Times New Roman" w:cs="Times New Roman"/>
          <w:sz w:val="24"/>
          <w:szCs w:val="24"/>
          <w:lang w:val="en-GB"/>
        </w:rPr>
        <w:t xml:space="preserve"> </w:t>
      </w:r>
      <w:r w:rsidR="00BB4060" w:rsidRPr="00245037">
        <w:rPr>
          <w:rFonts w:ascii="Times New Roman" w:hAnsi="Times New Roman" w:cs="Times New Roman"/>
          <w:sz w:val="24"/>
          <w:szCs w:val="24"/>
          <w:lang w:val="en-GB"/>
        </w:rPr>
        <w:t>which</w:t>
      </w:r>
      <w:r w:rsidR="007C708F" w:rsidRPr="00245037">
        <w:rPr>
          <w:rFonts w:ascii="Times New Roman" w:hAnsi="Times New Roman" w:cs="Times New Roman"/>
          <w:sz w:val="24"/>
          <w:szCs w:val="24"/>
          <w:lang w:val="en-GB"/>
        </w:rPr>
        <w:t xml:space="preserve"> aided in the identification of causative genes </w:t>
      </w:r>
      <w:r w:rsidR="004312C4" w:rsidRPr="00245037">
        <w:rPr>
          <w:rFonts w:ascii="Times New Roman" w:hAnsi="Times New Roman" w:cs="Times New Roman"/>
          <w:sz w:val="24"/>
          <w:szCs w:val="24"/>
          <w:lang w:val="en-GB"/>
        </w:rPr>
        <w:fldChar w:fldCharType="begin" w:fldLock="1"/>
      </w:r>
      <w:r w:rsidR="001E0F11" w:rsidRPr="00245037">
        <w:rPr>
          <w:rFonts w:ascii="Times New Roman" w:hAnsi="Times New Roman" w:cs="Times New Roman"/>
          <w:sz w:val="24"/>
          <w:szCs w:val="24"/>
          <w:lang w:val="en-GB"/>
        </w:rPr>
        <w:instrText>ADDIN CSL_CITATION {"citationItems":[{"id":"ITEM-1","itemData":{"DOI":"10.18632/oncotarget.14130","ISSN":"19492553","abstract":"Background: Deletion of chromosome 5q (del(5q)) is the most common karyotypic abnormality in myeloid neoplasms. Materials and Methods: To define the pathogenic molecular features associated with del(5q), next-generation sequencing was applied to 133 patients with myeloid neoplasms (MDS; N = 69, MDS/MPN; N = 5, sAML; N = 29, pAML; N = 30) with del(5q) as a sole abnormally or a part of complex karyotype and results were compared to molecular features of patients diploid for chr5. Findings: A number of 5q genes with haploinsufficient expression and/or recurrent somatic mutations were identified; for these genes, CSNK1A1 and G3BP1 within the commonly deleted 5q region and DDX41 within a commonly retained region were most commonly affected by somatic mutations. These genes showed consistent haploinsufficiency in deleted cases; low expression/mutations of G3BP1 or DDX41 were associated with poor survival, likely due to decreased cellular function. The most common mutations on other chromosomes in patients with del(5q) included TP53, and mutations of FLT3 (ITD or TKD), NPM1 or TET2 and were mutually exclusive. Serial sequencing allowed for definition of clonal architecture and dynamics, in patients with exome sequencing allelic imbalance for informative SNPs facilitated simultaneous approximation of clonal size of del(5q) and clonal burden for somatic mutations. Interpretation: Our results illuminate the spectrum of molecular defects characteristic of del(5q), their clinical impact and succession of stepwise evolution.","author":[{"dropping-particle":"","family":"Hosono","given":"Naoko","non-dropping-particle":"","parse-names":false,"suffix":""},{"dropping-particle":"","family":"Makishima","given":"Hideki","non-dropping-particle":"","parse-names":false,"suffix":""},{"dropping-particle":"","family":"Mahfouz","given":"Reda","non-dropping-particle":"","parse-names":false,"suffix":""},{"dropping-particle":"","family":"Przychodzen","given":"Bartlomiej","non-dropping-particle":"","parse-names":false,"suffix":""},{"dropping-particle":"","family":"Yoshida","given":"Kenichi","non-dropping-particle":"","parse-names":false,"suffix":""},{"dropping-particle":"","family":"Jerez","given":"Andres","non-dropping-particle":"","parse-names":false,"suffix":""},{"dropping-particle":"","family":"LaFramboise","given":"Thomas","non-dropping-particle":"","parse-names":false,"suffix":""},{"dropping-particle":"","family":"Polprasert","given":"Chantana","non-dropping-particle":"","parse-names":false,"suffix":""},{"dropping-particle":"","family":"Clemente","given":"Michael J.","non-dropping-particle":"","parse-names":false,"suffix":""},{"dropping-particle":"","family":"Shiraishi","given":"Yuichi","non-dropping-particle":"","parse-names":false,"suffix":""},{"dropping-particle":"","family":"Chiba","given":"Kenichi","non-dropping-particle":"","parse-names":false,"suffix":""},{"dropping-particle":"","family":"Tanaka","given":"Hiroko","non-dropping-particle":"","parse-names":false,"suffix":""},{"dropping-particle":"","family":"Miyano","given":"Satoru","non-dropping-particle":"","parse-names":false,"suffix":""},{"dropping-particle":"","family":"Sanada","given":"Masashi","non-dropping-particle":"","parse-names":false,"suffix":""},{"dropping-particle":"","family":"Cui","given":"Edward","non-dropping-particle":"","parse-names":false,"suffix":""},{"dropping-particle":"","family":"Verma","given":"Amit K.","non-dropping-particle":"","parse-names":false,"suffix":""},{"dropping-particle":"","family":"McDevitt","given":"Michael A.","non-dropping-particle":"","parse-names":false,"suffix":""},{"dropping-particle":"","family":"List","given":"Alan F.","non-dropping-particle":"","parse-names":false,"suffix":""},{"dropping-particle":"","family":"Saunthararajah","given":"Yogen","non-dropping-particle":"","parse-names":false,"suffix":""},{"dropping-particle":"","family":"Sekeres","given":"Mikkael A.","non-dropping-particle":"","parse-names":false,"suffix":""},{"dropping-particle":"","family":"Boultwood","given":"Jacqueline","non-dropping-particle":"","parse-names":false,"suffix":""},{"dropping-particle":"","family":"Ogawa","given":"Seishi","non-dropping-particle":"","parse-names":false,"suffix":""},{"dropping-particle":"","family":"Maciejewski","given":"Jaroslaw P.","non-dropping-particle":"","parse-names":false,"suffix":""}],"container-title":"Oncotarget","id":"ITEM-1","issue":"4","issued":{"date-parts":[["2017"]]},"page":"6483-6495","publisher":"Impact Journals LLC","title":"Recurrent genetic defects on chromosome 5q in myeloid neoplasms","type":"article-journal","volume":"8"},"uris":["http://www.mendeley.com/documents/?uuid=e75987fd-11e5-368c-a897-e2e3bfc37b96"]},{"id":"ITEM-2","itemData":{"DOI":"10.1016/j.blre.2020.100735","ISSN":"15321681","abstract":"Hemizygous interstitial or terminal deletion of the long arm of chromosome 5 [del(5q)] is a recurrent cytogenetic abnormality in myeloid malignancies, including myelodysplastic syndromes (MDS) and acute myeloid leukemia (AML). These deletions cause loss of a large contiguous chromosomal region encompassing more than 30 genes, which results in disease through haploinsufficiency of one or more genes including RPS14. In MDS, del(5q) in isolation is a lower-risk cytogenetic anomaly and is sometimes associated with a unique clinicopathological phenotype, but in AML it represents a higher-risk lesion, often denoting secondary AML arising from prior MDS. Lenalidomide effectively targets the del(5q)-bearing clone in MDS, resulting in sustained erythroid transfusion independence in most patients and cytogenetic remission in a subset of treated patients. Since the initial regulatory approval of lenalidomide for del(5q) MDS in 2005, translational research endeavors in del(5q)-associated myeloid malignancies have improved our understanding of how allelic haploinsufficiency underlies both the hematological phenotype and selective sensitivity to lenalidomide therapy. This review will focus on the molecular pathogenesis of del(5q) in myeloid malignancies, clinical development of lenalidomide and emerging data on lenalidomide-refractory del (5q) MDS, and possible novel targeted therapeutic strategies.","author":[{"dropping-particle":"","family":"Venugopal","given":"Sangeetha","non-dropping-particle":"","parse-names":false,"suffix":""},{"dropping-particle":"","family":"Mascarenhas","given":"John","non-dropping-particle":"","parse-names":false,"suffix":""},{"dropping-particle":"","family":"Steensma","given":"David P.","non-dropping-particle":"","parse-names":false,"suffix":""}],"container-title":"Blood Reviews","id":"ITEM-2","issued":{"date-parts":[["2020"]]},"publisher":"Churchill Livingstone","title":"Loss of 5q in myeloid malignancies – A gain in understanding of biological and clinical consequences","type":"article"},"uris":["http://www.mendeley.com/documents/?uuid=8ebb6057-ca86-372a-84b4-321e1b5b865a"]}],"mendeley":{"formattedCitation":"(Hosono et al., 2017; Venugopal et al., 2020)","plainTextFormattedCitation":"(Hosono et al., 2017; Venugopal et al., 2020)","previouslyFormattedCitation":"(Hosono et al., 2017; Venugopal et al., 2020)"},"properties":{"noteIndex":0},"schema":"https://github.com/citation-style-language/schema/raw/master/csl-citation.json"}</w:instrText>
      </w:r>
      <w:r w:rsidR="004312C4" w:rsidRPr="00245037">
        <w:rPr>
          <w:rFonts w:ascii="Times New Roman" w:hAnsi="Times New Roman" w:cs="Times New Roman"/>
          <w:sz w:val="24"/>
          <w:szCs w:val="24"/>
          <w:lang w:val="en-GB"/>
        </w:rPr>
        <w:fldChar w:fldCharType="separate"/>
      </w:r>
      <w:r w:rsidR="004312C4" w:rsidRPr="00245037">
        <w:rPr>
          <w:rFonts w:ascii="Times New Roman" w:hAnsi="Times New Roman" w:cs="Times New Roman"/>
          <w:noProof/>
          <w:sz w:val="24"/>
          <w:szCs w:val="24"/>
          <w:lang w:val="en-GB"/>
        </w:rPr>
        <w:t>(Hosono et al., 2017; Venugopal et al., 2020)</w:t>
      </w:r>
      <w:r w:rsidR="004312C4" w:rsidRPr="00245037">
        <w:rPr>
          <w:rFonts w:ascii="Times New Roman" w:hAnsi="Times New Roman" w:cs="Times New Roman"/>
          <w:sz w:val="24"/>
          <w:szCs w:val="24"/>
          <w:lang w:val="en-GB"/>
        </w:rPr>
        <w:fldChar w:fldCharType="end"/>
      </w:r>
      <w:r w:rsidRPr="00245037">
        <w:rPr>
          <w:rFonts w:ascii="Times New Roman" w:hAnsi="Times New Roman" w:cs="Times New Roman"/>
          <w:sz w:val="24"/>
          <w:szCs w:val="24"/>
          <w:lang w:val="en-GB"/>
        </w:rPr>
        <w:t>.</w:t>
      </w:r>
      <w:r w:rsidRPr="00002888">
        <w:rPr>
          <w:rFonts w:ascii="Times New Roman" w:hAnsi="Times New Roman" w:cs="Times New Roman"/>
          <w:sz w:val="24"/>
          <w:szCs w:val="24"/>
          <w:lang w:val="en-GB"/>
        </w:rPr>
        <w:t xml:space="preserve"> Deletions of 7q are rare in chronic lymphoid malignancies apart from SMZL and HCL-v. In SMZL there is no 7q minus syndrome comparable to 5q minus and 7q deletions have no obvious prognostic significance. However, 7q deletion is associated with </w:t>
      </w:r>
      <w:proofErr w:type="gramStart"/>
      <w:r w:rsidRPr="00002888">
        <w:rPr>
          <w:rFonts w:ascii="Times New Roman" w:hAnsi="Times New Roman" w:cs="Times New Roman"/>
          <w:sz w:val="24"/>
          <w:szCs w:val="24"/>
          <w:lang w:val="en-GB"/>
        </w:rPr>
        <w:t>a number of</w:t>
      </w:r>
      <w:proofErr w:type="gramEnd"/>
      <w:r w:rsidRPr="00002888">
        <w:rPr>
          <w:rFonts w:ascii="Times New Roman" w:hAnsi="Times New Roman" w:cs="Times New Roman"/>
          <w:sz w:val="24"/>
          <w:szCs w:val="24"/>
          <w:lang w:val="en-GB"/>
        </w:rPr>
        <w:t xml:space="preserve"> other biological features such as </w:t>
      </w:r>
      <w:r w:rsidRPr="00002888">
        <w:rPr>
          <w:rFonts w:ascii="Times New Roman" w:hAnsi="Times New Roman" w:cs="Times New Roman"/>
          <w:i/>
          <w:iCs/>
          <w:sz w:val="24"/>
          <w:szCs w:val="24"/>
          <w:lang w:val="en-GB"/>
        </w:rPr>
        <w:t xml:space="preserve">IGHV1-02*04 </w:t>
      </w:r>
      <w:r w:rsidRPr="00002888">
        <w:rPr>
          <w:rFonts w:ascii="Times New Roman" w:hAnsi="Times New Roman" w:cs="Times New Roman"/>
          <w:sz w:val="24"/>
          <w:szCs w:val="24"/>
          <w:lang w:val="en-GB"/>
        </w:rPr>
        <w:t xml:space="preserve">usage, mutations of </w:t>
      </w:r>
      <w:r w:rsidRPr="00002888">
        <w:rPr>
          <w:rFonts w:ascii="Times New Roman" w:hAnsi="Times New Roman" w:cs="Times New Roman"/>
          <w:i/>
          <w:iCs/>
          <w:sz w:val="24"/>
          <w:szCs w:val="24"/>
          <w:lang w:val="en-GB"/>
        </w:rPr>
        <w:t>NOTCH2</w:t>
      </w:r>
      <w:r w:rsidRPr="00002888">
        <w:rPr>
          <w:rFonts w:ascii="Times New Roman" w:hAnsi="Times New Roman" w:cs="Times New Roman"/>
          <w:sz w:val="24"/>
          <w:szCs w:val="24"/>
          <w:lang w:val="en-GB"/>
        </w:rPr>
        <w:t xml:space="preserve"> and </w:t>
      </w:r>
      <w:r w:rsidRPr="00002888">
        <w:rPr>
          <w:rFonts w:ascii="Times New Roman" w:hAnsi="Times New Roman" w:cs="Times New Roman"/>
          <w:i/>
          <w:iCs/>
          <w:sz w:val="24"/>
          <w:szCs w:val="24"/>
          <w:lang w:val="en-GB"/>
        </w:rPr>
        <w:t>KLF2</w:t>
      </w:r>
      <w:r w:rsidRPr="00002888">
        <w:rPr>
          <w:rFonts w:ascii="Times New Roman" w:hAnsi="Times New Roman" w:cs="Times New Roman"/>
          <w:sz w:val="24"/>
          <w:szCs w:val="24"/>
          <w:lang w:val="en-GB"/>
        </w:rPr>
        <w:t xml:space="preserve"> and a specific DNA methylation signature that will be outlined later in this review. Intriguingly, </w:t>
      </w:r>
      <w:r w:rsidR="00916E7E" w:rsidRPr="00002888">
        <w:rPr>
          <w:rFonts w:ascii="Times New Roman" w:hAnsi="Times New Roman" w:cs="Times New Roman"/>
          <w:sz w:val="24"/>
          <w:szCs w:val="24"/>
          <w:lang w:val="en-GB"/>
        </w:rPr>
        <w:t>splenic,</w:t>
      </w:r>
      <w:r w:rsidRPr="00002888">
        <w:rPr>
          <w:rFonts w:ascii="Times New Roman" w:hAnsi="Times New Roman" w:cs="Times New Roman"/>
          <w:sz w:val="24"/>
          <w:szCs w:val="24"/>
          <w:lang w:val="en-GB"/>
        </w:rPr>
        <w:t xml:space="preserve"> and nodal marginal lymphomas share </w:t>
      </w:r>
      <w:r w:rsidR="14B6BE53" w:rsidRPr="00002888">
        <w:rPr>
          <w:rFonts w:ascii="Times New Roman" w:hAnsi="Times New Roman" w:cs="Times New Roman"/>
          <w:sz w:val="24"/>
          <w:szCs w:val="24"/>
          <w:lang w:val="en-GB"/>
        </w:rPr>
        <w:t>remarkably</w:t>
      </w:r>
      <w:r w:rsidRPr="00002888">
        <w:rPr>
          <w:rFonts w:ascii="Times New Roman" w:hAnsi="Times New Roman" w:cs="Times New Roman"/>
          <w:sz w:val="24"/>
          <w:szCs w:val="24"/>
          <w:lang w:val="en-GB"/>
        </w:rPr>
        <w:t xml:space="preserve"> similar genomic landscapes other than the presence of 7q deletions in the former and </w:t>
      </w:r>
      <w:r w:rsidRPr="00002888">
        <w:rPr>
          <w:rFonts w:ascii="Times New Roman" w:hAnsi="Times New Roman" w:cs="Times New Roman"/>
          <w:i/>
          <w:iCs/>
          <w:sz w:val="24"/>
          <w:szCs w:val="24"/>
          <w:lang w:val="en-GB"/>
        </w:rPr>
        <w:t>PTPRD</w:t>
      </w:r>
      <w:r w:rsidRPr="00002888">
        <w:rPr>
          <w:rFonts w:ascii="Times New Roman" w:hAnsi="Times New Roman" w:cs="Times New Roman"/>
          <w:sz w:val="24"/>
          <w:szCs w:val="24"/>
          <w:lang w:val="en-GB"/>
        </w:rPr>
        <w:t xml:space="preserve"> mutations in the latter. </w:t>
      </w:r>
      <w:r w:rsidRPr="00002888">
        <w:rPr>
          <w:rFonts w:ascii="Times New Roman" w:hAnsi="Times New Roman" w:cs="Times New Roman"/>
          <w:sz w:val="24"/>
          <w:szCs w:val="24"/>
        </w:rPr>
        <w:t>Numerous studies have shown that deletion breakpoints at 7q are heterogeneous, with q21 the most proximal and q36 the most terminal breakpoint</w:t>
      </w:r>
      <w:r w:rsidR="32474D47" w:rsidRPr="00002888">
        <w:rPr>
          <w:rFonts w:ascii="Times New Roman" w:hAnsi="Times New Roman" w:cs="Times New Roman"/>
          <w:sz w:val="24"/>
          <w:szCs w:val="24"/>
        </w:rPr>
        <w:t>s</w:t>
      </w:r>
      <w:r w:rsidRPr="00002888">
        <w:rPr>
          <w:rFonts w:ascii="Times New Roman" w:hAnsi="Times New Roman" w:cs="Times New Roman"/>
          <w:sz w:val="24"/>
          <w:szCs w:val="24"/>
        </w:rPr>
        <w:t xml:space="preserve"> </w:t>
      </w:r>
      <w:r w:rsidRPr="00002888">
        <w:rPr>
          <w:rFonts w:ascii="Times New Roman" w:hAnsi="Times New Roman" w:cs="Times New Roman"/>
          <w:noProof/>
          <w:sz w:val="24"/>
          <w:szCs w:val="24"/>
          <w:lang w:val="en-GB"/>
        </w:rPr>
        <w:fldChar w:fldCharType="begin" w:fldLock="1"/>
      </w:r>
      <w:r w:rsidRPr="00002888">
        <w:rPr>
          <w:rFonts w:ascii="Times New Roman" w:hAnsi="Times New Roman" w:cs="Times New Roman"/>
          <w:noProof/>
          <w:sz w:val="24"/>
          <w:szCs w:val="24"/>
          <w:lang w:val="en-GB"/>
        </w:rPr>
        <w:instrText>ADDIN CSL_CITATION {"citationItems":[{"id":"ITEM-1","itemData":{"DOI":"10.1111/j.1365-2141.1993.tb03337.x","ISSN":"0007-1048 (Print)","PMID":"8136270","abstract":"We report the cytogenetic findings on 31 cases of splenic lymphoma with villous  lymphocytes (SLVL). TPA stimulated cells from peripheral blood (28 cases), spleen (two cases) and lymph node (one case) with SLVL have been analysed. A clonal chromosome abnormality was found in 27/31 patients (87%); this was identified as a simple abnormality in 12 cases and a complex one in 15. Four recurring abnormalities were seen: t(11;14)(q13;q32) in five patients, deletions or translocations involving 7q in seven patients, iso 17q in four patients and translocations involving 2p11 in four patients. The high frequency of clonal chromosome abnormalities in SLVL contrasts with the usually benign clinical course of this disease. Abnormalities found frequently in patients with chronic lymphocytic leukaemia (CLL) such as trisomy 12 and deletions or translocations involving 13q14 were each seen in only one patient. No case had the t(14;18) characteristic of follicular lymphoma. Our findings demonstrate the high frequency of clonal and often complex chromosome abnormalities in SLVL. Although a unique chromosome rearrangement has not been identified, a pattern of four recurrent abnormalities has emerged. Our results suggest that SLVL is distinct on cytogenetic grounds from B-CLL and follicular lymphoma but shows similarity with mantle cell lymphoma, lymphoplasmacytic lymphoma and B-PLL.","author":[{"dropping-particle":"","family":"Oscier","given":"D G","non-dropping-particle":"","parse-names":false,"suffix":""},{"dropping-particle":"","family":"Matutes","given":"E","non-dropping-particle":"","parse-names":false,"suffix":""},{"dropping-particle":"","family":"Gardiner","given":"A","non-dropping-particle":"","parse-names":false,"suffix":""},{"dropping-particle":"","family":"Glide","given":"S","non-dropping-particle":"","parse-names":false,"suffix":""},{"dropping-particle":"","family":"Mould","given":"S","non-dropping-particle":"","parse-names":false,"suffix":""},{"dropping-particle":"","family":"Brito-Babapulle","given":"V","non-dropping-particle":"","parse-names":false,"suffix":""},{"dropping-particle":"","family":"Ellis","given":"J","non-dropping-particle":"","parse-names":false,"suffix":""},{"dropping-particle":"","family":"Catovsky","given":"D","non-dropping-particle":"","parse-names":false,"suffix":""}],"container-title":"British journal of haematology","id":"ITEM-1","issue":"3","issued":{"date-parts":[["1993","11"]]},"language":"eng","page":"487-491","publisher-place":"England","title":"Cytogenetic studies in splenic lymphoma with villous lymphocytes.","type":"article-journal","volume":"85"},"uris":["http://www.mendeley.com/documents/?uuid=b623c24a-e669-4b86-8767-0160e36eb374"]},{"id":"ITEM-2","itemData":{"DOI":"10.1046/j.1365-2141.1998.00764.x","ISSN":"00071048","PMID":"9674745","abstract":"In order to characterize the genetic diversity in splenic lymphoma with villous lymphocytes (SLVL), we have undertaken cytogenetic and molecular analyses of CCND1 expression and BCL1-IgH PCR rearrangement in 76 cases diagnosed predominantly on morphological criteria. Cytogenetic abnormalities were detected in 19/44 (43%) of cases, including in 16/25 (64%) of cases with an absolute lymphocytosis. Abnormalities included those involving chromosome 14q32 (9/19, 47%), predominantly t(11:14)(q13;q32) (5/19, 26%), chromosome 3 (26%), predominantly 3q, chromosome 17p (26%) and trisomy 12 (3/19, 16%) and were thus suggestive of pathogenetic diversity. CCND1 was expressed in 8/30 (27%) cases, including in all t(11;14) cases. 5/10 (50%) CDS-positive cases and also in 3/20 (15%) CD5-negative cases. Three CCND1-positive SLVL demonstrated immunophenotypic features similar to mantle cell lymphoma (MCL) but the majority differed in their CD5 negativity or CD23 positivity. BCL1- IgH rearrangement was only seen in 1/62 (2%) of cases overall and in none of the t(11;14) cases, which demonstrated FISH breakpoints both centromeric and telomeric to the BCL1/MTC, suggesting that, if genomic clustering exists in t(11;14) SLVL, it differs from MCL. Although CCND1 expressing SLVL more commonly had marked lymphocytosis, they did not demonstrate a more aggressive clinical course than their negative counterparts, demonstrating that the detection of CCND1 expression or of a t(11:14) should not suffice to alter diagnostic classification in the absence of other criteria.","author":[{"dropping-particle":"","family":"Troussard","given":"X.","non-dropping-particle":"","parse-names":false,"suffix":""},{"dropping-particle":"","family":"Mauvieux","given":"L.","non-dropping-particle":"","parse-names":false,"suffix":""},{"dropping-particle":"","family":"Radford-Weiss","given":"I.","non-dropping-particle":"","parse-names":false,"suffix":""},{"dropping-particle":"","family":"Rack","given":"K.","non-dropping-particle":"","parse-names":false,"suffix":""},{"dropping-particle":"","family":"Valensi","given":"F.","non-dropping-particle":"","parse-names":false,"suffix":""},{"dropping-particle":"","family":"Garand","given":"R.","non-dropping-particle":"","parse-names":false,"suffix":""},{"dropping-particle":"","family":"Vekemans","given":"M.","non-dropping-particle":"","parse-names":false,"suffix":""},{"dropping-particle":"","family":"Flandrin","given":"G.","non-dropping-particle":"","parse-names":false,"suffix":""},{"dropping-particle":"","family":"Macintyre","given":"E. A.","non-dropping-particle":"","parse-names":false,"suffix":""}],"container-title":"British Journal of Haematology","id":"ITEM-2","issue":"4","issued":{"date-parts":[["1998"]]},"page":"712-721","title":"Genetic analysis of splenic lymphoma with villous lymphocytes: A Groupe Francais d'Hematologie Cellulaire (GFHC) study","type":"article-journal","volume":"101"},"uris":["http://www.mendeley.com/documents/?uuid=8b1d18e9-2ba1-4dbd-b10b-c64dfbf54061"]},{"id":"ITEM-3","itemData":{"DOI":"10.1046/j.1365-2141.1996.522522.x","ISSN":"0007-1048 (Print)","PMID":"8611468","abstract":"Trisomy 3 represents the most frequent and consistent chromosomal abnormality  characterizing the recently defined entity marginal zone B-cell lymphoma (MZBCL). By cytogenetic analysis and/or fluorescence in situ hybridization (FISH) on interphase nuclei we found in increased copy number of chromosome 3 in 22/36 (61%) successfully analysed cases, including 8/12 cases with extranodal MZBCL, 8/13 cases with nodal MZBCL, and 6/11 patients with splenic MZBCL. Sensitivity of interphase cytogenetics was somewhat higher than that of conventional cytogenetic investigation. Structural chromosomal changes involving at least one chromosome 3 were seen in 11/20 cases with an increased copy number of chromosome 3: +de(3)(p13) was demonstrated in three cases, and was the sole chromosomal abnormality in one of them; +i(3)(q10) was seen in two other patients; and rearrangements involving various breakpoints on the long arm of chromosome 3 were found in the remaining cases. FISH on metaphase spreads confirmed these structural abnormalities and additionally showed two unexpected translocations involving chromosome 3. We conclude that: (1) trisomy 3 occurs in a high proportion of extranodal, nodal and splenic MZBCL; (2) FISH on interphase nuclei is an additional and sensitive tool in detecting an increased copy number of chromosome 3 in MZBCL; (3) additional structural abnormalities involving the long arm of chromosome 3 are frequent but non-recurrent and are perhaps secondary changes; and (4) abnormalities such as +del(3)(pl3) and +i(3)(q10) suggest that genes located on the long arm of chromosome 3 are of particular importance in the pathogenesis of MZBCL.","author":[{"dropping-particle":"","family":"Dierlamm","given":"J","non-dropping-particle":"","parse-names":false,"suffix":""},{"dropping-particle":"","family":"Michaux","given":"L","non-dropping-particle":"","parse-names":false,"suffix":""},{"dropping-particle":"","family":"Wlodarska","given":"I","non-dropping-particle":"","parse-names":false,"suffix":""},{"dropping-particle":"","family":"Pittaluga","given":"S","non-dropping-particle":"","parse-names":false,"suffix":""},{"dropping-particle":"","family":"Zeller","given":"W","non-dropping-particle":"","parse-names":false,"suffix":""},{"dropping-particle":"","family":"Stul","given":"M","non-dropping-particle":"","parse-names":false,"suffix":""},{"dropping-particle":"","family":"Criel","given":"A","non-dropping-particle":"","parse-names":false,"suffix":""},{"dropping-particle":"","family":"Thomas","given":"J","non-dropping-particle":"","parse-names":false,"suffix":""},{"dropping-particle":"","family":"Boogaerts","given":"M","non-dropping-particle":"","parse-names":false,"suffix":""},{"dropping-particle":"","family":"Delaere","given":"P","non-dropping-particle":"","parse-names":false,"suffix":""},{"dropping-particle":"","family":"Cassiman","given":"J J","non-dropping-particle":"","parse-names":false,"suffix":""},{"dropping-particle":"","family":"Wolf-Peeters","given":"C","non-dropping-particle":"de","parse-names":false,"suffix":""},{"dropping-particle":"","family":"Mecucci","given":"C","non-dropping-particle":"","parse-names":false,"suffix":""},{"dropping-particle":"","family":"Berghe","given":"H","non-dropping-particle":"Van den","parse-names":false,"suffix":""}],"container-title":"British journal of haematology","id":"ITEM-3","issue":"1","issued":{"date-parts":[["1996","4"]]},"language":"eng","page":"242-249","publisher-place":"England","title":"Trisomy 3 in marginal zone B-cell lymphoma: a study based on cytogenetic analysis  and fluorescence in situ hybridization.","type":"article-journal","volume":"93"},"uris":["http://www.mendeley.com/documents/?uuid=5fe692a5-6fab-42fb-8f66-2b02d7708fde"]},{"id":"ITEM-4","itemData":{"DOI":"10.1046/j.1365-2141.1997.2163033.x","ISSN":"00071048","PMID":"9266948","abstract":"We have studied 19 cases of splenic marginal zone B-cell lymphoma (SMZBCL) combining cytological features, conventional cytogenetics, and in situ hybridization (ISH) techniques. A clonal chromosome abnormality was found in 11/19 patients (58%). The more frequent recurrent abnormalities were: del(3), del (7q), and involvement of chromosomes 1, 3, 7 and 8. No patient showed the translocation t(11;14)(q13;q32). An outstanding finding was the low incidence of trisomy 3 (36%) compared to patients with MALT lymphoma. These findings support the interpretation that SMZBCL is a distinct lymphoproliferative disorder.","author":[{"dropping-particle":"","family":"Solé","given":"Francesc","non-dropping-particle":"","parse-names":false,"suffix":""},{"dropping-particle":"","family":"Woessner","given":"Soledad","non-dropping-particle":"","parse-names":false,"suffix":""},{"dropping-particle":"","family":"Florensa","given":"Lourdes","non-dropping-particle":"","parse-names":false,"suffix":""},{"dropping-particle":"","family":"Espinet","given":"Blanca","non-dropping-particle":"","parse-names":false,"suffix":""},{"dropping-particle":"","family":"Mollejo","given":"Manuela","non-dropping-particle":"","parse-names":false,"suffix":""},{"dropping-particle":"","family":"Martín","given":"Pedro","non-dropping-particle":"","parse-names":false,"suffix":""},{"dropping-particle":"","family":"Piris","given":"Miguel Angel","non-dropping-particle":"","parse-names":false,"suffix":""}],"container-title":"British Journal of Haematology","id":"ITEM-4","issue":"2","issued":{"date-parts":[["1997"]]},"page":"446-449","title":"Frequent involvement of chromosomes 1, 3, 7 and 8 in splenic marginal zone B-cell lymphoma","type":"article-journal","volume":"98"},"uris":["http://www.mendeley.com/documents/?uuid=50c2da24-a857-4c72-894b-394eb5496252"]},{"id":"ITEM-5","itemData":{"DOI":"10.1038/sj.leu.2400635","ISSN":"08876924","PMID":"9180302","abstract":"Marginal zone B cell lymphoma (MZBCL) represents a distinct subtype of B cell non-Hodgkin's lymphoma, which has been recently recognized and defined as a disease entity. We investigated 25 cases (18 at primary diagnosis and seven during the course of disease) of MZBCL by comparative genomic hybridization (CGH) and compared these results with cytogenetic, fluorescence in situ hybridization (FISH), and Southern blot data. Twenty of the 25 cases (80%) showed gains (total 49) or losses (total 15) of genetic material. In extranodal, nodal, and splenic MZBCL, material of chromosomes 3 (52% of cases), 18 (32%), X (24%), and 1q (16%) was most frequently gained, whereas losses predominantly involved chromosomes 17 (16%) and 9 (12%). High-level amplifications involving the regions 18q21-23 and 18q21-22, respectively, were detected in two cases. Gains of chromosomes 1q and 8q and losses of chromosome 17 or 17p occurred more frequently in relapsed or progressive lymphomas. For all of the frequently affected chromosomes, CGH allowed narrowing of the relevant subregions including 3q21-23, 3q25-29 and 18q21-23. By Southern blot analysis, the BCL2, BCL6, and CMYC proto-oncogenes were found to be a part of the over-represented regions in two cases, one case, and two cases, respectively, with gains involving 18q, 3q or 8q. In 13 cases, CGH revealed chromosomal imbalances which were not detected by cytogenetic analysis but could be confirmed by FISH or Southern blot analysis in all cases investigated. On the other hand, CGH failed to detect trisomy 3, trisomy 18, and deletion 7q in three cases with a low proportion of tumor cells bearing these abnormalities, as shown by interphase FISH. The characteristic pattern of chromosomal gains and losses detected in this study confirms the distinct nature of MZBCL and may point to chromosomal regions involved in the pathogenesis of these neoplasms.","author":[{"dropping-particle":"","family":"Dierlamm","given":"J.","non-dropping-particle":"","parse-names":false,"suffix":""},{"dropping-particle":"","family":"Rosenberg","given":"C.","non-dropping-particle":"","parse-names":false,"suffix":""},{"dropping-particle":"","family":"Stul","given":"M.","non-dropping-particle":"","parse-names":false,"suffix":""},{"dropping-particle":"","family":"Pittaluga","given":"S.","non-dropping-particle":"","parse-names":false,"suffix":""},{"dropping-particle":"","family":"Wlodarska","given":"I.","non-dropping-particle":"","parse-names":false,"suffix":""},{"dropping-particle":"","family":"Michaux","given":"L.","non-dropping-particle":"","parse-names":false,"suffix":""},{"dropping-particle":"","family":"Dehaen","given":"M.","non-dropping-particle":"","parse-names":false,"suffix":""},{"dropping-particle":"","family":"Verhoef","given":"G.","non-dropping-particle":"","parse-names":false,"suffix":""},{"dropping-particle":"","family":"Thomas","given":"J.","non-dropping-particle":"","parse-names":false,"suffix":""},{"dropping-particle":"","family":"Kelver","given":"W.","non-dropping-particle":"De","parse-names":false,"suffix":""},{"dropping-particle":"","family":"Bakker-Schut","given":"T.","non-dropping-particle":"","parse-names":false,"suffix":""},{"dropping-particle":"","family":"Cassiman","given":"J. J.","non-dropping-particle":"","parse-names":false,"suffix":""},{"dropping-particle":"","family":"Raap","given":"A. K.","non-dropping-particle":"","parse-names":false,"suffix":""},{"dropping-particle":"","family":"Wolf-Peeters","given":"C.","non-dropping-particle":"De","parse-names":false,"suffix":""},{"dropping-particle":"","family":"Berghe","given":"H.","non-dropping-particle":"Van Den","parse-names":false,"suffix":""},{"dropping-particle":"","family":"Hagemeijer","given":"A.","non-dropping-particle":"","parse-names":false,"suffix":""}],"container-title":"Leukemia","id":"ITEM-5","issue":"5","issued":{"date-parts":[["1997"]]},"page":"747-758","title":"Characteristic pattern of chromosomal gains and losses in marginal zone B cell lymphoma detected by comparative genomic hybridization","type":"article-journal","volume":"11"},"uris":["http://www.mendeley.com/documents/?uuid=777c4648-f98d-4779-8b97-290878ea7dd6"]},{"id":"ITEM-6","itemData":{"DOI":"10.1016/S0002-9440(10)64140-5","ISSN":"00029440","abstract":"Splenic marginal zone lymphoma (SMZL) has recently been recognized in the World Health Organization classification of hematological diseases as distinct type of non-Hodgkin's lymphoma. In contrast to the well-established chromosomal changes associated with other B-cell non-Hodgkin's lymphoma, few genetic alterations have been found associated with SMZL. The aim of our study was to analyze by comparative genomic hybridization (CGH) the chromosomal imbalances in 29 patients with SMZL and to correlate these findings with clinical and biological characteristics and patient outcome. In 21 cases, cytogenetic studies were simultaneously performed. Most of the patients (83%) displayed genomic imbalances. A total of 111 DNA copy number changes were detected with a median of four abnormalities per case (range, 1 to 12). Gains (n = 92) were more frequent than losses (n = 16), while three high-level amplifications (3q26-q29, 5p11-p15, and 17q22-q25) were observed. The most frequent gains involved 3q (31%), 5q (28%), 12q and 20q (24% each), 9q (21%), and 4q (17%). Losses were observed in 7q (14%) and 17p (10%). SMZL patients with genetic losses had a shorter survival than the remaining SMZL patients (P &lt; 0.05). In summary, chromosomal imbalances in regions 3q, 4q, 5q, 7q, 9q, 12q, and 20q have been detected by CGH in SMZL. Patients with SMZL displaying genetic losses by CGH had a short survival.","author":[{"dropping-particle":"","family":"Hernández","given":"Jesús María","non-dropping-particle":"","parse-names":false,"suffix":""},{"dropping-particle":"","family":"García","given":"Juan Luis","non-dropping-particle":"","parse-names":false,"suffix":""},{"dropping-particle":"","family":"Gutiérrez","given":"Norma Carmen","non-dropping-particle":"","parse-names":false,"suffix":""},{"dropping-particle":"","family":"Mollejo","given":"Manuela","non-dropping-particle":"","parse-names":false,"suffix":""},{"dropping-particle":"","family":"Martínez-Climent","given":"José Angel","non-dropping-particle":"","parse-names":false,"suffix":""},{"dropping-particle":"","family":"Flores","given":"Teresa","non-dropping-particle":"","parse-names":false,"suffix":""},{"droppin</w:instrText>
      </w:r>
      <w:r w:rsidRPr="00002888">
        <w:rPr>
          <w:rFonts w:ascii="Times New Roman" w:hAnsi="Times New Roman" w:cs="Times New Roman"/>
          <w:sz w:val="24"/>
          <w:szCs w:val="24"/>
          <w:lang w:val="es-CO"/>
        </w:rPr>
        <w:instrText>g-particle":"","family":"González","given":"María Belén","non-dropping-particle":"","parse-names":false,"suffix":""},{"dropping-particle":"","family":"Piris","given":"Miguel Angel","non-dropping-particle":"","parse-names":false,"suffix":""},{"dropping-particle":"","family":"San Miguel","given":"Jesús F.","non-dropping-particle":"","parse-names":false,"suffix":""}],"container-title":"The American Journal of Pathology","id":"ITEM-6","issue":"5","issued":{"date-parts":[["2001","5"]]},"page":"1843-1850","title":"Novel Genomic Imbalances in B-Cell Splenic Marginal Zone Lymphomas Revealed by Comparative Genomic Hybridization and Cytogenetics","type":"article-journal","volume":"158"},"uris":["http://www.mendeley.com/documents/?uuid=becc98bc-b541-4971-9f47-30ff7cfbd9e0"]}],"mendeley":{"formattedCitation":"(Dierlamm et al., 1997, 1996; Hernández et al., 2001; Oscier et al., 1993; Solé et al., 1997; Troussard et al., 1998)","manualFormatting":"(Dierlamm et al., 1997, 1996; Hernández et al., 2001; Oscier et al., 1993; Solé et al., 1997; Troussard et al., 1998, Salido 2010)","plainTextFormattedCitation":"(Dierlamm et al., 1997, 1996; Hernández et al., 2001; Oscier et al., 1993; Solé et al., 1997; Troussard et al., 1998)","previouslyFormattedCitation":"(Dierlamm et al., 1997, 1996; Hernández et al., 2001; Oscier et al., 1993; Solé et al., 1997; Troussard et al., 1998)"},"properties":{"noteIndex":0},"schema":"https://github.com/citation-style-language/schema/raw/master/csl-citation.json"}</w:instrText>
      </w:r>
      <w:r w:rsidRPr="00002888">
        <w:rPr>
          <w:rFonts w:ascii="Times New Roman" w:hAnsi="Times New Roman" w:cs="Times New Roman"/>
          <w:noProof/>
          <w:sz w:val="24"/>
          <w:szCs w:val="24"/>
          <w:lang w:val="en-GB"/>
        </w:rPr>
        <w:fldChar w:fldCharType="separate"/>
      </w:r>
      <w:r w:rsidRPr="00002888">
        <w:rPr>
          <w:rFonts w:ascii="Times New Roman" w:hAnsi="Times New Roman" w:cs="Times New Roman"/>
          <w:noProof/>
          <w:sz w:val="24"/>
          <w:szCs w:val="24"/>
          <w:lang w:val="es-CO"/>
        </w:rPr>
        <w:t>(Dierlamm et al., 1997, 1996; Hernández et al., 2001; Oscier et al., 1993; Solé et al., 1997; Troussard et al., 1998, Salido 2010)</w:t>
      </w:r>
      <w:r w:rsidRPr="00002888">
        <w:rPr>
          <w:rFonts w:ascii="Times New Roman" w:hAnsi="Times New Roman" w:cs="Times New Roman"/>
          <w:noProof/>
          <w:sz w:val="24"/>
          <w:szCs w:val="24"/>
          <w:lang w:val="en-GB"/>
        </w:rPr>
        <w:fldChar w:fldCharType="end"/>
      </w:r>
      <w:r w:rsidRPr="00002888">
        <w:rPr>
          <w:rFonts w:ascii="Times New Roman" w:hAnsi="Times New Roman" w:cs="Times New Roman"/>
          <w:sz w:val="24"/>
          <w:szCs w:val="24"/>
          <w:lang w:val="es-CO"/>
        </w:rPr>
        <w:t xml:space="preserve"> . </w:t>
      </w:r>
      <w:r w:rsidRPr="00002888">
        <w:rPr>
          <w:rFonts w:ascii="Times New Roman" w:hAnsi="Times New Roman" w:cs="Times New Roman"/>
          <w:sz w:val="24"/>
          <w:szCs w:val="24"/>
        </w:rPr>
        <w:t xml:space="preserve">Using array </w:t>
      </w:r>
      <w:r w:rsidR="008E1DDD" w:rsidRPr="00002888">
        <w:rPr>
          <w:rFonts w:ascii="Times New Roman" w:hAnsi="Times New Roman" w:cs="Times New Roman"/>
          <w:sz w:val="24"/>
          <w:szCs w:val="24"/>
        </w:rPr>
        <w:t>comparative genomic hybridization (</w:t>
      </w:r>
      <w:proofErr w:type="spellStart"/>
      <w:r w:rsidR="008E1DDD" w:rsidRPr="00002888">
        <w:rPr>
          <w:rFonts w:ascii="Times New Roman" w:hAnsi="Times New Roman" w:cs="Times New Roman"/>
          <w:sz w:val="24"/>
          <w:szCs w:val="24"/>
        </w:rPr>
        <w:t>a</w:t>
      </w:r>
      <w:r w:rsidRPr="00002888">
        <w:rPr>
          <w:rFonts w:ascii="Times New Roman" w:hAnsi="Times New Roman" w:cs="Times New Roman"/>
          <w:sz w:val="24"/>
          <w:szCs w:val="24"/>
        </w:rPr>
        <w:t>CGH</w:t>
      </w:r>
      <w:proofErr w:type="spellEnd"/>
      <w:r w:rsidR="008E1DDD" w:rsidRPr="00002888">
        <w:rPr>
          <w:rFonts w:ascii="Times New Roman" w:hAnsi="Times New Roman" w:cs="Times New Roman"/>
          <w:sz w:val="24"/>
          <w:szCs w:val="24"/>
        </w:rPr>
        <w:t>)</w:t>
      </w:r>
      <w:r w:rsidRPr="00002888">
        <w:rPr>
          <w:rFonts w:ascii="Times New Roman" w:hAnsi="Times New Roman" w:cs="Times New Roman"/>
          <w:sz w:val="24"/>
          <w:szCs w:val="24"/>
        </w:rPr>
        <w:t xml:space="preserve"> in patient samples or cell lines, 2 studies identified </w:t>
      </w:r>
      <w:r w:rsidR="60A40B6B" w:rsidRPr="00002888">
        <w:rPr>
          <w:rFonts w:ascii="Times New Roman" w:hAnsi="Times New Roman" w:cs="Times New Roman"/>
          <w:sz w:val="24"/>
          <w:szCs w:val="24"/>
        </w:rPr>
        <w:t>remarkably</w:t>
      </w:r>
      <w:r w:rsidRPr="00002888">
        <w:rPr>
          <w:rFonts w:ascii="Times New Roman" w:hAnsi="Times New Roman" w:cs="Times New Roman"/>
          <w:sz w:val="24"/>
          <w:szCs w:val="24"/>
        </w:rPr>
        <w:t xml:space="preserve"> similar minimally deleted regions (MDR) of 2.7 – 2.8Mb in 7q32.1 -q32.2. </w:t>
      </w:r>
      <w:r w:rsidR="00EC5770" w:rsidRPr="00002888">
        <w:rPr>
          <w:rFonts w:ascii="Times New Roman" w:hAnsi="Times New Roman" w:cs="Times New Roman"/>
          <w:sz w:val="24"/>
          <w:szCs w:val="24"/>
        </w:rPr>
        <w:fldChar w:fldCharType="begin" w:fldLock="1"/>
      </w:r>
      <w:r w:rsidR="00967C51" w:rsidRPr="00002888">
        <w:rPr>
          <w:rFonts w:ascii="Times New Roman" w:hAnsi="Times New Roman" w:cs="Times New Roman"/>
          <w:sz w:val="24"/>
          <w:szCs w:val="24"/>
        </w:rPr>
        <w:instrText>ADDIN CSL_CITATION {"citationItems":[{"id":"ITEM-1","itemData":{"DOI":"10.1002/path","ISBN":"1096-9896 (Electronic)\\r0022-3417 (Linking)","ISSN":"1096-9896","PMID":"19927301","abstract":"The functional significance of changes in nuclear structure and organization in transformed cells remains one of the most enigmatic questions in cancer biology. In this review, we discuss relationships between nuclear organization and transcription in terms of the three-dimensional arrangement of genes in the interphase cancer nucleus and the regulatory functions of nuclear matrix proteins. We also analyse the role of nuclear topology in the generation of gene fusions. We speculate that this type of multi-layered analysis will one day provide a framework for a more comprehensive understanding of the genetic origins of cancer and the identification of new therapeutic targets.","author":[{"dropping-particle":"","family":"Watkins","given":"James","non-dropping-particle":"","parse-names":false,"suffix":""},{"dropping-particle":"","family":"Huang","given":"Yuanxue","non-dropping-particle":"","parse-names":false,"suffix":""},{"dropping-particle":"","family":"Ye","given":"Hongtao","non-dropping-particle":"","parse-names":false,"suffix":""},{"dropping-particle":"","family":"Chanudet","given":"Estelle","non-dropping-particle":"","parse-names":false,"suffix":""},{"dropping-particle":"","family":"Johnson","given":"Nicola","non-dropping-particle":"","parse-names":false,"suffix":""},{"dropping-particle":"","family":"Hamoudi","given":"Rifat","non-dropping-particle":"","parse-names":false,"suffix":""},{"dropping-particle":"","family":"Liu","given":"Hongxiang","non-dropping-particle":"","parse-names":false,"suffix":""},{"dropping-particle":"","family":"Dong","given":"Gehong","non-dropping-particle":"","parse-names":false,"suffix":""},{"dropping-particle":"","family":"Attygalle","given":"Ayoma","non-dropping-particle":"","parse-names":false,"suffix":""},{"dropping-particle":"","family":"McPhail","given":"Ellen D.","non-dropping-particle":"","parse-names":false,"suffix":""},{"dropping-particle":"","family":"Law","given":"Mark E.","non-dropping-particle":"","parse-names":false,"suffix":""},{"dropping-particle":"","family":"Isaacson","given":"Peter G.","non-dropping-particle":"","parse-names":false,"suffix":""},{"dropping-particle":"","family":"Leval","given":"Laurence","non-dropping-particle":"de","parse-names":false,"suffix":""},{"dropping-particle":"","family":"Wotherspoon","given":"Andrew","non-dropping-particle":"","parse-names":false,"suffix":""},{"dropping-particle":"","family":"Du","given":"Ming-Qing","non-dropping-particle":"","parse-names":false,"suffix":""}],"container-title":"The Journal of pathology","id":"ITEM-1","issue":"September","issued":{"date-parts":[["2010"]]},"page":"114-125","title":"Splenic marginal zone lymphoma: characterization of 7q deletion and its value in diagnosis","type":"article-journal","volume":"220"},"uris":["http://www.mendeley.com/documents/?uuid=d90b808d-0a21-4c00-920d-ff172cebe4a8"]},{"id":"ITEM-2","itemData":{"DOI":"10.1111/j.1365-2141.2012.09226.x","ISSN":"00071048","abstract":"Using high-resolution genomic microarray analysis, a distinct genomic profile was defined in 114 samples from patients with splenic marginal zone lymphoma (SMZL). Deletion or uniparental disomy of chromosome 7q were detected in 42 of 114 (37%) SMZLs but in only nine of 170 (5%) mature B-cell lymphomas (P &lt; 0·00001). The presence of unmutated IGHV, genomic complexity, 17p13-TP53 deletion and 8q-MYC gain, but not 7q deletion, correlated with shorter overall survival of SMZL patients. Mapping studies narrowed down a commonly deleted region of 2·7 Mb in 7q32.1-q32.2 spanning a region between the SND1 and COPG2 genes. High-throughput sequencing analysis of the 7q32-deleted segment did not identify biallelic deletions/insertions or clear pathogenic gene mutations, but detected six nucleotide changes in IRF5 (n = 2), TMEM209 (n = 2), CALU (n = 1) and ZC3HC1 (n = 1) not found in healthy individuals. Comparative expression analysis found a fourfold down-regulation of IRF5 gene in lymphomas with 7q32 deletion versus non-deleted tumours (P = 0·032). Ectopic expression of IRF5 in marginal-zone lymphoma cells decreased proliferation and increased apoptosis in vitro, and impaired lymphoma development in vivo. These results show that cryptic deletions, insertions and/or point mutations inactivating genes within 7q32 are not common in SMZL, and suggest that IRF5 may be a haploinsufficient tumour suppressor in this lymphoma entity.","author":[{"dropping-particle":"","family":"Fresquet","given":"Vicente","non-dropping-particle":"","parse-names":false,"suffix":""},{"dropping-particle":"","family":"Robles","given":"Eloy F.","non-dropping-particle":"","parse-names":false,"suffix":""},{"dropping-particle":"","family":"Parker","given":"Anton","non-dropping-particle":"","parse-names":false,"suffix":""},{"dropping-particle":"","family":"Martinez-Useros","given":"Javier","non-dropping-particle":"","parse-names":false,"suffix":""},{"dropping-particle":"","family":"Mena","given":"Maria","non-dropping-particle":"","parse-names":false,"suffix":""},{"dropping-particle":"","family":"Malumbres","given":"Raquel","non-dropping-particle":"","parse-names":false,"suffix":""},{"dropping-particle":"","family":"Agirre","given":"Xabier","non-dropping-particle":"","parse-names":false,"suffix":""},{"dropping-particle":"","family":"Catarino","given":"Susana","non-dropping-particle":"","parse-names":false,"suffix":""},{"dropping-particle":"","family":"Arteta","given":"David","non-dropping-particle":"","parse-names":false,"suffix":""},{"dropping-particle":"","family":"Osaba","given":"Lourdes","non-dropping-particle":"","parse-names":false,"suffix":""},{"dropping-particle":"","family":"Mollejo","given":"Manuela","non-dropping-particle":"","parse-names":false,"suffix":""},{"dropping-particle":"","family":"Hernandez-Rivas","given":"Jesus M.","non-dropping-particle":"","parse-names":false,"suffix":""},{"dropping-particle":"","family":"Calasanz","given":"Maria Jose","non-dropping-particle":"","parse-names":false,"suffix":""},{"dropping-particle":"","family":"Daibata","given":"Masanori","non-dropping-particle":"","parse-names":false,"suffix":""},{"dropping-particle":"","family":"Dyer","given":"Martin J.S.","non-dropping-particle":"","parse-names":false,"suffix":""},{"dropping-particle":"","family":"Prosper","given":"Felipe","non-dropping-particle":"","parse-names":false,"suffix":""},{"dropping-particle":"","family":"Vizcarra","given":"Esperanza","non-dropping-particle":"","parse-names":false,"suffix":""},{"dropping-particle":"","family":"Piris","given":"Miguel Ángel","non-dropping-particle":"","parse-names":false,"suffix":""},{"dropping-particle":"","family":"Oscier","given":"David","non-dropping-particle":"","parse-names":false,"suffix":""},{"dropping-particle":"","family":"Martinez-Climent","given":"Jose Angel","non-dropping-particle":"","parse-names":false,"suffix":""}],"container-title":"British Journal of Haematology","id":"ITEM-2","issue":"6","issued":{"date-parts":[["2012"]]},"page":"712-726","title":"High-throughput sequencing analysis of the chromosome 7q32 deletion reveals IRF5 as a potential tumour suppressor in splenic marginal-zone lymphoma","type":"article-journal","volume":"158"},"uris":["http://www.mendeley.com/documents/?uuid=2714e14e-698f-4333-abde-22b2781ab808"]}],"mendeley":{"formattedCitation":"(Fresquet et al., 2012; Watkins et al., 2010)","plainTextFormattedCitation":"(Fresquet et al., 2012; Watkins et al., 2010)","previouslyFormattedCitation":"(Fresquet et al., 2012; Watkins et al., 2010)"},"properties":{"noteIndex":0},"schema":"https://github.com/citation-style-language/schema/raw/master/csl-citation.json"}</w:instrText>
      </w:r>
      <w:r w:rsidR="00EC5770" w:rsidRPr="00002888">
        <w:rPr>
          <w:rFonts w:ascii="Times New Roman" w:hAnsi="Times New Roman" w:cs="Times New Roman"/>
          <w:sz w:val="24"/>
          <w:szCs w:val="24"/>
        </w:rPr>
        <w:fldChar w:fldCharType="separate"/>
      </w:r>
      <w:r w:rsidR="00EC5770" w:rsidRPr="00002888">
        <w:rPr>
          <w:rFonts w:ascii="Times New Roman" w:hAnsi="Times New Roman" w:cs="Times New Roman"/>
          <w:noProof/>
          <w:sz w:val="24"/>
          <w:szCs w:val="24"/>
        </w:rPr>
        <w:t>(Fresquet et al., 2012; Watkins et al., 2010)</w:t>
      </w:r>
      <w:r w:rsidR="00EC5770" w:rsidRPr="00002888">
        <w:rPr>
          <w:rFonts w:ascii="Times New Roman" w:hAnsi="Times New Roman" w:cs="Times New Roman"/>
          <w:sz w:val="24"/>
          <w:szCs w:val="24"/>
        </w:rPr>
        <w:fldChar w:fldCharType="end"/>
      </w:r>
      <w:r w:rsidRPr="00002888">
        <w:rPr>
          <w:rFonts w:ascii="Times New Roman" w:hAnsi="Times New Roman" w:cs="Times New Roman"/>
          <w:sz w:val="24"/>
          <w:szCs w:val="24"/>
        </w:rPr>
        <w:t>. Compared to SMZL cases without del</w:t>
      </w:r>
      <w:r w:rsidR="00547700" w:rsidRPr="00002888">
        <w:rPr>
          <w:rFonts w:ascii="Times New Roman" w:hAnsi="Times New Roman" w:cs="Times New Roman"/>
          <w:sz w:val="24"/>
          <w:szCs w:val="24"/>
        </w:rPr>
        <w:t xml:space="preserve">etion of </w:t>
      </w:r>
      <w:r w:rsidRPr="00002888">
        <w:rPr>
          <w:rFonts w:ascii="Times New Roman" w:hAnsi="Times New Roman" w:cs="Times New Roman"/>
          <w:sz w:val="24"/>
          <w:szCs w:val="24"/>
        </w:rPr>
        <w:t xml:space="preserve">7q, expression of coding genes and miRNAs within the MDR’s </w:t>
      </w:r>
      <w:r w:rsidR="20890BDB" w:rsidRPr="00002888">
        <w:rPr>
          <w:rFonts w:ascii="Times New Roman" w:hAnsi="Times New Roman" w:cs="Times New Roman"/>
          <w:sz w:val="24"/>
          <w:szCs w:val="24"/>
        </w:rPr>
        <w:t xml:space="preserve">is </w:t>
      </w:r>
      <w:r w:rsidRPr="00002888">
        <w:rPr>
          <w:rFonts w:ascii="Times New Roman" w:hAnsi="Times New Roman" w:cs="Times New Roman"/>
          <w:sz w:val="24"/>
          <w:szCs w:val="24"/>
        </w:rPr>
        <w:t xml:space="preserve">reduced but neither study identified microdeletions nor pathogenic mutations </w:t>
      </w:r>
      <w:r w:rsidRPr="00002888">
        <w:rPr>
          <w:rFonts w:ascii="Times New Roman" w:hAnsi="Times New Roman" w:cs="Times New Roman"/>
          <w:sz w:val="24"/>
          <w:szCs w:val="24"/>
          <w:lang w:val="en-GB"/>
        </w:rPr>
        <w:t xml:space="preserve">or disease-specific promotor hypermethylation of genes in the retained allele that would indicate a classical tumour suppressor gene. A further </w:t>
      </w:r>
      <w:proofErr w:type="spellStart"/>
      <w:r w:rsidRPr="00002888">
        <w:rPr>
          <w:rFonts w:ascii="Times New Roman" w:hAnsi="Times New Roman" w:cs="Times New Roman"/>
          <w:sz w:val="24"/>
          <w:szCs w:val="24"/>
          <w:lang w:val="en-GB"/>
        </w:rPr>
        <w:t>aCGH</w:t>
      </w:r>
      <w:proofErr w:type="spellEnd"/>
      <w:r w:rsidRPr="00002888">
        <w:rPr>
          <w:rFonts w:ascii="Times New Roman" w:hAnsi="Times New Roman" w:cs="Times New Roman"/>
          <w:sz w:val="24"/>
          <w:szCs w:val="24"/>
          <w:lang w:val="en-GB"/>
        </w:rPr>
        <w:t xml:space="preserve"> study </w:t>
      </w:r>
      <w:r w:rsidR="760168AC" w:rsidRPr="00002888">
        <w:rPr>
          <w:rFonts w:ascii="Times New Roman" w:hAnsi="Times New Roman" w:cs="Times New Roman"/>
          <w:sz w:val="24"/>
          <w:szCs w:val="24"/>
          <w:lang w:val="en-GB"/>
        </w:rPr>
        <w:t>showed</w:t>
      </w:r>
      <w:r w:rsidRPr="00002888">
        <w:rPr>
          <w:rFonts w:ascii="Times New Roman" w:hAnsi="Times New Roman" w:cs="Times New Roman"/>
          <w:sz w:val="24"/>
          <w:szCs w:val="24"/>
          <w:lang w:val="en-GB"/>
        </w:rPr>
        <w:t xml:space="preserve"> another 1.51Mb MDR at q22.1 in 49% of cases studied</w:t>
      </w:r>
      <w:r w:rsidR="00967C51" w:rsidRPr="00002888">
        <w:rPr>
          <w:rFonts w:ascii="Times New Roman" w:hAnsi="Times New Roman" w:cs="Times New Roman"/>
          <w:sz w:val="24"/>
          <w:szCs w:val="24"/>
          <w:lang w:val="en-GB"/>
        </w:rPr>
        <w:t xml:space="preserve"> </w:t>
      </w:r>
      <w:r w:rsidR="00967C51" w:rsidRPr="00002888">
        <w:rPr>
          <w:rFonts w:ascii="Times New Roman" w:hAnsi="Times New Roman" w:cs="Times New Roman"/>
          <w:sz w:val="24"/>
          <w:szCs w:val="24"/>
          <w:lang w:val="en-GB"/>
        </w:rPr>
        <w:fldChar w:fldCharType="begin" w:fldLock="1"/>
      </w:r>
      <w:r w:rsidR="00FF4BA0" w:rsidRPr="00002888">
        <w:rPr>
          <w:rFonts w:ascii="Times New Roman" w:hAnsi="Times New Roman" w:cs="Times New Roman"/>
          <w:sz w:val="24"/>
          <w:szCs w:val="24"/>
          <w:lang w:val="en-GB"/>
        </w:rPr>
        <w:instrText>ADDIN CSL_CITATION {"citationItems":[{"id":"ITEM-1","itemData":{"DOI":"10.1371/journal.pone.0024939","ISSN":"1932-6203","abstract":"Splenic marginal zone lymphomas (SMZL) are an uncommon type of B-cell non-Hodgkin’s lymphoma (NHL-B) in which no specific chromosomal translocations have been described. In contrast, the most frequent cytogenetic abnormality is the loss of the long arm of chromosome 7 (7q). Previous reports have located this loss in the 7q32 region. In order to better characterize the genomic imbalances in SMZL, molecular studies were carried out in 73 patients with SMZL. To gain insight into the mapping at 7q a tiling array was also used. The results confirmed the loss of 7q as the most frequent change. In addition, several abnormalities, including 4q22.1, 1q21.3–q22, 6q25.3, 20q13.33, 3q28, 2q23.3–q24.1 and 17p13, were also present. A loss of 7q22.1 at 99925039–101348479 bp was observed in half of the cases. The region of 7q22.1 has not previously been characterised in SMZL. Our results confirmed the presence of a new region of loss on chromosome 7 in these NHL.","author":[{"dropping-particle":"","family":"Robledo","given":"Cristina","non-dropping-particle":"","parse-names":false,"suffix":""},{"dropping-particle":"","family":"García","given":"Juan L.","non-dropping-particle":"","parse-names":false,"suffix":""},{"dropping-particle":"","family":"Benito","given":"Rocío","non-dropping-particle":"","parse-names":false,"suffix":""},{"dropping-particle":"","family":"Flores","given":"Teresa","non-dropping-particle":"","parse-names":false,"suffix":""},{"dropping-particle":"","family":"Mollejo","given":"Manuela","non-dropping-particle":"","parse-names":false,"suffix":""},{"dropping-particle":"","family":"Martínez-Climent","given":"José Ángel","non-dropping-particle":"","parse-names":false,"suffix":""},{"dropping-particle":"","family":"García","given":"Eva","non-dropping-particle":"","parse-names":false,"suffix":""},{"dropping-particle":"","family":"Gutiérrez","given":"Norma C.","non-dropping-particle":"","parse-names":false,"suffix":""},{"dropping-particle":"","family":"Piris","given":"Miguel A","non-dropping-particle":"","parse-names":false,"suffix":""},{"dropping-particle":"","family":"Hernández","given":"Jesús M.","non-dropping-particle":"","parse-names":false,"suffix":""}],"container-title":"PLoS ONE","editor":[{"dropping-particle":"","family":"Abdelhay","given":"Eliana Saul Furquim Werneck","non-dropping-particle":"","parse-names":false,"suffix":""}],"id":"ITEM-1","issue":"9","issued":{"date-parts":[["2011","9","21"]]},"page":"e24939","title":"Molecular Characterization of the Region 7q22.1 in Splenic Marginal Zone Lymphomas","type":"article-journal","volume":"6"},"uris":["http://www.mendeley.com/documents/?uuid=23c793dc-0dc8-454e-8414-7e2581735481"]}],"mendeley":{"formattedCitation":"(Robledo et al., 2011)","plainTextFormattedCitation":"(Robledo et al., 2011)","previouslyFormattedCitation":"(Robledo et al., 2011)"},"properties":{"noteIndex":0},"schema":"https://github.com/citation-style-language/schema/raw/master/csl-citation.json"}</w:instrText>
      </w:r>
      <w:r w:rsidR="00967C51" w:rsidRPr="00002888">
        <w:rPr>
          <w:rFonts w:ascii="Times New Roman" w:hAnsi="Times New Roman" w:cs="Times New Roman"/>
          <w:sz w:val="24"/>
          <w:szCs w:val="24"/>
          <w:lang w:val="en-GB"/>
        </w:rPr>
        <w:fldChar w:fldCharType="separate"/>
      </w:r>
      <w:r w:rsidR="00967C51" w:rsidRPr="00002888">
        <w:rPr>
          <w:rFonts w:ascii="Times New Roman" w:hAnsi="Times New Roman" w:cs="Times New Roman"/>
          <w:noProof/>
          <w:sz w:val="24"/>
          <w:szCs w:val="24"/>
          <w:lang w:val="en-GB"/>
        </w:rPr>
        <w:t>(Robledo et al., 2011)</w:t>
      </w:r>
      <w:r w:rsidR="00967C51" w:rsidRPr="00002888">
        <w:rPr>
          <w:rFonts w:ascii="Times New Roman" w:hAnsi="Times New Roman" w:cs="Times New Roman"/>
          <w:sz w:val="24"/>
          <w:szCs w:val="24"/>
          <w:lang w:val="en-GB"/>
        </w:rPr>
        <w:fldChar w:fldCharType="end"/>
      </w:r>
      <w:r w:rsidRPr="00002888">
        <w:rPr>
          <w:rFonts w:ascii="Times New Roman" w:hAnsi="Times New Roman" w:cs="Times New Roman"/>
          <w:sz w:val="24"/>
          <w:szCs w:val="24"/>
        </w:rPr>
        <w:t xml:space="preserve"> which included </w:t>
      </w:r>
      <w:r w:rsidRPr="00002888">
        <w:rPr>
          <w:rFonts w:ascii="Times New Roman" w:hAnsi="Times New Roman" w:cs="Times New Roman"/>
          <w:i/>
          <w:iCs/>
          <w:sz w:val="24"/>
          <w:szCs w:val="24"/>
        </w:rPr>
        <w:t>CUX1</w:t>
      </w:r>
      <w:r w:rsidRPr="00002888">
        <w:rPr>
          <w:rFonts w:ascii="Times New Roman" w:hAnsi="Times New Roman" w:cs="Times New Roman"/>
          <w:sz w:val="24"/>
          <w:szCs w:val="24"/>
        </w:rPr>
        <w:t xml:space="preserve">, a gene implicated in </w:t>
      </w:r>
      <w:r w:rsidR="00CE2C30" w:rsidRPr="00002888">
        <w:rPr>
          <w:rFonts w:ascii="Times New Roman" w:hAnsi="Times New Roman" w:cs="Times New Roman"/>
          <w:sz w:val="24"/>
          <w:szCs w:val="24"/>
        </w:rPr>
        <w:t>tumorigenesis</w:t>
      </w:r>
      <w:r w:rsidRPr="00002888">
        <w:rPr>
          <w:rFonts w:ascii="Times New Roman" w:hAnsi="Times New Roman" w:cs="Times New Roman"/>
          <w:sz w:val="24"/>
          <w:szCs w:val="24"/>
        </w:rPr>
        <w:t xml:space="preserve">. </w:t>
      </w:r>
      <w:r w:rsidRPr="00002888">
        <w:rPr>
          <w:rFonts w:ascii="Times New Roman" w:hAnsi="Times New Roman" w:cs="Times New Roman"/>
          <w:sz w:val="24"/>
          <w:szCs w:val="24"/>
          <w:lang w:val="en-GB"/>
        </w:rPr>
        <w:t xml:space="preserve">While it is possible that 7q deletions have no impact on phenotype it seems more likely that future studies integrating several </w:t>
      </w:r>
      <w:proofErr w:type="spellStart"/>
      <w:r w:rsidRPr="00002888">
        <w:rPr>
          <w:rFonts w:ascii="Times New Roman" w:hAnsi="Times New Roman" w:cs="Times New Roman"/>
          <w:sz w:val="24"/>
          <w:szCs w:val="24"/>
          <w:lang w:val="en-GB"/>
        </w:rPr>
        <w:t>omic</w:t>
      </w:r>
      <w:proofErr w:type="spellEnd"/>
      <w:r w:rsidRPr="00002888">
        <w:rPr>
          <w:rFonts w:ascii="Times New Roman" w:hAnsi="Times New Roman" w:cs="Times New Roman"/>
          <w:sz w:val="24"/>
          <w:szCs w:val="24"/>
          <w:lang w:val="en-GB"/>
        </w:rPr>
        <w:t xml:space="preserve"> technologies as well as a genome wide approach will be necessary to fully comprehend the role of the 7q deletion in SMZL pathogenesis.</w:t>
      </w:r>
    </w:p>
    <w:p w14:paraId="05B8286C" w14:textId="77777777" w:rsidR="00002888" w:rsidRPr="00002888" w:rsidRDefault="00002888" w:rsidP="00002888">
      <w:pPr>
        <w:spacing w:before="0" w:after="0" w:line="360" w:lineRule="auto"/>
        <w:jc w:val="left"/>
        <w:rPr>
          <w:rFonts w:ascii="Times New Roman" w:hAnsi="Times New Roman" w:cs="Times New Roman"/>
          <w:sz w:val="24"/>
          <w:szCs w:val="24"/>
          <w:lang w:val="en-GB"/>
        </w:rPr>
      </w:pPr>
    </w:p>
    <w:p w14:paraId="4DCB67F0" w14:textId="046FB6B0" w:rsidR="00A2452A" w:rsidRDefault="00A2452A" w:rsidP="00002888">
      <w:pPr>
        <w:spacing w:before="0" w:after="0" w:line="360" w:lineRule="auto"/>
        <w:jc w:val="left"/>
        <w:rPr>
          <w:rFonts w:ascii="Times New Roman" w:hAnsi="Times New Roman" w:cs="Times New Roman"/>
          <w:sz w:val="24"/>
          <w:szCs w:val="24"/>
          <w:lang w:val="en-GB"/>
        </w:rPr>
      </w:pPr>
      <w:bookmarkStart w:id="0" w:name="_Hlk67923374"/>
      <w:r w:rsidRPr="00245037">
        <w:rPr>
          <w:rFonts w:ascii="Times New Roman" w:hAnsi="Times New Roman" w:cs="Times New Roman"/>
          <w:sz w:val="24"/>
          <w:szCs w:val="24"/>
          <w:lang w:val="en-GB"/>
        </w:rPr>
        <w:t xml:space="preserve">Recurring translocations are much less frequent than in other low-grade lymphomas such as MCL, FL and </w:t>
      </w:r>
      <w:r w:rsidR="002017EB" w:rsidRPr="00245037">
        <w:rPr>
          <w:rFonts w:ascii="Times New Roman" w:hAnsi="Times New Roman" w:cs="Times New Roman"/>
          <w:sz w:val="24"/>
          <w:szCs w:val="24"/>
          <w:lang w:val="en-GB"/>
        </w:rPr>
        <w:t>mucosa associated lymphoid tissue (</w:t>
      </w:r>
      <w:r w:rsidRPr="00245037">
        <w:rPr>
          <w:rFonts w:ascii="Times New Roman" w:hAnsi="Times New Roman" w:cs="Times New Roman"/>
          <w:sz w:val="24"/>
          <w:szCs w:val="24"/>
          <w:lang w:val="en-GB"/>
        </w:rPr>
        <w:t>MALT</w:t>
      </w:r>
      <w:r w:rsidR="002017EB" w:rsidRPr="00245037">
        <w:rPr>
          <w:rFonts w:ascii="Times New Roman" w:hAnsi="Times New Roman" w:cs="Times New Roman"/>
          <w:sz w:val="24"/>
          <w:szCs w:val="24"/>
          <w:lang w:val="en-GB"/>
        </w:rPr>
        <w:t>)</w:t>
      </w:r>
      <w:r w:rsidRPr="00245037">
        <w:rPr>
          <w:rFonts w:ascii="Times New Roman" w:hAnsi="Times New Roman" w:cs="Times New Roman"/>
          <w:sz w:val="24"/>
          <w:szCs w:val="24"/>
          <w:lang w:val="en-GB"/>
        </w:rPr>
        <w:t xml:space="preserve"> lymphoma, and usually involve the </w:t>
      </w:r>
      <w:r w:rsidR="00453675" w:rsidRPr="00245037">
        <w:rPr>
          <w:rFonts w:ascii="Times New Roman" w:hAnsi="Times New Roman" w:cs="Times New Roman"/>
          <w:i/>
          <w:iCs/>
          <w:sz w:val="24"/>
          <w:szCs w:val="24"/>
          <w:lang w:val="en-GB"/>
        </w:rPr>
        <w:lastRenderedPageBreak/>
        <w:t>IGHV</w:t>
      </w:r>
      <w:r w:rsidR="00453675" w:rsidRPr="00245037">
        <w:rPr>
          <w:rFonts w:ascii="Times New Roman" w:hAnsi="Times New Roman" w:cs="Times New Roman"/>
          <w:sz w:val="24"/>
          <w:szCs w:val="24"/>
          <w:lang w:val="en-GB"/>
        </w:rPr>
        <w:t xml:space="preserve"> locus</w:t>
      </w:r>
      <w:r w:rsidRPr="00245037">
        <w:rPr>
          <w:rFonts w:ascii="Times New Roman" w:hAnsi="Times New Roman" w:cs="Times New Roman"/>
          <w:sz w:val="24"/>
          <w:szCs w:val="24"/>
          <w:lang w:val="en-GB"/>
        </w:rPr>
        <w:t>. These include t(14;19)(q32;q13), t(6;14)(p21;q32), t(9;14)(p13;q32), t(1;14)(q21;q32)</w:t>
      </w:r>
      <w:r w:rsidR="00453675" w:rsidRPr="00245037">
        <w:rPr>
          <w:rFonts w:ascii="Times New Roman" w:hAnsi="Times New Roman" w:cs="Times New Roman"/>
          <w:sz w:val="24"/>
          <w:szCs w:val="24"/>
          <w:lang w:val="en-GB"/>
        </w:rPr>
        <w:t xml:space="preserve"> which target the genes </w:t>
      </w:r>
      <w:r w:rsidR="00453675" w:rsidRPr="00245037">
        <w:rPr>
          <w:rFonts w:ascii="Times New Roman" w:hAnsi="Times New Roman" w:cs="Times New Roman"/>
          <w:i/>
          <w:iCs/>
          <w:sz w:val="24"/>
          <w:szCs w:val="24"/>
          <w:lang w:val="en-GB"/>
        </w:rPr>
        <w:t xml:space="preserve">BCL3, CCND3, PAX5 </w:t>
      </w:r>
      <w:r w:rsidR="00453675" w:rsidRPr="00245037">
        <w:rPr>
          <w:rFonts w:ascii="Times New Roman" w:hAnsi="Times New Roman" w:cs="Times New Roman"/>
          <w:sz w:val="24"/>
          <w:szCs w:val="24"/>
          <w:lang w:val="en-GB"/>
        </w:rPr>
        <w:t xml:space="preserve">and </w:t>
      </w:r>
      <w:r w:rsidR="00453675" w:rsidRPr="00245037">
        <w:rPr>
          <w:rFonts w:ascii="Times New Roman" w:hAnsi="Times New Roman" w:cs="Times New Roman"/>
          <w:i/>
          <w:iCs/>
          <w:sz w:val="24"/>
          <w:szCs w:val="24"/>
          <w:lang w:val="en-GB"/>
        </w:rPr>
        <w:t xml:space="preserve">BCL9/MUC1 </w:t>
      </w:r>
      <w:r w:rsidR="00453675" w:rsidRPr="00245037">
        <w:rPr>
          <w:rFonts w:ascii="Times New Roman" w:hAnsi="Times New Roman" w:cs="Times New Roman"/>
          <w:sz w:val="24"/>
          <w:szCs w:val="24"/>
          <w:lang w:val="en-GB"/>
        </w:rPr>
        <w:t>respectively. T</w:t>
      </w:r>
      <w:r w:rsidRPr="00245037">
        <w:rPr>
          <w:rFonts w:ascii="Times New Roman" w:hAnsi="Times New Roman" w:cs="Times New Roman"/>
          <w:sz w:val="24"/>
          <w:szCs w:val="24"/>
          <w:lang w:val="en-GB"/>
        </w:rPr>
        <w:t>ranslocations of 7q21</w:t>
      </w:r>
      <w:r w:rsidR="00453675" w:rsidRPr="00245037">
        <w:rPr>
          <w:rFonts w:ascii="Times New Roman" w:hAnsi="Times New Roman" w:cs="Times New Roman"/>
          <w:sz w:val="24"/>
          <w:szCs w:val="24"/>
          <w:lang w:val="en-GB"/>
        </w:rPr>
        <w:t xml:space="preserve">, have been documented in some cases, </w:t>
      </w:r>
      <w:r w:rsidRPr="00245037">
        <w:rPr>
          <w:rFonts w:ascii="Times New Roman" w:hAnsi="Times New Roman" w:cs="Times New Roman"/>
          <w:sz w:val="24"/>
          <w:szCs w:val="24"/>
          <w:lang w:val="en-GB"/>
        </w:rPr>
        <w:t>predominantly with the immunoglobulin kappa locus resulting in upregulation of CDK6</w:t>
      </w:r>
      <w:r w:rsidR="00C0400E" w:rsidRPr="00245037">
        <w:rPr>
          <w:rFonts w:ascii="Times New Roman" w:hAnsi="Times New Roman" w:cs="Times New Roman"/>
          <w:sz w:val="24"/>
          <w:szCs w:val="24"/>
          <w:lang w:val="en-GB"/>
        </w:rPr>
        <w:t xml:space="preserve"> </w:t>
      </w:r>
      <w:r w:rsidR="00C0400E" w:rsidRPr="00245037">
        <w:rPr>
          <w:rFonts w:ascii="Times New Roman" w:hAnsi="Times New Roman" w:cs="Times New Roman"/>
          <w:sz w:val="24"/>
          <w:szCs w:val="24"/>
          <w:lang w:val="en-GB"/>
        </w:rPr>
        <w:fldChar w:fldCharType="begin" w:fldLock="1"/>
      </w:r>
      <w:r w:rsidR="004312C4" w:rsidRPr="00245037">
        <w:rPr>
          <w:rFonts w:ascii="Times New Roman" w:hAnsi="Times New Roman" w:cs="Times New Roman"/>
          <w:sz w:val="24"/>
          <w:szCs w:val="24"/>
          <w:lang w:val="en-GB"/>
        </w:rPr>
        <w:instrText>ADDIN CSL_CITATION {"citationItems":[{"id":"ITEM-1","itemData":{"DOI":"10.1111/bjh.17141","ISSN":"13652141","abstract":"A translocation involving the cyclin-dependent kinase 6 (CDK6) gene [t(CDK6)] is a rare but recurrent abnormality in B-cell neoplasms. To further characterise this aberration, we studied 57 cases; the largest series reported to date. Fluorescence in situ hybridisation analysis confirmed the involvement of CDK6 in all cases, including t(2;7)(p11;q21) immunoglobulin kappa locus (IGK)/CDK6 (n = 51), t(7;14)(q21;q32) CDK6/immunoglobulin heavy locus (IGH) (n = 2) and the previously undescribed t(7;14)(q21;q11) CDK6/T-cell receptor alpha locus (TRA)/T-cell receptor delta locus (TRD) (n = 4). In total, 10 patients were diagnosed with chronic lymphocytic leukaemia, monoclonal B-cell lymphocytosis or small lymphocytic lymphoma, and 47 had small B-cell lymphoma (SmBL) including 36 cases of marginal zone lymphoma (MZL; 34 splenic MZLs, one nodal MZL and one bronchus-associated lymphoid tissue lymphoma). In all, 18 of the 26 cytologically reviewed cases of MZL (69%) had an atypical aspect with prolymphocytic cells. Among the 47 patients with MZL/SmBL, CD5 expression was found in 26 (55%) and the tumour protein p53 (TP53) deletion in 22 (47%). The TP53 gene was mutated in 10/30 (33%); the 7q deletion was detected in only one case, and no Notch receptor 2 (NOTCH2) mutations were found. Immunoglobulin heavy-chain variable-region (IGHV) locus sequencing revealed that none harboured an IGHV1-02*04 gene. Overall survival was 82% at 10 years and not influenced by TP53 aberration. Our present findings suggest that most t(CDK6)+ neoplasms correspond to a particular subgroup of indolent marginal zone B-cell lymphomas with distinctive features.","author":[{"dropping-particle":"","family":"Gailllard","given":"Baptiste","non-dropping-particle":"","parse-names":false,"suffix":""},{"dropping-particle":"","family":"Cornillet-Lefebvre","given":"Pascale","non-dropping-particle":"","parse-names":false,"suffix":""},{"dropping-particle":"","family":"Le","given":"Quoc Hung","non-dropping-particle":"","parse-names":false,"suffix":""},{"dropping-particle":"","family":"Maloum","given":"Karim","non-dropping-particle":"","parse-names":false,"suffix":""},{"dropping-particle":"","family":"Pannetier","given":"Mélanie","non-dropping-particle":"","parse-names":false,"suffix":""},{"dropping-particle":"","family":"Lecoq-Lafon","given":"Carinne","non-dropping-particle":"","parse-names":false,"suffix":""},{"dropping-particle":"","family":"Grange","given":"Béatrice","non-dropping-particle":"","parse-names":false,"suffix":""},{"dropping-particle":"","family":"Jondreville","given":"Ludovic","non-dropping-particle":"","parse-names":false,"suffix":""},{"dropping-particle":"","family":"Michaux","given":"Lucienne","non-dropping-particle":"","parse-names":false,"suffix":""},{"dropping-particle":"","family":"Nadal","given":"Nathalie","non-dropping-particle":"","parse-names":false,"suffix":""},{"dropping-particle":"","family":"Ittel","given":"Antoine","non-dropping-particle":"","parse-names":false,"suffix":""},{"dropping-particle":"","family":"Luquet","given":"Isabelle","non-dropping-particle":"","parse-names":false,"suffix":""},{"dropping-particle":"","family":"Struski","given":"Stéphanie","non-dropping-particle":"","parse-names":false,"suffix":""},{"dropping-particle":"","family":"Lefebvre","given":"Christine","non-dropping-particle":"","parse-names":false,"suffix":""},{"dropping-particle":"","family":"Gaillard","given":"Jean Baptiste","non-dropping-particle":"","parse-names":false,"suffix":""},{"dropping-particle":"","family":"Lafage-Pochitaloff","given":"Marina","non-dropping-particle":"","parse-names":false,"suffix":""},{"dropping-particle":"","family":"Balducci","given":"Estelle","non-dropping-particle":"","parse-names":false,"suffix":""},{"dropping-particle":"","family":"Penther","given":"Dominique","non-dropping-particle":"","parse-names":false,"suffix":""},{"dropping-particle":"","family":"Barin","given":"Carole","non-dropping-particle":"","parse-names":false,"suffix":""},{"dropping-particle":"","family":"Collonge-Rame","given":"Marie Agnès","non-dropping-particle":"","parse-names":false,"suffix":""},{"dropping-particle":"","family":"Jimenez-Poquet","given":"Mélanie","non-dropping-particle":"","parse-names":false,"suffix":""},{"dropping-particle":"","family":"Richebourg","given":"Steven","non-dropping-particle":"","parse-names":false,"suffix":""},{"dropping-particle":"","family":"Lemaire","given":"Pierre","non-dropping-particle":"","parse-names":false,"suffix":""},{"dropping-particle":"","family":"Defasque","given":"Sabine","non-dropping-particle":"","parse-names":false,"suffix":""},{"dropping-particle":"","family":"Radford-Weiss","given":"Isabelle","non-dropping-particle":"","parse-names":false,"suffix":""},{"dropping-particle":"","family":"Bidet","given":"Audrey","non-dropping-particle":"","parse-names":false,"suffix":""},{"dropping-particle":"","family":"Susin","given":"Santos A.","non-dropping-particle":"","parse-names":false,"suffix":""},{"dropping-particle":"","family":"Nguyen-Khac","given":"Florence","non-dropping-particle":"","parse-names":false,"suffix":""},{"dropping-particle":"","family":"Chapiro","given":"Elise","non-dropping-particle":"","parse-names":false,"suffix":""}],"container-title":"British Journal of Haematology","id":"ITEM-1","issued":{"date-parts":[["2020"]]},"publisher":"Blackwell Publishing Ltd","title":"Clinical and biological features of B-cell neoplasms with CDK6 translocations: an association with a subgroup of splenic marginal zone lymphomas displaying frequent CD5 expression, prolymphocytic cells, and TP53 abnormalities","type":"article-journal"},"uris":["http://www.mendeley.com/documents/?uuid=0649cfab-21c8-3293-b286-ef7a922b7cc5"]}],"mendeley":{"formattedCitation":"(Gailllard et al., 2020)","plainTextFormattedCitation":"(Gailllard et al., 2020)","previouslyFormattedCitation":"(Gailllard et al., 2020)"},"properties":{"noteIndex":0},"schema":"https://github.com/citation-style-language/schema/raw/master/csl-citation.json"}</w:instrText>
      </w:r>
      <w:r w:rsidR="00C0400E" w:rsidRPr="00245037">
        <w:rPr>
          <w:rFonts w:ascii="Times New Roman" w:hAnsi="Times New Roman" w:cs="Times New Roman"/>
          <w:sz w:val="24"/>
          <w:szCs w:val="24"/>
          <w:lang w:val="en-GB"/>
        </w:rPr>
        <w:fldChar w:fldCharType="separate"/>
      </w:r>
      <w:r w:rsidR="00C0400E" w:rsidRPr="00245037">
        <w:rPr>
          <w:rFonts w:ascii="Times New Roman" w:hAnsi="Times New Roman" w:cs="Times New Roman"/>
          <w:noProof/>
          <w:sz w:val="24"/>
          <w:szCs w:val="24"/>
          <w:lang w:val="en-GB"/>
        </w:rPr>
        <w:t>(Gailllard et al., 2020)</w:t>
      </w:r>
      <w:r w:rsidR="00C0400E" w:rsidRPr="00245037">
        <w:rPr>
          <w:rFonts w:ascii="Times New Roman" w:hAnsi="Times New Roman" w:cs="Times New Roman"/>
          <w:sz w:val="24"/>
          <w:szCs w:val="24"/>
          <w:lang w:val="en-GB"/>
        </w:rPr>
        <w:fldChar w:fldCharType="end"/>
      </w:r>
      <w:r w:rsidRPr="00245037">
        <w:rPr>
          <w:rFonts w:ascii="Times New Roman" w:hAnsi="Times New Roman" w:cs="Times New Roman"/>
          <w:sz w:val="24"/>
          <w:szCs w:val="24"/>
          <w:lang w:val="en-GB"/>
        </w:rPr>
        <w:t>.</w:t>
      </w:r>
      <w:r w:rsidRPr="00002888">
        <w:rPr>
          <w:rFonts w:ascii="Times New Roman" w:hAnsi="Times New Roman" w:cs="Times New Roman"/>
          <w:sz w:val="24"/>
          <w:szCs w:val="24"/>
          <w:lang w:val="en-GB"/>
        </w:rPr>
        <w:t xml:space="preserve"> </w:t>
      </w:r>
    </w:p>
    <w:bookmarkEnd w:id="0"/>
    <w:p w14:paraId="11D84764" w14:textId="77777777" w:rsidR="00002888" w:rsidRPr="00002888" w:rsidRDefault="00002888" w:rsidP="00002888">
      <w:pPr>
        <w:spacing w:before="0" w:after="0" w:line="360" w:lineRule="auto"/>
        <w:jc w:val="left"/>
        <w:rPr>
          <w:rFonts w:ascii="Times New Roman" w:hAnsi="Times New Roman" w:cs="Times New Roman"/>
          <w:sz w:val="24"/>
          <w:szCs w:val="24"/>
        </w:rPr>
      </w:pPr>
    </w:p>
    <w:p w14:paraId="62351DAA" w14:textId="5D06619F" w:rsidR="006446CB" w:rsidRPr="00002888" w:rsidRDefault="004F28BA" w:rsidP="00002888">
      <w:pPr>
        <w:pStyle w:val="Heading1"/>
        <w:spacing w:before="0" w:line="360" w:lineRule="auto"/>
        <w:jc w:val="left"/>
        <w:rPr>
          <w:rFonts w:ascii="Times New Roman" w:hAnsi="Times New Roman" w:cs="Times New Roman"/>
          <w:b/>
          <w:bCs/>
          <w:sz w:val="24"/>
          <w:szCs w:val="24"/>
          <w:lang w:val="en-GB"/>
        </w:rPr>
      </w:pPr>
      <w:r w:rsidRPr="00002888">
        <w:rPr>
          <w:rFonts w:ascii="Times New Roman" w:hAnsi="Times New Roman" w:cs="Times New Roman"/>
          <w:b/>
          <w:bCs/>
          <w:sz w:val="24"/>
          <w:szCs w:val="24"/>
          <w:lang w:val="en-GB"/>
        </w:rPr>
        <w:t>MUTATIONS IN KEY GENES AND PATHWAYS</w:t>
      </w:r>
    </w:p>
    <w:p w14:paraId="5BE081FE" w14:textId="672C8CD0" w:rsidR="00A5765D" w:rsidRPr="00002888" w:rsidRDefault="004B5B6F" w:rsidP="00002888">
      <w:pPr>
        <w:spacing w:before="0" w:after="0" w:line="360" w:lineRule="auto"/>
        <w:jc w:val="left"/>
        <w:rPr>
          <w:rFonts w:ascii="Times New Roman" w:hAnsi="Times New Roman" w:cs="Times New Roman"/>
          <w:sz w:val="24"/>
          <w:szCs w:val="24"/>
          <w:lang w:val="en-GB"/>
        </w:rPr>
      </w:pPr>
      <w:r w:rsidRPr="00002888">
        <w:rPr>
          <w:rFonts w:ascii="Times New Roman" w:hAnsi="Times New Roman" w:cs="Times New Roman"/>
          <w:sz w:val="24"/>
          <w:szCs w:val="24"/>
          <w:lang w:val="en-GB"/>
        </w:rPr>
        <w:t xml:space="preserve">Whole genome/exome sequencing </w:t>
      </w:r>
      <w:r w:rsidR="2C0F8681" w:rsidRPr="00002888">
        <w:rPr>
          <w:rFonts w:ascii="Times New Roman" w:hAnsi="Times New Roman" w:cs="Times New Roman"/>
          <w:sz w:val="24"/>
          <w:szCs w:val="24"/>
          <w:lang w:val="en-GB"/>
        </w:rPr>
        <w:t>(W</w:t>
      </w:r>
      <w:r w:rsidR="00BD7F0E" w:rsidRPr="00002888">
        <w:rPr>
          <w:rFonts w:ascii="Times New Roman" w:hAnsi="Times New Roman" w:cs="Times New Roman"/>
          <w:sz w:val="24"/>
          <w:szCs w:val="24"/>
          <w:lang w:val="en-GB"/>
        </w:rPr>
        <w:t>GS</w:t>
      </w:r>
      <w:r w:rsidR="2C0F8681" w:rsidRPr="00002888">
        <w:rPr>
          <w:rFonts w:ascii="Times New Roman" w:hAnsi="Times New Roman" w:cs="Times New Roman"/>
          <w:sz w:val="24"/>
          <w:szCs w:val="24"/>
          <w:lang w:val="en-GB"/>
        </w:rPr>
        <w:t>/W</w:t>
      </w:r>
      <w:r w:rsidR="00BD7F0E" w:rsidRPr="00002888">
        <w:rPr>
          <w:rFonts w:ascii="Times New Roman" w:hAnsi="Times New Roman" w:cs="Times New Roman"/>
          <w:sz w:val="24"/>
          <w:szCs w:val="24"/>
          <w:lang w:val="en-GB"/>
        </w:rPr>
        <w:t>E</w:t>
      </w:r>
      <w:r w:rsidR="2C0F8681" w:rsidRPr="00002888">
        <w:rPr>
          <w:rFonts w:ascii="Times New Roman" w:hAnsi="Times New Roman" w:cs="Times New Roman"/>
          <w:sz w:val="24"/>
          <w:szCs w:val="24"/>
          <w:lang w:val="en-GB"/>
        </w:rPr>
        <w:t>S)</w:t>
      </w:r>
      <w:r w:rsidRPr="00002888">
        <w:rPr>
          <w:rFonts w:ascii="Times New Roman" w:hAnsi="Times New Roman" w:cs="Times New Roman"/>
          <w:sz w:val="24"/>
          <w:szCs w:val="24"/>
          <w:lang w:val="en-GB"/>
        </w:rPr>
        <w:t xml:space="preserve"> has been employed to scan the </w:t>
      </w:r>
      <w:r w:rsidR="00C10DE5" w:rsidRPr="00002888">
        <w:rPr>
          <w:rFonts w:ascii="Times New Roman" w:hAnsi="Times New Roman" w:cs="Times New Roman"/>
          <w:sz w:val="24"/>
          <w:szCs w:val="24"/>
          <w:lang w:val="en-GB"/>
        </w:rPr>
        <w:t xml:space="preserve">entire cancer genome at base-pair resolution and </w:t>
      </w:r>
      <w:r w:rsidRPr="00002888">
        <w:rPr>
          <w:rFonts w:ascii="Times New Roman" w:hAnsi="Times New Roman" w:cs="Times New Roman"/>
          <w:sz w:val="24"/>
          <w:szCs w:val="24"/>
          <w:lang w:val="en-GB"/>
        </w:rPr>
        <w:t xml:space="preserve">identify somatically acquired gene mutations across a broad spectrum of </w:t>
      </w:r>
      <w:r w:rsidR="00C10DE5" w:rsidRPr="00002888">
        <w:rPr>
          <w:rFonts w:ascii="Times New Roman" w:hAnsi="Times New Roman" w:cs="Times New Roman"/>
          <w:sz w:val="24"/>
          <w:szCs w:val="24"/>
          <w:lang w:val="en-GB"/>
        </w:rPr>
        <w:t xml:space="preserve">mature </w:t>
      </w:r>
      <w:r w:rsidRPr="00002888">
        <w:rPr>
          <w:rFonts w:ascii="Times New Roman" w:hAnsi="Times New Roman" w:cs="Times New Roman"/>
          <w:sz w:val="24"/>
          <w:szCs w:val="24"/>
          <w:lang w:val="en-GB"/>
        </w:rPr>
        <w:t xml:space="preserve">B-cell </w:t>
      </w:r>
      <w:r w:rsidR="009A76EB" w:rsidRPr="00002888">
        <w:rPr>
          <w:rFonts w:ascii="Times New Roman" w:hAnsi="Times New Roman" w:cs="Times New Roman"/>
          <w:sz w:val="24"/>
          <w:szCs w:val="24"/>
          <w:lang w:val="en-GB"/>
        </w:rPr>
        <w:t xml:space="preserve">tumours </w:t>
      </w:r>
      <w:r w:rsidR="009A76EB" w:rsidRPr="00002888">
        <w:rPr>
          <w:rFonts w:ascii="Times New Roman" w:hAnsi="Times New Roman" w:cs="Times New Roman"/>
          <w:sz w:val="24"/>
          <w:szCs w:val="24"/>
          <w:lang w:val="en-GB"/>
        </w:rPr>
        <w:fldChar w:fldCharType="begin" w:fldLock="1"/>
      </w:r>
      <w:r w:rsidR="00B21490" w:rsidRPr="00002888">
        <w:rPr>
          <w:rFonts w:ascii="Times New Roman" w:hAnsi="Times New Roman" w:cs="Times New Roman"/>
          <w:sz w:val="24"/>
          <w:szCs w:val="24"/>
          <w:lang w:val="en-GB"/>
        </w:rPr>
        <w:instrText>ADDIN CSL_CITATION {"citationItems":[{"id":"ITEM-1","itemData":{"DOI":"10.1038/s41375-018-0103-3","ISSN":"14765551","PMID":"29654271","abstract":"Multiple myeloma (MM) is a biologically heterogeneous malignancy, however, the mechanisms underlying this complexity are incompletely understood. We report an analysis of the whole-genome sequencing of 765 MM patients from CoMMpass. By employing promoter capture Hi-C in naïve B-cells, we identify cis-regulatory elements (CREs) that represent a highly enriched subset of the non-coding genome in which to search for driver mutations. We identify regulatory regions whose mutation significantly alters the expression of genes as candidate non-coding drivers, including copy number variation (CNV) at CREs of MYC and single-nucleotide variants (SNVs) in a PAX5 enhancer. To better inform the interplay between non-coding driver mutations with other driver mechanisms, and their respective roles in oncogenic pathways, we extended our analysis identifying coding drivers in 40 genes, including 11 novel candidates. We demonstrate the same pathways can be targeted by coding and non-coding mutations; exemplified by IRF4 and PRDM1, along with BCL6 and PAX5, genes that are central to plasma cell differentiation. This study reveals new insights into the complex genetic alterations driving MM development and an enhanced understanding of oncogenic pathways.","author":[{"dropping-particle":"","family":"Hoang","given":"Phuc H.","non-dropping-particle":"","parse-names":false,"suffix":""},{"dropping-particle":"","family":"Dobbins","given":"Sara E.","non-dropping-particle":"","parse-names":false,"suffix":""},{"dropping-particle":"","family":"Cornish","given":"Alex J.","non-dropping-particle":"","parse-names":false,"suffix":""},{"dropping-particle":"","family":"Chubb","given":"Daniel","non-dropping-particle":"","parse-names":false,"suffix":""},{"dropping-particle":"","family":"Law","given":"Philip J.","non-dropping-particle":"","parse-names":false,"suffix":""},{"dropping-particle":"","family":"Kaiser","given":"Martin","non-dropping-particle":"","parse-names":false,"suffix":""},{"dropping-particle":"","family":"Houlston","given":"Richard S.","non-dropping-particle":"","parse-names":false,"suffix":""}],"container-title":"Leukemia","id":"ITEM-1","issue":"11","issued":{"date-parts":[["2018","11","1"]]},"page":"2459-2470","publisher":"Nature Publishing Group","title":"Whole-genome sequencing of multiple myeloma reveals oncogenic pathways are targeted somatically through multiple mechanisms","type":"article-journal","volume":"32"},"uris":["http://www.mendeley.com/documents/?uuid=9fb189df-12e8-3423-87b9-c04bf66fa28f"]},{"id":"ITEM-2","itemData":{"DOI":"10.1038/leu.2017.177","ISSN":"0887-6924","PMID":"28570130","abstract":"Chronic lymphocytic leukemia (CLL) consists of two biologically and clinically distinct subtypes defined by the abundance of somatic hypermutation (SHM) affecting the Ig variable heavy chain locus (IgHV). The molecular mechanisms underlying these subtypes are incompletely understood. Here, we present a comprehensive whole genome sequencing (WGS) analysis of somatically acquired genetic events from 46 CLL patients, including a systematic comparison of coding and non-coding SNVs, CNVs and structural variants, regions of kataegis and mutation signatures between IgHV(mut) and IgHV(unmut) subtypes. We demonstrate that one quarter of non-coding mutations in regions of kataegis outside the Ig loci are located in genes relevant to CLL. We show that non-coding mutations in ATM may negatively impact on ATM expression and find non-coding and regulatory region mutations in TCL1A, and in IgHV(unmut) CLL in IKZF3, SAMHD1, PAX5 and BIRC3. Finally, we show that IgHV(unmut) CLL is dominated by coding mutations in driver genes and an aging signature whereas IgHV(mut) CLL has a high incidence of promoter and enhancer mutations caused by aberrant AID activity. Together, our data supports the hypothesis that differences in clinical outcome and biological characteristics between the two subgroups might reflect differences in mutation distribution, incidence and distinct underlying mutagenic mechanisms.Leukemia accepted article preview online, 06 June 2017. doi:10.1038/leu.2017.177.","author":[{"dropping-particle":"","family":"Burns","given":"A","non-dropping-particle":"","parse-names":false,"suffix":""},{"dropping-particle":"","family":"Alsolami","given":"R","non-dropping-particle":"","parse-names":false,"suffix":""},{"dropping-particle":"","family":"Becq","given":"J","non-dropping-particle":"","parse-names":false,"suffix":""},{"dropping-particle":"","family":"Stamatopoulos","given":"B","non-dropping-particle":"","parse-names":false,"suffix":""},{"dropping-particle":"","family":"Timbs","given":"A","non-dropping-particle":"","parse-names":false,"suffix":""},{"dropping-particle":"","family":"Bruce","given":"D","non-dropping-particle":"","parse-names":false,"suffix":""},{"dropping-particle":"","family":"Robbe","given":"P","non-dropping-particle":"","parse-names":false,"suffix":""},{"dropping-particle":"","family":"Vavoulis","given":"D","non-dropping-particle":"","parse-names":false,"suffix":""},{"dropping-particle":"","family":"Clifford","given":"R","non-dropping-particle":"","parse-names":false,"suffix":""},{"dropping-particle":"","family":"Cabes","given":"M","non-dropping-particle":"","parse-names":false,"suffix":""},{"dropping-particle":"","family":"Dreau","given":"H","non-dropping-particle":"","parse-names":false,"suffix":""},{"dropping-particle":"","family":"Taylor","given":"J","non-dropping-particle":"","parse-names":false,"suffix":""},{"dropping-particle":"","family":"Knight","given":"S J L","non-dropping-particle":"","parse-names":false,"suffix":""},{"dropping-particle":"","family":"Mansson","given":"R","non-dropping-particle":"","parse-names":false,"suffix":""},{"dropping-particle":"","family":"Bentley","given":"D","non-dropping-particle":"","parse-names":false,"suffix":""},{"dropping-particle":"","family":"Beekman","given":"R","non-dropping-particle":"","parse-names":false,"suffix":""},{"dropping-particle":"","family":"Martín-Subero","given":"J I","non-dropping-particle":"","parse-names":false,"suffix":""},{"dropping-particle":"","family":"Campo","given":"E","non-dropping-particle":"","parse-names":false,"suffix":""},{"dropping-particle":"","family":"Houlston","given":"R S","non-dropping-particle":"","parse-names":false,"suffix":""},{"dropping-particle":"","family":"Ridout","given":"K E","non-dropping-particle":"","parse-names":false,"suffix":""},{"dropping-particle":"","family":"Schuh","given":"A","non-dropping-particle":"","parse-names":false,"suffix":""}],"container-title":"Leukemia","id":"ITEM-2","issue":"2","issued":{"date-parts":[["2018","2","6"]]},"page":"332-342","publisher":"Nature Publishing Group","title":"Whole-genome sequencing of chronic lymphocytic leukaemia reveals distinct differences in the mutational landscape between IgHVmut and IgHVunmut subgroups","type":"article-journal","volume":"32"},"uris":["http://www.mendeley.com/documents/?uuid=9ae05250-646d-474b-a393-612ad76d6cf6"]},{"id":"ITEM-3","itemData":{"DOI":"10.1038/s41467-018-06354-3","ISSN":"20411723","PMID":"30275490","abstract":"Diffuse large B-cell lymphoma (DLBCL) is an aggressive cancer originating from mature B-cells. Prognosis is strongly associated with molecular subgroup, although the driver mutations that distinguish the two main subgroups remain poorly defined. Through an integrative analysis of whole genomes, exomes, and transcriptomes, we have uncovered genes and non-coding loci that are commonly mutated in DLBCL. Our analysis has identified novel cis-regulatory sites, and implicates recurrent mutations in the 3′ UTR of NFKBIZ as a novel mechanism of oncogene deregulation and NF-κB pathway activation in the activated B-cell (ABC) subgroup. Small amplifications associated with over-expression of FCGR2B (the Fcγ receptor protein IIB), primarily in the germinal centre B-cell (GCB) subgroup, correlate with poor patient outcomes suggestive of a novel oncogene. These results expand the list of subgroup driver mutations that may facilitate implementation of improved diagnostic assays and could offer new avenues for the development of targeted therapeutics.","author":[{"dropping-particle":"","family":"Arthur","given":"Sarah E.","non-dropping-particle":"","parse-names":false,"suffix":""},{"dropping-particle":"","family":"Jiang","given":"Aixiang","non-dropping-particle":"","parse-names":false,"suffix":""},{"dropping-particle":"","family":"Grande","given":"Bruno M.","non-dropping-particle":"","parse-names":false,"suffix":""},{"dropping-particle":"","family":"Alcaide","given":"Miguel","non-dropping-particle":"","parse-names":false,"suffix":""},{"dropping-particle":"","family":"Cojocaru","given":"Razvan","non-dropping-particle":"","parse-names":false,"suffix":""},{"dropping-particle":"","family":"Rushton","given":"Christopher K.","non-dropping-particle":"","parse-names":false,"suffix":""},{"dropping-particle":"","family":"Mottok","given":"Anja","non-dropping-particle":"","parse-names":false,"suffix":""},{"dropping-particle":"","family":"Hilton","given":"Laura K.","non-dropping-particle":"","parse-names":false,"suffix":""},{"dropping-particle":"","family":"Lat","given":"Prince Kumar","non-dropping-particle":"","parse-names":false,"suffix":""},{"dropping-particle":"","family":"Zhao","given":"Eric Y.","non-dropping-particle":"","parse-names":false,"suffix":""},{"dropping-particle":"","family":"Culibrk","given":"Luka","non-dropping-particle":"","parse-names":false,"suffix":""},{"dropping-particle":"","family":"Ennishi","given":"Daisuke","non-dropping-particle":"","parse-names":false,"suffix":""},{"dropping-particle":"","family":"Jessa","given":"Selin","non-dropping-particle":"","parse-names":false,"suffix":""},{"dropping-particle":"","family":"Chong","given":"Lauren","non-dropping-particle":"","parse-names":false,"suffix":""},{"dropping-particle":"","family":"Thomas","given":"Nicole","non-dropping-particle":"","parse-names":false,"suffix":""},{"dropping-particle":"","family":"Pararajalingam","given":"Prasath","non-dropping-particle":"","parse-names":false,"suffix":""},{"dropping-particle":"","family":"Meissner","given":"Barbara","non-dropping-particle":"","parse-names":false,"suffix":""},{"dropping-particle":"","family":"Boyle","given":"Merrill","non-dropping-particle":"","parse-names":false,"suffix":""},{"dropping-particle":"","family":"Davidson","given":"Jordan","non-dropping-particle":"","parse-names":false,"suffix":""},{"dropping-particle":"","family":"Bushell","given":"Kevin R.","non-dropping-particle":"","parse-names":false,"suffix":""},{"dropping-particle":"","family":"Lai","given":"Daniel","non-dropping-particle":"","parse-names":false,"suffix":""},{"dropping-particle":"","family":"Farinha","given":"Pedro","non-dropping-particle":"","parse-names":false,"suffix":""},{"dropping-particle":"","family":"Slack","given":"Graham W.","non-dropping-particle":"","parse-names":false,"suffix":""},{"dropping-particle":"","family":"Morin","given":"Gregg B.","non-dropping-particle":"","parse-names":false,"suffix":""},{"dropping-particle":"","family":"Shah","given":"Sohrab","non-dropping-particle":"","parse-names":false,"suffix":""},{"dropping-particle":"","family":"Sen","given":"Dipankar","non-dropping-particle":"","parse-names":false,"suffix":""},{"dropping-particle":"","family":"Jones","given":"Steven J.M.","non-dropping-particle":"","parse-names":false,"suffix":""},{"dropping-particle":"","family":"Mungall","given":"Andrew J.","non-dropping-particle":"","parse-names":false,"suffix":""},{"dropping-particle":"","family":"Gascoyne","given":"Randy D.","non-dropping-particle":"","parse-names":false,"suffix":""},{"dropping-particle":"","family":"Audas","given":"Timothy E.","non-dropping-particle":"","parse-names":false,"suffix":""},{"dropping-particle":"","family":"Unrau","given":"Peter","non-dropping-particle":"","parse-names":false,"suffix":""},{"dropping-particle":"","family":"Marra","given":"Marco A.","non-dropping-particle":"","parse-names":false,"suffix":""},{"dropping-particle":"","family":"Connors","given":"Joseph M.","non-dropping-particle":"","parse-names":false,"suffix":""},{"dropping-particle":"","family":"Steidl","given":"Christian","non-dropping-particle":"","parse-names":false,"suffix":""},{"dropping-particle":"","family":"Scott","given":"David W.","non-dropping-particle":"","parse-names":false,"suffix":""},{"dropping-particle":"","family":"Morin","given":"Ryan D.","non-dropping-particle":"","parse-names":false,"suffix":""}],"container-title":"Nature Communications","id":"ITEM-3","issue":"1","issued":{"date-parts":[["2018","12","1"]]},"page":"1-14","publisher":"Nature Publishing Group","title":"Genome-wide discovery of somatic regulatory variants in diffuse large B-cell lymphoma","type":"article-journal","volume":"9"},"uris":["http://www.mendeley.com/documents/?uuid=4c15c245-d003-3b16-8829-0273e88be9d7"]},{"id":"ITEM-4","itemData":{"DOI":"10.1038/ng.1032","ISBN":"1061-4036","ISSN":"1546-1718","PMID":"22158541","abstract":"Here we perform whole-exome sequencing of samples from 105 individuals with chronic lymphocytic leukemia (CLL), the most frequent leukemia in adults in Western countries. We found 1,246 somatic mutations potentially affecting gene function and identified 78 genes with predicted functional alterations in more than one tumor sample. Among these genes, SF3B1, encoding a subunit of the spliceosomal U2 small nuclear ribonucleoprotein (snRNP), is somatically mutated in 9.7% of affected individuals. Further analysis in 279 individuals with CLL showed that SF3B1 mutations were associated with faster disease progression and poor overall survival. This work provides the first comprehensive catalog of somatic mutations in CLL with relevant clinical correlates and defines a large set of new genes that may drive the development of this common form of leukemia. The results reinforce the idea that targeting several well-known genetic pathways, including mRNA splicing, could be useful in the treatment of CLL and other malignancies.","author":[{"dropping-particle":"","family":"Quesada","given":"Víctor","non-dropping-particle":"","parse-names":false,"suffix":""},{"dropping-particle":"","family":"Conde","given":"Laura","non-dropping-particle":"","parse-names":false,"suffix":""},{"dropping-particle":"","family":"Villamor","given":"Neus","non-dropping-particle":"","parse-names":false,"suffix":""},{"dropping-particle":"","family":"Ordóñez","given":"Gonzalo R","non-dropping-particle":"","parse-names":false,"suffix":""},{"dropping-particle":"","family":"Jares","given":"Pedro","non-dropping-particle":"","parse-names":false,"suffix":""},{"dropping-particle":"","family":"Bassaganyas","given":"Laia","non-dropping-particle":"","parse-names":false,"suffix":""},{"dropping-particle":"","family":"Ramsay","given":"Andrew J","non-dropping-particle":"","parse-names":false,"suffix":""},{"dropping-particle":"","family":"Beà","given":"Sílvia","non-dropping-particle":"","parse-names":false,"suffix":""},{"dropping-particle":"","family":"Pinyol","given":"Magda","non-dropping-particle":"","parse-names":false,"suffix":""},{"dropping-particle":"","family":"Martínez-Trillos","given":"Alejandra","non-dropping-particle":"","parse-names":false,"suffix":""},{"dropping-particle":"","family":"López-Guerra","given":"Mónica","non-dropping-particle":"","parse-names":false,"suffix":""},{"dropping-particle":"","family":"Colomer","given":"Dolors","non-dropping-particle":"","parse-names":false,"suffix":""},{"dropping-particle":"","family":"Navarro","given":"Alba","non-dropping-particle":"","parse-names":false,"suffix":""},{"dropping-particle":"","family":"Baumann","given":"Tycho","non-dropping-particle":"","parse-names":false,"suffix":""},{"dropping-particle":"","family":"Aymerich","given":"Marta","non-dropping-particle":"","parse-names":false,"suffix":""},{"dropping-particle":"","family":"Rozman","given":"María","non-dropping-particle":"","parse-names":false,"suffix":""},{"dropping-particle":"","family":"Delgado","given":"Julio","non-dropping-particle":"","parse-names":false,"suffix":""},{"dropping-particle":"","family":"Giné","given":"Eva","non-dropping-particle":"","parse-names":false,"suffix":""},{"dropping-particle":"","family":"Hernández","given":"Jesús M","non-dropping-particle":"","parse-names":false,"suffix":""},{"dropping-particle":"","family":"González-Díaz","given":"Marcos","non-dropping-particle":"","parse-names":false,"suffix":""},{"dropping-particle":"","family":"Puente","given":"Diana A","non-dropping-particle":"","parse-names":false,"suffix":""},{"dropping-particle":"","family":"Velasco","given":"Gloria","non-dropping-particle":"","parse-names":false,"suffix":""},{"dropping-particle":"","family":"Freije","given":"José M P","non-dropping-particle":"","parse-names":false,"suffix":""},{"dropping-particle":"","family":"Tubío","given":"José M C","non-dropping-particle":"","parse-names":false,"suffix":""},{"dropping-particle":"","family":"Royo","given":"Romina","non-dropping-particle":"","parse-names":false,"suffix":""},{"dropping-particle":"","family":"Gelpí","given":"Josep L","non-dropping-particle":"","parse-names":false,"suffix":""},{"dropping-particle":"","family":"Orozco","given":"Modesto","non-dropping-particle":"","parse-names":false,"suffix":""},{"dropping-particle":"","family":"Pisano","given":"David G","non-dropping-particle":"","parse-names":false,"suffix":""},{"dropping-particle":"","family":"Zamora","given":"Jorge","non-dropping-particle":"","parse-names":false,"suffix":""},{"dropping-particle":"","family":"Vázquez","given":"Miguel","non-dropping-particle":"","parse-names":false,"suffix":""},{"dropping-particle":"","family":"Valencia","given":"Alfonso","non-dropping-particle":"","parse-names":false,"suffix":""},{"dropping-particle":"","family":"Himmelbauer","given":"Heinz","non-dropping-particle":"","parse-names":false,"suffix":""},{"dropping-particle":"","family":"Bayés","given":"Mónica","non-dropping-particle":"","parse-names":false,"suffix":""},{"dropping-particle":"","family":"Heath","given":"Simon","non-dropping-particle":"","parse-names":false,"suffix":""},{"dropping-particle":"","family":"Gut","given":"Marta","non-dropping-particle":"","parse-names":false,"suffix":""},{"dropping-particle":"","family":"Gut","given":"Ivo","non-dropping-particle":"","parse-names":false,"suffix":""},{"dropping-particle":"","family":"Estivill","given":"Xavier","non-dropping-particle":"","parse-names":false,"suffix":""},{"dropping-particle":"","family":"López-Guillermo","given":"Armando","non-dropping-particle":"","parse-names":false,"suffix":""},{"dropping-particle":"","family":"Puente","given":"Xose S","non-dropping-particle":"","parse-names":false,"suffix":""},{"dropping-particle":"","family":"Campo","given":"Elías","non-dropping-particle":"","parse-names":false,"suffix":""},{"dropping-particle":"","family":"López-Otín","given":"Carlos","non-dropping-particle":"","parse-names":false,"suffix":""}],"container-title":"Nature genetics","id":"ITEM-4","issue":"1","issued":{"date-parts":[["2011","12","11"]]},"page":"47-52","publisher":"Nature Publishing Group","title":"Exome sequencing identifies recurrent mutations of the splicing factor SF3B1 gene in chronic lymphocytic leukemia.","type":"article-journal","volume":"44"},"uris":["http://www.mendeley.com/documents/?uuid=5da57b1f-6ba2-42b4-aec5-aeb98a9fef6c"]},{"id":"ITEM-5","itemData":{"DOI":"10.1038/nature10113","ISSN":"0028-0836","author":[{"dropping-particle":"","family":"Puente","given":"Xose S","non-dropping-particle":"","parse-names":false,"suffix":""},{"dropping-particle":"","family":"Pinyol","given":"Magda","non-dropping-particle":"","parse-names":false,"suffix":""},{"dropping-particle":"","family":"Quesada","given":"Víctor","non-dropping-particle":"","parse-names":false,"suffix":""},{"dropping-particle":"","family":"Conde","given":"Laura","non-dropping-particle":"","parse-names":false,"suffix":""},{"dropping-particle":"","family":"Ordóñez","given":"Gonzalo R","non-dropping-particle":"","parse-names":false,"suffix":""},{"dropping-particle":"","family":"Villamor","given":"Neus","non-dropping-particle":"","parse-names":false,"suffix":""},{"dropping-particle":"","family":"Escaramis","given":"Georgia","non-dropping-particle":"","parse-names":false,"suffix":""},{"dropping-particle":"","family":"Jares","given":"Pedro","non-dropping-particle":"","parse-names":false,"suffix":""},{"dropping-particle":"","family":"Beà","given":"Sílvia","non-dropping-particle":"","parse-names":false,"suffix":""},{"dropping-particle":"","family":"González-Díaz","given":"Marcos","non-dropping-particle":"","parse-names":false,"suffix":""},{"dropping-particle":"","family":"Bassaganyas","given":"Laia","non-dropping-particle":"","parse-names":false,"suffix":""},{"dropping-particle":"","family":"Baumann","given":"Tycho","non-dropping-particle":"","parse-names":false,"suffix":""},{"dropping-particle":"","family":"Juan","given":"Manel","non-dropping-particle":"","parse-names":false,"suffix":""},{"dropping-particle":"","family":"López-Guerra","given":"Mónica","non-dropping-particle":"","parse-names":false,"suffix":""},{"dropping-particle":"","family":"Colomer","given":"Dolors","non-dropping-particle":"","parse-names":false,"suffix":""},{"dropping-particle":"","family":"Tubío","given":"José M. C.","non-dropping-particle":"","parse-names":false,"suffix":""},{"dropping-particle":"","family":"López","given":"Cristina","non-dropping-particle":"","parse-names":false,"suffix":""},{"dropping-particle":"","family":"Navarro","given":"Alba","non-dropping-particle":"","parse-names":false,"suffix":""},{"dropping-particle":"","family":"Tornador","given":"Cristian","non-dropping-particle":"","parse-names":false,"suffix":""},{"dropping-particle":"","family":"Aymerich","given":"Marta","non-dropping-particle":"","parse-names":false,"suffix":""},{"dropping-particle":"","family":"Rozman","given":"María","non-dropping-particle":"","parse-names":false,"suffix":""},{"dropping-particle":"","family":"Hernández","given":"Jesús M.","non-dropping-particle":"","parse-names":false,"suffix":""},{"dropping-particle":"","family":"Puente","given":"Diana A.","non-dropping-particle":"","parse-names":false,"suffix":""},{"dropping-particle":"","family":"Freije","given":"José M. P.","non-dropping-particle":"","parse-names":false,"suffix":""},{"dropping-particle":"","family":"Velasco","given":"Gloria","non-dropping-particle":"","parse-names":false,"suffix":""},{"dropping-particle":"","family":"Gutiérrez-Fernández","given":"Ana","non-dropping-particle":"","parse-names":false,"suffix":""},{"dropping-particle":"","family":"Costa","given":"Dolors","non-dropping-particle":"","parse-names":false,"suffix":""},{"dropping-particle":"","family":"Carrió","given":"Anna","non-dropping-particle":"","parse-names":false,"suffix":""},{"dropping-particle":"","family":"Guijarro","given":"Sara","non-dropping-particle":"","parse-names":false,"suffix":""},{"dropping-particle":"","family":"Enjuanes","given":"Anna","non-dropping-particle":"","parse-names":false,"suffix":""},{"dropping-particle":"","family":"Hernández","given":"Lluís","non-dropping-particle":"","parse-names":false,"suffix":""},{"dropping-particle":"","family":"Yagüe","given":"Jordi","non-dropping-particle":"","parse-names":false,"suffix":""},{"dropping-particle":"","family":"Nicolás","given":"Pilar","non-dropping-particle":"","parse-names":false,"suffix":""},{"dropping-particle":"","family":"Romeo-Casabona","given":"Carlos M.","non-dropping-particle":"","parse-names":false,"suffix":""},{"dropping-particle":"","family":"Himmelbauer","given":"Heinz","non-dropping-particle":"","parse-names":false,"suffix":""},{"dropping-particle":"","family":"Castillo","given":"Ester","non-dropping-particle":"","parse-names":false,"suffix":""},{"dropping-particle":"","family":"Dohm","given":"Juliane C.","non-dropping-particle":"","parse-names":false,"suffix":""},{"dropping-particle":"","family":"Sanjosé","given":"Silvia","non-dropping-particle":"de","parse-names":false,"suffix":""},{"dropping-particle":"","family":"Piris","given":"Miguel A.","non-dropping-particle":"","parse-names":false,"suffix":""},{"dropping-particle":"","family":"Alava","given":"Enrique","non-dropping-particle":"de","parse-names":false,"suffix":""},{"dropping-particle":"","family":"Miguel","given":"Jesús San","non-dropping-particle":"","parse-names":false,"suffix":""},{"dropping-particle":"","family":"Royo","given":"Romina","non-dropping-particle":"","parse-names":false,"suffix":""},{"dropping-particle":"","family":"Gelpí","given":"Josep L.","non-dropping-particle":"","parse-names":false,"suffix":""},{"dropping-particle":"","family":"Torrents","given":"David","non-dropping-particle":"","parse-names":false,"suffix":""},{"dropping-particle":"","family":"Orozco","given":"Modesto","non-dropping-particle":"","parse-names":false,"suffix":""},{"dropping-particle":"","family":"Pisano","given":"David G.","non-dropping-particle":"","parse-names":false,"suffix":""},{"dropping-particle":"","family":"Valencia","given":"Alfonso","non-dropping-particle":"","parse-names":false,"suffix":""},{"dropping-particle":"","family":"Guigó","given":"Roderic","non-dropping-particle":"","parse-names":false,"suffix":""},{"dropping-particle":"","family":"Bayés","given":"Mónica","non-dropping-particle":"","parse-names":false,"suffix":""},{"dropping-particle":"","family":"Heath","given":"Simon","non-dropping-particle":"","parse-names":false,"suffix":""},{"dropping-particle":"","family":"Gut","given":"Marta","non-dropping-particle":"","parse-names":false,"suffix":""},{"dropping-particle":"","family":"Klatt","given":"Peter","non-dropping-particle":"","parse-names":false,"suffix":""},{"dropping-particle":"","family":"Marshall","given":"John","non-dropping-particle":"","parse-names":false,"suffix":""},{"dropping-particle":"","family":"Raine","given":"Keiran","non-dropping-particle":"","parse-names":false,"suffix":""},{"dropping-particle":"","family":"Stebbings","given":"Lucy A.","non-dropping-particle":"","parse-names":false,"suffix":""},{"dropping-particle":"","family":"Futreal","given":"P. Andrew","non-dropping-particle":"","parse-names":false,"suffix":""},{"dropping-particle":"","family":"Stratton","given":"Michael R.","non-dropping-particle":"","parse-names":false,"suffix":""},{"dropping-particle":"","family":"Campbell","given":"Peter J.","non-dropping-particle":"","parse-names":false,"suffix":""},{"dropping-particle":"","family":"Gut","given":"Ivo","non-dropping-particle":"","parse-names":false,"suf</w:instrText>
      </w:r>
      <w:r w:rsidR="00B21490" w:rsidRPr="00002888">
        <w:rPr>
          <w:rFonts w:ascii="Times New Roman" w:hAnsi="Times New Roman" w:cs="Times New Roman"/>
          <w:sz w:val="24"/>
          <w:szCs w:val="24"/>
          <w:lang w:val="es-CO"/>
        </w:rPr>
        <w:instrText>fix":""},{"dropping-particle":"","family":"López-Guillermo","given":"Armando","non-dropping-particle":"","parse-names":false,"suffix":""},{"dropping-particle":"","family":"Estivill","given":"Xavier","non-dropping-particle":"","parse-names":false,"suffix":""},{"dropping-particle":"","family":"Montserrat","given":"Emili","non-dropping-particle":"","parse-names":false,"suffix":""},{"dropping-particle":"","family":"López-Otín","given":"Carlos","non-dropping-particle":"","parse-names":false,"suffix":""},{"dropping-particle":"","family":"Campo","given":"Elías","non-dropping-particle":"","parse-names":false,"suffix":""}],"container-title":"Nature","id":"ITEM-5","issue":"7354","issued":{"date-parts":[["2011","7","5"]]},"page":"101-105","title":"Whole-genome sequencing identifies recurrent mutations in chronic lymphocytic leukaemia","type":"article-journal","volume":"475"},"uris":["http://www.mendeley.com/documents/?uuid=682ef1c1-8c64-48b5-8460-84719f3f213e"]}],"mendeley":{"formattedCitation":"(Arthur et al., 2018; Burns et al., 2018; Hoang et al., 2018; Puente et al., 2011; Quesada et al., 2011)","plainTextFormattedCitation":"(Arthur et al., 2018; Burns et al., 2018; Hoang et al., 2018; Puente et al., 2011; Quesada et al., 2011)","previouslyFormattedCitation":"(Arthur et al., 2018; Burns et al., 2018; Hoang et al., 2018; Puente et al., 2011; Quesada et al., 2011)"},"properties":{"noteIndex":0},"schema":"https://github.com/citation-style-language/schema/raw/master/csl-citation.json"}</w:instrText>
      </w:r>
      <w:r w:rsidR="009A76EB" w:rsidRPr="00002888">
        <w:rPr>
          <w:rFonts w:ascii="Times New Roman" w:hAnsi="Times New Roman" w:cs="Times New Roman"/>
          <w:sz w:val="24"/>
          <w:szCs w:val="24"/>
          <w:lang w:val="en-GB"/>
        </w:rPr>
        <w:fldChar w:fldCharType="separate"/>
      </w:r>
      <w:r w:rsidR="009A76EB" w:rsidRPr="00002888">
        <w:rPr>
          <w:rFonts w:ascii="Times New Roman" w:hAnsi="Times New Roman" w:cs="Times New Roman"/>
          <w:noProof/>
          <w:sz w:val="24"/>
          <w:szCs w:val="24"/>
          <w:lang w:val="es-CO"/>
        </w:rPr>
        <w:t>(Arthur et al., 2018; Burns et al., 2018; Hoang et al., 2018; Puente et al., 2011; Quesada et al., 2011)</w:t>
      </w:r>
      <w:r w:rsidR="009A76EB" w:rsidRPr="00002888">
        <w:rPr>
          <w:rFonts w:ascii="Times New Roman" w:hAnsi="Times New Roman" w:cs="Times New Roman"/>
          <w:sz w:val="24"/>
          <w:szCs w:val="24"/>
          <w:lang w:val="en-GB"/>
        </w:rPr>
        <w:fldChar w:fldCharType="end"/>
      </w:r>
      <w:r w:rsidRPr="00002888">
        <w:rPr>
          <w:rFonts w:ascii="Times New Roman" w:hAnsi="Times New Roman" w:cs="Times New Roman"/>
          <w:sz w:val="24"/>
          <w:szCs w:val="24"/>
          <w:lang w:val="es-CO"/>
        </w:rPr>
        <w:t xml:space="preserve">. </w:t>
      </w:r>
      <w:r w:rsidR="00C10DE5" w:rsidRPr="00002888">
        <w:rPr>
          <w:rFonts w:ascii="Times New Roman" w:hAnsi="Times New Roman" w:cs="Times New Roman"/>
          <w:sz w:val="24"/>
          <w:szCs w:val="24"/>
          <w:lang w:val="en-GB"/>
        </w:rPr>
        <w:t xml:space="preserve">The analysis of large patient cohorts, often conducted as part of large international sequencing consortia, have provided a wealth of genomic information on these neoplasms, identifying a plethora of germ-line SNPs associated with disease-risk, panels of genes targeted by somatic mutations and a number of acquired mutational mechanisms. Unlike more prevalent mature B-cell malignancies, SMZL </w:t>
      </w:r>
      <w:r w:rsidR="009D0185" w:rsidRPr="00002888">
        <w:rPr>
          <w:rFonts w:ascii="Times New Roman" w:hAnsi="Times New Roman" w:cs="Times New Roman"/>
          <w:sz w:val="24"/>
          <w:szCs w:val="24"/>
          <w:lang w:val="en-GB"/>
        </w:rPr>
        <w:t>is</w:t>
      </w:r>
      <w:r w:rsidR="00C10DE5" w:rsidRPr="00002888">
        <w:rPr>
          <w:rFonts w:ascii="Times New Roman" w:hAnsi="Times New Roman" w:cs="Times New Roman"/>
          <w:sz w:val="24"/>
          <w:szCs w:val="24"/>
          <w:lang w:val="en-GB"/>
        </w:rPr>
        <w:t xml:space="preserve"> currently precluded from these international </w:t>
      </w:r>
      <w:r w:rsidR="009D0185" w:rsidRPr="00002888">
        <w:rPr>
          <w:rFonts w:ascii="Times New Roman" w:hAnsi="Times New Roman" w:cs="Times New Roman"/>
          <w:sz w:val="24"/>
          <w:szCs w:val="24"/>
          <w:lang w:val="en-GB"/>
        </w:rPr>
        <w:t xml:space="preserve">sequencing projects, the result being an incomplete catalogue of tumour associated genomic lesions </w:t>
      </w:r>
      <w:r w:rsidR="006D69F4" w:rsidRPr="00002888">
        <w:rPr>
          <w:rFonts w:ascii="Times New Roman" w:hAnsi="Times New Roman" w:cs="Times New Roman"/>
          <w:sz w:val="24"/>
          <w:szCs w:val="24"/>
          <w:lang w:val="en-GB"/>
        </w:rPr>
        <w:t xml:space="preserve">and mutational processes, </w:t>
      </w:r>
      <w:r w:rsidR="009D0185" w:rsidRPr="00002888">
        <w:rPr>
          <w:rFonts w:ascii="Times New Roman" w:hAnsi="Times New Roman" w:cs="Times New Roman"/>
          <w:sz w:val="24"/>
          <w:szCs w:val="24"/>
          <w:lang w:val="en-GB"/>
        </w:rPr>
        <w:t>drawn from a paucity of published genomic data. O</w:t>
      </w:r>
      <w:r w:rsidR="00A5765D" w:rsidRPr="00002888">
        <w:rPr>
          <w:rFonts w:ascii="Times New Roman" w:hAnsi="Times New Roman" w:cs="Times New Roman"/>
          <w:sz w:val="24"/>
          <w:szCs w:val="24"/>
          <w:lang w:val="en-GB"/>
        </w:rPr>
        <w:t xml:space="preserve">nly six </w:t>
      </w:r>
      <w:r w:rsidR="009D0185" w:rsidRPr="00002888">
        <w:rPr>
          <w:rFonts w:ascii="Times New Roman" w:hAnsi="Times New Roman" w:cs="Times New Roman"/>
          <w:sz w:val="24"/>
          <w:szCs w:val="24"/>
          <w:lang w:val="en-GB"/>
        </w:rPr>
        <w:t xml:space="preserve">genome-wide </w:t>
      </w:r>
      <w:r w:rsidR="00A5765D" w:rsidRPr="00002888">
        <w:rPr>
          <w:rFonts w:ascii="Times New Roman" w:hAnsi="Times New Roman" w:cs="Times New Roman"/>
          <w:sz w:val="24"/>
          <w:szCs w:val="24"/>
          <w:lang w:val="en-GB"/>
        </w:rPr>
        <w:t xml:space="preserve">studies </w:t>
      </w:r>
      <w:r w:rsidR="009D0185" w:rsidRPr="00002888">
        <w:rPr>
          <w:rFonts w:ascii="Times New Roman" w:hAnsi="Times New Roman" w:cs="Times New Roman"/>
          <w:sz w:val="24"/>
          <w:szCs w:val="24"/>
          <w:lang w:val="en-GB"/>
        </w:rPr>
        <w:t xml:space="preserve">have been conducted on only </w:t>
      </w:r>
      <w:r w:rsidR="009A76EB" w:rsidRPr="00002888">
        <w:rPr>
          <w:rFonts w:ascii="Times New Roman" w:hAnsi="Times New Roman" w:cs="Times New Roman"/>
          <w:sz w:val="24"/>
          <w:szCs w:val="24"/>
          <w:lang w:val="en-GB"/>
        </w:rPr>
        <w:t>3</w:t>
      </w:r>
      <w:r w:rsidR="006D69F4" w:rsidRPr="00002888">
        <w:rPr>
          <w:rFonts w:ascii="Times New Roman" w:hAnsi="Times New Roman" w:cs="Times New Roman"/>
          <w:sz w:val="24"/>
          <w:szCs w:val="24"/>
          <w:lang w:val="en-GB"/>
        </w:rPr>
        <w:t>5</w:t>
      </w:r>
      <w:r w:rsidR="009D0185" w:rsidRPr="00002888">
        <w:rPr>
          <w:rFonts w:ascii="Times New Roman" w:hAnsi="Times New Roman" w:cs="Times New Roman"/>
          <w:sz w:val="24"/>
          <w:szCs w:val="24"/>
          <w:lang w:val="en-GB"/>
        </w:rPr>
        <w:t xml:space="preserve"> patients</w:t>
      </w:r>
      <w:r w:rsidR="00672714" w:rsidRPr="00002888">
        <w:rPr>
          <w:rFonts w:ascii="Times New Roman" w:hAnsi="Times New Roman" w:cs="Times New Roman"/>
          <w:sz w:val="24"/>
          <w:szCs w:val="24"/>
          <w:lang w:val="en-GB"/>
        </w:rPr>
        <w:t xml:space="preserve"> </w:t>
      </w:r>
      <w:r w:rsidR="00F26055" w:rsidRPr="00002888">
        <w:rPr>
          <w:rFonts w:ascii="Times New Roman" w:hAnsi="Times New Roman" w:cs="Times New Roman"/>
          <w:sz w:val="24"/>
          <w:szCs w:val="24"/>
          <w:lang w:val="en-GB"/>
        </w:rPr>
        <w:fldChar w:fldCharType="begin" w:fldLock="1"/>
      </w:r>
      <w:r w:rsidR="0051330D" w:rsidRPr="00002888">
        <w:rPr>
          <w:rFonts w:ascii="Times New Roman" w:hAnsi="Times New Roman" w:cs="Times New Roman"/>
          <w:sz w:val="24"/>
          <w:szCs w:val="24"/>
          <w:lang w:val="en-GB"/>
        </w:rPr>
        <w:instrText>ADDIN CSL_CITATION {"citationItems":[{"id":"ITEM-1","itemData":{"DOI":"10.1038/s41598-019-46906-1","ISSN":"2045-2322","author":[{"dropping-particle":"","family":"Jaramillo Oquendo","given":"Carolina","non-dropping-particle":"","parse-names":false,"suffix":""},{"dropping-particle":"","family":"Parker","given":"Helen","non-dropping-particle":"","parse-names":false,"suffix":""},{"dropping-particle":"","family":"Oscier","given":"David","non-dropping-particle":"","parse-names":false,"suffix":""},{"dropping-particle":"","family":"Ennis","given":"Sarah","non-dropping-particle":"","parse-names":false,"suffix":""},{"dropping-particle":"","family":"Gibson","given":"Jane","non-dropping-particle":"","parse-names":false,"suffix":""},{"dropping-particle":"","family":"Strefford","given":"Jonathan C.","non-dropping-particle":"","parse-names":false,"suffix":""}],"container-title":"Scientific Reports","id":"ITEM-1","issue":"1","issued":{"date-parts":[["2019"]]},"page":"1-9","publisher":"Springer US","title":"Systematic Review of Somatic Mutations in Splenic Marginal Zone Lymphoma","type":"article-journal","volume":"9"},"uris":["http://www.mendeley.com/documents/?uuid=e07e354c-2ea8-47d8-b58e-aec6abbe2ec6"]}],"mendeley":{"formattedCitation":"(Jaramillo Oquendo et al., 2019)","plainTextFormattedCitation":"(Jaramillo Oquendo et al., 2019)","previouslyFormattedCitation":"(Jaramillo Oquendo et al., 2019)"},"properties":{"noteIndex":0},"schema":"https://github.com/citation-style-language/schema/raw/master/csl-citation.json"}</w:instrText>
      </w:r>
      <w:r w:rsidR="00F26055" w:rsidRPr="00002888">
        <w:rPr>
          <w:rFonts w:ascii="Times New Roman" w:hAnsi="Times New Roman" w:cs="Times New Roman"/>
          <w:sz w:val="24"/>
          <w:szCs w:val="24"/>
          <w:lang w:val="en-GB"/>
        </w:rPr>
        <w:fldChar w:fldCharType="separate"/>
      </w:r>
      <w:r w:rsidR="00F26055" w:rsidRPr="00002888">
        <w:rPr>
          <w:rFonts w:ascii="Times New Roman" w:hAnsi="Times New Roman" w:cs="Times New Roman"/>
          <w:noProof/>
          <w:sz w:val="24"/>
          <w:szCs w:val="24"/>
          <w:lang w:val="en-GB"/>
        </w:rPr>
        <w:t>(Jaramillo Oquendo et al., 2019)</w:t>
      </w:r>
      <w:r w:rsidR="00F26055" w:rsidRPr="00002888">
        <w:rPr>
          <w:rFonts w:ascii="Times New Roman" w:hAnsi="Times New Roman" w:cs="Times New Roman"/>
          <w:sz w:val="24"/>
          <w:szCs w:val="24"/>
          <w:lang w:val="en-GB"/>
        </w:rPr>
        <w:fldChar w:fldCharType="end"/>
      </w:r>
      <w:r w:rsidR="00A5765D" w:rsidRPr="00002888">
        <w:rPr>
          <w:rFonts w:ascii="Times New Roman" w:hAnsi="Times New Roman" w:cs="Times New Roman"/>
          <w:sz w:val="24"/>
          <w:szCs w:val="24"/>
          <w:lang w:val="en-GB"/>
        </w:rPr>
        <w:t xml:space="preserve">. </w:t>
      </w:r>
      <w:r w:rsidR="00672714" w:rsidRPr="00002888">
        <w:rPr>
          <w:rFonts w:ascii="Times New Roman" w:hAnsi="Times New Roman" w:cs="Times New Roman"/>
          <w:sz w:val="24"/>
          <w:szCs w:val="24"/>
          <w:lang w:val="en-GB"/>
        </w:rPr>
        <w:t xml:space="preserve">The only study employing WGS was performed by </w:t>
      </w:r>
      <w:r w:rsidR="00A5765D" w:rsidRPr="00002888">
        <w:rPr>
          <w:rFonts w:ascii="Times New Roman" w:hAnsi="Times New Roman" w:cs="Times New Roman"/>
          <w:sz w:val="24"/>
          <w:szCs w:val="24"/>
          <w:lang w:val="en-GB"/>
        </w:rPr>
        <w:t xml:space="preserve">Kiel and colleagues </w:t>
      </w:r>
      <w:r w:rsidR="00672714" w:rsidRPr="00002888">
        <w:rPr>
          <w:rFonts w:ascii="Times New Roman" w:hAnsi="Times New Roman" w:cs="Times New Roman"/>
          <w:sz w:val="24"/>
          <w:szCs w:val="24"/>
          <w:lang w:val="en-GB"/>
        </w:rPr>
        <w:t>b</w:t>
      </w:r>
      <w:r w:rsidR="00A5765D" w:rsidRPr="00002888">
        <w:rPr>
          <w:rFonts w:ascii="Times New Roman" w:hAnsi="Times New Roman" w:cs="Times New Roman"/>
          <w:sz w:val="24"/>
          <w:szCs w:val="24"/>
          <w:lang w:val="en-GB"/>
        </w:rPr>
        <w:t>ut w</w:t>
      </w:r>
      <w:r w:rsidR="00672714" w:rsidRPr="00002888">
        <w:rPr>
          <w:rFonts w:ascii="Times New Roman" w:hAnsi="Times New Roman" w:cs="Times New Roman"/>
          <w:sz w:val="24"/>
          <w:szCs w:val="24"/>
          <w:lang w:val="en-GB"/>
        </w:rPr>
        <w:t>as</w:t>
      </w:r>
      <w:r w:rsidR="00A5765D" w:rsidRPr="00002888">
        <w:rPr>
          <w:rFonts w:ascii="Times New Roman" w:hAnsi="Times New Roman" w:cs="Times New Roman"/>
          <w:sz w:val="24"/>
          <w:szCs w:val="24"/>
          <w:lang w:val="en-GB"/>
        </w:rPr>
        <w:t xml:space="preserve"> limited to six cases without matched germline DNA</w:t>
      </w:r>
      <w:r w:rsidR="00B21490" w:rsidRPr="00002888">
        <w:rPr>
          <w:rFonts w:ascii="Times New Roman" w:hAnsi="Times New Roman" w:cs="Times New Roman"/>
          <w:sz w:val="24"/>
          <w:szCs w:val="24"/>
          <w:lang w:val="en-GB"/>
        </w:rPr>
        <w:t xml:space="preserve"> </w:t>
      </w:r>
      <w:r w:rsidR="00B21490" w:rsidRPr="00002888">
        <w:rPr>
          <w:rFonts w:ascii="Times New Roman" w:hAnsi="Times New Roman" w:cs="Times New Roman"/>
          <w:sz w:val="24"/>
          <w:szCs w:val="24"/>
          <w:lang w:val="en-GB"/>
        </w:rPr>
        <w:fldChar w:fldCharType="begin" w:fldLock="1"/>
      </w:r>
      <w:r w:rsidR="003E481C" w:rsidRPr="00002888">
        <w:rPr>
          <w:rFonts w:ascii="Times New Roman" w:hAnsi="Times New Roman" w:cs="Times New Roman"/>
          <w:sz w:val="24"/>
          <w:szCs w:val="24"/>
          <w:lang w:val="en-GB"/>
        </w:rPr>
        <w:instrText>ADDIN CSL_CITATION {"citationItems":[{"id":"ITEM-1","itemData":{"DOI":"10.1084/jem.20120910","ISSN":"0022-1007","PMID":"22891276","author":[{"dropping-particle":"","family":"Kiel","given":"Mark J.","non-dropping-particle":"","parse-names":false,"suffix":""},{"dropping-particle":"","family":"Velusamy","given":"Thirunavukkarasu","non-dropping-particle":"","parse-names":false,"suffix":""},{"dropping-particle":"","family":"Betz","given":"Bryan L.","non-dropping-particle":"","parse-names":false,"suffix":""},{"dropping-particle":"","family":"Zhao","given":"Lili","non-dropping-particle":"","parse-names":false,"suffix":""},{"dropping-particle":"","family":"Weigelin","given":"Helmut G.","non-dropping-particle":"","parse-names":false,"suffix":""},{"dropping-particle":"","family":"Chiang","given":"Mark Y.","non-dropping-particle":"","parse-names":false,"suffix":""},{"dropping-particle":"","family":"Huebner-Chan","given":"David R.","non-dropping-particle":"","parse-names":false,"suffix":""},{"dropping-particle":"","family":"Bailey","given":"Nathanael G.","non-dropping-particle":"","parse-names":false,"suffix":""},{"dropping-particle":"","family":"Yang","given":"David T.","non-dropping-particle":"","parse-names":false,"suffix":""},{"dropping-particle":"","family":"Bhagat","given":"Govind","non-dropping-particle":"","parse-names":false,"suffix":""},{"dropping-particle":"","family":"Miranda","given":"Roberto N.","non-dropping-particle":"","parse-names":false,"suffix":""},{"dropping-particle":"","family":"Bahler","given":"David W.","non-dropping-particle":"","parse-names":false,"suffix":""},{"dropping-particle":"","family":"Medeiros","given":"L. Jeffrey","non-dropping-particle":"","parse-names":false,"suffix":""},{"dropping-particle":"","family":"Lim","given":"Megan S.","non-dropping-particle":"","parse-names":false,"suffix":""},{"dropping-particle":"","family":"Elenitoba-Johnson","given":"Kojo S.J.","non-dropping-particle":"","parse-names":false,"suffix":""}],"container-title":"The Journal of Experimental Medicine","id":"ITEM-1","issue":"9","issued":{"date-parts":[["2012"]]},"page":"1553-1565","title":"Whole-genome sequencing identifies recurrent somatic &lt;i&gt;NOTCH2&lt;/i&gt; mutations in splenic marginal zone lymphoma","type":"article-journal","volume":"209"},"uris":["http://www.mendeley.com/documents/?uuid=2e230909-2ec0-4ced-b5cf-986bc3ef4467"]}],"mendeley":{"formattedCitation":"(Kiel et al., 2012)","plainTextFormattedCitation":"(Kiel et al., 2012)","previouslyFormattedCitation":"(Kiel et al., 2012)"},"properties":{"noteIndex":0},"schema":"https://github.com/citation-style-language/schema/raw/master/csl-citation.json"}</w:instrText>
      </w:r>
      <w:r w:rsidR="00B21490" w:rsidRPr="00002888">
        <w:rPr>
          <w:rFonts w:ascii="Times New Roman" w:hAnsi="Times New Roman" w:cs="Times New Roman"/>
          <w:sz w:val="24"/>
          <w:szCs w:val="24"/>
          <w:lang w:val="en-GB"/>
        </w:rPr>
        <w:fldChar w:fldCharType="separate"/>
      </w:r>
      <w:r w:rsidR="00B21490" w:rsidRPr="00002888">
        <w:rPr>
          <w:rFonts w:ascii="Times New Roman" w:hAnsi="Times New Roman" w:cs="Times New Roman"/>
          <w:noProof/>
          <w:sz w:val="24"/>
          <w:szCs w:val="24"/>
          <w:lang w:val="en-GB"/>
        </w:rPr>
        <w:t>(Kiel et al., 2012)</w:t>
      </w:r>
      <w:r w:rsidR="00B21490" w:rsidRPr="00002888">
        <w:rPr>
          <w:rFonts w:ascii="Times New Roman" w:hAnsi="Times New Roman" w:cs="Times New Roman"/>
          <w:sz w:val="24"/>
          <w:szCs w:val="24"/>
          <w:lang w:val="en-GB"/>
        </w:rPr>
        <w:fldChar w:fldCharType="end"/>
      </w:r>
      <w:r w:rsidR="00B21490" w:rsidRPr="00002888">
        <w:rPr>
          <w:rFonts w:ascii="Times New Roman" w:hAnsi="Times New Roman" w:cs="Times New Roman"/>
          <w:sz w:val="24"/>
          <w:szCs w:val="24"/>
          <w:lang w:val="en-GB"/>
        </w:rPr>
        <w:t>.</w:t>
      </w:r>
      <w:r w:rsidR="00A5765D" w:rsidRPr="00002888">
        <w:rPr>
          <w:rFonts w:ascii="Times New Roman" w:hAnsi="Times New Roman" w:cs="Times New Roman"/>
          <w:sz w:val="24"/>
          <w:szCs w:val="24"/>
          <w:lang w:val="en-GB"/>
        </w:rPr>
        <w:t xml:space="preserve"> </w:t>
      </w:r>
      <w:r w:rsidR="00553D28" w:rsidRPr="00002888">
        <w:rPr>
          <w:rFonts w:ascii="Times New Roman" w:hAnsi="Times New Roman" w:cs="Times New Roman"/>
          <w:sz w:val="24"/>
          <w:szCs w:val="24"/>
          <w:lang w:val="en-GB"/>
        </w:rPr>
        <w:t>Five WES studies have been carried out on discovery cases,</w:t>
      </w:r>
      <w:r w:rsidR="00E3036F" w:rsidRPr="00002888">
        <w:rPr>
          <w:rFonts w:ascii="Times New Roman" w:hAnsi="Times New Roman" w:cs="Times New Roman"/>
          <w:sz w:val="24"/>
          <w:szCs w:val="24"/>
          <w:lang w:val="en-GB"/>
        </w:rPr>
        <w:t xml:space="preserve"> often with </w:t>
      </w:r>
      <w:r w:rsidR="00553D28" w:rsidRPr="00002888">
        <w:rPr>
          <w:rFonts w:ascii="Times New Roman" w:hAnsi="Times New Roman" w:cs="Times New Roman"/>
          <w:sz w:val="24"/>
          <w:szCs w:val="24"/>
          <w:lang w:val="en-GB"/>
        </w:rPr>
        <w:t xml:space="preserve">subsequent targeted </w:t>
      </w:r>
      <w:r w:rsidR="00DA74BA" w:rsidRPr="00002888">
        <w:rPr>
          <w:rFonts w:ascii="Times New Roman" w:hAnsi="Times New Roman" w:cs="Times New Roman"/>
          <w:sz w:val="24"/>
          <w:szCs w:val="24"/>
          <w:lang w:val="en-GB"/>
        </w:rPr>
        <w:t xml:space="preserve">re-sequencing of </w:t>
      </w:r>
      <w:r w:rsidR="00553D28" w:rsidRPr="00002888">
        <w:rPr>
          <w:rFonts w:ascii="Times New Roman" w:hAnsi="Times New Roman" w:cs="Times New Roman"/>
          <w:sz w:val="24"/>
          <w:szCs w:val="24"/>
          <w:lang w:val="en-GB"/>
        </w:rPr>
        <w:t>relevant genes in additional samples</w:t>
      </w:r>
      <w:r w:rsidR="009A76EB" w:rsidRPr="00002888">
        <w:rPr>
          <w:rFonts w:ascii="Times New Roman" w:hAnsi="Times New Roman" w:cs="Times New Roman"/>
          <w:sz w:val="24"/>
          <w:szCs w:val="24"/>
          <w:lang w:val="en-GB"/>
        </w:rPr>
        <w:t xml:space="preserve">. </w:t>
      </w:r>
      <w:r w:rsidR="00DA74BA" w:rsidRPr="00002888">
        <w:rPr>
          <w:rFonts w:ascii="Times New Roman" w:hAnsi="Times New Roman" w:cs="Times New Roman"/>
          <w:sz w:val="24"/>
          <w:szCs w:val="24"/>
          <w:lang w:val="en-GB"/>
        </w:rPr>
        <w:t>To date, none of these studies have reported</w:t>
      </w:r>
      <w:r w:rsidR="00FF5540" w:rsidRPr="00002888">
        <w:rPr>
          <w:rFonts w:ascii="Times New Roman" w:hAnsi="Times New Roman" w:cs="Times New Roman"/>
          <w:sz w:val="24"/>
          <w:szCs w:val="24"/>
          <w:lang w:val="en-GB"/>
        </w:rPr>
        <w:t xml:space="preserve"> </w:t>
      </w:r>
      <w:r w:rsidR="005D24B4" w:rsidRPr="00002888">
        <w:rPr>
          <w:rFonts w:ascii="Times New Roman" w:hAnsi="Times New Roman" w:cs="Times New Roman"/>
          <w:sz w:val="24"/>
          <w:szCs w:val="24"/>
          <w:lang w:val="en-GB"/>
        </w:rPr>
        <w:t xml:space="preserve">mutational signatures nor mechanisms, such as </w:t>
      </w:r>
      <w:proofErr w:type="spellStart"/>
      <w:r w:rsidR="005D24B4" w:rsidRPr="00002888">
        <w:rPr>
          <w:rFonts w:ascii="Times New Roman" w:hAnsi="Times New Roman" w:cs="Times New Roman"/>
          <w:sz w:val="24"/>
          <w:szCs w:val="24"/>
          <w:lang w:val="en-GB"/>
        </w:rPr>
        <w:t>kat</w:t>
      </w:r>
      <w:r w:rsidR="00E07FD1" w:rsidRPr="00002888">
        <w:rPr>
          <w:rFonts w:ascii="Times New Roman" w:hAnsi="Times New Roman" w:cs="Times New Roman"/>
          <w:sz w:val="24"/>
          <w:szCs w:val="24"/>
          <w:lang w:val="en-GB"/>
        </w:rPr>
        <w:t>aegis</w:t>
      </w:r>
      <w:proofErr w:type="spellEnd"/>
      <w:r w:rsidR="00E07FD1" w:rsidRPr="00002888">
        <w:rPr>
          <w:rFonts w:ascii="Times New Roman" w:hAnsi="Times New Roman" w:cs="Times New Roman"/>
          <w:sz w:val="24"/>
          <w:szCs w:val="24"/>
          <w:lang w:val="en-GB"/>
        </w:rPr>
        <w:t xml:space="preserve"> and</w:t>
      </w:r>
      <w:r w:rsidR="009A76EB" w:rsidRPr="00002888">
        <w:rPr>
          <w:rFonts w:ascii="Times New Roman" w:hAnsi="Times New Roman" w:cs="Times New Roman"/>
          <w:sz w:val="24"/>
          <w:szCs w:val="24"/>
          <w:lang w:val="en-GB"/>
        </w:rPr>
        <w:t xml:space="preserve"> </w:t>
      </w:r>
      <w:proofErr w:type="spellStart"/>
      <w:r w:rsidR="009A76EB" w:rsidRPr="00002888">
        <w:rPr>
          <w:rFonts w:ascii="Times New Roman" w:hAnsi="Times New Roman" w:cs="Times New Roman"/>
          <w:sz w:val="24"/>
          <w:szCs w:val="24"/>
          <w:lang w:val="en-GB"/>
        </w:rPr>
        <w:t>chromot</w:t>
      </w:r>
      <w:r w:rsidR="710B0397" w:rsidRPr="00002888">
        <w:rPr>
          <w:rFonts w:ascii="Times New Roman" w:hAnsi="Times New Roman" w:cs="Times New Roman"/>
          <w:sz w:val="24"/>
          <w:szCs w:val="24"/>
          <w:lang w:val="en-GB"/>
        </w:rPr>
        <w:t>h</w:t>
      </w:r>
      <w:r w:rsidR="009A76EB" w:rsidRPr="00002888">
        <w:rPr>
          <w:rFonts w:ascii="Times New Roman" w:hAnsi="Times New Roman" w:cs="Times New Roman"/>
          <w:sz w:val="24"/>
          <w:szCs w:val="24"/>
          <w:lang w:val="en-GB"/>
        </w:rPr>
        <w:t>ripsis</w:t>
      </w:r>
      <w:proofErr w:type="spellEnd"/>
      <w:r w:rsidR="009C4337" w:rsidRPr="00002888">
        <w:rPr>
          <w:rFonts w:ascii="Times New Roman" w:hAnsi="Times New Roman" w:cs="Times New Roman"/>
          <w:sz w:val="24"/>
          <w:szCs w:val="24"/>
          <w:lang w:val="en-GB"/>
        </w:rPr>
        <w:t xml:space="preserve"> </w:t>
      </w:r>
      <w:r w:rsidR="009C4337" w:rsidRPr="00002888">
        <w:rPr>
          <w:rFonts w:ascii="Times New Roman" w:hAnsi="Times New Roman" w:cs="Times New Roman"/>
          <w:sz w:val="24"/>
          <w:szCs w:val="24"/>
          <w:lang w:val="en-GB"/>
        </w:rPr>
        <w:fldChar w:fldCharType="begin" w:fldLock="1"/>
      </w:r>
      <w:r w:rsidR="0022265B" w:rsidRPr="00002888">
        <w:rPr>
          <w:rFonts w:ascii="Times New Roman" w:hAnsi="Times New Roman" w:cs="Times New Roman"/>
          <w:sz w:val="24"/>
          <w:szCs w:val="24"/>
          <w:lang w:val="en-GB"/>
        </w:rPr>
        <w:instrText>ADDIN CSL_CITATION {"citationItems":[{"id":"ITEM-1","itemData":{"DOI":"10.1016/j.mrrev.2018.06.004","ISSN":"13882139","PMID":"30115429","abstract":"In recent years, the paradigm that genomic abnormalities in cancer cells arise through progressive accumulation of mutational events has been challenged by the discovery of single catastrophic events. One such phenomenon termed chromothripsis, involving massive chromosomal rearrangements arising all at once, has emerged as a major mutational game changer. The strong interest in this process stems from its widespread association with a range of cancer types and its potential as a mutational driver. In this review, we first describe chromothripsis detection and incidence in cancers. We then explore recently proposed underlying mechanistic origins, which explain the curious observations of the highly localised nature of the rearrangements on chromothriptic chromosomes. Detection of chromothriptic patterns following incorporation of single chromosomes into micronuclei or following telomere attrition have greatly contributed to our understanding of the reasons behind this chromosomal restriction. These underlying cellular events have been found to be participants in the tumourigenic process, strongly suggesting a potential role for chromothripsis in cancer development. Thus, we discuss potential implications of chromothripsis for cancer progression and therapy.","author":[{"dropping-particle":"","family":"Luijten","given":"Monique Nicole Helena","non-dropping-particle":"","parse-names":false,"suffix":""},{"dropping-particle":"","family":"Lee","given":"Jeannie Xue Ting","non-dropping-particle":"","parse-names":false,"suffix":""},{"dropping-particle":"","family":"Crasta","given":"Karen Carmelina","non-dropping-particle":"","parse-names":false,"suffix":""}],"container-title":"Mutation Research - Reviews in Mutation Research","id":"ITEM-1","issued":{"date-parts":[["2018","7","1"]]},"page":"29-51","publisher":"Elsevier B.V.","title":"Mutational game changer: Chromothripsis and its emerging relevance to cancer","type":"article","volume":"777"},"uris":["http://www.mendeley.com/documents/?uuid=49c3cc0e-fec6-310d-8557-1a0aa0ef9708"]}],"mendeley":{"formattedCitation":"(Luijten et al., 2018)","plainTextFormattedCitation":"(Luijten et al., 2018)","previouslyFormattedCitation":"(Luijten et al., 2018)"},"properties":{"noteIndex":0},"schema":"https://github.com/citation-style-language/schema/raw/master/csl-citation.json"}</w:instrText>
      </w:r>
      <w:r w:rsidR="009C4337" w:rsidRPr="00002888">
        <w:rPr>
          <w:rFonts w:ascii="Times New Roman" w:hAnsi="Times New Roman" w:cs="Times New Roman"/>
          <w:sz w:val="24"/>
          <w:szCs w:val="24"/>
          <w:lang w:val="en-GB"/>
        </w:rPr>
        <w:fldChar w:fldCharType="separate"/>
      </w:r>
      <w:r w:rsidR="009C4337" w:rsidRPr="00002888">
        <w:rPr>
          <w:rFonts w:ascii="Times New Roman" w:hAnsi="Times New Roman" w:cs="Times New Roman"/>
          <w:noProof/>
          <w:sz w:val="24"/>
          <w:szCs w:val="24"/>
          <w:lang w:val="en-GB"/>
        </w:rPr>
        <w:t>(Luijten et al., 2018)</w:t>
      </w:r>
      <w:r w:rsidR="009C4337" w:rsidRPr="00002888">
        <w:rPr>
          <w:rFonts w:ascii="Times New Roman" w:hAnsi="Times New Roman" w:cs="Times New Roman"/>
          <w:sz w:val="24"/>
          <w:szCs w:val="24"/>
          <w:lang w:val="en-GB"/>
        </w:rPr>
        <w:fldChar w:fldCharType="end"/>
      </w:r>
      <w:r w:rsidR="009A76EB" w:rsidRPr="00002888">
        <w:rPr>
          <w:rFonts w:ascii="Times New Roman" w:hAnsi="Times New Roman" w:cs="Times New Roman"/>
          <w:sz w:val="24"/>
          <w:szCs w:val="24"/>
          <w:lang w:val="en-GB"/>
        </w:rPr>
        <w:t xml:space="preserve">. </w:t>
      </w:r>
      <w:r w:rsidR="00E07FD1" w:rsidRPr="00002888">
        <w:rPr>
          <w:rFonts w:ascii="Times New Roman" w:hAnsi="Times New Roman" w:cs="Times New Roman"/>
          <w:sz w:val="24"/>
          <w:szCs w:val="24"/>
          <w:lang w:val="en-GB"/>
        </w:rPr>
        <w:t>Even the somatic mutational burden remains disputed, with a range of somatic mutati</w:t>
      </w:r>
      <w:r w:rsidR="00AF2EA6" w:rsidRPr="00002888">
        <w:rPr>
          <w:rFonts w:ascii="Times New Roman" w:hAnsi="Times New Roman" w:cs="Times New Roman"/>
          <w:sz w:val="24"/>
          <w:szCs w:val="24"/>
          <w:lang w:val="en-GB"/>
        </w:rPr>
        <w:t>o</w:t>
      </w:r>
      <w:r w:rsidR="00E07FD1" w:rsidRPr="00002888">
        <w:rPr>
          <w:rFonts w:ascii="Times New Roman" w:hAnsi="Times New Roman" w:cs="Times New Roman"/>
          <w:sz w:val="24"/>
          <w:szCs w:val="24"/>
          <w:lang w:val="en-GB"/>
        </w:rPr>
        <w:t>ns per patients of</w:t>
      </w:r>
      <w:r w:rsidR="0051330D" w:rsidRPr="00002888">
        <w:rPr>
          <w:rFonts w:ascii="Times New Roman" w:hAnsi="Times New Roman" w:cs="Times New Roman"/>
          <w:sz w:val="24"/>
          <w:szCs w:val="24"/>
          <w:lang w:val="en-GB"/>
        </w:rPr>
        <w:t xml:space="preserve"> between 9 and 82 (mean 25) </w:t>
      </w:r>
      <w:r w:rsidR="00E22C84" w:rsidRPr="00002888">
        <w:rPr>
          <w:rFonts w:ascii="Times New Roman" w:hAnsi="Times New Roman" w:cs="Times New Roman"/>
          <w:sz w:val="24"/>
          <w:szCs w:val="24"/>
          <w:lang w:val="en-GB"/>
        </w:rPr>
        <w:fldChar w:fldCharType="begin" w:fldLock="1"/>
      </w:r>
      <w:r w:rsidR="007B786E" w:rsidRPr="00002888">
        <w:rPr>
          <w:rFonts w:ascii="Times New Roman" w:hAnsi="Times New Roman" w:cs="Times New Roman"/>
          <w:sz w:val="24"/>
          <w:szCs w:val="24"/>
          <w:lang w:val="en-GB"/>
        </w:rPr>
        <w:instrText xml:space="preserve">ADDIN CSL_CITATION {"citationItems":[{"id":"ITEM-1","itemData":{"DOI":"10.1371/journal.pone.0083244","ISSN":"1932-6203","abstract":"The pathogenesis of splenic marginal zone lymphoma (SMZL) remains largely unknown. Recent high-throughput sequencing studies have identified recurrent mutations in key pathways, most notably NOTCH2 mutations in &gt;25% of patients. These studies are based on small, heterogeneous discovery cohorts, and therefore only captured a fraction of the lesions present in the SMZL genome. To identify further novel pathogenic mutations within related biochemical pathways, we applied whole exome sequencing (WES) and copy number (CN) analysis to a biologically and clinically homogeneous cohort of seven SMZL patients with 7q abnormalities and IGHV1-2*04 gene usage. We identified 173 somatic non-silent variants, affecting 160 distinct genes. In additional to providing independent validation of the presence of mutation in several previously reported genes (NOTCH2, TNFAIP3, MAP3K14, MLL2 and SPEN), our study defined eight additional recurrently mutated genes in SMZL; these genes are CREBBP, CBFA2T3, AMOTL1, FAT4, FBXO11, PLA2G4D, TRRAP and USH2A. By integrating our WES and CN data we identified three mutated putative candidate genes targeted by 7q deletions (CUL1, EZH2 and FLNC), with FLNC positioned within the well- characterized 7q minimally deleted region. Taken together, this work expands the reported directory of recurrently mutated cancer genes in this disease, thereby expanding our understanding of SMZL pathogenesis. Ultimately, this work will help to establish a stratified approach to care including the possibility of targeted therapy.","author":[{"dropping-particle":"","family":"Parry","given":"Marina","non-dropping-particle":"","parse-names":false,"suffix":""},{"dropping-particle":"","family":"Rose-Zerilli","given":"Matthew J. J.","non-dropping-particle":"","parse-names":false,"suffix":""},{"dropping-particle":"","family":"Gibson","given":"Jane","non-dropping-particle":"","parse-names":false,"suffix":""},{"dropping-particle":"","family":"Ennis","given":"Sarah","non-dropping-particle":"","parse-names":false,"suffix":""},{"dropping-particle":"","family":"Walewska","given":"Renata","non-dropping-particle":"","parse-names":false,"suffix":""},{"dropping-particle":"","family":"Forster","given":"Jade","non-dropping-particle":"","parse-names":false,"suffix":""},{"dropping-particle":"","family":"Parker","given":"Helen","non-dropping-particle":"","parse-names":false,"suffix":""},{"dropping-particle":"","family":"Davis","given":"Zadie","non-dropping-particle":"","parse-names":false,"suffix":""},{"dropping-particle":"","family":"Gardiner","given":"Anne","non-dropping-particle":"","parse-names":false,"suffix":""},{"dropping-particle":"","family":"Collins","given":"Andrew","non-dropping-particle":"","parse-names":false,"suffix":""},{"dropping-particle":"","family":"Oscier","given":"David G.","non-dropping-particle":"","parse-names":false,"suffix":""},{"dropping-particle":"","family":"Strefford","given":"Jonathan C.","non-dropping-particle":"","parse-names":false,"suffix":""}],"container-title":"PLoS ONE","editor":[{"dropping-particle":"","family":"Martinez Climent","given":"Jose Angel","non-dropping-particle":"","parse-names":false,"suffix":""}],"id":"ITEM-1","issue":"12","issued":{"date-parts":[["2013","12","13"]]},"page":"e83244","title":"Whole Exome Sequencing Identifies Novel Recurrently Mutated Genes in Patients with Splenic Marginal Zone Lymphoma","type":"article-journal","volume":"8"},"uris":["http://www.mendeley.com/documents/?uuid=a9b6d865-2849-447c-97d5-e16730a26fdc"]},{"id":"ITEM-2","itemData":{"DOI":"10.1084/jem.20120904","ISBN":"1540-9538 (Electronic)\\r0022-1007 (Linking)","ISSN":"0022-1007","PMID":"22891273","abstract":"Splenic marginal zone lymphoma (SMZL) is a B cell malignancy of unknown pathogenesis, and thus an orphan of targeted therapies. By integrating whole-exome sequencing and copy-number analysis, we show that the SMZL exome carries at least 30 nonsilent gene alterations. Mutations in NOTCH2, a gene required for marginal-zone (MZ) B cell development, represent the most frequent lesion in SMZL, accounting for </w:instrText>
      </w:r>
      <w:r w:rsidR="007B786E" w:rsidRPr="00002888">
        <w:rPr>
          <w:rFonts w:ascii="Cambria Math" w:hAnsi="Cambria Math" w:cs="Cambria Math"/>
          <w:sz w:val="24"/>
          <w:szCs w:val="24"/>
          <w:lang w:val="en-GB"/>
        </w:rPr>
        <w:instrText>∼</w:instrText>
      </w:r>
      <w:r w:rsidR="007B786E" w:rsidRPr="00002888">
        <w:rPr>
          <w:rFonts w:ascii="Times New Roman" w:hAnsi="Times New Roman" w:cs="Times New Roman"/>
          <w:sz w:val="24"/>
          <w:szCs w:val="24"/>
          <w:lang w:val="en-GB"/>
        </w:rPr>
        <w:instrText xml:space="preserve">20% of cases. All NOTCH2 mutations are predicted to cause impaired degradation of the NOTCH2 protein by eliminating the C-terminal PEST domain, which is required for proteasomal recruitment. Among indolent B cell lymphoproliferative disorders, NOTCH2 mutations are restricted to SMZL, thus representing a potential diagnostic marker for this lymphoma type. In addition to NOTCH2, other modulators or members of the NOTCH pathway are recurrently targeted by genetic lesions in SMZL; these include NOTCH1, SPEN, and DTX1. We also noted mutations in other signaling pathways normally involved in MZ B cell development, suggesting that deregulation of MZ B cell development pathways plays a role in the pathogenesis of </w:instrText>
      </w:r>
      <w:r w:rsidR="007B786E" w:rsidRPr="00002888">
        <w:rPr>
          <w:rFonts w:ascii="Cambria Math" w:hAnsi="Cambria Math" w:cs="Cambria Math"/>
          <w:sz w:val="24"/>
          <w:szCs w:val="24"/>
          <w:lang w:val="en-GB"/>
        </w:rPr>
        <w:instrText>∼</w:instrText>
      </w:r>
      <w:r w:rsidR="007B786E" w:rsidRPr="00002888">
        <w:rPr>
          <w:rFonts w:ascii="Times New Roman" w:hAnsi="Times New Roman" w:cs="Times New Roman"/>
          <w:sz w:val="24"/>
          <w:szCs w:val="24"/>
          <w:lang w:val="en-GB"/>
        </w:rPr>
        <w:instrText>60% SMZL. These findings have direct implications for the treatment of SMZL patients, given the availability of drugs that can target NOTCH, NF-κB, and other pathways deregulated in this disease.","author":[{"dropping-particle":"","family":"Rossi","given":"Davide","non-dropping-particle":"","parse-names":false,"suffix":""},{"dropping-particle":"","family":"Trifonov","given":"Vladimir","non-dropping-particle":"","parse-names":false,"suffix":""},{"dropping-particle":"","family":"Fangazio","given":"Marco","non-dropping-particle":"","parse-names":false,"suffix":""},{"dropping-particle":"","family":"Bruscaggin","given":"Alessio","non-dropping-particle":"","parse-names":false,"suffix":""},{"dropping-particle":"","family":"Rasi","given":"Silvia","non-dropping-particle":"","parse-names":false,"suffix":""},{"dropping-particle":"","family":"Spina","given":"Valeria","non-dropping-particle":"","parse-names":false,"suffix":""},{"dropping-particle":"","family":"Monti","given":"Sara","non-dropping-particle":"","parse-names":false,"suffix":""},{"dropping-particle":"","family":"Vaisitti","given":"Tiziana","non-dropping-particle":"","parse-names":false,"suffix":""},{"dropping-particle":"","family":"Arruga","given":"Francesca","non-dropping-particle":"","parse-names":false,"suffix":""},{"dropping-particle":"","family":"Famà","given":"Rosella","non-dropping-particle":"","parse-names":false,"suffix":""},{"dropping-particle":"","family":"Ciardullo","given":"Carmela","non-dropping-particle":"","parse-names":false,"suffix":""},{"dropping-particle":"","family":"Greco","given":"Mariangela","non-dropping-particle":"","parse-names":false,"suffix":""},{"dropping-particle":"","family":"Cresta","given":"Stefania","non-dropping-particle":"","parse-names":false,"suffix":""},{"dropping-particle":"","family":"Piranda","given":"Daniela","non-dropping-particle":"","parse-names":false,"suffix":""},{"dropping-particle":"","family":"Holmes","given":"Antony","non-dropping-particle":"","parse-names":false,"suffix":""},{"dropping-particle":"","family":"Fabbri","given":"Giulia","non-dropping-particle":"","parse-names":false,"suffix":""},{"dropping-particle":"","family":"Messina","given":"Monica","non-dropping-particle":"","parse-names":false,"suffix":""},{"dropping-particle":"","family":"Rinaldi","given":"Andrea","non-dropping-particle":"","parse-names":false,"suffix":""},{"dropping-particle":"","family":"Wang","given":"Jiguang","non-dropping-particle":"","parse-names":false,"suffix":""},{"dropping-particle":"","family":"Agostinelli","given":"Claudio","non-dropping-particle":"","parse-names":false,"suffix":""},{"dropping-particle":"","family":"Piccaluga","given":"Pier Paolo","non-dropping-particle":"","parse-names":false,"suffix":""},{"dropping-particle":"","family":"Lucioni","given":"Marco","non-dropping-particle":"","parse-names":false,"suffix":""},{"dropping-particle":"","family":"Tabbò","given":"Fabrizio","non-dropping-particle":"","parse-names":false,"suffix":""},{"dropping-particle":"","family":"Serra","given":"Roberto","non-dropping-particle":"","parse-names":false,"suffix":""},{"dropping-particle":"","family":"Franceschetti","given":"Silvia","non-dropping-particle":"","parse-names":false,"suffix":""},{"dropping-particle":"","family":"Deambrogi","given":"Clara","non-dropping-particle":"","parse-names":false,"suffix":""},{"dropping-particle":"","family":"Daniele","given":"Giulia","non-dropping-particle":"","parse-names":false,"suffix":""},{"dropping-particle":"","family":"Gattei","given":"Valter","non-dropping-particle":"","parse-names":false,"suffix":""},{"dropping-particle":"","family":"Marasca","given":"Roberto","non-dropping-particle":"","parse-names":false,"suffix":""},{"dropping-particle":"","family":"Facchetti","given":"Fabio","non-dropping-particle":"","parse-names":false,"suffix":""},{"dropping-particle":"","family":"Arcaini","given":"Luca","non-dropping-particle":"","parse-names":false,"suffix":""},{"dropping-particle":"","family":"Inghirami","given":"Giorgio","non-dropping-particle":"","parse-names":false,"suffix":""},{"dropping-particle":"","family":"Bertoni","given":"Francesco","non-dropping-particle":"","parse-names":false,"suffix":""},{"dropping-particle":"","family":"Pileri","given":"Stefano A.","non-dropping-particle":"","parse-names":false,"suffix":""},{"dropping-particle":"","family":"Deaglio","given":"Silvia","non-dropping-particle":"","parse-names":false,"suffix":""},{"dropping-particle":"","family":"Foà","given":"Robin","non-dropping-particle":"","parse-names":false,"suffix":""},{"dropping-particle":"","family":"Dalla-Favera","given":"Riccardo","non-dropping-particle":"","parse-names":false,"suffix":""},{"dropping-particle":"","family":"Pasqualucci","given":"Laura","non-dropping-particle":"","parse-names":false,"suffix":""},{"dropping-particle":"","family":"Rabadan","given":"Raul","non-dropping-particle":"","parse-names":false,"suffix":""},{"dropping-particle":"","family":"Gaidano","given":"Gianluca","non-dropping-particle":"","parse-names":false,"suffix":""}],"container-title":"The Journal of Experimental Medicine","id":"ITEM-2","issue":"9","issued":{"date-parts":[["2012"]]},"page":"1537-1551","title":"The coding genome of splenic marginal zone lymphoma: activation of &lt;i&gt;NOTCH2&lt;/i&gt; and other pathways regulating marginal zone development","type":"article-journal","volume":"209"},"uris":["http://www.mendeley.com/documents/?uuid=fff8afcc-b166-4232-81b9-1bf4d3e92c7e"]},{"id":"ITEM-3","itemData":{"DOI":"10.1038/leu.2014.330","ISSN":"14765551","PMID":"25428260","abstract":"To characterise the genetics of splenic marginal zone lymphoma (SMZL), we performed whole exome sequencing of 16 cases and identified novel recurrent inactivating mutations in Kruppel-like factor 2 (KLF2), a gene whose deficiency was previously shown to cause splenic marginal zone hyperplasia in mice. KLF2 mutation was found in 40 (42%) of 96 SMZLs, but rarely in other B-cell lymphomas. The majority of KLF2 mutations were frameshift indels or nonsense changes, with missense mutations clustered in the C-terminal zinc finger domains. Functional assays showed that these mutations inactivated the ability of KLF2 to suppress NF-κB activation by TLR, BCR, BAFFR and TNFR signalling. Further extensive investigations revealed common and distinct genetic changes between SMZL with and without KLF2 mutation. IGHV1-2 rearrangement and 7q deletion were primarily seen in SMZL with KLF2 mutation, while MYD88 and TP53 mutations were nearly exclusively found in those without KLF2 mutation. NOTCH2, TRAF3, TNFAIP3 and CARD11 mutations were observed in SMZL both with and without KLF2 mutation. Taken together, KLF2 mutation is the most common genetic change in SMZL and identifies a subset with a distinct genotype characterised by multi-genetic changes. These different genetic changes may deregulate various signalling pathways and generate cooperative oncogenic properties, thereby contributing to lymphomagenesis.","author":[{"dropping-particle":"","family":"Clipson","given":"A.","non-dropping-particle":"","parse-names":false,"suffix":""},{"dropping-particle":"","family":"Wang","given":"M.","non-dropping-particle":"","parse-names":false,"suffix":""},{"dropping-particle":"","family":"Leval","given":"L.","non-dropping-particle":"De","parse-names":false,"suffix":""},{"dropping-particle":"","family":"Ashton-Key","given":"M.","non-dropping-particle":"","parse-names":false,"suffix":""},{"dropping-particle":"","family":"Wotherspoon","given":"A.","non-dropping-particle":"","parse-names":false,"suffix":""},{"dropping-particle":"","family":"Vassiliou","given":"G.","non-dropping-particle":"","parse-names":false,"suffix":""},{"dropping-particle":"","family":"Bolli","given":"N.","non-dropping-particle":"","parse-names":false,"suffix":""},{"dropping-particle":"","family":"Grove","given":"C.","non-dropping-particle":"","parse-names":false,"suffix":""},{"dropping-particle":"","family":"Moody","given":"S.","non-dropping-particle":"","parse-names":false,"suffix":""},{"dropping-particle":"","family":"Escudero-Ibarz","given":"L.","non-dropping-particle":"","parse-names":false,"suffix":""},{"dropping-particle":"","family":"Gundem","given":"G.","non-dropping-particle":"","parse-names":false,"suffix":""},{"dropping-particle":"","family":"Brugger","given":"K.","non-dropping-particle":"","parse-names":false,"suffix":""},{"dropping-particle":"","family":"Xue","given":"X.","non-dropping-particle":"","parse-names":false,"suffix":""},{"dropping-particle":"","family":"Mi","given":"E.","non-dropping-particle":"","parse-names":false,"suffix":""},{"dropping-particle":"","family":"Bench","given":"A.","non-dropping-particle":"","parse-names":false,"suffix":""},{"dropping-particle":"","family":"Scott","given":"M.","non-dropping-particle":"","parse-names":false,"suffix":""},{"dropping-particle":"","family":"Liu","given":"H.","non-dropping-particle":"","parse-names":false,"suffix":""},{"dropping-particle":"","family":"Follows","given":"G.","non-dropping-particle":"","parse-names":false,"suffix":""},{"dropping-particle":"","family":"Robles","given":"E. F.","non-dropping-particle":"","parse-names":false,"suffix":""},{"dropping-particle":"","family":"Martinez-Climent","given":"J. A.","non-dropping-particle":"","parse-names":false,"suffix":""},{"dropping-particle":"","family":"Oscier","given":"D.","non-dropping-particle":"","parse-names":false,"suffix":""},{"dropping-particle":"","family":"Watkins","given":"A. J.","non-dropping-particle":"","parse-names":false,"suffix":""},{"dropping-particle":"","family":"Du","given":"M. Q.","non-dropping-particle":"","parse-names":false,"suffix":""}],"container-title":"Leukemia","id":"ITEM-3","issue":"5","issued":{"date-parts":[["2015"]]},"page":"1177-1185","title":"KLF2 mutation is the most frequent somatic change in splenic marginal zone lymphoma and identifies a subset with distinct genotype","type":"article-journal","volume":"29"},"uris":["http://www.mendeley.com/documents/?uuid=9a03fc8c-403a-4b3d-8ecb-3673a4b13433"]}],"mendeley":{"formattedCitation":"(Clipson et al., 2015; Parry et al., 2013; Rossi et al., 2012)","plainTextFormattedCitation":"(Clipson et al., 2015; Parry et al., 2013; Rossi et al., 2012)","previouslyFormattedCitation":"(Clipson et al., 2015; Parry et al., 2013; Rossi et al., 2012)"},"properties":{"noteIndex":0},"schema":"https://github.com/citation-style-language/schema/raw/master/csl-citation.json"}</w:instrText>
      </w:r>
      <w:r w:rsidR="00E22C84" w:rsidRPr="00002888">
        <w:rPr>
          <w:rFonts w:ascii="Times New Roman" w:hAnsi="Times New Roman" w:cs="Times New Roman"/>
          <w:sz w:val="24"/>
          <w:szCs w:val="24"/>
          <w:lang w:val="en-GB"/>
        </w:rPr>
        <w:fldChar w:fldCharType="separate"/>
      </w:r>
      <w:r w:rsidR="0051330D" w:rsidRPr="00002888">
        <w:rPr>
          <w:rFonts w:ascii="Times New Roman" w:hAnsi="Times New Roman" w:cs="Times New Roman"/>
          <w:noProof/>
          <w:sz w:val="24"/>
          <w:szCs w:val="24"/>
          <w:lang w:val="en-GB"/>
        </w:rPr>
        <w:t>(Clipson et al., 2015; Parry et al., 2013; Rossi et al., 2012)</w:t>
      </w:r>
      <w:r w:rsidR="00E22C84" w:rsidRPr="00002888">
        <w:rPr>
          <w:rFonts w:ascii="Times New Roman" w:hAnsi="Times New Roman" w:cs="Times New Roman"/>
          <w:sz w:val="24"/>
          <w:szCs w:val="24"/>
          <w:lang w:val="en-GB"/>
        </w:rPr>
        <w:fldChar w:fldCharType="end"/>
      </w:r>
      <w:r w:rsidR="009A76EB" w:rsidRPr="00002888">
        <w:rPr>
          <w:rFonts w:ascii="Times New Roman" w:hAnsi="Times New Roman" w:cs="Times New Roman"/>
          <w:sz w:val="24"/>
          <w:szCs w:val="24"/>
          <w:lang w:val="en-GB"/>
        </w:rPr>
        <w:t>.</w:t>
      </w:r>
      <w:r w:rsidR="0051330D" w:rsidRPr="00002888">
        <w:rPr>
          <w:rFonts w:ascii="Times New Roman" w:hAnsi="Times New Roman" w:cs="Times New Roman"/>
          <w:sz w:val="24"/>
          <w:szCs w:val="24"/>
          <w:lang w:val="en-GB"/>
        </w:rPr>
        <w:t xml:space="preserve"> This limited agreement is likely due to the </w:t>
      </w:r>
      <w:r w:rsidR="009A76EB" w:rsidRPr="00002888">
        <w:rPr>
          <w:rFonts w:ascii="Times New Roman" w:hAnsi="Times New Roman" w:cs="Times New Roman"/>
          <w:sz w:val="24"/>
          <w:szCs w:val="24"/>
          <w:lang w:val="en-GB"/>
        </w:rPr>
        <w:t xml:space="preserve">low </w:t>
      </w:r>
      <w:r w:rsidR="0051330D" w:rsidRPr="00002888">
        <w:rPr>
          <w:rFonts w:ascii="Times New Roman" w:hAnsi="Times New Roman" w:cs="Times New Roman"/>
          <w:sz w:val="24"/>
          <w:szCs w:val="24"/>
          <w:lang w:val="en-GB"/>
        </w:rPr>
        <w:t>patient numbers, and experimental and computational differences in W</w:t>
      </w:r>
      <w:r w:rsidR="00BD7F0E" w:rsidRPr="00002888">
        <w:rPr>
          <w:rFonts w:ascii="Times New Roman" w:hAnsi="Times New Roman" w:cs="Times New Roman"/>
          <w:sz w:val="24"/>
          <w:szCs w:val="24"/>
          <w:lang w:val="en-GB"/>
        </w:rPr>
        <w:t>G</w:t>
      </w:r>
      <w:r w:rsidR="0051330D" w:rsidRPr="00002888">
        <w:rPr>
          <w:rFonts w:ascii="Times New Roman" w:hAnsi="Times New Roman" w:cs="Times New Roman"/>
          <w:sz w:val="24"/>
          <w:szCs w:val="24"/>
          <w:lang w:val="en-GB"/>
        </w:rPr>
        <w:t>S/W</w:t>
      </w:r>
      <w:r w:rsidR="00BD7F0E" w:rsidRPr="00002888">
        <w:rPr>
          <w:rFonts w:ascii="Times New Roman" w:hAnsi="Times New Roman" w:cs="Times New Roman"/>
          <w:sz w:val="24"/>
          <w:szCs w:val="24"/>
          <w:lang w:val="en-GB"/>
        </w:rPr>
        <w:t>E</w:t>
      </w:r>
      <w:r w:rsidR="0051330D" w:rsidRPr="00002888">
        <w:rPr>
          <w:rFonts w:ascii="Times New Roman" w:hAnsi="Times New Roman" w:cs="Times New Roman"/>
          <w:sz w:val="24"/>
          <w:szCs w:val="24"/>
          <w:lang w:val="en-GB"/>
        </w:rPr>
        <w:t>S pr</w:t>
      </w:r>
      <w:r w:rsidR="00E811DD" w:rsidRPr="00002888">
        <w:rPr>
          <w:rFonts w:ascii="Times New Roman" w:hAnsi="Times New Roman" w:cs="Times New Roman"/>
          <w:sz w:val="24"/>
          <w:szCs w:val="24"/>
          <w:lang w:val="en-GB"/>
        </w:rPr>
        <w:t xml:space="preserve">ocessing, but could also </w:t>
      </w:r>
      <w:r w:rsidR="009A76EB" w:rsidRPr="00002888">
        <w:rPr>
          <w:rFonts w:ascii="Times New Roman" w:hAnsi="Times New Roman" w:cs="Times New Roman"/>
          <w:sz w:val="24"/>
          <w:szCs w:val="24"/>
          <w:lang w:val="en-GB"/>
        </w:rPr>
        <w:t xml:space="preserve">allude to </w:t>
      </w:r>
      <w:r w:rsidR="00E811DD" w:rsidRPr="00002888">
        <w:rPr>
          <w:rFonts w:ascii="Times New Roman" w:hAnsi="Times New Roman" w:cs="Times New Roman"/>
          <w:sz w:val="24"/>
          <w:szCs w:val="24"/>
          <w:lang w:val="en-GB"/>
        </w:rPr>
        <w:t>disease</w:t>
      </w:r>
      <w:r w:rsidR="009A76EB" w:rsidRPr="00002888">
        <w:rPr>
          <w:rFonts w:ascii="Times New Roman" w:hAnsi="Times New Roman" w:cs="Times New Roman"/>
          <w:sz w:val="24"/>
          <w:szCs w:val="24"/>
          <w:lang w:val="en-GB"/>
        </w:rPr>
        <w:t xml:space="preserve"> heterogeneity </w:t>
      </w:r>
      <w:r w:rsidR="00E811DD" w:rsidRPr="00002888">
        <w:rPr>
          <w:rFonts w:ascii="Times New Roman" w:hAnsi="Times New Roman" w:cs="Times New Roman"/>
          <w:sz w:val="24"/>
          <w:szCs w:val="24"/>
          <w:lang w:val="en-GB"/>
        </w:rPr>
        <w:t xml:space="preserve">and statistical power insufficient to catalogue the </w:t>
      </w:r>
      <w:r w:rsidR="00AF2EA6" w:rsidRPr="00002888">
        <w:rPr>
          <w:rFonts w:ascii="Times New Roman" w:hAnsi="Times New Roman" w:cs="Times New Roman"/>
          <w:sz w:val="24"/>
          <w:szCs w:val="24"/>
          <w:lang w:val="en-GB"/>
        </w:rPr>
        <w:t>complete</w:t>
      </w:r>
      <w:r w:rsidR="009A76EB" w:rsidRPr="00002888">
        <w:rPr>
          <w:rFonts w:ascii="Times New Roman" w:hAnsi="Times New Roman" w:cs="Times New Roman"/>
          <w:sz w:val="24"/>
          <w:szCs w:val="24"/>
          <w:lang w:val="en-GB"/>
        </w:rPr>
        <w:t xml:space="preserve"> mutational landscape</w:t>
      </w:r>
      <w:r w:rsidR="00AF2EA6" w:rsidRPr="00002888">
        <w:rPr>
          <w:rFonts w:ascii="Times New Roman" w:hAnsi="Times New Roman" w:cs="Times New Roman"/>
          <w:sz w:val="24"/>
          <w:szCs w:val="24"/>
          <w:lang w:val="en-GB"/>
        </w:rPr>
        <w:t xml:space="preserve"> of the disease</w:t>
      </w:r>
      <w:r w:rsidR="009A76EB" w:rsidRPr="00002888">
        <w:rPr>
          <w:rFonts w:ascii="Times New Roman" w:hAnsi="Times New Roman" w:cs="Times New Roman"/>
          <w:sz w:val="24"/>
          <w:szCs w:val="24"/>
          <w:lang w:val="en-GB"/>
        </w:rPr>
        <w:t xml:space="preserve"> </w:t>
      </w:r>
      <w:r w:rsidR="009A76EB" w:rsidRPr="00002888">
        <w:rPr>
          <w:rFonts w:ascii="Times New Roman" w:hAnsi="Times New Roman" w:cs="Times New Roman"/>
          <w:sz w:val="24"/>
          <w:szCs w:val="24"/>
          <w:lang w:val="en-GB"/>
        </w:rPr>
        <w:fldChar w:fldCharType="begin" w:fldLock="1"/>
      </w:r>
      <w:r w:rsidR="00B21490" w:rsidRPr="00002888">
        <w:rPr>
          <w:rFonts w:ascii="Times New Roman" w:hAnsi="Times New Roman" w:cs="Times New Roman"/>
          <w:sz w:val="24"/>
          <w:szCs w:val="24"/>
          <w:lang w:val="en-GB"/>
        </w:rPr>
        <w:instrText>ADDIN CSL_CITATION {"citationItems":[{"id":"ITEM-1","itemData":{"DOI":"10.1038/s41598-019-46906-1","ISSN":"2045-2322","author":[{"dropping-particle":"","family":"Jaramillo Oquendo","given":"Carolina","non-dropping-particle":"","parse-names":false,"suffix":""},{"dropping-particle":"","family":"Parker","given":"Helen","non-dropping-particle":"","parse-names":false,"suffix":""},{"dropping-particle":"","family":"Oscier","given":"David","non-dropping-particle":"","parse-names":false,"suffix":""},{"dropping-particle":"","family":"Ennis","given":"Sarah","non-dropping-particle":"","parse-names":false,"suffix":""},{"dropping-particle":"","family":"Gibson","given":"Jane","non-dropping-particle":"","parse-names":false,"suffix":""},{"dropping-particle":"","family":"Strefford","given":"Jonathan C.","non-dropping-particle":"","parse-names":false,"suffix":""}],"container-title":"Scientific Reports","id":"ITEM-1","issue":"1","issued":{"date-parts":[["2019"]]},"page":"1-9","publisher":"Springer US","title":"Systematic Review of Somatic Mutations in Splenic Marginal Zone Lymphoma","type":"article-journal","volume":"9"},"uris":["http://www.mendeley.com/documents/?uuid=e07e354c-2ea8-47d8-b58e-aec6abbe2ec6"]},{"id":"ITEM-2","itemData":{"DOI":"10.1038/leu.2014.330","ISSN":"14765551","PMID":"25428260","abstract":"To characterise the genetics of splenic marginal zone lymphoma (SMZL), we performed whole exome sequencing of 16 cases and identified novel recurrent inactivating mutations in Kruppel-like factor 2 (KLF2), a gene whose deficiency was previously shown to cause splenic marginal zone hyperplasia in mice. KLF2 mutation was found in 40 (42%) of 96 SMZLs, but rarely in other B-cell lymphomas. The majority of KLF2 mutations were frameshift indels or nonsense changes, with missense mutations clustered in the C-terminal zinc finger domains. Functional assays showed that these mutations inactivated the ability of KLF2 to suppress NF-κB activation by TLR, BCR, BAFFR and TNFR signalling. Further extensive investigations revealed common and distinct genetic changes between SMZL with and without KLF2 mutation. IGHV1-2 rearrangement and 7q deletion were primarily seen in SMZL with KLF2 mutation, while MYD88 and TP53 mutations were nearly exclusively found in those without KLF2 mutation. NOTCH2, TRAF3, TNFAIP3 and CARD11 mutations were observed in SMZL both with and without KLF2 mutation. Taken together, KLF2 mutation is the most common genetic change in SMZL and identifies a subset with a distinct genotype characterised by multi-genetic changes. These different genetic changes may deregulate various signalling pathways and generate cooperative oncogenic properties, thereby contributing to lymphomagenesis.","author":[{"dropping-particle":"","family":"Clipson","given":"A.","non-dropping-particle":"","parse-names":false,"suffix":""},{"dropping-particle":"","family":"Wang","given":"M.","non-dropping-particle":"","parse-names":false,"suffix":""},{"dropping-particle":"","family":"Leval","given":"L.","non-dropping-particle":"De","parse-names":false,"suffix":""},{"dropping-particle":"","family":"Ashton-Key","given":"M.","non-dropping-particle":"","parse-names":false,"suffix":""},{"dropping-particle":"","family":"Wotherspoon","given":"A.","non-dropping-particle":"","parse-names":false,"suffix":""},{"dropping-particle":"","family":"Vassiliou","given":"G.","non-dropping-particle":"","parse-names":false,"suffix":""},{"dropping-particle":"","family":"Bolli","given":"N.","non-dropping-particle":"","parse-names":false,"suffix":""},{"dropping-particle":"","family":"Grove","given":"C.","non-dropping-particle":"","parse-names":false,"suffix":""},{"dropping-particle":"","family":"Moody","given":"S.","non-dropping-particle":"","parse-names":false,"suffix":""},{"dropping-particle":"","family":"Escudero-Ibarz","given":"L.","non-dropping-particle":"","parse-names":false,"suffix":""},{"dropping-particle":"","family":"Gundem","given":"G.","non-dropping-particle":"","parse-names":false,"suffix":""},{"dropping-particle":"","family":"Brugger","given":"K.","non-dropping-particle":"","parse-names":false,"suffix":""},{"dropping-particle":"","family":"Xue","given":"X.","non-dropping-particle":"","parse-names":false,"suffix":""},{"dropping-particle":"","family":"Mi","given":"E.","non-dropping-particle":"","parse-names":false,"suffix":""},{"dropping-particle":"","family":"Bench","given":"A.","non-dropping-particle":"","parse-names":false,"suffix":""},{"dropping-particle":"","family":"Scott","given":"M.","non-dropping-particle":"","parse-names":false,"suffix":""},{"dropping-particle":"","family":"Liu","given":"H.","non-dropping-particle":"","parse-names":false,"suffix":""},{"dropping-particle":"","family":"Follows","given":"G.","non-dropping-particle":"","parse-names":false,"suffix":""},{"dropping-particle":"","family":"Robles","given":"E. F.","non-dropping-particle":"","parse-names":false,"suffix":""},{"dropping-particle":"","family":"Martinez-Climent","given":"J. A.","non-dropping-particle":"","parse-names":false,"suffix":""},{"dropping-particle":"","family":"Oscier","given":"D.","non-dropping-particle":"","parse-names":false,"suffix":""},{"dropping-particle":"","family":"Watkins","given":"A. J.","non-dropping-particle":"","parse-names":false,"suffix":""},{"dropping-particle":"","family":"Du","given":"M. Q.","non-dropping-particle":"","parse-names":false,"suffix":""}],"container-title":"Leukemia","id":"ITEM-2","issue":"5","issued":{"date-parts":[["2015"]]},"page":"1177-1185","title":"KLF2 mutation is the most frequent somatic change in splenic marginal zone lymphoma and identifies a subset with distinct genotype","type":"article-journal","volume":"29"},"uris":["http://www.mendeley.com/documents/?uuid=9a03fc8c-403a-4b3d-8ecb-3673a4b13433"]}],"mendeley":{"formattedCitation":"(Clipson et al., 2015; Jaramillo Oquendo et al., 2019)","plainTextFormattedCitation":"(Clipson et al., 2015; Jaramillo Oquendo et al., 2019)","previouslyFormattedCitation":"(Clipson et al., 2015; Jaramillo Oquendo et al., 2019)"},"properties":{"noteIndex":0},"schema":"https://github.com/citation-style-language/schema/raw/master/csl-citation.json"}</w:instrText>
      </w:r>
      <w:r w:rsidR="009A76EB" w:rsidRPr="00002888">
        <w:rPr>
          <w:rFonts w:ascii="Times New Roman" w:hAnsi="Times New Roman" w:cs="Times New Roman"/>
          <w:sz w:val="24"/>
          <w:szCs w:val="24"/>
          <w:lang w:val="en-GB"/>
        </w:rPr>
        <w:fldChar w:fldCharType="separate"/>
      </w:r>
      <w:r w:rsidR="009A76EB" w:rsidRPr="00002888">
        <w:rPr>
          <w:rFonts w:ascii="Times New Roman" w:hAnsi="Times New Roman" w:cs="Times New Roman"/>
          <w:noProof/>
          <w:sz w:val="24"/>
          <w:szCs w:val="24"/>
          <w:lang w:val="en-GB"/>
        </w:rPr>
        <w:t>(Clipson et al., 2015; Jaramillo Oquendo et al., 2019)</w:t>
      </w:r>
      <w:r w:rsidR="009A76EB" w:rsidRPr="00002888">
        <w:rPr>
          <w:rFonts w:ascii="Times New Roman" w:hAnsi="Times New Roman" w:cs="Times New Roman"/>
          <w:sz w:val="24"/>
          <w:szCs w:val="24"/>
          <w:lang w:val="en-GB"/>
        </w:rPr>
        <w:fldChar w:fldCharType="end"/>
      </w:r>
      <w:r w:rsidR="009A76EB" w:rsidRPr="00002888">
        <w:rPr>
          <w:rFonts w:ascii="Times New Roman" w:hAnsi="Times New Roman" w:cs="Times New Roman"/>
          <w:sz w:val="24"/>
          <w:szCs w:val="24"/>
          <w:lang w:val="en-GB"/>
        </w:rPr>
        <w:t xml:space="preserve">. </w:t>
      </w:r>
      <w:r w:rsidR="00AF5983" w:rsidRPr="00002888">
        <w:rPr>
          <w:rFonts w:ascii="Times New Roman" w:hAnsi="Times New Roman" w:cs="Times New Roman"/>
          <w:sz w:val="24"/>
          <w:szCs w:val="24"/>
          <w:lang w:val="en-GB"/>
        </w:rPr>
        <w:t xml:space="preserve">Targeted re-sequencing approaches have helped elucidate recurrently mutated genes, but these studies have often included only small numbers of matched germ-line material for analysis. Whilst we currently have only a limited picture of the somatic landscape of SMZL, </w:t>
      </w:r>
      <w:r w:rsidR="371EBD6F" w:rsidRPr="00002888">
        <w:rPr>
          <w:rFonts w:ascii="Times New Roman" w:hAnsi="Times New Roman" w:cs="Times New Roman"/>
          <w:sz w:val="24"/>
          <w:szCs w:val="24"/>
          <w:lang w:val="en-GB"/>
        </w:rPr>
        <w:t>several</w:t>
      </w:r>
      <w:r w:rsidR="00AF5983" w:rsidRPr="00002888">
        <w:rPr>
          <w:rFonts w:ascii="Times New Roman" w:hAnsi="Times New Roman" w:cs="Times New Roman"/>
          <w:sz w:val="24"/>
          <w:szCs w:val="24"/>
          <w:lang w:val="en-GB"/>
        </w:rPr>
        <w:t xml:space="preserve"> recurrently mutated genes have been </w:t>
      </w:r>
      <w:r w:rsidR="00AF5983" w:rsidRPr="00002888">
        <w:rPr>
          <w:rFonts w:ascii="Times New Roman" w:hAnsi="Times New Roman" w:cs="Times New Roman"/>
          <w:sz w:val="24"/>
          <w:szCs w:val="24"/>
          <w:lang w:val="en-GB"/>
        </w:rPr>
        <w:lastRenderedPageBreak/>
        <w:t>identified, that preferentially target physiologically important cellular processes, such as MZ B-cell maturation and migration, and cell cycle control (</w:t>
      </w:r>
      <w:r w:rsidR="00AF5983" w:rsidRPr="00002888">
        <w:rPr>
          <w:rFonts w:ascii="Times New Roman" w:hAnsi="Times New Roman" w:cs="Times New Roman"/>
          <w:b/>
          <w:bCs/>
          <w:sz w:val="24"/>
          <w:szCs w:val="24"/>
          <w:lang w:val="en-GB"/>
        </w:rPr>
        <w:t>Figure 2</w:t>
      </w:r>
      <w:r w:rsidR="00AF5983" w:rsidRPr="00002888">
        <w:rPr>
          <w:rFonts w:ascii="Times New Roman" w:hAnsi="Times New Roman" w:cs="Times New Roman"/>
          <w:sz w:val="24"/>
          <w:szCs w:val="24"/>
          <w:lang w:val="en-GB"/>
        </w:rPr>
        <w:t xml:space="preserve">). </w:t>
      </w:r>
      <w:proofErr w:type="gramStart"/>
      <w:r w:rsidR="00AF5983" w:rsidRPr="00002888">
        <w:rPr>
          <w:rFonts w:ascii="Times New Roman" w:hAnsi="Times New Roman" w:cs="Times New Roman"/>
          <w:sz w:val="24"/>
          <w:szCs w:val="24"/>
          <w:lang w:val="en-GB"/>
        </w:rPr>
        <w:t xml:space="preserve">A number </w:t>
      </w:r>
      <w:r w:rsidR="00AF5983" w:rsidRPr="00245037">
        <w:rPr>
          <w:rFonts w:ascii="Times New Roman" w:hAnsi="Times New Roman" w:cs="Times New Roman"/>
          <w:sz w:val="24"/>
          <w:szCs w:val="24"/>
          <w:lang w:val="en-GB"/>
        </w:rPr>
        <w:t>of</w:t>
      </w:r>
      <w:proofErr w:type="gramEnd"/>
      <w:r w:rsidR="00AF5983" w:rsidRPr="00245037">
        <w:rPr>
          <w:rFonts w:ascii="Times New Roman" w:hAnsi="Times New Roman" w:cs="Times New Roman"/>
          <w:sz w:val="24"/>
          <w:szCs w:val="24"/>
          <w:lang w:val="en-GB"/>
        </w:rPr>
        <w:t xml:space="preserve"> genomic studies</w:t>
      </w:r>
      <w:r w:rsidR="00AF5983" w:rsidRPr="00002888">
        <w:rPr>
          <w:rFonts w:ascii="Times New Roman" w:hAnsi="Times New Roman" w:cs="Times New Roman"/>
          <w:sz w:val="24"/>
          <w:szCs w:val="24"/>
          <w:lang w:val="en-GB"/>
        </w:rPr>
        <w:t xml:space="preserve">, with limited functional validation, all agree that the most important recurrently mutated genes are </w:t>
      </w:r>
      <w:r w:rsidR="00AF5983" w:rsidRPr="00002888">
        <w:rPr>
          <w:rFonts w:ascii="Times New Roman" w:hAnsi="Times New Roman" w:cs="Times New Roman"/>
          <w:i/>
          <w:iCs/>
          <w:sz w:val="24"/>
          <w:szCs w:val="24"/>
          <w:lang w:val="en-GB"/>
        </w:rPr>
        <w:t>KLF2, NOTCH2</w:t>
      </w:r>
      <w:r w:rsidR="00AF5983" w:rsidRPr="00002888">
        <w:rPr>
          <w:rFonts w:ascii="Times New Roman" w:hAnsi="Times New Roman" w:cs="Times New Roman"/>
          <w:sz w:val="24"/>
          <w:szCs w:val="24"/>
          <w:lang w:val="en-GB"/>
        </w:rPr>
        <w:t xml:space="preserve"> and </w:t>
      </w:r>
      <w:r w:rsidR="00AF5983" w:rsidRPr="00002888">
        <w:rPr>
          <w:rFonts w:ascii="Times New Roman" w:hAnsi="Times New Roman" w:cs="Times New Roman"/>
          <w:i/>
          <w:iCs/>
          <w:sz w:val="24"/>
          <w:szCs w:val="24"/>
          <w:lang w:val="en-GB"/>
        </w:rPr>
        <w:t>TP53</w:t>
      </w:r>
      <w:r w:rsidR="00AF5983" w:rsidRPr="00002888">
        <w:rPr>
          <w:rFonts w:ascii="Times New Roman" w:hAnsi="Times New Roman" w:cs="Times New Roman"/>
          <w:sz w:val="24"/>
          <w:szCs w:val="24"/>
          <w:lang w:val="en-GB"/>
        </w:rPr>
        <w:t>.</w:t>
      </w:r>
    </w:p>
    <w:p w14:paraId="4856B97F" w14:textId="53ACFF82" w:rsidR="00AD2C62" w:rsidRDefault="00AD2C62" w:rsidP="00814224">
      <w:pPr>
        <w:rPr>
          <w:rFonts w:ascii="Times New Roman" w:hAnsi="Times New Roman" w:cs="Times New Roman"/>
          <w:sz w:val="20"/>
          <w:szCs w:val="20"/>
          <w:lang w:val="en-GB"/>
        </w:rPr>
      </w:pPr>
      <w:r>
        <w:rPr>
          <w:rFonts w:ascii="Times New Roman" w:hAnsi="Times New Roman" w:cs="Times New Roman"/>
          <w:noProof/>
          <w:sz w:val="20"/>
          <w:szCs w:val="20"/>
          <w:lang w:eastAsia="zh-CN"/>
        </w:rPr>
        <w:drawing>
          <wp:inline distT="0" distB="0" distL="0" distR="0" wp14:anchorId="1F728095" wp14:editId="618A6C92">
            <wp:extent cx="5283835" cy="6604792"/>
            <wp:effectExtent l="0" t="0" r="0" b="571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0673" cy="6650839"/>
                    </a:xfrm>
                    <a:prstGeom prst="rect">
                      <a:avLst/>
                    </a:prstGeom>
                  </pic:spPr>
                </pic:pic>
              </a:graphicData>
            </a:graphic>
          </wp:inline>
        </w:drawing>
      </w:r>
    </w:p>
    <w:p w14:paraId="2ED2FEF6" w14:textId="09435E20" w:rsidR="00AD2C62" w:rsidRPr="00752E6F" w:rsidRDefault="00AD2C62" w:rsidP="00814224">
      <w:pPr>
        <w:rPr>
          <w:rFonts w:ascii="Times New Roman" w:hAnsi="Times New Roman" w:cs="Times New Roman"/>
          <w:sz w:val="20"/>
          <w:szCs w:val="20"/>
          <w:lang w:val="en-GB"/>
        </w:rPr>
      </w:pPr>
      <w:r w:rsidRPr="00142459">
        <w:rPr>
          <w:rFonts w:ascii="Times New Roman" w:hAnsi="Times New Roman" w:cs="Times New Roman"/>
          <w:b/>
          <w:bCs/>
          <w:sz w:val="20"/>
          <w:szCs w:val="20"/>
          <w:lang w:val="en-GB"/>
        </w:rPr>
        <w:t>Figure 2</w:t>
      </w:r>
      <w:r w:rsidR="00752E6F" w:rsidRPr="00142459">
        <w:rPr>
          <w:rFonts w:ascii="Times New Roman" w:hAnsi="Times New Roman" w:cs="Times New Roman"/>
          <w:b/>
          <w:bCs/>
          <w:sz w:val="20"/>
          <w:szCs w:val="20"/>
          <w:lang w:val="en-GB"/>
        </w:rPr>
        <w:t>.</w:t>
      </w:r>
      <w:r w:rsidRPr="00752E6F">
        <w:rPr>
          <w:rFonts w:ascii="Times New Roman" w:hAnsi="Times New Roman" w:cs="Times New Roman"/>
          <w:sz w:val="20"/>
          <w:szCs w:val="20"/>
          <w:lang w:val="en-GB"/>
        </w:rPr>
        <w:t xml:space="preserve"> </w:t>
      </w:r>
      <w:r w:rsidR="00752E6F" w:rsidRPr="00752E6F">
        <w:rPr>
          <w:rFonts w:ascii="Times New Roman" w:hAnsi="Times New Roman" w:cs="Times New Roman"/>
          <w:sz w:val="20"/>
          <w:szCs w:val="20"/>
        </w:rPr>
        <w:t xml:space="preserve">Main pathways targeted by somatic mutations in SMZL. Recurrently mutated genes in SMZL </w:t>
      </w:r>
      <w:r w:rsidR="00752E6F" w:rsidRPr="00752E6F">
        <w:rPr>
          <w:rFonts w:ascii="Times New Roman" w:hAnsi="Times New Roman" w:cs="Times New Roman"/>
          <w:sz w:val="20"/>
          <w:szCs w:val="20"/>
          <w:lang w:val="en-GB"/>
        </w:rPr>
        <w:t xml:space="preserve">preferentially target physiologically important pathways, including canonical and non-canonical NF-kB activation (through BCR, </w:t>
      </w:r>
      <w:r w:rsidR="00752E6F" w:rsidRPr="00752E6F">
        <w:rPr>
          <w:rFonts w:ascii="Times New Roman" w:hAnsi="Times New Roman" w:cs="Times New Roman"/>
          <w:sz w:val="20"/>
          <w:szCs w:val="20"/>
          <w:lang w:val="en-GB"/>
        </w:rPr>
        <w:lastRenderedPageBreak/>
        <w:t>TLR and BAFF-R signalling), the N</w:t>
      </w:r>
      <w:r w:rsidR="000C591F">
        <w:rPr>
          <w:rFonts w:ascii="Times New Roman" w:hAnsi="Times New Roman" w:cs="Times New Roman"/>
          <w:sz w:val="20"/>
          <w:szCs w:val="20"/>
          <w:lang w:val="en-GB"/>
        </w:rPr>
        <w:t>otch</w:t>
      </w:r>
      <w:r w:rsidR="00752E6F" w:rsidRPr="00752E6F">
        <w:rPr>
          <w:rFonts w:ascii="Times New Roman" w:hAnsi="Times New Roman" w:cs="Times New Roman"/>
          <w:sz w:val="20"/>
          <w:szCs w:val="20"/>
          <w:lang w:val="en-GB"/>
        </w:rPr>
        <w:t xml:space="preserve"> pathway, chromatin remodelling and cell cycle control. Genes encoding proteins in grey have a mutational frequency greater than 10% within SMZL cohorts.</w:t>
      </w:r>
    </w:p>
    <w:p w14:paraId="264AC132" w14:textId="250068A3" w:rsidR="009B22FF" w:rsidRPr="00002888" w:rsidRDefault="009B22FF" w:rsidP="00002888">
      <w:pPr>
        <w:pStyle w:val="Heading2"/>
        <w:spacing w:before="0" w:after="0" w:line="360" w:lineRule="auto"/>
        <w:rPr>
          <w:sz w:val="24"/>
          <w:szCs w:val="24"/>
        </w:rPr>
      </w:pPr>
      <w:r w:rsidRPr="00002888">
        <w:rPr>
          <w:i/>
          <w:iCs/>
          <w:sz w:val="24"/>
          <w:szCs w:val="24"/>
        </w:rPr>
        <w:t>KLF2</w:t>
      </w:r>
      <w:r w:rsidR="00161FC1" w:rsidRPr="00002888">
        <w:rPr>
          <w:sz w:val="24"/>
          <w:szCs w:val="24"/>
        </w:rPr>
        <w:t xml:space="preserve"> mutations</w:t>
      </w:r>
      <w:r w:rsidR="00F54D32" w:rsidRPr="00002888">
        <w:rPr>
          <w:sz w:val="24"/>
          <w:szCs w:val="24"/>
        </w:rPr>
        <w:t xml:space="preserve"> are present in up to 40% of SMZL cases</w:t>
      </w:r>
    </w:p>
    <w:p w14:paraId="1E10188D" w14:textId="003C399F" w:rsidR="00CE6824" w:rsidRPr="00002888" w:rsidRDefault="00271122" w:rsidP="00540787">
      <w:pPr>
        <w:spacing w:before="0" w:after="0" w:line="360" w:lineRule="auto"/>
        <w:jc w:val="left"/>
        <w:rPr>
          <w:rFonts w:ascii="Times New Roman" w:hAnsi="Times New Roman" w:cs="Times New Roman"/>
          <w:sz w:val="24"/>
          <w:szCs w:val="24"/>
          <w:lang w:val="en-GB"/>
        </w:rPr>
      </w:pPr>
      <w:r w:rsidRPr="00002888">
        <w:rPr>
          <w:rFonts w:ascii="Times New Roman" w:hAnsi="Times New Roman" w:cs="Times New Roman"/>
          <w:i/>
          <w:iCs/>
          <w:sz w:val="24"/>
          <w:szCs w:val="24"/>
          <w:lang w:val="en-GB"/>
        </w:rPr>
        <w:t>K</w:t>
      </w:r>
      <w:r w:rsidR="3D95CB43" w:rsidRPr="00002888">
        <w:rPr>
          <w:rFonts w:ascii="Times New Roman" w:hAnsi="Times New Roman" w:cs="Times New Roman"/>
          <w:i/>
          <w:iCs/>
          <w:sz w:val="24"/>
          <w:szCs w:val="24"/>
          <w:lang w:val="en-GB"/>
        </w:rPr>
        <w:t>LF2</w:t>
      </w:r>
      <w:r w:rsidR="3D95CB43" w:rsidRPr="00002888">
        <w:rPr>
          <w:rFonts w:ascii="Times New Roman" w:hAnsi="Times New Roman" w:cs="Times New Roman"/>
          <w:sz w:val="24"/>
          <w:szCs w:val="24"/>
          <w:lang w:val="en-GB"/>
        </w:rPr>
        <w:t xml:space="preserve"> </w:t>
      </w:r>
      <w:r w:rsidR="38157D9E" w:rsidRPr="00002888">
        <w:rPr>
          <w:rFonts w:ascii="Times New Roman" w:hAnsi="Times New Roman" w:cs="Times New Roman"/>
          <w:sz w:val="24"/>
          <w:szCs w:val="24"/>
          <w:lang w:val="en-GB"/>
        </w:rPr>
        <w:t>is t</w:t>
      </w:r>
      <w:r w:rsidR="3D95CB43" w:rsidRPr="00002888">
        <w:rPr>
          <w:rFonts w:ascii="Times New Roman" w:hAnsi="Times New Roman" w:cs="Times New Roman"/>
          <w:sz w:val="24"/>
          <w:szCs w:val="24"/>
          <w:lang w:val="en-GB"/>
        </w:rPr>
        <w:t>he most frequently mutated gene</w:t>
      </w:r>
      <w:r w:rsidR="00015674" w:rsidRPr="00002888">
        <w:rPr>
          <w:rFonts w:ascii="Times New Roman" w:hAnsi="Times New Roman" w:cs="Times New Roman"/>
          <w:sz w:val="24"/>
          <w:szCs w:val="24"/>
          <w:lang w:val="en-GB"/>
        </w:rPr>
        <w:t xml:space="preserve"> in SMZL</w:t>
      </w:r>
      <w:r w:rsidR="00FB4611" w:rsidRPr="00002888">
        <w:rPr>
          <w:rFonts w:ascii="Times New Roman" w:hAnsi="Times New Roman" w:cs="Times New Roman"/>
          <w:sz w:val="24"/>
          <w:szCs w:val="24"/>
          <w:lang w:val="en-GB"/>
        </w:rPr>
        <w:t xml:space="preserve"> (</w:t>
      </w:r>
      <w:r w:rsidR="3D95CB43" w:rsidRPr="00002888">
        <w:rPr>
          <w:rFonts w:ascii="Times New Roman" w:hAnsi="Times New Roman" w:cs="Times New Roman"/>
          <w:sz w:val="24"/>
          <w:szCs w:val="24"/>
          <w:lang w:val="en-GB"/>
        </w:rPr>
        <w:t>20-40% of cases</w:t>
      </w:r>
      <w:r w:rsidR="00FB4611" w:rsidRPr="00002888">
        <w:rPr>
          <w:rFonts w:ascii="Times New Roman" w:hAnsi="Times New Roman" w:cs="Times New Roman"/>
          <w:sz w:val="24"/>
          <w:szCs w:val="24"/>
          <w:lang w:val="en-GB"/>
        </w:rPr>
        <w:t>)</w:t>
      </w:r>
      <w:r w:rsidR="6B245DBB" w:rsidRPr="00002888">
        <w:rPr>
          <w:rFonts w:ascii="Times New Roman" w:hAnsi="Times New Roman" w:cs="Times New Roman"/>
          <w:sz w:val="24"/>
          <w:szCs w:val="24"/>
          <w:lang w:val="en-GB"/>
        </w:rPr>
        <w:t xml:space="preserve"> </w:t>
      </w:r>
      <w:r w:rsidR="0037735A" w:rsidRPr="00002888">
        <w:rPr>
          <w:rFonts w:ascii="Times New Roman" w:hAnsi="Times New Roman" w:cs="Times New Roman"/>
          <w:sz w:val="24"/>
          <w:szCs w:val="24"/>
          <w:lang w:val="en-GB"/>
        </w:rPr>
        <w:fldChar w:fldCharType="begin" w:fldLock="1"/>
      </w:r>
      <w:r w:rsidR="00310E6F" w:rsidRPr="00002888">
        <w:rPr>
          <w:rFonts w:ascii="Times New Roman" w:hAnsi="Times New Roman" w:cs="Times New Roman"/>
          <w:sz w:val="24"/>
          <w:szCs w:val="24"/>
          <w:lang w:val="en-GB"/>
        </w:rPr>
        <w:instrText>ADDIN CSL_CITATION {"citationItems":[{"id":"ITEM-1","itemData":{"DOI":"10.3324/haematol.2016.161711","ISBN":"0000000000","ISSN":"15928721","PMID":"28522570","author":[{"dropping-particle":"","family":"Campos-Martín","given":"Yolanda","non-dropping-particle":"","parse-names":false,"suffix":""},{"dropping-particle":"","family":"Martínez","given":"Nerea","non-dropping-particle":"","parse-names":false,"suffix":""},{"dropping-particle":"","family":"Martínez-López","given":"Azahara","non-dropping-particle":"","parse-names":false,"suffix":""},{"dropping-particle":"","family":"Cereceda","given":"Laura","non-dropping-particle":"","parse-names":false,"suffix":""},{"dropping-particle":"","family":"Casado","given":"Felipe","non-dropping-particle":"","parse-names":false,"suffix":""},{"dropping-particle":"","family":"Algara","given":"Patrocinio","non-dropping-particle":"","parse-names":false,"suffix":""},{"dropping-particle":"","family":"Oscier","given":"David","non-dropping-particle":"","parse-names":false,"suffix":""},{"dropping-particle":"","family":"Menarguez","given":"Francisco J.","non-dropping-particle":"","parse-names":false,"suffix":""},{"dropping-particle":"","family":"García","given":"Juan F.","non-dropping-particle":"","parse-names":false,"suffix":""},{"dropping-particle":"","family":"Piris","given":"Miguel A.","non-dropping-particle":"","parse-names":false,"suffix":""},{"dropping-particle":"","family":"Mollejo","given":"Manuela","non-dropping-particle":"","parse-names":false,"suffix":""}],"container-title":"Haematologica","id":"ITEM-1","issue":"8","issued":{"date-parts":[["2017"]]},"page":"e310-e312","title":"Clinical and diagnostic relevance of NOTCH2 and KLF2 mutations in splenic marginal zone lymphoma","type":"article-journal","volume":"102"},"uris":["http://www.mendeley.com/documents/?uuid=9b5cb862-695d-468e-ba9f-915befdea2eb"]},{"id":"ITEM-2","itemData":{"DOI":"10.3324/haematol.2016.160192","ISSN":"15928721","PMID":"28751561","abstract":"Splenic diffuse red pulp lymphoma is an indolent small B-cell lymphoma recognized as a provisional entity in the World Health Organization 2008 classification. Its precise relationship to other related splenic B-cell lymphomas with frequent leukemic involvement or other lymphoproliferative disorders remains undetermined. We performed whole-exome sequencing to explore the genetic landscape of ten cases of splenic diffuse red pulp lymphoma using paired tumor and normal samples. A selection of 109 somatic mutations was then evaluated in a cohort including 42 samples of splenic diffuse red pulp lymphoma and compared to those identified in 46 samples of splenic marginal zone lymphoma and eight samples of hairy-cell leukemia. Recurrent mutations or losses in BCOR (the gene encoding the BCL6 corepressor) - frameshift (n=3), nonsense (n=2), splicing site (n=1), and copy number loss (n=4) - were identified in 10/42 samples of splenic diffuse red pulp lymphoma (24%), whereas only one frameshift mutation was identified in 46 cases of splenic marginal zone lymphoma (2%). Inversely, KLF2, TNFAIP3 and MYD88, common mutations in splenic marginal zone lymphoma, were rare (one KLF2 mutant in 42 samples; 2%) or absent (TNFAIP3 and MYD88) in splenic diffuse red pulp lymphoma. These findings define an original genetic profile of splenic diffuse red pulp lymphoma and suggest that the mechanisms of pathogenesis of this lymphoma are distinct from those of splenic marginal zone lymphoma and hairy-cell leukemia.","author":[{"dropping-particle":"","family":"Jallades","given":"Laurent","non-dropping-particle":"","parse-names":false,"suffix":""},{"dropping-particle":"","family":"Baseggio","given":"Lucile","non-dropping-particle":"","parse-names":false,"suffix":""},{"dropping-particle":"","family":"Sujobert","given":"Pierre","non-dropping-particle":"","parse-names":false,"suffix":""},{"dropping-particle":"","family":"Huet","given":"Sarah","non-dropping-particle":"","parse-names":false,"suffix":""},{"dropping-particle":"","family":"Chabane","given":"Kaddour","non-dropping-particle":"","parse-names":false,"suffix":""},{"dropping-particle":"","family":"Callet-Bauchu","given":"Evelyne","non-dropping-particle":"","parse-names":false,"suffix":""},{"dropping-particle":"","family":"Verney","given":"Aurélie","non-dropping-particle":"","parse-names":false,"suffix":""},{"dropping-particle":"","family":"Hayette","given":"Sandrine","non-dropping-particle":"","parse-names":false,"suffix":""},{"dropping-particle":"","family":"Desvignes","given":"Jean Pierre","non-dropping-particle":"","parse-names":false,"suffix":""},{"dropping-particle":"","family":"Salgado","given":"David","non-dropping-particle":"","parse-names":false,"suffix":""},{"dropping-particle":"","family":"Levy","given":"Nicolas","non-dropping-particle":"","parse-names":false,"suffix":""},{"dropping-particle":"","family":"Béroud","given":"Christophe","non-dropping-particle":"","parse-names":false,"suffix":""},{"dropping-particle":"","family":"Felman","given":"Pascale","non-dropping-particle":"","parse-names":false,"suffix":""},{"dropping-particle":"","family":"Berger","given":"Françoise","non-dropping-particle":"","parse-names":false,"suffix":""},{"dropping-particle":"","family":"Magaud","given":"Jean Pierre","non-dropping-particle":"","parse-names":false,"suffix":""},{"dropping-particle":"","family":"Genestier","given":"Laurent","non-dropping-particle":"","parse-names":false,"suffix":""},{"dropping-particle":"","family":"Salles","given":"Gilles","non-dropping-particle":"","parse-names":false,"suffix":""},{"dropping-particle":"","family":"Traverse-Glehen","given":"Alexandra","non-dropping-particle":"","parse-names":false,"suffix":""}],"container-title":"Haematologica","id":"ITEM-2","issue":"10","issued":{"date-parts":[["2017"]]},"page":"1758-1766","title":"Exome sequencing identifies recurrent BCOR alterations and the absence of KLF2, TNFAIP3 and MYD88 mutations in splenic diffuse red pulp small B-cell lymphoma","type":"article-journal","volume":"102"},"uris":["http://www.mendeley.com/documents/?uuid=d0471b34-91db-41e2-a224-20ce1ba43f8f"]},{"id":"ITEM-3","itemData":{"DOI":"10.1038/leu.2014.294","ISBN":"1476-5551 (Electronic) 0887-6924 (Linking)","ISSN":"0887-6924","PMID":"25283840","author":[{"dropping-particle":"","family":"Piva","given":"R.","non-dropping-particle":"","parse-names":false,"suffix":""},{"dropping-particle":"","family":"Deaglio","given":"S.","non-dropping-particle":"","parse-names":false,"suffix":""},{"dropping-particle":"","family":"Famà","given":"R.","non-dropping-particle":"","parse-names":false,"suffix":""},{"dropping-particle":"","family":"Buonincontri","given":"R.","non-dropping-particle":"","parse-names":false,"suffix":""},{"dropping-particle":"","family":"Scarfò","given":"I.","non-dropping-particle":"","parse-names":false,"suffix":""},{"dropping-particle":"","family":"Bruscaggin","given":"A.","non-dropping-particle":"","parse-names":false,"suffix":""},{"dropping-particle":"","family":"Mereu","given":"E.","non-dropping-particle":"","parse-names":false,"suffix":""},{"dropping-particle":"","family":"Serra","given":"S.","non-dropping-particle":"","parse-names":false,"suffix":""},{"dropping-particle":"","family":"Spina","given":"V.","non-dropping-particle":"","parse-names":false,"suffix":""},{"dropping-particle":"","family":"Brusa","given":"D.","non-dropping-particle":"","parse-names":false,"suffix":""},{"dropping-particle":"","family":"Garaffo","given":"G.","non-dropping-particle":"","parse-names":false,"suffix":""},{"dropping-particle":"","family":"Monti","given":"S.","non-dropping-particle":"","parse-names":false,"suffix":""},{"dropping-particle":"","family":"Dal Bo","given":"M.","non-dropping-particle":"","parse-names":false,"suffix":""},{"dropping-particle":"","family":"Marasca","given":"R.","non-dropping-particle":"","parse-names":false,"suffix":""},{"dropping-particle":"","family":"Arcaini","given":"L.","non-dropping-particle":"","parse-names":false,"suffix":""},{"dropping-particle":"","family":"Neri","given":"A.","non-dropping-particle":"","parse-names":false,"suffix":""},{"dropping-particle":"","family":"Gattei","given":"V.","non-dropping-particle":"","parse-names":false,"suffix":""},{"dropping-particle":"","family":"Paulli","given":"M.","non-dropping-particle":"","parse-names":false,"suffix":""},{"dropping-particle":"","family":"Tiacci","given":"E.","non-dropping-particle":"","parse-names":false,"suffix":""},{"dropping-particle":"","family":"Bertoni","given":"F.","non-dropping-particle":"","parse-names":false,"suffix":""},{"dropping-particle":"","family":"Pileri","given":"S. A.","non-dropping-particle":"","parse-names":false,"suffix":""},{"dropping-particle":"","family":"Foà","given":"R.","non-dropping-particle":"","parse-names":false,"suffix":""},{"dropping-particle":"","family":"Inghirami","given":"G.","non-dropping-particle":"","parse-names":false,"suffix":""},{"dropping-particle":"","family":"Gaidano","given":"G.","non-dropping-particle":"","parse-names":false,"suffix":""},{"dropping-particle":"","family":"Rossi","given":"D.","non-dropping-particle":"","parse-names":false,"suffix":""}],"container-title":"Leukemia","id":"ITEM-3","issue":"2","issued":{"date-parts":[["2015","2","6"]]},"page":"503-507","title":"The Krüppel-like factor 2 transcription factor gene is recurrently mutated in splenic marginal zone lymphoma","type":"article-journal","volume":"29"},"uris":["http://www.mendeley.com/documents/?uuid=f6a250b4-7e2b-40aa-a88a-0a5095ee447a"]},{"id":"ITEM-4","itemData":{"DOI":"10.1158/1078-0432.CCR-14-2759","ISSN":"15573265","PMID":"25779943","abstract":"Purpose: Mounting evidence supports the clinical significance of gene mutations and immunogenetic features in common mature B-cell malignancies.\\n\\nExperimental Design: We undertook a detailed characterization of the genetic background of splenic marginal zone lymphoma (SMZL), using targeted resequencing and explored potential clinical implications in a multinational cohort of 175 patients with SMZL.\\n\\nResults: We identified recurrent mutations in TP53 (16%), KLF2 (12%), NOTCH2 (10%), TNFAIP3 (7%), MLL2 (11%), MYD88 (7%), and ARID1A (6%), all genes known to be targeted by somatic mutation in SMZL. KLF2 mutations were early, clonal events, enriched in patients with del(7q) and IGHV1-2*04 B-cell receptor immunoglobulins, and were associated with a short median time to first treatment (0.12 vs. 1.11 years; P = 0.01). In multivariate analysis, mutations in NOTCH2 [HR, 2.12; 95% confidence interval (CI), 1.02–4.4; P = 0.044] and 100% germline IGHV gene identity (HR, 2.19; 95% CI, 1.05–4.55; P = 0.036) were independent markers of short time to first treatment, whereas TP53 mutations were an independent marker of short overall survival (HR, 2.36; 95 % CI, 1.08–5.2; P = 0.03).\\n\\nConclusions: We identify key associations between gene mutations and clinical outcome, demonstrating for the first time that NOTCH2 and TP53 gene mutations are independent markers of reduced treatment-free and overall survival, respectively. Clin Cancer Res; 21(18); 4174–83. ©2015 AACR .","author":[{"dropping-particle":"","family":"Parry","given":"Marina","non-dropping-particle":"","parse-names":false,"suffix":""},{"dropping-particle":"","family":"Rose-Zerilli","given":"Matthew J.J.","non-dropping-particle":"","parse-names":false,"suffix":""},{"dropping-particle":"","family":"Ljungström","given":"Viktor","non-dropping-particle":"","parse-names":false,"suffix":""},{"dropping-particle":"","family":"Gibson","given":"Jane","non-dropping-particle":"","parse-names":false,"suffix":""},{"dropping-particle":"","family":"Wang","given":"Jun","non-dropping-particle":"","parse-names":false,"suffix":""},{"dropping-particle":"","family":"Walewska","given":"Renata","non-dropping-particle":"","parse-names":false,"suffix":""},{"dropping-particle":"","family":"Parker","given":"Helen","non-dropping-particle":"","parse-names":false,"suffix":""},{"dropping-particle":"","family":"Parker","given":"Anton","non-dropping-particle":"","parse-names":false,"suffix":""},{"dropping-particle":"","family":"Davis","given":"Zadie","non-dropping-particle":"","parse-names":false,"suffix":""},{"dropping-particle":"","family":"Gardiner","given":"Anne","non-dropping-particle":"","parse-names":false,"suffix":""},{"dropping-particle":"","family":"McIver-Brown","given":"Neil","non-dropping-particle":"","parse-names":false,"suffix":""},{"dropping-particle":"","family":"Kalpadakis","given":"Christina","non-dropping-particle":"","parse-names":false,"suffix":""},{"dropping-particle":"","family":"Xochelli","given":"Aliki","non-dropping-particle":"","parse-names":false,"suffix":""},{"dropping-particle":"","family":"Anagnostopoulos","given":"Achilles","non-dropping-particle":"","parse-names":false,"suffix":""},{"dropping-particle":"","family":"Fazi","given":"Claudia","non-dropping-particle":"","parse-names":false,"suffix":""},{"dropping-particle":"","family":"Castro","given":"David Gonzalez","non-dropping-particle":"De","parse-names":false,"suffix":""},{"dropping-particle":"","family":"Dearden","given":"Claire","non-dropping-particle":"","parse-names":false,"suffix":""},{"dropping-particle":"","family":"Pratt","given":"Guy","non-dropping-particle":"","parse-names":false,"suffix":""},{"dropping-particle":"","family":"Rosenquist","given":"Richard","non-dropping-particle":"","parse-names":false,"suffix":""},{"dropping-particle":"","family":"Ashton-Key","given":"Margaret","non-dropping-particle":"","parse-names":false,"suffix":""},{"dropping-particle":"","family":"Forconi","given":"Francesco","non-dropping-particle":"","parse-names":false,"suffix":""},{"dropping-particle":"","family":"Collins","given":"Andrew","non-dropping-particle":"","parse-names":false,"suffix":""},{"dropping-particle":"","family":"Ghia","given":"Paolo","non-dropping-particle":"","pars</w:instrText>
      </w:r>
      <w:r w:rsidR="00310E6F" w:rsidRPr="00002888">
        <w:rPr>
          <w:rFonts w:ascii="Times New Roman" w:hAnsi="Times New Roman" w:cs="Times New Roman"/>
          <w:sz w:val="24"/>
          <w:szCs w:val="24"/>
          <w:lang w:val="es-CO"/>
        </w:rPr>
        <w:instrText>e-names":false,"suffix":""},{"dropping-particle":"","family":"Matutes","given":"Estella","non-dropping-particle":"","parse-names":false,"suffix":""},{"dropping-particle":"","family":"Pangalis","given":"Gerassimos","non-dropping-particle":"","parse-names":false,"suffix":""},{"dropping-particle":"","family":"Stamatopoulos","given":"Kostas","non-dropping-particle":"","parse-names":false,"suffix":""},{"dropping-particle":"","family":"Oscier","given":"David","non-dropping-particle":"","parse-names":false,"suffix":""},{"dropping-particle":"","family":"Strefford","given":"Jonathan C.","non-dropping-particle":"","parse-names":false,"suffix":""}],"container-title":"Clinical Cancer Research","id":"ITEM-4","issue":"18","issued":{"date-parts":[["2015"]]},"page":"4174-4183","title":"Genetics and prognostication in splenic marginal zone lymphoma: Revelations from deep sequencing","type":"article-journal","volume":"21"},"uris":["http://www.mendeley.com/documents/?uuid=81509c2c-3e61-4115-bfa1-3ac38fc7fb12"]}],"mendeley":{"formattedCitation":"(Campos-Martín et al., 2017; Jallades et al., 2017; Parry et al., 2015; Piva et al., 2015)","plainTextFormattedCitation":"(Campos-Martín et al., 2017; Jallades et al., 2017; Parry et al., 2015; Piva et al., 2015)","previouslyFormattedCitation":"(Campos-Martín et al., 2017; Jallades et al., 2017; Parry et al., 2015; Piva et al., 2015)"},"properties":{"noteIndex":0},"schema":"https://github.com/citation-style-language/schema/raw/master/csl-citation.json"}</w:instrText>
      </w:r>
      <w:r w:rsidR="0037735A" w:rsidRPr="00002888">
        <w:rPr>
          <w:rFonts w:ascii="Times New Roman" w:hAnsi="Times New Roman" w:cs="Times New Roman"/>
          <w:sz w:val="24"/>
          <w:szCs w:val="24"/>
          <w:lang w:val="en-GB"/>
        </w:rPr>
        <w:fldChar w:fldCharType="separate"/>
      </w:r>
      <w:r w:rsidR="0037735A" w:rsidRPr="00002888">
        <w:rPr>
          <w:rFonts w:ascii="Times New Roman" w:hAnsi="Times New Roman" w:cs="Times New Roman"/>
          <w:noProof/>
          <w:sz w:val="24"/>
          <w:szCs w:val="24"/>
          <w:lang w:val="es-CO"/>
        </w:rPr>
        <w:t>(Campos-Martín et al., 2017; Jallades et al., 2017; Parry et al., 2015; Piva et al., 2015)</w:t>
      </w:r>
      <w:r w:rsidR="0037735A" w:rsidRPr="00002888">
        <w:rPr>
          <w:rFonts w:ascii="Times New Roman" w:hAnsi="Times New Roman" w:cs="Times New Roman"/>
          <w:sz w:val="24"/>
          <w:szCs w:val="24"/>
          <w:lang w:val="en-GB"/>
        </w:rPr>
        <w:fldChar w:fldCharType="end"/>
      </w:r>
      <w:r w:rsidR="3D95CB43" w:rsidRPr="00002888">
        <w:rPr>
          <w:rFonts w:ascii="Times New Roman" w:hAnsi="Times New Roman" w:cs="Times New Roman"/>
          <w:sz w:val="24"/>
          <w:szCs w:val="24"/>
          <w:lang w:val="es-CO"/>
        </w:rPr>
        <w:t>.</w:t>
      </w:r>
      <w:r w:rsidR="2D358829" w:rsidRPr="00002888">
        <w:rPr>
          <w:rFonts w:ascii="Times New Roman" w:hAnsi="Times New Roman" w:cs="Times New Roman"/>
          <w:sz w:val="24"/>
          <w:szCs w:val="24"/>
          <w:lang w:val="es-CO"/>
        </w:rPr>
        <w:t xml:space="preserve"> </w:t>
      </w:r>
      <w:r w:rsidR="00FB4611" w:rsidRPr="00002888">
        <w:rPr>
          <w:rFonts w:ascii="Times New Roman" w:hAnsi="Times New Roman" w:cs="Times New Roman"/>
          <w:sz w:val="24"/>
          <w:szCs w:val="24"/>
          <w:lang w:val="en-GB"/>
        </w:rPr>
        <w:t>The gene</w:t>
      </w:r>
      <w:r w:rsidR="4CF4DCCD" w:rsidRPr="00002888">
        <w:rPr>
          <w:rFonts w:ascii="Times New Roman" w:hAnsi="Times New Roman" w:cs="Times New Roman"/>
          <w:sz w:val="24"/>
          <w:szCs w:val="24"/>
          <w:lang w:val="en-GB"/>
        </w:rPr>
        <w:t xml:space="preserve"> belongs to the family o</w:t>
      </w:r>
      <w:r w:rsidR="00415F8F" w:rsidRPr="00002888">
        <w:rPr>
          <w:rFonts w:ascii="Times New Roman" w:hAnsi="Times New Roman" w:cs="Times New Roman"/>
          <w:sz w:val="24"/>
          <w:szCs w:val="24"/>
          <w:lang w:val="en-GB"/>
        </w:rPr>
        <w:t>f</w:t>
      </w:r>
      <w:r w:rsidR="4CF4DCCD" w:rsidRPr="00002888">
        <w:rPr>
          <w:rFonts w:ascii="Times New Roman" w:hAnsi="Times New Roman" w:cs="Times New Roman"/>
          <w:sz w:val="24"/>
          <w:szCs w:val="24"/>
          <w:lang w:val="en-GB"/>
        </w:rPr>
        <w:t xml:space="preserve"> </w:t>
      </w:r>
      <w:proofErr w:type="spellStart"/>
      <w:r w:rsidR="4CF4DCCD" w:rsidRPr="00002888">
        <w:rPr>
          <w:rFonts w:ascii="Times New Roman" w:hAnsi="Times New Roman" w:cs="Times New Roman"/>
          <w:sz w:val="24"/>
          <w:szCs w:val="24"/>
          <w:lang w:val="en-GB"/>
        </w:rPr>
        <w:t>Kruppel</w:t>
      </w:r>
      <w:proofErr w:type="spellEnd"/>
      <w:r w:rsidR="4CF4DCCD" w:rsidRPr="00002888">
        <w:rPr>
          <w:rFonts w:ascii="Times New Roman" w:hAnsi="Times New Roman" w:cs="Times New Roman"/>
          <w:sz w:val="24"/>
          <w:szCs w:val="24"/>
          <w:lang w:val="en-GB"/>
        </w:rPr>
        <w:t xml:space="preserve">-like </w:t>
      </w:r>
      <w:r w:rsidR="00415F8F" w:rsidRPr="00002888">
        <w:rPr>
          <w:rFonts w:ascii="Times New Roman" w:hAnsi="Times New Roman" w:cs="Times New Roman"/>
          <w:sz w:val="24"/>
          <w:szCs w:val="24"/>
          <w:lang w:val="en-GB"/>
        </w:rPr>
        <w:t xml:space="preserve">transcription </w:t>
      </w:r>
      <w:r w:rsidR="4CF4DCCD" w:rsidRPr="00002888">
        <w:rPr>
          <w:rFonts w:ascii="Times New Roman" w:hAnsi="Times New Roman" w:cs="Times New Roman"/>
          <w:sz w:val="24"/>
          <w:szCs w:val="24"/>
          <w:lang w:val="en-GB"/>
        </w:rPr>
        <w:t xml:space="preserve">factors, a subfamily of the zinc-finger class of DNA binding </w:t>
      </w:r>
      <w:r w:rsidR="00415F8F" w:rsidRPr="00002888">
        <w:rPr>
          <w:rFonts w:ascii="Times New Roman" w:hAnsi="Times New Roman" w:cs="Times New Roman"/>
          <w:sz w:val="24"/>
          <w:szCs w:val="24"/>
          <w:lang w:val="en-GB"/>
        </w:rPr>
        <w:t xml:space="preserve">transcriptional regulators </w:t>
      </w:r>
      <w:r w:rsidR="001A5F09" w:rsidRPr="00002888">
        <w:rPr>
          <w:rFonts w:ascii="Times New Roman" w:hAnsi="Times New Roman" w:cs="Times New Roman"/>
          <w:sz w:val="24"/>
          <w:szCs w:val="24"/>
          <w:lang w:val="en-GB"/>
        </w:rPr>
        <w:fldChar w:fldCharType="begin" w:fldLock="1"/>
      </w:r>
      <w:r w:rsidR="00EB4D78" w:rsidRPr="00002888">
        <w:rPr>
          <w:rFonts w:ascii="Times New Roman" w:hAnsi="Times New Roman" w:cs="Times New Roman"/>
          <w:sz w:val="24"/>
          <w:szCs w:val="24"/>
          <w:lang w:val="en-GB"/>
        </w:rPr>
        <w:instrText>ADDIN CSL_CITATION {"citationItems":[{"id":"ITEM-1","itemData":{"DOI":"10.1016/j.tcm.2004.06.005","ISSN":"1050-1738","PMID":"15451516","abstract":"The Krüppel-like family of transcription factors play diverse roles regulating cellular differentiation and tissue development. Accumulating evidence supports an important role for these factors in vascular biology. This review examines the current knowledge of this gene family's role in key cell types that critically regulate vessel biology under physiologic and pathologic states.","author":[{"dropping-particle":"","family":"Feinberg","given":"Mark W.","non-dropping-particle":"","parse-names":false,"suffix":""},{"dropping-particle":"","family":"Lin","given":"Zhiyong","non-dropping-particle":"","parse-names":false,"suffix":""},{"dropping-particle":"","family":"Fisch","given":"Sudeshna","non-dropping-particle":"","parse-names":false,"suffix":""},{"dropping-particle":"","family":"Jain","given":"Mukesh K.","non-dropping-particle":"","parse-names":false,"suffix":""}],"container-title":"Trends in cardiovascular medicine","id":"ITEM-1","issue":"6","issued":{"date-parts":[["2004","8"]]},"page":"241-6","title":"An emerging role for Krüppel-like factors in vascular biology.","type":"article-journal","volume":"14"},"uris":["http://www.mendeley.com/documents/?uuid=f1b2b8c9-bca4-4a5b-9580-d888e715e642"]}],"mendeley":{"formattedCitation":"(Feinberg et al., 2004)","plainTextFormattedCitation":"(Feinberg et al., 2004)","previouslyFormattedCitation":"(Feinberg et al., 2004)"},"properties":{"noteIndex":0},"schema":"https://github.com/citation-style-language/schema/raw/master/csl-citation.json"}</w:instrText>
      </w:r>
      <w:r w:rsidR="001A5F09" w:rsidRPr="00002888">
        <w:rPr>
          <w:rFonts w:ascii="Times New Roman" w:hAnsi="Times New Roman" w:cs="Times New Roman"/>
          <w:sz w:val="24"/>
          <w:szCs w:val="24"/>
          <w:lang w:val="en-GB"/>
        </w:rPr>
        <w:fldChar w:fldCharType="separate"/>
      </w:r>
      <w:r w:rsidR="00A15967" w:rsidRPr="00002888">
        <w:rPr>
          <w:rFonts w:ascii="Times New Roman" w:hAnsi="Times New Roman" w:cs="Times New Roman"/>
          <w:noProof/>
          <w:sz w:val="24"/>
          <w:szCs w:val="24"/>
          <w:lang w:val="en-GB"/>
        </w:rPr>
        <w:t>(Feinberg et al., 2004)</w:t>
      </w:r>
      <w:r w:rsidR="001A5F09" w:rsidRPr="00002888">
        <w:rPr>
          <w:rFonts w:ascii="Times New Roman" w:hAnsi="Times New Roman" w:cs="Times New Roman"/>
          <w:sz w:val="24"/>
          <w:szCs w:val="24"/>
          <w:lang w:val="en-GB"/>
        </w:rPr>
        <w:fldChar w:fldCharType="end"/>
      </w:r>
      <w:r w:rsidR="00FA255F" w:rsidRPr="00002888">
        <w:rPr>
          <w:rFonts w:ascii="Times New Roman" w:hAnsi="Times New Roman" w:cs="Times New Roman"/>
          <w:sz w:val="24"/>
          <w:szCs w:val="24"/>
          <w:lang w:val="en-GB"/>
        </w:rPr>
        <w:t>.</w:t>
      </w:r>
      <w:r w:rsidR="00415F8F" w:rsidRPr="00002888">
        <w:rPr>
          <w:rFonts w:ascii="Times New Roman" w:hAnsi="Times New Roman" w:cs="Times New Roman"/>
          <w:sz w:val="24"/>
          <w:szCs w:val="24"/>
          <w:lang w:val="en-GB"/>
        </w:rPr>
        <w:t xml:space="preserve"> </w:t>
      </w:r>
      <w:r w:rsidR="00F52866" w:rsidRPr="00002888">
        <w:rPr>
          <w:rFonts w:ascii="Times New Roman" w:hAnsi="Times New Roman" w:cs="Times New Roman"/>
          <w:sz w:val="24"/>
          <w:szCs w:val="24"/>
          <w:lang w:val="en-GB"/>
        </w:rPr>
        <w:t>KLF2 directly binds to promoters regulating the expression of genes involved in cell homing, NF</w:t>
      </w:r>
      <w:r w:rsidR="00A44284" w:rsidRPr="00002888">
        <w:rPr>
          <w:rFonts w:ascii="Times New Roman" w:hAnsi="Times New Roman" w:cs="Times New Roman"/>
          <w:sz w:val="24"/>
          <w:szCs w:val="24"/>
          <w:lang w:val="en-GB"/>
        </w:rPr>
        <w:t>-</w:t>
      </w:r>
      <w:proofErr w:type="spellStart"/>
      <w:r w:rsidR="00A44284" w:rsidRPr="00002888">
        <w:rPr>
          <w:rFonts w:ascii="Times New Roman" w:hAnsi="Times New Roman" w:cs="Times New Roman"/>
          <w:sz w:val="24"/>
          <w:szCs w:val="24"/>
          <w:lang w:val="en-GB"/>
        </w:rPr>
        <w:t>κ</w:t>
      </w:r>
      <w:r w:rsidR="00F52866" w:rsidRPr="00002888">
        <w:rPr>
          <w:rFonts w:ascii="Times New Roman" w:hAnsi="Times New Roman" w:cs="Times New Roman"/>
          <w:sz w:val="24"/>
          <w:szCs w:val="24"/>
          <w:lang w:val="en-GB"/>
        </w:rPr>
        <w:t>B</w:t>
      </w:r>
      <w:proofErr w:type="spellEnd"/>
      <w:r w:rsidR="00F52866" w:rsidRPr="00002888">
        <w:rPr>
          <w:rFonts w:ascii="Times New Roman" w:hAnsi="Times New Roman" w:cs="Times New Roman"/>
          <w:sz w:val="24"/>
          <w:szCs w:val="24"/>
          <w:lang w:val="en-GB"/>
        </w:rPr>
        <w:t xml:space="preserve"> signalling and cell cycle control </w:t>
      </w:r>
      <w:r w:rsidR="000D0F7C" w:rsidRPr="00002888">
        <w:rPr>
          <w:rFonts w:ascii="Times New Roman" w:hAnsi="Times New Roman" w:cs="Times New Roman"/>
          <w:sz w:val="24"/>
          <w:szCs w:val="24"/>
          <w:lang w:val="en-GB"/>
        </w:rPr>
        <w:fldChar w:fldCharType="begin" w:fldLock="1"/>
      </w:r>
      <w:r w:rsidR="00A67828" w:rsidRPr="00002888">
        <w:rPr>
          <w:rFonts w:ascii="Times New Roman" w:hAnsi="Times New Roman" w:cs="Times New Roman"/>
          <w:sz w:val="24"/>
          <w:szCs w:val="24"/>
          <w:lang w:val="en-GB"/>
        </w:rPr>
        <w:instrText>ADDIN CSL_CITATION {"citationItems":[{"id":"ITEM-1","itemData":{"DOI":"10.1016/S1357-2725(00)00059-5","ISSN":"13572725","PMID":"11137451","abstract":"Recent advances in molecular cloning have led to the identification of a large number of mammalian zinc finger-containing transcription factors that exhibit homology to the Drosophila melanogaster protein, Krüppel. Although the amino acid sequences in the zinc finger domains of these Krüppel-like factors (KLFs) are closely related to one another, the regions outside the zinc fingers of the proteins are usually unique. KLFs display seemingly different and broad biological properties with each functioning as an activator of transcription, a repressor or both. This review article provides a current phylogenetic classification of the identified KLFs to date. More importantly, the currently known biological activities of the KLFs in regulating transcription, cell proliferation, differentiation and development are summarized and compared. Further characterization of this interesting protein family should provide additional insights into the their respective regulatory role in various important biological processes. © 2000 Elsevier Science Ltd.","author":[{"dropping-particle":"","family":"Dang","given":"Duyen T.","non-dropping-particle":"","parse-names":false,"suffix":""},{"dropping-particle":"","family":"Pevsner","given":"Jonathan","non-dropping-particle":"","parse-names":false,"suffix":""},{"dropping-particle":"","family":"Yang","given":"Vincent W.","non-dropping-particle":"","parse-names":false,"suffix":""}],"container-title":"The International Journal of Biochemistry &amp; Cell Biology","id":"ITEM-1","issue":"11-12","issued":{"date-parts":[["2000","12"]]},"page":"1103-1121","title":"The biology of the mammalian Krüppel-like family of transcription factors","type":"article-journal","volume":"32"},"uris":["http://www.mendeley.com/documents/?uuid=7fd22484-4a37-48c0-86f3-3c5cbc4b4463"]},{"id":"ITEM-2","itemData":{"DOI":"10.1038/leu.2014.330","ISSN":"14765551","PMID":"25428260","abstract":"To characterise the genetics of splenic marginal zone lymphoma (SMZL), we performed whole exome sequencing of 16 cases and identified novel recurrent inactivating mutations in Kruppel-like factor 2 (KLF2), a gene whose deficiency was previously shown to cause splenic marginal zone hyperplasia in mice. KLF2 mutation was found in 40 (42%) of 96 SMZLs, but rarely in other B-cell lymphomas. The majority of KLF2 mutations were frameshift indels or nonsense changes, with missense mutations clustered in the C-terminal zinc finger domains. Functional assays showed that these mutations inactivated the ability of KLF2 to suppress NF-κB activation by TLR, BCR, BAFFR and TNFR signalling. Further extensive investigations revealed common and distinct genetic changes between SMZL with and without KLF2 mutation. IGHV1-2 rearrangement and 7q deletion were primarily seen in SMZL with KLF2 mutation, while MYD88 and TP53 mutations were nearly exclusively found in those without KLF2 mutation. NOTCH2, TRAF3, TNFAIP3 and CARD11 mutations were observed in SMZL both with and without KLF2 mutation. Taken together, KLF2 mutation is the most common genetic change in SMZL and identifies a subset with a distinct genotype characterised by multi-genetic changes. These different genetic changes may deregulate various signalling pathways and generate cooperative oncogenic properties, thereby contributing to lymphomagenesis.","author":[{"dropping-particle":"","family":"Clipson","given":"A.","non-dropping-particle":"","parse-names":false,"suffix":""},{"dropping-particle":"","family":"Wang","given":"M.","non-dropping-particle":"","parse-names":false,"suffix":""},{"dropping-particle":"","family":"Leval","given":"L.","non-dropping-particle":"De","parse-names":false,"suffix":""},{"dropping-particle":"","family":"Ashton-Key","given":"M.","non-dropping-particle":"","parse-names":false,"suffix":""},{"dropping-particle":"","family":"Wotherspoon","given":"A.","non-dropping-particle":"","parse-names":false,"suffix":""},{"dropping-particle":"","family":"Vassiliou","given":"G.","non-dropping-particle":"","parse-names":false,"suffix":""},{"dropping-particle":"","family":"Bolli","given":"N.","non-dropping-particle":"","parse-names":false,"suffix":""},{"dropping-particle":"","family":"Grove","given":"C.","non-dropping-particle":"","parse-names":false,"suffix":""},{"dropping-particle":"","family":"Moody","given":"S.","non-dropping-particle":"","parse-names":false,"suffix":""},{"dropping-particle":"","family":"Escudero-Ibarz","given":"L.","non-dropping-particle":"","parse-names":false,"suffix":""},{"dropping-particle":"","family":"Gundem","given":"G.","non-dropping-particle":"","parse-names":false,"suffix":""},{"dropping-particle":"","family":"Brugger","given":"K.","non-dropping-particle":"","parse-names":false,"suffix":""},{"dropping-particle":"","family":"Xue","given":"X.","non-dropping-particle":"","parse-names":false,"suffix":""},{"dropping-particle":"","family":"Mi","given":"E.","non-dropping-particle":"","parse-names":false,"suffix":""},{"dropping-particle":"","family":"Bench","given":"A.","non-dropping-particle":"","parse-names":false,"suffix":""},{"dropping-particle":"","family":"Scott","given":"M.","non-dropping-particle":"","parse-names":false,"suffix":""},{"dropping-particle":"","family":"Liu","given":"H.","non-dropping-particle":"","parse-names":false,"suffix":""},{"dropping-particle":"","family":"Follows","given":"G.","non-dropping-particle":"","parse-names":false,"suffix":""},{"dropping-particle":"","family":"Robles","given":"E. F.","non-dropping-particle":"","parse-names":false,"suffix":""},{"dropping-particle":"","family":"Martinez-Climent","given":"J. A.","non-dropping-particle":"","parse-names":false,"suffix":""},{"dropping-particle":"","family":"Oscier","given":"D.","non-dropping-particle":"","parse-names":false,"suffix":""},{"dropping-particle":"","family":"Watkins","given":"A. J.","non-dropping-particle":"","parse-names":false,"suffix":""},{"dropping-particle":"","family":"Du","given":"M. Q.","non-dropping-particle":"","parse-names":false,"suffix":""}],"container-title":"Leukemia","id":"ITEM-2","issue":"5","issued":{"date-parts":[["2015"]]},"page":"1177-1185","title":"KLF2 mutation is the most frequent somatic change in splenic marginal zone lymphoma and identifies a subset with distinct genotype","type":"article-journal","volume":"29"},"uris":["http://www.mendeley.com/documents/?uuid=9a03fc8c-403a-4b3d-8ecb-3673a4b13433"]}],"mendeley":{"formattedCitation":"(Clipson et al., 2015; Dang et al., 2000)","plainTextFormattedCitation":"(Clipson et al., 2015; Dang et al., 2000)","previouslyFormattedCitation":"(Clipson et al., 2015; Dang et al., 2000)"},"properties":{"noteIndex":0},"schema":"https://github.com/citation-style-language/schema/raw/master/csl-citation.json"}</w:instrText>
      </w:r>
      <w:r w:rsidR="000D0F7C" w:rsidRPr="00002888">
        <w:rPr>
          <w:rFonts w:ascii="Times New Roman" w:hAnsi="Times New Roman" w:cs="Times New Roman"/>
          <w:sz w:val="24"/>
          <w:szCs w:val="24"/>
          <w:lang w:val="en-GB"/>
        </w:rPr>
        <w:fldChar w:fldCharType="separate"/>
      </w:r>
      <w:r w:rsidR="007B786E" w:rsidRPr="00002888">
        <w:rPr>
          <w:rFonts w:ascii="Times New Roman" w:hAnsi="Times New Roman" w:cs="Times New Roman"/>
          <w:noProof/>
          <w:sz w:val="24"/>
          <w:szCs w:val="24"/>
          <w:lang w:val="en-GB"/>
        </w:rPr>
        <w:t>(Clipson et al., 2015; Dang et al., 2000)</w:t>
      </w:r>
      <w:r w:rsidR="000D0F7C" w:rsidRPr="00002888">
        <w:rPr>
          <w:rFonts w:ascii="Times New Roman" w:hAnsi="Times New Roman" w:cs="Times New Roman"/>
          <w:sz w:val="24"/>
          <w:szCs w:val="24"/>
          <w:lang w:val="en-GB"/>
        </w:rPr>
        <w:fldChar w:fldCharType="end"/>
      </w:r>
      <w:r w:rsidR="3D35DACF" w:rsidRPr="00002888">
        <w:rPr>
          <w:rFonts w:ascii="Times New Roman" w:hAnsi="Times New Roman" w:cs="Times New Roman"/>
          <w:sz w:val="24"/>
          <w:szCs w:val="24"/>
          <w:lang w:val="en-GB"/>
        </w:rPr>
        <w:t xml:space="preserve">. </w:t>
      </w:r>
      <w:r w:rsidR="00F9097F" w:rsidRPr="00002888">
        <w:rPr>
          <w:rFonts w:ascii="Times New Roman" w:hAnsi="Times New Roman" w:cs="Times New Roman"/>
          <w:sz w:val="24"/>
          <w:szCs w:val="24"/>
          <w:lang w:val="en-GB"/>
        </w:rPr>
        <w:t xml:space="preserve">In murine systems, loss of KLF2 drives the germinal cells to a MZ-like phenotype and preclusion of migration to the splenic MZ </w:t>
      </w:r>
      <w:r w:rsidR="00F9097F" w:rsidRPr="00002888">
        <w:rPr>
          <w:rFonts w:ascii="Times New Roman" w:hAnsi="Times New Roman" w:cs="Times New Roman"/>
          <w:sz w:val="24"/>
          <w:szCs w:val="24"/>
          <w:lang w:val="en-GB"/>
        </w:rPr>
        <w:fldChar w:fldCharType="begin" w:fldLock="1"/>
      </w:r>
      <w:r w:rsidR="00F9097F" w:rsidRPr="00002888">
        <w:rPr>
          <w:rFonts w:ascii="Times New Roman" w:hAnsi="Times New Roman" w:cs="Times New Roman"/>
          <w:sz w:val="24"/>
          <w:szCs w:val="24"/>
          <w:lang w:val="en-GB"/>
        </w:rPr>
        <w:instrText>ADDIN CSL_CITATION {"citationItems":[{"id":"ITEM-1","itemData":{"DOI":"10.1073/pnas.1013168108","ISSN":"1091-6490","PMID":"21187410","abstract":"The transcription factor Krüppel-like factor 2 (KLF2) is critical for normal trafficking of T lymphocytes, but its role in B cells is unclear. We report that B cell-specific KLF2 deficiency leads to decreased expression of the trafficking molecules CD62L and β7-integrin, yet expression of sphingosine-1 phosphate receptor 1 (which is a critical target of KLF2 in T cells) was, unexpectedly, minimally altered. Unexpectedly, Klf2 deletion led to a drastic reduction in the B1 B-cell pool and a substantial increase in transitional and marginal zone B-cell numbers. In addition, we observed that KLF2-deficient B cells showed increased apoptosis and impaired proliferation after B-cell receptor cross-linking. Gene expression analysis indicated that KLF2-deficient follicular B cells display numerous characteristics shared by normal marginal zone B cells, including reduced expression of several signaling molecules that may contribute to defective activation of these cells. Hence, our data indicate that KLF2 plays a critical role in dictating normal subset differentiation and functional reactivity of mature B cells.","author":[{"dropping-particle":"","family":"Hart","given":"Geoffrey T.","non-dropping-particle":"","parse-names":false,"suffix":""},{"dropping-particle":"","family":"Wang","given":"Xiaodan","non-dropping-particle":"","parse-names":false,"suffix":""},{"dropping-particle":"","family":"Hogquist","given":"Kristin A.","non-dropping-particle":"","parse-names":false,"suffix":""},{"dropping-particle":"","family":"Jameson","given":"Stephen C.","non-dropping-particle":"","parse-names":false,"suffix":""}],"container-title":"Proceedings of the National Academy of Sciences of the United States of America","id":"ITEM-1","issue":"2","issued":{"date-parts":[["2011","1","11"]]},"page":"716-21","title":"Krüppel-like factor 2 (KLF2) regulates B-cell reactivity, subset differentiation, and trafficking molecule expression.","type":"article-journal","volume":"108"},"uris":["http://www.mendeley.com/documents/?uuid=53a3a0e7-2a69-45a3-b8f9-612b36dccf37"]},{"id":"ITEM-2","itemData":{"DOI":"10.1073/pnas.1012858108","ISSN":"1091-6490","PMID":"21187409","abstract":"Krüppel-like factor 2 (KLF2) controls T lymphocyte egress from lymphoid organs by regulating sphingosin-1 phosphate receptor 1 (S1Pr1). Here we show that this is not the case for B cells. Instead, KLF2 controls homeostasis of B cells in peripheral lymphatic organs and homing of plasma cells to the bone marrow, presumably by controlling the expression of β(7)-integrin. In mice with a B cell-specific deletion of KLF2, S1Pr1 expression on B cells was only slightly affected. Accordingly, all splenic B cell subsets including B1 cells were present, but their numbers were increased with a clear bias for marginal zone (MZ) B cells. In contrast, fewer peyers patches harboring fewer B cells were found, and fewer B1 cells in the peritoneal cavity as well as recirculating B cells in the bone marrow were detected. Upon thymus-dependent immunization, IgG titers were diminished, and antigen-specific plasma cells were absent in the bone marrow, although numbers of antigen-specific splenic plasmablasts were normal. KLF2 plays also a role in determining the identity of follicular B cells, as KLF2-deficient follicular B cells showed calcium responses similar to those of MZ B cells and failed to down-regulate MZ B cell signature genes, such as CD21 and CXCR7.","author":[{"dropping-particle":"","family":"Winkelmann","given":"Rebecca","non-dropping-particle":"","parse-names":false,"suffix":""},{"dropping-particle":"","family":"Sandrock","given":"Lena","non-dropping-particle":"","parse-names":false,"suffix":""},{"dropping-particle":"","family":"Porstner","given":"Martina","non-dropping-particle":"","parse-names":false,"suffix":""},{"dropping-particle":"","family":"Roth","given":"Edith","non-dropping-particle":"","parse-names":false,"suffix":""},{"dropping-particle":"","family":"Mathews","given":"Martina","non-dropping-particle":"","parse-names":false,"suffix":""},{"dropping-particle":"","family":"Hobeika","given":"Elias","non-dropping-particle":"","parse-names":false,"suffix":""},{"dropping-particle":"","family":"Reth","given":"Michael","non-dropping-particle":"","parse-names":false,"suffix":""},{"dropping-particle":"","family":"Kahn","given":"Mark L.","non-dropping-particle":"","parse-names":false,"suffix":""},{"dropping-particle":"","family":"Schuh","given":"Wolfgang","non-dropping-particle":"","parse-names":false,"suffix":""},{"dropping-particle":"","family":"Jäck","given":"Hans-Martin","non-dropping-particle":"","parse-names":false,"suffix":""}],"container-title":"Proceedings of the National Academy of Sciences of the United States of America","id":"ITEM-2","issue":"2","issued":{"date-parts":[["2011","1","11"]]},"page":"710-5","title":"B cell homeostasis and plasma cell homing controlled by Krüppel-like factor 2.","type":"article-journal","volume":"108"},"uris":["http://www.mendeley.com/documents/?uuid=9e4ec468-b688-4409-ae0f-d4438449fcb0"]},{"id":"ITEM-3","itemData":{"DOI":"10.1016/j.immuni.2010.07.016","ISSN":"10747613","PMID":"20691614","abstract":"Follicular (FO) and marginal zone (MZ) B cells are maintained in distinct locations within the spleen, but the genetic basis for this separation is still enigmatic. We now report that B cell sequestration requires lineage-specific regulation of migratory receptors by the transcription factor Klf2. Moreover, using gene-targeted mice we show that altered splenic B cell migration confers a significant in vivo gain-of-function phenotype to FO B cells, including the ability to quickly respond to MZ-associated antigens and pathogens in a T cell-dependent manner. This work demonstrates that in wild-type animals, naive FO B cells are actively removed from the MZ, thus restricting their capacity to respond to blood-borne pathogens. © 2010 Elsevier Inc.","author":[{"dropping-particle":"","family":"Hoek","given":"Kristen L.","non-dropping-particle":"","parse-names":false,"suffix":""},{"dropping-particle":"","family":"Gordy","given":"Laura E.","non-dropping-particle":"","parse-names":false,"suffix":""},{"dropping-particle":"","family":"Collins","given":"Patrick L.","non-dropping-particle":"","parse-names":false,"suffix":""},{"dropping-particle":"V.","family":"Parekh","given":"Vrajesh","non-dropping-particle":"","parse-names":false,"suffix":""},{"dropping-particle":"","family":"Aune","given":"Thomas M.","non-dropping-particle":"","parse-names":false,"suffix":""},{"dropping-particle":"","family":"Joyce","given":"Sebastian","non-dropping-particle":"","parse-names":false,"suffix":""},{"dropping-particle":"","family":"Thomas","given":"James W.","non-dropping-particle":"","parse-names":false,"suffix":""},{"dropping-particle":"","family":"Kaer","given":"Luc","non-dropping-particle":"Van","parse-names":false,"suffix":""},{"dropping-particle":"","family":"Sebzda","given":"Eric","non-dropping-particle":"","parse-names":false,"suffix":""}],"container-title":"Immunity","id":"ITEM-3","issue":"2","issued":{"date-parts":[["2010","8"]]},"page":"254-265","publisher":"Elsevier Ltd","title":"Follicular B Cell Trafficking within the Spleen Actively Restricts Humoral Immune Responses","type":"article-journal","volume":"33"},"uris":["http://www.mendeley.com/documents/?uuid=e1b49a29-b201-4146-b58f-710dcb11800c"]}],"mendeley":{"formattedCitation":"(Hart et al., 2011; Hoek et al., 2010; Winkelmann et al., 2011)","plainTextFormattedCitation":"(Hart et al., 2011; Hoek et al., 2010; Winkelmann et al., 2011)","previouslyFormattedCitation":"(Hart et al., 2011; Hoek et al., 2010; Winkelmann et al., 2011)"},"properties":{"noteIndex":0},"schema":"https://github.com/citation-style-language/schema/raw/master/csl-citation.json"}</w:instrText>
      </w:r>
      <w:r w:rsidR="00F9097F" w:rsidRPr="00002888">
        <w:rPr>
          <w:rFonts w:ascii="Times New Roman" w:hAnsi="Times New Roman" w:cs="Times New Roman"/>
          <w:sz w:val="24"/>
          <w:szCs w:val="24"/>
          <w:lang w:val="en-GB"/>
        </w:rPr>
        <w:fldChar w:fldCharType="separate"/>
      </w:r>
      <w:r w:rsidR="00F9097F" w:rsidRPr="00002888">
        <w:rPr>
          <w:rFonts w:ascii="Times New Roman" w:hAnsi="Times New Roman" w:cs="Times New Roman"/>
          <w:noProof/>
          <w:sz w:val="24"/>
          <w:szCs w:val="24"/>
          <w:lang w:val="en-GB"/>
        </w:rPr>
        <w:t>(Hart et al., 2011; Hoek et al., 2010; Winkelmann et al., 2011)</w:t>
      </w:r>
      <w:r w:rsidR="00F9097F" w:rsidRPr="00002888">
        <w:rPr>
          <w:rFonts w:ascii="Times New Roman" w:hAnsi="Times New Roman" w:cs="Times New Roman"/>
          <w:sz w:val="24"/>
          <w:szCs w:val="24"/>
          <w:lang w:val="en-GB"/>
        </w:rPr>
        <w:fldChar w:fldCharType="end"/>
      </w:r>
      <w:r w:rsidR="00F9097F" w:rsidRPr="00002888">
        <w:rPr>
          <w:rFonts w:ascii="Times New Roman" w:hAnsi="Times New Roman" w:cs="Times New Roman"/>
          <w:sz w:val="24"/>
          <w:szCs w:val="24"/>
          <w:lang w:val="en-GB"/>
        </w:rPr>
        <w:t>, thereby preventing germinal centre B-cell responses to antigens in the MZ. Nuclear localization of the KLF2 protein and consequent DNA binding require three C-terminal highly conserved zinc finger domains and two nuclear localization sequences, respectively.</w:t>
      </w:r>
      <w:r w:rsidR="001065C3" w:rsidRPr="00002888">
        <w:rPr>
          <w:rFonts w:ascii="Times New Roman" w:hAnsi="Times New Roman" w:cs="Times New Roman"/>
          <w:sz w:val="24"/>
          <w:szCs w:val="24"/>
          <w:lang w:val="en-GB"/>
        </w:rPr>
        <w:t xml:space="preserve"> </w:t>
      </w:r>
      <w:r w:rsidR="00CE6824" w:rsidRPr="00002888">
        <w:rPr>
          <w:rFonts w:ascii="Times New Roman" w:hAnsi="Times New Roman" w:cs="Times New Roman"/>
          <w:sz w:val="24"/>
          <w:szCs w:val="24"/>
          <w:lang w:val="en-GB"/>
        </w:rPr>
        <w:t>Gene mutations can be missense substitutions or truncating events</w:t>
      </w:r>
      <w:r w:rsidR="002F3CA5" w:rsidRPr="00002888">
        <w:rPr>
          <w:rFonts w:ascii="Times New Roman" w:hAnsi="Times New Roman" w:cs="Times New Roman"/>
          <w:sz w:val="24"/>
          <w:szCs w:val="24"/>
          <w:lang w:val="en-GB"/>
        </w:rPr>
        <w:t xml:space="preserve"> (</w:t>
      </w:r>
      <w:r w:rsidR="002F3CA5" w:rsidRPr="00002888">
        <w:rPr>
          <w:rFonts w:ascii="Times New Roman" w:hAnsi="Times New Roman" w:cs="Times New Roman"/>
          <w:b/>
          <w:sz w:val="24"/>
          <w:szCs w:val="24"/>
          <w:lang w:val="en-GB"/>
        </w:rPr>
        <w:t>Figure 3</w:t>
      </w:r>
      <w:r w:rsidR="002F3CA5" w:rsidRPr="00002888">
        <w:rPr>
          <w:rFonts w:ascii="Times New Roman" w:hAnsi="Times New Roman" w:cs="Times New Roman"/>
          <w:sz w:val="24"/>
          <w:szCs w:val="24"/>
          <w:lang w:val="en-GB"/>
        </w:rPr>
        <w:t>)</w:t>
      </w:r>
      <w:r w:rsidR="00CE6824" w:rsidRPr="00002888">
        <w:rPr>
          <w:rFonts w:ascii="Times New Roman" w:hAnsi="Times New Roman" w:cs="Times New Roman"/>
          <w:sz w:val="24"/>
          <w:szCs w:val="24"/>
          <w:lang w:val="en-GB"/>
        </w:rPr>
        <w:t xml:space="preserve">, where the latter often results in the removal of the nuclear localization sequences </w:t>
      </w:r>
      <w:r w:rsidR="00CE6824" w:rsidRPr="00002888">
        <w:rPr>
          <w:rFonts w:ascii="Times New Roman" w:hAnsi="Times New Roman" w:cs="Times New Roman"/>
          <w:sz w:val="24"/>
          <w:szCs w:val="24"/>
          <w:lang w:val="en-GB"/>
        </w:rPr>
        <w:fldChar w:fldCharType="begin" w:fldLock="1"/>
      </w:r>
      <w:r w:rsidR="00CE6824" w:rsidRPr="00002888">
        <w:rPr>
          <w:rFonts w:ascii="Times New Roman" w:hAnsi="Times New Roman" w:cs="Times New Roman"/>
          <w:sz w:val="24"/>
          <w:szCs w:val="24"/>
          <w:lang w:val="en-GB"/>
        </w:rPr>
        <w:instrText>ADDIN CSL_CITATION {"citationItems":[{"id":"ITEM-1","itemData":{"DOI":"10.1038/leu.2014.330","ISSN":"14765551","PMID":"25428260","abstract":"To characterise the genetics of splenic marginal zone lymphoma (SMZL), we performed whole exome sequencing of 16 cases and identified novel recurrent inactivating mutations in Kruppel-like factor 2 (KLF2), a gene whose deficiency was previously shown to cause splenic marginal zone hyperplasia in mice. KLF2 mutation was found in 40 (42%) of 96 SMZLs, but rarely in other B-cell lymphomas. The majority of KLF2 mutations were frameshift indels or nonsense changes, with missense mutations clustered in the C-terminal zinc finger domains. Functional assays showed that these mutations inactivated the ability of KLF2 to suppress NF-κB activation by TLR, BCR, BAFFR and TNFR signalling. Further extensive investigations revealed common and distinct genetic changes between SMZL with and without KLF2 mutation. IGHV1-2 rearrangement and 7q deletion were primarily seen in SMZL with KLF2 mutation, while MYD88 and TP53 mutations were nearly exclusively found in those without KLF2 mutation. NOTCH2, TRAF3, TNFAIP3 and CARD11 mutations were observed in SMZL both with and without KLF2 mutation. Taken together, KLF2 mutation is the most common genetic change in SMZL and identifies a subset with a distinct genotype characterised by multi-genetic changes. These different genetic changes may deregulate various signalling pathways and generate cooperative oncogenic properties, thereby contributing to lymphomagenesis.","author":[{"dropping-particle":"","family":"Clipson","given":"A.","non-dropping-particle":"","parse-names":false,"suffix":""},{"dropping-particle":"","family":"Wang","given":"M.","non-dropping-particle":"","parse-names":false,"suffix":""},{"dropping-particle":"","family":"Leval","given":"L.","non-dropping-particle":"De","parse-names":false,"suffix":""},{"dropping-particle":"","family":"Ashton-Key","given":"M.","non-dropping-particle":"","parse-names":false,"suffix":""},{"dropping-particle":"","family":"Wotherspoon","given":"A.","non-dropping-particle":"","parse-names":false,"suffix":""},{"dropping-particle":"","family":"Vassiliou","given":"G.","non-dropping-particle":"","parse-names":false,"suffix":""},{"dropping-particle":"","family":"Bolli","given":"N.","non-dropping-particle":"","parse-names":false,"suffix":""},{"dropping-particle":"","family":"Grove","given":"C.","non-dropping-particle":"","parse-names":false,"suffix":""},{"dropping-particle":"","family":"Moody","given":"S.","non-dropping-particle":"","parse-names":false,"suffix":""},{"dropping-particle":"","family":"Escudero-Ibarz","given":"L.","non-dropping-particle":"","parse-names":false,"suffix":""},{"dropping-particle":"","family":"Gundem","given":"G.","non-dropping-particle":"","parse-names":false,"suffix":""},{"dropping-particle":"","family":"Brugger","given":"K.","non-dropping-particle":"","parse-names":false,"suffix":""},{"dropping-particle":"","family":"Xue","given":"X.","non-dropping-particle":"","parse-names":false,"suffix":""},{"dropping-particle":"","family":"Mi","given":"E.","non-dropping-particle":"","parse-names":false,"suffix":""},{"dropping-particle":"","family":"Bench","given":"A.","non-dropping-particle":"","parse-names":false,"suffix":""},{"dropping-particle":"","family":"Scott","given":"M.","non-dropping-particle":"","parse-names":false,"suffix":""},{"dropping-particle":"","family":"Liu","given":"H.","non-dropping-particle":"","parse-names":false,"suffix":""},{"dropping-particle":"","family":"Follows","given":"G.","non-dropping-particle":"","parse-names":false,"suffix":""},{"dropping-particle":"","family":"Robles","given":"E. F.","non-dropping-particle":"","parse-names":false,"suffix":""},{"dropping-particle":"","family":"Martinez-Climent","given":"J. A.","non-dropping-particle":"","parse-names":false,"suffix":""},{"dropping-particle":"","family":"Oscier","given":"D.","non-dropping-particle":"","parse-names":false,"suffix":""},{"dropping-particle":"","family":"Watkins","given":"A. J.","non-dropping-particle":"","parse-names":false,"suffix":""},{"dropping-particle":"","family":"Du","given":"M. Q.","non-dropping-particle":"","parse-names":false,"suffix":""}],"container-title":"Leukemia","id":"ITEM-1","issue":"5","issued":{"date-parts":[["2015"]]},"page":"1177-1185","title":"KLF2 mutation is the most frequent somatic change in splenic marginal zone lymphoma and identifies a subset with distinct genotype","type":"article-journal","volume":"29"},"uris":["http://www.mendeley.com/documents/?uuid=9a03fc8c-403a-4b3d-8ecb-3673a4b13433"]},{"id":"ITEM-2","itemData":{"DOI":"10.1158/1078-0432.CCR-14-2759","ISSN":"15573265","PMID":"25779943","abstract":"Purpose: Mounting evidence supports the clinical significance of gene mutations and immunogenetic features in common mature B-cell malignancies.\\n\\nExperimental Design: We undertook a detailed characterization of the genetic background of splenic marginal zone lymphoma (SMZL), using targeted resequencing and explored potential clinical implications in a multinational cohort of 175 patients with SMZL.\\n\\nResults: We identified recurrent mutations in TP53 (16%), KLF2 (12%), NOTCH2 (10%), TNFAIP3 (7%), MLL2 (11%), MYD88 (7%), and ARID1A (6%), all genes known to be targeted by somatic mutation in SMZL. KLF2 mutations were early, clonal events, enriched in patients with del(7q) and IGHV1-2*04 B-cell receptor immunoglobulins, and were associated with a short median time to first treatment (0.12 vs. 1.11 years; P = 0.01). In multivariate analysis, mutations in NOTCH2 [HR, 2.12; 95% confidence interval (CI), 1.02–4.4; P = 0.044] and 100% germline IGHV gene identity (HR, 2.19; 95% CI, 1.05–4.55; P = 0.036) were independent markers of short time to first treatment, whereas TP53 mutations were an independent marker of short overall survival (HR, 2.36; 95 % CI, 1.08–5.2; P = 0.03).\\n\\nConclusions: We identify key associations between gene mutations and clinical outcome, demonstrating for the first time that NOTCH2 and TP53 gene mutations are independent markers of reduced treatment-free and overall survival, respectively. Clin Cancer Res; 21(18); 4174–83. ©2015 AACR .","author":[{"dropping-particle":"","family":"Parry","given":"Marina","non-dropping-particle":"","parse-names":false,"suffix":""},{"dropping-particle":"","family":"Rose-Zerilli","given":"Matthew J.J.","non-dropping-particle":"","parse-names":false,"suffix":""},{"dropping-particle":"","family":"Ljungström","given":"Viktor","non-dropping-particle":"","parse-names":false,"suffix":""},{"dropping-particle":"","family":"Gibson","given":"Jane","non-dropping-particle":"","parse-names":false,"suffix":""},{"dropping-particle":"","family":"Wang","given":"Jun","non-dropping-particle":"","parse-names":false,"suffix":""},{"dropping-particle":"","family":"Walewska","given":"Renata","non-dropping-particle":"","parse-names":false,"suffix":""},{"dropping-particle":"","family":"Parker","given":"Helen","non-dropping-particle":"","parse-names":false,"suffix":""},{"dropping-particle":"","family":"Parker","given":"Anton","non-dropping-particle":"","parse-names":false,"suffix":""},{"dropping-particle":"","family":"Davis","given":"Zadie","non-dropping-particle":"","parse-names":false,"suffix":""},{"dropping-particle":"","family":"Gardiner","given":"Anne","non-dropping-particle":"","parse-names":false,"suffix":""},{"dropping-particle":"","family":"McIver-Brown","given":"Neil","non-dropping-particle":"","parse-names":false,"suffix":""},{"dropping-particle":"","family":"Kalpadakis","given":"Christina","non-dropping-particle":"","parse-names":false,"suffix":""},{"dropping-particle":"","family":"Xochelli","given":"Aliki","non-dropping-particle":"","parse-names":false,"suffix":""},{"dropping-particle":"","family":"Anagnostopoulos","given":"Achilles","non-dropping-particle":"","parse-names":false,"suffix":""},{"dropping-particle":"","family":"Fazi","given":"Claudia","non-dropping-particle":"","parse-names":false,"suffix":""},{"dropping-particle":"","family":"Castro","given":"David Gonzalez","non-dropping-particle":"De","parse-names":false,"suffix":""},{"dropping-particle":"","family":"Dearden","given":"Claire","non-dropping-particle":"","parse-names":false,"suffix":""},{"dropping-particle":"","family":"Pratt","given":"Guy","non-dropping-particle":"","parse-names":false,"suffix":""},{"dropping-particle":"","family":"Rosenquist","given":"Richard","non-dropping-particle":"","parse-names":false,"suffix":""},{"dropping-particle":"","family":"Ashton-Key","given":"Margaret","non-dropping-particle":"","parse-names":false,"suffix":""},{"dropping-particle":"","family":"Forconi","given":"Francesco","non-dropping-particle":"","parse-names":false,"suffix":""},{"dropping-particle":"","family":"Collins","given":"Andrew","non-dropping-particle":"","parse-names":false,"suffix":""},{"dropping-particle":"","family":"Ghia","given":"Paolo","non-dropping-particle":"","parse-names":false,"suffix":""},{"dropping-particle":"","family":"Matutes","given":"Estella","non-dropping-particle":"","parse-names":false,"suffix":""},{"dropping-particle":"","family":"Pangalis","given":"Gerassimos","non-dropping-particle":"","parse-names":false,"suffix":""},{"dropping-particle":"","family":"Stamatopoulos","given":"Kostas","non-dropping-particle":"","parse-names":false,"suffix":""},{"dropping-particle":"","family":"Oscier","given":"David","non-dropping-particle":"","parse-names":false,"suffix":""},{"dropping-particle":"","family":"Strefford","given":"Jonathan C.","non-dropping-particle":"","parse-names":false,"suffix":""}],"container-title":"Clinical Cancer Research","id":"ITEM-2","issue":"18","issued":{"date-parts":[["2015"]]},"page":"4174-4183","title":"Genetics and prognostication in splenic marginal zone lymphoma: Revelations from deep sequencing","type":"article-journal","volume":"21"},"uris":["http://www.mendeley.com/documents/?uuid=81509c2c-3e61-4115-bfa1-3ac38fc7fb12"]},{"id":"ITEM-3","itemData":{"DOI":"10.1038/leu.2014.294","ISBN":"1476-5551 (Electronic) 0887-6924 (Linking)","ISSN":"0887-6924","PMID":"25283840","author":[{"dropping-particle":"","family":"Piva","given":"R.","non-dropping-particle":"","parse-names":false,"suffix":""},{"dropping-particle":"","family":"Deaglio","given":"S.","non-dropping-particle":"","parse-names":false,"suffix":""},{"dropping-particle":"","family":"Famà","given":"R.","non-dropping-particle":"","parse-names":false,"suffix":""},{"dropping-particle":"","family":"Buonincontri","given":"R.","non-dropping-particle":"","parse-names":false,"suffix":""},{"dropping-particle":"","family":"Scarfò","given":"I.","non-dropping-particle":"","parse-names":false,"suffix":""},{"dropping-particle":"","family":"Bruscaggin","given":"A.","non-dropping-particle":"","parse-names":false,"suffix":""},{"dropping-particle":"","family":"Mereu","given":"E.","non-dropping-particle":"","parse-names":false,"suffix":""},{"dropping-particle":"","family":"Serra","given":"S.","non-dropping-particle":"","parse-names":false,"suffix":""},{"dropping-particle":"","family":"Spina","given":"V.","non-dropping-particle":"","parse-names":false,"suffix":""},{"dropping-particle":"","family":"Brusa","given":"D.","non-dropping-particle":"","parse-names":false,"suffix":""},{"dropping-particle":"","family":"Garaffo","given":"G.","non-dropping-particle":"","parse-names":false,"suffix":""},{"dropping-particle":"","family":"Monti","given":"S.","non-dropping-particle":"","parse-names":false,"suffix":""},{"dropping-particle":"","family":"Dal Bo","given":"M.","non-dropping-particle":"","parse-names":false,"suffix":""},{"dropping-particle":"","family":"Marasca","given":"R.","non-dropping-particle":"","parse-names":false,"suffix":""},{"dropping-particle":"","family":"Arcaini","given":"L.","non-dropping-particle":"","parse-names":false,"suffix":""},{"dropping-particle":"","family":"Neri","given":"A.","non-dropping-particle":"","parse-names":false,"suffix":""},{"dropping-particle":"","family":"Gattei","given":"V.","non-dropping-particle":"","parse-names":false,"suffix":""},{"dropping-particle":"","family":"Paulli","given":"M.","non-dropping-particle":"","parse-names":false,"suffix":""},{"dropping-particle":"","family":"Tiacci","given":"E.","non-dropping-particle":"","parse-names":false,"suffix":""},{"dropping-particle":"","family":"Bertoni","given":"F.","non-dropping-particle":"","parse-names":false,"suffix":""},{"dropping-particle":"","family":"Pileri","given":"S. A.","non-dropping-particle":"","parse-names":false,"suffix":""},{"dropping-particle":"","family":"Foà","given":"R.","non-dropping-particle":"","parse-names":false,"suffix":""},{"dropping-particle":"","family":"Inghirami","given":"G.","non-dropping-particle":"","parse-names":false,"suffix":""},{"dropping-particle":"","family":"Gaidano","given":"G.","non-dropping-particle":"","parse-names":false,"suffix":""},{"dropping-particle":"","family":"Rossi","given":"D.","non-dropping-particle":"","parse-names":false,"suffix":""}],"container-title":"Leukemia","id":"ITEM-3","issue":"2","issued":{"date-parts":[["2015","2","6"]]},"page":"503-507","title":"The Krüppel-like factor 2 transcription factor gene is recurrently mutated in splenic marginal zone lymphoma","type":"article-journal","volume":"29"},"uris":["http://www.mendeley.com/documents/?uuid=f6a250b4-7e2b-40aa-a88a-0a5095ee447a"]},{"id":"ITEM-4","itemData":{"DOI":"10.3324/haematol.2016.161711","ISBN":"0000000000","ISSN":"15928721","PMID":"28522570","author":[{"dropping-particle":"","family":"Campos-Martín","given":"Yolanda","non-dropping-particle":"","parse-names":false,"suffix":""},{"dropping-particle":"","family":"Martínez","given":"Nerea","non-dropping-particle":"","parse-names":false,"suffix":""},{"dropping-particle":"","family":"Martínez-López","given":"Azahara","non-dropping-particle":"","parse-names":false,"suffix":""},{"dropping-particle":"","family":"Cereceda","given":"Laura","non-dropping-particle":"","parse-names":false,"suffix":""},{"dropping-particle":"","family":"Casado","given":"Felipe","non-dropping-particle":"","parse-names":false,"suffix":""},{"dropping-particle":"","family":"Algara","given":"Patrocinio","non-drop</w:instrText>
      </w:r>
      <w:r w:rsidR="00CE6824" w:rsidRPr="00002888">
        <w:rPr>
          <w:rFonts w:ascii="Times New Roman" w:hAnsi="Times New Roman" w:cs="Times New Roman"/>
          <w:sz w:val="24"/>
          <w:szCs w:val="24"/>
          <w:lang w:val="es-CO"/>
        </w:rPr>
        <w:instrText>ping-particle":"","parse-names":false,"suffix":""},{"dropping-particle":"","family":"Oscier","given":"David","non-dropping-particle":"","parse-names":false,"suffix":""},{"dropping-particle":"","family":"Menarguez","given":"Francisco J.","non-dropping-particle":"","parse-names":false,"suffix":""},{"dropping-particle":"","family":"García","given":"Juan F.","non-dropping-particle":"","parse-names":false,"suffix":""},{"dropping-particle":"","family":"Piris","given":"Miguel A.","non-dropping-particle":"","parse-names":false,"suffix":""},{"dropping-particle":"","family":"Mollejo","given":"Manuela","non-dropping-particle":"","parse-names":false,"suffix":""}],"container-title":"Haematologica","id":"ITEM-4","issue":"8","issued":{"date-parts":[["2017"]]},"page":"e310-e312","title":"Clinical and diagnostic relevance of NOTCH2 and KLF2 mutations in splenic marginal zone lymphoma","type":"article-journal","volume":"102"},"uris":["http://www.mendeley.com/documents/?uuid=9b5cb862-695d-468e-ba9f-915befdea2eb"]}],"mendeley":{"formattedCitation":"(Campos-Martín et al., 2017; Clipson et al., 2015; Parry et al., 2015; Piva et al., 2015)","plainTextFormattedCitation":"(Campos-Martín et al., 2017; Clipson et al., 2015; Parry et al., 2015; Piva et al., 2015)","previouslyFormattedCitation":"(Campos-Martín et al., 2017; Clipson et al., 2015; Parry et al., 2015; Piva et al., 2015)"},"properties":{"noteIndex":0},"schema":"https://github.com/citation-style-language/schema/raw/master/csl-citation.json"}</w:instrText>
      </w:r>
      <w:r w:rsidR="00CE6824" w:rsidRPr="00002888">
        <w:rPr>
          <w:rFonts w:ascii="Times New Roman" w:hAnsi="Times New Roman" w:cs="Times New Roman"/>
          <w:sz w:val="24"/>
          <w:szCs w:val="24"/>
          <w:lang w:val="en-GB"/>
        </w:rPr>
        <w:fldChar w:fldCharType="separate"/>
      </w:r>
      <w:r w:rsidR="00CE6824" w:rsidRPr="00002888">
        <w:rPr>
          <w:rFonts w:ascii="Times New Roman" w:hAnsi="Times New Roman" w:cs="Times New Roman"/>
          <w:noProof/>
          <w:sz w:val="24"/>
          <w:szCs w:val="24"/>
          <w:lang w:val="es-CO"/>
        </w:rPr>
        <w:t>(Campos-Martín et al., 2017; Clipson et al., 2015; Parry et al., 2015; Piva et al., 2015)</w:t>
      </w:r>
      <w:r w:rsidR="00CE6824" w:rsidRPr="00002888">
        <w:rPr>
          <w:rFonts w:ascii="Times New Roman" w:hAnsi="Times New Roman" w:cs="Times New Roman"/>
          <w:sz w:val="24"/>
          <w:szCs w:val="24"/>
          <w:lang w:val="en-GB"/>
        </w:rPr>
        <w:fldChar w:fldCharType="end"/>
      </w:r>
      <w:r w:rsidR="00CE6824" w:rsidRPr="00002888">
        <w:rPr>
          <w:rFonts w:ascii="Times New Roman" w:hAnsi="Times New Roman" w:cs="Times New Roman"/>
          <w:sz w:val="24"/>
          <w:szCs w:val="24"/>
          <w:lang w:val="es-CO"/>
        </w:rPr>
        <w:t xml:space="preserve">. </w:t>
      </w:r>
      <w:r w:rsidR="00CE6824" w:rsidRPr="00002888">
        <w:rPr>
          <w:rFonts w:ascii="Times New Roman" w:hAnsi="Times New Roman" w:cs="Times New Roman"/>
          <w:sz w:val="24"/>
          <w:szCs w:val="24"/>
          <w:lang w:val="en-GB"/>
        </w:rPr>
        <w:t xml:space="preserve">Missense substitutions result in amino acid changes within the nuclear localization sequences of </w:t>
      </w:r>
      <w:r w:rsidR="00CE6824" w:rsidRPr="00002888">
        <w:rPr>
          <w:rFonts w:ascii="Times New Roman" w:hAnsi="Times New Roman" w:cs="Times New Roman"/>
          <w:iCs/>
          <w:sz w:val="24"/>
          <w:szCs w:val="24"/>
          <w:lang w:val="en-GB"/>
        </w:rPr>
        <w:t>KLF2</w:t>
      </w:r>
      <w:r w:rsidR="00CE6824" w:rsidRPr="00002888">
        <w:rPr>
          <w:rFonts w:ascii="Times New Roman" w:hAnsi="Times New Roman" w:cs="Times New Roman"/>
          <w:sz w:val="24"/>
          <w:szCs w:val="24"/>
          <w:lang w:val="en-GB"/>
        </w:rPr>
        <w:t xml:space="preserve"> or within highly conserved regions of the first zinc finger domain. These KLF2 mutants render the protein unable to elicit its transcriptional activity by displacement from the nucleus thereby preventing the ability of KLF2 to supress NF-</w:t>
      </w:r>
      <w:proofErr w:type="spellStart"/>
      <w:r w:rsidR="00A44284" w:rsidRPr="00002888">
        <w:rPr>
          <w:rFonts w:ascii="Times New Roman" w:hAnsi="Times New Roman" w:cs="Times New Roman"/>
          <w:sz w:val="24"/>
          <w:szCs w:val="24"/>
          <w:lang w:val="en-GB"/>
        </w:rPr>
        <w:t>κ</w:t>
      </w:r>
      <w:r w:rsidR="00CE6824" w:rsidRPr="00002888">
        <w:rPr>
          <w:rFonts w:ascii="Times New Roman" w:hAnsi="Times New Roman" w:cs="Times New Roman"/>
          <w:sz w:val="24"/>
          <w:szCs w:val="24"/>
          <w:lang w:val="en-GB"/>
        </w:rPr>
        <w:t>B</w:t>
      </w:r>
      <w:proofErr w:type="spellEnd"/>
      <w:r w:rsidR="00CE6824" w:rsidRPr="00002888">
        <w:rPr>
          <w:rFonts w:ascii="Times New Roman" w:hAnsi="Times New Roman" w:cs="Times New Roman"/>
          <w:sz w:val="24"/>
          <w:szCs w:val="24"/>
          <w:lang w:val="en-GB"/>
        </w:rPr>
        <w:t xml:space="preserve"> induction by </w:t>
      </w:r>
      <w:r w:rsidR="00CE6824" w:rsidRPr="00245037">
        <w:rPr>
          <w:rFonts w:ascii="Times New Roman" w:hAnsi="Times New Roman" w:cs="Times New Roman"/>
          <w:sz w:val="24"/>
          <w:szCs w:val="24"/>
          <w:lang w:val="en-GB"/>
        </w:rPr>
        <w:t>upstream signal</w:t>
      </w:r>
      <w:r w:rsidR="00A67828" w:rsidRPr="00245037">
        <w:rPr>
          <w:rFonts w:ascii="Times New Roman" w:hAnsi="Times New Roman" w:cs="Times New Roman"/>
          <w:sz w:val="24"/>
          <w:szCs w:val="24"/>
          <w:lang w:val="en-GB"/>
        </w:rPr>
        <w:t>l</w:t>
      </w:r>
      <w:r w:rsidR="00CE6824" w:rsidRPr="00245037">
        <w:rPr>
          <w:rFonts w:ascii="Times New Roman" w:hAnsi="Times New Roman" w:cs="Times New Roman"/>
          <w:sz w:val="24"/>
          <w:szCs w:val="24"/>
          <w:lang w:val="en-GB"/>
        </w:rPr>
        <w:t>ing pathways</w:t>
      </w:r>
      <w:r w:rsidR="00A67828" w:rsidRPr="00245037">
        <w:rPr>
          <w:rFonts w:ascii="Times New Roman" w:hAnsi="Times New Roman" w:cs="Times New Roman"/>
          <w:sz w:val="24"/>
          <w:szCs w:val="24"/>
          <w:lang w:val="en-GB"/>
        </w:rPr>
        <w:t xml:space="preserve"> </w:t>
      </w:r>
      <w:r w:rsidR="00CE6824" w:rsidRPr="00245037">
        <w:rPr>
          <w:rFonts w:ascii="Times New Roman" w:hAnsi="Times New Roman" w:cs="Times New Roman"/>
          <w:sz w:val="24"/>
          <w:szCs w:val="24"/>
          <w:lang w:val="en-GB"/>
        </w:rPr>
        <w:fldChar w:fldCharType="begin" w:fldLock="1"/>
      </w:r>
      <w:r w:rsidR="00A67828" w:rsidRPr="00245037">
        <w:rPr>
          <w:rFonts w:ascii="Times New Roman" w:hAnsi="Times New Roman" w:cs="Times New Roman"/>
          <w:sz w:val="24"/>
          <w:szCs w:val="24"/>
          <w:lang w:val="en-GB"/>
        </w:rPr>
        <w:instrText>ADDIN CSL_CITATION {"citationItems":[{"id":"ITEM-1","itemData":{"DOI":"10.1038/nri3383","ISSN":"14741733","abstract":"Protective responses to microorganisms involve the nonspecific but rapid defence mechanisms of the innate immune system, followed by the specific but slow defence mechanisms of the adaptive immune system. Located as sentinels at the interface between the circulation and lymphoid tissue, splenic marginal zone B cells rapidly respond to blood-borne antigens by adopting 'crossover' defensive strategies that blur the conventional boundaries of innate and adaptive immunity. This Review discusses how marginal zone B cells function as innate-like lymphocytes that mount rapid antibody responses to both T cell-dependent and T cell-independent antigens. These responses require the integration of activation signals from germline-encoded and somatically recombined receptors for microorganisms with helper signals from effector cells of the innate and adaptive immune systems. © 2013 Macmillan Publishers Limited. All rights reserved.","author":[{"dropping-particle":"","family":"Cerutti","given":"Andrea","non-dropping-particle":"","parse-names":false,"suffix":""},{"dropping-particle":"","family":"Cols","given":"Montserrat","non-dropping-particle":"","parse-names":false,"suffix":""},{"dropping-particle":"","family":"Puga","given":"Irene","non-dropping-particle":"","parse-names":false,"suffix":""}],"container-title":"Nature Reviews Immunology","id":"ITEM-1","issue":"2","issued":{"date-parts":[["2013"]]},"page":"118-132","publisher":"Nature Publishing Group","title":"Marginal zone B cells: Virtues of innate-like antibody-producing lymphocytes","type":"article-journal","volume":"13"},"uris":["http://www.mendeley.com/documents/?uuid=f3c72b5b-3b5d-468b-af2e-76b92eb46072"]},{"id":"ITEM-2","itemData":{"DOI":"10.1038/leu.2014.330","ISSN":"14765551","PMID":"25428260","abstract":"To characterise the genetics of splenic marginal zone lymphoma (SMZL), we performed whole exome sequencing of 16 cases and identified novel recurrent inactivating mutations in Kruppel-like factor 2 (KLF2), a gene whose deficiency was previously shown to cause splenic marginal zone hyperplasia in mice. KLF2 mutation was found in 40 (42%) of 96 SMZLs, but rarely in other B-cell lymphomas. The majority of KLF2 mutations were frameshift indels or nonsense changes, with missense mutations clustered in the C-terminal zinc finger domains. Functional assays showed that these mutations inactivated the ability of KLF2 to suppress NF-κB activation by TLR, BCR, BAFFR and TNFR signalling. Further extensive investigations revealed common and distinct genetic changes between SMZL with and without KLF2 mutation. IGHV1-2 rearrangement and 7q deletion were primarily seen in SMZL with KLF2 mutation, while MYD88 and TP53 mutations were nearly exclusively found in those without KLF2 mutation. NOTCH2, TRAF3, TNFAIP3 and CARD11 mutations were observed in SMZL both with and without KLF2 mutation. Taken together, KLF2 mutation is the most common genetic change in SMZL and identifies a subset with a distinct genotype characterised by multi-genetic changes. These different genetic changes may deregulate various signalling pathways and generate cooperative oncogenic properties, thereby contributing to lymphomagenesis.","author":[{"dropping-particle":"","family":"Clipson","given":"A.","non-dropping-particle":"","parse-names":false,"suffix":""},{"dropping-particle":"","family":"Wang","given":"M.","non-dropping-particle":"","parse-names":false,"suffix":""},{"dropping-particle":"","family":"Leval","given":"L.","non-dropping-particle":"De","parse-names":false,"suffix":""},{"dropping-particle":"","family":"Ashton-Key","given":"M.","non-dropping-particle":"","parse-names":false,"suffix":""},{"dropping-particle":"","family":"Wotherspoon","given":"A.","non-dropping-particle":"","parse-names":false,"suffix":""},{"dropping-particle":"","family":"Vassiliou","given":"G.","non-dropping-particle":"","parse-names":false,"suffix":""},{"dropping-particle":"","family":"Bolli","given":"N.","non-dropping-particle":"","parse-names":false,"suffix":""},{"dropping-particle":"","family":"Grove","given":"C.","non-dropping-particle":"","parse-names":false,"suffix":""},{"dropping-particle":"","family":"Moody","given":"S.","non-dropping-particle":"","parse-names":false,"suffix":""},{"dropping-particle":"","family":"Escudero-Ibarz","given":"L.","non-dropping-particle":"","parse-names":false,"suffix":""},{"dropping-particle":"","family":"Gundem","given":"G.","non-dropping-particle":"","parse-names":false,"suffix":""},{"dropping-particle":"","family":"Brugger","given":"K.","non-dropping-particle":"","parse-names":false,"suffix":""},{"dropping-particle":"","family":"Xue","given":"X.","non-dropping-particle":"","parse-names":false,"suffix":""},{"dropping-particle":"","family":"Mi","given":"E.","non-dropping-particle":"","parse-names":false,"suffix":""},{"dropping-particle":"","family":"Bench","given":"A.","non-dropping-particle":"","parse-names":false,"suffix":""},{"dropping-particle":"","family":"Scott","given":"M.","non-dropping-particle":"","parse-names":false,"suffix":""},{"dropping-particle":"","family":"Liu","given":"H.","non-dropping-particle":"","parse-names":false,"suffix":""},{"dropping-particle":"","family":"Follows","given":"G.","non-dropping-particle":"","parse-names":false,"suffix":""},{"dropping-particle":"","family":"Robles","given":"E. F.","non-dropping-particle":"","parse-names":false,"suffix":""},{"dropping-particle":"","family":"Martinez-Climent","given":"J. A.","non-dropping-particle":"","parse-names":false,"suffix":""},{"dropping-particle":"","family":"Oscier","given":"D.","non-dropping-particle":"","parse-names":false,"suffix":""},{"dropping-particle":"","family":"Watkins","given":"A. J.","non-dropping-particle":"","parse-names":false,"suffix":""},{"dropping-particle":"","family":"Du","given":"M. Q.","non-dropping-particle":"","parse-names":false,"suffix":""}],"container-title":"Leukemia","id":"ITEM-2","issue":"5","issued":{"date-parts":[["2015"]]},"page":"1177-1185","title":"KLF2 mutation is the most frequent somatic change in splenic marginal zone lymphoma and identifies a subset with distinct genotype","type":"article-journal","volume":"29"},"uris":["http://www.mendeley.com/documents/?uuid=9a03fc8c-403a-4b3d-8ecb-3673a4b13433"]},{"id":"ITEM-3","itemData":{"DOI":"10.1038/leu.2014.294","ISBN":"1476-5551 (Electronic) 0887-6924 (Linking)","ISSN":"0887-6924","PMID":"25283840","author":[{"dropping-particle":"","family":"Piva","given":"R.","non-dropping-particle":"","parse-names":false,"suffix":""},{"dropping-particle":"","family":"Deaglio","given":"S.","non-dropping-particle":"","parse-names":false,"suffix":""},{"dropping-particle":"","family":"Famà","given":"R.","non-dropping-particle":"","parse-names":false,"suffix":""},{"dropping-particle":"","family":"Buonincontri","given":"R.","non-dropping-particle":"","parse-names":false,"suffix":""},{"dropping-particle":"","family":"Scarfò","given":"I.","non-dropping-particle":"","parse-names":false,"suffix":""},{"dropping-particle":"","family":"Bruscaggin","given":"A.","non-dropping-particle":"","parse-names":false,"suffix":""},{"dropping-particle":"","family":"Mereu","given":"E.","non-dropping-particle":"","parse-names":false,"suffix":""},{"dropping-particle":"","family":"Serra","given":"S.","non-dropping-particle":"","parse-names":false,"suffix":""},{"dropping-particle":"","family":"Spina","given":"V.","non-dropping-particle":"","parse-names":false,"suffix":""},{"dropping-particle":"","family":"Brusa","given":"D.","non-dropping-particle":"","parse-names":false,"suffix":""},{"dropping-particle":"","family":"Garaffo","given":"G.","non-dropping-particle":"","parse-names":false,"suffix":""},{"dropping-particle":"","family":"Monti","given":"S.","non-dropping-particle":"","parse-names":false,"suffix":""},{"dropping-particle":"","family":"Dal Bo","given":"M.","non-dropping-particle":"","parse-names":false,"suffix":""},{"dropping-particle":"","family":"Marasca","given":"R.","non-dropping-particle":"","parse-names":false,"suffix":""},{"dropping-particle":"","family":"Arcaini","given":"L.","non-dropping-particle":"","parse-names":false,"suffix":""},{"dropping-particle":"","family":"Neri","given":"A.","non-dropping-particle":"","parse-names":false,"suffix":""},{"dropping-particle":"","family":"Gattei","given":"V.","non-dropping-particle":"","parse-names":false,"suffix":""},{"dropping-particle":"","family":"Paulli","given":"M.","non-dropping-particle":"","parse-names":false,"suffix":""},{"dropping-particle":"","family":"Tiacci","given":"E.","non-dropping-particle":"","parse-names":false,"suffix":""},{"dropping-particle":"","family":"Bertoni","given":"F.","non-dropping-particle":"","parse-names":false,"suffix":""},{"dropping-particle":"","family":"Pileri","given":"S. A.","non-dropping-particle":"","parse-names":false,"suffix":""},{"dropping-particle":"","family":"Foà","given":"R.","non-dropping-particle":"","parse-names":false,"suffix":""},{"dropping-particle":"","family":"Inghirami","given":"G.","non-dropping-particle":"","parse-names":false,"suffix":""},{"dropping-particle":"","family":"Gaidano","given":"G.","non-dropping-particle":"","parse-names":false,"suffix":""},{"dropping-particle":"","family":"Rossi","given":"D.","non-dropping-particle":"","parse-names":false,"suffix":""}],"container-title":"Leukemia","id":"ITEM-3","issue":"2","issued":{"date-parts":[["2015","2","6"]]},"page":"503-507","title":"The Krüppel-like factor 2 transcription factor gene is recurrently mutated in splenic marginal zone lymphoma","type":"article-journal","volume":"29"},"uris":["http://www.mendeley.com/documents/?uuid=f6a250b4-7e2b-40aa-a88a-0a5095ee447a"]}],"mendeley":{"formattedCitation":"(Cerutti et al., 2013; Clipson et al., 2015; Piva et al., 2015)","plainTextFormattedCitation":"(Cerutti et al., 2013; Clipson et al., 2015; Piva et al., 2015)","previouslyFormattedCitation":"(Cerutti et al., 2013; Clipson et al., 2015; Piva et al., 2015)"},"properties":{"noteIndex":0},"schema":"https://github.com/citation-style-language/schema/raw/master/csl-citation.json"}</w:instrText>
      </w:r>
      <w:r w:rsidR="00CE6824" w:rsidRPr="00245037">
        <w:rPr>
          <w:rFonts w:ascii="Times New Roman" w:hAnsi="Times New Roman" w:cs="Times New Roman"/>
          <w:sz w:val="24"/>
          <w:szCs w:val="24"/>
          <w:lang w:val="en-GB"/>
        </w:rPr>
        <w:fldChar w:fldCharType="separate"/>
      </w:r>
      <w:r w:rsidR="00A67828" w:rsidRPr="00245037">
        <w:rPr>
          <w:rFonts w:ascii="Times New Roman" w:hAnsi="Times New Roman" w:cs="Times New Roman"/>
          <w:noProof/>
          <w:sz w:val="24"/>
          <w:szCs w:val="24"/>
          <w:lang w:val="en-GB"/>
        </w:rPr>
        <w:t>(Cerutti et al., 2013; Clipson et al., 2015; Piva et al., 2015)</w:t>
      </w:r>
      <w:r w:rsidR="00CE6824" w:rsidRPr="00245037">
        <w:rPr>
          <w:rFonts w:ascii="Times New Roman" w:hAnsi="Times New Roman" w:cs="Times New Roman"/>
          <w:sz w:val="24"/>
          <w:szCs w:val="24"/>
          <w:lang w:val="en-GB"/>
        </w:rPr>
        <w:fldChar w:fldCharType="end"/>
      </w:r>
      <w:r w:rsidR="00CE6824" w:rsidRPr="00245037">
        <w:rPr>
          <w:rFonts w:ascii="Times New Roman" w:hAnsi="Times New Roman" w:cs="Times New Roman"/>
          <w:sz w:val="24"/>
          <w:szCs w:val="24"/>
          <w:lang w:val="en-GB"/>
        </w:rPr>
        <w:t xml:space="preserve">. The p.Q24X </w:t>
      </w:r>
      <w:r w:rsidR="00A517D7" w:rsidRPr="00245037">
        <w:rPr>
          <w:rFonts w:ascii="Times New Roman" w:hAnsi="Times New Roman" w:cs="Times New Roman"/>
          <w:sz w:val="24"/>
          <w:szCs w:val="24"/>
          <w:lang w:val="en-GB"/>
        </w:rPr>
        <w:t xml:space="preserve">(stopgain) </w:t>
      </w:r>
      <w:r w:rsidR="00CE6824" w:rsidRPr="00245037">
        <w:rPr>
          <w:rFonts w:ascii="Times New Roman" w:hAnsi="Times New Roman" w:cs="Times New Roman"/>
          <w:sz w:val="24"/>
          <w:szCs w:val="24"/>
          <w:lang w:val="en-GB"/>
        </w:rPr>
        <w:t xml:space="preserve">variant is a hotspot mutation </w:t>
      </w:r>
      <w:r w:rsidR="00CE6824" w:rsidRPr="00245037">
        <w:rPr>
          <w:rFonts w:ascii="Times New Roman" w:hAnsi="Times New Roman" w:cs="Times New Roman"/>
          <w:sz w:val="24"/>
          <w:szCs w:val="24"/>
          <w:lang w:val="en-GB"/>
        </w:rPr>
        <w:fldChar w:fldCharType="begin" w:fldLock="1"/>
      </w:r>
      <w:r w:rsidR="00CE6824" w:rsidRPr="00245037">
        <w:rPr>
          <w:rFonts w:ascii="Times New Roman" w:hAnsi="Times New Roman" w:cs="Times New Roman"/>
          <w:sz w:val="24"/>
          <w:szCs w:val="24"/>
          <w:lang w:val="en-GB"/>
        </w:rPr>
        <w:instrText>ADDIN CSL_CITATION {"citationItems":[{"id":"ITEM-1","itemData":{"DOI":"10.1158/1078-0432.CCR-14-2759","ISSN":"15573265","PMID":"25779943","abstract":"Purpose: Mounting evidence supports the clinical significance of gene mutations and immunogenetic features in common mature B-cell malignancies.\\n\\nExperimental Design: We undertook a detailed characterization of the genetic background of splenic marginal zone lymphoma (SMZL), using targeted resequencing and explored potential clinical implications in a multinational cohort of 175 patients with SMZL.\\n\\nResults: We identified recurrent mutations in TP53 (16%), KLF2 (12%), NOTCH2 (10%), TNFAIP3 (7%), MLL2 (11%), MYD88 (7%), and ARID1A (6%), all genes known to be targeted by somatic mutation in SMZL. KLF2 mutations were early, clonal events, enriched in patients with del(7q) and IGHV1-2*04 B-cell receptor immunoglobulins, and were associated with a short median time to first treatment (0.12 vs. 1.11 years; P = 0.01). In multivariate analysis, mutations in NOTCH2 [HR, 2.12; 95% confidence interval (CI), 1.02–4.4; P = 0.044] and 100% germline IGHV gene identity (HR, 2.19; 95% CI, 1.05–4.55; P = 0.036) were independent markers of short time to first treatment, whereas TP53 mutations were an independent marker of short overall survival (HR, 2.36; 95 % CI, 1.08–5.2; P = 0.03).\\n\\nConclusions: We identify key associations between gene mutations and clinical outcome, demonstrating for the first time that NOTCH2 and TP53 gene mutations are independent markers of reduced treatment-free and overall survival, respectively. Clin Cancer Res; 21(18); 4174–83. ©2015 AACR .","author":[{"dropping-particle":"","family":"Parry","given":"Marina","non-dropping-particle":"","parse-names":false,"suffix":""},{"dropping-particle":"","family":"Rose-Zerilli","given":"Matthew J.J.","non-dropping-particle":"","parse-names":false,"suffix":""},{"dropping-particle":"","family":"Ljungström","given":"Viktor","non-dropping-particle":"","parse-names":false,"suffix":""},{"dropping-particle":"","family":"Gibson","given":"Jane","non-dropping-particle":"","parse-names":false,"suffix":""},{"dropping-particle":"","family":"Wang","given":"Jun","non-dropping-particle":"","parse-names":false,"suffix":""},{"dropping-particle":"","family":"Walewska","given":"Renata","non-dropping-particle":"","parse-names":false,"suffix":""},{"dropping-particle":"","family":"Parker","given":"Helen","non-dropping-particle":"","parse-names":false,"suffix":""},{"dropping-particle":"","family":"Parker","given":"Anton","non-dropping-particle":"","parse-names":false,"suffix":""},{"dropping-particle":"","family":"Davis","given":"Zadie","non-dropping-particle":"","parse-names":false,"suffix":""},{"dropping-particle":"","family":"Gardiner","given":"Anne","non-dropping-particle":"","parse-names":false,"suffix":""},{"dropping-particle":"","family":"McIver-Brown","given":"Neil","non-dropping-particle":"","parse-names":false,"suffix":""},{"dropping-particle":"","family":"Kalpadakis","given":"Christina","non-dropping-particle":"","parse-names":false,"suffix":""},{"dropping-particle":"","family":"Xochelli","given":"Aliki","non-dropping-particle":"","parse-names":false,"suffix":""},{"dropping-particle":"","family":"Anagnostopoulos","given":"Achilles","non-dropping-particle":"","parse-names":false,"suffix":""},{"dropping-particle":"","family":"Fazi","given":"Claudia","non-dropping-particle":"","parse-names":false,"suffix":""},{"dropping-particle":"","family":"Castro","given":"David Gonzalez","non-dropping-particle":"De","parse-names":false,"suffix":""},{"dropping-particle":"","family":"Dearden","given":"Claire","non-dropping-particle":"","parse-names":false,"suffix":""},{"dropping-particle":"","family":"Pratt","given":"Guy","non-dropping-particle":"","parse-names":false,"suffix":""},{"dropping-particle":"","family":"Rosenquist","given":"Richard","non-dropping-particle":"","parse-names":false,"suffix":""},{"dropping-particle":"","family":"Ashton-Key","given":"Margaret","non-dropping-particle":"","parse-names":false,"suffix":""},{"dropping-particle":"","family":"Forconi","given":"Francesco","non-dropping-particle":"","parse-names":false,"suffix":""},{"dropping-particle":"","family":"Collins","given":"Andrew","non-dropping-particle":"","parse-names":false,"suffix":""},{"dropping-particle":"","family":"Ghia","given":"Paolo","non-dropping-particle":"","parse-names":false,"suffix":""},{"dropping-particle":"","family":"Matutes","given":"Estella","non-dropping-particle":"","parse-names":false,"suffix":""},{"dropping-particle":"","family":"Pangalis","given":"Gerassimos","non-dropping-particle":"","parse-names":false,"suffix":""},{"dropping-particle":"","family":"Stamatopoulos","given":"Kostas","non-dropping-particle":"","parse-names":false,"suffix":""},{"dropping-particle":"","family":"Oscier","given":"David","non-dropping-particle":"","parse-names":false,"suffix":""},{"dropping-particle":"","family":"Strefford","given":"Jonathan C.","non-dropping-particle":"","parse-names":false,"suffix":""}],"container-title":"Clinical Cancer Research","id":"ITEM-1","issue":"18","issued":{"date-parts":[["2015"]]},"page":"4174-4183","title":"Genetics and prognostication in splenic marginal zone lymphoma: Revelations from deep sequencing","type":"article-journal","volume":"21"},"uris":["http://www.mendeley.com/documents/?uuid=81509c2c-3e61-4115-bfa1-3ac38fc7fb12"]},{"id":"ITEM-2","itemData":{"DOI":"10.1038/leu.2014.294","ISBN":"1476-5551 (Electronic) 0887-6924 (Linking)","ISSN":"0887-6924","PMID":"25283840","author":[{"dropping-particle":"","family":"Piva","given":"R.","non-dropping-particle":"","parse-names":false,"suffix":""},{"dropping-particle":"","family":"Deaglio","given":"S.","non-dropping-particle":"","parse-names":false,"suffix":""},{"dropping-particle":"","family":"Famà","given":"R.","non-dropping-particle":"","parse-names":false,"suffix":""},{"dropping-particle":"","family":"Buonincontri","given":"R.","non-dropping-particle":"","parse-names":false,"suffix":""},{"dropping-particle":"","family":"Scarfò","given":"I.","non-dropping-particle":"","parse-names":false,"suffix":""},{"dropping-particle":"","family":"Bruscaggin","given":"A.","non-dropping-particle":"","parse-names":false,"suffix":""},{"dropping-particle":"","family":"Mereu","given":"E.","non-dropping-particle":"","parse-names":false,"suffix":""},{"dropping-particle":"","family":"Serra","given":"S.","non-dropping-particle":"","parse-names":false,"suffix":""},{"dropping-particle":"","family":"Spina","given":"V.","non-dropping-particle":"","parse-names":false,"suffix":""},{"dropping-particle":"","family":"Brusa","given":"D.","non-dropping-particle":"","parse-names":false,"suffix":""},{"dropping-particle":"","family":"Garaffo","given":"G.","non-dropping-particle":"","parse-names":false,"suffix":""},{"dropping-particle":"","family":"Monti","given":"S.","non-dropping-particle":"","parse-names":false,"suffix":""},{"dropping-particle":"","family":"Dal Bo","given":"M.","non-dropping-particle":"","parse-names":false,"suffix":""},{"dropping-particle":"","family":"Marasca","given":"R.","non-dropping-particle":"","parse-names":false,"suffix":""},{"dropping-particle":"","family":"Arcaini","given":"L.","non-dropping-particle":"","parse-names":false,"suffix":""},{"dropping-particle":"","family":"Neri","given":"A.","non-dropping-particle":"","parse-names":false,"suffix":""},{"dropping-particle":"","family":"Gattei","given":"V.","non-dropping-particle":"","parse-names":false,"suffix":""},{"dropping-particle":"","family":"Paulli","given":"M.","non-dropping-particle":"","parse-names":false,"suffix":""},{"dropping-particle":"","family":"Tiacci","given":"E.","non-dropping-particle":"","parse-names":false,"suffix":""},{"dropping-particle":"","family":"Bertoni","given":"F.","non-dropping-particle":"","parse-names":false,"suffix":""},{"dropping-particle":"","family":"Pileri","given":"S. A.","non-dropping-particle":"","parse-names":false,"suffix":""},{"dropping-particle":"","family":"Foà","given":"R.","non-dropping-particle":"","parse-names":false,"suffix":""},{"dropping-particle":"","family":"Inghirami","given":"G.","non-dropping-particle":"","parse-names":false,"suffix":""},{"dropping-particle":"","family":"Gaidano","given":"G.","non-dropping-particle":"","parse-names":false,"suffix":""},{"dropping-particle":"","family":"Rossi","given":"D.","non-dropping-particle":"","parse-names":false,"suffix":""}],"container-title":"Leukemia","id":"ITEM-2","issue":"2","issued":{"date-parts":[["2015","2","6"]]},"page":"503-507","title":"The Krüppel-like factor 2 transcription factor gene is recurrently mutated in splenic marginal zone lymphoma","type":"article-journal","volume":"29"},"uris":["http://www.mendeley.com/documents/?uuid=f6a250b4-7e2b-40aa-a88a-0a5095ee447a"]},{"id":"ITEM-3","itemData":{"DOI":"10.3324/haematol.2016.160192","ISSN":"15928721","PMID":"28751561","abstract":"Splenic diffuse red pulp lymphoma is an indolent small B-cell lymphoma recognized as a provisional entity in the World Health Organization 2008 classification. Its precise relationship to other related splenic B-cell lymphomas with frequent leukemic involvement or other lymphoproliferative disorders remains undetermined. We performed whole-exome sequencing to explore the genetic landscape of ten cases of splenic diffuse red pulp lymphoma using paired tumor and normal samples. A selection of 109 somatic mutations was then evaluated in a cohort including 42 samples of splenic diffuse red pulp lymphoma and compared to those identified in 46 samples of splenic marginal zone lymphoma and eight samples of hairy-cell leukemia. Recurrent mutations or losses in BCOR (the gene encoding the BCL6 corepressor) - frameshift (n=3), nonsense (n=2), splicing site (n=1), and copy number loss (n=4) - were identified in 10/42 samples of splenic diffuse red pulp lymphoma (24%), whereas only one frameshift mutation was identified in 46 cases of splenic marginal zone lymphoma (2%). Inversely, KLF2, TNFAIP3 and MYD88, common mutations in splenic marginal zone lymphoma, were rare (one KLF2 mutant in 42 samples; 2%) or absent (TNFAIP3 and MYD88) in splenic diffuse red pulp lymphoma. These findings define an original genetic profile of splenic diffuse red pulp lymphoma and suggest that the mechanisms of pathogenesis of this lymphoma are distinct from those of splenic marginal zone lymphoma and hairy-cell leukemia.","author":[{"dropping-particle":"","family":"Jallades","given":"Laurent","non-dropping-particle":"","parse-names":false,"suffix":""},{"dropping-particle":"","family":"Baseggio","given":"Lucile","non-dropping-particle":"","parse-names":false,"suffix":""},{"dropping-particle":"","family":"Sujobert","given":"Pierre","non-dropping-particle":"","parse-names":false,"suffix":""},{"dropping-particle":"","family":"Huet","given":"Sarah","non-dropping-particle":"","parse-names":false,"suffix":""},{"dropping-particle":"","family":"Chabane","given":"Kaddour","non-dropping-particle":"","parse-names":false,"suffix":""},{"dropping-particle":"","family":"Callet-Bauchu","given":"Evelyne","non-dropping-particle":"","parse-names":false,"suffix":""},{"dropping-particle":"","family":"Verney","given":"Aurélie","non-dropping-particle":"","parse-names":false,"suffix":""},{"dropping-particle":"","family":"Hayette","given":"Sandrine","non-dropping-particle":"","parse-names":false,"suffix":""},{"dropping-particle":"","family":"Desvignes","given":"Jean Pierre","non-dropping-particle":"","parse-names":false,"suffix":""},{"dropping-particle":"","family":"Salgado","given":"David","non-dropping-particle":"","parse-names":false,"suffix":""},{"dropping-particle":"","family":"Levy","given":"Nicolas","non-dropping-particle":"","parse-names":false,"suffix":""},{"dropping-particle":"","family":"Béroud","given":"Christophe","non-dropping-particle":"","parse-names":false,"suffix":""},{"dropping-particle":"","family":"Felman","given":"Pascale","non-dropping-particle":"","parse-names":false,"suffix":""},{"dropping-particle":"","family":"Berger","given":"Françoise","non-dropping-particle":"","parse-names":false,"suffix":""},{"dropping-particle":"","family":"Magaud","given":"Jean Pierre","non-dropping-particle":"","parse-names":false,"suffix":""},{"dropping-particle":"","family":"Genestier","given":"Laurent","non-dropping-particle":"","parse-names":false,"suffix":""},{"dropping-particle":"","family":"Salles","given":"Gilles","non-dropping-particle":"","parse-names":false,"suffix":""},{"dropping-particle":"","family":"Traverse-Glehen","given":"Alexandra","non-dropping-particle":"","parse-names":false,"suffix":""}],"container-title":"Haematologica","id":"ITEM-3","issue":"10","issued":{"date-parts":[["2017"]]},"page":"1758-1766","title":"Exome sequencing identifies recurrent BCOR alterations and the absence of KLF2, TNFAIP3 and MYD88 mutations in splenic diffuse red pulp small B-cell lymphoma","type":"article-journal","volume":"102"},"uris":["http://www.mendeley.com/documents/?uuid=d0471b34-91db-41e2-a224-20ce1ba43f8f"]},{"id":"ITEM-4","itemData":{"DOI":"10.1038/leu.2014.330","ISSN":"14765551","PMID":"25428260","abstract":"To characterise the genetics of splenic marginal zone lymphoma (SMZL), we performed whole exome sequencing of 16 cases and identified novel recurrent inactivating mutations in Kruppel-like factor 2 (KLF2), a gene whose deficiency was previously shown to cause splenic marginal zone hyperplasia in mice. KLF2 mutation was found in 40 (42%) of 96 SMZLs, but rarely in other B-cell lymphomas. The majority of KLF2 mutations were frameshift indels or nonsense changes, with missense mutations clustered in the C-terminal zinc finger domains. Functional assays showed that these mutations inactivated the ability of KLF2 to suppress NF-κB activation by TLR, BCR, BAFFR and TNFR signalling. Further extensive investigations revealed common and distinct genetic changes between SMZL with and without KLF2 mutation. IGHV1-2 rearrangement and 7q deletion were primarily seen in SMZL with KLF2 mutation, while MYD88 and TP53 mutations were nearly exclusively found in those without KLF2 mutation. NOTCH2, TRAF3, TNFAIP3 and CARD11 mutations were observed in SMZL both with and without KLF2 mutation. Taken together, KLF2 mutation is the most common genetic change in SMZL and identifies a subset with a distinct genotype characterised by multi-genetic changes. These different genetic changes may deregulate various signalling pathways and generate cooperative oncogenic properties, thereby contributing to lymphomagenesis.","author":[{"dropping-particle":"","family":"Clipson","given":"A.","non-dropping-particle":"","parse-names":false,"suffix":""},{"dropping-particle":"","family":"Wang","given":"M.","non-dropping-particle":"","parse-names":false,"suffix":""},{"dropping-particle":"","family":"Leval","given":"L.","non-dropping-particle":"De","parse-names":false,"suffix":""},{"dropping-particle":"","family":"Ashton-Key","given":"M.","non-dropping-particle":"","parse-names":false,"suffix":""},{"dropping-particle":"","family":"Wotherspoon","given":"A.","non-dropping-particle":"","parse-names":false,"suffix":""},{"dropping-particle":"","family":"Vassiliou","given":"G.","non-dropping-particle":"","parse-names":false,"suffix":""},{"dropping-particle":"","family":"Bolli","given":"N.","non-dropping-particle":"","parse-names":false,"suffix":""},{"dropping-particle":"","family":"Grove","given":"C.","non-dropping-particle":"","parse-names":false,"suffix":""},{"dropping-particle":"","family":"Moody","given":"S.","non-dropping-particle":"","parse-names":false,"suffix":""},{"dropping-particle":"","family":"Escudero-Ibarz","given":"L.","non-dropping-particle":"","parse-names":false,"suffix":""},{"dropping-particle":"","family":"Gundem","given":"G.","non-dropping-particle":"","parse-names":false,"suffix":""},{"dropping-particle":"","family":"Brugger","given":"K.","non-dropping-particle":"","parse-names":false,"suffix":""},{"dropping-particle":"","family":"Xue","given":"X.","non-dropping-particle":"","parse-names":false,"suffix":""},{"dropping-particle":"","family":"Mi","given":"E.","non-dropping-particle":"","parse-names":false,"suffix":""},{"dropping-particle":"","family":"Bench","given":"A.","non-dropping-particle":"","parse-names":false,"suffix":""},{"dropping-particle":"","family":"Scott","given":"M.","non-dropping-particle":"","parse-names":false,"suffix":""},{"dropping-particle":"","family":"Liu","given":"H.","non-dropping-particle":"","parse-names":false,"suffix":""},{"dropping-particle":"","family":"Follows","given":"G.","non-dro</w:instrText>
      </w:r>
      <w:r w:rsidR="00CE6824" w:rsidRPr="00245037">
        <w:rPr>
          <w:rFonts w:ascii="Times New Roman" w:hAnsi="Times New Roman" w:cs="Times New Roman"/>
          <w:sz w:val="24"/>
          <w:szCs w:val="24"/>
          <w:lang w:val="es-CO"/>
        </w:rPr>
        <w:instrText>pping-particle":"","parse-names":false,"suffix":""},{"dropping-particle":"","family":"Robles","given":"E. F.","non-dropping-particle":"","parse-names":false,"suffix":""},{"dropping-particle":"","family":"Martinez-Climent","given":"J. A.","non-dropping-particle":"","parse-names":false,"suffix":""},{"dropping-particle":"","family":"Oscier","given":"D.","non-dropping-particle":"","parse-names":false,"suffix":""},{"dropping-particle":"","family":"Watkins","given":"A. J.","non-dropping-particle":"","parse-names":false,"suffix":""},{"dropping-particle":"","family":"Du","given":"M. Q.","non-dropping-particle":"","parse-names":false,"suffix":""}],"container-title":"Leukemia","id":"ITEM-4","issue":"5","issued":{"date-parts":[["2015"]]},"page":"1177-1185","title":"KLF2 mutation is the most frequent somatic change in splenic marginal zone lymphoma and identifies a subset with distinct genotype","type":"article-journal","volume":"29"},"uris":["http://www.mendeley.com/documents/?uuid=9a03fc8c-403a-4b3d-8ecb-3673a4b13433"]}],"mendeley":{"formattedCitation":"(Clipson et al., 2015; Jallades et al., 2017; Parry et al., 2015; Piva et al., 2015)","plainTextFormattedCitation":"(Clipson et al., 2015; Jallades et al., 2017; Parry et al., 2015; Piva et al., 2015)","previouslyFormattedCitation":"(Clipson et al., 2015; Jallades et al., 2017; Parry et al., 2015; Piva et al., 2015)"},"properties":{"noteIndex":0},"schema":"https://github.com/citation-style-language/schema/raw/master/csl-citation.json"}</w:instrText>
      </w:r>
      <w:r w:rsidR="00CE6824" w:rsidRPr="00245037">
        <w:rPr>
          <w:rFonts w:ascii="Times New Roman" w:hAnsi="Times New Roman" w:cs="Times New Roman"/>
          <w:sz w:val="24"/>
          <w:szCs w:val="24"/>
          <w:lang w:val="en-GB"/>
        </w:rPr>
        <w:fldChar w:fldCharType="separate"/>
      </w:r>
      <w:r w:rsidR="00CE6824" w:rsidRPr="00245037">
        <w:rPr>
          <w:rFonts w:ascii="Times New Roman" w:hAnsi="Times New Roman" w:cs="Times New Roman"/>
          <w:noProof/>
          <w:sz w:val="24"/>
          <w:szCs w:val="24"/>
          <w:lang w:val="es-CO"/>
        </w:rPr>
        <w:t>(Clipson et al., 2015; Jallades et al., 2017; Parry et al., 2015; Piva et al., 2015)</w:t>
      </w:r>
      <w:r w:rsidR="00CE6824" w:rsidRPr="00245037">
        <w:rPr>
          <w:rFonts w:ascii="Times New Roman" w:hAnsi="Times New Roman" w:cs="Times New Roman"/>
          <w:sz w:val="24"/>
          <w:szCs w:val="24"/>
          <w:lang w:val="en-GB"/>
        </w:rPr>
        <w:fldChar w:fldCharType="end"/>
      </w:r>
      <w:r w:rsidR="00CE6824" w:rsidRPr="00245037">
        <w:rPr>
          <w:rFonts w:ascii="Times New Roman" w:hAnsi="Times New Roman" w:cs="Times New Roman"/>
          <w:sz w:val="24"/>
          <w:szCs w:val="24"/>
          <w:lang w:val="es-CO"/>
        </w:rPr>
        <w:t xml:space="preserve">. </w:t>
      </w:r>
      <w:r w:rsidR="00540787" w:rsidRPr="00245037">
        <w:rPr>
          <w:rFonts w:ascii="Times New Roman" w:hAnsi="Times New Roman" w:cs="Times New Roman"/>
          <w:sz w:val="24"/>
          <w:szCs w:val="24"/>
          <w:lang w:val="en-GB"/>
        </w:rPr>
        <w:t>Although no functional evidence on this specific variant is available, it is very likely that due to its position on the first exon it would result in a truncated and non-functional protein. Furthermore, this variant has a scaled CADD score of 36 indicating that it is predicted to be the 0.1% most deleterious substitutions you can do to the human genome.</w:t>
      </w:r>
      <w:r w:rsidR="00CE6824" w:rsidRPr="00245037">
        <w:rPr>
          <w:rFonts w:ascii="Times New Roman" w:hAnsi="Times New Roman" w:cs="Times New Roman"/>
          <w:sz w:val="24"/>
          <w:szCs w:val="24"/>
          <w:lang w:val="en-GB"/>
        </w:rPr>
        <w:t xml:space="preserve"> </w:t>
      </w:r>
      <w:r w:rsidR="00CE6824" w:rsidRPr="00245037">
        <w:rPr>
          <w:rFonts w:ascii="Times New Roman" w:hAnsi="Times New Roman" w:cs="Times New Roman"/>
          <w:i/>
          <w:sz w:val="24"/>
          <w:szCs w:val="24"/>
          <w:lang w:val="en-GB"/>
        </w:rPr>
        <w:t>KLF2</w:t>
      </w:r>
      <w:r w:rsidR="00CE6824" w:rsidRPr="00245037">
        <w:rPr>
          <w:rFonts w:ascii="Times New Roman" w:hAnsi="Times New Roman" w:cs="Times New Roman"/>
          <w:sz w:val="24"/>
          <w:szCs w:val="24"/>
          <w:lang w:val="en-GB"/>
        </w:rPr>
        <w:t xml:space="preserve"> mutations</w:t>
      </w:r>
      <w:r w:rsidR="00CE6824" w:rsidRPr="00002888">
        <w:rPr>
          <w:rFonts w:ascii="Times New Roman" w:hAnsi="Times New Roman" w:cs="Times New Roman"/>
          <w:sz w:val="24"/>
          <w:szCs w:val="24"/>
          <w:lang w:val="en-GB"/>
        </w:rPr>
        <w:t xml:space="preserve"> are early, clonal events, enriched in patients with del</w:t>
      </w:r>
      <w:r w:rsidR="008F627E" w:rsidRPr="00002888">
        <w:rPr>
          <w:rFonts w:ascii="Times New Roman" w:hAnsi="Times New Roman" w:cs="Times New Roman"/>
          <w:sz w:val="24"/>
          <w:szCs w:val="24"/>
          <w:lang w:val="en-GB"/>
        </w:rPr>
        <w:t>etions of 7q</w:t>
      </w:r>
      <w:r w:rsidR="00CE6824" w:rsidRPr="00002888">
        <w:rPr>
          <w:rFonts w:ascii="Times New Roman" w:hAnsi="Times New Roman" w:cs="Times New Roman"/>
          <w:sz w:val="24"/>
          <w:szCs w:val="24"/>
          <w:lang w:val="en-GB"/>
        </w:rPr>
        <w:t xml:space="preserve"> and </w:t>
      </w:r>
      <w:r w:rsidR="00CE6824" w:rsidRPr="00002888">
        <w:rPr>
          <w:rFonts w:ascii="Times New Roman" w:hAnsi="Times New Roman" w:cs="Times New Roman"/>
          <w:i/>
          <w:sz w:val="24"/>
          <w:szCs w:val="24"/>
          <w:lang w:val="en-GB"/>
        </w:rPr>
        <w:t>IGHV1-2*04</w:t>
      </w:r>
      <w:r w:rsidR="00CE6824" w:rsidRPr="00002888">
        <w:rPr>
          <w:rFonts w:ascii="Times New Roman" w:hAnsi="Times New Roman" w:cs="Times New Roman"/>
          <w:sz w:val="24"/>
          <w:szCs w:val="24"/>
          <w:lang w:val="en-GB"/>
        </w:rPr>
        <w:t xml:space="preserve"> gene usage and are associated with a short median time to first treatment in univariate survival analysis </w:t>
      </w:r>
      <w:r w:rsidR="00A67828" w:rsidRPr="00002888">
        <w:rPr>
          <w:rFonts w:ascii="Times New Roman" w:hAnsi="Times New Roman" w:cs="Times New Roman"/>
          <w:sz w:val="24"/>
          <w:szCs w:val="24"/>
          <w:lang w:val="en-GB"/>
        </w:rPr>
        <w:fldChar w:fldCharType="begin" w:fldLock="1"/>
      </w:r>
      <w:r w:rsidR="00FB4C32" w:rsidRPr="00002888">
        <w:rPr>
          <w:rFonts w:ascii="Times New Roman" w:hAnsi="Times New Roman" w:cs="Times New Roman"/>
          <w:sz w:val="24"/>
          <w:szCs w:val="24"/>
          <w:lang w:val="en-GB"/>
        </w:rPr>
        <w:instrText>ADDIN CSL_CITATION {"citationItems":[{"id":"ITEM-1","itemData":{"DOI":"10.1158/1078-0432.CCR-14-2759","ISSN":"15573265","PMID":"25779943","abstract":"Purpose: Mounting evidence supports the clinical significance of gene mutations and immunogenetic features in common mature B-cell malignancies.\\n\\nExperimental Design: We undertook a detailed characterization of the genetic background of splenic marginal zone lymphoma (SMZL), using targeted resequencing and explored potential clinical implications in a multinational cohort of 175 patients with SMZL.\\n\\nResults: We identified recurrent mutations in TP53 (16%), KLF2 (12%), NOTCH2 (10%), TNFAIP3 (7%), MLL2 (11%), MYD88 (7%), and ARID1A (6%), all genes known to be targeted by somatic mutation in SMZL. KLF2 mutations were early, clonal events, enriched in patients with del(7q) and IGHV1-2*04 B-cell receptor immunoglobulins, and were associated with a short median time to first treatment (0.12 vs. 1.11 years; P = 0.01). In multivariate analysis, mutations in NOTCH2 [HR, 2.12; 95% confidence interval (CI), 1.02–4.4; P = 0.044] and 100% germline IGHV gene identity (HR, 2.19; 95% CI, 1.05–4.55; P = 0.036) were independent markers of short time to first treatment, whereas TP53 mutations were an independent marker of short overall survival (HR, 2.36; 95 % CI, 1.08–5.2; P = 0.03).\\n\\nConclusions: We identify key associations between gene mutations and clinical outcome, demonstrating for the first time that NOTCH2 and TP53 gene mutations are independent markers of reduced treatment-free and overall survival, respectively. Clin Cancer Res; 21(18); 4174–83. ©2015 AACR .","author":[{"dropping-particle":"","family":"Parry","given":"Marina","non-dropping-particle":"","parse-names":false,"suffix":""},{"dropping-particle":"","family":"Rose-Zerilli","given":"Matthew J.J.","non-dropping-particle":"","parse-names":false,"suffix":""},{"dropping-particle":"","family":"Ljungström","given":"Viktor","non-dropping-particle":"","parse-names":false,"suffix":""},{"dropping-particle":"","family":"Gibson","given":"Jane","non-dropping-particle":"","parse-names":false,"suffix":""},{"dropping-particle":"","family":"Wang","given":"Jun","non-dropping-particle":"","parse-names":false,"suffix":""},{"dropping-particle":"","family":"Walewska","given":"Renata","non-dropping-particle":"","parse-names":false,"suffix":""},{"dropping-particle":"","family":"Parker","given":"Helen","non-dropping-particle":"","parse-names":false,"suffix":""},{"dropping-particle":"","family":"Parker","given":"Anton","non-dropping-particle":"","parse-names":false,"suffix":""},{"dropping-particle":"","family":"Davis","given":"Zadie","non-dropping-particle":"","parse-names":false,"suffix":""},{"dropping-particle":"","family":"Gardiner","given":"Anne","non-dropping-particle":"","parse-names":false,"suffix":""},{"dropping-particle":"","family":"McIver-Brown","given":"Neil","non-dropping-particle":"","parse-names":false,"suffix":""},{"dropping-particle":"","family":"Kalpadakis","given":"Christina","non-dropping-particle":"","parse-names":false,"suffix":""},{"dropping-particle":"","family":"Xochelli","given":"Aliki","non-dropping-particle":"","parse-names":false,"suffix":""},{"dropping-particle":"","family":"Anagnostopoulos","given":"Achilles","non-dropping-particle":"","parse-names":false,"suffix":""},{"dropping-particle":"","family":"Fazi","given":"Claudia","non-dropping-particle":"","parse-names":false,"suffix":""},{"dropping-particle":"","family":"Castro","given":"David Gonzalez","non-dropping-particle":"De","parse-names":false,"suffix":""},{"dropping-particle":"","family":"Dearden","given":"Claire","non-dropping-particle":"","parse-names":false,"suffix":""},{"dropping-particle":"","family":"Pratt","given":"Guy","non-dropping-particle":"","parse-names":false,"suffix":""},{"dropping-particle":"","family":"Rosenquist","given":"Richard","non-dropping-particle":"","parse-names":false,"suffix":""},{"dropping-particle":"","family":"Ashton-Key","given":"Margaret","non-dropping-particle":"","parse-names":false,"suffix":""},{"dropping-particle":"","family":"Forconi","given":"Francesco","non-dropping-particle":"","parse-names":false,"suffix":""},{"dropping-particle":"","family":"Collins","given":"Andrew","non-dropping-particle":"","parse-names":false,"suffix":""},{"dropping-particle":"","family":"Ghia","given":"Paolo","non-dropping-particle":"","parse-names":false,"suffix":""},{"dropping-particle":"","family":"Matutes","given":"Estella","non-dropping-particle":"","parse-names":false,"suffix":""},{"dropping-particle":"","family":"Pangalis","given":"Gerassimos","non-dropping-particle":"","parse-names":false,"suffix":""},{"dropping-particle":"","family":"Stamatopoulos","given":"Kostas","non-dropping-particle":"","parse-names":false,"suffix":""},{"dropping-particle":"","family":"Oscier","given":"David","non-dropping-particle":"","parse-names":false,"suffix":""},{"dropping-particle":"","family":"Strefford","given":"Jonathan C.","non-dropping-particle":"","parse-names":false,"suffix":""}],"container-title":"Clinical Cancer Research","id":"ITEM-1","issue":"18","issued":{"date-parts":[["2015"]]},"page":"4174-4183","title":"Genetics and prognostication in splenic marginal zone lymphoma: Revelations from deep sequencing","type":"article-journal","volume":"21"},"uris":["http://www.mendeley.com/documents/?uuid=81509c2c-3e61-4115-bfa1-3ac38fc7fb12"]}],"mendeley":{"formattedCitation":"(Parry et al., 2015)","plainTextFormattedCitation":"(Parry et al., 2015)","previouslyFormattedCitation":"(Parry et al., 2015)"},"properties":{"noteIndex":0},"schema":"https://github.com/citation-style-language/schema/raw/master/csl-citation.json"}</w:instrText>
      </w:r>
      <w:r w:rsidR="00A67828" w:rsidRPr="00002888">
        <w:rPr>
          <w:rFonts w:ascii="Times New Roman" w:hAnsi="Times New Roman" w:cs="Times New Roman"/>
          <w:sz w:val="24"/>
          <w:szCs w:val="24"/>
          <w:lang w:val="en-GB"/>
        </w:rPr>
        <w:fldChar w:fldCharType="separate"/>
      </w:r>
      <w:r w:rsidR="00A67828" w:rsidRPr="00002888">
        <w:rPr>
          <w:rFonts w:ascii="Times New Roman" w:hAnsi="Times New Roman" w:cs="Times New Roman"/>
          <w:noProof/>
          <w:sz w:val="24"/>
          <w:szCs w:val="24"/>
          <w:lang w:val="en-GB"/>
        </w:rPr>
        <w:t>(Parry et al., 2015)</w:t>
      </w:r>
      <w:r w:rsidR="00A67828" w:rsidRPr="00002888">
        <w:rPr>
          <w:rFonts w:ascii="Times New Roman" w:hAnsi="Times New Roman" w:cs="Times New Roman"/>
          <w:sz w:val="24"/>
          <w:szCs w:val="24"/>
          <w:lang w:val="en-GB"/>
        </w:rPr>
        <w:fldChar w:fldCharType="end"/>
      </w:r>
      <w:r w:rsidR="00CE6824" w:rsidRPr="00002888">
        <w:rPr>
          <w:rFonts w:ascii="Times New Roman" w:hAnsi="Times New Roman" w:cs="Times New Roman"/>
          <w:sz w:val="24"/>
          <w:szCs w:val="24"/>
          <w:lang w:val="en-GB"/>
        </w:rPr>
        <w:t>.</w:t>
      </w:r>
    </w:p>
    <w:p w14:paraId="63BDA347" w14:textId="2655672A" w:rsidR="00142459" w:rsidRDefault="00453675" w:rsidP="00CE6824">
      <w:pPr>
        <w:rPr>
          <w:rFonts w:ascii="Times New Roman" w:hAnsi="Times New Roman" w:cs="Times New Roman"/>
          <w:sz w:val="20"/>
          <w:szCs w:val="20"/>
          <w:lang w:val="en-GB"/>
        </w:rPr>
      </w:pPr>
      <w:r>
        <w:rPr>
          <w:rFonts w:ascii="Times New Roman" w:hAnsi="Times New Roman" w:cs="Times New Roman"/>
          <w:noProof/>
          <w:sz w:val="20"/>
          <w:szCs w:val="20"/>
          <w:lang w:val="en-GB"/>
        </w:rPr>
        <w:lastRenderedPageBreak/>
        <w:drawing>
          <wp:inline distT="0" distB="0" distL="0" distR="0" wp14:anchorId="356370C7" wp14:editId="4A57567F">
            <wp:extent cx="5943600" cy="7429500"/>
            <wp:effectExtent l="0" t="0" r="0"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4D59832A" w14:textId="1BCE5020" w:rsidR="00142459" w:rsidRPr="00510494" w:rsidRDefault="00142459" w:rsidP="00CE6824">
      <w:pPr>
        <w:rPr>
          <w:rFonts w:ascii="Times New Roman" w:hAnsi="Times New Roman" w:cs="Times New Roman"/>
          <w:sz w:val="20"/>
          <w:szCs w:val="20"/>
          <w:lang w:val="en-GB"/>
        </w:rPr>
      </w:pPr>
      <w:r w:rsidRPr="00D7020E">
        <w:rPr>
          <w:rFonts w:ascii="Times New Roman" w:hAnsi="Times New Roman" w:cs="Times New Roman"/>
          <w:b/>
          <w:bCs/>
          <w:sz w:val="20"/>
          <w:szCs w:val="20"/>
          <w:lang w:val="en-GB"/>
        </w:rPr>
        <w:t>Figure 3.</w:t>
      </w:r>
      <w:r>
        <w:rPr>
          <w:rFonts w:ascii="Times New Roman" w:hAnsi="Times New Roman" w:cs="Times New Roman"/>
          <w:sz w:val="20"/>
          <w:szCs w:val="20"/>
          <w:lang w:val="en-GB"/>
        </w:rPr>
        <w:t xml:space="preserve"> </w:t>
      </w:r>
      <w:r w:rsidR="00D7020E" w:rsidRPr="00D7020E">
        <w:rPr>
          <w:rFonts w:ascii="Times New Roman" w:hAnsi="Times New Roman" w:cs="Times New Roman"/>
          <w:b/>
          <w:bCs/>
          <w:sz w:val="20"/>
          <w:szCs w:val="20"/>
          <w:lang w:val="en-GB"/>
        </w:rPr>
        <w:t>A.</w:t>
      </w:r>
      <w:r w:rsidR="00D7020E" w:rsidRPr="00D7020E">
        <w:rPr>
          <w:rFonts w:ascii="Times New Roman" w:hAnsi="Times New Roman" w:cs="Times New Roman"/>
          <w:sz w:val="20"/>
          <w:szCs w:val="20"/>
          <w:lang w:val="en-GB"/>
        </w:rPr>
        <w:t xml:space="preserve"> Mutation frequency (%) of recurrently mutated genes in SMZL. The frequency was calculated using a systematically collated database of published mutations</w:t>
      </w:r>
      <w:r w:rsidR="00BC2FAB">
        <w:rPr>
          <w:rFonts w:ascii="Times New Roman" w:hAnsi="Times New Roman" w:cs="Times New Roman"/>
          <w:sz w:val="20"/>
          <w:szCs w:val="20"/>
          <w:lang w:val="en-GB"/>
        </w:rPr>
        <w:t xml:space="preserve"> and genes are grouped according to affected pathways</w:t>
      </w:r>
      <w:r w:rsidR="00D42449" w:rsidRPr="00453675">
        <w:rPr>
          <w:rFonts w:ascii="Times New Roman" w:hAnsi="Times New Roman" w:cs="Times New Roman"/>
          <w:sz w:val="20"/>
          <w:szCs w:val="20"/>
          <w:highlight w:val="yellow"/>
          <w:lang w:val="en-GB"/>
        </w:rPr>
        <w:t xml:space="preserve">. </w:t>
      </w:r>
      <w:bookmarkStart w:id="1" w:name="_Hlk67923245"/>
      <w:r w:rsidR="00D42449" w:rsidRPr="00245037">
        <w:rPr>
          <w:rFonts w:ascii="Times New Roman" w:hAnsi="Times New Roman" w:cs="Times New Roman"/>
          <w:sz w:val="20"/>
          <w:szCs w:val="20"/>
          <w:lang w:val="en-GB"/>
        </w:rPr>
        <w:t xml:space="preserve">Detailed list and description of mutations, including datasets used, can be accessed in the supplementary material from previous published work </w:t>
      </w:r>
      <w:r w:rsidR="00D42449" w:rsidRPr="00245037">
        <w:rPr>
          <w:rFonts w:ascii="Times New Roman" w:hAnsi="Times New Roman" w:cs="Times New Roman"/>
          <w:sz w:val="20"/>
          <w:szCs w:val="20"/>
          <w:lang w:val="en-GB"/>
        </w:rPr>
        <w:fldChar w:fldCharType="begin" w:fldLock="1"/>
      </w:r>
      <w:r w:rsidR="00590D92" w:rsidRPr="00245037">
        <w:rPr>
          <w:rFonts w:ascii="Times New Roman" w:hAnsi="Times New Roman" w:cs="Times New Roman"/>
          <w:sz w:val="20"/>
          <w:szCs w:val="20"/>
          <w:lang w:val="en-GB"/>
        </w:rPr>
        <w:instrText>ADDIN CSL_CITATION {"citationItems":[{"id":"ITEM-1","itemData":{"DOI":"10.1038/s41598-019-46906-1","ISSN":"2045-2322","author":[{"dropping-particle":"","family":"Jaramillo Oquendo","given":"Carolina","non-dropping-particle":"","parse-names":false,"suffix":""},{"dropping-particle":"","family":"Parker","given":"Helen","non-dropping-particle":"","parse-names":false,"suffix":""},{"dropping-particle":"","family":"Oscier","given":"David","non-dropping-particle":"","parse-names":false,"suffix":""},{"dropping-particle":"","family":"Ennis","given":"Sarah","non-dropping-particle":"","parse-names":false,"suffix":""},{"dropping-particle":"","family":"Gibson","given":"Jane","non-dropping-particle":"","parse-names":false,"suffix":""},{"dropping-particle":"","family":"Strefford","given":"Jonathan C.","non-dropping-particle":"","parse-names":false,"suffix":""}],"container-title":"Scientific Reports","id":"ITEM-1","issue":"1","issued":{"date-parts":[["2019"]]},"page":"1-9","publisher":"Springer US","title":"Systematic Review of Somatic Mutations in Splenic Marginal Zone Lymphoma","type":"article-journal","volume":"9"},"uris":["http://www.mendeley.com/documents/?uuid=e07e354c-2ea8-47d8-b58e-aec6abbe2ec6"]}],"mendeley":{"formattedCitation":"(Jaramillo Oquendo et al., 2019)","plainTextFormattedCitation":"(Jaramillo Oquendo et al., 2019)","previouslyFormattedCitation":"(Jaramillo Oquendo et al., 2019)"},"properties":{"noteIndex":0},"schema":"https://github.com/citation-style-language/schema/raw/master/csl-citation.json"}</w:instrText>
      </w:r>
      <w:r w:rsidR="00D42449" w:rsidRPr="00245037">
        <w:rPr>
          <w:rFonts w:ascii="Times New Roman" w:hAnsi="Times New Roman" w:cs="Times New Roman"/>
          <w:sz w:val="20"/>
          <w:szCs w:val="20"/>
          <w:lang w:val="en-GB"/>
        </w:rPr>
        <w:fldChar w:fldCharType="separate"/>
      </w:r>
      <w:r w:rsidR="00D42449" w:rsidRPr="00245037">
        <w:rPr>
          <w:rFonts w:ascii="Times New Roman" w:hAnsi="Times New Roman" w:cs="Times New Roman"/>
          <w:noProof/>
          <w:sz w:val="20"/>
          <w:szCs w:val="20"/>
          <w:lang w:val="en-GB"/>
        </w:rPr>
        <w:t>(Jaramillo Oquendo et al., 2019)</w:t>
      </w:r>
      <w:r w:rsidR="00D42449" w:rsidRPr="00245037">
        <w:rPr>
          <w:rFonts w:ascii="Times New Roman" w:hAnsi="Times New Roman" w:cs="Times New Roman"/>
          <w:sz w:val="20"/>
          <w:szCs w:val="20"/>
          <w:lang w:val="en-GB"/>
        </w:rPr>
        <w:fldChar w:fldCharType="end"/>
      </w:r>
      <w:r w:rsidR="00D7020E" w:rsidRPr="00245037">
        <w:rPr>
          <w:rFonts w:ascii="Times New Roman" w:hAnsi="Times New Roman" w:cs="Times New Roman"/>
          <w:sz w:val="20"/>
          <w:szCs w:val="20"/>
          <w:lang w:val="en-GB"/>
        </w:rPr>
        <w:t>.</w:t>
      </w:r>
      <w:bookmarkEnd w:id="1"/>
      <w:r w:rsidR="00D7020E" w:rsidRPr="00245037">
        <w:rPr>
          <w:rFonts w:ascii="Times New Roman" w:hAnsi="Times New Roman" w:cs="Times New Roman"/>
          <w:sz w:val="20"/>
          <w:szCs w:val="20"/>
          <w:lang w:val="en-GB"/>
        </w:rPr>
        <w:t xml:space="preserve"> </w:t>
      </w:r>
      <w:r w:rsidR="00D7020E" w:rsidRPr="00245037">
        <w:rPr>
          <w:rFonts w:ascii="Times New Roman" w:hAnsi="Times New Roman" w:cs="Times New Roman"/>
          <w:b/>
          <w:bCs/>
          <w:sz w:val="20"/>
          <w:szCs w:val="20"/>
          <w:lang w:val="en-GB"/>
        </w:rPr>
        <w:t>B.</w:t>
      </w:r>
      <w:r w:rsidR="00D7020E" w:rsidRPr="00245037">
        <w:rPr>
          <w:rFonts w:ascii="Times New Roman" w:hAnsi="Times New Roman" w:cs="Times New Roman"/>
          <w:sz w:val="20"/>
          <w:szCs w:val="20"/>
          <w:lang w:val="en-GB"/>
        </w:rPr>
        <w:t xml:space="preserve"> Word</w:t>
      </w:r>
      <w:r w:rsidR="00D7020E" w:rsidRPr="00D7020E">
        <w:rPr>
          <w:rFonts w:ascii="Times New Roman" w:hAnsi="Times New Roman" w:cs="Times New Roman"/>
          <w:sz w:val="20"/>
          <w:szCs w:val="20"/>
          <w:lang w:val="en-GB"/>
        </w:rPr>
        <w:t xml:space="preserve"> cloud of gene symbols that have been found </w:t>
      </w:r>
      <w:r w:rsidR="00D7020E" w:rsidRPr="00D7020E">
        <w:rPr>
          <w:rFonts w:ascii="Times New Roman" w:hAnsi="Times New Roman" w:cs="Times New Roman"/>
          <w:sz w:val="20"/>
          <w:szCs w:val="20"/>
          <w:lang w:val="en-GB"/>
        </w:rPr>
        <w:lastRenderedPageBreak/>
        <w:t xml:space="preserve">mutated in SMZL. The size of each gene symbol is proportional to the frequency of mutations in SMZL. </w:t>
      </w:r>
      <w:r w:rsidR="00D7020E" w:rsidRPr="00D7020E">
        <w:rPr>
          <w:rFonts w:ascii="Times New Roman" w:hAnsi="Times New Roman" w:cs="Times New Roman"/>
          <w:b/>
          <w:bCs/>
          <w:sz w:val="20"/>
          <w:szCs w:val="20"/>
          <w:lang w:val="en-GB"/>
        </w:rPr>
        <w:t>C.</w:t>
      </w:r>
      <w:r w:rsidR="00D7020E" w:rsidRPr="00D7020E">
        <w:rPr>
          <w:rFonts w:ascii="Times New Roman" w:hAnsi="Times New Roman" w:cs="Times New Roman"/>
          <w:sz w:val="20"/>
          <w:szCs w:val="20"/>
          <w:lang w:val="en-GB"/>
        </w:rPr>
        <w:t xml:space="preserve"> </w:t>
      </w:r>
      <w:proofErr w:type="spellStart"/>
      <w:r w:rsidR="00D7020E" w:rsidRPr="00D7020E">
        <w:rPr>
          <w:rFonts w:ascii="Times New Roman" w:hAnsi="Times New Roman" w:cs="Times New Roman"/>
          <w:sz w:val="20"/>
          <w:szCs w:val="20"/>
          <w:lang w:val="en-GB"/>
        </w:rPr>
        <w:t>Lolliplot</w:t>
      </w:r>
      <w:proofErr w:type="spellEnd"/>
      <w:r w:rsidR="00D7020E" w:rsidRPr="00D7020E">
        <w:rPr>
          <w:rFonts w:ascii="Times New Roman" w:hAnsi="Times New Roman" w:cs="Times New Roman"/>
          <w:sz w:val="20"/>
          <w:szCs w:val="20"/>
          <w:lang w:val="en-GB"/>
        </w:rPr>
        <w:t xml:space="preserve"> of </w:t>
      </w:r>
      <w:r w:rsidR="00D7020E" w:rsidRPr="00D7020E">
        <w:rPr>
          <w:rFonts w:ascii="Times New Roman" w:hAnsi="Times New Roman" w:cs="Times New Roman"/>
          <w:i/>
          <w:iCs/>
          <w:sz w:val="20"/>
          <w:szCs w:val="20"/>
          <w:lang w:val="en-GB"/>
        </w:rPr>
        <w:t>NOTCH2, KLF2</w:t>
      </w:r>
      <w:r w:rsidR="00D7020E" w:rsidRPr="00D7020E">
        <w:rPr>
          <w:rFonts w:ascii="Times New Roman" w:hAnsi="Times New Roman" w:cs="Times New Roman"/>
          <w:sz w:val="20"/>
          <w:szCs w:val="20"/>
          <w:lang w:val="en-GB"/>
        </w:rPr>
        <w:t xml:space="preserve"> and </w:t>
      </w:r>
      <w:r w:rsidR="00D7020E" w:rsidRPr="00D7020E">
        <w:rPr>
          <w:rFonts w:ascii="Times New Roman" w:hAnsi="Times New Roman" w:cs="Times New Roman"/>
          <w:i/>
          <w:iCs/>
          <w:sz w:val="20"/>
          <w:szCs w:val="20"/>
          <w:lang w:val="en-GB"/>
        </w:rPr>
        <w:t>TP53</w:t>
      </w:r>
      <w:r w:rsidR="00D7020E" w:rsidRPr="00D7020E">
        <w:rPr>
          <w:rFonts w:ascii="Times New Roman" w:hAnsi="Times New Roman" w:cs="Times New Roman"/>
          <w:sz w:val="20"/>
          <w:szCs w:val="20"/>
          <w:lang w:val="en-GB"/>
        </w:rPr>
        <w:t>. The figure illustrates a linear protein representing each gene with its respective domains. The height represents the number of variants reported in the literature and circle colour identifies the type of mutation.</w:t>
      </w:r>
      <w:r w:rsidR="00884B8F">
        <w:rPr>
          <w:rFonts w:ascii="Times New Roman" w:hAnsi="Times New Roman" w:cs="Times New Roman"/>
          <w:sz w:val="20"/>
          <w:szCs w:val="20"/>
          <w:lang w:val="en-GB"/>
        </w:rPr>
        <w:t xml:space="preserve"> </w:t>
      </w:r>
      <w:r w:rsidR="00623D62" w:rsidRPr="002F74CE">
        <w:rPr>
          <w:rFonts w:ascii="Times New Roman" w:hAnsi="Times New Roman" w:cs="Times New Roman"/>
          <w:sz w:val="20"/>
          <w:szCs w:val="20"/>
          <w:lang w:val="en-GB"/>
        </w:rPr>
        <w:t>Data obtained from</w:t>
      </w:r>
      <w:r w:rsidR="002F74CE" w:rsidRPr="002F74CE">
        <w:rPr>
          <w:rFonts w:ascii="Times New Roman" w:hAnsi="Times New Roman" w:cs="Times New Roman"/>
          <w:sz w:val="20"/>
          <w:szCs w:val="20"/>
          <w:lang w:val="en-GB"/>
        </w:rPr>
        <w:t xml:space="preserve"> J</w:t>
      </w:r>
      <w:r w:rsidR="002F74CE" w:rsidRPr="00510494">
        <w:rPr>
          <w:rFonts w:ascii="Times New Roman" w:hAnsi="Times New Roman" w:cs="Times New Roman"/>
          <w:sz w:val="20"/>
          <w:szCs w:val="20"/>
          <w:lang w:val="en-GB"/>
        </w:rPr>
        <w:t>aramillo Oquendo et al., 2019.</w:t>
      </w:r>
    </w:p>
    <w:p w14:paraId="59D2F316" w14:textId="24423A76" w:rsidR="009B22FF" w:rsidRPr="00002888" w:rsidRDefault="009B22FF" w:rsidP="00002888">
      <w:pPr>
        <w:pStyle w:val="Heading2"/>
        <w:spacing w:before="0" w:after="0" w:line="360" w:lineRule="auto"/>
        <w:rPr>
          <w:sz w:val="24"/>
          <w:szCs w:val="24"/>
        </w:rPr>
      </w:pPr>
      <w:r w:rsidRPr="00002888">
        <w:rPr>
          <w:i/>
          <w:iCs/>
          <w:sz w:val="24"/>
          <w:szCs w:val="24"/>
        </w:rPr>
        <w:t>NOTCH2</w:t>
      </w:r>
      <w:r w:rsidR="00161FC1" w:rsidRPr="00002888">
        <w:rPr>
          <w:sz w:val="24"/>
          <w:szCs w:val="24"/>
        </w:rPr>
        <w:t xml:space="preserve"> mutations</w:t>
      </w:r>
      <w:r w:rsidR="00F54D32" w:rsidRPr="00002888">
        <w:rPr>
          <w:sz w:val="24"/>
          <w:szCs w:val="24"/>
        </w:rPr>
        <w:t xml:space="preserve"> occur in 10-25% of cases</w:t>
      </w:r>
    </w:p>
    <w:p w14:paraId="0EB3E7B6" w14:textId="7AD472EC" w:rsidR="00CE2497" w:rsidRDefault="001C5526" w:rsidP="008F20CD">
      <w:pPr>
        <w:spacing w:before="0" w:after="0" w:line="360" w:lineRule="auto"/>
        <w:jc w:val="left"/>
        <w:rPr>
          <w:rFonts w:ascii="Times New Roman" w:hAnsi="Times New Roman" w:cs="Times New Roman"/>
          <w:sz w:val="24"/>
          <w:szCs w:val="24"/>
          <w:lang w:val="en-GB"/>
        </w:rPr>
      </w:pPr>
      <w:r w:rsidRPr="00002888">
        <w:rPr>
          <w:rFonts w:ascii="Times New Roman" w:hAnsi="Times New Roman" w:cs="Times New Roman"/>
          <w:sz w:val="24"/>
          <w:szCs w:val="24"/>
          <w:lang w:val="en-GB"/>
        </w:rPr>
        <w:t xml:space="preserve">In murine models, and to a lesser extent in humans also, </w:t>
      </w:r>
      <w:r w:rsidR="00B71B35" w:rsidRPr="00002888">
        <w:rPr>
          <w:rFonts w:ascii="Times New Roman" w:hAnsi="Times New Roman" w:cs="Times New Roman"/>
          <w:sz w:val="24"/>
          <w:szCs w:val="24"/>
          <w:lang w:val="en-GB"/>
        </w:rPr>
        <w:t>NOTCH2</w:t>
      </w:r>
      <w:r w:rsidRPr="00002888">
        <w:rPr>
          <w:rFonts w:ascii="Times New Roman" w:hAnsi="Times New Roman" w:cs="Times New Roman"/>
          <w:sz w:val="24"/>
          <w:szCs w:val="24"/>
          <w:lang w:val="en-GB"/>
        </w:rPr>
        <w:t xml:space="preserve"> plays a key role in MZ B-cell maturation and MZ retention </w:t>
      </w:r>
      <w:r w:rsidRPr="00002888">
        <w:rPr>
          <w:rFonts w:ascii="Times New Roman" w:hAnsi="Times New Roman" w:cs="Times New Roman"/>
          <w:sz w:val="24"/>
          <w:szCs w:val="24"/>
          <w:lang w:val="en-GB"/>
        </w:rPr>
        <w:fldChar w:fldCharType="begin" w:fldLock="1"/>
      </w:r>
      <w:r w:rsidR="00C0400E" w:rsidRPr="00002888">
        <w:rPr>
          <w:rFonts w:ascii="Times New Roman" w:hAnsi="Times New Roman" w:cs="Times New Roman"/>
          <w:sz w:val="24"/>
          <w:szCs w:val="24"/>
          <w:lang w:val="en-GB"/>
        </w:rPr>
        <w:instrText>ADDIN CSL_CITATION {"citationItems":[{"id":"ITEM-1","itemData":{"DOI":"10.1038/ni793","ISSN":"1529-2908","PMID":"11967543","abstract":"RBP-J is a key mediator of Notch signaling that regulates cell fate determination in various lineages. To investigate the function of Notch-RBP-J in mature B cell differentiation, we generated mice that selectively lacked B cell RBP-J expression using conditional mutagenesis. Absence of RBP-J led to the loss of marginal zone B (MZB) cells with a concomitant increase in follicular B cells; in contrast, B1 cells in the peritoneal cavity were unaffected. Lack of RBP-J caused no defects in B cells maintenance, survival, plasma cell differentiation or activation. It is therefore likely that Notch-RBP-J signaling regulates the lineage commitment of mature B cells into follicular versus MZB cells. In addition, in mice with RBP-J-deficient B cells, had no obvious changes in immunoglobulin production in response to Ficoll, lipopolysaccharide or chicken gammaglobulin. In contrast, these mice exhibited increased mortality rates after blood-borne bacterial infection, which indicates that MZB cells play pivotal roles in the clearance of these bacteria.","author":[{"dropping-particle":"","family":"Tanigaki","given":"Kenji","non-dropping-particle":"","parse-names":false,"suffix":""},{"dropping-particle":"","family":"Han","given":"Hua","non-dropping-particle":"","parse-names":false,"suffix":""},{"dropping-particle":"","family":"Yamamoto","given":"Norio","non-dropping-particle":"","parse-names":false,"suffix":""},{"dropping-particle":"","family":"Tashiro","given":"Kei","non-dropping-particle":"","parse-names":false,"suffix":""},{"dropping-particle":"","family":"Ikegawa","given":"Masaya","non-dropping-particle":"","parse-names":false,"suffix":""},{"dropping-particle":"","family":"Kuroda","given":"Kazuki","non-dropping-particle":"","parse-names":false,"suffix":""},{"dropping-particle":"","family":"Suzuki","given":"Akira","non-dropping-particle":"","parse-names":false,"suffix":""},{"dropping-particle":"","family":"Nakano","given":"Toru","non-dropping-particle":"","parse-names":false,"suffix":""},{"dropping-particle":"","family":"Honjo","given":"Tasuku","non-dropping-particle":"","parse-names":false,"suffix":""}],"container-title":"Nature immunology","id":"ITEM-1","issue":"5","issued":{"date-parts":[["2002","5"]]},"page":"443-50","title":"Notch-RBP-J signaling is involved in cell fate determination of marginal zone B cells.","type":"article-journal","volume":"3"},"uris":["http://www.mendeley.com/documents/?uuid=edb56f60-01b9-463c-8833-e4954bf7f009"]},{"id":"ITEM-2","itemData":{"DOI":"10.1016/s1074-7613(03)00111-0","ISSN":"1074-7613","PMID":"12753744","abstract":"The Notch genes play a key role in cellular differentiation. The significance of Notch1 during thymocyte development is well characterized, but the function of Notch2 is poorly understood. Here we demonstrate that Notch2 but no other Notch family member is preferentially expressed in mature B cells and that conditionally targeted deletion of Notch2 results in the defect of marginal zone B (MZB) cells and their presumed precursors, CD1d(hi) fraction of type 2 transitional B cells. Among Notch target genes, the expression level of Deltex1 is prominent in MZB cells and strictly dependent on that of Notch2, suggesting that Deltex1 may play a role in MZB cell differentiation.","author":[{"dropping-particle":"","family":"Saito","given":"Toshiki","non-dropping-particle":"","parse-names":false,"suffix":""},{"dropping-particle":"","family":"Chiba","given":"Shigeru","non-dropping-particle":"","parse-names":false,"suffix":""},{"dropping-particle":"","family":"Ichikawa","given":"Motoshi","non-dropping-particle":"","parse-names":false,"suffix":""},{"dropping-particle":"","family":"Kunisato","given":"Atsushi","non-dropping-particle":"","parse-names":false,"suffix":""},{"dropping-particle":"","family":"Asai","given":"Takashi","non-dropping-particle":"","parse-names":false,"suffix":""},{"dropping-particle":"","family":"Shimizu","given":"Kiyoshi","non-dropping-particle":"","parse-names":false,"suffix":""},{"dropping-particle":"","family":"Yamaguchi","given":"Tomoyuki","non-dropping-particle":"","parse-names":false,"suffix":""},{"dropping-particle":"","family":"Yamamoto","given":"Go","non-dropping-particle":"","parse-names":false,"suffix":""},{"dropping-particle":"","family":"Seo","given":"Sachiko","non-dropping-particle":"","parse-names":false,"suffix":""},{"dropping-particle":"","family":"Kumano","given":"Keiki","non-dropping-particle":"","parse-names":false,"suffix":""},{"dropping-particle":"","family":"Nakagami-Yamaguchi","given":"Etsuko","non-dropping-particle":"","parse-names":false,"suffix":""},{"dropping-particle":"","family":"Hamada","given":"Yoshio","non-dropping-particle":"","parse-names":false,"suffix":""},{"dropping-particle":"","family":"Aizawa","given":"Shinichi","non-dropping-particle":"","parse-names":false,"suffix":""},{"dropping-particle":"","family":"Hirai","given":"Hisamaru","non-dropping-particle":"","parse-names":false,"suffix":""}],"container-title":"Immunity","id":"ITEM-2","issue":"5","issued":{"date-parts":[["2003","5"]]},"page":"675-85","title":"Notch2 is preferentially expressed in mature B cells and indispensable for marginal zone B lineage development.","type":"article-journal","volume":"18"},"uris":["http://www.mendeley.com/documents/?uuid=93ea0e3f-804c-4b1f-ab2b-df931d64446b"]},{"id":"ITEM-3","itemData":{"DOI":"10.3389/fonc.2018.00550","ISSN":"2234-943X","abstract":"The systematic application of next-generation sequencing to large cohorts of oncologic samples has opened a Pandora's box full of known and novel genetic lesions implicated in different steps of cancer development and progression. Narrowing down to B cell malignancies, many previously unrecognized genes emerged as recurrently mutated. The challenge now is to determine how the mutation in a given gene affects the biology of the disease, paving the way to functional genomics studies. Mutations in NOTCH family members are shared by several disorders of the B series, even if with variable frequencies and mutational patterns. In silico predictions, revealed that mutations occurring in NOTCH receptors, despite being qualitatively different, may have similar effects on protein processing, ultimately leading to enhanced pathway activation. The discovery of mutations occurring also in downstream players, either potentiating positive signals or compromising negative regulators, indicates that multiple mechanisms in neoplastic B cells concur to activate NOTCH pathway. These findings are supported by results obtained in chronic lymphocytic leukemia and splenic marginal zone B cell lymphoma where deregulation of NOTCH signaling has been functionally characterized. The emerging picture confirms that NOTCH signaling is finely tuned in cell- and microenvironment-dependent ways. In B cell malignancies, it contributes to the regulation of proliferation, survival and migration. However, deeper biological studies are needed to pinpoint the contribution of NOTCH in the hierarchy of events driving B cells transformation, keeping in mind its role in normal B cells development. Because of its relevance in leukemia and lymphoma biology, the NOTCH pathway might represent an appealing therapeutic target: the next few years will tell whether this potential will be fulfilled.","author":[{"dropping-particle":"","family":"Arruga","given":"Francesca","non-dropping-particle":"","parse-names":false,"suffix":""},{"dropping-particle":"","family":"Vaisitti","given":"Tiziana","non-dropping-particle":"","parse-names":false,"suffix":""},{"dropping-particle":"","family":"Deaglio","given":"Silvia","non-dropping-particle":"","parse-names":false,"suffix":""}],"container-title":"Frontiers in Oncology","id":"ITEM-3","issue":"NOV","issued":{"date-parts":[["2018","11","26"]]},"page":"1-18","title":"The NOTCH Pathway and Its Mutations in Mature B Cell Malignancies","type":"article-journal","volume":"8"},"uris":["http://www.mendeley.com/documents/?uuid=aa5f6bad-2332-4564-8c0e-77956319c58e"]},{"id":"ITEM-4","itemData":{"DOI":"10.4049/jimmunol.179.1.195","ISSN":"0022-1767","PMID":"17579038","abstract":"NF-kappaB1 and Notch2 are both required for the development of marginal zone (MZ) B cells. Analysis of B lymphocyte development in mice that are doubly heterozygous at the Notch2 and NF-kappaB1 loci revealed synergism between Notch2 and NF-kappaB1 during MZ B cell development. Two known transcriptional targets of the Notch pathway, Hes-5 and Deltex-1, were found to be preferentially expressed in MZ B cells and regulated by NF-kappaB1. These studies provide in vivo evidence for a genetic interaction between the Notch and NF-kappaB pathways.","author":[{"dropping-particle":"","family":"Moran","given":"Stewart T.","non-dropping-particle":"","parse-names":false,"suffix":""},{"dropping-particle":"","family":"Cariappa","given":"Annaiah","non-dropping-particle":"","parse-names":false</w:instrText>
      </w:r>
      <w:r w:rsidR="00C0400E" w:rsidRPr="00002888">
        <w:rPr>
          <w:rFonts w:ascii="Times New Roman" w:hAnsi="Times New Roman" w:cs="Times New Roman"/>
          <w:sz w:val="24"/>
          <w:szCs w:val="24"/>
          <w:lang w:val="es-CO"/>
        </w:rPr>
        <w:instrText>,"suffix":""},{"dropping-particle":"","family":"Liu","given":"Haoyuan","non-dropping-particle":"","parse-names":false,"suffix":""},{"dropping-particle":"","family":"Muir","given":"Beth","non-dropping-particle":"","parse-names":false,"suffix":""},{"dropping-particle":"","family":"Sgroi","given":"Dennis","non-dropping-particle":"","parse-names":false,"suffix":""},{"dropping-particle":"","family":"Boboila","given":"Cristian","non-dropping-particle":"","parse-names":false,"suffix":""},{"dropping-particle":"","family":"Pillai","given":"Shiv","non-dropping-particle":"","parse-names":false,"suffix":""}],"container-title":"The Journal of Immunology","id":"ITEM-4","issue":"1","issued":{"date-parts":[["2007","7","1"]]},"page":"195-200","publisher":"The American Association of Immunologists","title":"Synergism between NF-</w:instrText>
      </w:r>
      <w:r w:rsidR="00C0400E" w:rsidRPr="00002888">
        <w:rPr>
          <w:rFonts w:ascii="Times New Roman" w:hAnsi="Times New Roman" w:cs="Times New Roman"/>
          <w:sz w:val="24"/>
          <w:szCs w:val="24"/>
          <w:lang w:val="en-GB"/>
        </w:rPr>
        <w:instrText>κ</w:instrText>
      </w:r>
      <w:r w:rsidR="00C0400E" w:rsidRPr="00002888">
        <w:rPr>
          <w:rFonts w:ascii="Times New Roman" w:hAnsi="Times New Roman" w:cs="Times New Roman"/>
          <w:sz w:val="24"/>
          <w:szCs w:val="24"/>
          <w:lang w:val="es-CO"/>
        </w:rPr>
        <w:instrText>B1/p50 and Notch2 during the Development of Marginal Zone B Lymphocytes","type":"article-journal","volume":"179"},"uris":["http://www.mendeley.com/documents/?uuid=7f88500c-1304-396d-8f35-b9c72db22969"]}],"mendeley":{"formattedCitation":"(Arruga et al., 2018; Moran et al., 2007; Saito et al., 2003; Tanigaki et al., 2002)","plainTextFormattedCitation":"(Arruga et al., 2018; Moran et al., 2007; Saito et al., 2003; Tanigaki et al., 2002)","previouslyFormattedCitation":"(Arruga et al., 2018; Moran et al., 2007; Saito et al., 2003; Tanigaki et al., 2002)"},"properties":{"noteIndex":0},"schema":"https://github.com/citation-style-language/schema/raw/master/csl-citation.json"}</w:instrText>
      </w:r>
      <w:r w:rsidRPr="00002888">
        <w:rPr>
          <w:rFonts w:ascii="Times New Roman" w:hAnsi="Times New Roman" w:cs="Times New Roman"/>
          <w:sz w:val="24"/>
          <w:szCs w:val="24"/>
          <w:lang w:val="en-GB"/>
        </w:rPr>
        <w:fldChar w:fldCharType="separate"/>
      </w:r>
      <w:r w:rsidR="00027E0E" w:rsidRPr="00002888">
        <w:rPr>
          <w:rFonts w:ascii="Times New Roman" w:hAnsi="Times New Roman" w:cs="Times New Roman"/>
          <w:noProof/>
          <w:sz w:val="24"/>
          <w:szCs w:val="24"/>
          <w:lang w:val="es-CO"/>
        </w:rPr>
        <w:t>(Arruga et al., 2018; Moran et al., 2007; Saito et al., 2003; Tanigaki et al., 2002)</w:t>
      </w:r>
      <w:r w:rsidRPr="00002888">
        <w:rPr>
          <w:rFonts w:ascii="Times New Roman" w:hAnsi="Times New Roman" w:cs="Times New Roman"/>
          <w:sz w:val="24"/>
          <w:szCs w:val="24"/>
          <w:lang w:val="en-GB"/>
        </w:rPr>
        <w:fldChar w:fldCharType="end"/>
      </w:r>
      <w:r w:rsidR="70120A9C" w:rsidRPr="00002888">
        <w:rPr>
          <w:rFonts w:ascii="Times New Roman" w:hAnsi="Times New Roman" w:cs="Times New Roman"/>
          <w:sz w:val="24"/>
          <w:szCs w:val="24"/>
          <w:lang w:val="es-CO"/>
        </w:rPr>
        <w:t xml:space="preserve">. </w:t>
      </w:r>
      <w:r w:rsidR="007D5452" w:rsidRPr="00002888">
        <w:rPr>
          <w:rFonts w:ascii="Times New Roman" w:hAnsi="Times New Roman" w:cs="Times New Roman"/>
          <w:sz w:val="24"/>
          <w:szCs w:val="24"/>
          <w:lang w:val="en-GB"/>
        </w:rPr>
        <w:t>N</w:t>
      </w:r>
      <w:r w:rsidR="000B0252" w:rsidRPr="00002888">
        <w:rPr>
          <w:rFonts w:ascii="Times New Roman" w:hAnsi="Times New Roman" w:cs="Times New Roman"/>
          <w:sz w:val="24"/>
          <w:szCs w:val="24"/>
          <w:lang w:val="en-GB"/>
        </w:rPr>
        <w:t>OTCH2</w:t>
      </w:r>
      <w:r w:rsidR="02857DA1" w:rsidRPr="00002888">
        <w:rPr>
          <w:rFonts w:ascii="Times New Roman" w:hAnsi="Times New Roman" w:cs="Times New Roman"/>
          <w:sz w:val="24"/>
          <w:szCs w:val="24"/>
          <w:lang w:val="en-GB"/>
        </w:rPr>
        <w:t xml:space="preserve"> </w:t>
      </w:r>
      <w:r w:rsidR="70A3E50B" w:rsidRPr="00002888">
        <w:rPr>
          <w:rFonts w:ascii="Times New Roman" w:hAnsi="Times New Roman" w:cs="Times New Roman"/>
          <w:sz w:val="24"/>
          <w:szCs w:val="24"/>
          <w:lang w:val="en-GB"/>
        </w:rPr>
        <w:t>is a</w:t>
      </w:r>
      <w:r w:rsidR="61CAF332" w:rsidRPr="00002888">
        <w:rPr>
          <w:rFonts w:ascii="Times New Roman" w:hAnsi="Times New Roman" w:cs="Times New Roman"/>
          <w:sz w:val="24"/>
          <w:szCs w:val="24"/>
          <w:lang w:val="en-GB"/>
        </w:rPr>
        <w:t xml:space="preserve"> cell-surface receptor </w:t>
      </w:r>
      <w:r w:rsidR="50871B3D" w:rsidRPr="00002888">
        <w:rPr>
          <w:rFonts w:ascii="Times New Roman" w:hAnsi="Times New Roman" w:cs="Times New Roman"/>
          <w:sz w:val="24"/>
          <w:szCs w:val="24"/>
          <w:lang w:val="en-GB"/>
        </w:rPr>
        <w:t>belonging</w:t>
      </w:r>
      <w:r w:rsidR="02857DA1" w:rsidRPr="00002888">
        <w:rPr>
          <w:rFonts w:ascii="Times New Roman" w:hAnsi="Times New Roman" w:cs="Times New Roman"/>
          <w:sz w:val="24"/>
          <w:szCs w:val="24"/>
          <w:lang w:val="en-GB"/>
        </w:rPr>
        <w:t xml:space="preserve"> to </w:t>
      </w:r>
      <w:r w:rsidR="7DA37D36" w:rsidRPr="00002888">
        <w:rPr>
          <w:rFonts w:ascii="Times New Roman" w:hAnsi="Times New Roman" w:cs="Times New Roman"/>
          <w:sz w:val="24"/>
          <w:szCs w:val="24"/>
          <w:lang w:val="en-GB"/>
        </w:rPr>
        <w:t>a family of evolutionarily conserved trans-</w:t>
      </w:r>
      <w:r w:rsidR="4183E8C6" w:rsidRPr="00002888">
        <w:rPr>
          <w:rFonts w:ascii="Times New Roman" w:hAnsi="Times New Roman" w:cs="Times New Roman"/>
          <w:sz w:val="24"/>
          <w:szCs w:val="24"/>
          <w:lang w:val="en-GB"/>
        </w:rPr>
        <w:t>membrane</w:t>
      </w:r>
      <w:r w:rsidR="7DA37D36" w:rsidRPr="00002888">
        <w:rPr>
          <w:rFonts w:ascii="Times New Roman" w:hAnsi="Times New Roman" w:cs="Times New Roman"/>
          <w:sz w:val="24"/>
          <w:szCs w:val="24"/>
          <w:lang w:val="en-GB"/>
        </w:rPr>
        <w:t xml:space="preserve"> protein</w:t>
      </w:r>
      <w:r w:rsidR="5740CC25" w:rsidRPr="00002888">
        <w:rPr>
          <w:rFonts w:ascii="Times New Roman" w:hAnsi="Times New Roman" w:cs="Times New Roman"/>
          <w:sz w:val="24"/>
          <w:szCs w:val="24"/>
          <w:lang w:val="en-GB"/>
        </w:rPr>
        <w:t>s</w:t>
      </w:r>
      <w:r w:rsidR="7DA37D36" w:rsidRPr="00002888">
        <w:rPr>
          <w:rFonts w:ascii="Times New Roman" w:hAnsi="Times New Roman" w:cs="Times New Roman"/>
          <w:sz w:val="24"/>
          <w:szCs w:val="24"/>
          <w:lang w:val="en-GB"/>
        </w:rPr>
        <w:t>.</w:t>
      </w:r>
      <w:r w:rsidR="6992A100" w:rsidRPr="00002888">
        <w:rPr>
          <w:rFonts w:ascii="Times New Roman" w:hAnsi="Times New Roman" w:cs="Times New Roman"/>
          <w:sz w:val="24"/>
          <w:szCs w:val="24"/>
          <w:lang w:val="en-GB"/>
        </w:rPr>
        <w:t xml:space="preserve"> </w:t>
      </w:r>
      <w:r w:rsidR="61CAF332" w:rsidRPr="00002888">
        <w:rPr>
          <w:rFonts w:ascii="Times New Roman" w:hAnsi="Times New Roman" w:cs="Times New Roman"/>
          <w:sz w:val="24"/>
          <w:szCs w:val="24"/>
          <w:lang w:val="en-GB"/>
        </w:rPr>
        <w:t>Notch pathways regulate cell proliferation, cell fate, differentiation, and cell death</w:t>
      </w:r>
      <w:r w:rsidR="637C5BC5" w:rsidRPr="00002888">
        <w:rPr>
          <w:rFonts w:ascii="Times New Roman" w:hAnsi="Times New Roman" w:cs="Times New Roman"/>
          <w:sz w:val="24"/>
          <w:szCs w:val="24"/>
          <w:lang w:val="en-GB"/>
        </w:rPr>
        <w:t xml:space="preserve"> </w:t>
      </w:r>
      <w:r w:rsidR="00C25975" w:rsidRPr="00002888">
        <w:rPr>
          <w:rFonts w:ascii="Times New Roman" w:hAnsi="Times New Roman" w:cs="Times New Roman"/>
          <w:sz w:val="24"/>
          <w:szCs w:val="24"/>
          <w:lang w:val="en-GB"/>
        </w:rPr>
        <w:fldChar w:fldCharType="begin" w:fldLock="1"/>
      </w:r>
      <w:r w:rsidR="00EB4D78" w:rsidRPr="00002888">
        <w:rPr>
          <w:rFonts w:ascii="Times New Roman" w:hAnsi="Times New Roman" w:cs="Times New Roman"/>
          <w:sz w:val="24"/>
          <w:szCs w:val="24"/>
          <w:lang w:val="en-GB"/>
        </w:rPr>
        <w:instrText>ADDIN CSL_CITATION {"citationItems":[{"id":"ITEM-1","itemData":{"DOI":"10.1101/cshperspect.a011213","ISBN":"978-981-10-4970-5","ISSN":"1943-0264","author":[{"dropping-particle":"","family":"Kopan","given":"Raphael","non-dropping-particle":"","parse-names":false,"suffix":""}],"container-title":"Cold Spring Harbor Perspectives in Biology","editor":[{"dropping-particle":"","family":"Yasutomo","given":"Koji","non-dropping-particle":"","parse-names":false,"suffix":""}],"id":"ITEM-1","issue":"10","issued":{"date-parts":[["2012","10","1"]]},"page":"a011213-a011213","publisher":"Springer Singapore","publisher-place":"Singapore","title":"Notch Signaling","type":"article-journal","volume":"4"},"uris":["http://www.mendeley.com/documents/?uuid=67dc4acf-f09f-43a6-acd4-f7ae2b8572ff"]}],"mendeley":{"formattedCitation":"(Kopan, 2012)","plainTextFormattedCitation":"(Kopan, 2012)","previouslyFormattedCitation":"(Kopan, 2012)"},"properties":{"noteIndex":0},"schema":"https://github.com/citation-style-language/schema/raw/master/csl-citation.json"}</w:instrText>
      </w:r>
      <w:r w:rsidR="00C25975" w:rsidRPr="00002888">
        <w:rPr>
          <w:rFonts w:ascii="Times New Roman" w:hAnsi="Times New Roman" w:cs="Times New Roman"/>
          <w:sz w:val="24"/>
          <w:szCs w:val="24"/>
          <w:lang w:val="en-GB"/>
        </w:rPr>
        <w:fldChar w:fldCharType="separate"/>
      </w:r>
      <w:r w:rsidR="00A15967" w:rsidRPr="00002888">
        <w:rPr>
          <w:rFonts w:ascii="Times New Roman" w:hAnsi="Times New Roman" w:cs="Times New Roman"/>
          <w:noProof/>
          <w:sz w:val="24"/>
          <w:szCs w:val="24"/>
          <w:lang w:val="en-GB"/>
        </w:rPr>
        <w:t>(Kopan, 2012)</w:t>
      </w:r>
      <w:r w:rsidR="00C25975" w:rsidRPr="00002888">
        <w:rPr>
          <w:rFonts w:ascii="Times New Roman" w:hAnsi="Times New Roman" w:cs="Times New Roman"/>
          <w:sz w:val="24"/>
          <w:szCs w:val="24"/>
          <w:lang w:val="en-GB"/>
        </w:rPr>
        <w:fldChar w:fldCharType="end"/>
      </w:r>
      <w:r w:rsidR="61CAF332" w:rsidRPr="00002888">
        <w:rPr>
          <w:rFonts w:ascii="Times New Roman" w:hAnsi="Times New Roman" w:cs="Times New Roman"/>
          <w:sz w:val="24"/>
          <w:szCs w:val="24"/>
          <w:lang w:val="en-GB"/>
        </w:rPr>
        <w:t xml:space="preserve">. </w:t>
      </w:r>
      <w:r w:rsidR="6992A100" w:rsidRPr="00002888">
        <w:rPr>
          <w:rFonts w:ascii="Times New Roman" w:hAnsi="Times New Roman" w:cs="Times New Roman"/>
          <w:sz w:val="24"/>
          <w:szCs w:val="24"/>
          <w:lang w:val="en-GB"/>
        </w:rPr>
        <w:t>When a ligand binds to the extracellular domain of a Not</w:t>
      </w:r>
      <w:r w:rsidR="441F3253" w:rsidRPr="00002888">
        <w:rPr>
          <w:rFonts w:ascii="Times New Roman" w:hAnsi="Times New Roman" w:cs="Times New Roman"/>
          <w:sz w:val="24"/>
          <w:szCs w:val="24"/>
          <w:lang w:val="en-GB"/>
        </w:rPr>
        <w:t>c</w:t>
      </w:r>
      <w:r w:rsidR="6992A100" w:rsidRPr="00002888">
        <w:rPr>
          <w:rFonts w:ascii="Times New Roman" w:hAnsi="Times New Roman" w:cs="Times New Roman"/>
          <w:sz w:val="24"/>
          <w:szCs w:val="24"/>
          <w:lang w:val="en-GB"/>
        </w:rPr>
        <w:t>h receptor, it initiate</w:t>
      </w:r>
      <w:r w:rsidR="439E1379" w:rsidRPr="00002888">
        <w:rPr>
          <w:rFonts w:ascii="Times New Roman" w:hAnsi="Times New Roman" w:cs="Times New Roman"/>
          <w:sz w:val="24"/>
          <w:szCs w:val="24"/>
          <w:lang w:val="en-GB"/>
        </w:rPr>
        <w:t>s</w:t>
      </w:r>
      <w:r w:rsidR="6992A100" w:rsidRPr="00002888">
        <w:rPr>
          <w:rFonts w:ascii="Times New Roman" w:hAnsi="Times New Roman" w:cs="Times New Roman"/>
          <w:sz w:val="24"/>
          <w:szCs w:val="24"/>
          <w:lang w:val="en-GB"/>
        </w:rPr>
        <w:t xml:space="preserve"> a cas</w:t>
      </w:r>
      <w:r w:rsidR="441F3253" w:rsidRPr="00002888">
        <w:rPr>
          <w:rFonts w:ascii="Times New Roman" w:hAnsi="Times New Roman" w:cs="Times New Roman"/>
          <w:sz w:val="24"/>
          <w:szCs w:val="24"/>
          <w:lang w:val="en-GB"/>
        </w:rPr>
        <w:t>c</w:t>
      </w:r>
      <w:r w:rsidR="6992A100" w:rsidRPr="00002888">
        <w:rPr>
          <w:rFonts w:ascii="Times New Roman" w:hAnsi="Times New Roman" w:cs="Times New Roman"/>
          <w:sz w:val="24"/>
          <w:szCs w:val="24"/>
          <w:lang w:val="en-GB"/>
        </w:rPr>
        <w:t>ade of proteolytic cleavages</w:t>
      </w:r>
      <w:r w:rsidR="4D428675" w:rsidRPr="00002888">
        <w:rPr>
          <w:rFonts w:ascii="Times New Roman" w:hAnsi="Times New Roman" w:cs="Times New Roman"/>
          <w:sz w:val="24"/>
          <w:szCs w:val="24"/>
          <w:lang w:val="en-GB"/>
        </w:rPr>
        <w:t xml:space="preserve"> </w:t>
      </w:r>
      <w:r w:rsidR="71240EEA" w:rsidRPr="00002888">
        <w:rPr>
          <w:rFonts w:ascii="Times New Roman" w:hAnsi="Times New Roman" w:cs="Times New Roman"/>
          <w:sz w:val="24"/>
          <w:szCs w:val="24"/>
          <w:lang w:val="en-GB"/>
        </w:rPr>
        <w:t>t</w:t>
      </w:r>
      <w:r w:rsidR="4D428675" w:rsidRPr="00002888">
        <w:rPr>
          <w:rFonts w:ascii="Times New Roman" w:hAnsi="Times New Roman" w:cs="Times New Roman"/>
          <w:sz w:val="24"/>
          <w:szCs w:val="24"/>
          <w:lang w:val="en-GB"/>
        </w:rPr>
        <w:t xml:space="preserve">hat lead to the detachment of the </w:t>
      </w:r>
      <w:r w:rsidR="0D1CB835" w:rsidRPr="00002888">
        <w:rPr>
          <w:rFonts w:ascii="Times New Roman" w:hAnsi="Times New Roman" w:cs="Times New Roman"/>
          <w:sz w:val="24"/>
          <w:szCs w:val="24"/>
          <w:lang w:val="en-GB"/>
        </w:rPr>
        <w:t xml:space="preserve">notch </w:t>
      </w:r>
      <w:r w:rsidR="71240EEA" w:rsidRPr="00002888">
        <w:rPr>
          <w:rFonts w:ascii="Times New Roman" w:hAnsi="Times New Roman" w:cs="Times New Roman"/>
          <w:sz w:val="24"/>
          <w:szCs w:val="24"/>
          <w:lang w:val="en-GB"/>
        </w:rPr>
        <w:t>intracellular domain</w:t>
      </w:r>
      <w:r w:rsidR="0D1CB835" w:rsidRPr="00002888">
        <w:rPr>
          <w:rFonts w:ascii="Times New Roman" w:hAnsi="Times New Roman" w:cs="Times New Roman"/>
          <w:sz w:val="24"/>
          <w:szCs w:val="24"/>
          <w:lang w:val="en-GB"/>
        </w:rPr>
        <w:t xml:space="preserve"> (NICD)</w:t>
      </w:r>
      <w:r w:rsidR="58B9C8C9" w:rsidRPr="00002888">
        <w:rPr>
          <w:rFonts w:ascii="Times New Roman" w:hAnsi="Times New Roman" w:cs="Times New Roman"/>
          <w:sz w:val="24"/>
          <w:szCs w:val="24"/>
          <w:lang w:val="en-GB"/>
        </w:rPr>
        <w:t xml:space="preserve">, which then moves into the nucleus </w:t>
      </w:r>
      <w:r w:rsidR="7657E9AE" w:rsidRPr="00002888">
        <w:rPr>
          <w:rFonts w:ascii="Times New Roman" w:hAnsi="Times New Roman" w:cs="Times New Roman"/>
          <w:sz w:val="24"/>
          <w:szCs w:val="24"/>
          <w:lang w:val="en-GB"/>
        </w:rPr>
        <w:t>to interact with</w:t>
      </w:r>
      <w:r w:rsidR="1AEC005B" w:rsidRPr="00002888">
        <w:rPr>
          <w:rFonts w:ascii="Times New Roman" w:hAnsi="Times New Roman" w:cs="Times New Roman"/>
          <w:sz w:val="24"/>
          <w:szCs w:val="24"/>
          <w:lang w:val="en-GB"/>
        </w:rPr>
        <w:t xml:space="preserve"> target </w:t>
      </w:r>
      <w:r w:rsidR="58B9C8C9" w:rsidRPr="00002888">
        <w:rPr>
          <w:rFonts w:ascii="Times New Roman" w:hAnsi="Times New Roman" w:cs="Times New Roman"/>
          <w:sz w:val="24"/>
          <w:szCs w:val="24"/>
          <w:lang w:val="en-GB"/>
        </w:rPr>
        <w:t>transcription factors</w:t>
      </w:r>
      <w:r w:rsidR="36919F2F" w:rsidRPr="00002888">
        <w:rPr>
          <w:rFonts w:ascii="Times New Roman" w:hAnsi="Times New Roman" w:cs="Times New Roman"/>
          <w:sz w:val="24"/>
          <w:szCs w:val="24"/>
          <w:lang w:val="en-GB"/>
        </w:rPr>
        <w:t xml:space="preserve"> </w:t>
      </w:r>
      <w:r w:rsidR="00C25975" w:rsidRPr="00002888">
        <w:rPr>
          <w:rFonts w:ascii="Times New Roman" w:hAnsi="Times New Roman" w:cs="Times New Roman"/>
          <w:sz w:val="24"/>
          <w:szCs w:val="24"/>
          <w:lang w:val="en-GB"/>
        </w:rPr>
        <w:fldChar w:fldCharType="begin" w:fldLock="1"/>
      </w:r>
      <w:r w:rsidR="00EB4D78" w:rsidRPr="00002888">
        <w:rPr>
          <w:rFonts w:ascii="Times New Roman" w:hAnsi="Times New Roman" w:cs="Times New Roman"/>
          <w:sz w:val="24"/>
          <w:szCs w:val="24"/>
          <w:lang w:val="en-GB"/>
        </w:rPr>
        <w:instrText>ADDIN CSL_CITATION {"citationItems":[{"id":"ITEM-1","itemData":{"DOI":"10.1016/j.coi.2004.01.002","ISSN":"09527915","PMID":"15023410","abstract":"The Notch family of evolutionarily conserved proteins regulates a broad spectrum of cell-fate decisions and differentiation processes during fetal and post-natal development. The best characterized role of Notch signaling during mammalian hematopoiesis and lymphopoiesis is the essential function of the Notch1 receptor in T-cell lineage commitment. More recent studies have addressed the roles of other Notch receptors and ligands, as well as their downstream targets, revealing additional novel functions of Notch signaling in intra-thymic T-cell development, B-cell development and peripheral T-cell function.","author":[{"dropping-particle":"","family":"Radtke","given":"Freddy","non-dropping-particle":"","parse-names":false,"suffix":""},{"dropping-particle":"","family":"Wilson","given":"Anne","non-dropping-particle":"","parse-names":false,"suffix":""},{"dropping-particle":"","family":"MacDonald","given":"H. Robson","non-dropping-particle":"","parse-names":false,"suffix":""}],"container-title":"Current Opinion in Immunology","id":"ITEM-1","issue":"2","issued":{"date-parts":[["2004","4"]]},"page":"174-179","title":"Notch signaling in T- and B-cell development","type":"article-journal","volume":"16"},"uris":["http://www.mendeley.com/documents/?uuid=46587894-ee79-4141-9aae-1432f59840a4"]},{"id":"ITEM-2","itemData":{"DOI":"10.1101/cshperspect.a011213","ISBN":"978-981-10-4970-5","ISSN":"1943-0264","author":[{"dropping-particle":"","family":"Kopan","given":"Raphael","non-dropping-particle":"","parse-names":false,"suffix":""}],"container-title":"Cold Spring Harbor Perspectives in Biology","editor":[{"dropping-particle":"","family":"Yasutomo","given":"Koji","non-dropping-particle":"","parse-names":false,"suffix":""}],"id":"ITEM-2","issue":"10","issued":{"date-parts":[["2012","10","1"]]},"page":"a011213-a011213","publisher":"Springer Singapore","publisher-place":"Singapore","title":"Notch Signaling","type":"article-journal","volume":"4"},"uris":["http://www.mendeley.com/documents/?uuid=67dc4acf-f09f-43a6-acd4-f7ae2b8572ff"]}],"mendeley":{"formattedCitation":"(Kopan, 2012; Radtke et al., 2004)","plainTextFormattedCitation":"(Kopan, 2012; Radtke et al., 2004)","previouslyFormattedCitation":"(Kopan, 2012; Radtke et al., 2004)"},"properties":{"noteIndex":0},"schema":"https://github.com/citation-style-language/schema/raw/master/csl-citation.json"}</w:instrText>
      </w:r>
      <w:r w:rsidR="00C25975" w:rsidRPr="00002888">
        <w:rPr>
          <w:rFonts w:ascii="Times New Roman" w:hAnsi="Times New Roman" w:cs="Times New Roman"/>
          <w:sz w:val="24"/>
          <w:szCs w:val="24"/>
          <w:lang w:val="en-GB"/>
        </w:rPr>
        <w:fldChar w:fldCharType="separate"/>
      </w:r>
      <w:r w:rsidR="00A15967" w:rsidRPr="00002888">
        <w:rPr>
          <w:rFonts w:ascii="Times New Roman" w:hAnsi="Times New Roman" w:cs="Times New Roman"/>
          <w:noProof/>
          <w:sz w:val="24"/>
          <w:szCs w:val="24"/>
          <w:lang w:val="en-GB"/>
        </w:rPr>
        <w:t>(Kopan, 2012; Radtke et al., 2004)</w:t>
      </w:r>
      <w:r w:rsidR="00C25975" w:rsidRPr="00002888">
        <w:rPr>
          <w:rFonts w:ascii="Times New Roman" w:hAnsi="Times New Roman" w:cs="Times New Roman"/>
          <w:sz w:val="24"/>
          <w:szCs w:val="24"/>
          <w:lang w:val="en-GB"/>
        </w:rPr>
        <w:fldChar w:fldCharType="end"/>
      </w:r>
      <w:r w:rsidR="439E1379" w:rsidRPr="00002888">
        <w:rPr>
          <w:rFonts w:ascii="Times New Roman" w:hAnsi="Times New Roman" w:cs="Times New Roman"/>
          <w:sz w:val="24"/>
          <w:szCs w:val="24"/>
          <w:lang w:val="en-GB"/>
        </w:rPr>
        <w:t xml:space="preserve">. </w:t>
      </w:r>
      <w:r w:rsidR="00EE7396" w:rsidRPr="00002888">
        <w:rPr>
          <w:rFonts w:ascii="Times New Roman" w:hAnsi="Times New Roman" w:cs="Times New Roman"/>
          <w:i/>
          <w:iCs/>
          <w:sz w:val="24"/>
          <w:szCs w:val="24"/>
          <w:lang w:val="en-GB"/>
        </w:rPr>
        <w:t>NOTCH2</w:t>
      </w:r>
      <w:r w:rsidR="00EE7396" w:rsidRPr="00002888">
        <w:rPr>
          <w:rFonts w:ascii="Times New Roman" w:hAnsi="Times New Roman" w:cs="Times New Roman"/>
          <w:sz w:val="24"/>
          <w:szCs w:val="24"/>
          <w:lang w:val="en-GB"/>
        </w:rPr>
        <w:t xml:space="preserve"> is the second most frequently mutated gene present in 10-25% of SMZL cases </w:t>
      </w:r>
      <w:r w:rsidR="00A5727C" w:rsidRPr="00002888">
        <w:rPr>
          <w:rFonts w:ascii="Times New Roman" w:hAnsi="Times New Roman" w:cs="Times New Roman"/>
          <w:sz w:val="24"/>
          <w:szCs w:val="24"/>
          <w:lang w:val="en-GB"/>
        </w:rPr>
        <w:fldChar w:fldCharType="begin" w:fldLock="1"/>
      </w:r>
      <w:r w:rsidR="0071777A" w:rsidRPr="00002888">
        <w:rPr>
          <w:rFonts w:ascii="Times New Roman" w:hAnsi="Times New Roman" w:cs="Times New Roman"/>
          <w:sz w:val="24"/>
          <w:szCs w:val="24"/>
          <w:lang w:val="en-GB"/>
        </w:rPr>
        <w:instrText>ADDIN CSL_CITATION {"citationItems":[{"id":"ITEM-1","itemData":{"DOI":"10.1038/leu.2014.330","ISSN":"14765551","PMID":"25428260","abstract":"To characterise the genetics of splenic marginal zone lymphoma (SMZL), we performed whole exome sequencing of 16 cases and identified novel recurrent inactivating mutations in Kruppel-like factor 2 (KLF2), a gene whose deficiency was previously shown to cause splenic marginal zone hyperplasia in mice. KLF2 mutation was found in 40 (42%) of 96 SMZLs, but rarely in other B-cell lymphomas. The majority of KLF2 mutations were frameshift indels or nonsense changes, with missense mutations clustered in the C-terminal zinc finger domains. Functional assays showed that these mutations inactivated the ability of KLF2 to suppress NF-κB activation by TLR, BCR, BAFFR and TNFR signalling. Further extensive investigations revealed common and distinct genetic changes between SMZL with and without KLF2 mutation. IGHV1-2 rearrangement and 7q deletion were primarily seen in SMZL with KLF2 mutation, while MYD88 and TP53 mutations were nearly exclusively found in those without KLF2 mutation. NOTCH2, TRAF3, TNFAIP3 and CARD11 mutations were observed in SMZL both with and without KLF2 mutation. Taken together, KLF2 mutation is the most common genetic change in SMZL and identifies a subset with a distinct genotype characterised by multi-genetic changes. These different genetic changes may deregulate various signalling pathways and generate cooperative oncogenic properties, thereby contributing to lymphomagenesis.","author":[{"dropping-particle":"","family":"Clipson","given":"A.","non-dropping-particle":"","parse-names":false,"suffix":""},{"dropping-particle":"","family":"Wang","given":"M.","non-dropping-particle":"","parse-names":false,"suffix":""},{"dropping-particle":"","family":"Leval","given":"L.","non-dropping-particle":"De","parse-names":false,"suffix":""},{"dropping-particle":"","family":"Ashton-Key","given":"M.","non-dropping-particle":"","parse-names":false,"suffix":""},{"dropping-particle":"","family":"Wotherspoon","given":"A.","non-dropping-particle":"","parse-names":false,"suffix":""},{"dropping-particle":"","family":"Vassiliou","given":"G.","non-dropping-particle":"","parse-names":false,"suffix":""},{"dropping-particle":"","family":"Bolli","given":"N.","non-dropping-particle":"","parse-names":false,"suffix":""},{"dropping-particle":"","family":"Grove","given":"C.","non-dropping-particle":"","parse-names":false,"suffix":""},{"dropping-particle":"","family":"Moody","given":"S.","non-dropping-particle":"","parse-names":false,"suffix":""},{"dropping-particle":"","family":"Escudero-Ibarz","given":"L.","non-dropping-particle":"","parse-names":false,"suffix":""},{"dropping-particle":"","family":"Gundem","given":"G.","non-dropping-particle":"","parse-names":false,"suffix":""},{"dropping-particle":"","family":"Brugger","given":"K.","non-dropping-particle":"","parse-names":false,"suffix":""},{"dropping-particle":"","family":"Xue","given":"X.","non-dropping-particle":"","parse-names":false,"suffix":""},{"dropping-particle":"","family":"Mi","given":"E.","non-dropping-particle":"","parse-names":false,"suffix":""},{"dropping-particle":"","family":"Bench","given":"A.","non-dropping-particle":"","parse-names":false,"suffix":""},{"dropping-particle":"","family":"Scott","given":"M.","non-dropping-particle":"","parse-names":false,"suffix":""},{"dropping-particle":"","family":"Liu","given":"H.","non-dropping-particle":"","parse-names":false,"suffix":""},{"dropping-particle":"","family":"Follows","given":"G.","non-dropping-particle":"","parse-names":false,"suffix":""},{"dropping-particle":"","family":"Robles","given":"E. F.","non-dropping-particle":"","parse-names":false,"suffix":""},{"dropping-particle":"","family":"Martinez-Climent","given":"J. A.","non-dropping-particle":"","parse-names":false,"suffix":""},{"dropping-particle":"","family":"Oscier","given":"D.","non-dropping-particle":"","parse-names":false,"suffix":""},{"dropping-particle":"","family":"Watkins","given":"A. J.","non-dropping-particle":"","parse-names":false,"suffix":""},{"dropping-particle":"","family":"Du","given":"M. Q.","non-dropping-particle":"","parse-names":false,"suffix":""}],"container-title":"Leukemia","id":"ITEM-1","issue":"5","issued":{"date-parts":[["2015"]]},"page":"1177-1185","title":"KLF2 mutation is the most frequent somatic change in splenic marginal zone lymphoma and identifies a subset with distinct genotype","type":"article-journal","volume":"29"},"uris":["http://www.mendeley.com/documents/?uuid=9a03fc8c-403a-4b3d-8ecb-3673a4b13433"]},{"id":"ITEM-2","itemData":{"DOI":"10.1084/jem.20120910","ISSN":"0022-1007","PMID":"22891276","author":[{"dropping-particle":"","family":"Kiel","given":"Mark J.","non-dropping-particle":"","parse-names":false,"suffix":""},{"dropping-particle":"","family":"Velusamy","given":"Thirunavukkarasu","non-dropping-particle":"","parse-names":false,"suffix":""},{"dropping-particle":"","family":"Betz","given":"Bryan L.","non-dropping-particle":"","parse-names":false,"suffix":""},{"dropping-particle":"","family":"Zhao","given":"Lili","non-dropping-particle":"","parse-names":false,"suffix":""},{"dropping-particle":"","family":"Weigelin","given":"Helmut G.","non-dropping-particle":"","parse-names":false,"suffix":""},{"dropping-particle":"","family":"Chiang","given":"Mark Y.","non-dropping-particle":"","parse-names":false,"suffix":""},{"dropping-particle":"","family":"Huebner-Chan","given":"David R.","non-dropping-particle":"","parse-names":false,"suffix":""},{"dropping-particle":"","family":"Bailey","given":"Nathanael G.","non-dropping-particle":"","parse-names":false,"suffix":""},{"dropping-particle":"","family":"Yang","given":"David T.","non-dropping-particle":"","parse-names":false,"suffix":""},{"dropping-particle":"","family":"Bhagat","given":"Govind","non-dropping-particle":"","parse-names":false,"suffix":""},{"dropping-particle":"","family":"Miranda","given":"Roberto N.","non-dropping-particle":"","parse-names":false,"suffix":""},{"dropping-particle":"","family":"Bahler","given":"David W.","non-dropping-particle":"","parse-names":false,"suffix":""},{"dropping-particle":"","family":"Medeiros","given":"L. Jeffrey","non-dropping-particle":"","parse-names":false,"suffix":""},{"dropping-particle":"","family":"Lim","given":"Megan S.","non-dropping-particle":"","parse-names":false,"suffix":""},{"dropping-particle":"","family":"Elenitoba-Johnson","given":"Kojo S.J.","non-dropping-particle":"","parse-names":false,"suffix":""}],"container-title":"The Journal of Experimental Medicine","id":"ITEM-2","issue":"9","issued":{"date-parts":[["2012"]]},"page":"1553-1565","title":"Whole-genome sequencing identifies recurrent somatic &lt;i&gt;NOTCH2&lt;/i&gt; mutations in splenic marginal zone lymphoma","type":"article-journal","volume":"209"},"uris":["http://www.mendeley.com/documents/?uuid=2e230909-2ec0-4ced-b5cf-986bc3ef4467"]},{"id":"ITEM-3","itemData":{"DOI":"10.1038/leu.2013.365","ISSN":"14765551","PMID":"24296945","abstract":"Splenic marginal zone lymphoma (SMZL) is a B-cell neoplasm whose molecular pathogenesis remains fundamentally unexplained, requiring more precise diagnostic markers. Previous molecular studies have revealed 7q loss and mutations of nuclear factor κB (NF-κB), B-cell receptor (BCR) and Notch signalling genes. We performed whole-exome sequencing in a series of SMZL cases. Results confirmed that SMZL is an entity distinct from other low-grade B-cell lymphomas, and identified mutations in multiple genes involved in marginal zone development, and others involved in NF-κB, BCR, chromatin remodelling and the cytoskeleton.Leukemia advance online publication, 10 January 2014; doi:10.1038/leu.2013.365.","author":[{"dropping-particle":"","family":"Martínez","given":"N.","non-dropping-particle":"","parse-names":false,"suffix":""},{"dropping-particle":"","family":"Almaraz","given":"C.","non-dropping-particle":"","parse-names":false,"suffix":""},{"dropping-particle":"","family":"Vaqué","given":"J. P.","non-dropping-particle":"","parse-names":false,"suffix":""},{"dropping-particle":"","family":"Varela","given":"I.","non-dropping-particle":"","parse-names":false,"suffix":""},{"dropping-particle":"","family":"Derdak","given":"S.","non-dropping-particle":"","parse-names":false,"suffix":""},{"dropping-particle":"","family":"Beltran","given":"S.","non-dropping-particle":"","parse-names":false,"suffix":""},{"dropping-particle":"","family":"Mollejo","given":"M.","non-dropping-particle":"","parse-names":false,"suffix":""},{"dropping-particle":"","family":"Campos-Martin","given":"Y.","non-dropping-particle":"","parse-names":false,"suffix":""},{"dropping-particle":"","family":"Agueda","given":"L.","non-dropping-particle":"","parse-names":false,"suffix":""},{"dropping-particle":"","family":"Rinaldi","given":"A.","non-dropping-particle":"","parse-names":false,"suffix":""},{"dropping-particle":"","family":"Kwee","given":"I.","non-dropping-particle":"","parse-names":false,"suffix":""},{"dropping-particle":"","family":"Gut","given":"M.","non-dropping-particle":"","parse-names":false,"suffix":""},{"dropping-particle":"","family":"Blanc","given":"J.","non-dropping-particle":"","parse-names":false,"suffix":""},{"dropping-particle":"","family":"Oscier","given":"D.","non-dropping-particle":"","parse-names":false,"suffix":""},{"dropping-particle":"","family":"Strefford","given":"J. C.","non-dropping-particle":"","parse-names":false,"suffix":""},{"dropping-particle":"","family":"Martinez-Lopez","given":"J.","non-dropping-particle":"","parse-names":false,"suffix":""},{"dropping-particle":"","family":"Salar","given":"A.","non-dropping-particle":"","parse-names":false,"suffix":""},{"dropping-particle":"","family":"Sole","given":"F.","non-dropping-particle":"","parse-names":false,"suffix":""},{"dropping-particle":"","family":"Rodriguez-Peralto","given":"J. L.","non-dropping-particle":"","parse-names":false,"suffix":""},{"dropping-particle":"","family":"Diez-Tascón","given":"C.","non-dropping-particle":"","parse-names":false,"suffix":""},{"dropping-particle":"","family":"García","given":"J. F.","non-dropping-particle":"","parse-names":false,"suffix":""},{"dropping-particle":"","family":"Fraga","given":"M.","non-dropping-particle":"","parse-names":false,"suffix":""},{"dropping-particle":"","family":"Sebastián","given":"E.","non-dropping-particle":"","parse-names":false,"suffix":""},{"dropping-particle":"","family":"Alvés","given":"J.","non-dropping-particle":"","parse-names":false,"suffix":""},{"dropping-particle":"","family":"Menárguez","given":"J.","non-dropping-particle":"","parse-names":false,"suffix":""},{"dropping-particle":"","family":"González-Carreró","given":"J.","non-dropping-particle":"","parse-names":false,"suffix":""},{"dropping-particle":"","family":"Casado","given":"L. F.","non-dropping-particle":"","parse-names":false,"suffix":""},{"dropping-particle":"","family":"Bayes","given":"M.","non-dropping-particle":"","parse-names":false,"suffix":""},{"dropping-particle":"","family":"Bertoni","given":"F.","non-dropping-particle":"","parse-names":false,"suffix":""},{"dropping-particle":"","family":"Gut","given":"I.","non-dropping-particle":"","parse-names":false,"suffix":""},{"dropping-particle":"","family":"Piris","given":"M. A.","non-dropping-particle":"","parse-names":false,"suffix":""}],"container-title":"Leukemia","id":"ITEM-3","issue":"6","issued":{"date-parts":[["2014"]]},"page":"1334-1340","title":"Whole-exome sequencing in splenic marginal zone lymphoma reveals mutations in genes involved in marginal zone differentiation","type":"article-journal","volume":"28"},"uris":["http://www.mendeley.com/documents/?uuid=cbc308a4-59c7-4b1b-a8b5-daf886900844"]},{"id":"ITEM-4","itemData":{"DOI":"10.1371/journal.pone.0083244","ISSN":"1932-6203","abstract":"The pathogenesis of splenic marginal zone lymphoma (SMZL) remains largely unknown. Recent high-throughput sequencing studies have identified recurrent mutations in key pathways, most notably NOTCH2 mutations in &gt;25% of patients. These studies are based on small, heterogeneous discovery cohorts, and therefore only captured a fraction of the lesions present in the SMZL genome. To identify further novel pathogenic mutations within related biochemical pathways, we applied whole exome sequencing (WES) and copy number (CN) analysis to a biologically and clinically homogeneous cohort of seven SMZL patients with 7q abnormalities and IGHV1-2*04 gene usage. We identified 173 somatic non-silent variants, affecting 160 distinct genes. In additional to providing independent validation of the presence of mutation in several previously reported genes (NOTCH2, TNFAIP3, MAP3K14, MLL2 and SPEN), our study defined eight additional recurrently mutated genes in SMZL; these genes are CREBBP, CBFA2T3, AMOTL1, FAT4, FBXO11, PLA2G4D, TRRAP and USH2A. By integrating our WES and CN data we identified three mutated putative candidate genes targeted by 7q deletions (CUL1, EZH2 and FLNC), with FLNC positioned within the well- characterized 7q minimally deleted region. Taken together, this work expands the reported directory of recurrently mutated cancer genes in this disease, thereby expanding our understanding of SMZL pathogenesis. Ultimately, this work will help to establish a stratified approach to care including the possibility of targeted therapy.","author":[{"dropping-particle":"","family":"Parry","given":"Marina","non-dropping-particle":"","parse-names":false,"suffix":""},{"dropping-particle":"","family":"Rose-Zerilli","given":"Matthew J. J.","non-dropping-particle":"","parse-names":false,"suffix":""},{"dropping-particle":"","family":"Gibson","given":"Jane","non-dropping-particle":"","parse-names":false,"suffix":""},{"dropping-particle":"","family":"Ennis","given":"Sarah","non-dropping-particle":"","parse-names":false,"suffix":""},{"dropping-particle":"","family":"Walewska","given":"Renata","non-dropping-particle":"","parse-names":false,"suffix":""},{"dropping-particle":"","family":"Forster","given":"Jade","non-dropping-particle":"","parse-names":false,"suffix":""},{"dropping-particle":"","family":"Parker","given":"Helen","non-dropping-particle":"","parse-names":false,"suffix":""},{"dropping-particle":"","family":"Davis","given":"Zadie","non-dropping-particle":"","parse-names":false,"suffix":""},{"dropping-particle":"","family":"Gardiner","given":"Anne","non-dropping-particle":"","parse-names":false,"suffix":""},{"dropping-particle":"","family":"Collins","given":"Andrew","non-dropping-particle":"","parse-names":false,"suffix":""},{"dropping-particle":"","family":"Oscier","given":"David G.","non-dropping-particle":"","parse-names":false,"suffix":""},{"dropping-particle":"","family":"Strefford","given":"Jonathan C.","non-dropping-particle":"","parse-names":false,"suffix":""}],"container-title":"PLoS ONE","editor":[{"dropping-particle":"","family":"Martinez Climent","given":"Jose Angel","non-dropping-particle":"","parse-names":false,"suffix":""}],"id":"ITEM-4","issue":"12","issued":{"date-parts":[["2013","12","13"]]},"page":"e83244","title":"Whole Exome Sequencing Identifies Novel Recurrently Mutated Genes in Patients with Splenic Marginal Zone Lymphoma","type":"article-journal","volume":"8"},"uris":["http://www.mendeley.com/documents/?uuid=a9b6d865-2849-447c-97d5-e16730a26fdc"]},{"id":"ITEM-5","itemData":{"DOI":"10.1158/1078-0432.CCR-14-2759","ISSN":"15573265","PMID":"25779943","abstract":"Purpose: Mounting evidence supports the clinical significance of gene mutations and immunogenetic features in common mature B-cell malignancies.\\n\\nExperimental Design: We undertook a detailed characterization of the genetic background of splenic marginal zone lymphoma (SMZL), using targeted resequencing and explored potential clinical implications in a multinational cohort of 175 patients with SMZL.\\n\\nResults: We identified recurrent mutations in TP53 (16%), KLF2 (12%), NOTCH2 (10%), TNFAIP3 (7%), MLL2 (11%), MYD88 (7%), and ARID1A (6%), all genes known to be targeted by somatic mutation in SMZL. KLF2 mutations were early, clonal events, enriched in patients with del(7q) and IGHV1-2*04 B-cell receptor immunoglobulins, and were associated with a short median time to first treatment (0.12 vs. 1.11 years; P = 0.01). In multivariate analysis, mutations in NOTCH2 [HR, 2.12; 95% confidence interval (CI), 1.02–4.4; P = 0.044] and 100% germline IGHV gene identity (HR, 2.19; 95% CI, 1.05–4.55; P = 0.036) were independent markers of short time to first treatment, whereas TP53 mutations were an independent marker of short overall survival (HR, 2.36; 95 % CI, 1.08–5.2; P = 0.03).\\n\\nConclusions: We identify key associations between gene mutations and clinical outcome, demonstrating for the first time that NOTCH2 and TP53 gene mutations are independent markers of reduced treatment-free and overall survival, respectively. Clin Cancer Res; 21(18); 4174–83. ©2015 AACR .","author":[{"dropping-particle":"","family":"Parry","given":"Marina","non-dropping-particle":"","parse-names":false,"suffix":""},{"dropping-particle":"","family":"Rose-Zerilli","given":"Matthew J.J.","non-dropping-particle":"","parse-names":false,"suffix":""},{"dropping-particle":"","family":"Ljungström","given":"Viktor","non-dropping-particle":"","parse-names":false,"suffix":""},{"dropping-particle":"","family":"Gibson","given":"Jane","non-dropping-particle":"","parse-names":false,"suffix":""},{"dropping-particle":"","family":"Wang","given":"Jun","non-dropping-particle":"","parse-names":false,"suffix":""},{"dropping-particle":"","family":"Walewska","given":"Renata","non-dropping-particle":"","parse-names":false,"suffix":""},{"dropping-particle":"","family":"Parker","given":"Helen","non-dropping-particle":"","parse-names":false,"suffix":""},{"dropping-particle":"","family":"Parker","given":"Anton","non-dropping-particle":"","parse-names":false,"suffix":""},{"dropping-particle":"","family":"Davis","given":"Zadie","non-dropping-particle":"","parse-names":false,"suffix":""},{"dropping-particle":"","family":"Gardiner","given":"Anne","non-dropping-particle":"","parse-names":false,"suffix":""},{"dropping-particle":"","family":"McIver-Brown","given":"Neil","non-dropping-particle":"","parse-names":false,"suffix":""},{"dropping-particle":"","family":"Kalpadakis","given":"Christina","non-dropping-particle":"","parse-names":false,"suffix":""},{"dropping-particle":"","family":"Xochelli","given":"Aliki","non-dropping-particle":"","parse-names":false,"suffix":""},{"dropping-particle":"","family":"Anagnostopoulos","given":"Achilles","non-dropping-particle":"","parse-names":false,"suffix":""},{"dropping-particle":"","family":"Fazi","given":"Claudia","non-dropping-particle":"","parse-names":false,"suffix":""},{"dropping-particle":"","family":"Castro","given":"David Gonzalez","non-dropping-particle":"De","parse-names":false,"suffix":""},{"dropping-particle":"","family":"Dearden","given":"Claire","non-dropping-particle":"","parse-names":false,"suffix":""},{"dropping-particle":"","family":"Pratt","given":"Guy","non-dropping-particle":"","parse-names":false,"suffix":""},{"dropping-particle":"","family":"Rosenquist","given":"Richard","non-dropping-particle":"","parse-names":false,"suffix":""},{"dropping-particle":"","family":"Ashton-Key","given":"Margaret","non-dropping-particle":"","parse-names":false,"suffix":""},{"dropping-particle":"","family":"Forconi","given":"Francesco","non-dropping-particle":"","parse-names":false,"suffix":""},{"dropping-particle":"","family":"Collins","given":"Andrew","non-dropping-particle":"","parse-names":false,"suffix":""},{"dropping-particle":"","family":"Ghia","given":"Paolo","non-dropping-particle":"","pars</w:instrText>
      </w:r>
      <w:r w:rsidR="0071777A" w:rsidRPr="00002888">
        <w:rPr>
          <w:rFonts w:ascii="Times New Roman" w:hAnsi="Times New Roman" w:cs="Times New Roman"/>
          <w:sz w:val="24"/>
          <w:szCs w:val="24"/>
          <w:lang w:val="es-CO"/>
        </w:rPr>
        <w:instrText>e-names":false,"suffix":""},{"dropping-particle":"","family":"Matutes","given":"Estella","non-dropping-particle":"","parse-names":false,"suffix":""},{"dropping-particle":"","family":"Pangalis","given":"Gerassimos","non-dropping-particle":"","parse-names":false,"suffix":""},{"dropping-particle":"","family":"Stamatopoulos","given":"Kostas","non-dropping-particle":"","parse-names":false,"suffix":""},{"dropping-particle":"","family":"Oscier","given":"David","non-dropping-particle":"","parse-names":false,"suffix":""},{"dropping-particle":"","family":"Strefford","given":"Jonathan C.","non-dropping-particle":"","parse-names":false,"suffix":""}],"container-title":"Clinical Cancer Research","id":"ITEM-5","issue":"18","issued":{"date-parts":[["2015"]]},"page":"4174-4183","title":"Genetics and prognostication in splenic marginal zone lymphoma: Revelations from deep sequencing","type":"article-journal","volume":"21"},"uris":["http://www.mendeley.com/documents/?uuid=81509c2c-3e61-4115-bfa1-3ac38fc7fb12"]}],"mendeley":{"formattedCitation":"(Clipson et al., 2015; Kiel et al., 2012; Martínez et al., 2014; Parry et al., 2015, 2013)","plainTextFormattedCitation":"(Clipson et al., 2015; Kiel et al., 2012; Martínez et al., 2014; Parry et al., 2015, 2013)","previouslyFormattedCitation":"(Clipson et al., 2015; Kiel et al., 2012; Martínez et al., 2014; Parry et al., 2015, 2013)"},"properties":{"noteIndex":0},"schema":"https://github.com/citation-style-language/schema/raw/master/csl-citation.json"}</w:instrText>
      </w:r>
      <w:r w:rsidR="00A5727C" w:rsidRPr="00002888">
        <w:rPr>
          <w:rFonts w:ascii="Times New Roman" w:hAnsi="Times New Roman" w:cs="Times New Roman"/>
          <w:sz w:val="24"/>
          <w:szCs w:val="24"/>
          <w:lang w:val="en-GB"/>
        </w:rPr>
        <w:fldChar w:fldCharType="separate"/>
      </w:r>
      <w:r w:rsidR="00A5727C" w:rsidRPr="00002888">
        <w:rPr>
          <w:rFonts w:ascii="Times New Roman" w:hAnsi="Times New Roman" w:cs="Times New Roman"/>
          <w:noProof/>
          <w:sz w:val="24"/>
          <w:szCs w:val="24"/>
          <w:lang w:val="es-CO"/>
        </w:rPr>
        <w:t>(Clipson et al., 2015; Kiel et al., 2012; Martínez et al., 2014; Parry et al., 2015, 2013)</w:t>
      </w:r>
      <w:r w:rsidR="00A5727C" w:rsidRPr="00002888">
        <w:rPr>
          <w:rFonts w:ascii="Times New Roman" w:hAnsi="Times New Roman" w:cs="Times New Roman"/>
          <w:sz w:val="24"/>
          <w:szCs w:val="24"/>
          <w:lang w:val="en-GB"/>
        </w:rPr>
        <w:fldChar w:fldCharType="end"/>
      </w:r>
      <w:r w:rsidR="00EE7396" w:rsidRPr="00002888">
        <w:rPr>
          <w:rFonts w:ascii="Times New Roman" w:hAnsi="Times New Roman" w:cs="Times New Roman"/>
          <w:sz w:val="24"/>
          <w:szCs w:val="24"/>
          <w:lang w:val="es-CO"/>
        </w:rPr>
        <w:t xml:space="preserve">. </w:t>
      </w:r>
      <w:r w:rsidR="52C85639" w:rsidRPr="00002888">
        <w:rPr>
          <w:rFonts w:ascii="Times New Roman" w:hAnsi="Times New Roman" w:cs="Times New Roman"/>
          <w:sz w:val="24"/>
          <w:szCs w:val="24"/>
          <w:lang w:val="en-GB"/>
        </w:rPr>
        <w:t>In SMZL</w:t>
      </w:r>
      <w:r w:rsidR="73F4BEA0" w:rsidRPr="00002888">
        <w:rPr>
          <w:rFonts w:ascii="Times New Roman" w:hAnsi="Times New Roman" w:cs="Times New Roman"/>
          <w:sz w:val="24"/>
          <w:szCs w:val="24"/>
          <w:lang w:val="en-GB"/>
        </w:rPr>
        <w:t>,</w:t>
      </w:r>
      <w:r w:rsidR="52C85639" w:rsidRPr="00002888">
        <w:rPr>
          <w:rFonts w:ascii="Times New Roman" w:hAnsi="Times New Roman" w:cs="Times New Roman"/>
          <w:sz w:val="24"/>
          <w:szCs w:val="24"/>
          <w:lang w:val="en-GB"/>
        </w:rPr>
        <w:t xml:space="preserve"> </w:t>
      </w:r>
      <w:r w:rsidR="55E4AE78" w:rsidRPr="00002888">
        <w:rPr>
          <w:rFonts w:ascii="Times New Roman" w:hAnsi="Times New Roman" w:cs="Times New Roman"/>
          <w:i/>
          <w:iCs/>
          <w:sz w:val="24"/>
          <w:szCs w:val="24"/>
          <w:lang w:val="en-GB"/>
        </w:rPr>
        <w:t>NOTCH2</w:t>
      </w:r>
      <w:r w:rsidR="55E4AE78" w:rsidRPr="00002888">
        <w:rPr>
          <w:rFonts w:ascii="Times New Roman" w:hAnsi="Times New Roman" w:cs="Times New Roman"/>
          <w:sz w:val="24"/>
          <w:szCs w:val="24"/>
          <w:lang w:val="en-GB"/>
        </w:rPr>
        <w:t xml:space="preserve"> mutations</w:t>
      </w:r>
      <w:r w:rsidR="0CC2DC95" w:rsidRPr="00002888">
        <w:rPr>
          <w:rFonts w:ascii="Times New Roman" w:hAnsi="Times New Roman" w:cs="Times New Roman"/>
          <w:sz w:val="24"/>
          <w:szCs w:val="24"/>
          <w:lang w:val="en-GB"/>
        </w:rPr>
        <w:t xml:space="preserve"> </w:t>
      </w:r>
      <w:r w:rsidR="55E4AE78" w:rsidRPr="00002888">
        <w:rPr>
          <w:rFonts w:ascii="Times New Roman" w:hAnsi="Times New Roman" w:cs="Times New Roman"/>
          <w:sz w:val="24"/>
          <w:szCs w:val="24"/>
          <w:lang w:val="en-GB"/>
        </w:rPr>
        <w:t xml:space="preserve">target the C-terminal PEST domain </w:t>
      </w:r>
      <w:r w:rsidR="4FA27DF4" w:rsidRPr="00002888">
        <w:rPr>
          <w:rFonts w:ascii="Times New Roman" w:hAnsi="Times New Roman" w:cs="Times New Roman"/>
          <w:sz w:val="24"/>
          <w:szCs w:val="24"/>
          <w:lang w:val="en-GB"/>
        </w:rPr>
        <w:t>on exon 34</w:t>
      </w:r>
      <w:r w:rsidR="0071777A" w:rsidRPr="00002888">
        <w:rPr>
          <w:rFonts w:ascii="Times New Roman" w:hAnsi="Times New Roman" w:cs="Times New Roman"/>
          <w:sz w:val="24"/>
          <w:szCs w:val="24"/>
          <w:lang w:val="en-GB"/>
        </w:rPr>
        <w:t xml:space="preserve"> </w:t>
      </w:r>
      <w:r w:rsidR="0071777A" w:rsidRPr="00002888">
        <w:rPr>
          <w:rFonts w:ascii="Times New Roman" w:hAnsi="Times New Roman" w:cs="Times New Roman"/>
          <w:sz w:val="24"/>
          <w:szCs w:val="24"/>
          <w:lang w:val="en-GB"/>
        </w:rPr>
        <w:fldChar w:fldCharType="begin" w:fldLock="1"/>
      </w:r>
      <w:r w:rsidR="00FC060C" w:rsidRPr="00002888">
        <w:rPr>
          <w:rFonts w:ascii="Times New Roman" w:hAnsi="Times New Roman" w:cs="Times New Roman"/>
          <w:sz w:val="24"/>
          <w:szCs w:val="24"/>
          <w:lang w:val="en-GB"/>
        </w:rPr>
        <w:instrText>ADDIN CSL_CITATION {"citationItems":[{"id":"ITEM-1","itemData":{"DOI":"10.1038/s41598-019-46906-1","ISSN":"2045-2322","author":[{"dropping-particle":"","family":"Jaramillo Oquendo","given":"Carolina","non-dropping-particle":"","parse-names":false,"suffix":""},{"dropping-particle":"","family":"Parker","given":"Helen","non-dropping-particle":"","parse-names":false,"suffix":""},{"dropping-particle":"","family":"Oscier","given":"David","non-dropping-particle":"","parse-names":false,"suffix":""},{"dropping-particle":"","family":"Ennis","given":"Sarah","non-dropping-particle":"","parse-names":false,"suffix":""},{"dropping-particle":"","family":"Gibson","given":"Jane","non-dropping-particle":"","parse-names":false,"suffix":""},{"dropping-particle":"","family":"Strefford","given":"Jonathan C.","non-dropping-particle":"","parse-names":false,"suffix":""}],"container-title":"Scientific Reports","id":"ITEM-1","issue":"1","issued":{"date-parts":[["2019"]]},"page":"1-9","publisher":"Springer US","title":"Systematic Review of Somatic Mutations in Splenic Marginal Zone Lymphoma","type":"article-journal","volume":"9"},"uris":["http://www.mendeley.com/documents/?uuid=e07e354c-2ea8-47d8-b58e-aec6abbe2ec6"]}],"mendeley":{"formattedCitation":"(Jaramillo Oquendo et al., 2019)","plainTextFormattedCitation":"(Jaramillo Oquendo et al., 2019)","previouslyFormattedCitation":"(Jaramillo Oquendo et al., 2019)"},"properties":{"noteIndex":0},"schema":"https://github.com/citation-style-language/schema/raw/master/csl-citation.json"}</w:instrText>
      </w:r>
      <w:r w:rsidR="0071777A" w:rsidRPr="00002888">
        <w:rPr>
          <w:rFonts w:ascii="Times New Roman" w:hAnsi="Times New Roman" w:cs="Times New Roman"/>
          <w:sz w:val="24"/>
          <w:szCs w:val="24"/>
          <w:lang w:val="en-GB"/>
        </w:rPr>
        <w:fldChar w:fldCharType="separate"/>
      </w:r>
      <w:r w:rsidR="0071777A" w:rsidRPr="00002888">
        <w:rPr>
          <w:rFonts w:ascii="Times New Roman" w:hAnsi="Times New Roman" w:cs="Times New Roman"/>
          <w:noProof/>
          <w:sz w:val="24"/>
          <w:szCs w:val="24"/>
          <w:lang w:val="en-GB"/>
        </w:rPr>
        <w:t>(Jaramillo Oquendo et al., 2019)</w:t>
      </w:r>
      <w:r w:rsidR="0071777A" w:rsidRPr="00002888">
        <w:rPr>
          <w:rFonts w:ascii="Times New Roman" w:hAnsi="Times New Roman" w:cs="Times New Roman"/>
          <w:sz w:val="24"/>
          <w:szCs w:val="24"/>
          <w:lang w:val="en-GB"/>
        </w:rPr>
        <w:fldChar w:fldCharType="end"/>
      </w:r>
      <w:r w:rsidR="4FA27DF4" w:rsidRPr="00002888">
        <w:rPr>
          <w:rFonts w:ascii="Times New Roman" w:hAnsi="Times New Roman" w:cs="Times New Roman"/>
          <w:sz w:val="24"/>
          <w:szCs w:val="24"/>
          <w:lang w:val="en-GB"/>
        </w:rPr>
        <w:t>,</w:t>
      </w:r>
      <w:r w:rsidR="55E4AE78" w:rsidRPr="00002888">
        <w:rPr>
          <w:rFonts w:ascii="Times New Roman" w:hAnsi="Times New Roman" w:cs="Times New Roman"/>
          <w:sz w:val="24"/>
          <w:szCs w:val="24"/>
          <w:lang w:val="en-GB"/>
        </w:rPr>
        <w:t xml:space="preserve"> necessary for the regulation of the </w:t>
      </w:r>
      <w:r w:rsidR="5C7DF3C7" w:rsidRPr="00002888">
        <w:rPr>
          <w:rFonts w:ascii="Times New Roman" w:hAnsi="Times New Roman" w:cs="Times New Roman"/>
          <w:sz w:val="24"/>
          <w:szCs w:val="24"/>
          <w:lang w:val="en-GB"/>
        </w:rPr>
        <w:t>intracellular domain and consequent transcriptional regulatio</w:t>
      </w:r>
      <w:r w:rsidR="21924FD1" w:rsidRPr="00002888">
        <w:rPr>
          <w:rFonts w:ascii="Times New Roman" w:hAnsi="Times New Roman" w:cs="Times New Roman"/>
          <w:sz w:val="24"/>
          <w:szCs w:val="24"/>
          <w:lang w:val="en-GB"/>
        </w:rPr>
        <w:t>n</w:t>
      </w:r>
      <w:r w:rsidR="42BCC89E" w:rsidRPr="00002888">
        <w:rPr>
          <w:rFonts w:ascii="Times New Roman" w:hAnsi="Times New Roman" w:cs="Times New Roman"/>
          <w:sz w:val="24"/>
          <w:szCs w:val="24"/>
          <w:lang w:val="en-GB"/>
        </w:rPr>
        <w:t xml:space="preserve"> </w:t>
      </w:r>
      <w:r w:rsidR="00AC7B23" w:rsidRPr="00002888">
        <w:rPr>
          <w:rFonts w:ascii="Times New Roman" w:hAnsi="Times New Roman" w:cs="Times New Roman"/>
          <w:sz w:val="24"/>
          <w:szCs w:val="24"/>
          <w:lang w:val="en-GB"/>
        </w:rPr>
        <w:t>(</w:t>
      </w:r>
      <w:r w:rsidR="00AC7B23" w:rsidRPr="00002888">
        <w:rPr>
          <w:rFonts w:ascii="Times New Roman" w:hAnsi="Times New Roman" w:cs="Times New Roman"/>
          <w:b/>
          <w:bCs/>
          <w:sz w:val="24"/>
          <w:szCs w:val="24"/>
          <w:lang w:val="en-GB"/>
        </w:rPr>
        <w:t>Figure 3</w:t>
      </w:r>
      <w:r w:rsidR="00AC7B23" w:rsidRPr="00002888">
        <w:rPr>
          <w:rFonts w:ascii="Times New Roman" w:hAnsi="Times New Roman" w:cs="Times New Roman"/>
          <w:sz w:val="24"/>
          <w:szCs w:val="24"/>
          <w:lang w:val="en-GB"/>
        </w:rPr>
        <w:t>)</w:t>
      </w:r>
      <w:r w:rsidR="2D19B142" w:rsidRPr="00002888">
        <w:rPr>
          <w:rFonts w:ascii="Times New Roman" w:hAnsi="Times New Roman" w:cs="Times New Roman"/>
          <w:sz w:val="24"/>
          <w:szCs w:val="24"/>
          <w:lang w:val="en-GB"/>
        </w:rPr>
        <w:t>.</w:t>
      </w:r>
      <w:r w:rsidR="7B6477F8" w:rsidRPr="00002888">
        <w:rPr>
          <w:rFonts w:ascii="Times New Roman" w:hAnsi="Times New Roman" w:cs="Times New Roman"/>
          <w:sz w:val="24"/>
          <w:szCs w:val="24"/>
          <w:lang w:val="en-GB"/>
        </w:rPr>
        <w:t xml:space="preserve"> </w:t>
      </w:r>
      <w:proofErr w:type="spellStart"/>
      <w:r w:rsidR="5C7B2BE5" w:rsidRPr="00002888">
        <w:rPr>
          <w:rFonts w:ascii="Times New Roman" w:hAnsi="Times New Roman" w:cs="Times New Roman"/>
          <w:sz w:val="24"/>
          <w:szCs w:val="24"/>
          <w:lang w:val="en-GB"/>
        </w:rPr>
        <w:t>Shanmugan</w:t>
      </w:r>
      <w:proofErr w:type="spellEnd"/>
      <w:r w:rsidR="5C7B2BE5" w:rsidRPr="00002888">
        <w:rPr>
          <w:rFonts w:ascii="Times New Roman" w:hAnsi="Times New Roman" w:cs="Times New Roman"/>
          <w:sz w:val="24"/>
          <w:szCs w:val="24"/>
          <w:lang w:val="en-GB"/>
        </w:rPr>
        <w:t xml:space="preserve"> and </w:t>
      </w:r>
      <w:r w:rsidR="2A26014E" w:rsidRPr="00002888">
        <w:rPr>
          <w:rFonts w:ascii="Times New Roman" w:hAnsi="Times New Roman" w:cs="Times New Roman"/>
          <w:sz w:val="24"/>
          <w:szCs w:val="24"/>
          <w:lang w:val="en-GB"/>
        </w:rPr>
        <w:t>colleagues</w:t>
      </w:r>
      <w:r w:rsidR="5C7B2BE5" w:rsidRPr="00002888">
        <w:rPr>
          <w:rFonts w:ascii="Times New Roman" w:hAnsi="Times New Roman" w:cs="Times New Roman"/>
          <w:sz w:val="24"/>
          <w:szCs w:val="24"/>
          <w:lang w:val="en-GB"/>
        </w:rPr>
        <w:t xml:space="preserve"> propose that </w:t>
      </w:r>
      <w:r w:rsidR="32F27EA2" w:rsidRPr="00002888">
        <w:rPr>
          <w:rFonts w:ascii="Times New Roman" w:hAnsi="Times New Roman" w:cs="Times New Roman"/>
          <w:sz w:val="24"/>
          <w:szCs w:val="24"/>
          <w:lang w:val="en-GB"/>
        </w:rPr>
        <w:t>in the case of SMZL</w:t>
      </w:r>
      <w:r w:rsidR="2A26014E" w:rsidRPr="00002888">
        <w:rPr>
          <w:rFonts w:ascii="Times New Roman" w:hAnsi="Times New Roman" w:cs="Times New Roman"/>
          <w:sz w:val="24"/>
          <w:szCs w:val="24"/>
          <w:lang w:val="en-GB"/>
        </w:rPr>
        <w:t>,</w:t>
      </w:r>
      <w:r w:rsidR="32F27EA2" w:rsidRPr="00002888">
        <w:rPr>
          <w:rFonts w:ascii="Times New Roman" w:hAnsi="Times New Roman" w:cs="Times New Roman"/>
          <w:sz w:val="24"/>
          <w:szCs w:val="24"/>
          <w:lang w:val="en-GB"/>
        </w:rPr>
        <w:t xml:space="preserve"> </w:t>
      </w:r>
      <w:r w:rsidR="32F27EA2" w:rsidRPr="00002888">
        <w:rPr>
          <w:rFonts w:ascii="Times New Roman" w:hAnsi="Times New Roman" w:cs="Times New Roman"/>
          <w:i/>
          <w:iCs/>
          <w:sz w:val="24"/>
          <w:szCs w:val="24"/>
          <w:lang w:val="en-GB"/>
        </w:rPr>
        <w:t>NOTCH2</w:t>
      </w:r>
      <w:r w:rsidR="32F27EA2" w:rsidRPr="00002888">
        <w:rPr>
          <w:rFonts w:ascii="Times New Roman" w:hAnsi="Times New Roman" w:cs="Times New Roman"/>
          <w:sz w:val="24"/>
          <w:szCs w:val="24"/>
          <w:lang w:val="en-GB"/>
        </w:rPr>
        <w:t xml:space="preserve"> m</w:t>
      </w:r>
      <w:r w:rsidR="2A26014E" w:rsidRPr="00002888">
        <w:rPr>
          <w:rFonts w:ascii="Times New Roman" w:hAnsi="Times New Roman" w:cs="Times New Roman"/>
          <w:sz w:val="24"/>
          <w:szCs w:val="24"/>
          <w:lang w:val="en-GB"/>
        </w:rPr>
        <w:t>u</w:t>
      </w:r>
      <w:r w:rsidR="32F27EA2" w:rsidRPr="00002888">
        <w:rPr>
          <w:rFonts w:ascii="Times New Roman" w:hAnsi="Times New Roman" w:cs="Times New Roman"/>
          <w:sz w:val="24"/>
          <w:szCs w:val="24"/>
          <w:lang w:val="en-GB"/>
        </w:rPr>
        <w:t xml:space="preserve">tations are not initiating events, </w:t>
      </w:r>
      <w:r w:rsidR="14944EE6" w:rsidRPr="00002888">
        <w:rPr>
          <w:rFonts w:ascii="Times New Roman" w:hAnsi="Times New Roman" w:cs="Times New Roman"/>
          <w:sz w:val="24"/>
          <w:szCs w:val="24"/>
          <w:lang w:val="en-GB"/>
        </w:rPr>
        <w:t>but</w:t>
      </w:r>
      <w:r w:rsidR="4CB88123" w:rsidRPr="00002888">
        <w:rPr>
          <w:rFonts w:ascii="Times New Roman" w:hAnsi="Times New Roman" w:cs="Times New Roman"/>
          <w:sz w:val="24"/>
          <w:szCs w:val="24"/>
          <w:lang w:val="en-GB"/>
        </w:rPr>
        <w:t xml:space="preserve"> that</w:t>
      </w:r>
      <w:r w:rsidR="14944EE6" w:rsidRPr="00002888">
        <w:rPr>
          <w:rFonts w:ascii="Times New Roman" w:hAnsi="Times New Roman" w:cs="Times New Roman"/>
          <w:sz w:val="24"/>
          <w:szCs w:val="24"/>
          <w:lang w:val="en-GB"/>
        </w:rPr>
        <w:t xml:space="preserve"> the sustained signalling provided by</w:t>
      </w:r>
      <w:r w:rsidR="4CB88123" w:rsidRPr="00002888">
        <w:rPr>
          <w:rFonts w:ascii="Times New Roman" w:hAnsi="Times New Roman" w:cs="Times New Roman"/>
          <w:sz w:val="24"/>
          <w:szCs w:val="24"/>
          <w:lang w:val="en-GB"/>
        </w:rPr>
        <w:t xml:space="preserve"> </w:t>
      </w:r>
      <w:r w:rsidR="14944EE6" w:rsidRPr="00002888">
        <w:rPr>
          <w:rFonts w:ascii="Times New Roman" w:hAnsi="Times New Roman" w:cs="Times New Roman"/>
          <w:sz w:val="24"/>
          <w:szCs w:val="24"/>
          <w:lang w:val="en-GB"/>
        </w:rPr>
        <w:t>these mutations provide</w:t>
      </w:r>
      <w:r w:rsidR="7284C210" w:rsidRPr="00002888">
        <w:rPr>
          <w:rFonts w:ascii="Times New Roman" w:hAnsi="Times New Roman" w:cs="Times New Roman"/>
          <w:sz w:val="24"/>
          <w:szCs w:val="24"/>
          <w:lang w:val="en-GB"/>
        </w:rPr>
        <w:t>s</w:t>
      </w:r>
      <w:r w:rsidR="14944EE6" w:rsidRPr="00002888">
        <w:rPr>
          <w:rFonts w:ascii="Times New Roman" w:hAnsi="Times New Roman" w:cs="Times New Roman"/>
          <w:sz w:val="24"/>
          <w:szCs w:val="24"/>
          <w:lang w:val="en-GB"/>
        </w:rPr>
        <w:t xml:space="preserve"> a selective advantage in tumour</w:t>
      </w:r>
      <w:r w:rsidR="4B2BBEC9" w:rsidRPr="00002888">
        <w:rPr>
          <w:rFonts w:ascii="Times New Roman" w:hAnsi="Times New Roman" w:cs="Times New Roman"/>
          <w:sz w:val="24"/>
          <w:szCs w:val="24"/>
          <w:lang w:val="en-GB"/>
        </w:rPr>
        <w:t>s</w:t>
      </w:r>
      <w:r w:rsidR="14944EE6" w:rsidRPr="00002888">
        <w:rPr>
          <w:rFonts w:ascii="Times New Roman" w:hAnsi="Times New Roman" w:cs="Times New Roman"/>
          <w:sz w:val="24"/>
          <w:szCs w:val="24"/>
          <w:lang w:val="en-GB"/>
        </w:rPr>
        <w:t xml:space="preserve"> that have already established themselves in a ligan</w:t>
      </w:r>
      <w:r w:rsidR="4CB88123" w:rsidRPr="00002888">
        <w:rPr>
          <w:rFonts w:ascii="Times New Roman" w:hAnsi="Times New Roman" w:cs="Times New Roman"/>
          <w:sz w:val="24"/>
          <w:szCs w:val="24"/>
          <w:lang w:val="en-GB"/>
        </w:rPr>
        <w:t>d</w:t>
      </w:r>
      <w:r w:rsidR="14944EE6" w:rsidRPr="00002888">
        <w:rPr>
          <w:rFonts w:ascii="Times New Roman" w:hAnsi="Times New Roman" w:cs="Times New Roman"/>
          <w:sz w:val="24"/>
          <w:szCs w:val="24"/>
          <w:lang w:val="en-GB"/>
        </w:rPr>
        <w:t xml:space="preserve">-rich </w:t>
      </w:r>
      <w:r w:rsidR="4CB88123" w:rsidRPr="00002888">
        <w:rPr>
          <w:rFonts w:ascii="Times New Roman" w:hAnsi="Times New Roman" w:cs="Times New Roman"/>
          <w:sz w:val="24"/>
          <w:szCs w:val="24"/>
          <w:lang w:val="en-GB"/>
        </w:rPr>
        <w:t>microenvironment</w:t>
      </w:r>
      <w:r w:rsidR="00BE379B" w:rsidRPr="00002888">
        <w:rPr>
          <w:rFonts w:ascii="Times New Roman" w:hAnsi="Times New Roman" w:cs="Times New Roman"/>
          <w:sz w:val="24"/>
          <w:szCs w:val="24"/>
          <w:lang w:val="en-GB"/>
        </w:rPr>
        <w:t xml:space="preserve"> </w:t>
      </w:r>
      <w:r w:rsidR="00BE379B" w:rsidRPr="00002888">
        <w:rPr>
          <w:rFonts w:ascii="Times New Roman" w:hAnsi="Times New Roman" w:cs="Times New Roman"/>
          <w:sz w:val="24"/>
          <w:szCs w:val="24"/>
          <w:lang w:val="en-GB"/>
        </w:rPr>
        <w:fldChar w:fldCharType="begin" w:fldLock="1"/>
      </w:r>
      <w:r w:rsidR="00BE379B" w:rsidRPr="00002888">
        <w:rPr>
          <w:rFonts w:ascii="Times New Roman" w:hAnsi="Times New Roman" w:cs="Times New Roman"/>
          <w:sz w:val="24"/>
          <w:szCs w:val="24"/>
          <w:lang w:val="en-GB"/>
        </w:rPr>
        <w:instrText>ADDIN CSL_CITATION {"citationItems":[{"id":"ITEM-1","itemData":{"DOI":"10.1182/bloodadvances.2020002995","ISSN":"2473-9529","abstract":"Notch receptors participate in a signaling pathway in which ligand-induced proteolysis frees the Notch intracellular domain (NICD), allowing it to translocate to the nucleus, form a transcription complex, and induce target gene expression. Chronic lymphocytic leukemia/small lymphocytic lymphoma (CLL/SLL), splenic marginal zone B-cell lymphoma (SMZL), and distinct subsets of diffuse large B-cell lymphoma (DLBCL) are strongly associated with mutations in the 3′ end of NOTCH1 or NOTCH2 that disrupt a proline, glutamic acid, serine, and threonine (PEST) degron domain and stabilize NICD1 and NICD2. By contrast, mutations leading to constitutive Notch activation are rare in primary B-cell neoplasms, suggesting that Notch activation is confined to ligand-rich tumor microenvironments, or that cryptic strong gain-of-function mutations have been missed in prior analyses. To test these ideas, we used immunohistochemical stains to screen a broad range of B-cell tumors for Notch activation. Our analyses reveal that among small B-cell neoplasms, NICD2 is primarily detected in SMZL and is a common feature of both NOTCH2 wild-type and NOTCH2-mutated SMZLs, similar to prior findings with NOTCH1 in CLL/SLL. The greatest NOTCH2 activation was observed in NOTCH2-mutated SMZLs, particularly within splenic marginal zones. By contrast, little evidence of NOTCH2 activation was observed in DLBCL, even in NOTCH2-mutated tumors, suggesting that selective pressure for NOTCH2 activation is mainly confined to low-grade B-cell neoplasms, whereas DLBCLs with NOTCH1 mutations frequently showed evidence of ongoing NOTCH1 activation. These observations have important implications for the pathogenic role of Notch and its therapeutic targeting in B-cell lymphomas.","author":[{"dropping-particle":"","family":"Shanmugam","given":"Vignesh","non-dropping-particle":"","parse-names":false,"suffix":""},{"dropping-particle":"","family":"Craig","given":"Jeffrey W","non-dropping-particle":"","parse-names":false,"suffix":""},{"dropping-particle":"","family":"Hilton","given":"Laura K","non-dropping-particle":"","parse-names":false,"suffix":""},{"dropping-particle":"","family":"Nguyen","given":"Matthew H","non-dropping-particle":"","parse-names":false,"suffix":""},{"dropping-particle":"","family":"Rushton","given":"Christopher K","non-dropping-particle":"","parse-names":false,"suffix":""},{"dropping-particle":"","family":"Fahimdanesh","given":"Kian","non-dropping-particle":"","parse-names":false,"suffix":""},{"dropping-particle":"","family":"Lovitch","given":"Scott","non-dropping-particle":"","parse-names":false,"suffix":""},{"dropping-particle":"","family":"Ferland","given":"Ben","non-dropping-particle":"","parse-names":false,"suffix":""},{"dropping-particle":"","family":"Scott","given":"David W","non-dropping-particle":"","parse-names":false,"suffix":""},{"dropping-particle":"","family":"Aster","given":"Jon C","non-dropping-particle":"","parse-names":false,"suffix":""}],"container-title":"Blood Advances","id":"ITEM-1","issue":"1","issued":{"date-parts":[["2021","1","12"]]},"page":"71-83","title":"Notch activation is pervasive in SMZL and uncommon in DLBCL: implications for Notch signaling in B-cell tumors","type":"article-journal","volume":"5"},"uris":["http://www.mendeley.com/documents/?uuid=2ad897fe-73b2-481c-810a-77af0fc818de"]}],"mendeley":{"formattedCitation":"(Shanmugam et al., 2021)","plainTextFormattedCitation":"(Shanmugam et al., 2021)","previouslyFormattedCitation":"(Shanmugam et al., 2021)"},"properties":{"noteIndex":0},"schema":"https://github.com/citation-style-language/schema/raw/master/csl-citation.json"}</w:instrText>
      </w:r>
      <w:r w:rsidR="00BE379B" w:rsidRPr="00002888">
        <w:rPr>
          <w:rFonts w:ascii="Times New Roman" w:hAnsi="Times New Roman" w:cs="Times New Roman"/>
          <w:sz w:val="24"/>
          <w:szCs w:val="24"/>
          <w:lang w:val="en-GB"/>
        </w:rPr>
        <w:fldChar w:fldCharType="separate"/>
      </w:r>
      <w:r w:rsidR="00BE379B" w:rsidRPr="00002888">
        <w:rPr>
          <w:rFonts w:ascii="Times New Roman" w:hAnsi="Times New Roman" w:cs="Times New Roman"/>
          <w:noProof/>
          <w:sz w:val="24"/>
          <w:szCs w:val="24"/>
          <w:lang w:val="en-GB"/>
        </w:rPr>
        <w:t>(Shanmugam et al., 2021)</w:t>
      </w:r>
      <w:r w:rsidR="00BE379B" w:rsidRPr="00002888">
        <w:rPr>
          <w:rFonts w:ascii="Times New Roman" w:hAnsi="Times New Roman" w:cs="Times New Roman"/>
          <w:sz w:val="24"/>
          <w:szCs w:val="24"/>
          <w:lang w:val="en-GB"/>
        </w:rPr>
        <w:fldChar w:fldCharType="end"/>
      </w:r>
      <w:r w:rsidR="14944EE6" w:rsidRPr="00002888">
        <w:rPr>
          <w:rFonts w:ascii="Times New Roman" w:hAnsi="Times New Roman" w:cs="Times New Roman"/>
          <w:sz w:val="24"/>
          <w:szCs w:val="24"/>
          <w:lang w:val="en-GB"/>
        </w:rPr>
        <w:t>.</w:t>
      </w:r>
      <w:r w:rsidR="6742B69F" w:rsidRPr="00002888">
        <w:rPr>
          <w:rFonts w:ascii="Times New Roman" w:hAnsi="Times New Roman" w:cs="Times New Roman"/>
          <w:sz w:val="24"/>
          <w:szCs w:val="24"/>
          <w:lang w:val="en-GB"/>
        </w:rPr>
        <w:t xml:space="preserve"> </w:t>
      </w:r>
      <w:r w:rsidR="358F2DC5" w:rsidRPr="00002888">
        <w:rPr>
          <w:rFonts w:ascii="Times New Roman" w:hAnsi="Times New Roman" w:cs="Times New Roman"/>
          <w:sz w:val="24"/>
          <w:szCs w:val="24"/>
          <w:lang w:val="en-GB"/>
        </w:rPr>
        <w:t xml:space="preserve">This is supported by evidence in mice where those with activating </w:t>
      </w:r>
      <w:r w:rsidR="0035729E" w:rsidRPr="00002888">
        <w:rPr>
          <w:rFonts w:ascii="Times New Roman" w:hAnsi="Times New Roman" w:cs="Times New Roman"/>
          <w:i/>
          <w:iCs/>
          <w:sz w:val="24"/>
          <w:szCs w:val="24"/>
          <w:lang w:val="en-GB"/>
        </w:rPr>
        <w:t>N</w:t>
      </w:r>
      <w:r w:rsidR="358F2DC5" w:rsidRPr="00002888">
        <w:rPr>
          <w:rFonts w:ascii="Times New Roman" w:hAnsi="Times New Roman" w:cs="Times New Roman"/>
          <w:i/>
          <w:iCs/>
          <w:sz w:val="24"/>
          <w:szCs w:val="24"/>
          <w:lang w:val="en-GB"/>
        </w:rPr>
        <w:t>otch2</w:t>
      </w:r>
      <w:r w:rsidR="358F2DC5" w:rsidRPr="00002888">
        <w:rPr>
          <w:rFonts w:ascii="Times New Roman" w:hAnsi="Times New Roman" w:cs="Times New Roman"/>
          <w:sz w:val="24"/>
          <w:szCs w:val="24"/>
          <w:lang w:val="en-GB"/>
        </w:rPr>
        <w:t xml:space="preserve"> mutations in mature B-cells displayed expansion of the marginal zone but did not develop lymphoma</w:t>
      </w:r>
      <w:r w:rsidR="53594BD1" w:rsidRPr="00002888">
        <w:rPr>
          <w:rFonts w:ascii="Times New Roman" w:hAnsi="Times New Roman" w:cs="Times New Roman"/>
          <w:sz w:val="24"/>
          <w:szCs w:val="24"/>
          <w:lang w:val="en-GB"/>
        </w:rPr>
        <w:t xml:space="preserve"> </w:t>
      </w:r>
      <w:r w:rsidR="00C25975" w:rsidRPr="00002888">
        <w:rPr>
          <w:rFonts w:ascii="Times New Roman" w:hAnsi="Times New Roman" w:cs="Times New Roman"/>
          <w:sz w:val="24"/>
          <w:szCs w:val="24"/>
          <w:lang w:val="en-GB"/>
        </w:rPr>
        <w:fldChar w:fldCharType="begin" w:fldLock="1"/>
      </w:r>
      <w:r w:rsidR="00EB4D78" w:rsidRPr="00002888">
        <w:rPr>
          <w:rFonts w:ascii="Times New Roman" w:hAnsi="Times New Roman" w:cs="Times New Roman"/>
          <w:sz w:val="24"/>
          <w:szCs w:val="24"/>
          <w:lang w:val="en-GB"/>
        </w:rPr>
        <w:instrText>ADDIN CSL_CITATION {"citationItems":[{"id":"ITEM-1","itemData":{"DOI":"10.1182/blood-2010-12-325944","ISSN":"1528-0020","PMID":"21795747","abstract":"B cell-specific gene ablation of Notch2 results in the loss of the marginal zone (MZ) B-cell lineage. To analyze the effects of constitutive Notch2 signaling in B cells, we have generated a transgenic mouse strain that allows the conditional expression of a constitutively active, intracellular form of Notch2 (Notch2IC). Expression of Notch2IC at the earliest developmental stages of the B-cell lineage completely abolished B-cell generation and led to the development of ectopic T cells in the bone marrow (BM), showing that Notch2IC is acting redundantly with Notch1IC in driving ectopic T-cell differentiation. In B cells clearly committed to the B-cell lineage induction of Notch2IC drove all cells toward the MZ B-cell compartment at the expense of follicular B cells. Notch2IC-expressing B cells reflected the phenotype of wild-type MZ B cells for their localization in the MZ, the expression of characteristic surface markers, their enhanced proliferation after stimulation, and increased basal activity of Akt, Erk, and Jnk. Notch2IC-driven MZ B-cell generation in the spleen was achieved even in the absence of CD19. Our results implicate that a constitutive Notch2 signal in transitional type 1 B cells is sufficient to drive MZ B-cell differentiation.","author":[{"dropping-particle":"","family":"Hampel","given":"Franziska","non-dropping-particle":"","parse-names":false,"suffix":""},{"dropping-particle":"","family":"Ehrenberg","given":"Stefanie","non-dropping-particle":"","parse-names":false,"suffix":""},{"dropping-particle":"","family":"Hojer","given":"Caroline","non-dropping-particle":"","parse-names":false,"suffix":""},{"dropping-particle":"","family":"Draeseke","given":"Anne","non-dropping-particle":"","parse-names":false,"suffix":""},{"dropping-particle":"","family":"Marschall-Schröter","given":"Gabriele","non-dropping-particle":"","parse-names":false,"suffix":""},{"dropping-particle":"","family":"Kühn","given":"Ralf","non-dropping-particle":"","parse-names":false,"suffix":""},{"dropping-particle":"","family":"Mack","given":"Brigitte","non-dropping-particle":"","parse-names":false,"suffix":""},{"dropping-particle":"","family":"Gires","given":"Olivier","non-dropping-particle":"","parse-names":false,"suffix":""},{"dropping-particle":"","family":"Vahl","given":"Christoph J.","non-dropping-particle":"","parse-names":false,"suffix":""},{"dropping-particle":"","family":"Schmidt-Supprian","given":"Marc","non-dropping-particle":"","parse-names":false,"suffix":""},{"dropping-particle":"","family":"Strobl","given":"Lothar J.","non-dropping-particle":"","parse-names":false,"suffix":""},{"dropping-particle":"","family":"Zimber-Strobl","given":"Ursula","non-dropping-particle":"","parse-names":false,"suffix":""}],"container-title":"Blood","id":"ITEM-1","issue":"24","issued":{"date-parts":[["2011","12","8"]]},"page":"6321-31","title":"CD19-independent instruction of murine marginal zone B-cell development by constitutive Notch2 signaling.","type":"article-journal","volume":"118"},"uris":["http://www.mendeley.com/documents/?uuid=bac139fd-cb83-41a5-b3a1-ca4254ca70a4"]}],"mendeley":{"formattedCitation":"(Hampel et al., 2011)","plainTextFormattedCitation":"(Hampel et al., 2011)","previouslyFormattedCitation":"(Hampel et al., 2011)"},"properties":{"noteIndex":0},"schema":"https://github.com/citation-style-language/schema/raw/master/csl-citation.json"}</w:instrText>
      </w:r>
      <w:r w:rsidR="00C25975" w:rsidRPr="00002888">
        <w:rPr>
          <w:rFonts w:ascii="Times New Roman" w:hAnsi="Times New Roman" w:cs="Times New Roman"/>
          <w:sz w:val="24"/>
          <w:szCs w:val="24"/>
          <w:lang w:val="en-GB"/>
        </w:rPr>
        <w:fldChar w:fldCharType="separate"/>
      </w:r>
      <w:r w:rsidR="00A15967" w:rsidRPr="00002888">
        <w:rPr>
          <w:rFonts w:ascii="Times New Roman" w:hAnsi="Times New Roman" w:cs="Times New Roman"/>
          <w:noProof/>
          <w:sz w:val="24"/>
          <w:szCs w:val="24"/>
          <w:lang w:val="en-GB"/>
        </w:rPr>
        <w:t>(Hampel et al., 2011)</w:t>
      </w:r>
      <w:r w:rsidR="00C25975" w:rsidRPr="00002888">
        <w:rPr>
          <w:rFonts w:ascii="Times New Roman" w:hAnsi="Times New Roman" w:cs="Times New Roman"/>
          <w:sz w:val="24"/>
          <w:szCs w:val="24"/>
          <w:lang w:val="en-GB"/>
        </w:rPr>
        <w:fldChar w:fldCharType="end"/>
      </w:r>
      <w:r w:rsidR="358F2DC5" w:rsidRPr="00002888">
        <w:rPr>
          <w:rFonts w:ascii="Times New Roman" w:hAnsi="Times New Roman" w:cs="Times New Roman"/>
          <w:sz w:val="24"/>
          <w:szCs w:val="24"/>
          <w:lang w:val="en-GB"/>
        </w:rPr>
        <w:t xml:space="preserve">. </w:t>
      </w:r>
      <w:r w:rsidR="05D26B49" w:rsidRPr="00002888">
        <w:rPr>
          <w:rFonts w:ascii="Times New Roman" w:hAnsi="Times New Roman" w:cs="Times New Roman"/>
          <w:sz w:val="24"/>
          <w:szCs w:val="24"/>
          <w:lang w:val="en-GB"/>
        </w:rPr>
        <w:t>Additionally</w:t>
      </w:r>
      <w:r w:rsidR="6742B69F" w:rsidRPr="00002888">
        <w:rPr>
          <w:rFonts w:ascii="Times New Roman" w:hAnsi="Times New Roman" w:cs="Times New Roman"/>
          <w:sz w:val="24"/>
          <w:szCs w:val="24"/>
          <w:lang w:val="en-GB"/>
        </w:rPr>
        <w:t xml:space="preserve">, </w:t>
      </w:r>
      <w:r w:rsidR="57B1DC18" w:rsidRPr="00002888">
        <w:rPr>
          <w:rFonts w:ascii="Times New Roman" w:hAnsi="Times New Roman" w:cs="Times New Roman"/>
          <w:i/>
          <w:iCs/>
          <w:sz w:val="24"/>
          <w:szCs w:val="24"/>
          <w:lang w:val="en-GB"/>
        </w:rPr>
        <w:t>NOTCH2</w:t>
      </w:r>
      <w:r w:rsidR="57B1DC18" w:rsidRPr="00002888">
        <w:rPr>
          <w:rFonts w:ascii="Times New Roman" w:hAnsi="Times New Roman" w:cs="Times New Roman"/>
          <w:sz w:val="24"/>
          <w:szCs w:val="24"/>
          <w:lang w:val="en-GB"/>
        </w:rPr>
        <w:t xml:space="preserve"> </w:t>
      </w:r>
      <w:r w:rsidR="16793493" w:rsidRPr="00002888">
        <w:rPr>
          <w:rFonts w:ascii="Times New Roman" w:hAnsi="Times New Roman" w:cs="Times New Roman"/>
          <w:sz w:val="24"/>
          <w:szCs w:val="24"/>
          <w:lang w:val="en-GB"/>
        </w:rPr>
        <w:t>mutat</w:t>
      </w:r>
      <w:r w:rsidR="007936BA" w:rsidRPr="00002888">
        <w:rPr>
          <w:rFonts w:ascii="Times New Roman" w:hAnsi="Times New Roman" w:cs="Times New Roman"/>
          <w:sz w:val="24"/>
          <w:szCs w:val="24"/>
          <w:lang w:val="en-GB"/>
        </w:rPr>
        <w:t>ed</w:t>
      </w:r>
      <w:r w:rsidR="16793493" w:rsidRPr="00002888">
        <w:rPr>
          <w:rFonts w:ascii="Times New Roman" w:hAnsi="Times New Roman" w:cs="Times New Roman"/>
          <w:sz w:val="24"/>
          <w:szCs w:val="24"/>
          <w:lang w:val="en-GB"/>
        </w:rPr>
        <w:t xml:space="preserve"> </w:t>
      </w:r>
      <w:r w:rsidR="57B1DC18" w:rsidRPr="00002888">
        <w:rPr>
          <w:rFonts w:ascii="Times New Roman" w:hAnsi="Times New Roman" w:cs="Times New Roman"/>
          <w:sz w:val="24"/>
          <w:szCs w:val="24"/>
          <w:lang w:val="en-GB"/>
        </w:rPr>
        <w:t>tumou</w:t>
      </w:r>
      <w:r w:rsidR="6A42FC27" w:rsidRPr="00002888">
        <w:rPr>
          <w:rFonts w:ascii="Times New Roman" w:hAnsi="Times New Roman" w:cs="Times New Roman"/>
          <w:sz w:val="24"/>
          <w:szCs w:val="24"/>
          <w:lang w:val="en-GB"/>
        </w:rPr>
        <w:t>r</w:t>
      </w:r>
      <w:r w:rsidR="57B1DC18" w:rsidRPr="00002888">
        <w:rPr>
          <w:rFonts w:ascii="Times New Roman" w:hAnsi="Times New Roman" w:cs="Times New Roman"/>
          <w:sz w:val="24"/>
          <w:szCs w:val="24"/>
          <w:lang w:val="en-GB"/>
        </w:rPr>
        <w:t xml:space="preserve">s </w:t>
      </w:r>
      <w:r w:rsidR="00EA4B1C" w:rsidRPr="00002888">
        <w:rPr>
          <w:rFonts w:ascii="Times New Roman" w:hAnsi="Times New Roman" w:cs="Times New Roman"/>
          <w:sz w:val="24"/>
          <w:szCs w:val="24"/>
          <w:lang w:val="en-GB"/>
        </w:rPr>
        <w:t>exhibit sub-clonal heterogeneity</w:t>
      </w:r>
      <w:r w:rsidR="008F5DC6" w:rsidRPr="00002888">
        <w:rPr>
          <w:rFonts w:ascii="Times New Roman" w:hAnsi="Times New Roman" w:cs="Times New Roman"/>
          <w:sz w:val="24"/>
          <w:szCs w:val="24"/>
          <w:lang w:val="en-GB"/>
        </w:rPr>
        <w:t>, with consequent aggressive clones</w:t>
      </w:r>
      <w:r w:rsidR="015C1DAD" w:rsidRPr="00002888">
        <w:rPr>
          <w:rFonts w:ascii="Times New Roman" w:hAnsi="Times New Roman" w:cs="Times New Roman"/>
          <w:sz w:val="24"/>
          <w:szCs w:val="24"/>
          <w:lang w:val="en-GB"/>
        </w:rPr>
        <w:t xml:space="preserve"> </w:t>
      </w:r>
      <w:r w:rsidR="00C25975" w:rsidRPr="00002888">
        <w:rPr>
          <w:rFonts w:ascii="Times New Roman" w:hAnsi="Times New Roman" w:cs="Times New Roman"/>
          <w:sz w:val="24"/>
          <w:szCs w:val="24"/>
          <w:lang w:val="en-GB"/>
        </w:rPr>
        <w:fldChar w:fldCharType="begin" w:fldLock="1"/>
      </w:r>
      <w:r w:rsidR="00EB4D78" w:rsidRPr="00002888">
        <w:rPr>
          <w:rFonts w:ascii="Times New Roman" w:hAnsi="Times New Roman" w:cs="Times New Roman"/>
          <w:sz w:val="24"/>
          <w:szCs w:val="24"/>
          <w:lang w:val="en-GB"/>
        </w:rPr>
        <w:instrText>ADDIN CSL_CITATION {"citationItems":[{"id":"ITEM-1","itemData":{"DOI":"10.1182/bloodadvances.2020002995","ISSN":"2473-9529","abstract":"Notch receptors participate in a signaling pathway in which ligand-induced proteolysis frees the Notch intracellular domain (NICD), allowing it to translocate to the nucleus, form a transcription complex, and induce target gene expression. Chronic lymphocytic leukemia/small lymphocytic lymphoma (CLL/SLL), splenic marginal zone B-cell lymphoma (SMZL), and distinct subsets of diffuse large B-cell lymphoma (DLBCL) are strongly associated with mutations in the 3′ end of NOTCH1 or NOTCH2 that disrupt a proline, glutamic acid, serine, and threonine (PEST) degron domain and stabilize NICD1 and NICD2. By contrast, mutations leading to constitutive Notch activation are rare in primary B-cell neoplasms, suggesting that Notch activation is confined to ligand-rich tumor microenvironments, or that cryptic strong gain-of-function mutations have been missed in prior analyses. To test these ideas, we used immunohistochemical stains to screen a broad range of B-cell tumors for Notch activation. Our analyses reveal that among small B-cell neoplasms, NICD2 is primarily detected in SMZL and is a common feature of both NOTCH2 wild-type and NOTCH2-mutated SMZLs, similar to prior findings with NOTCH1 in CLL/SLL. The greatest NOTCH2 activation was observed in NOTCH2-mutated SMZLs, particularly within splenic marginal zones. By contrast, little evidence of NOTCH2 activation was observed in DLBCL, even in NOTCH2-mutated tumors, suggesting that selective pressure for NOTCH2 activation is mainly confined to low-grade B-cell neoplasms, whereas DLBCLs with NOTCH1 mutations frequently showed evidence of ongoing NOTCH1 activation. These observations have important implications for the pathogenic role of Notch and its therapeutic targeting in B-cell lymphomas.","author":[{"dropping-particle":"","family":"Shanmugam","given":"Vignesh","non-dropping-particle":"","parse-names":false,"suffix":""},{"dropping-particle":"","family":"Craig","given":"Jeffrey W","non-dropping-particle":"","parse-names":false,"suffix":""},{"dropping-particle":"","family":"Hilton","given":"Laura K","non-dropping-particle":"","parse-names":false,"suffix":""},{"dropping-particle":"","family":"Nguyen","given":"Matthew H","non-dropping-particle":"","parse-names":false,"suffix":""},{"dropping-particle":"","family":"Rushton","given":"Christopher K","non-dropping-particle":"","parse-names":false,"suffix":""},{"dropping-particle":"","family":"Fahimdanesh","given":"Kian","non-dropping-particle":"","parse-names":false,"suffix":""},{"dropping-particle":"","family":"Lovitch","given":"Scott","non-dropping-particle":"","parse-names":false,"suffix":""},{"dropping-particle":"","family":"Ferland","given":"Ben","non-dropping-particle":"","parse-names":false,"suffix":""},{"dropping-particle":"","family":"Scott","given":"David W","non-dropping-particle":"","parse-names":false,"suffix":""},{"dropping-particle":"","family":"Aster","given":"Jon C","non-dropping-particle":"","parse-names":false,"suffix":""}],"container-title":"Blood Advances","id":"ITEM-1","issue":"1","issued":{"date-parts":[["2021","1","12"]]},"page":"71-83","title":"Notch activation is pervasive in SMZL and uncommon in DLBCL: implications for Notch signaling in B-cell tumors","type":"article-journal","volume":"5"},"uris":["http://www.mendeley.com/documents/?uuid=2ad897fe-73b2-481c-810a-77af0fc818de"]}],"mendeley":{"formattedCitation":"(Shanmugam et al., 2021)","plainTextFormattedCitation":"(Shanmugam et al., 2021)","previouslyFormattedCitation":"(Shanmugam et al., 2021)"},"properties":{"noteIndex":0},"schema":"https://github.com/citation-style-language/schema/raw/master/csl-citation.json"}</w:instrText>
      </w:r>
      <w:r w:rsidR="00C25975" w:rsidRPr="00002888">
        <w:rPr>
          <w:rFonts w:ascii="Times New Roman" w:hAnsi="Times New Roman" w:cs="Times New Roman"/>
          <w:sz w:val="24"/>
          <w:szCs w:val="24"/>
          <w:lang w:val="en-GB"/>
        </w:rPr>
        <w:fldChar w:fldCharType="separate"/>
      </w:r>
      <w:r w:rsidR="00A15967" w:rsidRPr="00002888">
        <w:rPr>
          <w:rFonts w:ascii="Times New Roman" w:hAnsi="Times New Roman" w:cs="Times New Roman"/>
          <w:noProof/>
          <w:sz w:val="24"/>
          <w:szCs w:val="24"/>
          <w:lang w:val="en-GB"/>
        </w:rPr>
        <w:t>(Shanmugam et al., 2021)</w:t>
      </w:r>
      <w:r w:rsidR="00C25975" w:rsidRPr="00002888">
        <w:rPr>
          <w:rFonts w:ascii="Times New Roman" w:hAnsi="Times New Roman" w:cs="Times New Roman"/>
          <w:sz w:val="24"/>
          <w:szCs w:val="24"/>
          <w:lang w:val="en-GB"/>
        </w:rPr>
        <w:fldChar w:fldCharType="end"/>
      </w:r>
      <w:r w:rsidR="008F5DC6" w:rsidRPr="00002888">
        <w:rPr>
          <w:rFonts w:ascii="Times New Roman" w:hAnsi="Times New Roman" w:cs="Times New Roman"/>
          <w:sz w:val="24"/>
          <w:szCs w:val="24"/>
          <w:lang w:val="en-GB"/>
        </w:rPr>
        <w:t xml:space="preserve">, and inferior survival that has been demonstrated in clinical </w:t>
      </w:r>
      <w:r w:rsidR="008F5DC6" w:rsidRPr="00245037">
        <w:rPr>
          <w:rFonts w:ascii="Times New Roman" w:hAnsi="Times New Roman" w:cs="Times New Roman"/>
          <w:sz w:val="24"/>
          <w:szCs w:val="24"/>
          <w:lang w:val="en-GB"/>
        </w:rPr>
        <w:t>studies</w:t>
      </w:r>
      <w:r w:rsidR="002E5B31" w:rsidRPr="00245037">
        <w:rPr>
          <w:rFonts w:ascii="Times New Roman" w:hAnsi="Times New Roman" w:cs="Times New Roman"/>
          <w:sz w:val="24"/>
          <w:szCs w:val="24"/>
          <w:lang w:val="en-GB"/>
        </w:rPr>
        <w:t xml:space="preserve"> </w:t>
      </w:r>
      <w:r w:rsidR="00C25975" w:rsidRPr="00245037">
        <w:rPr>
          <w:rFonts w:ascii="Times New Roman" w:hAnsi="Times New Roman" w:cs="Times New Roman"/>
          <w:sz w:val="24"/>
          <w:szCs w:val="24"/>
          <w:lang w:val="en-GB"/>
        </w:rPr>
        <w:fldChar w:fldCharType="begin" w:fldLock="1"/>
      </w:r>
      <w:r w:rsidR="00EB4D78" w:rsidRPr="00245037">
        <w:rPr>
          <w:rFonts w:ascii="Times New Roman" w:hAnsi="Times New Roman" w:cs="Times New Roman"/>
          <w:sz w:val="24"/>
          <w:szCs w:val="24"/>
          <w:lang w:val="en-GB"/>
        </w:rPr>
        <w:instrText>ADDIN CSL_CITATION {"citationItems":[{"id":"ITEM-1","itemData":{"DOI":"10.1084/jem.20120910","ISSN":"0022-1007","PMID":"22891276","author":[{"dropping-particle":"","family":"Kiel","given":"Mark J.","non-dropping-particle":"","parse-names":false,"suffix":""},{"dropping-particle":"","family":"Velusamy","given":"Thirunavukkarasu","non-dropping-particle":"","parse-names":false,"suffix":""},{"dropping-particle":"","family":"Betz","given":"Bryan L.","non-dropping-particle":"","parse-names":false,"suffix":""},{"dropping-particle":"","family":"Zhao","given":"Lili","non-dropping-particle":"","parse-names":false,"suffix":""},{"dropping-particle":"","family":"Weigelin","given":"Helmut G.","non-dropping-particle":"","parse-names":false,"suffix":""},{"dropping-particle":"","family":"Chiang","given":"Mark Y.","non-dropping-particle":"","parse-names":false,"suffix":""},{"dropping-particle":"","family":"Huebner-Chan","given":"David R.","non-dropping-particle":"","parse-names":false,"suffix":""},{"dropping-particle":"","family":"Bailey","given":"Nathanael G.","non-dropping-particle":"","parse-names":false,"suffix":""},{"dropping-particle":"","family":"Yang","given":"David T.","non-dropping-particle":"","parse-names":false,"suffix":""},{"dropping-particle":"","family":"Bhagat","given":"Govind","non-dropping-particle":"","parse-names":false,"suffix":""},{"dropping-particle":"","family":"Miranda","given":"Roberto N.","non-dropping-particle":"","parse-names":false,"suffix":""},{"dropping-particle":"","family":"Bahler","given":"David W.","non-dropping-particle":"","parse-names":false,"suffix":""},{"dropping-particle":"","family":"Medeiros","given":"L. Jeffrey","non-dropping-particle":"","parse-names":false,"suffix":""},{"dropping-particle":"","family":"Lim","given":"Megan S.","non-dropping-particle":"","parse-names":false,"suffix":""},{"dropping-particle":"","family":"Elenitoba-Johnson","given":"Kojo S.J.","non-dropping-particle":"","parse-names":false,"suffix":""}],"container-title":"The Journal of Experimental Medicine","id":"ITEM-1","issue":"9","issued":{"date-parts":[["2012"]]},"page":"1553-1565","title":"Whole-genome sequencing identifies recurrent somatic &lt;i&gt;NOTCH2&lt;/i&gt; mutations in splenic marginal zone lymphoma","type":"article-journal","volume":"209"},"uris":["http://www.mendeley.com/documents/?uuid=2e230909-2ec0-4ced-b5cf-986bc3ef4467"]},{"id":"ITEM-2","itemData":{"DOI":"10.1158/1078-0432.CCR-14-2759","ISSN":"15573265","PMID":"25779943","abstract":"Purpose: Mounting evidence supports the clinical significance of gene mutations and immunogenetic features in common mature B-cell malignancies.\\n\\nExperimental Design: We undertook a detailed characterization of the genetic background of splenic marginal zone lymphoma (SMZL), using targeted resequencing and explored potential clinical implications in a multinational cohort of 175 patients with SMZL.\\n\\nResults: We identified recurrent mutations in TP53 (16%), KLF2 (12%), NOTCH2 (10%), TNFAIP3 (7%), MLL2 (11%), MYD88 (7%), and ARID1A (6%), all genes known to be targeted by somatic mutation in SMZL. KLF2 mutations were early, clonal events, enriched in patients with del(7q) and IGHV1-2*04 B-cell receptor immunoglobulins, and were associated with a short median time to first treatment (0.12 vs. 1.11 years; P = 0.01). In multivariate analysis, mutations in NOTCH2 [HR, 2.12; 95% confidence interval (CI), 1.02–4.4; P = 0.044] and 100% germline IGHV gene identity (HR, 2.19; 95% CI, 1.05–4.55; P = 0.036) were independent markers of short time to first treatment, whereas TP53 mutations were an independent marker of short overall survival (HR, 2.36; 95 % CI, 1.08–5.2; P = 0.03).\\n\\nConclusions: We identify key associations between gene mutations and clinical outcome, demonstrating for the first time that NOTCH2 and TP53 gene mutations are independent markers of reduced treatment-free and overall survival, respectively. Clin Cancer Res; 21(18); 4174–83. ©2015 AACR .","author":[{"dropping-particle":"","family":"Parry","given":"Marina","non-dropping-particle":"","parse-names":false,"suffix":""},{"dropping-particle":"","family":"Rose-Zerilli","given":"Matthew J.J.","non-dropping-particle":"","parse-names":false,"suffix":""},{"dropping-particle":"","family":"Ljungström","given":"Viktor","non-dropping-particle":"","parse-names":false,"suffix":""},{"dropping-particle":"","family":"Gibson","given":"Jane","non-dropping-particle":"","parse-names":false,"suffix":""},{"dropping-particle":"","family":"Wang","given":"Jun","non-dropping-particle":"","parse-names":false,"suffix":""},{"dropping-particle":"","family":"Walewska","given":"Renata","non-dropping-particle":"","parse-names":false,"suffix":""},{"dropping-particle":"","family":"Parker","given":"Helen","non-dropping-particle":"","parse-names":false,"suffix":""},{"dropping-particle":"","family":"Parker","given":"Anton","non-dropping-particle":"","parse-names":false,"suffix":""},{"dropping-particle":"","family":"Davis","given":"Zadie","non-dropping-particle":"","parse-names":false,"suffix":""},{"dropping-particle":"","family":"Gardiner","given":"Anne","non-dropping-particle":"","parse-names":false,"suffix":""},{"dropping-particle":"","family":"McIver-Brown","given":"Neil","non-dropping-particle":"","parse-names":false,"suffix":""},{"dropping-particle":"","family":"Kalpadakis","given":"Christina","non-dropping-particle":"","parse-names":false,"suffix":""},{"dropping-particle":"","family":"Xochelli","given":"Aliki","non-dropping-particle":"","parse-names":false,"suffix":""},{"dropping-particle":"","family":"Anagnostopoulos","given":"Achilles","non-dropping-particle":"","parse-names":false,"suffix":""},{"dropping-particle":"","family":"Fazi","given":"Claudia","non-dropping-particle":"","parse-names":false,"suffix":""},{"dropping-particle":"","family":"Castro","given":"David Gonzalez","non-dropping-particle":"De","parse-names":false,"suffix":""},{"dropping-particle":"","family":"Dearden","given":"Claire","non-dropping-particle":"","parse-names":false,"suffix":""},{"dropping-particle":"","family":"Pratt","given":"Guy","non-dropping-particle":"","parse-names":false,"suffix":""},{"dropping-particle":"","family":"Rosenquist","given":"Richard","non-dropping-particle":"","parse-names":false,"suffix":""},{"dropping-particle":"","family":"Ashton-Key","given":"Margaret","non-dropping-particle":"","parse-names":false,"suffix":""},{"dropping-particle":"","family":"Forconi","given":"Francesco","non-dropping-particle":"","parse-names":false,"suffix":""},{"dropping-particle":"","family":"Collins","given":"Andrew","non-dropping-particle":"","parse-names":false,"suffix":""},{"dropping-particle":"","family":"Ghia","given":"Paolo","non-dropping-particle":"","parse-names":false,"suffix":""},{"dropping-particle":"","family":"Matutes","given":"Estella","non-dropping-particle":"","parse-names":false,"suffix":""},{"dropping-particle":"","family":"Pangalis","given":"Gerassimos","non-dropping-particle":"","parse-names":false,"suffix":""},{"dropping-particle":"","family":"Stamatopoulos","given":"Kostas","non-dropping-particle":"","parse-names":false,"suffix":""},{"dropping-particle":"","family":"Oscier","given":"David","non-dropping-particle":"","parse-names":false,"suffix":""},{"dropping-particle":"","family":"Strefford","given":"Jonathan C.","non-dropping-particle":"","parse-names":false,"suffix":""}],"container-title":"Clinical Cancer Research","id":"ITEM-2","issue":"18","issued":{"date-parts":[["2015"]]},"page":"4174-4183","title":"Genetics and prognostication in splenic marginal zone lymphoma: Revelations from deep sequencing","type":"article-journal","volume":"21"},"uris":["http://www.mendeley.com/documents/?uuid=81509c2c-3e61-4115-bfa1-3ac38fc7fb12"]}],"mendeley":{"formattedCitation":"(Kiel et al., 2012; Parry et al., 2015)","plainTextFormattedCitation":"(Kiel et al., 2012; Parry et al., 2015)","previouslyFormattedCitation":"(Kiel et al., 2012; Parry et al., 2015)"},"properties":{"noteIndex":0},"schema":"https://github.com/citation-style-language/schema/raw/master/csl-citation.json"}</w:instrText>
      </w:r>
      <w:r w:rsidR="00C25975" w:rsidRPr="00245037">
        <w:rPr>
          <w:rFonts w:ascii="Times New Roman" w:hAnsi="Times New Roman" w:cs="Times New Roman"/>
          <w:sz w:val="24"/>
          <w:szCs w:val="24"/>
          <w:lang w:val="en-GB"/>
        </w:rPr>
        <w:fldChar w:fldCharType="separate"/>
      </w:r>
      <w:r w:rsidR="00A15967" w:rsidRPr="00245037">
        <w:rPr>
          <w:rFonts w:ascii="Times New Roman" w:hAnsi="Times New Roman" w:cs="Times New Roman"/>
          <w:noProof/>
          <w:sz w:val="24"/>
          <w:szCs w:val="24"/>
          <w:lang w:val="en-GB"/>
        </w:rPr>
        <w:t>(Kiel et al., 2012; Parry et al., 2015)</w:t>
      </w:r>
      <w:r w:rsidR="00C25975" w:rsidRPr="00245037">
        <w:rPr>
          <w:rFonts w:ascii="Times New Roman" w:hAnsi="Times New Roman" w:cs="Times New Roman"/>
          <w:sz w:val="24"/>
          <w:szCs w:val="24"/>
          <w:lang w:val="en-GB"/>
        </w:rPr>
        <w:fldChar w:fldCharType="end"/>
      </w:r>
      <w:r w:rsidR="11B8403C" w:rsidRPr="00245037">
        <w:rPr>
          <w:rFonts w:ascii="Times New Roman" w:hAnsi="Times New Roman" w:cs="Times New Roman"/>
          <w:sz w:val="24"/>
          <w:szCs w:val="24"/>
          <w:lang w:val="en-GB"/>
        </w:rPr>
        <w:t>.</w:t>
      </w:r>
      <w:r w:rsidR="00105822" w:rsidRPr="00245037">
        <w:rPr>
          <w:rFonts w:ascii="Times New Roman" w:hAnsi="Times New Roman" w:cs="Times New Roman"/>
          <w:sz w:val="24"/>
          <w:szCs w:val="24"/>
          <w:lang w:val="en-GB"/>
        </w:rPr>
        <w:t xml:space="preserve"> Expression of the Notch intracellular domain 2 (NICD2) can be detected in SMZL cases and is a common feature of both </w:t>
      </w:r>
      <w:r w:rsidR="00105822" w:rsidRPr="00245037">
        <w:rPr>
          <w:rFonts w:ascii="Times New Roman" w:hAnsi="Times New Roman" w:cs="Times New Roman"/>
          <w:i/>
          <w:iCs/>
          <w:sz w:val="24"/>
          <w:szCs w:val="24"/>
          <w:lang w:val="en-GB"/>
        </w:rPr>
        <w:t xml:space="preserve">NOTCH2 </w:t>
      </w:r>
      <w:r w:rsidR="00105822" w:rsidRPr="00245037">
        <w:rPr>
          <w:rFonts w:ascii="Times New Roman" w:hAnsi="Times New Roman" w:cs="Times New Roman"/>
          <w:sz w:val="24"/>
          <w:szCs w:val="24"/>
          <w:lang w:val="en-GB"/>
        </w:rPr>
        <w:t xml:space="preserve">wild-type and mutated SMZLs </w:t>
      </w:r>
      <w:r w:rsidR="00B27C81" w:rsidRPr="00245037">
        <w:rPr>
          <w:rFonts w:ascii="Times New Roman" w:hAnsi="Times New Roman" w:cs="Times New Roman"/>
          <w:sz w:val="24"/>
          <w:szCs w:val="24"/>
          <w:lang w:val="en-GB"/>
        </w:rPr>
        <w:fldChar w:fldCharType="begin" w:fldLock="1"/>
      </w:r>
      <w:r w:rsidR="00B27C81" w:rsidRPr="00245037">
        <w:rPr>
          <w:rFonts w:ascii="Times New Roman" w:hAnsi="Times New Roman" w:cs="Times New Roman"/>
          <w:sz w:val="24"/>
          <w:szCs w:val="24"/>
          <w:lang w:val="en-GB"/>
        </w:rPr>
        <w:instrText>ADDIN CSL_CITATION {"citationItems":[{"id":"ITEM-1","itemData":{"DOI":"10.1182/bloodadvances.2020002995","ISSN":"2473-9529","abstract":"Notch receptors participate in a signaling pathway in which ligand-induced proteolysis frees the Notch intracellular domain (NICD), allowing it to translocate to the nucleus, form a transcription complex, and induce target gene expression. Chronic lymphocytic leukemia/small lymphocytic lymphoma (CLL/SLL), splenic marginal zone B-cell lymphoma (SMZL), and distinct subsets of diffuse large B-cell lymphoma (DLBCL) are strongly associated with mutations in the 3′ end of NOTCH1 or NOTCH2 that disrupt a proline, glutamic acid, serine, and threonine (PEST) degron domain and stabilize NICD1 and NICD2. By contrast, mutations leading to constitutive Notch activation are rare in primary B-cell neoplasms, suggesting that Notch activation is confined to ligand-rich tumor microenvironments, or that cryptic strong gain-of-function mutations have been missed in prior analyses. To test these ideas, we used immunohistochemical stains to screen a broad range of B-cell tumors for Notch activation. Our analyses reveal that among small B-cell neoplasms, NICD2 is primarily detected in SMZL and is a common feature of both NOTCH2 wild-type and NOTCH2-mutated SMZLs, similar to prior findings with NOTCH1 in CLL/SLL. The greatest NOTCH2 activation was observed in NOTCH2-mutated SMZLs, particularly within splenic marginal zones. By contrast, little evidence of NOTCH2 activation was observed in DLBCL, even in NOTCH2-mutated tumors, suggesting that selective pressure for NOTCH2 activation is mainly confined to low-grade B-cell neoplasms, whereas DLBCLs with NOTCH1 mutations frequently showed evidence of ongoing NOTCH1 activation. These observations have important implications for the pathogenic role of Notch and its therapeutic targeting in B-cell lymphomas.","author":[{"dropping-particle":"","family":"Shanmugam","given":"Vignesh","non-dropping-particle":"","parse-names":false,"suffix":""},{"dropping-particle":"","family":"Craig","given":"Jeffrey W","non-dropping-particle":"","parse-names":false,"suffix":""},{"dropping-particle":"","family":"Hilton","given":"Laura K","non-dropping-particle":"","parse-names":false,"suffix":""},{"dropping-particle":"","family":"Nguyen","given":"Matthew H","non-dropping-particle":"","parse-names":false,"suffix":""},{"dropping-particle":"","family":"Rushton","given":"Christopher K","non-dropping-particle":"","parse-names":false,"suffix":""},{"dropping-particle":"","family":"Fahimdanesh","given":"Kian","non-dropping-particle":"","parse-names":false,"suffix":""},{"dropping-particle":"","family":"Lovitch","given":"Scott","non-dropping-particle":"","parse-names":false,"suffix":""},{"dropping-particle":"","family":"Ferland","given":"Ben","non-dropping-particle":"","parse-names":false,"suffix":""},{"dropping-particle":"","family":"Scott","given":"David W","non-dropping-particle":"","parse-names":false,"suffix":""},{"dropping-particle":"","family":"Aster","given":"Jon C","non-dropping-particle":"","parse-names":false,"suffix":""}],"container-title":"Blood Advances","id":"ITEM-1","issue":"1","issued":{"date-parts":[["2021","1","12"]]},"page":"71-83","title":"Notch activation is pervasive in SMZL and uncommon in DLBCL: implications for Notch signaling in B-cell tumors","type":"article-journal","volume":"5"},"uris":["http://www.mendeley.com/documents/?uuid=2ad897fe-73b2-481c-810a-77af0fc818de"]}],"mendeley":{"formattedCitation":"(Shanmugam et al., 2021)","plainTextFormattedCitation":"(Shanmugam et al., 2021)","previouslyFormattedCitation":"(Shanmugam et al., 2021)"},"properties":{"noteIndex":0},"schema":"https://github.com/citation-style-language/schema/raw/master/csl-citation.json"}</w:instrText>
      </w:r>
      <w:r w:rsidR="00B27C81" w:rsidRPr="00245037">
        <w:rPr>
          <w:rFonts w:ascii="Times New Roman" w:hAnsi="Times New Roman" w:cs="Times New Roman"/>
          <w:sz w:val="24"/>
          <w:szCs w:val="24"/>
          <w:lang w:val="en-GB"/>
        </w:rPr>
        <w:fldChar w:fldCharType="separate"/>
      </w:r>
      <w:r w:rsidR="00B27C81" w:rsidRPr="00245037">
        <w:rPr>
          <w:rFonts w:ascii="Times New Roman" w:hAnsi="Times New Roman" w:cs="Times New Roman"/>
          <w:noProof/>
          <w:sz w:val="24"/>
          <w:szCs w:val="24"/>
          <w:lang w:val="en-GB"/>
        </w:rPr>
        <w:t>(Shanmugam et al., 2021)</w:t>
      </w:r>
      <w:r w:rsidR="00B27C81" w:rsidRPr="00245037">
        <w:rPr>
          <w:rFonts w:ascii="Times New Roman" w:hAnsi="Times New Roman" w:cs="Times New Roman"/>
          <w:sz w:val="24"/>
          <w:szCs w:val="24"/>
          <w:lang w:val="en-GB"/>
        </w:rPr>
        <w:fldChar w:fldCharType="end"/>
      </w:r>
      <w:r w:rsidR="00105822" w:rsidRPr="00245037">
        <w:rPr>
          <w:rFonts w:ascii="Times New Roman" w:hAnsi="Times New Roman" w:cs="Times New Roman"/>
          <w:sz w:val="24"/>
          <w:szCs w:val="24"/>
          <w:lang w:val="en-GB"/>
        </w:rPr>
        <w:t xml:space="preserve">, similar to prior findings with </w:t>
      </w:r>
      <w:r w:rsidR="00105822" w:rsidRPr="00245037">
        <w:rPr>
          <w:rFonts w:ascii="Times New Roman" w:hAnsi="Times New Roman" w:cs="Times New Roman"/>
          <w:i/>
          <w:iCs/>
          <w:sz w:val="24"/>
          <w:szCs w:val="24"/>
          <w:lang w:val="en-GB"/>
        </w:rPr>
        <w:t>NOTCH1</w:t>
      </w:r>
      <w:r w:rsidR="00105822" w:rsidRPr="00245037">
        <w:rPr>
          <w:rFonts w:ascii="Times New Roman" w:hAnsi="Times New Roman" w:cs="Times New Roman"/>
          <w:sz w:val="24"/>
          <w:szCs w:val="24"/>
          <w:lang w:val="en-GB"/>
        </w:rPr>
        <w:t xml:space="preserve"> in CLL </w:t>
      </w:r>
      <w:r w:rsidR="00B27C81" w:rsidRPr="00245037">
        <w:rPr>
          <w:rFonts w:ascii="Times New Roman" w:hAnsi="Times New Roman" w:cs="Times New Roman"/>
          <w:sz w:val="24"/>
          <w:szCs w:val="24"/>
          <w:lang w:val="en-GB"/>
        </w:rPr>
        <w:fldChar w:fldCharType="begin" w:fldLock="1"/>
      </w:r>
      <w:r w:rsidR="00B27C81" w:rsidRPr="00245037">
        <w:rPr>
          <w:rFonts w:ascii="Times New Roman" w:hAnsi="Times New Roman" w:cs="Times New Roman"/>
          <w:sz w:val="24"/>
          <w:szCs w:val="24"/>
          <w:lang w:val="en-GB"/>
        </w:rPr>
        <w:instrText>ADDIN CSL_CITATION {"citationItems":[{"id":"ITEM-1","itemData":{"DOI":"10.1073/pnas.1702564114","ISSN":"10916490","PMID":"28314854","abstract":"Activating mutations of NOTCH1 (a well-known oncogene in T-cell acute lymphoblastic leukemia) are present in ?4-13% of chronic lymphocytic leukemia (CLL) cases, where they are associated with disease progression and chemorefractoriness. However, the specific role of NOTCH1 in leukemogenesis remains to be established. Here, we report that the active intracellular portion of NOTCH1 (ICN1) is detectable in ?50% of peripheral blood CLL cases lacking gene mutations. We identify a \"NOTCH1 gene-expression signature\" in CLL cells, and show that this signature is significantly enriched in primary CLL cases expressing ICN1, independent of NOTCH1 mutation. NOTCH1 target genes include key regulators of B-cell proliferation, survival, and signal transduction. In particular, we show that NOTCH1 transactivates MYC via binding to B-cell-specific regulatory elements, thus implicating this oncogene in CLL development. These results significantly extend the role of NOTCH1 in CLL pathogenesis, and have direct implications for specific therapeutic targeting.","author":[{"dropping-particle":"","family":"Fabbri","given":"Giulia","non-dropping-particle":"","parse-names":false,"suffix":""},{"dropping-particle":"","family":"Holmes","given":"Antony B.","non-dropping-particle":"","parse-names":false,"suffix":""},{"dropping-particle":"","family":"Viganotti","given":"Mara","non-dropping-particle":"","parse-names":false,"suffix":""},{"dropping-particle":"","family":"Scuoppo","given":"Claudio","non-dropping-particle":"","parse-names":false,"suffix":""},{"dropping-particle":"","family":"Belver","given":"Laura","non-dropping-particle":"","parse-names":false,"suffix":""},{"dropping-particle":"","family":"Herranz","given":"Daniel","non-dropping-particle":"","parse-names":false,"suffix":""},{"dropping-particle":"","family":"Yan","given":"Xiao Jie","non-dropping-particle":"","parse-names":false,"suffix":""},{"dropping-particle":"","family":"Kieso","given":"Yasmine","non-dropping-particle":"","parse-names":false,"suffix":""},{"dropping-particle":"","family":"Rossi","given":"Davide","non-dropping-particle":"","parse-names":false,"suffix":""},{"dropping-particle":"","family":"Gaidano","given":"Gianluca","non-dropping-particle":"","parse-names":false,"suffix":""},{"dropping-particle":"","family":"Chiorazzi","given":"Nicholas","non-dropping-particle":"","parse-names":false,"suffix":""},{"dropping-particle":"","family":"Ferrando","given":"Adolfo A.","non-dropping-particle":"","parse-names":false,"suffix":""},{"dropping-particle":"","family":"Dalla-Favera","given":"Riccardo","non-dropping-particle":"","parse-names":false,"suffix":""}],"container-title":"Proceedings of the National Academy of Sciences of the United States of America","id":"ITEM-1","issue":"14","issued":{"date-parts":[["2017","4","4"]]},"page":"E2911-E2919","publisher":"National Academy of Sciences","title":"Common nonmutational NOTCH1 activation in chronic lymphocytic leukemia","type":"article-journal","volume":"114"},"uris":["http://www.mendeley.com/documents/?uuid=ae8160af-eea7-34f8-87e5-fec85741ceea"]}],"mendeley":{"formattedCitation":"(Fabbri et al., 2017)","plainTextFormattedCitation":"(Fabbri et al., 2017)","previouslyFormattedCitation":"(Fabbri et al., 2017)"},"properties":{"noteIndex":0},"schema":"https://github.com/citation-style-language/schema/raw/master/csl-citation.json"}</w:instrText>
      </w:r>
      <w:r w:rsidR="00B27C81" w:rsidRPr="00245037">
        <w:rPr>
          <w:rFonts w:ascii="Times New Roman" w:hAnsi="Times New Roman" w:cs="Times New Roman"/>
          <w:sz w:val="24"/>
          <w:szCs w:val="24"/>
          <w:lang w:val="en-GB"/>
        </w:rPr>
        <w:fldChar w:fldCharType="separate"/>
      </w:r>
      <w:r w:rsidR="00B27C81" w:rsidRPr="00245037">
        <w:rPr>
          <w:rFonts w:ascii="Times New Roman" w:hAnsi="Times New Roman" w:cs="Times New Roman"/>
          <w:noProof/>
          <w:sz w:val="24"/>
          <w:szCs w:val="24"/>
          <w:lang w:val="en-GB"/>
        </w:rPr>
        <w:t>(Fabbri et al., 2017)</w:t>
      </w:r>
      <w:r w:rsidR="00B27C81" w:rsidRPr="00245037">
        <w:rPr>
          <w:rFonts w:ascii="Times New Roman" w:hAnsi="Times New Roman" w:cs="Times New Roman"/>
          <w:sz w:val="24"/>
          <w:szCs w:val="24"/>
          <w:lang w:val="en-GB"/>
        </w:rPr>
        <w:fldChar w:fldCharType="end"/>
      </w:r>
      <w:r w:rsidR="002D656A" w:rsidRPr="00245037">
        <w:rPr>
          <w:rFonts w:ascii="Times New Roman" w:hAnsi="Times New Roman" w:cs="Times New Roman"/>
          <w:sz w:val="24"/>
          <w:szCs w:val="24"/>
          <w:lang w:val="en-GB"/>
        </w:rPr>
        <w:t xml:space="preserve">, suggesting that </w:t>
      </w:r>
      <w:r w:rsidR="002E5B31" w:rsidRPr="00245037">
        <w:rPr>
          <w:rFonts w:ascii="Times New Roman" w:hAnsi="Times New Roman" w:cs="Times New Roman"/>
          <w:sz w:val="24"/>
          <w:szCs w:val="24"/>
          <w:lang w:val="en-GB"/>
        </w:rPr>
        <w:t>N</w:t>
      </w:r>
      <w:r w:rsidR="002D656A" w:rsidRPr="00245037">
        <w:rPr>
          <w:rFonts w:ascii="Times New Roman" w:hAnsi="Times New Roman" w:cs="Times New Roman"/>
          <w:sz w:val="24"/>
          <w:szCs w:val="24"/>
          <w:lang w:val="en-GB"/>
        </w:rPr>
        <w:t>otch activation is a general feature of SMZL tumour cells</w:t>
      </w:r>
      <w:r w:rsidR="00105822" w:rsidRPr="00245037">
        <w:rPr>
          <w:rFonts w:ascii="Times New Roman" w:hAnsi="Times New Roman" w:cs="Times New Roman"/>
          <w:sz w:val="24"/>
          <w:szCs w:val="24"/>
          <w:lang w:val="en-GB"/>
        </w:rPr>
        <w:t xml:space="preserve">. </w:t>
      </w:r>
      <w:r w:rsidR="008F20CD" w:rsidRPr="00245037">
        <w:rPr>
          <w:rFonts w:ascii="Times New Roman" w:hAnsi="Times New Roman" w:cs="Times New Roman"/>
          <w:sz w:val="24"/>
          <w:szCs w:val="24"/>
          <w:lang w:val="en-GB"/>
        </w:rPr>
        <w:t xml:space="preserve">The work by </w:t>
      </w:r>
      <w:proofErr w:type="spellStart"/>
      <w:r w:rsidR="008F20CD" w:rsidRPr="00245037">
        <w:rPr>
          <w:rFonts w:ascii="Times New Roman" w:hAnsi="Times New Roman" w:cs="Times New Roman"/>
          <w:sz w:val="24"/>
          <w:szCs w:val="24"/>
          <w:lang w:val="en-GB"/>
        </w:rPr>
        <w:t>Shanmugan</w:t>
      </w:r>
      <w:proofErr w:type="spellEnd"/>
      <w:r w:rsidR="008F20CD" w:rsidRPr="00245037">
        <w:rPr>
          <w:rFonts w:ascii="Times New Roman" w:hAnsi="Times New Roman" w:cs="Times New Roman"/>
          <w:sz w:val="24"/>
          <w:szCs w:val="24"/>
          <w:lang w:val="en-GB"/>
        </w:rPr>
        <w:t xml:space="preserve"> and colleagues showed higher frequency of NICD2+ cells in mutated versus wild-type tumours and higher in the marginal zones of the white pulp. It is yet to be determined if enhanced NICD2 expression in wild-type tumours is explained fully by mutations in other Notch regulators, such as </w:t>
      </w:r>
      <w:r w:rsidR="1992E26F" w:rsidRPr="00245037">
        <w:rPr>
          <w:rFonts w:ascii="Times New Roman" w:hAnsi="Times New Roman" w:cs="Times New Roman"/>
          <w:i/>
          <w:iCs/>
          <w:sz w:val="24"/>
          <w:szCs w:val="24"/>
          <w:lang w:val="en-GB"/>
        </w:rPr>
        <w:t>NOTCH1</w:t>
      </w:r>
      <w:r w:rsidR="1992E26F" w:rsidRPr="00245037">
        <w:rPr>
          <w:rFonts w:ascii="Times New Roman" w:hAnsi="Times New Roman" w:cs="Times New Roman"/>
          <w:sz w:val="24"/>
          <w:szCs w:val="24"/>
          <w:lang w:val="en-GB"/>
        </w:rPr>
        <w:t xml:space="preserve"> </w:t>
      </w:r>
      <w:r w:rsidR="1992E26F" w:rsidRPr="00245037">
        <w:rPr>
          <w:rFonts w:ascii="Times New Roman" w:hAnsi="Times New Roman" w:cs="Times New Roman"/>
          <w:sz w:val="24"/>
          <w:szCs w:val="24"/>
          <w:lang w:val="en-GB"/>
        </w:rPr>
        <w:lastRenderedPageBreak/>
        <w:t>(</w:t>
      </w:r>
      <w:r w:rsidR="00CD05B5" w:rsidRPr="00245037">
        <w:rPr>
          <w:rFonts w:ascii="Times New Roman" w:hAnsi="Times New Roman" w:cs="Times New Roman"/>
          <w:sz w:val="24"/>
          <w:szCs w:val="24"/>
          <w:lang w:val="en-GB"/>
        </w:rPr>
        <w:t>~5</w:t>
      </w:r>
      <w:r w:rsidR="1992E26F" w:rsidRPr="00245037">
        <w:rPr>
          <w:rFonts w:ascii="Times New Roman" w:hAnsi="Times New Roman" w:cs="Times New Roman"/>
          <w:sz w:val="24"/>
          <w:szCs w:val="24"/>
          <w:lang w:val="en-GB"/>
        </w:rPr>
        <w:t xml:space="preserve">%) and </w:t>
      </w:r>
      <w:r w:rsidR="1992E26F" w:rsidRPr="00245037">
        <w:rPr>
          <w:rFonts w:ascii="Times New Roman" w:hAnsi="Times New Roman" w:cs="Times New Roman"/>
          <w:i/>
          <w:iCs/>
          <w:sz w:val="24"/>
          <w:szCs w:val="24"/>
          <w:lang w:val="en-GB"/>
        </w:rPr>
        <w:t>SPEN</w:t>
      </w:r>
      <w:r w:rsidR="1992E26F" w:rsidRPr="00245037">
        <w:rPr>
          <w:rFonts w:ascii="Times New Roman" w:hAnsi="Times New Roman" w:cs="Times New Roman"/>
          <w:sz w:val="24"/>
          <w:szCs w:val="24"/>
          <w:lang w:val="en-GB"/>
        </w:rPr>
        <w:t xml:space="preserve"> (</w:t>
      </w:r>
      <w:r w:rsidR="00CD05B5" w:rsidRPr="00245037">
        <w:rPr>
          <w:rFonts w:ascii="Times New Roman" w:hAnsi="Times New Roman" w:cs="Times New Roman"/>
          <w:sz w:val="24"/>
          <w:szCs w:val="24"/>
          <w:lang w:val="en-GB"/>
        </w:rPr>
        <w:t>~5</w:t>
      </w:r>
      <w:r w:rsidR="1992E26F" w:rsidRPr="00245037">
        <w:rPr>
          <w:rFonts w:ascii="Times New Roman" w:hAnsi="Times New Roman" w:cs="Times New Roman"/>
          <w:sz w:val="24"/>
          <w:szCs w:val="24"/>
          <w:lang w:val="en-GB"/>
        </w:rPr>
        <w:t xml:space="preserve">%) </w:t>
      </w:r>
      <w:r w:rsidR="00FB4C32" w:rsidRPr="00245037">
        <w:rPr>
          <w:rFonts w:ascii="Times New Roman" w:hAnsi="Times New Roman" w:cs="Times New Roman"/>
          <w:sz w:val="24"/>
          <w:szCs w:val="24"/>
          <w:lang w:val="en-GB"/>
        </w:rPr>
        <w:fldChar w:fldCharType="begin" w:fldLock="1"/>
      </w:r>
      <w:r w:rsidR="00027E0E" w:rsidRPr="00245037">
        <w:rPr>
          <w:rFonts w:ascii="Times New Roman" w:hAnsi="Times New Roman" w:cs="Times New Roman"/>
          <w:sz w:val="24"/>
          <w:szCs w:val="24"/>
          <w:lang w:val="en-GB"/>
        </w:rPr>
        <w:instrText xml:space="preserve">ADDIN CSL_CITATION {"citationItems":[{"id":"ITEM-1","itemData":{"DOI":"10.1084/jem.20120904","ISBN":"1540-9538 (Electronic)\\r0022-1007 (Linking)","ISSN":"0022-1007","PMID":"22891273","abstract":"Splenic marginal zone lymphoma (SMZL) is a B cell malignancy of unknown pathogenesis, and thus an orphan of targeted therapies. By integrating whole-exome sequencing and copy-number analysis, we show that the SMZL exome carries at least 30 nonsilent gene alterations. Mutations in NOTCH2, a gene required for marginal-zone (MZ) B cell development, represent the most frequent lesion in SMZL, accounting for </w:instrText>
      </w:r>
      <w:r w:rsidR="00027E0E" w:rsidRPr="00245037">
        <w:rPr>
          <w:rFonts w:ascii="Cambria Math" w:hAnsi="Cambria Math" w:cs="Cambria Math"/>
          <w:sz w:val="24"/>
          <w:szCs w:val="24"/>
          <w:lang w:val="en-GB"/>
        </w:rPr>
        <w:instrText>∼</w:instrText>
      </w:r>
      <w:r w:rsidR="00027E0E" w:rsidRPr="00245037">
        <w:rPr>
          <w:rFonts w:ascii="Times New Roman" w:hAnsi="Times New Roman" w:cs="Times New Roman"/>
          <w:sz w:val="24"/>
          <w:szCs w:val="24"/>
          <w:lang w:val="en-GB"/>
        </w:rPr>
        <w:instrText xml:space="preserve">20% of cases. All NOTCH2 mutations are predicted to cause impaired degradation of the NOTCH2 protein by eliminating the C-terminal PEST domain, which is required for proteasomal recruitment. Among indolent B cell lymphoproliferative disorders, NOTCH2 mutations are restricted to SMZL, thus representing a potential diagnostic marker for this lymphoma type. In addition to NOTCH2, other modulators or members of the NOTCH pathway are recurrently targeted by genetic lesions in SMZL; these include NOTCH1, SPEN, and DTX1. We also noted mutations in other signaling pathways normally involved in MZ B cell development, suggesting that deregulation of MZ B cell development pathways plays a role in the pathogenesis of </w:instrText>
      </w:r>
      <w:r w:rsidR="00027E0E" w:rsidRPr="00245037">
        <w:rPr>
          <w:rFonts w:ascii="Cambria Math" w:hAnsi="Cambria Math" w:cs="Cambria Math"/>
          <w:sz w:val="24"/>
          <w:szCs w:val="24"/>
          <w:lang w:val="en-GB"/>
        </w:rPr>
        <w:instrText>∼</w:instrText>
      </w:r>
      <w:r w:rsidR="00027E0E" w:rsidRPr="00245037">
        <w:rPr>
          <w:rFonts w:ascii="Times New Roman" w:hAnsi="Times New Roman" w:cs="Times New Roman"/>
          <w:sz w:val="24"/>
          <w:szCs w:val="24"/>
          <w:lang w:val="en-GB"/>
        </w:rPr>
        <w:instrText>60% SMZL. These findings have direct implications for the treatment of SMZL patients, given the availability of drugs that can target NOTCH, NF-κB, and other pathways deregulated in this disease.","author":[{"dropping-particle":"","family":"Rossi","given":"Davide","non-dropping-particle":"","parse-names":false,"suffix":""},{"dropping-particle":"","family":"Trifonov","given":"Vladimir","non-dropping-particle":"","parse-names":false,"suffix":""},{"dropping-particle":"","family":"Fangazio","given":"Marco","non-dropping-particle":"","parse-names":false,"suffix":""},{"dropping-particle":"","family":"Bruscaggin","given":"Alessio","non-dropping-particle":"","parse-names":false,"suffix":""},{"dropping-particle":"","family":"Rasi","given":"Silvia","non-dropping-particle":"","parse-names":false,"suffix":""},{"dropping-particle":"","family":"Spina","given":"Valeria","non-dropping-particle":"","parse-names":false,"suffix":""},{"dropping-particle":"","family":"Monti","given":"Sara","non-dropping-particle":"","parse-names":false,"suffix":""},{"dropping-particle":"","family":"Vaisitti","given":"Tiziana","non-dropping-particle":"","parse-names":false,"suffix":""},{"dropping-particle":"","family":"Arruga","given":"Francesca","non-dropping-particle":"","parse-names":false,"suffix":""},{"dropping-particle":"","family":"Famà","given":"Rosella","non-dropping-particle":"","parse-names":false,"suffix":""},{"dropping-particle":"","family":"Ciardullo","given":"Carmela","non-dropping-particle":"","parse-names":false,"suffix":""},{"dropping-particle":"","family":"Greco","given":"Mariangela","non-dropping-particle":"","parse-names":false,"suffix":""},{"dropping-particle":"","family":"Cresta","given":"Stefania","non-dropping-particle":"","parse-names":false,"suffix":""},{"dropping-particle":"","family":"Piranda","given":"Daniela","non-dropping-particle":"","parse-names":false,"suffix":""},{"dropping-particle":"","family":"Holmes","given":"Antony","non-dropping-particle":"","parse-names":false,"suffix":""},{"dropping-particle":"","family":"Fabbri","given":"Giulia","non-dropping-particle":"","parse-names":false,"suffix":""},{"dropping-particle":"","family":"Messina","given":"Monica","non-dropping-particle":"","parse-names":false,"suffix":""},{"dropping-particle":"","family":"Rinaldi","given":"Andrea","non-dropping-particle":"","parse-names":false,"suffix":""},{"dropping-particle":"","family":"Wang","given":"Jiguang","non-dropping-particle":"","parse-names":false,"suffix":""},{"dropping-particle":"","family":"Agostinelli","given":"Claudio","non-dropping-particle":"","parse-names":false,"suffix":""},{"dropping-particle":"","family":"Piccaluga","given":"Pier Paolo","non-dropping-particle":"","parse-names":false,"suffix":""},{"dropping-particle":"","family":"Lucioni","given":"Marco","non-dropping-particle":"","parse-names":false,"suffix":""},{"dropping-particle":"","family":"Tabbò","given":"Fabrizio","non-dropping-particle":"","parse-names":false,"suffix":""},{"dropping-particle":"","family":"Serra","given":"Roberto","non-dropping-particle":"","parse-names":false,"suffix":""},{"dropping-particle":"","family":"Franceschetti","given":"Silvia","non-dropping-particle":"","parse-names":false,"suffix":""},{"dropping-particle":"","family":"Deambrogi","given":"Clara","non-dropping-particle":"","parse-names":false,"suffix":""},{"dropping-particle":"","family":"Daniele","given":"Giulia","non-dropping-particle":"","parse-names":false,"suffix":""},{"dropping-particle":"","family":"Gattei","given":"Valter","non-dropping-particle":"","parse-names":false,"suffix":""},{"dropping-particle":"","family":"Marasca","given":"Roberto","non-dropping-particle":"","parse-names":false,"suffix":""},{"dropping-particle":"","family":"Facchetti","given":"Fabio","non-dropping-particle":"","parse-names":false,"suffix":""},{"dropping-particle":"","family":"Arcaini","given":"Luca","non-dropping-particle":"","parse-names":false,"suffix":""},{"dropping-particle":"","family":"Inghirami","given":"Giorgio","non-dropping-particle":"","parse-names":false,"suffix":""},{"dropping-particle":"","family":"Bertoni","given":"Francesco","non-dropping-particle":"","parse-names":false,"suffix":""},{"dropping-particle":"","family":"Pileri","given":"Stefano A.","non-dropping-particle":"","parse-names":false,"suffix":""},{"dropping-particle":"","family":"Deaglio","given":"Silvia","non-dropping-particle":"","parse-names":false,"suffix":""},{"dropping-particle":"","family":"Foà","given":"Robin","non-dropping-particle":"","parse-names":false,"suffix":""},{"dropping-particle":"","family":"Dalla-Favera","given":"Riccardo","non-dropping-particle":"","parse-names":false,"suffix":""},{"dropping-particle":"","family":"Pasqualucci","given":"Laura","non-dropping-particle":"","parse-names":false,"suffix":""},{"dropping-particle":"","family":"Rabadan","given":"Raul","non-dropping-particle":"","parse-names":false,"suffix":""},{"dropping-particle":"","family":"Gaidano","given":"Gianluca","non-dropping-particle":"","parse-names":false,"suffix":""}],"container-title":"The Journal of Experimental Medicine","id":"ITEM-1","issue":"9","issued":{"date-parts":[["2012"]]},"page":"1537-1551","title":"The coding genome of splenic marginal zone lymphoma: activation of &lt;i&gt;NOTCH2&lt;/i&gt; and other pathways regulating marginal zone development","type":"article-journal","volume":"209"},"uris":["http://www.mendeley.com/documents/?uuid=fff8afcc-b166-4232-81b9-1bf4d3e92c7e"]},{"id":"ITEM-2","itemData":{"DOI":"10.1158/1078-0432.CCR-14-2759","ISSN":"15573265","PMID":"25779943","abstract":"Purpose: Mounting evidence supports the clinical significance of gene mutations and immunogenetic features in common mature B-cell malignancies.\\n\\nExperimental Design: We undertook a detailed characterization of the genetic background of splenic marginal zone lymphoma (SMZL), using targeted resequencing and explored potential clinical implications in a multinational cohort of 175 patients with SMZL.\\n\\nResults: We identified recurrent mutations in TP53 (16%), KLF2 (12%), NOTCH2 (10%), TNFAIP3 (7%), MLL2 (11%), MYD88 (7%), and ARID1A (6%), all genes known to be targeted by somatic mutation in SMZL. KLF2 mutations were early, clonal events, enriched in patients with del(7q) and IGHV1-2*04 B-cell receptor immunoglobulins, and were associated with a short median time to first treatment (0.12 vs. 1.11 years; P = 0.01). In multivariate analysis, mutations in NOTCH2 [HR, 2.12; 95% confidence interval (CI), 1.02–4.4; P = 0.044] and 100% germline IGHV gene identity (HR, 2.19; 95% CI, 1.05–4.55; P = 0.036) were independent markers of short time to first treatment, whereas TP53 mutations were an independent marker of short overall survival (HR, 2.36; 95 % CI, 1.08–5.2; P = 0.03).\\n\\nConclusions: We identify key associations between gene mutations and clinical outcome, demonstrating for the first time that NOTCH2 and TP53 gene mutations are independent markers of reduced treatment-free and overall survival, respectively. Clin Cancer Res; 21(18); 4174–83. ©2015 AACR .","author":[{"dropping-particle":"","family":"Parry","given":"Marina","non-dropping-particle":"","parse-names":false,"suffix":""},{"dropping-particle":"","family":"Rose-Zerilli","given":"Matthew J.J.","non-dropping-particle":"","parse-names":false,"suffix":""},{"dropping-particle":"","family":"Ljungström","given":"Viktor","non-dropping-particle":"","parse-names":false,"suffix":""},{"dropping-particle":"","family":"Gibson","given":"Jane","non-dropping-particle":"","parse-names":false,"suffix":""},{"dropping-particle":"","family":"Wang","given":"Jun","non-dropping-particle":"","parse-names":false,"suffix":""},{"dropping-particle":"","family":"Walewska","given":"Renata","non-dropping-particle":"","parse-names":false,"suffix":""},{"dropping-particle":"","family":"Parker","given":"Helen","non-dropping-particle":"","parse-names":false,"suffix":""},{"dropping-particle":"","family":"Parker","given":"Anton","non-dropping-particle":"","parse-names":false,"suffix":""},{"dropping-particle":"","family":"Davis","given":"Zadie","non-dropping-particle":"","parse-names":false,"suffix":""},{"dropping-particle":"","family":"Gardiner","given":"Anne","non-dropping-particle":"","parse-names":false,"suffix":""},{"dropping-particle":"","family":"McIver-Brown","given":"Neil","non-dropping-particle":"","parse-names":false,"suffix":""},{"dropping-particle":"","family":"Kalpadakis","given":"Christina","non-dropping-particle":"","parse-names":false,"suffix":""},{"dropping-particle":"","family":"Xochelli","given":"Aliki","non-dropping-particle":"","parse-names":false,"suffix":""},{"dropping-particle":"","family":"Anagnostopoulos","given":"Achilles","non-dropping-particle":"","parse-names":false,"suffix":""},{"dropping-particle":"","family":"Fazi","given":"Claudia","non-dropping-particle":"","parse-names":false,"suffix":""},{"dropping-particle":"","family":"Castro","given":"David Gonzalez","non-dropping-particle":"De","parse-names":false,"suffix":""},{"dropping-particle":"","family":"Dearden","given":"Claire","non-dropping-particle":"","parse-names":false,"suffix":""},{"dropping-particle":"","family":"Pratt","given":"Guy","non-dropping-particle":"","parse-names":false,"suffix":""},{"dropping-particle":"","family":"Rosenquist","given":"Richard","non-dropping-particle":"","parse-names":false,"suffix":""},{"dropping-particle":"","family":"Ashton-Key","given":"Margaret","non-dropping-particle":"","parse-names":false,"suffix":""},{"dropping-particle":"","family":"Forconi","given":"Francesco","non-dropping-particle":"","parse-names":false,"suffix":""},{"dropping-particle":"","family":"Collins","given":"Andrew","non-dropping-particle":"","parse-names":false,"suffix":""},{"dropping-particle":"","family":"Ghia","given":"Paolo","non-dropping-particle":"","parse-names":false,"suffix":""},{"dropping-particle":"","family":"Matutes","given":"Estella","non-dropping-particle":"","parse-names":false,"suffix":""},{"dropping-particle":"","family":"Pangalis","given":"Gerassimos","non-dropping-particle":"","parse-names":false,"suffix":""},{"dropping-particle":"","family":"Stamatopoulos","given":"Kostas","non-dropping-particle":"","parse-names":false,"suffix":""},{"dropping-particle":"","family":"Oscier","given":"David","non-dropping-particle":"","parse-names":false,"suffix":""},{"dropping-particle":"","family":"Strefford","given":"Jonathan C.","non-dropping-particle":"","parse-names":false,"suffix":""}],"container-title":"Clinical Cancer Research","id":"ITEM-2","issue":"18","issued":{"date-parts":[["2015"]]},"page":"4174-4183","title":"Genetics and prognostication in splenic marginal zone lymphoma: Revelations from deep sequencing","type":"article-journal","volume":"21"},"uris":["http://www.mendeley.com/documents/?uuid=81509c2c-3e61-4115-bfa1-3ac38fc7fb12"]}],"mendeley":{"formattedCitation":"(Parry et al., 2015; Rossi et al., 2012)","plainTextFormattedCitation":"(Parry et al., 2015; Rossi et al., 2012)","previouslyFormattedCitation":"(Parry et al., 2015; Rossi et al., 2012)"},"properties":{"noteIndex":0},"schema":"https://github.com/citation-style-language/schema/raw/master/csl-citation.json"}</w:instrText>
      </w:r>
      <w:r w:rsidR="00FB4C32" w:rsidRPr="00245037">
        <w:rPr>
          <w:rFonts w:ascii="Times New Roman" w:hAnsi="Times New Roman" w:cs="Times New Roman"/>
          <w:sz w:val="24"/>
          <w:szCs w:val="24"/>
          <w:lang w:val="en-GB"/>
        </w:rPr>
        <w:fldChar w:fldCharType="separate"/>
      </w:r>
      <w:r w:rsidR="00FB4C32" w:rsidRPr="00245037">
        <w:rPr>
          <w:rFonts w:ascii="Times New Roman" w:hAnsi="Times New Roman" w:cs="Times New Roman"/>
          <w:noProof/>
          <w:sz w:val="24"/>
          <w:szCs w:val="24"/>
          <w:lang w:val="en-GB"/>
        </w:rPr>
        <w:t>(Parry et al., 2015; Rossi et al., 2012)</w:t>
      </w:r>
      <w:r w:rsidR="00FB4C32" w:rsidRPr="00245037">
        <w:rPr>
          <w:rFonts w:ascii="Times New Roman" w:hAnsi="Times New Roman" w:cs="Times New Roman"/>
          <w:sz w:val="24"/>
          <w:szCs w:val="24"/>
          <w:lang w:val="en-GB"/>
        </w:rPr>
        <w:fldChar w:fldCharType="end"/>
      </w:r>
      <w:r w:rsidR="008F20CD" w:rsidRPr="00245037">
        <w:rPr>
          <w:rFonts w:ascii="Times New Roman" w:hAnsi="Times New Roman" w:cs="Times New Roman"/>
          <w:sz w:val="24"/>
          <w:szCs w:val="24"/>
          <w:lang w:val="en-GB"/>
        </w:rPr>
        <w:t>, structural or copy number aberrations, or by the enrichment of NOTCH2 in the normal counterpart of SMZL.</w:t>
      </w:r>
      <w:r w:rsidR="008F20CD">
        <w:rPr>
          <w:rFonts w:ascii="Times New Roman" w:hAnsi="Times New Roman" w:cs="Times New Roman"/>
          <w:sz w:val="24"/>
          <w:szCs w:val="24"/>
          <w:lang w:val="en-GB"/>
        </w:rPr>
        <w:t xml:space="preserve"> </w:t>
      </w:r>
    </w:p>
    <w:p w14:paraId="2C6533B5" w14:textId="77777777" w:rsidR="00002888" w:rsidRPr="00002888" w:rsidRDefault="00002888" w:rsidP="00002888">
      <w:pPr>
        <w:spacing w:before="0" w:after="0" w:line="360" w:lineRule="auto"/>
        <w:jc w:val="left"/>
        <w:rPr>
          <w:rFonts w:ascii="Times New Roman" w:hAnsi="Times New Roman" w:cs="Times New Roman"/>
          <w:sz w:val="24"/>
          <w:szCs w:val="24"/>
          <w:lang w:val="en-GB"/>
        </w:rPr>
      </w:pPr>
    </w:p>
    <w:p w14:paraId="531861DC" w14:textId="0C76435C" w:rsidR="00686CAB" w:rsidRPr="00002888" w:rsidRDefault="000117E2" w:rsidP="00002888">
      <w:pPr>
        <w:pStyle w:val="Heading2"/>
        <w:spacing w:before="0" w:after="0" w:line="360" w:lineRule="auto"/>
        <w:rPr>
          <w:sz w:val="24"/>
          <w:szCs w:val="24"/>
        </w:rPr>
      </w:pPr>
      <w:r w:rsidRPr="00002888">
        <w:rPr>
          <w:i/>
          <w:iCs/>
          <w:sz w:val="24"/>
          <w:szCs w:val="24"/>
        </w:rPr>
        <w:t>TP53</w:t>
      </w:r>
      <w:r w:rsidR="00480DD9" w:rsidRPr="00002888">
        <w:rPr>
          <w:sz w:val="24"/>
          <w:szCs w:val="24"/>
        </w:rPr>
        <w:t xml:space="preserve"> mutations account for up to 15% of SMZL</w:t>
      </w:r>
    </w:p>
    <w:p w14:paraId="0763F063" w14:textId="766BA1D2" w:rsidR="00686CAB" w:rsidRDefault="00980CC6" w:rsidP="00002888">
      <w:pPr>
        <w:spacing w:before="0" w:after="0" w:line="360" w:lineRule="auto"/>
        <w:jc w:val="left"/>
        <w:rPr>
          <w:rFonts w:ascii="Times New Roman" w:hAnsi="Times New Roman" w:cs="Times New Roman"/>
          <w:sz w:val="24"/>
          <w:szCs w:val="24"/>
          <w:lang w:val="es-CO"/>
        </w:rPr>
      </w:pPr>
      <w:r w:rsidRPr="00002888">
        <w:rPr>
          <w:rFonts w:ascii="Times New Roman" w:hAnsi="Times New Roman" w:cs="Times New Roman"/>
          <w:i/>
          <w:iCs/>
          <w:sz w:val="24"/>
          <w:szCs w:val="24"/>
          <w:lang w:val="en-GB"/>
        </w:rPr>
        <w:t>TP53</w:t>
      </w:r>
      <w:r w:rsidRPr="00002888">
        <w:rPr>
          <w:rFonts w:ascii="Times New Roman" w:hAnsi="Times New Roman" w:cs="Times New Roman"/>
          <w:sz w:val="24"/>
          <w:szCs w:val="24"/>
          <w:lang w:val="en-GB"/>
        </w:rPr>
        <w:t xml:space="preserve"> is one of the main </w:t>
      </w:r>
      <w:r w:rsidR="7DD95C66" w:rsidRPr="00002888">
        <w:rPr>
          <w:rFonts w:ascii="Times New Roman" w:hAnsi="Times New Roman" w:cs="Times New Roman"/>
          <w:sz w:val="24"/>
          <w:szCs w:val="24"/>
          <w:lang w:val="en-GB"/>
        </w:rPr>
        <w:t xml:space="preserve">SMZL associated </w:t>
      </w:r>
      <w:r w:rsidRPr="00002888">
        <w:rPr>
          <w:rFonts w:ascii="Times New Roman" w:hAnsi="Times New Roman" w:cs="Times New Roman"/>
          <w:sz w:val="24"/>
          <w:szCs w:val="24"/>
          <w:lang w:val="en-GB"/>
        </w:rPr>
        <w:t xml:space="preserve">genes implicated in cell cycle control, along with </w:t>
      </w:r>
      <w:r w:rsidR="00C03BE2" w:rsidRPr="00002888">
        <w:rPr>
          <w:rFonts w:ascii="Times New Roman" w:hAnsi="Times New Roman" w:cs="Times New Roman"/>
          <w:i/>
          <w:iCs/>
          <w:sz w:val="24"/>
          <w:szCs w:val="24"/>
          <w:lang w:val="en-GB"/>
        </w:rPr>
        <w:t>CCND3</w:t>
      </w:r>
      <w:r w:rsidR="00C03BE2" w:rsidRPr="00002888">
        <w:rPr>
          <w:rFonts w:ascii="Times New Roman" w:hAnsi="Times New Roman" w:cs="Times New Roman"/>
          <w:sz w:val="24"/>
          <w:szCs w:val="24"/>
          <w:lang w:val="en-GB"/>
        </w:rPr>
        <w:t xml:space="preserve"> (~5%) and </w:t>
      </w:r>
      <w:r w:rsidRPr="00002888">
        <w:rPr>
          <w:rFonts w:ascii="Times New Roman" w:hAnsi="Times New Roman" w:cs="Times New Roman"/>
          <w:i/>
          <w:iCs/>
          <w:sz w:val="24"/>
          <w:szCs w:val="24"/>
          <w:lang w:val="en-GB"/>
        </w:rPr>
        <w:t>ATM</w:t>
      </w:r>
      <w:r w:rsidRPr="00002888">
        <w:rPr>
          <w:rFonts w:ascii="Times New Roman" w:hAnsi="Times New Roman" w:cs="Times New Roman"/>
          <w:sz w:val="24"/>
          <w:szCs w:val="24"/>
          <w:lang w:val="en-GB"/>
        </w:rPr>
        <w:t xml:space="preserve"> (</w:t>
      </w:r>
      <w:r w:rsidR="00CD05B5" w:rsidRPr="00002888">
        <w:rPr>
          <w:rFonts w:ascii="Times New Roman" w:hAnsi="Times New Roman" w:cs="Times New Roman"/>
          <w:sz w:val="24"/>
          <w:szCs w:val="24"/>
          <w:lang w:val="en-GB"/>
        </w:rPr>
        <w:t>~</w:t>
      </w:r>
      <w:r w:rsidR="00DA6429" w:rsidRPr="00002888">
        <w:rPr>
          <w:rFonts w:ascii="Times New Roman" w:hAnsi="Times New Roman" w:cs="Times New Roman"/>
          <w:sz w:val="24"/>
          <w:szCs w:val="24"/>
          <w:lang w:val="en-GB"/>
        </w:rPr>
        <w:t>4</w:t>
      </w:r>
      <w:r w:rsidRPr="00002888">
        <w:rPr>
          <w:rFonts w:ascii="Times New Roman" w:hAnsi="Times New Roman" w:cs="Times New Roman"/>
          <w:sz w:val="24"/>
          <w:szCs w:val="24"/>
          <w:lang w:val="en-GB"/>
        </w:rPr>
        <w:t xml:space="preserve">%). However, the lack of germline material in many of the studies, make it difficult to </w:t>
      </w:r>
      <w:r w:rsidR="0B5389E1" w:rsidRPr="00002888">
        <w:rPr>
          <w:rFonts w:ascii="Times New Roman" w:hAnsi="Times New Roman" w:cs="Times New Roman"/>
          <w:sz w:val="24"/>
          <w:szCs w:val="24"/>
          <w:lang w:val="en-GB"/>
        </w:rPr>
        <w:t xml:space="preserve">confirm </w:t>
      </w:r>
      <w:r w:rsidRPr="00002888">
        <w:rPr>
          <w:rFonts w:ascii="Times New Roman" w:hAnsi="Times New Roman" w:cs="Times New Roman"/>
          <w:sz w:val="24"/>
          <w:szCs w:val="24"/>
          <w:lang w:val="en-GB"/>
        </w:rPr>
        <w:t xml:space="preserve">whether </w:t>
      </w:r>
      <w:r w:rsidRPr="00002888">
        <w:rPr>
          <w:rFonts w:ascii="Times New Roman" w:hAnsi="Times New Roman" w:cs="Times New Roman"/>
          <w:i/>
          <w:iCs/>
          <w:sz w:val="24"/>
          <w:szCs w:val="24"/>
          <w:lang w:val="en-GB"/>
        </w:rPr>
        <w:t>ATM</w:t>
      </w:r>
      <w:r w:rsidRPr="00002888">
        <w:rPr>
          <w:rFonts w:ascii="Times New Roman" w:hAnsi="Times New Roman" w:cs="Times New Roman"/>
          <w:sz w:val="24"/>
          <w:szCs w:val="24"/>
          <w:lang w:val="en-GB"/>
        </w:rPr>
        <w:t xml:space="preserve"> mutations are truly somatic and should be looked at with caution.</w:t>
      </w:r>
      <w:r w:rsidR="00686CAB" w:rsidRPr="00002888">
        <w:rPr>
          <w:rFonts w:ascii="Times New Roman" w:hAnsi="Times New Roman" w:cs="Times New Roman"/>
          <w:sz w:val="24"/>
          <w:szCs w:val="24"/>
          <w:lang w:val="en-GB"/>
        </w:rPr>
        <w:t xml:space="preserve"> </w:t>
      </w:r>
      <w:r w:rsidR="00686CAB" w:rsidRPr="00002888">
        <w:rPr>
          <w:rFonts w:ascii="Times New Roman" w:hAnsi="Times New Roman" w:cs="Times New Roman"/>
          <w:i/>
          <w:iCs/>
          <w:sz w:val="24"/>
          <w:szCs w:val="24"/>
          <w:lang w:val="en-GB"/>
        </w:rPr>
        <w:t>TP53</w:t>
      </w:r>
      <w:r w:rsidR="00686CAB" w:rsidRPr="00002888">
        <w:rPr>
          <w:rFonts w:ascii="Times New Roman" w:hAnsi="Times New Roman" w:cs="Times New Roman"/>
          <w:sz w:val="24"/>
          <w:szCs w:val="24"/>
          <w:lang w:val="en-GB"/>
        </w:rPr>
        <w:t xml:space="preserve"> is disrupted in 10-15% of SMZL cases </w:t>
      </w:r>
      <w:r w:rsidR="00692EEE" w:rsidRPr="00002888">
        <w:rPr>
          <w:rFonts w:ascii="Times New Roman" w:hAnsi="Times New Roman" w:cs="Times New Roman"/>
          <w:sz w:val="24"/>
          <w:szCs w:val="24"/>
          <w:lang w:val="en-GB"/>
        </w:rPr>
        <w:fldChar w:fldCharType="begin" w:fldLock="1"/>
      </w:r>
      <w:r w:rsidR="007A7CE6" w:rsidRPr="00002888">
        <w:rPr>
          <w:rFonts w:ascii="Times New Roman" w:hAnsi="Times New Roman" w:cs="Times New Roman"/>
          <w:sz w:val="24"/>
          <w:szCs w:val="24"/>
          <w:lang w:val="en-GB"/>
        </w:rPr>
        <w:instrText xml:space="preserve">ADDIN CSL_CITATION {"citationItems":[{"id":"ITEM-1","itemData":{"DOI":"10.1158/1078-0432.CCR-14-2759","ISSN":"15573265","PMID":"25779943","abstract":"Purpose: Mounting evidence supports the clinical significance of gene mutations and immunogenetic features in common mature B-cell malignancies.\\n\\nExperimental Design: We undertook a detailed characterization of the genetic background of splenic marginal zone lymphoma (SMZL), using targeted resequencing and explored potential clinical implications in a multinational cohort of 175 patients with SMZL.\\n\\nResults: We identified recurrent mutations in TP53 (16%), KLF2 (12%), NOTCH2 (10%), TNFAIP3 (7%), MLL2 (11%), MYD88 (7%), and ARID1A (6%), all genes known to be targeted by somatic mutation in SMZL. KLF2 mutations were early, clonal events, enriched in patients with del(7q) and IGHV1-2*04 B-cell receptor immunoglobulins, and were associated with a short median time to first treatment (0.12 vs. 1.11 years; P = 0.01). In multivariate analysis, mutations in NOTCH2 [HR, 2.12; 95% confidence interval (CI), 1.02–4.4; P = 0.044] and 100% germline IGHV gene identity (HR, 2.19; 95% CI, 1.05–4.55; P = 0.036) were independent markers of short time to first treatment, whereas TP53 mutations were an independent marker of short overall survival (HR, 2.36; 95 % CI, 1.08–5.2; P = 0.03).\\n\\nConclusions: We identify key associations between gene mutations and clinical outcome, demonstrating for the first time that NOTCH2 and TP53 gene mutations are independent markers of reduced treatment-free and overall survival, respectively. Clin Cancer Res; 21(18); 4174–83. ©2015 AACR .","author":[{"dropping-particle":"","family":"Parry","given":"Marina","non-dropping-particle":"","parse-names":false,"suffix":""},{"dropping-particle":"","family":"Rose-Zerilli","given":"Matthew J.J.","non-dropping-particle":"","parse-names":false,"suffix":""},{"dropping-particle":"","family":"Ljungström","given":"Viktor","non-dropping-particle":"","parse-names":false,"suffix":""},{"dropping-particle":"","family":"Gibson","given":"Jane","non-dropping-particle":"","parse-names":false,"suffix":""},{"dropping-particle":"","family":"Wang","given":"Jun","non-dropping-particle":"","parse-names":false,"suffix":""},{"dropping-particle":"","family":"Walewska","given":"Renata","non-dropping-particle":"","parse-names":false,"suffix":""},{"dropping-particle":"","family":"Parker","given":"Helen","non-dropping-particle":"","parse-names":false,"suffix":""},{"dropping-particle":"","family":"Parker","given":"Anton","non-dropping-particle":"","parse-names":false,"suffix":""},{"dropping-particle":"","family":"Davis","given":"Zadie","non-dropping-particle":"","parse-names":false,"suffix":""},{"dropping-particle":"","family":"Gardiner","given":"Anne","non-dropping-particle":"","parse-names":false,"suffix":""},{"dropping-particle":"","family":"McIver-Brown","given":"Neil","non-dropping-particle":"","parse-names":false,"suffix":""},{"dropping-particle":"","family":"Kalpadakis","given":"Christina","non-dropping-particle":"","parse-names":false,"suffix":""},{"dropping-particle":"","family":"Xochelli","given":"Aliki","non-dropping-particle":"","parse-names":false,"suffix":""},{"dropping-particle":"","family":"Anagnostopoulos","given":"Achilles","non-dropping-particle":"","parse-names":false,"suffix":""},{"dropping-particle":"","family":"Fazi","given":"Claudia","non-dropping-particle":"","parse-names":false,"suffix":""},{"dropping-particle":"","family":"Castro","given":"David Gonzalez","non-dropping-particle":"De","parse-names":false,"suffix":""},{"dropping-particle":"","family":"Dearden","given":"Claire","non-dropping-particle":"","parse-names":false,"suffix":""},{"dropping-particle":"","family":"Pratt","given":"Guy","non-dropping-particle":"","parse-names":false,"suffix":""},{"dropping-particle":"","family":"Rosenquist","given":"Richard","non-dropping-particle":"","parse-names":false,"suffix":""},{"dropping-particle":"","family":"Ashton-Key","given":"Margaret","non-dropping-particle":"","parse-names":false,"suffix":""},{"dropping-particle":"","family":"Forconi","given":"Francesco","non-dropping-particle":"","parse-names":false,"suffix":""},{"dropping-particle":"","family":"Collins","given":"Andrew","non-dropping-particle":"","parse-names":false,"suffix":""},{"dropping-particle":"","family":"Ghia","given":"Paolo","non-dropping-particle":"","parse-names":false,"suffix":""},{"dropping-particle":"","family":"Matutes","given":"Estella","non-dropping-particle":"","parse-names":false,"suffix":""},{"dropping-particle":"","family":"Pangalis","given":"Gerassimos","non-dropping-particle":"","parse-names":false,"suffix":""},{"dropping-particle":"","family":"Stamatopoulos","given":"Kostas","non-dropping-particle":"","parse-names":false,"suffix":""},{"dropping-particle":"","family":"Oscier","given":"David","non-dropping-particle":"","parse-names":false,"suffix":""},{"dropping-particle":"","family":"Strefford","given":"Jonathan C.","non-dropping-particle":"","parse-names":false,"suffix":""}],"container-title":"Clinical Cancer Research","id":"ITEM-1","issue":"18","issued":{"date-parts":[["2015"]]},"page":"4174-4183","title":"Genetics and prognostication in splenic marginal zone lymphoma: Revelations from deep sequencing","type":"article-journal","volume":"21"},"uris":["http://www.mendeley.com/documents/?uuid=81509c2c-3e61-4115-bfa1-3ac38fc7fb12"]},{"id":"ITEM-2","itemData":{"DOI":"10.1084/jem.20120904","ISBN":"1540-9538 (Electronic)\\r0022-1007 (Linking)","ISSN":"0022-1007","PMID":"22891273","abstract":"Splenic marginal zone lymphoma (SMZL) is a B cell malignancy of unknown pathogenesis, and thus an orphan of targeted therapies. By integrating whole-exome sequencing and copy-number analysis, we show that the SMZL exome carries at least 30 nonsilent gene alterations. Mutations in NOTCH2, a gene required for marginal-zone (MZ) B cell development, represent the most frequent lesion in SMZL, accounting for </w:instrText>
      </w:r>
      <w:r w:rsidR="007A7CE6" w:rsidRPr="00002888">
        <w:rPr>
          <w:rFonts w:ascii="Cambria Math" w:hAnsi="Cambria Math" w:cs="Cambria Math"/>
          <w:sz w:val="24"/>
          <w:szCs w:val="24"/>
          <w:lang w:val="en-GB"/>
        </w:rPr>
        <w:instrText>∼</w:instrText>
      </w:r>
      <w:r w:rsidR="007A7CE6" w:rsidRPr="00002888">
        <w:rPr>
          <w:rFonts w:ascii="Times New Roman" w:hAnsi="Times New Roman" w:cs="Times New Roman"/>
          <w:sz w:val="24"/>
          <w:szCs w:val="24"/>
          <w:lang w:val="en-GB"/>
        </w:rPr>
        <w:instrText xml:space="preserve">20% of cases. All NOTCH2 mutations are predicted to cause impaired degradation of the NOTCH2 protein by eliminating the C-terminal PEST domain, which is required for proteasomal recruitment. Among indolent B cell lymphoproliferative disorders, NOTCH2 mutations are restricted to SMZL, thus representing a potential diagnostic marker for this lymphoma type. In addition to NOTCH2, other modulators or members of the NOTCH pathway are recurrently targeted by genetic lesions in SMZL; these include NOTCH1, SPEN, and DTX1. We also noted mutations in other signaling pathways normally involved in MZ B cell development, suggesting that deregulation of MZ B cell development pathways plays a role in the pathogenesis of </w:instrText>
      </w:r>
      <w:r w:rsidR="007A7CE6" w:rsidRPr="00002888">
        <w:rPr>
          <w:rFonts w:ascii="Cambria Math" w:hAnsi="Cambria Math" w:cs="Cambria Math"/>
          <w:sz w:val="24"/>
          <w:szCs w:val="24"/>
          <w:lang w:val="en-GB"/>
        </w:rPr>
        <w:instrText>∼</w:instrText>
      </w:r>
      <w:r w:rsidR="007A7CE6" w:rsidRPr="00002888">
        <w:rPr>
          <w:rFonts w:ascii="Times New Roman" w:hAnsi="Times New Roman" w:cs="Times New Roman"/>
          <w:sz w:val="24"/>
          <w:szCs w:val="24"/>
          <w:lang w:val="en-GB"/>
        </w:rPr>
        <w:instrText>60% SMZL. These findings have direct implications for the treatment of SMZL patients, given the availability of drugs that can target NOTCH, NF-κB, and other pathways deregulated in this disease.","author":[{"dropping-particle":"","family":"Rossi","given":"Davide","non-dropping-particle":"","parse-names":false,"suffix":""},{"dropping-particle":"","family":"Trifonov","given":"Vladimir","non-dropping-particle":"","parse-names":false,"suffix":""},{"dropping-particle":"","family":"Fangazio","given":"Marco","non-dropping-particle":"","parse-names":false,"suffix":""},{"dropping-particle":"","family":"Bruscaggin","given":"Alessio","non-dropping-particle":"","parse-names":false,"suffix":""},{"dropping-particle":"","family":"Rasi","given":"Silvia","non-dropping-particle":"","parse-names":false,"suffix":""},{"dropping-particle":"","family":"Spina","given":"Valeria","non-dropping-particle":"","parse-names":false,"suffix":""},{"dropping-particle":"","family":"Monti","given":"Sara","non-dropping-particle":"","parse-names":false,"suffix":""},{"dropping-particle":"","family":"Vaisitti","given":"Tiziana","non-dropping-particle":"","parse-names":false,"suffix":""},{"dropping-particle":"","family":"Arruga","given":"Francesca","non-dropping-particle":"","parse-names":false,"suffix":""},{"dropping-particle":"","family":"Famà","given":"Rosella","non-dropping-particle":"","parse-names":false,"suffix":""},{"dropping-particle":"","family":"Ciardullo","given":"Carmela","non-dropping-particle":"","parse-names":false,"suffix":""},{"dropping-particle":"","family":"Greco","given":"Mariangela","non-dropping-particle":"","parse-names":false,"suffix":""},{"dropping-particle":"","family":"Cresta","given":"Stefania","non-dropping-particle":"","parse-names":false,"suffix":""},{"dropping-particle":"","family":"Piranda","given":"Daniela","non-dropping-particle":"","parse-names":false,"suffix":""},{"dropping-particle":"","family":"Holmes","given":"Antony","non-dropping-particle":"","parse-names":false,"suffix":""},{"dropping-particle":"","family":"Fabbri","given":"Giulia","non-dropping-particle":"","parse-names":false,"suffix":""},{"dropping-particle":"","family":"Messina","given":"Monica","non-dropping-particle":"","parse-names":false,"suffix":""},{"dropping-particle":"","family":"Rinaldi","given":"Andrea","non-dropping-particle":"","parse-names":false,"suffix":""},{"dropping-particle":"","family":"Wang","given":"Jiguang","non-dropping-particle":"","parse-names":false,"suffix":""},{"dropping-particle":"","family":"Agostinelli","given":"Claudio","non-dropping-particle":"","parse-names":false,"suffix":""},{"dropping-particle":"","family":"Piccaluga","given":"Pier Paolo","non-dropping-particle":"","parse-names":false,"suffix":""},{"dropping-particle":"","family":"Lucioni","given":"Marco","non-dropping-particle":"","parse-names":false,"suffix":""},{"dropping-particle":"","family":"Tabbò","given":"Fabrizio","non-dropping-particle":"","parse-names":false,"suffix":""},{"dropping-particle":"","family":"Serra","given":"Roberto","non-dropping-particle":"","parse-names":false,"suffix":""},{"dropping-particle":"","family":"Franceschetti","given":"Silvia","non-dropping-particle":"","parse-names":false,"suffix":""},{"dropping-particle":"","family":"Deambrogi","given":"Clara","non-dropping-particle":"","parse-names":false,"suffix":""},{"dropping-particle":"","family":"Daniele","given":"Giulia","non-dropping-particle":"","parse-names":false,"suffix":""},{"dropping-particle":"","family":"Gattei","given":"Valter","non-dropping-particle":"","parse-names":false,"suffix":""},{"dropping-particle":"","family":"Marasca","given":"Roberto","non-dropping-particle":"","parse-names":false,"suffix":""},{"dropping-particle":"","family":"Facchetti","given":"Fabio","non-dropping-particle":"","parse-names":false,"suffix":""},{"dropping-particle":"","family":"Arcaini","given":"Luca","non-dropping-particle":"","parse-names":false,"suffix":""},{"dropping-particle":"","family":"Inghirami","given":"Giorgio","non-dropping-particle":"","parse-names":false,"suffix":""},{"dropping-particle":"","family":"Bertoni","given":"Francesco","non-dropping-particle":"","parse-names":false,"suffix":""},{"dropping-particle":"","family":"Pileri","given":"Stefano A.","non-dropping-particle":"","parse-names":false,"suffix":""},{"dropping-particle":"","family":"Deaglio","given":"Silvia","non-dropping-particle":"","parse-names":false,"suffix":""},{"dropping-particle":"","family":"Foà","given":"Robin","non-dropping-particle":"","parse-names":false,"suffix":""},{"dropping-particle":"","family":"Dalla-Favera","given":"Riccardo","non-dropping-particle":"","parse-names":false,"suffix":""},{"dropping-particle":"","family":"Pasqualucci","given":"Laura","non-dropping-particle":"","parse-names":false,"suffix":""},{"dropping-particle":"","family":"Rabadan","given":"Raul","non-dropping-particle":"","parse-names":false,"suffix":""},{"dropping-particle":"","family":"Gaidano","given":"Gianluca","non-dropping-particle":"","parse-names":false,"suffix":""}],"container-title":"The Journal of Experimental Medicine","id":"ITEM-2","issue":"9","issued":{"date-parts":[["2012"]]},"page":"1537-1551","title":"The coding genome of splenic marginal zone lymphoma: activation of &lt;i&gt;NOTCH2&lt;/i&gt; and other pathways regulating marginal zone development","type":"article-journal","volume":"209"},"uris":["http://www.mendeley.com/documents/?uuid=fff8afcc-b166-4232-81b9-1bf4d3e92c7e"]}],"mendeley":{"formattedCitation":"(Parry et al., 2015; Rossi et al., 2012)","plainTextFormattedCitation":"(Parry et al., 2015; Rossi et al., 2012)","previouslyFormattedCitation":"(Parry et al., 2015; Rossi et al., 2012)"},"properties":{"noteIndex":0},"schema":"https://github.com/citation-style-language/schema/raw/master/csl-citation.json"}</w:instrText>
      </w:r>
      <w:r w:rsidR="00692EEE" w:rsidRPr="00002888">
        <w:rPr>
          <w:rFonts w:ascii="Times New Roman" w:hAnsi="Times New Roman" w:cs="Times New Roman"/>
          <w:sz w:val="24"/>
          <w:szCs w:val="24"/>
          <w:lang w:val="en-GB"/>
        </w:rPr>
        <w:fldChar w:fldCharType="separate"/>
      </w:r>
      <w:r w:rsidR="00762590" w:rsidRPr="00002888">
        <w:rPr>
          <w:rFonts w:ascii="Times New Roman" w:hAnsi="Times New Roman" w:cs="Times New Roman"/>
          <w:noProof/>
          <w:sz w:val="24"/>
          <w:szCs w:val="24"/>
          <w:lang w:val="en-GB"/>
        </w:rPr>
        <w:t>(Parry et al., 2015; Rossi et al., 2012)</w:t>
      </w:r>
      <w:r w:rsidR="00692EEE" w:rsidRPr="00002888">
        <w:rPr>
          <w:rFonts w:ascii="Times New Roman" w:hAnsi="Times New Roman" w:cs="Times New Roman"/>
          <w:sz w:val="24"/>
          <w:szCs w:val="24"/>
          <w:lang w:val="en-GB"/>
        </w:rPr>
        <w:fldChar w:fldCharType="end"/>
      </w:r>
      <w:r w:rsidR="00686CAB" w:rsidRPr="00002888">
        <w:rPr>
          <w:rFonts w:ascii="Times New Roman" w:hAnsi="Times New Roman" w:cs="Times New Roman"/>
          <w:sz w:val="24"/>
          <w:szCs w:val="24"/>
          <w:lang w:val="en-GB"/>
        </w:rPr>
        <w:t xml:space="preserve">. Most </w:t>
      </w:r>
      <w:r w:rsidR="00686CAB" w:rsidRPr="00002888">
        <w:rPr>
          <w:rFonts w:ascii="Times New Roman" w:hAnsi="Times New Roman" w:cs="Times New Roman"/>
          <w:i/>
          <w:iCs/>
          <w:sz w:val="24"/>
          <w:szCs w:val="24"/>
          <w:lang w:val="en-GB"/>
        </w:rPr>
        <w:t>TP53</w:t>
      </w:r>
      <w:r w:rsidR="00686CAB" w:rsidRPr="00002888">
        <w:rPr>
          <w:rFonts w:ascii="Times New Roman" w:hAnsi="Times New Roman" w:cs="Times New Roman"/>
          <w:sz w:val="24"/>
          <w:szCs w:val="24"/>
          <w:lang w:val="en-GB"/>
        </w:rPr>
        <w:t xml:space="preserve"> mutations are missense mutations within the DNA binding domain</w:t>
      </w:r>
      <w:r w:rsidR="00E1180C" w:rsidRPr="00002888">
        <w:rPr>
          <w:rFonts w:ascii="Times New Roman" w:hAnsi="Times New Roman" w:cs="Times New Roman"/>
          <w:sz w:val="24"/>
          <w:szCs w:val="24"/>
          <w:lang w:val="en-GB"/>
        </w:rPr>
        <w:t xml:space="preserve"> (</w:t>
      </w:r>
      <w:r w:rsidR="00E1180C" w:rsidRPr="00002888">
        <w:rPr>
          <w:rFonts w:ascii="Times New Roman" w:hAnsi="Times New Roman" w:cs="Times New Roman"/>
          <w:b/>
          <w:bCs/>
          <w:sz w:val="24"/>
          <w:szCs w:val="24"/>
          <w:lang w:val="en-GB"/>
        </w:rPr>
        <w:t>Figure 3</w:t>
      </w:r>
      <w:r w:rsidR="00E1180C" w:rsidRPr="00002888">
        <w:rPr>
          <w:rFonts w:ascii="Times New Roman" w:hAnsi="Times New Roman" w:cs="Times New Roman"/>
          <w:sz w:val="24"/>
          <w:szCs w:val="24"/>
          <w:lang w:val="en-GB"/>
        </w:rPr>
        <w:t>)</w:t>
      </w:r>
      <w:r w:rsidR="00686CAB" w:rsidRPr="00002888">
        <w:rPr>
          <w:rFonts w:ascii="Times New Roman" w:hAnsi="Times New Roman" w:cs="Times New Roman"/>
          <w:sz w:val="24"/>
          <w:szCs w:val="24"/>
          <w:lang w:val="en-GB"/>
        </w:rPr>
        <w:t>, attenuating or eliminating its function as tumour suppressor</w:t>
      </w:r>
      <w:r w:rsidR="003C3C80" w:rsidRPr="00002888">
        <w:rPr>
          <w:rFonts w:ascii="Times New Roman" w:hAnsi="Times New Roman" w:cs="Times New Roman"/>
          <w:sz w:val="24"/>
          <w:szCs w:val="24"/>
          <w:lang w:val="en-GB"/>
        </w:rPr>
        <w:t>,</w:t>
      </w:r>
      <w:r w:rsidR="00686CAB" w:rsidRPr="00002888">
        <w:rPr>
          <w:rFonts w:ascii="Times New Roman" w:hAnsi="Times New Roman" w:cs="Times New Roman"/>
          <w:sz w:val="24"/>
          <w:szCs w:val="24"/>
          <w:lang w:val="en-GB"/>
        </w:rPr>
        <w:t xml:space="preserve"> since mutant proteins lose the ability to activate canonical p53 target genes. This leads to uncontrolled cell proliferation and permissive accumulation of genomic mutations that may culminate in tumour growth </w:t>
      </w:r>
      <w:r w:rsidR="00686CAB" w:rsidRPr="00002888">
        <w:rPr>
          <w:rFonts w:ascii="Times New Roman" w:hAnsi="Times New Roman" w:cs="Times New Roman"/>
          <w:sz w:val="24"/>
          <w:szCs w:val="24"/>
          <w:lang w:val="en-GB"/>
        </w:rPr>
        <w:fldChar w:fldCharType="begin" w:fldLock="1"/>
      </w:r>
      <w:r w:rsidR="00EB4D78" w:rsidRPr="00002888">
        <w:rPr>
          <w:rFonts w:ascii="Times New Roman" w:hAnsi="Times New Roman" w:cs="Times New Roman"/>
          <w:sz w:val="24"/>
          <w:szCs w:val="24"/>
          <w:lang w:val="en-GB"/>
        </w:rPr>
        <w:instrText>ADDIN CSL_CITATION {"citationItems":[{"id":"ITEM-1","itemData":{"DOI":"10.1038/cdd.2017.185","ISSN":"1476-5403","PMID":"29099488","abstract":"Mutant p53 proteins impart changes in cellular behavior and function through interactions with proteins that alter gene expression. The milieu of intracellular proteins available to interact with mutant p53 is context specific and changes with disease, cell type, and environmental conditions. Varying conformations of mutant p53 largely dictate protein-protein interactions as different point mutations within protein-coding regions greatly alter the extent and array of gain-of-function (GOF) activities. Given such variables, how can knowledge regarding p53 missense mutations be translated into predicting or altering biologic activity for therapy? How may knowledge regarding mutant p53 functions within certain disease contexts be harnessed to blunt or ablate mutant p53 GOF for therapy? In this article, we review known proteins that interact with mutant p53 and result in the activation of genes that contribute to p53 GOF with particular emphasis on context dependency and an evolving appreciation of GOF mechanisms.","author":[{"dropping-particle":"","family":"Kim","given":"Michael P.","non-dropping-particle":"","parse-names":false,"suffix":""},{"dropping-particle":"","family":"Lozano","given":"Guillermina","non-dropping-particle":"","parse-names":false,"suffix":""}],"container-title":"Cell death and differentiation","id":"ITEM-1","issue":"1","issued":{"date-parts":[["2018"]]},"page":"161-168","publisher":"Nature Publishing Group","title":"Mutant p53 partners in crime.","type":"article-journal","volume":"25"},"uris":["http://www.mendeley.com/documents/?uuid=ee733c20-26ae-40c4-9939-c62058c2d08e"]}],"mendeley":{"formattedCitation":"(Kim and Lozano, 2018)","plainTextFormattedCitation":"(Kim and Lozano, 2018)","previouslyFormattedCitation":"(Kim and Lozano, 2018)"},"properties":{"noteIndex":0},"schema":"https://github.com/citation-style-language/schema/raw/master/csl-citation.json"}</w:instrText>
      </w:r>
      <w:r w:rsidR="00686CAB" w:rsidRPr="00002888">
        <w:rPr>
          <w:rFonts w:ascii="Times New Roman" w:hAnsi="Times New Roman" w:cs="Times New Roman"/>
          <w:sz w:val="24"/>
          <w:szCs w:val="24"/>
          <w:lang w:val="en-GB"/>
        </w:rPr>
        <w:fldChar w:fldCharType="separate"/>
      </w:r>
      <w:r w:rsidR="00A15967" w:rsidRPr="00002888">
        <w:rPr>
          <w:rFonts w:ascii="Times New Roman" w:hAnsi="Times New Roman" w:cs="Times New Roman"/>
          <w:noProof/>
          <w:sz w:val="24"/>
          <w:szCs w:val="24"/>
          <w:lang w:val="en-GB"/>
        </w:rPr>
        <w:t>(Kim and Lozano, 2018)</w:t>
      </w:r>
      <w:r w:rsidR="00686CAB" w:rsidRPr="00002888">
        <w:rPr>
          <w:rFonts w:ascii="Times New Roman" w:hAnsi="Times New Roman" w:cs="Times New Roman"/>
          <w:sz w:val="24"/>
          <w:szCs w:val="24"/>
          <w:lang w:val="en-GB"/>
        </w:rPr>
        <w:fldChar w:fldCharType="end"/>
      </w:r>
      <w:r w:rsidR="00686CAB" w:rsidRPr="00002888">
        <w:rPr>
          <w:rFonts w:ascii="Times New Roman" w:hAnsi="Times New Roman" w:cs="Times New Roman"/>
          <w:sz w:val="24"/>
          <w:szCs w:val="24"/>
          <w:lang w:val="en-GB"/>
        </w:rPr>
        <w:t xml:space="preserve">. Mutations in </w:t>
      </w:r>
      <w:r w:rsidR="00686CAB" w:rsidRPr="00002888">
        <w:rPr>
          <w:rFonts w:ascii="Times New Roman" w:hAnsi="Times New Roman" w:cs="Times New Roman"/>
          <w:i/>
          <w:iCs/>
          <w:sz w:val="24"/>
          <w:szCs w:val="24"/>
          <w:lang w:val="en-GB"/>
        </w:rPr>
        <w:t>TP53</w:t>
      </w:r>
      <w:r w:rsidR="00686CAB" w:rsidRPr="00002888">
        <w:rPr>
          <w:rFonts w:ascii="Times New Roman" w:hAnsi="Times New Roman" w:cs="Times New Roman"/>
          <w:sz w:val="24"/>
          <w:szCs w:val="24"/>
          <w:lang w:val="en-GB"/>
        </w:rPr>
        <w:t xml:space="preserve"> are associated with poor prognosis and are more common in cases with unmutated </w:t>
      </w:r>
      <w:r w:rsidR="0948C66E" w:rsidRPr="00002888">
        <w:rPr>
          <w:rFonts w:ascii="Times New Roman" w:hAnsi="Times New Roman" w:cs="Times New Roman"/>
          <w:i/>
          <w:iCs/>
          <w:sz w:val="24"/>
          <w:szCs w:val="24"/>
          <w:lang w:val="en-GB"/>
        </w:rPr>
        <w:t>IGHV</w:t>
      </w:r>
      <w:r w:rsidR="00686CAB" w:rsidRPr="00002888">
        <w:rPr>
          <w:rFonts w:ascii="Times New Roman" w:hAnsi="Times New Roman" w:cs="Times New Roman"/>
          <w:sz w:val="24"/>
          <w:szCs w:val="24"/>
          <w:lang w:val="en-GB"/>
        </w:rPr>
        <w:t xml:space="preserve"> genes </w:t>
      </w:r>
      <w:r w:rsidR="00686CAB" w:rsidRPr="00002888">
        <w:rPr>
          <w:rFonts w:ascii="Times New Roman" w:hAnsi="Times New Roman" w:cs="Times New Roman"/>
          <w:sz w:val="24"/>
          <w:szCs w:val="24"/>
          <w:lang w:val="en-GB"/>
        </w:rPr>
        <w:fldChar w:fldCharType="begin" w:fldLock="1"/>
      </w:r>
      <w:r w:rsidR="00284279" w:rsidRPr="00002888">
        <w:rPr>
          <w:rFonts w:ascii="Times New Roman" w:hAnsi="Times New Roman" w:cs="Times New Roman"/>
          <w:sz w:val="24"/>
          <w:szCs w:val="24"/>
          <w:lang w:val="en-GB"/>
        </w:rPr>
        <w:instrText>ADDIN CSL_CITATION {"citationItems":[{"id":"ITEM-1","itemData":{"DOI":"10.1182/blood-2010-02-267476","ISSN":"0006-4971","abstract":"We conducted a retrospective collaborative study to cytogenetically characterize splenic marginal zone lymphoma (SMZL) and ascertain the prognostic value of chromosomal aberrations. Of 330 cases, 72% displayed an aberrant karyotype, 53% were complex, and 29% had a single aberration. The predominant aberrations were gains of 3/3q and 12q, deletions of 7q and 6q and translocations involving 8q/1q/14q. CD5 expression was detected in 39 of 158 cases (25%). The cytogenetic makeup of the CD5+ group differed significantly from that of the CD5− group. Cases with unmutated IGHV were significantly associated with deletions of 7q and TP53. A strong association was noted between usage of the IGVH1-2 and deletion 7q, 14q alterations, and abnormal karyotype. On univariate analysis, patients with more than or equal to 2 aberrations, 14q alterations, and TP53 deletions had the shortest survival; 7q deletion did not affect survival. On multivariate analysis, cytogenetic aberrations did not retain prognostic significance; the parameters negatively affecting survival were hemoglobin and age. In conclusion, the cytogenetic profile of SMZL is distinct from other B-cell lymphomas. Complexity of the karyotype, 14q aberrations, and TP53 deletions are poor prognostic indicators and may be considered together with other clinicobiologic parameters to ascertain the prognosis of SMZL.","author":[{"dropping-particle":"","family":"Salido","given":"Marta","non-dropping-particle":"","parse-names":false,"suffix":""},{"dropping-particle":"","family":"Baró","given":"Cristina","non-dropping-particle":"","parse-names":false,"suffix":""},{"dropping-particle":"","family":"Oscier","given":"David","non-dropping-particle":"","parse-names":false,"suffix":""},{"dropping-particle":"","family":"Stamatopoulos","given":"Kostas","non-dropping-particle":"","parse-names":false,"suffix":""},{"dropping-particle":"","family":"Dierlamm","given":"Judith","non-dropping-particle":"","parse-names":false,"suffix":""},{"dropping-particle":"","family":"Matutes","given":"Estela","non-dropping-particle":"","parse-names":false,"suffix":""},{"dropping-particle":"","family":"Traverse-Glehen","given":"Alexandra","non-dropping-particle":"","parse-names":false,"suffix":""},{"dropping-particle":"","family":"Berger","given":"Francoise","non-dropping-particle":"","parse-names":false,"suffix":""},{"dropping-particle":"","family":"Felman","given":"Pascale","non-dropping-particle":"","parse-names":false,"suffix":""},{"dropping-particle":"","family":"Thieblemont","given":"Catherine","non-dropping-particle":"","parse-names":false,"suffix":""},{"dropping-particle":"","family":"Gesk","given":"Stefan","non-dropping-particle":"","parse-names":false,"suffix":""},{"dropping-particle":"","family":"Athanasiadou","given":"Anastasia","non-dropping-particle":"","parse-names":false,"suffix":""},{"dropping-particle":"","family":"Davis","given":"Zadie","non-dropping-particle":"","parse-names":false,"suffix":""},{"dropping-particle":"","family":"Gardiner","given":"Anne","non-dropping-particle":"","parse-names":false,"suffix":""},{"dropping-particle":"","family":"Milla","given":"Fuensanta","non-dropping-particle":"","parse-names":false,"suffix":""},{"dropping-particle":"","family":"Ferrer","given":"Ana","non-dropping-particle":"","parse-names":false,"suffix":""},{"dropping-particle":"","family":"Mollejo","given":"Manuela","non-dropping-particle":"","parse-names":false,"suffix":""},{"dropping-particle":"","family":"Calasanz","given":"Maria José","non-dropping-particle":"","parse-names":false,"suffix":""},{"dropping-particle":"","family":"Florensa","given":"Lourdes","non-dropping-particle":"","parse-names":false,"suffix":""},{"dropping-particle":"","family":"Espinet","given":"Blanca","non-dropping-particle":"","parse-names":false,"suffix":""},{"dropping-particle":"","family":"Luño","given":"Elisa","non-dropping-particle":"","parse-names":false,"suffix":""},{"dropping-particle":"","family":"Wlodarska","given":"Iwona","non-dropping-particle":"","parse-names":false,"suffix":""},{"dropping-particle":"","family":"Verhoef","given":"Gregor","non-dropping-particle":"","parse-names":false,"suffix":""},{"dropping-particle":"","family":"García-Granero","given":"Marta","non-dropping-particle":"","parse-names":false,"suffix":""},{"dropping-particle":"","family":"Salar","given":"Antonio","non-dropping-particle":"","parse-names":false,"suffix":""},{"dropping-particle":"","family":"Papadaki","given":"Theodora","non-dropping-particle":"","parse-names":false,"suffix":""},{"dropping-particle":"","family":"Serrano","given":"Sergio","non-dropping-particle":"","parse-names":false,"suffix":""},{"dropping-particle":"","family":"Piris","given":"Miguel A.","non-dropping-particle":"","parse-names":false,"suffix":""},{"dropping-particle":"","family":"Solé","given":"Francesc","non-dropping-particle":"","parse-names":false,"suffix":""}],"container-title":"Blood","id":"ITEM-1","issue":"9","issued":{"date-parts":[["2010","9","2"]]},"page":"1479-1488","title":"Cytogenetic aberrations and their prognostic value in a series of 330 splenic marginal zone B-cell lymphomas: a multicenter study of the Splenic B-Cell Lymphoma Group","type":"article-journal","volume":"116"},"uris":["http://www.mendeley.com/documents/?uuid=00dbce41-c817-49fc-b697-553243a471a1"]},{"id":"ITEM-2","itemData":{"DOI":"10.1002/path","ISBN":"1096-9896 (Electronic)\\r0022-3417 (Linking)","ISSN":"1096-9896","PMID":"19927301","abstract":"The functional significance of changes in nuclear structure and organization in transformed cells remains one of the most enigmatic questions in cancer biology. In this review, we discuss relationships between nuclear organization and transcription in terms of the three-dimensional arrangement of genes in the interphase cancer nucleus and the regulatory functions of nuclear matrix proteins. We also analyse the role of nuclear topology in the generation of gene fusions. We speculate that this type of multi-layered analysis will one day provide a framework for a more comprehensive understanding of the genetic origins of cancer and the identification of new therapeutic targets.","author":[{"dropping-particle":"","family":"Watkins","given":"James","non-dropping-particle":"","parse-names":false,"suffix":""},{"dropping-particle":"","family":"Huang","given":"Yuanxue","non-dropping-particle":"","parse-names":false,"suffix":""},{"dropping-particle":"","family":"Ye","given":"Hongtao","non-dropping-particle":"","parse-names":false,"suffix":""},{"dropping-particle":"","family":"Chanudet","given":"Estelle","non-dropping-particle":"","parse-names":false,"suffix":""},{"dropping-particle":"","family":"Johnson","given":"Nicola","non-dropping-particle":"","parse-names":false,"suffix":""},{"dropping-particle":"","family":"Hamoudi","given":"Rifat","non-dropping-particle":"","parse-names":false,"suffix":""},{"dropping-particle":"","family":"Liu","given":"Hongxiang","non-dropping-particle":"","parse-names":false,"suffix":""},{"dropping-particle":"","family":"Dong","given":"Gehong","non-dropping-particle":"","parse-names":false,"suffix":""},{"dropping-particle":"","family":"Attygalle","given":"Ayoma","non-dropping-particle":"","parse-names":false,"suffix":""},{"dropping-particle":"","family":"McPhail","given":"Ellen D.","non-dropping-particle":"","parse-names":false,"suffix":""},{"dropping-particle":"","family":"Law","given":"Mark E.","non-dropping-particle":"","parse-names":false,"suffix":""},{"dropping-particle":"","family":"Isaacson","given":"Peter G.","non-dropping-particle":"","parse-names":false,"suffix":""},{"dropping-particle":"","family":"Leval","given":"Laurence","non-dropping-particle":"de","parse-names":false,"suffix":""},{"dropping-particle":"","family":"Wotherspoon","given":"Andrew","non-dropping-particle":"","parse-names":false,"suffix":""},{"dropping-particle":"","family":"Du","given":"Ming-Qing","non-dropping-particle":"","parse-names":false,"suffix":""}],"container-title":"The Journal of pathology","id":"ITEM-2","issue":"September","issued":{"date-parts":[["2010"]]},"page":"114-125","title":"Splenic marginal zone lymphoma: characterization of 7q deletion and its value in diagnosis","type":"article-journal","volume":"220"},"uris":["http://www.mendeley.com/documents/?uuid=d90b808d-0a21-4c00-920d-ff172cebe4a8"]},{"id":"ITEM-3","itemData":{"DOI":"10.1182/blood-2010-01-264275","ISSN":"0006-4971","PMID":"21115979","abstract":"Marginal zone B-cell lymphomas (MZLs) have been divided into 3 distinct subtypes (extranodal MZLs of mucosa-associated lymphoid tissue [MALT] type, nodal MZLs, and splenic MZLs). Nevertheless, the relationship between the subtypes is still unclear. We performed a comprehensive analysis of genomic DNA copy number changes in a very large series of MZL cases with the aim of addressing this question. Samples from 218 MZL patients (25 nodal, 57 MALT, 134 splenic, and 2 not better specified MZLs) were analyzed with the Affymetrix Human Mapping 250K SNP arrays, and the data combined with matched gene expression in 33 of 218 cases. MALT lymphoma presented significantly more frequently gains at 3p, 6p, 18p, and del(6q23) (TNFAIP3/A20), whereas splenic MZLs was associated with del(7q31), del(8p). Nodal MZLs did not show statistically significant differences compared with MALT lymphoma while lacking the splenic MZLs-related 7q losses. Gains of 3q and 18q were common to all 3 subtypes. del(8p) was often present together with del(17p) (TP53). Although del(17p) did not determine a worse outcome and del(8p) was only of borderline significance, the presence of both deletions had a highly significant negative impact on the outcome of splenic MZLs.","author":[{"dropping-particle":"","family":"Rinaldi","given":"Andrea","non-dropping-particle":"","parse-names":false,"suffix":""},{"dropping-particle":"","family":"Mian","given":"Michael","non-dropping-particle":"","parse-names":false,"suffix":""},{"dropping-particle":"","family":"Chigrinova","given":"Ekaterina","non-dropping-particle":"","parse-names":false,"suffix":""},{"dropping-particle":"","family":"Arcaini","given":"Luca","non-dropping-particle":"","parse-names":false,"suffix":""},{"dropping-particle":"","family":"Bhagat","given":"Govind","non-dropping-particle":"","parse-names":false,"suffix":""},{"dropping-particle":"","family":"Novak","given":"Urban","non-dropping-particle":"","parse-names":false,"suffix":""},{"dropping-particle":"V.","family":"Rancoita","given":"Paola M.","non-dropping-particle":"","parse-names":false,"suffix":""},{"dropping-particle":"","family":"Campos","given":"Cassio P.","non-dropping-particle":"De","parse-names":false,"suffix":""},{"dropping-particle":"","family":"Forconi","given":"Francesco","non-dropping-particle":"","parse-names":false,"suffix":""},{"dropping-particle":"","family":"Gascoyne","given":"Randy D","non-dropping-particle":"","parse-names":false,"suffix":""},{"dropping-particle":"","family":"Facchetti","given":"Fabio","non-dropping-particle":"","parse-names":false,"suffix":""},{"dropping-particle":"","family":"Ponzoni","given":"Maurilio","non-dropping-particle":"","parse-names":false,"suffix":""},{"dropping-particle":"","family":"Govi","given":"Silvia","non-dropping-particle":"","parse-names":false,"suffix":""},{"dropping-particle":"","family":"Ferreri","given":"Andrés J. M.","non-dropping-particle":"","parse-names":false,"suffix":""},{"dropping-particle":"","family":"Mollejo","given":"Manuela","non-dropping-particle":"","parse-names":false,"suffix":""},{"dropping-particle":"","family":"Piris","given":"Miguel A","non-dropping-particle":"","parse-names":false,"suffix":""},{"dropping-particle":"","family":"Baldini","given":"Luca","non-dropping-particle":"","parse-names":false,"suffix":""},{"dropping-particle":"","family":"Soulier","given":"Jean","non-dropping-particle":"","parse-names":false,"suffix":""},{"dropping-particle":"","family":"Thieblemont","given":"Catherine","non-dropping-particle":"","parse-names":false,"suffix":""},{"dropping-particle":"","family":"Canzonieri","given":"Vincenzo","non-dropping-particle":"","parse-names":false,"suffix":""},{"dropping-particle":"","family":"Gattei","given":"Valter","non-dropping-particle":"","parse-names":false,"suffix":""},{"dropping-particle":"","family":"Marasca","given":"Roberto","non-dropping-particle":"","parse-names":false,"suffix":""},{"dropping-particle":"","family":"Franceschetti","given":"Silvia","non-dropping-particle":"","parse-names":false,"suffix":""},{"dropping-particle":"","family":"Gaidano","given":"Gianluca","non-dropping-particle":"","parse-names":false,"suffix":""},{"dropping-particle":"","family":"Tucci","given":"Alessandra","non-dropping-particle":"","parse-names":false,"suffix":""},{"dropping-particle":"","family":"Uccella","given":"Silvia","non-dropping-particle":"","parse-names":false,"suffix":""},{"dropping-particle":"","family":"Tibiletti","given":"Maria Grazia","non-dropping-particle":"","parse-names":false,"suffix":""},{"dropping-particle":"","family":"Dirnhofer","given":"Stephan","non-dropping-particle":"","parse-names":false,"suffix":""},{"dropping-particle":"","family":"Tripodo","given":"Claudio","non-dropping-particle":"","parse-names":false,"suffix":""},{"dropping-particle":"","family":"Doglioni","given":"Claudio","non-dropping-particle":"","parse-names":false,"suffix":""},{"dropping-particle":"","family":"Dalla Favera","given":"Riccardo","non-dropping-particle":"","parse-names":false,"suffix":""},{"dropping-particle":"","family":"Cavalli","given":"Franco","non-dropping-particle":"","parse-names":false,"suffix":""},{"dropping-particle":"","family":"Zucca","given":"Emanuele","non-dropping-particle":"","parse-names":false,"suffix":""},{"dropping-particle":"","family":"Kwee","given":"Ivo","non-dropping-particle":"","parse-names":false,"suffix":""},{"dropping-particle":"","family":"Bertoni","given":"Francesco","non-dropping-particle":"","parse-names":false,"suffix":""}],"container-title":"Blood","id":"ITEM-3","issue":"5","issued":{"date-parts":[["2011","2","3"]]},"page":"1595-1604","title":"Genome-wide DNA profiling of marginal zone lymphomas identifies subtype-specific lesions with an impact on the clinical outcome","type":"article-journal","volume":"117"},"uris":["http://www.mendeley.com/documents/?uuid=6ac62c53-1030-4cf0-9e7a-baca26dde9a6"]},{"id":"ITEM-4","itemData":{"DOI":"10.1111/j.1365-2141.2012.09226.x","ISSN":"00071048","abstract":"Using high-resolution genomic microarray analysis, a distinct genomic profile was defined in 114 samples from patients with splenic marginal zone lymphoma (SMZL). Deletion or uniparental disomy of chromosome 7q were detected in 42 of 114 (37%) SMZLs but in only nine of 170 (5%) mature B-cell lymphomas (P &lt; 0·00001). The presence of unmutated IGHV, genomic complexity, 17p13-TP53 deletion and 8q-MYC gain, but not 7q deletion, correlated with shorter overall survival of SMZL patients. Mapping studies narrowed down a commonly deleted region of 2·7 Mb in 7q32.1-q32.2 spanning a region between the SND1 and COPG2 genes. High-throughput sequencing analysis of the 7q32-deleted segment did not identify biallelic deletions/insertions or clear pathogenic gene mutations, but detected six nucleotide changes in IRF5 (n = 2), TMEM209 (n = 2), CALU (n = 1) and ZC3HC1 (n = 1) not found in healthy individuals. Comparative expression analysis found a fourfold down-regulation of IRF5 gene in lymphomas with 7q32 deletion versus non-deleted tumours (P = 0·032). Ectopic expression of IRF5 in marginal-zone lymphoma cells decreased proliferation and increased apoptosis in vitro, and impaired lymphoma development in vivo. These results show that cryptic deletions, insertions and/or point mutations inactivating genes within 7q32 are not common in SMZL, and suggest that IRF5 may be a haploinsufficient tumour suppressor in this lymphoma entity.","author":[{"dropping-particle":"","family":"Fresquet","given":"Vicente","non-dropping-particle":"","parse-names":false,"suffix":""},{"dropping-particle":"","family":"Robles","given":"Eloy F.","non-dropping-particle":"","parse-names":false,"suffix":""},{"dropping-particle":"","family":"Parker","given":"Anton","non-dropping-particle":"","parse-names":false,"suffix":""},{"dropping-particle":"","family":"Martinez-Useros","given":"Javier","non-dropping-particle":"","parse-names":false,"suffix":""},{"dropping-particle":"","family":"Mena","given":"Maria","non-dropping-particle":"","parse-names":false,"suffix":""},{"dropping-particle":"","family":"Malumbres","given":"Raquel","non-dropping-particle":"","parse-names":false,"suffix":""},{"dropping-particle":"","family":"Agirre","given":"Xabier","non-dropping-particle":"","parse-names":false,"suffix":""},{"dropping-particle":"","family":"Catarino","given":"Susana","non-dropping-particle":"","parse-names":false,"suffix":""},{"dropping-particle":"","family":"Arteta","given":"David","non-dropping-particle":"","parse-names":false,"suffix":""},{"dropping-particle":"","family":"Osaba","given":"Lourdes","non-dropping-particle":"","parse-names":false,"suffix":""},{"dropping-particle":"","family":"Mollejo","given":"Manuela","non-dropping-particle":"","parse-names":false,"suffix":""},{"dropping-particle":"","family":"Hernandez-Rivas","given":"Jesus M.","non-dropping-particle":"","parse-names":false,"suffix":""},{"dropping-particle":"","family":"Calasanz","given":"Maria Jose","non-dropping-particle":"","parse-names":false,"suffix":""},{"dropping-particle":"","family":"Daibata","given":"Masanori","non-dropping-particle":"","parse-names":false,"suffix":""},{"dropping-particle":"","family":"Dyer","given":"Martin J.S.","non-dropping-particle":"","parse-names":false,"suffix":""},{"dropping-particle":"","family":"Prosper","given":"Felipe","non-dropping-particle":"","parse-names":false,"suffix":""},{"dropping-particle":"","family":"Vizcarra","given":"Esperanza","non-dropping-particle":"","parse-names":false,"suffix":""},{"dropping-particle":"","family":"Piris","given":"Miguel Ángel","non-dropping-particle":"","parse-names":false,"suffix":""},{"dropping-particle":"","family":"Oscier","given":"David","non-dropping-particle":"","parse-names":false,"suffix":""},{"dropping-particle":"","family":"Martinez-Climent","given":"Jose Angel","non-dropping-particle":"","parse-names":false,"suffix":""}],"container-title":"British Journal of Haematology","id":"ITEM-4","issue":"6","issued":{"date-parts":[["2012"]]},"page":"712-726","title":"High-throughput sequencing analysis of the chromosome 7q32 deletion reveals IRF5 as a potential tumour suppressor in splenic marginal-zone lymphoma","type":"article-journal","volume":"158"},"uris":["http://www.mendeley.com/documents/?uuid=2714e14e-698f-4333-abde-22b2781ab808"]},{"id":"ITEM-5","itemData":{"DOI":"10.1371/journal.pone.0083244","ISSN":"1932-6203","abstract":"The pathogenesis of splenic marginal zone lymphoma (SMZL) remains largely unknown. Recent high-throughput sequencing studies have identified recurrent mutations in key pathways, most notably NOTCH2 mutations in &gt;25% of patients. These studies are based on small, heterogeneous discovery cohorts, and therefore only captured a fraction of the lesions present in the SMZL genome. To identify further novel pathogenic mutations within related biochemical pathways, we applied whole exome sequencing (WES) and copy number (CN) analysis to a biologically and clinically homogeneous cohort of seven SMZL patients with 7q abnormalities and IGHV1-2*04 gene usage. We identified 173 somatic non-silent variants, affecting 160 distinct genes. In additional to providing independent validation of the presence of mutation in several previously reported genes (NOTCH2, TNFAIP3, MAP3K14, MLL2 and SPEN), our study defined eight additional recurrently mutated genes in SMZL; these genes are CREBBP, CBFA2T3, AMOTL1, FAT4, FBXO11, PLA2G4D, TRRAP and USH2A. By integrating our WES and CN data we identified three mutated putative candidate genes targeted by 7q deletions (CUL1, EZH2 and FLNC), with FLNC positioned within the well- characterized 7q minimally deleted region. Taken together, this work expands the reported directory of recurrently mutated cancer genes in this disease, thereby expanding our understanding of SMZL pathogenesis. Ultimately, this work will help to establish a stratified approach to care including the possibility of targeted therapy.","author":[{"dropping-particle":"","family":"Parry","given":"Marina","non-dropping-particle":"","parse-names":false,"suffix":""},{"dropping-particle":"","family":"Rose-Zerilli","given":"Matthew J. J.","non-dropping-particle":"","parse-names":false,"suffix":""},{"dropping-particle":"","family":"Gibson","given":"Jane","non-dropping-particle":"","parse-names":false,"suffix":""},{"dropping-particle":"","family":"Ennis","given":"Sarah","non-dropping-particle":"","parse-names":false,"suffix":""},{"dropping-particle":"","family":"Walewska","given":"Renata","non-dropping-particle":"","parse-names":false,"suffix":""},{"dropping-particle":"","family":"Forster","given":"Jade","non-dropping-particle":"","parse-names":false,"suffix":""},{"dropping-particle":"","family":"Parker","given":"Helen","non-dropping-particle":"","parse-names":false,"suffix":""},{"dropping-particle":"","family":"Davis","given":"Zadie","non-dropping-particle":"","parse-names":false,"suffix":""},{"dropping-particle":"","family":"Gardiner","gi</w:instrText>
      </w:r>
      <w:r w:rsidR="00284279" w:rsidRPr="00002888">
        <w:rPr>
          <w:rFonts w:ascii="Times New Roman" w:hAnsi="Times New Roman" w:cs="Times New Roman"/>
          <w:sz w:val="24"/>
          <w:szCs w:val="24"/>
          <w:lang w:val="es-CO"/>
        </w:rPr>
        <w:instrText>ven":"Anne","non-dropping-particle":"","parse-names":false,"suffix":""},{"dropping-particle":"","family":"Collins","given":"Andrew","non-dropping-particle":"","parse-names":false,"suffix":""},{"dropping-particle":"","family":"Oscier","given":"David G.","non-dropping-particle":"","parse-names":false,"suffix":""},{"dropping-particle":"","family":"Strefford","given":"Jonathan C.","non-dropping-particle":"","parse-names":false,"suffix":""}],"container-title":"PLoS ONE","editor":[{"dropping-particle":"","family":"Martinez Climent","given":"Jose Angel","non-dropping-particle":"","parse-names":false,"suffix":""}],"id":"ITEM-5","issue":"12","issued":{"date-parts":[["2013","12","13"]]},"page":"e83244","title":"Whole Exome Sequencing Identifies Novel Recurrently Mutated Genes in Patients with Splenic Marginal Zone Lymphoma","type":"article-journal","volume":"8"},"uris":["http://www.mendeley.com/documents/?uuid=a9b6d865-2849-447c-97d5-e16730a26fdc"]}],"mendeley":{"formattedCitation":"(Fresquet et al., 2012; Parry et al., 2013; Rinaldi et al., 2011; Salido et al., 2010; Watkins et al., 2010)","plainTextFormattedCitation":"(Fresquet et al., 2012; Parry et al., 2013; Rinaldi et al., 2011; Salido et al., 2010; Watkins et al., 2010)","previouslyFormattedCitation":"(Fresquet et al., 2012; Parry et al., 2013; Rinaldi et al., 2011; Salido et al., 2010; Watkins et al., 2010)"},"properties":{"noteIndex":0},"schema":"https://github.com/citation-style-language/schema/raw/master/csl-citation.json"}</w:instrText>
      </w:r>
      <w:r w:rsidR="00686CAB" w:rsidRPr="00002888">
        <w:rPr>
          <w:rFonts w:ascii="Times New Roman" w:hAnsi="Times New Roman" w:cs="Times New Roman"/>
          <w:sz w:val="24"/>
          <w:szCs w:val="24"/>
          <w:lang w:val="en-GB"/>
        </w:rPr>
        <w:fldChar w:fldCharType="separate"/>
      </w:r>
      <w:r w:rsidR="001254EB" w:rsidRPr="00002888">
        <w:rPr>
          <w:rFonts w:ascii="Times New Roman" w:hAnsi="Times New Roman" w:cs="Times New Roman"/>
          <w:noProof/>
          <w:sz w:val="24"/>
          <w:szCs w:val="24"/>
          <w:lang w:val="es-CO"/>
        </w:rPr>
        <w:t>(Fresquet et al., 2012; Parry et al., 2013; Rinaldi et al., 2011; Salido et al., 2010; Watkins et al., 2010)</w:t>
      </w:r>
      <w:r w:rsidR="00686CAB" w:rsidRPr="00002888">
        <w:rPr>
          <w:rFonts w:ascii="Times New Roman" w:hAnsi="Times New Roman" w:cs="Times New Roman"/>
          <w:sz w:val="24"/>
          <w:szCs w:val="24"/>
          <w:lang w:val="en-GB"/>
        </w:rPr>
        <w:fldChar w:fldCharType="end"/>
      </w:r>
      <w:r w:rsidR="00686CAB" w:rsidRPr="00002888">
        <w:rPr>
          <w:rFonts w:ascii="Times New Roman" w:hAnsi="Times New Roman" w:cs="Times New Roman"/>
          <w:sz w:val="24"/>
          <w:szCs w:val="24"/>
          <w:lang w:val="es-CO"/>
        </w:rPr>
        <w:t xml:space="preserve">. </w:t>
      </w:r>
    </w:p>
    <w:p w14:paraId="1A2BF1E6" w14:textId="77777777" w:rsidR="00002888" w:rsidRPr="00002888" w:rsidRDefault="00002888" w:rsidP="00002888">
      <w:pPr>
        <w:spacing w:before="0" w:after="0" w:line="360" w:lineRule="auto"/>
        <w:jc w:val="left"/>
        <w:rPr>
          <w:rFonts w:ascii="Times New Roman" w:hAnsi="Times New Roman" w:cs="Times New Roman"/>
          <w:sz w:val="24"/>
          <w:szCs w:val="24"/>
          <w:lang w:val="es-CO"/>
        </w:rPr>
      </w:pPr>
    </w:p>
    <w:p w14:paraId="2594FBA6" w14:textId="204159A7" w:rsidR="00B24BEC" w:rsidRPr="00002888" w:rsidRDefault="00480DD9" w:rsidP="00002888">
      <w:pPr>
        <w:pStyle w:val="Heading2"/>
        <w:spacing w:before="0" w:after="0" w:line="360" w:lineRule="auto"/>
        <w:rPr>
          <w:sz w:val="24"/>
          <w:szCs w:val="24"/>
        </w:rPr>
      </w:pPr>
      <w:r w:rsidRPr="00002888">
        <w:rPr>
          <w:sz w:val="24"/>
          <w:szCs w:val="24"/>
        </w:rPr>
        <w:t>Other l</w:t>
      </w:r>
      <w:r w:rsidR="00254CE6" w:rsidRPr="00002888">
        <w:rPr>
          <w:sz w:val="24"/>
          <w:szCs w:val="24"/>
        </w:rPr>
        <w:t xml:space="preserve">ow prevalence genes cluster into </w:t>
      </w:r>
      <w:r w:rsidRPr="00002888">
        <w:rPr>
          <w:sz w:val="24"/>
          <w:szCs w:val="24"/>
        </w:rPr>
        <w:t xml:space="preserve">key </w:t>
      </w:r>
      <w:r w:rsidR="00254CE6" w:rsidRPr="00002888">
        <w:rPr>
          <w:sz w:val="24"/>
          <w:szCs w:val="24"/>
        </w:rPr>
        <w:t>biological pathways</w:t>
      </w:r>
    </w:p>
    <w:p w14:paraId="29686453" w14:textId="275030D1" w:rsidR="00F54D32" w:rsidRPr="00002888" w:rsidRDefault="00F54D32" w:rsidP="00002888">
      <w:pPr>
        <w:spacing w:before="0" w:after="0" w:line="360" w:lineRule="auto"/>
        <w:jc w:val="left"/>
        <w:rPr>
          <w:rFonts w:ascii="Times New Roman" w:hAnsi="Times New Roman" w:cs="Times New Roman"/>
          <w:sz w:val="24"/>
          <w:szCs w:val="24"/>
          <w:shd w:val="clear" w:color="auto" w:fill="FFFFFF"/>
          <w:lang w:val="en-GB"/>
        </w:rPr>
      </w:pPr>
      <w:r w:rsidRPr="00002888">
        <w:rPr>
          <w:rFonts w:ascii="Times New Roman" w:hAnsi="Times New Roman" w:cs="Times New Roman"/>
          <w:sz w:val="24"/>
          <w:szCs w:val="24"/>
          <w:shd w:val="clear" w:color="auto" w:fill="FFFFFF"/>
          <w:lang w:val="en-GB"/>
        </w:rPr>
        <w:t xml:space="preserve">Additional recurrently mutated genes are </w:t>
      </w:r>
      <w:r w:rsidR="008B690D" w:rsidRPr="00002888">
        <w:rPr>
          <w:rFonts w:ascii="Times New Roman" w:hAnsi="Times New Roman" w:cs="Times New Roman"/>
          <w:sz w:val="24"/>
          <w:szCs w:val="24"/>
          <w:shd w:val="clear" w:color="auto" w:fill="FFFFFF"/>
          <w:lang w:val="en-GB"/>
        </w:rPr>
        <w:t>continuing</w:t>
      </w:r>
      <w:r w:rsidRPr="00002888">
        <w:rPr>
          <w:rFonts w:ascii="Times New Roman" w:hAnsi="Times New Roman" w:cs="Times New Roman"/>
          <w:sz w:val="24"/>
          <w:szCs w:val="24"/>
          <w:shd w:val="clear" w:color="auto" w:fill="FFFFFF"/>
          <w:lang w:val="en-GB"/>
        </w:rPr>
        <w:t xml:space="preserve"> to emerge from high-throughput sequenc</w:t>
      </w:r>
      <w:r w:rsidR="008B690D" w:rsidRPr="00002888">
        <w:rPr>
          <w:rFonts w:ascii="Times New Roman" w:hAnsi="Times New Roman" w:cs="Times New Roman"/>
          <w:sz w:val="24"/>
          <w:szCs w:val="24"/>
          <w:shd w:val="clear" w:color="auto" w:fill="FFFFFF"/>
          <w:lang w:val="en-GB"/>
        </w:rPr>
        <w:t>ing</w:t>
      </w:r>
      <w:r w:rsidRPr="00002888">
        <w:rPr>
          <w:rFonts w:ascii="Times New Roman" w:hAnsi="Times New Roman" w:cs="Times New Roman"/>
          <w:sz w:val="24"/>
          <w:szCs w:val="24"/>
          <w:shd w:val="clear" w:color="auto" w:fill="FFFFFF"/>
          <w:lang w:val="en-GB"/>
        </w:rPr>
        <w:t xml:space="preserve"> s</w:t>
      </w:r>
      <w:r w:rsidR="008B690D" w:rsidRPr="00002888">
        <w:rPr>
          <w:rFonts w:ascii="Times New Roman" w:hAnsi="Times New Roman" w:cs="Times New Roman"/>
          <w:sz w:val="24"/>
          <w:szCs w:val="24"/>
          <w:shd w:val="clear" w:color="auto" w:fill="FFFFFF"/>
          <w:lang w:val="en-GB"/>
        </w:rPr>
        <w:t>tudies, though at lower frequencies</w:t>
      </w:r>
      <w:r w:rsidR="003E481C" w:rsidRPr="00002888">
        <w:rPr>
          <w:rFonts w:ascii="Times New Roman" w:hAnsi="Times New Roman" w:cs="Times New Roman"/>
          <w:sz w:val="24"/>
          <w:szCs w:val="24"/>
          <w:shd w:val="clear" w:color="auto" w:fill="FFFFFF"/>
          <w:lang w:val="en-GB"/>
        </w:rPr>
        <w:t xml:space="preserve"> (</w:t>
      </w:r>
      <w:r w:rsidR="003E481C" w:rsidRPr="00002888">
        <w:rPr>
          <w:rFonts w:ascii="Times New Roman" w:hAnsi="Times New Roman" w:cs="Times New Roman"/>
          <w:b/>
          <w:bCs/>
          <w:sz w:val="24"/>
          <w:szCs w:val="24"/>
          <w:shd w:val="clear" w:color="auto" w:fill="FFFFFF"/>
          <w:lang w:val="en-GB"/>
        </w:rPr>
        <w:t>Table 2</w:t>
      </w:r>
      <w:r w:rsidR="007E2690" w:rsidRPr="00002888">
        <w:rPr>
          <w:rFonts w:ascii="Times New Roman" w:hAnsi="Times New Roman" w:cs="Times New Roman"/>
          <w:b/>
          <w:bCs/>
          <w:sz w:val="24"/>
          <w:szCs w:val="24"/>
          <w:shd w:val="clear" w:color="auto" w:fill="FFFFFF"/>
          <w:lang w:val="en-GB"/>
        </w:rPr>
        <w:t xml:space="preserve"> </w:t>
      </w:r>
      <w:r w:rsidR="007E2690" w:rsidRPr="00002888">
        <w:rPr>
          <w:rFonts w:ascii="Times New Roman" w:hAnsi="Times New Roman" w:cs="Times New Roman"/>
          <w:sz w:val="24"/>
          <w:szCs w:val="24"/>
          <w:shd w:val="clear" w:color="auto" w:fill="FFFFFF"/>
          <w:lang w:val="en-GB"/>
        </w:rPr>
        <w:t>and</w:t>
      </w:r>
      <w:r w:rsidR="007E2690" w:rsidRPr="00002888">
        <w:rPr>
          <w:rFonts w:ascii="Times New Roman" w:hAnsi="Times New Roman" w:cs="Times New Roman"/>
          <w:b/>
          <w:bCs/>
          <w:sz w:val="24"/>
          <w:szCs w:val="24"/>
          <w:shd w:val="clear" w:color="auto" w:fill="FFFFFF"/>
          <w:lang w:val="en-GB"/>
        </w:rPr>
        <w:t xml:space="preserve"> Figure </w:t>
      </w:r>
      <w:r w:rsidR="001D52B9" w:rsidRPr="00002888">
        <w:rPr>
          <w:rFonts w:ascii="Times New Roman" w:hAnsi="Times New Roman" w:cs="Times New Roman"/>
          <w:b/>
          <w:bCs/>
          <w:sz w:val="24"/>
          <w:szCs w:val="24"/>
          <w:shd w:val="clear" w:color="auto" w:fill="FFFFFF"/>
          <w:lang w:val="en-GB"/>
        </w:rPr>
        <w:t>3</w:t>
      </w:r>
      <w:r w:rsidR="003E481C" w:rsidRPr="00002888">
        <w:rPr>
          <w:rFonts w:ascii="Times New Roman" w:hAnsi="Times New Roman" w:cs="Times New Roman"/>
          <w:sz w:val="24"/>
          <w:szCs w:val="24"/>
          <w:shd w:val="clear" w:color="auto" w:fill="FFFFFF"/>
          <w:lang w:val="en-GB"/>
        </w:rPr>
        <w:t>)</w:t>
      </w:r>
      <w:r w:rsidR="008B690D" w:rsidRPr="00002888">
        <w:rPr>
          <w:rFonts w:ascii="Times New Roman" w:hAnsi="Times New Roman" w:cs="Times New Roman"/>
          <w:sz w:val="24"/>
          <w:szCs w:val="24"/>
          <w:shd w:val="clear" w:color="auto" w:fill="FFFFFF"/>
          <w:lang w:val="en-GB"/>
        </w:rPr>
        <w:t xml:space="preserve">. As previously noted, these genes often cluster within biological pathways of known importance to B-cell differentiation and in cancer more generally. Some of the most well-established genes and pathways are summarized below: </w:t>
      </w:r>
    </w:p>
    <w:p w14:paraId="4A6D8A88" w14:textId="4071EC05" w:rsidR="00603D83" w:rsidRPr="00603D83" w:rsidRDefault="00603D83" w:rsidP="00814224">
      <w:pPr>
        <w:rPr>
          <w:rFonts w:ascii="Times New Roman" w:hAnsi="Times New Roman" w:cs="Times New Roman"/>
          <w:b/>
          <w:bCs/>
          <w:sz w:val="20"/>
          <w:szCs w:val="20"/>
          <w:shd w:val="clear" w:color="auto" w:fill="FFFFFF"/>
          <w:lang w:val="en-GB"/>
        </w:rPr>
      </w:pPr>
      <w:r w:rsidRPr="00603D83">
        <w:rPr>
          <w:rFonts w:ascii="Times New Roman" w:hAnsi="Times New Roman" w:cs="Times New Roman"/>
          <w:b/>
          <w:bCs/>
          <w:sz w:val="20"/>
          <w:szCs w:val="20"/>
          <w:shd w:val="clear" w:color="auto" w:fill="FFFFFF"/>
          <w:lang w:val="en-GB"/>
        </w:rPr>
        <w:t>Table 2. Examples of key recurrently mutated genes in SMZL.</w:t>
      </w:r>
    </w:p>
    <w:tbl>
      <w:tblPr>
        <w:tblStyle w:val="GridTable1Light"/>
        <w:tblW w:w="10201" w:type="dxa"/>
        <w:tblLayout w:type="fixed"/>
        <w:tblLook w:val="04A0" w:firstRow="1" w:lastRow="0" w:firstColumn="1" w:lastColumn="0" w:noHBand="0" w:noVBand="1"/>
      </w:tblPr>
      <w:tblGrid>
        <w:gridCol w:w="1872"/>
        <w:gridCol w:w="1872"/>
        <w:gridCol w:w="6457"/>
      </w:tblGrid>
      <w:tr w:rsidR="00603D83" w:rsidRPr="00BE436C" w14:paraId="4519E8AF" w14:textId="77777777" w:rsidTr="008F7D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shd w:val="clear" w:color="auto" w:fill="D9E2F3" w:themeFill="accent1" w:themeFillTint="33"/>
          </w:tcPr>
          <w:p w14:paraId="3086D692" w14:textId="77777777" w:rsidR="00603D83" w:rsidRPr="00BE436C" w:rsidRDefault="00603D83" w:rsidP="00002888">
            <w:pPr>
              <w:rPr>
                <w:rFonts w:ascii="Times New Roman" w:hAnsi="Times New Roman" w:cs="Times New Roman"/>
                <w:sz w:val="18"/>
                <w:szCs w:val="18"/>
              </w:rPr>
            </w:pPr>
            <w:r w:rsidRPr="00BE436C">
              <w:rPr>
                <w:rFonts w:ascii="Times New Roman" w:eastAsia="Times New Roman" w:hAnsi="Times New Roman" w:cs="Times New Roman"/>
                <w:sz w:val="18"/>
                <w:szCs w:val="18"/>
              </w:rPr>
              <w:t>Gene</w:t>
            </w:r>
          </w:p>
        </w:tc>
        <w:tc>
          <w:tcPr>
            <w:tcW w:w="1872" w:type="dxa"/>
            <w:shd w:val="clear" w:color="auto" w:fill="D9E2F3" w:themeFill="accent1" w:themeFillTint="33"/>
          </w:tcPr>
          <w:p w14:paraId="3FE26C71" w14:textId="77777777" w:rsidR="00603D83" w:rsidRPr="00BE436C" w:rsidRDefault="00603D83" w:rsidP="0000288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eastAsia="Times New Roman" w:hAnsi="Times New Roman" w:cs="Times New Roman"/>
                <w:color w:val="000000" w:themeColor="text1"/>
                <w:sz w:val="18"/>
                <w:szCs w:val="18"/>
              </w:rPr>
              <w:t>Frequency</w:t>
            </w:r>
          </w:p>
        </w:tc>
        <w:tc>
          <w:tcPr>
            <w:tcW w:w="6457" w:type="dxa"/>
            <w:shd w:val="clear" w:color="auto" w:fill="D9E2F3" w:themeFill="accent1" w:themeFillTint="33"/>
          </w:tcPr>
          <w:p w14:paraId="6C66F6E0" w14:textId="77777777" w:rsidR="00603D83" w:rsidRPr="00BE436C" w:rsidRDefault="00603D83" w:rsidP="0000288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eastAsia="Times New Roman" w:hAnsi="Times New Roman" w:cs="Times New Roman"/>
                <w:color w:val="000000" w:themeColor="text1"/>
                <w:sz w:val="18"/>
                <w:szCs w:val="18"/>
              </w:rPr>
              <w:t xml:space="preserve">Target pathway / </w:t>
            </w:r>
            <w:proofErr w:type="spellStart"/>
            <w:r w:rsidRPr="00BE436C">
              <w:rPr>
                <w:rFonts w:ascii="Times New Roman" w:eastAsia="Times New Roman" w:hAnsi="Times New Roman" w:cs="Times New Roman"/>
                <w:color w:val="000000" w:themeColor="text1"/>
                <w:sz w:val="18"/>
                <w:szCs w:val="18"/>
              </w:rPr>
              <w:t>Clinico</w:t>
            </w:r>
            <w:proofErr w:type="spellEnd"/>
            <w:r w:rsidRPr="00BE436C">
              <w:rPr>
                <w:rFonts w:ascii="Times New Roman" w:eastAsia="Times New Roman" w:hAnsi="Times New Roman" w:cs="Times New Roman"/>
                <w:color w:val="000000" w:themeColor="text1"/>
                <w:sz w:val="18"/>
                <w:szCs w:val="18"/>
              </w:rPr>
              <w:t>-biological associations</w:t>
            </w:r>
          </w:p>
        </w:tc>
      </w:tr>
      <w:tr w:rsidR="00603D83" w:rsidRPr="00BE436C" w14:paraId="72D8E264" w14:textId="77777777" w:rsidTr="00002888">
        <w:tc>
          <w:tcPr>
            <w:cnfStyle w:val="001000000000" w:firstRow="0" w:lastRow="0" w:firstColumn="1" w:lastColumn="0" w:oddVBand="0" w:evenVBand="0" w:oddHBand="0" w:evenHBand="0" w:firstRowFirstColumn="0" w:firstRowLastColumn="0" w:lastRowFirstColumn="0" w:lastRowLastColumn="0"/>
            <w:tcW w:w="1872" w:type="dxa"/>
          </w:tcPr>
          <w:p w14:paraId="0E005E6A" w14:textId="77777777" w:rsidR="00603D83" w:rsidRPr="00BE436C" w:rsidRDefault="00603D83" w:rsidP="00002888">
            <w:pPr>
              <w:rPr>
                <w:rFonts w:ascii="Times New Roman" w:hAnsi="Times New Roman" w:cs="Times New Roman"/>
                <w:i/>
                <w:iCs/>
                <w:sz w:val="18"/>
                <w:szCs w:val="18"/>
              </w:rPr>
            </w:pPr>
            <w:r w:rsidRPr="00BE436C">
              <w:rPr>
                <w:rFonts w:ascii="Times New Roman" w:eastAsia="Times New Roman" w:hAnsi="Times New Roman" w:cs="Times New Roman"/>
                <w:i/>
                <w:iCs/>
                <w:sz w:val="18"/>
                <w:szCs w:val="18"/>
              </w:rPr>
              <w:t>KLF2</w:t>
            </w:r>
          </w:p>
        </w:tc>
        <w:tc>
          <w:tcPr>
            <w:tcW w:w="1872" w:type="dxa"/>
          </w:tcPr>
          <w:p w14:paraId="3F32BE02"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eastAsia="Times New Roman" w:hAnsi="Times New Roman" w:cs="Times New Roman"/>
                <w:sz w:val="18"/>
                <w:szCs w:val="18"/>
              </w:rPr>
              <w:t>12% - 42%</w:t>
            </w:r>
          </w:p>
        </w:tc>
        <w:tc>
          <w:tcPr>
            <w:tcW w:w="6457" w:type="dxa"/>
          </w:tcPr>
          <w:p w14:paraId="18B020BB"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E436C">
              <w:rPr>
                <w:rFonts w:ascii="Times New Roman" w:eastAsia="Times New Roman" w:hAnsi="Times New Roman" w:cs="Times New Roman"/>
                <w:sz w:val="18"/>
                <w:szCs w:val="18"/>
              </w:rPr>
              <w:t>MZ B-cell homing / NF-</w:t>
            </w:r>
            <w:proofErr w:type="spellStart"/>
            <w:r w:rsidRPr="00BE436C">
              <w:rPr>
                <w:rFonts w:ascii="Times New Roman" w:eastAsia="Times New Roman" w:hAnsi="Times New Roman" w:cs="Times New Roman"/>
                <w:sz w:val="18"/>
                <w:szCs w:val="18"/>
              </w:rPr>
              <w:t>ĸB</w:t>
            </w:r>
            <w:proofErr w:type="spellEnd"/>
            <w:r w:rsidRPr="00BE436C">
              <w:rPr>
                <w:rFonts w:ascii="Times New Roman" w:eastAsia="Times New Roman" w:hAnsi="Times New Roman" w:cs="Times New Roman"/>
                <w:sz w:val="18"/>
                <w:szCs w:val="18"/>
              </w:rPr>
              <w:t xml:space="preserve"> signaling</w:t>
            </w:r>
          </w:p>
          <w:p w14:paraId="37E45CC8"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E436C">
              <w:rPr>
                <w:rFonts w:ascii="Times New Roman" w:eastAsia="Times New Roman" w:hAnsi="Times New Roman" w:cs="Times New Roman"/>
                <w:sz w:val="18"/>
                <w:szCs w:val="18"/>
              </w:rPr>
              <w:t xml:space="preserve">Associated with 7q deletions, </w:t>
            </w:r>
            <w:r w:rsidRPr="00BE436C">
              <w:rPr>
                <w:rFonts w:ascii="Times New Roman" w:eastAsia="Times New Roman" w:hAnsi="Times New Roman" w:cs="Times New Roman"/>
                <w:i/>
                <w:iCs/>
                <w:sz w:val="18"/>
                <w:szCs w:val="18"/>
              </w:rPr>
              <w:t>NOTCH2</w:t>
            </w:r>
            <w:r w:rsidRPr="00BE436C">
              <w:rPr>
                <w:rFonts w:ascii="Times New Roman" w:eastAsia="Times New Roman" w:hAnsi="Times New Roman" w:cs="Times New Roman"/>
                <w:sz w:val="18"/>
                <w:szCs w:val="18"/>
              </w:rPr>
              <w:t xml:space="preserve"> somatic mutations and </w:t>
            </w:r>
            <w:r w:rsidRPr="00BE436C">
              <w:rPr>
                <w:rFonts w:ascii="Times New Roman" w:eastAsia="Times New Roman" w:hAnsi="Times New Roman" w:cs="Times New Roman"/>
                <w:i/>
                <w:iCs/>
                <w:sz w:val="18"/>
                <w:szCs w:val="18"/>
              </w:rPr>
              <w:t>IGHV1-02*02</w:t>
            </w:r>
            <w:r w:rsidRPr="00BE436C">
              <w:rPr>
                <w:rFonts w:ascii="Times New Roman" w:eastAsia="Times New Roman" w:hAnsi="Times New Roman" w:cs="Times New Roman"/>
                <w:sz w:val="18"/>
                <w:szCs w:val="18"/>
              </w:rPr>
              <w:t xml:space="preserve"> usage.</w:t>
            </w:r>
          </w:p>
          <w:p w14:paraId="4EC83CFF"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eastAsia="Times New Roman" w:hAnsi="Times New Roman" w:cs="Times New Roman"/>
                <w:sz w:val="18"/>
                <w:szCs w:val="18"/>
              </w:rPr>
              <w:t xml:space="preserve">Associated with reduced TTFT (univariate analysis) </w:t>
            </w:r>
            <w:r w:rsidRPr="00BE436C">
              <w:rPr>
                <w:rFonts w:ascii="Times New Roman" w:eastAsia="Times New Roman" w:hAnsi="Times New Roman" w:cs="Times New Roman"/>
                <w:sz w:val="18"/>
                <w:szCs w:val="18"/>
              </w:rPr>
              <w:fldChar w:fldCharType="begin" w:fldLock="1"/>
            </w:r>
            <w:r w:rsidRPr="00BE436C">
              <w:rPr>
                <w:rFonts w:ascii="Times New Roman" w:eastAsia="Times New Roman" w:hAnsi="Times New Roman" w:cs="Times New Roman"/>
                <w:sz w:val="18"/>
                <w:szCs w:val="18"/>
              </w:rPr>
              <w:instrText>ADDIN CSL_CITATION {"citationItems":[{"id":"ITEM-1","itemData":{"DOI":"10.1158/1078-0432.CCR-14-2759","ISSN":"15573265","PMID":"25779943","abstract":"Purpose: Mounting evidence supports the clinical significance of gene mutations and immunogenetic features in common mature B-cell malignancies.\\n\\nExperimental Design: We undertook a detailed characterization of the genetic background of splenic marginal zone lymphoma (SMZL), using targeted resequencing and explored potential clinical implications in a multinational cohort of 175 patients with SMZL.\\n\\nResults: We identified recurrent mutations in TP53 (16%), KLF2 (12%), NOTCH2 (10%), TNFAIP3 (7%), MLL2 (11%), MYD88 (7%), and ARID1A (6%), all genes known to be targeted by somatic mutation in SMZL. KLF2 mutations were early, clonal events, enriched in patients with del(7q) and IGHV1-2*04 B-cell receptor immunoglobulins, and were associated with a short median time to first treatment (0.12 vs. 1.11 years; P = 0.01). In multivariate analysis, mutations in NOTCH2 [HR, 2.12; 95% confidence interval (CI), 1.02–4.4; P = 0.044] and 100% germline IGHV gene identity (HR, 2.19; 95% CI, 1.05–4.55; P = 0.036) were independent markers of short time to first treatment, whereas TP53 mutations were an independent marker of short overall survival (HR, 2.36; 95 % CI, 1.08–5.2; P = 0.03).\\n\\nConclusions: We identify key associations between gene mutations and clinical outcome, demonstrating for the first time that NOTCH2 and TP53 gene mutations are independent markers of reduced treatment-free and overall survival, respectively. Clin Cancer Res; 21(18); 4174–83. ©2015 AACR .","author":[{"dropping-particle":"","family":"Parry","given":"Marina","non-dropping-particle":"","parse-names":false,"suffix":""},{"dropping-particle":"","family":"Rose-Zerilli","given":"Matthew J.J.","non-dropping-particle":"","parse-names":false,"suffix":""},{"dropping-particle":"","family":"Ljungström","given":"Viktor","non-dropping-particle":"","parse-names":false,"suffix":""},{"dropping-particle":"","family":"Gibson","given":"Jane","non-dropping-particle":"","parse-names":false,"suffix":""},{"dropping-particle":"","family":"Wang","given":"Jun","non-dropping-particle":"","parse-names":false,"suffix":""},{"dropping-particle":"","family":"Walewska","given":"Renata","non-dropping-particle":"","parse-names":false,"suffix":""},{"dropping-particle":"","family":"Parker","given":"Helen","non-dropping-particle":"","parse-names":false,"suffix":""},{"dropping-particle":"","family":"Parker","given":"Anton","non-dropping-particle":"","parse-names":false,"suffix":""},{"dropping-particle":"","family":"Davis","given":"Zadie","non-dropping-particle":"","parse-names":false,"suffix":""},{"dropping-particle":"","family":"Gardiner","given":"Anne","non-dropping-particle":"","parse-names":false,"suffix":""},{"dropping-particle":"","family":"McIver-Brown","given":"Neil","non-dropping-particle":"","parse-names":false,"suffix":""},{"dropping-particle":"","family":"Kalpadakis","given":"Christina","non-dropping-particle":"","parse-names":false,"suffix":""},{"dropping-particle":"","family":"Xochelli","given":"Aliki","non-dropping-particle":"","parse-names":false,"suffix":""},{"dropping-particle":"","family":"Anagnostopoulos","given":"Achilles","non-dropping-particle":"","parse-names":false,"suffix":""},{"dropping-particle":"","family":"Fazi","given":"Claudia","non-dropping-particle":"","parse-names":false,"suffix":""},{"dropping-particle":"","family":"Castro","given":"David Gonzalez","non-dropping-particle":"De","parse-names":false,"suffix":""},{"dropping-particle":"","family":"Dearden","given":"Claire","non-dropping-particle":"","parse-names":false,"suffix":""},{"dropping-particle":"","family":"Pratt","given":"Guy","non-dropping-particle":"","parse-names":false,"suffix":""},{"dropping-particle":"","family":"Rosenquist","given":"Richard","non-dropping-particle":"","parse-names":false,"suffix":""},{"dropping-particle":"","family":"Ashton-Key","given":"Margaret","non-dropping-particle":"","parse-names":false,"suffix":""},{"dropping-particle":"","family":"Forconi","given":"Francesco","non-dropping-particle":"","parse-names":false,"suffix":""},{"dropping-particle":"","family":"Collins","given":"Andrew","non-dropping-particle":"","parse-names":false,"suffix":""},{"dropping-particle":"","family":"Ghia","given":"Paolo","non-dropping-particle":"","parse-names":false,"suffix":""},{"dropping-particle":"","family":"Matutes","given":"Estella","non-dropping-particle":"","parse-names":false,"suffix":""},{"dropping-particle":"","family":"Pangalis","given":"Gerassimos","non-dropping-particle":"","parse-names":false,"suffix":""},{"dropping-particle":"","family":"Stamatopoulos","given":"Kostas","non-dropping-particle":"","parse-names":false,"suffix":""},{"dropping-particle":"","family":"Oscier","given":"David","non-dropping-particle":"","parse-names":false,"suffix":""},{"dropping-particle":"","family":"Strefford","given":"Jonathan C.","non-dropping-particle":"","parse-names":false,"suffix":""}],"container-title":"Clinical Cancer Research","id":"ITEM-1","issue":"18","issued":{"date-parts":[["2015"]]},"page":"4174-4183","title":"Genetics and prognostication in splenic marginal zone lymphoma: Revelations from deep sequencing","type":"article-journal","volume":"21"},"uris":["http://www.mendeley.com/documents/?uuid=81509c2c-3e61-4115-bfa1-3ac38fc7fb12"]}],"mendeley":{"formattedCitation":"(Parry et al., 2015)","plainTextFormattedCitation":"(Parry et al., 2015)","previouslyFormattedCitation":"(Parry et al., 2015)"},"properties":{"noteIndex":0},"schema":"https://github.com/citation-style-language/schema/raw/master/csl-citation.json"}</w:instrText>
            </w:r>
            <w:r w:rsidRPr="00BE436C">
              <w:rPr>
                <w:rFonts w:ascii="Times New Roman" w:eastAsia="Times New Roman" w:hAnsi="Times New Roman" w:cs="Times New Roman"/>
                <w:sz w:val="18"/>
                <w:szCs w:val="18"/>
              </w:rPr>
              <w:fldChar w:fldCharType="separate"/>
            </w:r>
            <w:r w:rsidRPr="00BE436C">
              <w:rPr>
                <w:rFonts w:ascii="Times New Roman" w:eastAsia="Times New Roman" w:hAnsi="Times New Roman" w:cs="Times New Roman"/>
                <w:noProof/>
                <w:sz w:val="18"/>
                <w:szCs w:val="18"/>
              </w:rPr>
              <w:t>(Parry et al., 2015)</w:t>
            </w:r>
            <w:r w:rsidRPr="00BE436C">
              <w:rPr>
                <w:rFonts w:ascii="Times New Roman" w:eastAsia="Times New Roman" w:hAnsi="Times New Roman" w:cs="Times New Roman"/>
                <w:sz w:val="18"/>
                <w:szCs w:val="18"/>
              </w:rPr>
              <w:fldChar w:fldCharType="end"/>
            </w:r>
          </w:p>
        </w:tc>
      </w:tr>
      <w:tr w:rsidR="00603D83" w:rsidRPr="00BE436C" w14:paraId="5B90B39A" w14:textId="77777777" w:rsidTr="008F7DD3">
        <w:tc>
          <w:tcPr>
            <w:cnfStyle w:val="001000000000" w:firstRow="0" w:lastRow="0" w:firstColumn="1" w:lastColumn="0" w:oddVBand="0" w:evenVBand="0" w:oddHBand="0" w:evenHBand="0" w:firstRowFirstColumn="0" w:firstRowLastColumn="0" w:lastRowFirstColumn="0" w:lastRowLastColumn="0"/>
            <w:tcW w:w="1872" w:type="dxa"/>
            <w:shd w:val="clear" w:color="auto" w:fill="F2F2F2" w:themeFill="background1" w:themeFillShade="F2"/>
          </w:tcPr>
          <w:p w14:paraId="05721BC8" w14:textId="77777777" w:rsidR="00603D83" w:rsidRPr="00BE436C" w:rsidRDefault="00603D83" w:rsidP="00002888">
            <w:pPr>
              <w:rPr>
                <w:rFonts w:ascii="Times New Roman" w:hAnsi="Times New Roman" w:cs="Times New Roman"/>
                <w:i/>
                <w:iCs/>
                <w:sz w:val="18"/>
                <w:szCs w:val="18"/>
              </w:rPr>
            </w:pPr>
            <w:r w:rsidRPr="00BE436C">
              <w:rPr>
                <w:rFonts w:ascii="Times New Roman" w:eastAsia="Times New Roman" w:hAnsi="Times New Roman" w:cs="Times New Roman"/>
                <w:i/>
                <w:iCs/>
                <w:sz w:val="18"/>
                <w:szCs w:val="18"/>
              </w:rPr>
              <w:t>NOTCH2</w:t>
            </w:r>
          </w:p>
        </w:tc>
        <w:tc>
          <w:tcPr>
            <w:tcW w:w="1872" w:type="dxa"/>
            <w:shd w:val="clear" w:color="auto" w:fill="F2F2F2" w:themeFill="background1" w:themeFillShade="F2"/>
          </w:tcPr>
          <w:p w14:paraId="05A0681B"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eastAsia="Times New Roman" w:hAnsi="Times New Roman" w:cs="Times New Roman"/>
                <w:sz w:val="18"/>
                <w:szCs w:val="18"/>
              </w:rPr>
              <w:t xml:space="preserve">10% - 25% </w:t>
            </w:r>
          </w:p>
        </w:tc>
        <w:tc>
          <w:tcPr>
            <w:tcW w:w="6457" w:type="dxa"/>
            <w:shd w:val="clear" w:color="auto" w:fill="F2F2F2" w:themeFill="background1" w:themeFillShade="F2"/>
          </w:tcPr>
          <w:p w14:paraId="75C679DF"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E436C">
              <w:rPr>
                <w:rFonts w:ascii="Times New Roman" w:eastAsia="Times New Roman" w:hAnsi="Times New Roman" w:cs="Times New Roman"/>
                <w:sz w:val="18"/>
                <w:szCs w:val="18"/>
              </w:rPr>
              <w:t>NOTCH pathway / marginal zone development</w:t>
            </w:r>
          </w:p>
          <w:p w14:paraId="5A3E4457"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E436C">
              <w:rPr>
                <w:rFonts w:ascii="Times New Roman" w:eastAsia="Times New Roman" w:hAnsi="Times New Roman" w:cs="Times New Roman"/>
                <w:sz w:val="18"/>
                <w:szCs w:val="18"/>
              </w:rPr>
              <w:t xml:space="preserve">Worse OS (univariate analysis). Associated with 7q deletions, </w:t>
            </w:r>
            <w:r w:rsidRPr="00BE436C">
              <w:rPr>
                <w:rFonts w:ascii="Times New Roman" w:eastAsia="Times New Roman" w:hAnsi="Times New Roman" w:cs="Times New Roman"/>
                <w:i/>
                <w:iCs/>
                <w:sz w:val="18"/>
                <w:szCs w:val="18"/>
              </w:rPr>
              <w:t>KLF2</w:t>
            </w:r>
            <w:r w:rsidRPr="00BE436C">
              <w:rPr>
                <w:rFonts w:ascii="Times New Roman" w:eastAsia="Times New Roman" w:hAnsi="Times New Roman" w:cs="Times New Roman"/>
                <w:sz w:val="18"/>
                <w:szCs w:val="18"/>
              </w:rPr>
              <w:t xml:space="preserve"> somatic mutations and IGHV1-02*04 usage.</w:t>
            </w:r>
          </w:p>
          <w:p w14:paraId="21D09FD7"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eastAsia="Times New Roman" w:hAnsi="Times New Roman" w:cs="Times New Roman"/>
                <w:sz w:val="18"/>
                <w:szCs w:val="18"/>
              </w:rPr>
              <w:t xml:space="preserve">Independent risk factor for TTFT (multivariate analysis) </w:t>
            </w:r>
            <w:r w:rsidRPr="00BE436C">
              <w:rPr>
                <w:rFonts w:ascii="Times New Roman" w:eastAsia="Times New Roman" w:hAnsi="Times New Roman" w:cs="Times New Roman"/>
                <w:sz w:val="18"/>
                <w:szCs w:val="18"/>
              </w:rPr>
              <w:fldChar w:fldCharType="begin" w:fldLock="1"/>
            </w:r>
            <w:r w:rsidRPr="00BE436C">
              <w:rPr>
                <w:rFonts w:ascii="Times New Roman" w:eastAsia="Times New Roman" w:hAnsi="Times New Roman" w:cs="Times New Roman"/>
                <w:sz w:val="18"/>
                <w:szCs w:val="18"/>
              </w:rPr>
              <w:instrText>ADDIN CSL_CITATION {"citationItems":[{"id":"ITEM-1","itemData":{"DOI":"10.1158/1078-0432.CCR-14-2759","ISSN":"15573265","PMID":"25779943","abstract":"Purpose: Mounting evidence supports the clinical significance of gene mutations and immunogenetic features in common mature B-cell malignancies.\\n\\nExperimental Design: We undertook a detailed characterization of the genetic background of splenic marginal zone lymphoma (SMZL), using targeted resequencing and explored potential clinical implications in a multinational cohort of 175 patients with SMZL.\\n\\nResults: We identified recurrent mutations in TP53 (16%), KLF2 (12%), NOTCH2 (10%), TNFAIP3 (7%), MLL2 (11%), MYD88 (7%), and ARID1A (6%), all genes known to be targeted by somatic mutation in SMZL. KLF2 mutations were early, clonal events, enriched in patients with del(7q) and IGHV1-2*04 B-cell receptor immunoglobulins, and were associated with a short median time to first treatment (0.12 vs. 1.11 years; P = 0.01). In multivariate analysis, mutations in NOTCH2 [HR, 2.12; 95% confidence interval (CI), 1.02–4.4; P = 0.044] and 100% germline IGHV gene identity (HR, 2.19; 95% CI, 1.05–4.55; P = 0.036) were independent markers of short time to first treatment, whereas TP53 mutations were an independent marker of short overall survival (HR, 2.36; 95 % CI, 1.08–5.2; P = 0.03).\\n\\nConclusions: We identify key associations between gene mutations and clinical outcome, demonstrating for the first time that NOTCH2 and TP53 gene mutations are independent markers of reduced treatment-free and overall survival, respectively. Clin Cancer Res; 21(18); 4174–83. ©2015 AACR .","author":[{"dropping-particle":"","family":"Parry","given":"Marina","non-dropping-particle":"","parse-names":false,"suffix":""},{"dropping-particle":"","family":"Rose-Zerilli","given":"Matthew J.J.","non-dropping-particle":"","parse-names":false,"suffix":""},{"dropping-particle":"","family":"Ljungström","given":"Viktor","non-dropping-particle":"","parse-names":false,"suffix":""},{"dropping-particle":"","family":"Gibson","given":"Jane","non-dropping-particle":"","parse-names":false,"suffix":""},{"dropping-particle":"","family":"Wang","given":"Jun","non-dropping-particle":"","parse-names":false,"suffix":""},{"dropping-particle":"","family":"Walewska","given":"Renata","non-dropping-particle":"","parse-names":false,"suffix":""},{"dropping-particle":"","family":"Parker","given":"Helen","non-dropping-particle":"","parse-names":false,"suffix":""},{"dropping-particle":"","family":"Parker","given":"Anton","non-dropping-particle":"","parse-names":false,"suffix":""},{"dropping-particle":"","family":"Davis","given":"Zadie","non-dropping-particle":"","parse-names":false,"suffix":""},{"dropping-particle":"","family":"Gardiner","given":"Anne","non-dropping-particle":"","parse-names":false,"suffix":""},{"dropping-particle":"","family":"McIver-Brown","given":"Neil","non-dropping-particle":"","parse-names":false,"suffix":""},{"dropping-particle":"","family":"Kalpadakis","given":"Christina","non-dropping-particle":"","parse-names":false,"suffix":""},{"dropping-particle":"","family":"Xochelli","given":"Aliki","non-dropping-particle":"","parse-names":false,"suffix":""},{"dropping-particle":"","family":"Anagnostopoulos","given":"Achilles","non-dropping-particle":"","parse-names":false,"suffix":""},{"dropping-particle":"","family":"Fazi","given":"Claudia","non-dropping-particle":"","parse-names":false,"suffix":""},{"dropping-particle":"","family":"Castro","given":"David Gonzalez","non-dropping-particle":"De","parse-names":false,"suffix":""},{"dropping-particle":"","family":"Dearden","given":"Claire","non-dropping-particle":"","parse-names":false,"suffix":""},{"dropping-particle":"","family":"Pratt","given":"Guy","non-dropping-particle":"","parse-names":false,"suffix":""},{"dropping-particle":"","family":"Rosenquist","given":"Richard","non-dropping-particle":"","parse-names":false,"suffix":""},{"dropping-particle":"","family":"Ashton-Key","given":"Margaret","non-dropping-particle":"","parse-names":false,"suffix":""},{"dropping-particle":"","family":"Forconi","given":"Francesco","non-dropping-particle":"","parse-names":false,"suffix":""},{"dropping-particle":"","family":"Collins","given":"Andrew","non-dropping-particle":"","parse-names":false,"suffix":""},{"dropping-particle":"","family":"Ghia","given":"Paolo","non-dropping-particle":"","parse-names":false,"suffix":""},{"dropping-particle":"","family":"Matutes","given":"Estella","non-dropping-particle":"","parse-names":false,"suffix":""},{"dropping-particle":"","family":"Pangalis","given":"Gerassimos","non-dropping-particle":"","parse-names":false,"suffix":""},{"dropping-particle":"","family":"Stamatopoulos","given":"Kostas","non-dropping-particle":"","parse-names":false,"suffix":""},{"dropping-particle":"","family":"Oscier","given":"David","non-dropping-particle":"","parse-names":false,"suffix":""},{"dropping-particle":"","family":"Strefford","given":"Jonathan C.","non-dropping-particle":"","parse-names":false,"suffix":""}],"container-title":"Clinical Cancer Research","id":"ITEM-1","issue":"18","issued":{"date-parts":[["2015"]]},"page":"4174-4183","title":"Genetics and prognostication in splenic marginal zone lymphoma: Revelations from deep sequencing","type":"article-journal","volume":"21"},"uris":["http://www.mendeley.com/documents/?uuid=81509c2c-3e61-4115-bfa1-3ac38fc7fb12"]}],"mendeley":{"formattedCitation":"(Parry et al., 2015)","plainTextFormattedCitation":"(Parry et al., 2015)","previouslyFormattedCitation":"(Parry et al., 2015)"},"properties":{"noteIndex":0},"schema":"https://github.com/citation-style-language/schema/raw/master/csl-citation.json"}</w:instrText>
            </w:r>
            <w:r w:rsidRPr="00BE436C">
              <w:rPr>
                <w:rFonts w:ascii="Times New Roman" w:eastAsia="Times New Roman" w:hAnsi="Times New Roman" w:cs="Times New Roman"/>
                <w:sz w:val="18"/>
                <w:szCs w:val="18"/>
              </w:rPr>
              <w:fldChar w:fldCharType="separate"/>
            </w:r>
            <w:r w:rsidRPr="00BE436C">
              <w:rPr>
                <w:rFonts w:ascii="Times New Roman" w:eastAsia="Times New Roman" w:hAnsi="Times New Roman" w:cs="Times New Roman"/>
                <w:noProof/>
                <w:sz w:val="18"/>
                <w:szCs w:val="18"/>
              </w:rPr>
              <w:t>(Parry et al., 2015)</w:t>
            </w:r>
            <w:r w:rsidRPr="00BE436C">
              <w:rPr>
                <w:rFonts w:ascii="Times New Roman" w:eastAsia="Times New Roman" w:hAnsi="Times New Roman" w:cs="Times New Roman"/>
                <w:sz w:val="18"/>
                <w:szCs w:val="18"/>
              </w:rPr>
              <w:fldChar w:fldCharType="end"/>
            </w:r>
          </w:p>
        </w:tc>
      </w:tr>
      <w:tr w:rsidR="00603D83" w:rsidRPr="00BE436C" w14:paraId="538C83AD" w14:textId="77777777" w:rsidTr="00002888">
        <w:tc>
          <w:tcPr>
            <w:cnfStyle w:val="001000000000" w:firstRow="0" w:lastRow="0" w:firstColumn="1" w:lastColumn="0" w:oddVBand="0" w:evenVBand="0" w:oddHBand="0" w:evenHBand="0" w:firstRowFirstColumn="0" w:firstRowLastColumn="0" w:lastRowFirstColumn="0" w:lastRowLastColumn="0"/>
            <w:tcW w:w="1872" w:type="dxa"/>
          </w:tcPr>
          <w:p w14:paraId="5946F322" w14:textId="77777777" w:rsidR="00603D83" w:rsidRPr="00BE436C" w:rsidRDefault="00603D83" w:rsidP="00002888">
            <w:pPr>
              <w:rPr>
                <w:rFonts w:ascii="Times New Roman" w:hAnsi="Times New Roman" w:cs="Times New Roman"/>
                <w:i/>
                <w:iCs/>
                <w:sz w:val="18"/>
                <w:szCs w:val="18"/>
              </w:rPr>
            </w:pPr>
            <w:r w:rsidRPr="00BE436C">
              <w:rPr>
                <w:rFonts w:ascii="Times New Roman" w:eastAsia="Times New Roman" w:hAnsi="Times New Roman" w:cs="Times New Roman"/>
                <w:i/>
                <w:iCs/>
                <w:sz w:val="18"/>
                <w:szCs w:val="18"/>
              </w:rPr>
              <w:lastRenderedPageBreak/>
              <w:t>TP53</w:t>
            </w:r>
          </w:p>
        </w:tc>
        <w:tc>
          <w:tcPr>
            <w:tcW w:w="1872" w:type="dxa"/>
          </w:tcPr>
          <w:p w14:paraId="11EA578A"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eastAsia="Times New Roman" w:hAnsi="Times New Roman" w:cs="Times New Roman"/>
                <w:sz w:val="18"/>
                <w:szCs w:val="18"/>
              </w:rPr>
              <w:t>~ 15 %</w:t>
            </w:r>
          </w:p>
        </w:tc>
        <w:tc>
          <w:tcPr>
            <w:tcW w:w="6457" w:type="dxa"/>
          </w:tcPr>
          <w:p w14:paraId="662D0A18"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E436C">
              <w:rPr>
                <w:rFonts w:ascii="Times New Roman" w:eastAsia="Times New Roman" w:hAnsi="Times New Roman" w:cs="Times New Roman"/>
                <w:sz w:val="18"/>
                <w:szCs w:val="18"/>
              </w:rPr>
              <w:t>Cell cycle control / genome maintenance</w:t>
            </w:r>
          </w:p>
          <w:p w14:paraId="68E92710"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E436C">
              <w:rPr>
                <w:rFonts w:ascii="Times New Roman" w:eastAsia="Times New Roman" w:hAnsi="Times New Roman" w:cs="Times New Roman"/>
                <w:sz w:val="18"/>
                <w:szCs w:val="18"/>
              </w:rPr>
              <w:t xml:space="preserve">Associated with shorter EFS in univariate analysis but is an independent risk factor for OS (multivariate analysis) </w:t>
            </w:r>
            <w:r w:rsidRPr="00BE436C">
              <w:rPr>
                <w:rFonts w:ascii="Times New Roman" w:eastAsia="Times New Roman" w:hAnsi="Times New Roman" w:cs="Times New Roman"/>
                <w:sz w:val="18"/>
                <w:szCs w:val="18"/>
              </w:rPr>
              <w:fldChar w:fldCharType="begin" w:fldLock="1"/>
            </w:r>
            <w:r w:rsidRPr="00BE436C">
              <w:rPr>
                <w:rFonts w:ascii="Times New Roman" w:eastAsia="Times New Roman" w:hAnsi="Times New Roman" w:cs="Times New Roman"/>
                <w:sz w:val="18"/>
                <w:szCs w:val="18"/>
              </w:rPr>
              <w:instrText>ADDIN CSL_CITATION {"citationItems":[{"id":"ITEM-1","itemData":{"DOI":"10.1158/1078-0432.CCR-14-2759","ISSN":"15573265","PMID":"25779943","abstract":"Purpose: Mounting evidence supports the clinical significance of gene mutations and immunogenetic features in common mature B-cell malignancies.\\n\\nExperimental Design: We undertook a detailed characterization of the genetic background of splenic marginal zone lymphoma (SMZL), using targeted resequencing and explored potential clinical implications in a multinational cohort of 175 patients with SMZL.\\n\\nResults: We identified recurrent mutations in TP53 (16%), KLF2 (12%), NOTCH2 (10%), TNFAIP3 (7%), MLL2 (11%), MYD88 (7%), and ARID1A (6%), all genes known to be targeted by somatic mutation in SMZL. KLF2 mutations were early, clonal events, enriched in patients with del(7q) and IGHV1-2*04 B-cell receptor immunoglobulins, and were associated with a short median time to first treatment (0.12 vs. 1.11 years; P = 0.01). In multivariate analysis, mutations in NOTCH2 [HR, 2.12; 95% confidence interval (CI), 1.02–4.4; P = 0.044] and 100% germline IGHV gene identity (HR, 2.19; 95% CI, 1.05–4.55; P = 0.036) were independent markers of short time to first treatment, whereas TP53 mutations were an independent marker of short overall survival (HR, 2.36; 95 % CI, 1.08–5.2; P = 0.03).\\n\\nConclusions: We identify key associations between gene mutations and clinical outcome, demonstrating for the first time that NOTCH2 and TP53 gene mutations are independent markers of reduced treatment-free and overall survival, respectively. Clin Cancer Res; 21(18); 4174–83. ©2015 AACR .","author":[{"dropping-particle":"","family":"Parry","given":"Marina","non-dropping-particle":"","parse-names":false,"suffix":""},{"dropping-particle":"","family":"Rose-Zerilli","given":"Matthew J.J.","non-dropping-particle":"","parse-names":false,"suffix":""},{"dropping-particle":"","family":"Ljungström","given":"Viktor","non-dropping-particle":"","parse-names":false,"suffix":""},{"dropping-particle":"","family":"Gibson","given":"Jane","non-dropping-particle":"","parse-names":false,"suffix":""},{"dropping-particle":"","family":"Wang","given":"Jun","non-dropping-particle":"","parse-names":false,"suffix":""},{"dropping-particle":"","family":"Walewska","given":"Renata","non-dropping-particle":"","parse-names":false,"suffix":""},{"dropping-particle":"","family":"Parker","given":"Helen","non-dropping-particle":"","parse-names":false,"suffix":""},{"dropping-particle":"","family":"Parker","given":"Anton","non-dropping-particle":"","parse-names":false,"suffix":""},{"dropping-particle":"","family":"Davis","given":"Zadie","non-dropping-particle":"","parse-names":false,"suffix":""},{"dropping-particle":"","family":"Gardiner","given":"Anne","non-dropping-particle":"","parse-names":false,"suffix":""},{"dropping-particle":"","family":"McIver-Brown","given":"Neil","non-dropping-particle":"","parse-names":false,"suffix":""},{"dropping-particle":"","family":"Kalpadakis","given":"Christina","non-dropping-particle":"","parse-names":false,"suffix":""},{"dropping-particle":"","family":"Xochelli","given":"Aliki","non-dropping-particle":"","parse-names":false,"suffix":""},{"dropping-particle":"","family":"Anagnostopoulos","given":"Achilles","non-dropping-particle":"","parse-names":false,"suffix":""},{"dropping-particle":"","family":"Fazi","given":"Claudia","non-dropping-particle":"","parse-names":false,"suffix":""},{"dropping-particle":"","family":"Castro","given":"David Gonzalez","non-dropping-particle":"De","parse-names":false,"suffix":""},{"dropping-particle":"","family":"Dearden","given":"Claire","non-dropping-particle":"","parse-names":false,"suffix":""},{"dropping-particle":"","family":"Pratt","given":"Guy","non-dropping-particle":"","parse-names":false,"suffix":""},{"dropping-particle":"","family":"Rosenquist","given":"Richard","non-dropping-particle":"","parse-names":false,"suffix":""},{"dropping-particle":"","family":"Ashton-Key","given":"Margaret","non-dropping-particle":"","parse-names":false,"suffix":""},{"dropping-particle":"","family":"Forconi","given":"Francesco","non-dropping-particle":"","parse-names":false,"suffix":""},{"dropping-particle":"","family":"Collins","given":"Andrew","non-dropping-particle":"","parse-names":false,"suffix":""},{"dropping-particle":"","family":"Ghia","given":"Paolo","non-dropping-particle":"","parse-names":false,"suffix":""},{"dropping-particle":"","family":"Matutes","given":"Estella","non-dropping-particle":"","parse-names":false,"suffix":""},{"dropping-particle":"","family":"Pangalis","given":"Gerassimos","non-dropping-particle":"","parse-names":false,"suffix":""},{"dropping-particle":"","family":"Stamatopoulos","given":"Kostas","non-dropping-particle":"","parse-names":false,"suffix":""},{"dropping-particle":"","family":"Oscier","given":"David","non-dropping-particle":"","parse-names":false,"suffix":""},{"dropping-particle":"","family":"Strefford","given":"Jonathan C.","non-dropping-particle":"","parse-names":false,"suffix":""}],"container-title":"Clinical Cancer Research","id":"ITEM-1","issue":"18","issued":{"date-parts":[["2015"]]},"page":"4174-4183","title":"Genetics and prognostication in splenic marginal zone lymphoma: Revelations from deep sequencing","type":"article-journal","volume":"21"},"uris":["http://www.mendeley.com/documents/?uuid=81509c2c-3e61-4115-bfa1-3ac38fc7fb12"]},{"id":"ITEM-2","itemData":{"DOI":"10.1111/j.1365-2141.2012.09226.x","ISSN":"00071048","abstract":"Using high-resolution genomic microarray analysis, a distinct genomic profile was defined in 114 samples from patients with splenic marginal zone lymphoma (SMZL). Deletion or uniparental disomy of chromosome 7q were detected in 42 of 114 (37%) SMZLs but in only nine of 170 (5%) mature B-cell lymphomas (P &lt; 0·00001). The presence of unmutated IGHV, genomic complexity, 17p13-TP53 deletion and 8q-MYC gain, but not 7q deletion, correlated with shorter overall survival of SMZL patients. Mapping studies narrowed down a commonly deleted region of 2·7 Mb in 7q32.1-q32.2 spanning a region between the SND1 and COPG2 genes. High-throughput sequencing analysis of the 7q32-deleted segment did not identify biallelic deletions/insertions or clear pathogenic gene mutations, but detected six nucleotide changes in IRF5 (n = 2), TMEM209 (n = 2), CALU (n = 1) and ZC3HC1 (n = 1) not found in healthy individuals. Comparative expression analysis found a fourfold down-regulation of IRF5 gene in lymphomas with 7q32 deletion versus non-deleted tumours (P = 0·032). Ectopic expression of IRF5 in marginal-zone lymphoma cells decreased proliferation and increased apoptosis in vitro, and impaired lymphoma development in vivo. These results show that cryptic deletions, insertions and/or point mutations inactivating genes within 7q32 are not common in SMZL, and suggest that IRF5 may be a haploinsufficient tumour suppressor in this lymphoma entity.","author":[{"dropping-particle":"","family":"Fresquet","given":"Vicente","non-dropping-particle":"","parse-names":false,"suffix":""},{"dropping-particle":"","family":"Robles","given":"Eloy F.","non-dropping-particle":"","parse-names":false,"suffix":""},{"dropping-particle":"","family":"Parker","given":"Anton","non-dropping-particle":"","parse-names":false,"suffix":""},{"dropping-particle":"","family":"Martinez-Useros","given":"Javier","non-dropping-particle":"","parse-names":false,"suffix":""},{"dropping-particle":"","family":"Mena","given":"Maria","non-dropping-particle":"","parse-names":false,"suffix":""},{"dropping-particle":"","family":"Malumbres","given":"Raquel","non-dropping-particle":"","parse-names":false,"suffix":""},{"dropping-particle":"","family":"Agirre","given":"Xabier","non-dropping-particle":"","parse-names":false,"suffix":""},{"dropping-particle":"","family":"Catarino","given":"Susana","non-dropping-particle":"","parse-names":false,"suffix":""},{"dropping-particle":"","family":"Arteta","given":"David","non-dropping-particle":"","parse-names":false,"suffix":""},{"dropping-particle":"","family":"Osaba","given":"Lourdes","non-dropping-particle":"","parse-names":false,"suffix":""},{"dropping-particle":"","family":"Mollejo","given":"Manuela","non-dropping-particle":"","parse-names":false,"suffix":""},{"dropping-particle":"","family":"Hernandez-Rivas","given":"Jesus M.","non-dropping-particle":"","parse-names":false,"suffix":""},{"dropping-particle":"","family":"Calasanz","given":"Maria Jose","non-dropping-particle":"","parse-names":false,"suffix":""},{"dropping-particle":"","family":"Daibata","given":"Masanori","non-dropping-particle":"","parse-names":false,"suffix":""},{"dropping-particle":"","family":"Dyer","given":"Martin J.S.","non-dropping-particle":"","parse-names":false,"suffix":""},{"dropping-particle":"","family":"Prosper","given":"Felipe","non-dropping-particle":"","parse-names":false,"suffix":""},{"dropping-particle":"","family":"Vizcarra","given":"Esperanza","non-dropping-particle":"","parse-names":false,"suffix":""},{"dropping-particle":"","family":"Piris","given":"Miguel Ángel","non-dropping-particle":"","parse-names":false,"suffix":""},{"dropping-particle":"","family":"Oscier","given":"David","non-dropping-particle":"","parse-names":false,"suffix":""},{"dropping-particle":"","family":"Martinez-Climent","given":"Jose Angel","non-dropping-particle":"","parse-names":false,"suffix":""}],"container-title":"British Journal of Haematology","id":"ITEM-2","issue":"6","issued":{"date-parts":[["2012"]]},"page":"712-726","title":"High-throughput sequencing analysis of the chromosome 7q32 deletion reveals IRF5 as a potential tumour suppressor in splenic marginal-zone lymphoma","type":"article-journal","volume":"158"},"uris":["http://www.mendeley.com/documents/?uuid=2714e14e-698f-4333-abde-22b2781ab808"]}],"mendeley":{"formattedCitation":"(Fresquet et al., 2012; Parry et al., 2015)","plainTextFormattedCitation":"(Fresquet et al., 2012; Parry et al., 2015)","previouslyFormattedCitation":"(Fresquet et al., 2012; Parry et al., 2015)"},"properties":{"noteIndex":0},"schema":"https://github.com/citation-style-language/schema/raw/master/csl-citation.json"}</w:instrText>
            </w:r>
            <w:r w:rsidRPr="00BE436C">
              <w:rPr>
                <w:rFonts w:ascii="Times New Roman" w:eastAsia="Times New Roman" w:hAnsi="Times New Roman" w:cs="Times New Roman"/>
                <w:sz w:val="18"/>
                <w:szCs w:val="18"/>
              </w:rPr>
              <w:fldChar w:fldCharType="separate"/>
            </w:r>
            <w:r w:rsidRPr="00BE436C">
              <w:rPr>
                <w:rFonts w:ascii="Times New Roman" w:eastAsia="Times New Roman" w:hAnsi="Times New Roman" w:cs="Times New Roman"/>
                <w:noProof/>
                <w:sz w:val="18"/>
                <w:szCs w:val="18"/>
              </w:rPr>
              <w:t>(Fresquet et al., 2012; Parry et al., 2015)</w:t>
            </w:r>
            <w:r w:rsidRPr="00BE436C">
              <w:rPr>
                <w:rFonts w:ascii="Times New Roman" w:eastAsia="Times New Roman" w:hAnsi="Times New Roman" w:cs="Times New Roman"/>
                <w:sz w:val="18"/>
                <w:szCs w:val="18"/>
              </w:rPr>
              <w:fldChar w:fldCharType="end"/>
            </w:r>
          </w:p>
        </w:tc>
      </w:tr>
      <w:tr w:rsidR="00603D83" w:rsidRPr="00BE436C" w14:paraId="2E9AA05D" w14:textId="77777777" w:rsidTr="008F7DD3">
        <w:tc>
          <w:tcPr>
            <w:cnfStyle w:val="001000000000" w:firstRow="0" w:lastRow="0" w:firstColumn="1" w:lastColumn="0" w:oddVBand="0" w:evenVBand="0" w:oddHBand="0" w:evenHBand="0" w:firstRowFirstColumn="0" w:firstRowLastColumn="0" w:lastRowFirstColumn="0" w:lastRowLastColumn="0"/>
            <w:tcW w:w="1872" w:type="dxa"/>
            <w:shd w:val="clear" w:color="auto" w:fill="F2F2F2" w:themeFill="background1" w:themeFillShade="F2"/>
          </w:tcPr>
          <w:p w14:paraId="50A46F25" w14:textId="77777777" w:rsidR="00603D83" w:rsidRPr="00BE436C" w:rsidRDefault="00603D83" w:rsidP="00002888">
            <w:pPr>
              <w:rPr>
                <w:rFonts w:ascii="Times New Roman" w:hAnsi="Times New Roman" w:cs="Times New Roman"/>
                <w:i/>
                <w:iCs/>
                <w:sz w:val="18"/>
                <w:szCs w:val="18"/>
              </w:rPr>
            </w:pPr>
            <w:r w:rsidRPr="00BE436C">
              <w:rPr>
                <w:rFonts w:ascii="Times New Roman" w:eastAsia="Times New Roman" w:hAnsi="Times New Roman" w:cs="Times New Roman"/>
                <w:i/>
                <w:iCs/>
                <w:sz w:val="18"/>
                <w:szCs w:val="18"/>
              </w:rPr>
              <w:t>TNFAIP3</w:t>
            </w:r>
          </w:p>
        </w:tc>
        <w:tc>
          <w:tcPr>
            <w:tcW w:w="1872" w:type="dxa"/>
            <w:shd w:val="clear" w:color="auto" w:fill="F2F2F2" w:themeFill="background1" w:themeFillShade="F2"/>
          </w:tcPr>
          <w:p w14:paraId="4F48BC7A"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eastAsia="Times New Roman" w:hAnsi="Times New Roman" w:cs="Times New Roman"/>
                <w:sz w:val="18"/>
                <w:szCs w:val="18"/>
              </w:rPr>
              <w:t>7% - 15%</w:t>
            </w:r>
          </w:p>
        </w:tc>
        <w:tc>
          <w:tcPr>
            <w:tcW w:w="6457" w:type="dxa"/>
            <w:shd w:val="clear" w:color="auto" w:fill="F2F2F2" w:themeFill="background1" w:themeFillShade="F2"/>
          </w:tcPr>
          <w:p w14:paraId="34736C96"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E436C">
              <w:rPr>
                <w:rFonts w:ascii="Times New Roman" w:eastAsia="Times New Roman" w:hAnsi="Times New Roman" w:cs="Times New Roman"/>
                <w:sz w:val="18"/>
                <w:szCs w:val="18"/>
              </w:rPr>
              <w:t>Canonical NF-</w:t>
            </w:r>
            <w:proofErr w:type="spellStart"/>
            <w:r w:rsidRPr="00BE436C">
              <w:rPr>
                <w:rFonts w:ascii="Times New Roman" w:eastAsia="Times New Roman" w:hAnsi="Times New Roman" w:cs="Times New Roman"/>
                <w:sz w:val="18"/>
                <w:szCs w:val="18"/>
              </w:rPr>
              <w:t>ĸB</w:t>
            </w:r>
            <w:proofErr w:type="spellEnd"/>
            <w:r w:rsidRPr="00BE436C">
              <w:rPr>
                <w:rFonts w:ascii="Times New Roman" w:eastAsia="Times New Roman" w:hAnsi="Times New Roman" w:cs="Times New Roman"/>
                <w:sz w:val="18"/>
                <w:szCs w:val="18"/>
              </w:rPr>
              <w:t xml:space="preserve"> signaling / MZ differentiation </w:t>
            </w:r>
          </w:p>
          <w:p w14:paraId="4B198F48"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eastAsia="Times New Roman" w:hAnsi="Times New Roman" w:cs="Times New Roman"/>
                <w:sz w:val="18"/>
                <w:szCs w:val="18"/>
              </w:rPr>
              <w:t xml:space="preserve">Higher frequency in small number of transformed cases </w:t>
            </w:r>
            <w:r w:rsidRPr="00BE436C">
              <w:rPr>
                <w:rFonts w:ascii="Times New Roman" w:eastAsia="Times New Roman" w:hAnsi="Times New Roman" w:cs="Times New Roman"/>
                <w:sz w:val="18"/>
                <w:szCs w:val="18"/>
              </w:rPr>
              <w:fldChar w:fldCharType="begin" w:fldLock="1"/>
            </w:r>
            <w:r w:rsidRPr="00BE436C">
              <w:rPr>
                <w:rFonts w:ascii="Times New Roman" w:eastAsia="Times New Roman" w:hAnsi="Times New Roman" w:cs="Times New Roman"/>
                <w:sz w:val="18"/>
                <w:szCs w:val="18"/>
              </w:rPr>
              <w:instrText>ADDIN CSL_CITATION {"citationItems":[{"id":"ITEM-1","itemData":{"DOI":"10.1158/1078-0432.CCR-14-2759","ISSN":"15573265","PMID":"25779943","abstract":"Purpose: Mounting evidence supports the clinical significance of gene mutations and immunogenetic features in common mature B-cell malignancies.\\n\\nExperimental Design: We undertook a detailed characterization of the genetic background of splenic marginal zone lymphoma (SMZL), using targeted resequencing and explored potential clinical implications in a multinational cohort of 175 patients with SMZL.\\n\\nResults: We identified recurrent mutations in TP53 (16%), KLF2 (12%), NOTCH2 (10%), TNFAIP3 (7%), MLL2 (11%), MYD88 (7%), and ARID1A (6%), all genes known to be targeted by somatic mutation in SMZL. KLF2 mutations were early, clonal events, enriched in patients with del(7q) and IGHV1-2*04 B-cell receptor immunoglobulins, and were associated with a short median time to first treatment (0.12 vs. 1.11 years; P = 0.01). In multivariate analysis, mutations in NOTCH2 [HR, 2.12; 95% confidence interval (CI), 1.02–4.4; P = 0.044] and 100% germline IGHV gene identity (HR, 2.19; 95% CI, 1.05–4.55; P = 0.036) were independent markers of short time to first treatment, whereas TP53 mutations were an independent marker of short overall survival (HR, 2.36; 95 % CI, 1.08–5.2; P = 0.03).\\n\\nConclusions: We identify key associations between gene mutations and clinical outcome, demonstrating for the first time that NOTCH2 and TP53 gene mutations are independent markers of reduced treatment-free and overall survival, respectively. Clin Cancer Res; 21(18); 4174–83. ©2015 AACR .","author":[{"dropping-particle":"","family":"Parry","given":"Marina","non-dropping-particle":"","parse-names":false,"suffix":""},{"dropping-particle":"","family":"Rose-Zerilli","given":"Matthew J.J.","non-dropping-particle":"","parse-names":false,"suffix":""},{"dropping-particle":"","family":"Ljungström","given":"Viktor","non-dropping-particle":"","parse-names":false,"suffix":""},{"dropping-particle":"","family":"Gibson","given":"Jane","non-dropping-particle":"","parse-names":false,"suffix":""},{"dropping-particle":"","family":"Wang","given":"Jun","non-dropping-particle":"","parse-names":false,"suffix":""},{"dropping-particle":"","family":"Walewska","given":"Renata","non-dropping-particle":"","parse-names":false,"suffix":""},{"dropping-particle":"","family":"Parker","given":"Helen","non-dropping-particle":"","parse-names":false,"suffix":""},{"dropping-particle":"","family":"Parker","given":"Anton","non-dropping-particle":"","parse-names":false,"suffix":""},{"dropping-particle":"","family":"Davis","given":"Zadie","non-dropping-particle":"","parse-names":false,"suffix":""},{"dropping-particle":"","family":"Gardiner","given":"Anne","non-dropping-particle":"","parse-names":false,"suffix":""},{"dropping-particle":"","family":"McIver-Brown","given":"Neil","non-dropping-particle":"","parse-names":false,"suffix":""},{"dropping-particle":"","family":"Kalpadakis","given":"Christina","non-dropping-particle":"","parse-names":false,"suffix":""},{"dropping-particle":"","family":"Xochelli","given":"Aliki","non-dropping-particle":"","parse-names":false,"suffix":""},{"dropping-particle":"","family":"Anagnostopoulos","given":"Achilles","non-dropping-particle":"","parse-names":false,"suffix":""},{"dropping-particle":"","family":"Fazi","given":"Claudia","non-dropping-particle":"","parse-names":false,"suffix":""},{"dropping-particle":"","family":"Castro","given":"David Gonzalez","non-dropping-particle":"De","parse-names":false,"suffix":""},{"dropping-particle":"","family":"Dearden","given":"Claire","non-dropping-particle":"","parse-names":false,"suffix":""},{"dropping-particle":"","family":"Pratt","given":"Guy","non-dropping-particle":"","parse-names":false,"suffix":""},{"dropping-particle":"","family":"Rosenquist","given":"Richard","non-dropping-particle":"","parse-names":false,"suffix":""},{"dropping-particle":"","family":"Ashton-Key","given":"Margaret","non-dropping-particle":"","parse-names":false,"suffix":""},{"dropping-particle":"","family":"Forconi","given":"Francesco","non-dropping-particle":"","parse-names":false,"suffix":""},{"dropping-particle":"","family":"Collins","given":"Andrew","non-dropping-particle":"","parse-names":false,"suffix":""},{"dropping-particle":"","family":"Ghia","given":"Paolo","non-dropping-particle":"","parse-names":false,"suffix":""},{"dropping-particle":"","family":"Matutes","given":"Estella","non-dropping-particle":"","parse-names":false,"suffix":""},{"dropping-particle":"","family":"Pangalis","given":"Gerassimos","non-dropping-particle":"","parse-names":false,"suffix":""},{"dropping-particle":"","family":"Stamatopoulos","given":"Kostas","non-dropping-particle":"","parse-names":false,"suffix":""},{"dropping-particle":"","family":"Oscier","given":"David","non-dropping-particle":"","parse-names":false,"suffix":""},{"dropping-particle":"","family":"Strefford","given":"Jonathan C.","non-dropping-particle":"","parse-names":false,"suffix":""}],"container-title":"Clinical Cancer Research","id":"ITEM-1","issue":"18","issued":{"date-parts":[["2015"]]},"page":"4174-4183","title":"Genetics and prognostication in splenic marginal zone lymphoma: Revelations from deep sequencing","type":"article-journal","volume":"21"},"uris":["http://www.mendeley.com/documents/?uuid=81509c2c-3e61-4115-bfa1-3ac38fc7fb12"]}],"mendeley":{"formattedCitation":"(Parry et al., 2015)","plainTextFormattedCitation":"(Parry et al., 2015)","previouslyFormattedCitation":"(Parry et al., 2015)"},"properties":{"noteIndex":0},"schema":"https://github.com/citation-style-language/schema/raw/master/csl-citation.json"}</w:instrText>
            </w:r>
            <w:r w:rsidRPr="00BE436C">
              <w:rPr>
                <w:rFonts w:ascii="Times New Roman" w:eastAsia="Times New Roman" w:hAnsi="Times New Roman" w:cs="Times New Roman"/>
                <w:sz w:val="18"/>
                <w:szCs w:val="18"/>
              </w:rPr>
              <w:fldChar w:fldCharType="separate"/>
            </w:r>
            <w:r w:rsidRPr="00BE436C">
              <w:rPr>
                <w:rFonts w:ascii="Times New Roman" w:eastAsia="Times New Roman" w:hAnsi="Times New Roman" w:cs="Times New Roman"/>
                <w:noProof/>
                <w:sz w:val="18"/>
                <w:szCs w:val="18"/>
              </w:rPr>
              <w:t>(Parry et al., 2015)</w:t>
            </w:r>
            <w:r w:rsidRPr="00BE436C">
              <w:rPr>
                <w:rFonts w:ascii="Times New Roman" w:eastAsia="Times New Roman" w:hAnsi="Times New Roman" w:cs="Times New Roman"/>
                <w:sz w:val="18"/>
                <w:szCs w:val="18"/>
              </w:rPr>
              <w:fldChar w:fldCharType="end"/>
            </w:r>
          </w:p>
        </w:tc>
      </w:tr>
      <w:tr w:rsidR="00603D83" w:rsidRPr="00BE436C" w14:paraId="19D06ADD" w14:textId="77777777" w:rsidTr="00002888">
        <w:tc>
          <w:tcPr>
            <w:cnfStyle w:val="001000000000" w:firstRow="0" w:lastRow="0" w:firstColumn="1" w:lastColumn="0" w:oddVBand="0" w:evenVBand="0" w:oddHBand="0" w:evenHBand="0" w:firstRowFirstColumn="0" w:firstRowLastColumn="0" w:lastRowFirstColumn="0" w:lastRowLastColumn="0"/>
            <w:tcW w:w="1872" w:type="dxa"/>
          </w:tcPr>
          <w:p w14:paraId="7D06D624" w14:textId="77777777" w:rsidR="00603D83" w:rsidRPr="00BE436C" w:rsidRDefault="00603D83" w:rsidP="00002888">
            <w:pPr>
              <w:rPr>
                <w:rFonts w:ascii="Times New Roman" w:hAnsi="Times New Roman" w:cs="Times New Roman"/>
                <w:i/>
                <w:iCs/>
                <w:sz w:val="18"/>
                <w:szCs w:val="18"/>
              </w:rPr>
            </w:pPr>
            <w:r w:rsidRPr="00BE436C">
              <w:rPr>
                <w:rFonts w:ascii="Times New Roman" w:eastAsia="Times New Roman" w:hAnsi="Times New Roman" w:cs="Times New Roman"/>
                <w:i/>
                <w:iCs/>
                <w:sz w:val="18"/>
                <w:szCs w:val="18"/>
              </w:rPr>
              <w:t>MYD88</w:t>
            </w:r>
          </w:p>
        </w:tc>
        <w:tc>
          <w:tcPr>
            <w:tcW w:w="1872" w:type="dxa"/>
          </w:tcPr>
          <w:p w14:paraId="0A52126D"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eastAsia="Times New Roman" w:hAnsi="Times New Roman" w:cs="Times New Roman"/>
                <w:sz w:val="18"/>
                <w:szCs w:val="18"/>
              </w:rPr>
              <w:t>5% - 15%</w:t>
            </w:r>
          </w:p>
        </w:tc>
        <w:tc>
          <w:tcPr>
            <w:tcW w:w="6457" w:type="dxa"/>
          </w:tcPr>
          <w:p w14:paraId="09999014"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E436C">
              <w:rPr>
                <w:rFonts w:ascii="Times New Roman" w:eastAsia="Times New Roman" w:hAnsi="Times New Roman" w:cs="Times New Roman"/>
                <w:sz w:val="18"/>
                <w:szCs w:val="18"/>
              </w:rPr>
              <w:t>TLR and BCR signaling / MZ differentiation and Toll Like receptor signaling</w:t>
            </w:r>
          </w:p>
          <w:p w14:paraId="633916BF"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E436C">
              <w:rPr>
                <w:rFonts w:ascii="Times New Roman" w:eastAsia="Times New Roman" w:hAnsi="Times New Roman" w:cs="Times New Roman"/>
                <w:sz w:val="18"/>
                <w:szCs w:val="18"/>
              </w:rPr>
              <w:t xml:space="preserve">Somatic mutations associated with longer OS in univariate analysis </w:t>
            </w:r>
            <w:r w:rsidRPr="00BE436C">
              <w:rPr>
                <w:rFonts w:ascii="Times New Roman" w:eastAsia="Times New Roman" w:hAnsi="Times New Roman" w:cs="Times New Roman"/>
                <w:sz w:val="18"/>
                <w:szCs w:val="18"/>
              </w:rPr>
              <w:fldChar w:fldCharType="begin" w:fldLock="1"/>
            </w:r>
            <w:r w:rsidRPr="00BE436C">
              <w:rPr>
                <w:rFonts w:ascii="Times New Roman" w:eastAsia="Times New Roman" w:hAnsi="Times New Roman" w:cs="Times New Roman"/>
                <w:sz w:val="18"/>
                <w:szCs w:val="18"/>
              </w:rPr>
              <w:instrText>ADDIN CSL_CITATION {"citationItems":[{"id":"ITEM-1","itemData":{"DOI":"10.1158/1078-0432.CCR-14-2759","ISSN":"15573265","PMID":"25779943","abstract":"Purpose: Mounting evidence supports the clinical significance of gene mutations and immunogenetic features in common mature B-cell malignancies.\\n\\nExperimental Design: We undertook a detailed characterization of the genetic background of splenic marginal zone lymphoma (SMZL), using targeted resequencing and explored potential clinical implications in a multinational cohort of 175 patients with SMZL.\\n\\nResults: We identified recurrent mutations in TP53 (16%), KLF2 (12%), NOTCH2 (10%), TNFAIP3 (7%), MLL2 (11%), MYD88 (7%), and ARID1A (6%), all genes known to be targeted by somatic mutation in SMZL. KLF2 mutations were early, clonal events, enriched in patients with del(7q) and IGHV1-2*04 B-cell receptor immunoglobulins, and were associated with a short median time to first treatment (0.12 vs. 1.11 years; P = 0.01). In multivariate analysis, mutations in NOTCH2 [HR, 2.12; 95% confidence interval (CI), 1.02–4.4; P = 0.044] and 100% germline IGHV gene identity (HR, 2.19; 95% CI, 1.05–4.55; P = 0.036) were independent markers of short time to first treatment, whereas TP53 mutations were an independent marker of short overall survival (HR, 2.36; 95 % CI, 1.08–5.2; P = 0.03).\\n\\nConclusions: We identify key associations between gene mutations and clinical outcome, demonstrating for the first time that NOTCH2 and TP53 gene mutations are independent markers of reduced treatment-free and overall survival, respectively. Clin Cancer Res; 21(18); 4174–83. ©2015 AACR .","author":[{"dropping-particle":"","family":"Parry","given":"Marina","non-dropping-particle":"","parse-names":false,"suffix":""},{"dropping-particle":"","family":"Rose-Zerilli","given":"Matthew J.J.","non-dropping-particle":"","parse-names":false,"suffix":""},{"dropping-particle":"","family":"Ljungström","given":"Viktor","non-dropping-particle":"","parse-names":false,"suffix":""},{"dropping-particle":"","family":"Gibson","given":"Jane","non-dropping-particle":"","parse-names":false,"suffix":""},{"dropping-particle":"","family":"Wang","given":"Jun","non-dropping-particle":"","parse-names":false,"suffix":""},{"dropping-particle":"","family":"Walewska","given":"Renata","non-dropping-particle":"","parse-names":false,"suffix":""},{"dropping-particle":"","family":"Parker","given":"Helen","non-dropping-particle":"","parse-names":false,"suffix":""},{"dropping-particle":"","family":"Parker","given":"Anton","non-dropping-particle":"","parse-names":false,"suffix":""},{"dropping-particle":"","family":"Davis","given":"Zadie","non-dropping-particle":"","parse-names":false,"suffix":""},{"dropping-particle":"","family":"Gardiner","given":"Anne","non-dropping-particle":"","parse-names":false,"suffix":""},{"dropping-particle":"","family":"McIver-Brown","given":"Neil","non-dropping-particle":"","parse-names":false,"suffix":""},{"dropping-particle":"","family":"Kalpadakis","given":"Christina","non-dropping-particle":"","parse-names":false,"suffix":""},{"dropping-particle":"","family":"Xochelli","given":"Aliki","non-dropping-particle":"","parse-names":false,"suffix":""},{"dropping-particle":"","family":"Anagnostopoulos","given":"Achilles","non-dropping-particle":"","parse-names":false,"suffix":""},{"dropping-particle":"","family":"Fazi","given":"Claudia","non-dropping-particle":"","parse-names":false,"suffix":""},{"dropping-particle":"","family":"Castro","given":"David Gonzalez","non-dropping-particle":"De","parse-names":false,"suffix":""},{"dropping-particle":"","family":"Dearden","given":"Claire","non-dropping-particle":"","parse-names":false,"suffix":""},{"dropping-particle":"","family":"Pratt","given":"Guy","non-dropping-particle":"","parse-names":false,"suffix":""},{"dropping-particle":"","family":"Rosenquist","given":"Richard","non-dropping-particle":"","parse-names":false,"suffix":""},{"dropping-particle":"","family":"Ashton-Key","given":"Margaret","non-dropping-particle":"","parse-names":false,"suffix":""},{"dropping-particle":"","family":"Forconi","given":"Francesco","non-dropping-particle":"","parse-names":false,"suffix":""},{"dropping-particle":"","family":"Collins","given":"Andrew","non-dropping-particle":"","parse-names":false,"suffix":""},{"dropping-particle":"","family":"Ghia","given":"Paolo","non-dropping-particle":"","parse-names":false,"suffix":""},{"dropping-particle":"","family":"Matutes","given":"Estella","non-dropping-particle":"","parse-names":false,"suffix":""},{"dropping-particle":"","family":"Pangalis","given":"Gerassimos","non-dropping-particle":"","parse-names":false,"suffix":""},{"dropping-particle":"","family":"Stamatopoulos","given":"Kostas","non-dropping-particle":"","parse-names":false,"suffix":""},{"dropping-particle":"","family":"Oscier","given":"David","non-dropping-particle":"","parse-names":false,"suffix":""},{"dropping-particle":"","family":"Strefford","given":"Jonathan C.","non-dropping-particle":"","parse-names":false,"suffix":""}],"container-title":"Clinical Cancer Research","id":"ITEM-1","issue":"18","issued":{"date-parts":[["2015"]]},"page":"4174-4183","title":"Genetics and prognostication in splenic marginal zone lymphoma: Revelations from deep sequencing","type":"article-journal","volume":"21"},"uris":["http://www.mendeley.com/documents/?uuid=81509c2c-3e61-4115-bfa1-3ac38fc7fb12"]}],"mendeley":{"formattedCitation":"(Parry et al., 2015)","plainTextFormattedCitation":"(Parry et al., 2015)","previouslyFormattedCitation":"(Parry et al., 2015)"},"properties":{"noteIndex":0},"schema":"https://github.com/citation-style-language/schema/raw/master/csl-citation.json"}</w:instrText>
            </w:r>
            <w:r w:rsidRPr="00BE436C">
              <w:rPr>
                <w:rFonts w:ascii="Times New Roman" w:eastAsia="Times New Roman" w:hAnsi="Times New Roman" w:cs="Times New Roman"/>
                <w:sz w:val="18"/>
                <w:szCs w:val="18"/>
              </w:rPr>
              <w:fldChar w:fldCharType="separate"/>
            </w:r>
            <w:r w:rsidRPr="00BE436C">
              <w:rPr>
                <w:rFonts w:ascii="Times New Roman" w:eastAsia="Times New Roman" w:hAnsi="Times New Roman" w:cs="Times New Roman"/>
                <w:noProof/>
                <w:sz w:val="18"/>
                <w:szCs w:val="18"/>
              </w:rPr>
              <w:t>(Parry et al., 2015)</w:t>
            </w:r>
            <w:r w:rsidRPr="00BE436C">
              <w:rPr>
                <w:rFonts w:ascii="Times New Roman" w:eastAsia="Times New Roman" w:hAnsi="Times New Roman" w:cs="Times New Roman"/>
                <w:sz w:val="18"/>
                <w:szCs w:val="18"/>
              </w:rPr>
              <w:fldChar w:fldCharType="end"/>
            </w:r>
          </w:p>
          <w:p w14:paraId="202A822B" w14:textId="187C2B9D"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eastAsia="Times New Roman" w:hAnsi="Times New Roman" w:cs="Times New Roman"/>
                <w:sz w:val="18"/>
                <w:szCs w:val="18"/>
              </w:rPr>
              <w:t xml:space="preserve">Mutually exclusive to 7q deletion, </w:t>
            </w:r>
            <w:r w:rsidRPr="00BE436C">
              <w:rPr>
                <w:rFonts w:ascii="Times New Roman" w:eastAsia="Times New Roman" w:hAnsi="Times New Roman" w:cs="Times New Roman"/>
                <w:i/>
                <w:iCs/>
                <w:sz w:val="18"/>
                <w:szCs w:val="18"/>
              </w:rPr>
              <w:t>KLF2</w:t>
            </w:r>
            <w:r w:rsidRPr="00BE436C">
              <w:rPr>
                <w:rFonts w:ascii="Times New Roman" w:eastAsia="Times New Roman" w:hAnsi="Times New Roman" w:cs="Times New Roman"/>
                <w:sz w:val="18"/>
                <w:szCs w:val="18"/>
              </w:rPr>
              <w:t xml:space="preserve"> somatic mutations and </w:t>
            </w:r>
            <w:r w:rsidRPr="00BE436C">
              <w:rPr>
                <w:rFonts w:ascii="Times New Roman" w:eastAsia="Times New Roman" w:hAnsi="Times New Roman" w:cs="Times New Roman"/>
                <w:i/>
                <w:iCs/>
                <w:sz w:val="18"/>
                <w:szCs w:val="18"/>
              </w:rPr>
              <w:t>IGHV1-02*04</w:t>
            </w:r>
            <w:r w:rsidRPr="00BE436C">
              <w:rPr>
                <w:rFonts w:ascii="Times New Roman" w:eastAsia="Times New Roman" w:hAnsi="Times New Roman" w:cs="Times New Roman"/>
                <w:sz w:val="18"/>
                <w:szCs w:val="18"/>
              </w:rPr>
              <w:t xml:space="preserve"> usage </w:t>
            </w:r>
            <w:r w:rsidRPr="00BE436C">
              <w:rPr>
                <w:rFonts w:ascii="Times New Roman" w:eastAsia="Times New Roman" w:hAnsi="Times New Roman" w:cs="Times New Roman"/>
                <w:sz w:val="18"/>
                <w:szCs w:val="18"/>
              </w:rPr>
              <w:fldChar w:fldCharType="begin" w:fldLock="1"/>
            </w:r>
            <w:r w:rsidR="00623D62">
              <w:rPr>
                <w:rFonts w:ascii="Times New Roman" w:eastAsia="Times New Roman" w:hAnsi="Times New Roman" w:cs="Times New Roman"/>
                <w:sz w:val="18"/>
                <w:szCs w:val="18"/>
              </w:rPr>
              <w:instrText>ADDIN CSL_CITATION {"citationItems":[{"id":"ITEM-1","itemData":{"DOI":"10.1158/1078-0432.CCR-14-2759","ISSN":"15573265","PMID":"25779943","abstract":"Purpose: Mounting evidence supports the clinical significance of gene mutations and immunogenetic features in common mature B-cell malignancies.\\n\\nExperimental Design: We undertook a detailed characterization of the genetic background of splenic marginal zone lymphoma (SMZL), using targeted resequencing and explored potential clinical implications in a multinational cohort of 175 patients with SMZL.\\n\\nResults: We identified recurrent mutations in TP53 (16%), KLF2 (12%), NOTCH2 (10%), TNFAIP3 (7%), MLL2 (11%), MYD88 (7%), and ARID1A (6%), all genes known to be targeted by somatic mutation in SMZL. KLF2 mutations were early, clonal events, enriched in patients with del(7q) and IGHV1-2*04 B-cell receptor immunoglobulins, and were associated with a short median time to first treatment (0.12 vs. 1.11 years; P = 0.01). In multivariate analysis, mutations in NOTCH2 [HR, 2.12; 95% confidence interval (CI), 1.02–4.4; P = 0.044] and 100% germline IGHV gene identity (HR, 2.19; 95% CI, 1.05–4.55; P = 0.036) were independent markers of short time to first treatment, whereas TP53 mutations were an independent marker of short overall survival (HR, 2.36; 95 % CI, 1.08–5.2; P = 0.03).\\n\\nConclusions: We identify key associations between gene mutations and clinical outcome, demonstrating for the first time that NOTCH2 and TP53 gene mutations are independent markers of reduced treatment-free and overall survival, respectively. Clin Cancer Res; 21(18); 4174–83. ©2015 AACR .","author":[{"dropping-particle":"","family":"Parry","given":"Marina","non-dropping-particle":"","parse-names":false,"suffix":""},{"dropping-particle":"","family":"Rose-Zerilli","given":"Matthew J.J.","non-dropping-particle":"","parse-names":false,"suffix":""},{"dropping-particle":"","family":"Ljungström","given":"Viktor","non-dropping-particle":"","parse-names":false,"suffix":""},{"dropping-particle":"","family":"Gibson","given":"Jane","non-dropping-particle":"","parse-names":false,"suffix":""},{"dropping-particle":"","family":"Wang","given":"Jun","non-dropping-particle":"","parse-names":false,"suffix":""},{"dropping-particle":"","family":"Walewska","given":"Renata","non-dropping-particle":"","parse-names":false,"suffix":""},{"dropping-particle":"","family":"Parker","given":"Helen","non-dropping-particle":"","parse-names":false,"suffix":""},{"dropping-particle":"","family":"Parker","given":"Anton","non-dropping-particle":"","parse-names":false,"suffix":""},{"dropping-particle":"","family":"Davis","given":"Zadie","non-dropping-particle":"","parse-names":false,"suffix":""},{"dropping-particle":"","family":"Gardiner","given":"Anne","non-dropping-particle":"","parse-names":false,"suffix":""},{"dropping-particle":"","family":"McIver-Brown","given":"Neil","non-dropping-particle":"","parse-names":false,"suffix":""},{"dropping-particle":"","family":"Kalpadakis","given":"Christina","non-dropping-particle":"","parse-names":false,"suffix":""},{"dropping-particle":"","family":"Xochelli","given":"Aliki","non-dropping-particle":"","parse-names":false,"suffix":""},{"dropping-particle":"","family":"Anagnostopoulos","given":"Achilles","non-dropping-particle":"","parse-names":false,"suffix":""},{"dropping-particle":"","family":"Fazi","given":"Claudia","non-dropping-particle":"","parse-names":false,"suffix":""},{"dropping-particle":"","family":"Castro","given":"David Gonzalez","non-dropping-particle":"De","parse-names":false,"suffix":""},{"dropping-particle":"","family":"Dearden","given":"Claire","non-dropping-particle":"","parse-names":false,"suffix":""},{"dropping-particle":"","family":"Pratt","given":"Guy","non-dropping-particle":"","parse-names":false,"suffix":""},{"dropping-particle":"","family":"Rosenquist","given":"Richard","non-dropping-particle":"","parse-names":false,"suffix":""},{"dropping-particle":"","family":"Ashton-Key","given":"Margaret","non-dropping-particle":"","parse-names":false,"suffix":""},{"dropping-particle":"","family":"Forconi","given":"Francesco","non-dropping-particle":"","parse-names":false,"suffix":""},{"dropping-particle":"","family":"Collins","given":"Andrew","non-dropping-particle":"","parse-names":false,"suffix":""},{"dropping-particle":"","family":"Ghia","given":"Paolo","non-dropping-particle":"","parse-names":false,"suffix":""},{"dropping-particle":"","family":"Matutes","given":"Estella","non-dropping-particle":"","parse-names":false,"suffix":""},{"dropping-particle":"","family":"Pangalis","given":"Gerassimos","non-dropping-particle":"","parse-names":false,"suffix":""},{"dropping-particle":"","family":"Stamatopoulos","given":"Kostas","non-dropping-particle":"","parse-names":false,"suffix":""},{"dropping-particle":"","family":"Oscier","given":"David","non-dropping-particle":"","parse-names":false,"suffix":""},{"dropping-particle":"","family":"Strefford","given":"Jonathan C.","non-dropping-particle":"","parse-names":false,"suffix":""}],"container-title":"Clinical Cancer Research","id":"ITEM-1","issue":"18","issued":{"date-parts":[["2015"]]},"page":"4174-4183","title":"Genetics and prognostication in splenic marginal zone lymphoma: Revelations from deep sequencing","type":"article-journal","volume":"21"},"uris":["http://www.mendeley.com/documents/?uuid=81509c2c-3e61-4115-bfa1-3ac38fc7fb12"]}],"mendeley":{"formattedCitation":"(Parry et al., 2015)","plainTextFormattedCitation":"(Parry et al., 2015)","previouslyFormattedCitation":"(Parry et al., 2015)"},"properties":{"noteIndex":0},"schema":"https://github.com/citation-style-language/schema/raw/master/csl-citation.json"}</w:instrText>
            </w:r>
            <w:r w:rsidRPr="00BE436C">
              <w:rPr>
                <w:rFonts w:ascii="Times New Roman" w:eastAsia="Times New Roman" w:hAnsi="Times New Roman" w:cs="Times New Roman"/>
                <w:sz w:val="18"/>
                <w:szCs w:val="18"/>
              </w:rPr>
              <w:fldChar w:fldCharType="separate"/>
            </w:r>
            <w:r w:rsidRPr="00BE436C">
              <w:rPr>
                <w:rFonts w:ascii="Times New Roman" w:eastAsia="Times New Roman" w:hAnsi="Times New Roman" w:cs="Times New Roman"/>
                <w:noProof/>
                <w:sz w:val="18"/>
                <w:szCs w:val="18"/>
              </w:rPr>
              <w:t>(Parry et al., 2015)</w:t>
            </w:r>
            <w:r w:rsidRPr="00BE436C">
              <w:rPr>
                <w:rFonts w:ascii="Times New Roman" w:eastAsia="Times New Roman" w:hAnsi="Times New Roman" w:cs="Times New Roman"/>
                <w:sz w:val="18"/>
                <w:szCs w:val="18"/>
              </w:rPr>
              <w:fldChar w:fldCharType="end"/>
            </w:r>
          </w:p>
        </w:tc>
      </w:tr>
      <w:tr w:rsidR="00603D83" w:rsidRPr="00BE436C" w14:paraId="085C4E40" w14:textId="77777777" w:rsidTr="008F7DD3">
        <w:tc>
          <w:tcPr>
            <w:cnfStyle w:val="001000000000" w:firstRow="0" w:lastRow="0" w:firstColumn="1" w:lastColumn="0" w:oddVBand="0" w:evenVBand="0" w:oddHBand="0" w:evenHBand="0" w:firstRowFirstColumn="0" w:firstRowLastColumn="0" w:lastRowFirstColumn="0" w:lastRowLastColumn="0"/>
            <w:tcW w:w="1872" w:type="dxa"/>
            <w:shd w:val="clear" w:color="auto" w:fill="F2F2F2" w:themeFill="background1" w:themeFillShade="F2"/>
          </w:tcPr>
          <w:p w14:paraId="6BA05F73" w14:textId="77777777" w:rsidR="00603D83" w:rsidRPr="00BE436C" w:rsidRDefault="00603D83" w:rsidP="00002888">
            <w:pPr>
              <w:rPr>
                <w:rFonts w:ascii="Times New Roman" w:hAnsi="Times New Roman" w:cs="Times New Roman"/>
                <w:i/>
                <w:iCs/>
                <w:sz w:val="18"/>
                <w:szCs w:val="18"/>
              </w:rPr>
            </w:pPr>
            <w:r w:rsidRPr="00BE436C">
              <w:rPr>
                <w:rFonts w:ascii="Times New Roman" w:eastAsia="Times New Roman" w:hAnsi="Times New Roman" w:cs="Times New Roman"/>
                <w:i/>
                <w:iCs/>
                <w:sz w:val="18"/>
                <w:szCs w:val="18"/>
              </w:rPr>
              <w:t>KMT2D</w:t>
            </w:r>
          </w:p>
        </w:tc>
        <w:tc>
          <w:tcPr>
            <w:tcW w:w="1872" w:type="dxa"/>
            <w:shd w:val="clear" w:color="auto" w:fill="F2F2F2" w:themeFill="background1" w:themeFillShade="F2"/>
          </w:tcPr>
          <w:p w14:paraId="027A9D57"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eastAsia="Times New Roman" w:hAnsi="Times New Roman" w:cs="Times New Roman"/>
                <w:sz w:val="18"/>
                <w:szCs w:val="18"/>
              </w:rPr>
              <w:t>11% - 15%</w:t>
            </w:r>
          </w:p>
        </w:tc>
        <w:tc>
          <w:tcPr>
            <w:tcW w:w="6457" w:type="dxa"/>
            <w:shd w:val="clear" w:color="auto" w:fill="F2F2F2" w:themeFill="background1" w:themeFillShade="F2"/>
          </w:tcPr>
          <w:p w14:paraId="34F2CF13"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E436C">
              <w:rPr>
                <w:rFonts w:ascii="Times New Roman" w:eastAsia="Times New Roman" w:hAnsi="Times New Roman" w:cs="Times New Roman"/>
                <w:sz w:val="18"/>
                <w:szCs w:val="18"/>
              </w:rPr>
              <w:t xml:space="preserve">Chromatin remodeling – H3K4 methylation </w:t>
            </w:r>
          </w:p>
          <w:p w14:paraId="61FED5C8"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eastAsia="Times New Roman" w:hAnsi="Times New Roman" w:cs="Times New Roman"/>
                <w:sz w:val="18"/>
                <w:szCs w:val="18"/>
              </w:rPr>
              <w:t>High prevalence in other lymphomas particularly FL and DLBCL.</w:t>
            </w:r>
          </w:p>
        </w:tc>
      </w:tr>
      <w:tr w:rsidR="00603D83" w:rsidRPr="00BE436C" w14:paraId="61FEC91C" w14:textId="77777777" w:rsidTr="00002888">
        <w:tc>
          <w:tcPr>
            <w:cnfStyle w:val="001000000000" w:firstRow="0" w:lastRow="0" w:firstColumn="1" w:lastColumn="0" w:oddVBand="0" w:evenVBand="0" w:oddHBand="0" w:evenHBand="0" w:firstRowFirstColumn="0" w:firstRowLastColumn="0" w:lastRowFirstColumn="0" w:lastRowLastColumn="0"/>
            <w:tcW w:w="1872" w:type="dxa"/>
          </w:tcPr>
          <w:p w14:paraId="583292A3" w14:textId="77777777" w:rsidR="00603D83" w:rsidRPr="00BE436C" w:rsidRDefault="00603D83" w:rsidP="00002888">
            <w:pPr>
              <w:rPr>
                <w:rFonts w:ascii="Times New Roman" w:hAnsi="Times New Roman" w:cs="Times New Roman"/>
                <w:i/>
                <w:iCs/>
                <w:sz w:val="18"/>
                <w:szCs w:val="18"/>
              </w:rPr>
            </w:pPr>
            <w:r w:rsidRPr="00BE436C">
              <w:rPr>
                <w:rFonts w:ascii="Times New Roman" w:eastAsia="Times New Roman" w:hAnsi="Times New Roman" w:cs="Times New Roman"/>
                <w:i/>
                <w:iCs/>
                <w:sz w:val="18"/>
                <w:szCs w:val="18"/>
              </w:rPr>
              <w:t>TRAF3</w:t>
            </w:r>
          </w:p>
        </w:tc>
        <w:tc>
          <w:tcPr>
            <w:tcW w:w="1872" w:type="dxa"/>
          </w:tcPr>
          <w:p w14:paraId="2730698F"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eastAsia="Times New Roman" w:hAnsi="Times New Roman" w:cs="Times New Roman"/>
                <w:sz w:val="18"/>
                <w:szCs w:val="18"/>
              </w:rPr>
              <w:t>~8%</w:t>
            </w:r>
          </w:p>
        </w:tc>
        <w:tc>
          <w:tcPr>
            <w:tcW w:w="6457" w:type="dxa"/>
          </w:tcPr>
          <w:p w14:paraId="074E4D79"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eastAsia="Times New Roman" w:hAnsi="Times New Roman" w:cs="Times New Roman"/>
                <w:sz w:val="18"/>
                <w:szCs w:val="18"/>
              </w:rPr>
              <w:t>Non canonical NF-</w:t>
            </w:r>
            <w:proofErr w:type="spellStart"/>
            <w:r w:rsidRPr="00BE436C">
              <w:rPr>
                <w:rFonts w:ascii="Times New Roman" w:eastAsia="Times New Roman" w:hAnsi="Times New Roman" w:cs="Times New Roman"/>
                <w:sz w:val="18"/>
                <w:szCs w:val="18"/>
              </w:rPr>
              <w:t>ĸB</w:t>
            </w:r>
            <w:proofErr w:type="spellEnd"/>
            <w:r w:rsidRPr="00BE436C">
              <w:rPr>
                <w:rFonts w:ascii="Times New Roman" w:eastAsia="Times New Roman" w:hAnsi="Times New Roman" w:cs="Times New Roman"/>
                <w:sz w:val="18"/>
                <w:szCs w:val="18"/>
              </w:rPr>
              <w:t xml:space="preserve"> signaling / marginal zone B-cell development</w:t>
            </w:r>
          </w:p>
        </w:tc>
      </w:tr>
      <w:tr w:rsidR="00603D83" w:rsidRPr="00BE436C" w14:paraId="3D2DC532" w14:textId="77777777" w:rsidTr="008F7DD3">
        <w:tc>
          <w:tcPr>
            <w:cnfStyle w:val="001000000000" w:firstRow="0" w:lastRow="0" w:firstColumn="1" w:lastColumn="0" w:oddVBand="0" w:evenVBand="0" w:oddHBand="0" w:evenHBand="0" w:firstRowFirstColumn="0" w:firstRowLastColumn="0" w:lastRowFirstColumn="0" w:lastRowLastColumn="0"/>
            <w:tcW w:w="1872" w:type="dxa"/>
            <w:shd w:val="clear" w:color="auto" w:fill="F2F2F2" w:themeFill="background1" w:themeFillShade="F2"/>
          </w:tcPr>
          <w:p w14:paraId="0676332F" w14:textId="77777777" w:rsidR="00603D83" w:rsidRPr="00BE436C" w:rsidRDefault="00603D83" w:rsidP="00002888">
            <w:pPr>
              <w:rPr>
                <w:rFonts w:ascii="Times New Roman" w:hAnsi="Times New Roman" w:cs="Times New Roman"/>
                <w:i/>
                <w:iCs/>
                <w:sz w:val="18"/>
                <w:szCs w:val="18"/>
              </w:rPr>
            </w:pPr>
            <w:r w:rsidRPr="00BE436C">
              <w:rPr>
                <w:rFonts w:ascii="Times New Roman" w:eastAsia="Times New Roman" w:hAnsi="Times New Roman" w:cs="Times New Roman"/>
                <w:i/>
                <w:iCs/>
                <w:sz w:val="18"/>
                <w:szCs w:val="18"/>
              </w:rPr>
              <w:t>BIRC3</w:t>
            </w:r>
          </w:p>
        </w:tc>
        <w:tc>
          <w:tcPr>
            <w:tcW w:w="1872" w:type="dxa"/>
            <w:shd w:val="clear" w:color="auto" w:fill="F2F2F2" w:themeFill="background1" w:themeFillShade="F2"/>
          </w:tcPr>
          <w:p w14:paraId="7F9636C9"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eastAsia="Times New Roman" w:hAnsi="Times New Roman" w:cs="Times New Roman"/>
                <w:sz w:val="18"/>
                <w:szCs w:val="18"/>
              </w:rPr>
              <w:t>5% -11%</w:t>
            </w:r>
          </w:p>
        </w:tc>
        <w:tc>
          <w:tcPr>
            <w:tcW w:w="6457" w:type="dxa"/>
            <w:shd w:val="clear" w:color="auto" w:fill="F2F2F2" w:themeFill="background1" w:themeFillShade="F2"/>
          </w:tcPr>
          <w:p w14:paraId="40C0BD5F"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eastAsia="Times New Roman" w:hAnsi="Times New Roman" w:cs="Times New Roman"/>
                <w:sz w:val="18"/>
                <w:szCs w:val="18"/>
              </w:rPr>
              <w:t>Non canonical NF-</w:t>
            </w:r>
            <w:proofErr w:type="spellStart"/>
            <w:r w:rsidRPr="00BE436C">
              <w:rPr>
                <w:rFonts w:ascii="Times New Roman" w:eastAsia="Times New Roman" w:hAnsi="Times New Roman" w:cs="Times New Roman"/>
                <w:sz w:val="18"/>
                <w:szCs w:val="18"/>
              </w:rPr>
              <w:t>ĸB</w:t>
            </w:r>
            <w:proofErr w:type="spellEnd"/>
            <w:r w:rsidRPr="00BE436C">
              <w:rPr>
                <w:rFonts w:ascii="Times New Roman" w:eastAsia="Times New Roman" w:hAnsi="Times New Roman" w:cs="Times New Roman"/>
                <w:sz w:val="18"/>
                <w:szCs w:val="18"/>
              </w:rPr>
              <w:t xml:space="preserve"> signaling / marginal zone B-cell development</w:t>
            </w:r>
          </w:p>
        </w:tc>
      </w:tr>
      <w:tr w:rsidR="00603D83" w:rsidRPr="00BE436C" w14:paraId="11909608" w14:textId="77777777" w:rsidTr="00002888">
        <w:tc>
          <w:tcPr>
            <w:cnfStyle w:val="001000000000" w:firstRow="0" w:lastRow="0" w:firstColumn="1" w:lastColumn="0" w:oddVBand="0" w:evenVBand="0" w:oddHBand="0" w:evenHBand="0" w:firstRowFirstColumn="0" w:firstRowLastColumn="0" w:lastRowFirstColumn="0" w:lastRowLastColumn="0"/>
            <w:tcW w:w="1872" w:type="dxa"/>
          </w:tcPr>
          <w:p w14:paraId="1FF2E748" w14:textId="77777777" w:rsidR="00603D83" w:rsidRPr="00BE436C" w:rsidRDefault="00603D83" w:rsidP="00002888">
            <w:pPr>
              <w:rPr>
                <w:rFonts w:ascii="Times New Roman" w:hAnsi="Times New Roman" w:cs="Times New Roman"/>
                <w:i/>
                <w:iCs/>
                <w:sz w:val="18"/>
                <w:szCs w:val="18"/>
              </w:rPr>
            </w:pPr>
            <w:r w:rsidRPr="00BE436C">
              <w:rPr>
                <w:rFonts w:ascii="Times New Roman" w:eastAsia="Times New Roman" w:hAnsi="Times New Roman" w:cs="Times New Roman"/>
                <w:i/>
                <w:iCs/>
                <w:sz w:val="18"/>
                <w:szCs w:val="18"/>
              </w:rPr>
              <w:t>NOTCH1</w:t>
            </w:r>
          </w:p>
        </w:tc>
        <w:tc>
          <w:tcPr>
            <w:tcW w:w="1872" w:type="dxa"/>
          </w:tcPr>
          <w:p w14:paraId="449F8002"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eastAsia="Times New Roman" w:hAnsi="Times New Roman" w:cs="Times New Roman"/>
                <w:sz w:val="18"/>
                <w:szCs w:val="18"/>
              </w:rPr>
              <w:t>~ 5%</w:t>
            </w:r>
          </w:p>
        </w:tc>
        <w:tc>
          <w:tcPr>
            <w:tcW w:w="6457" w:type="dxa"/>
          </w:tcPr>
          <w:p w14:paraId="35FEB82D" w14:textId="730DCA3D"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E436C">
              <w:rPr>
                <w:rFonts w:ascii="Times New Roman" w:eastAsia="Times New Roman" w:hAnsi="Times New Roman" w:cs="Times New Roman"/>
                <w:sz w:val="18"/>
                <w:szCs w:val="18"/>
              </w:rPr>
              <w:t>N</w:t>
            </w:r>
            <w:r w:rsidR="0045684B">
              <w:rPr>
                <w:rFonts w:ascii="Times New Roman" w:eastAsia="Times New Roman" w:hAnsi="Times New Roman" w:cs="Times New Roman"/>
                <w:sz w:val="18"/>
                <w:szCs w:val="18"/>
              </w:rPr>
              <w:t>otch</w:t>
            </w:r>
            <w:r w:rsidRPr="00BE436C">
              <w:rPr>
                <w:rFonts w:ascii="Times New Roman" w:eastAsia="Times New Roman" w:hAnsi="Times New Roman" w:cs="Times New Roman"/>
                <w:sz w:val="18"/>
                <w:szCs w:val="18"/>
              </w:rPr>
              <w:t xml:space="preserve"> pathway / marginal zone B-cell development</w:t>
            </w:r>
          </w:p>
          <w:p w14:paraId="07EC5BF6"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E436C">
              <w:rPr>
                <w:rFonts w:ascii="Times New Roman" w:eastAsia="Times New Roman" w:hAnsi="Times New Roman" w:cs="Times New Roman"/>
                <w:sz w:val="18"/>
                <w:szCs w:val="18"/>
              </w:rPr>
              <w:t>Recurrently mutated in CLL where truncation of the PEST domain causes constitutive Notch activation</w:t>
            </w:r>
          </w:p>
        </w:tc>
      </w:tr>
      <w:tr w:rsidR="00603D83" w:rsidRPr="00BE436C" w14:paraId="6A6E4084" w14:textId="77777777" w:rsidTr="008F7DD3">
        <w:tc>
          <w:tcPr>
            <w:cnfStyle w:val="001000000000" w:firstRow="0" w:lastRow="0" w:firstColumn="1" w:lastColumn="0" w:oddVBand="0" w:evenVBand="0" w:oddHBand="0" w:evenHBand="0" w:firstRowFirstColumn="0" w:firstRowLastColumn="0" w:lastRowFirstColumn="0" w:lastRowLastColumn="0"/>
            <w:tcW w:w="1872" w:type="dxa"/>
            <w:shd w:val="clear" w:color="auto" w:fill="F2F2F2" w:themeFill="background1" w:themeFillShade="F2"/>
          </w:tcPr>
          <w:p w14:paraId="72D86414" w14:textId="77777777" w:rsidR="00603D83" w:rsidRPr="00BE436C" w:rsidRDefault="00603D83" w:rsidP="00002888">
            <w:pPr>
              <w:rPr>
                <w:rFonts w:ascii="Times New Roman" w:hAnsi="Times New Roman" w:cs="Times New Roman"/>
                <w:i/>
                <w:iCs/>
                <w:sz w:val="18"/>
                <w:szCs w:val="18"/>
              </w:rPr>
            </w:pPr>
            <w:r w:rsidRPr="00BE436C">
              <w:rPr>
                <w:rFonts w:ascii="Times New Roman" w:eastAsia="Times New Roman" w:hAnsi="Times New Roman" w:cs="Times New Roman"/>
                <w:i/>
                <w:iCs/>
                <w:sz w:val="18"/>
                <w:szCs w:val="18"/>
              </w:rPr>
              <w:t>SPEN</w:t>
            </w:r>
          </w:p>
        </w:tc>
        <w:tc>
          <w:tcPr>
            <w:tcW w:w="1872" w:type="dxa"/>
            <w:shd w:val="clear" w:color="auto" w:fill="F2F2F2" w:themeFill="background1" w:themeFillShade="F2"/>
          </w:tcPr>
          <w:p w14:paraId="728455CA"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eastAsia="Times New Roman" w:hAnsi="Times New Roman" w:cs="Times New Roman"/>
                <w:sz w:val="18"/>
                <w:szCs w:val="18"/>
              </w:rPr>
              <w:t>~5%</w:t>
            </w:r>
          </w:p>
        </w:tc>
        <w:tc>
          <w:tcPr>
            <w:tcW w:w="6457" w:type="dxa"/>
            <w:shd w:val="clear" w:color="auto" w:fill="F2F2F2" w:themeFill="background1" w:themeFillShade="F2"/>
          </w:tcPr>
          <w:p w14:paraId="59DC1068" w14:textId="4CAA9512"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E436C">
              <w:rPr>
                <w:rFonts w:ascii="Times New Roman" w:eastAsia="Times New Roman" w:hAnsi="Times New Roman" w:cs="Times New Roman"/>
                <w:sz w:val="18"/>
                <w:szCs w:val="18"/>
              </w:rPr>
              <w:t>N</w:t>
            </w:r>
            <w:r w:rsidR="0045684B">
              <w:rPr>
                <w:rFonts w:ascii="Times New Roman" w:eastAsia="Times New Roman" w:hAnsi="Times New Roman" w:cs="Times New Roman"/>
                <w:sz w:val="18"/>
                <w:szCs w:val="18"/>
              </w:rPr>
              <w:t>otch pathway</w:t>
            </w:r>
            <w:r w:rsidRPr="00BE436C">
              <w:rPr>
                <w:rFonts w:ascii="Times New Roman" w:eastAsia="Times New Roman" w:hAnsi="Times New Roman" w:cs="Times New Roman"/>
                <w:sz w:val="18"/>
                <w:szCs w:val="18"/>
              </w:rPr>
              <w:t xml:space="preserve"> / marginal zone </w:t>
            </w:r>
            <w:r w:rsidR="0045684B">
              <w:rPr>
                <w:rFonts w:ascii="Times New Roman" w:eastAsia="Times New Roman" w:hAnsi="Times New Roman" w:cs="Times New Roman"/>
                <w:sz w:val="18"/>
                <w:szCs w:val="18"/>
              </w:rPr>
              <w:t xml:space="preserve">B-cell </w:t>
            </w:r>
            <w:r w:rsidRPr="00BE436C">
              <w:rPr>
                <w:rFonts w:ascii="Times New Roman" w:eastAsia="Times New Roman" w:hAnsi="Times New Roman" w:cs="Times New Roman"/>
                <w:sz w:val="18"/>
                <w:szCs w:val="18"/>
              </w:rPr>
              <w:t>development</w:t>
            </w:r>
          </w:p>
        </w:tc>
      </w:tr>
      <w:tr w:rsidR="00603D83" w:rsidRPr="00BE436C" w14:paraId="5AD950EF" w14:textId="77777777" w:rsidTr="00002888">
        <w:tc>
          <w:tcPr>
            <w:cnfStyle w:val="001000000000" w:firstRow="0" w:lastRow="0" w:firstColumn="1" w:lastColumn="0" w:oddVBand="0" w:evenVBand="0" w:oddHBand="0" w:evenHBand="0" w:firstRowFirstColumn="0" w:firstRowLastColumn="0" w:lastRowFirstColumn="0" w:lastRowLastColumn="0"/>
            <w:tcW w:w="1872" w:type="dxa"/>
          </w:tcPr>
          <w:p w14:paraId="22AE06E2" w14:textId="77777777" w:rsidR="00603D83" w:rsidRPr="00BE436C" w:rsidRDefault="00603D83" w:rsidP="00002888">
            <w:pPr>
              <w:rPr>
                <w:rFonts w:ascii="Times New Roman" w:hAnsi="Times New Roman" w:cs="Times New Roman"/>
                <w:i/>
                <w:iCs/>
                <w:sz w:val="18"/>
                <w:szCs w:val="18"/>
              </w:rPr>
            </w:pPr>
            <w:r w:rsidRPr="00BE436C">
              <w:rPr>
                <w:rFonts w:ascii="Times New Roman" w:eastAsia="Times New Roman" w:hAnsi="Times New Roman" w:cs="Times New Roman"/>
                <w:i/>
                <w:iCs/>
                <w:sz w:val="18"/>
                <w:szCs w:val="18"/>
              </w:rPr>
              <w:t>CARD11</w:t>
            </w:r>
          </w:p>
        </w:tc>
        <w:tc>
          <w:tcPr>
            <w:tcW w:w="1872" w:type="dxa"/>
          </w:tcPr>
          <w:p w14:paraId="094ADA68"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eastAsia="Times New Roman" w:hAnsi="Times New Roman" w:cs="Times New Roman"/>
                <w:sz w:val="18"/>
                <w:szCs w:val="18"/>
              </w:rPr>
              <w:t>~5%</w:t>
            </w:r>
          </w:p>
        </w:tc>
        <w:tc>
          <w:tcPr>
            <w:tcW w:w="6457" w:type="dxa"/>
          </w:tcPr>
          <w:p w14:paraId="17A97424"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eastAsia="Times New Roman" w:hAnsi="Times New Roman" w:cs="Times New Roman"/>
                <w:sz w:val="18"/>
                <w:szCs w:val="18"/>
              </w:rPr>
              <w:t xml:space="preserve"> BCR and NF-</w:t>
            </w:r>
            <w:proofErr w:type="spellStart"/>
            <w:r w:rsidRPr="00BE436C">
              <w:rPr>
                <w:rFonts w:ascii="Times New Roman" w:eastAsia="Times New Roman" w:hAnsi="Times New Roman" w:cs="Times New Roman"/>
                <w:sz w:val="18"/>
                <w:szCs w:val="18"/>
              </w:rPr>
              <w:t>ĸB</w:t>
            </w:r>
            <w:proofErr w:type="spellEnd"/>
            <w:r w:rsidRPr="00BE436C">
              <w:rPr>
                <w:rFonts w:ascii="Times New Roman" w:eastAsia="Times New Roman" w:hAnsi="Times New Roman" w:cs="Times New Roman"/>
                <w:sz w:val="18"/>
                <w:szCs w:val="18"/>
              </w:rPr>
              <w:t xml:space="preserve"> signaling / Marginal zone B-cell development</w:t>
            </w:r>
          </w:p>
        </w:tc>
      </w:tr>
      <w:tr w:rsidR="00603D83" w:rsidRPr="00BE436C" w14:paraId="66B0B4FE" w14:textId="77777777" w:rsidTr="008F7DD3">
        <w:tc>
          <w:tcPr>
            <w:cnfStyle w:val="001000000000" w:firstRow="0" w:lastRow="0" w:firstColumn="1" w:lastColumn="0" w:oddVBand="0" w:evenVBand="0" w:oddHBand="0" w:evenHBand="0" w:firstRowFirstColumn="0" w:firstRowLastColumn="0" w:lastRowFirstColumn="0" w:lastRowLastColumn="0"/>
            <w:tcW w:w="1872" w:type="dxa"/>
            <w:shd w:val="clear" w:color="auto" w:fill="F2F2F2" w:themeFill="background1" w:themeFillShade="F2"/>
          </w:tcPr>
          <w:p w14:paraId="5E02C214" w14:textId="77777777" w:rsidR="00603D83" w:rsidRPr="00BE436C" w:rsidRDefault="00603D83" w:rsidP="00002888">
            <w:pPr>
              <w:rPr>
                <w:rFonts w:ascii="Times New Roman" w:hAnsi="Times New Roman" w:cs="Times New Roman"/>
                <w:i/>
                <w:iCs/>
                <w:sz w:val="18"/>
                <w:szCs w:val="18"/>
              </w:rPr>
            </w:pPr>
            <w:r w:rsidRPr="00BE436C">
              <w:rPr>
                <w:rFonts w:ascii="Times New Roman" w:eastAsia="Times New Roman" w:hAnsi="Times New Roman" w:cs="Times New Roman"/>
                <w:i/>
                <w:iCs/>
                <w:sz w:val="18"/>
                <w:szCs w:val="18"/>
              </w:rPr>
              <w:t>CREBBP</w:t>
            </w:r>
          </w:p>
        </w:tc>
        <w:tc>
          <w:tcPr>
            <w:tcW w:w="1872" w:type="dxa"/>
            <w:shd w:val="clear" w:color="auto" w:fill="F2F2F2" w:themeFill="background1" w:themeFillShade="F2"/>
          </w:tcPr>
          <w:p w14:paraId="2ADC70A1"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436C">
              <w:rPr>
                <w:rFonts w:ascii="Times New Roman" w:eastAsia="Times New Roman" w:hAnsi="Times New Roman" w:cs="Times New Roman"/>
                <w:sz w:val="18"/>
                <w:szCs w:val="18"/>
              </w:rPr>
              <w:t>~5%</w:t>
            </w:r>
          </w:p>
        </w:tc>
        <w:tc>
          <w:tcPr>
            <w:tcW w:w="6457" w:type="dxa"/>
            <w:shd w:val="clear" w:color="auto" w:fill="F2F2F2" w:themeFill="background1" w:themeFillShade="F2"/>
          </w:tcPr>
          <w:p w14:paraId="65D99186" w14:textId="77777777" w:rsidR="00603D83" w:rsidRPr="00BE436C" w:rsidRDefault="00603D83" w:rsidP="00002888">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E436C">
              <w:rPr>
                <w:rFonts w:ascii="Times New Roman" w:eastAsia="Times New Roman" w:hAnsi="Times New Roman" w:cs="Times New Roman"/>
                <w:sz w:val="18"/>
                <w:szCs w:val="18"/>
              </w:rPr>
              <w:t>Chromatin remodeling – BCL6 and p53 acetylation (GC development)</w:t>
            </w:r>
          </w:p>
        </w:tc>
      </w:tr>
    </w:tbl>
    <w:p w14:paraId="7D86AE2D" w14:textId="77777777" w:rsidR="006E582D" w:rsidRDefault="006E582D" w:rsidP="00002888">
      <w:pPr>
        <w:spacing w:before="0" w:after="0" w:line="360" w:lineRule="auto"/>
        <w:jc w:val="left"/>
        <w:rPr>
          <w:rFonts w:ascii="Times New Roman" w:hAnsi="Times New Roman" w:cs="Times New Roman"/>
          <w:b/>
          <w:bCs/>
          <w:sz w:val="24"/>
          <w:szCs w:val="24"/>
          <w:shd w:val="clear" w:color="auto" w:fill="FFFFFF"/>
          <w:lang w:val="en-GB"/>
        </w:rPr>
      </w:pPr>
    </w:p>
    <w:p w14:paraId="7E2D31D4" w14:textId="3AC39DBA" w:rsidR="00650B24" w:rsidRDefault="008B690D" w:rsidP="00002888">
      <w:pPr>
        <w:spacing w:before="0" w:after="0" w:line="360" w:lineRule="auto"/>
        <w:jc w:val="left"/>
        <w:rPr>
          <w:rFonts w:ascii="Times New Roman" w:hAnsi="Times New Roman" w:cs="Times New Roman"/>
          <w:sz w:val="24"/>
          <w:szCs w:val="24"/>
          <w:shd w:val="clear" w:color="auto" w:fill="FFFFFF"/>
          <w:lang w:val="en-GB"/>
        </w:rPr>
      </w:pPr>
      <w:r w:rsidRPr="00002888">
        <w:rPr>
          <w:rFonts w:ascii="Times New Roman" w:hAnsi="Times New Roman" w:cs="Times New Roman"/>
          <w:b/>
          <w:bCs/>
          <w:sz w:val="24"/>
          <w:szCs w:val="24"/>
          <w:shd w:val="clear" w:color="auto" w:fill="FFFFFF"/>
          <w:lang w:val="en-GB"/>
        </w:rPr>
        <w:t>NF-</w:t>
      </w:r>
      <w:proofErr w:type="spellStart"/>
      <w:r w:rsidR="00A44284" w:rsidRPr="00002888">
        <w:rPr>
          <w:rFonts w:ascii="Times New Roman" w:hAnsi="Times New Roman" w:cs="Times New Roman"/>
          <w:sz w:val="24"/>
          <w:szCs w:val="24"/>
          <w:lang w:val="en-GB"/>
        </w:rPr>
        <w:t>κ</w:t>
      </w:r>
      <w:r w:rsidRPr="00002888">
        <w:rPr>
          <w:rFonts w:ascii="Times New Roman" w:hAnsi="Times New Roman" w:cs="Times New Roman"/>
          <w:b/>
          <w:bCs/>
          <w:sz w:val="24"/>
          <w:szCs w:val="24"/>
          <w:shd w:val="clear" w:color="auto" w:fill="FFFFFF"/>
          <w:lang w:val="en-GB"/>
        </w:rPr>
        <w:t>B</w:t>
      </w:r>
      <w:proofErr w:type="spellEnd"/>
      <w:r w:rsidRPr="00002888">
        <w:rPr>
          <w:rFonts w:ascii="Times New Roman" w:hAnsi="Times New Roman" w:cs="Times New Roman"/>
          <w:b/>
          <w:bCs/>
          <w:sz w:val="24"/>
          <w:szCs w:val="24"/>
          <w:shd w:val="clear" w:color="auto" w:fill="FFFFFF"/>
          <w:lang w:val="en-GB"/>
        </w:rPr>
        <w:t xml:space="preserve"> signalling</w:t>
      </w:r>
      <w:r w:rsidRPr="00002888">
        <w:rPr>
          <w:rFonts w:ascii="Times New Roman" w:hAnsi="Times New Roman" w:cs="Times New Roman"/>
          <w:sz w:val="24"/>
          <w:szCs w:val="24"/>
          <w:shd w:val="clear" w:color="auto" w:fill="FFFFFF"/>
          <w:lang w:val="en-GB"/>
        </w:rPr>
        <w:t xml:space="preserve"> plays an</w:t>
      </w:r>
      <w:r w:rsidR="00003B58" w:rsidRPr="00002888">
        <w:rPr>
          <w:rFonts w:ascii="Times New Roman" w:hAnsi="Times New Roman" w:cs="Times New Roman"/>
          <w:sz w:val="24"/>
          <w:szCs w:val="24"/>
          <w:shd w:val="clear" w:color="auto" w:fill="FFFFFF"/>
          <w:lang w:val="en-GB"/>
        </w:rPr>
        <w:t xml:space="preserve"> essential</w:t>
      </w:r>
      <w:r w:rsidR="00C03BE2" w:rsidRPr="00002888">
        <w:rPr>
          <w:rFonts w:ascii="Times New Roman" w:hAnsi="Times New Roman" w:cs="Times New Roman"/>
          <w:sz w:val="24"/>
          <w:szCs w:val="24"/>
          <w:shd w:val="clear" w:color="auto" w:fill="FFFFFF"/>
          <w:lang w:val="en-GB"/>
        </w:rPr>
        <w:t xml:space="preserve"> role</w:t>
      </w:r>
      <w:r w:rsidR="00003B58" w:rsidRPr="00002888">
        <w:rPr>
          <w:rFonts w:ascii="Times New Roman" w:hAnsi="Times New Roman" w:cs="Times New Roman"/>
          <w:sz w:val="24"/>
          <w:szCs w:val="24"/>
          <w:shd w:val="clear" w:color="auto" w:fill="FFFFFF"/>
          <w:lang w:val="en-GB"/>
        </w:rPr>
        <w:t xml:space="preserve"> </w:t>
      </w:r>
      <w:r w:rsidRPr="00002888">
        <w:rPr>
          <w:rFonts w:ascii="Times New Roman" w:hAnsi="Times New Roman" w:cs="Times New Roman"/>
          <w:sz w:val="24"/>
          <w:szCs w:val="24"/>
          <w:shd w:val="clear" w:color="auto" w:fill="FFFFFF"/>
          <w:lang w:val="en-GB"/>
        </w:rPr>
        <w:t xml:space="preserve">in </w:t>
      </w:r>
      <w:r w:rsidR="57F3214C" w:rsidRPr="00002888">
        <w:rPr>
          <w:rFonts w:ascii="Times New Roman" w:hAnsi="Times New Roman" w:cs="Times New Roman"/>
          <w:sz w:val="24"/>
          <w:szCs w:val="24"/>
          <w:lang w:val="en-GB"/>
        </w:rPr>
        <w:t>MZ</w:t>
      </w:r>
      <w:r w:rsidR="00003B58" w:rsidRPr="00002888">
        <w:rPr>
          <w:rFonts w:ascii="Times New Roman" w:hAnsi="Times New Roman" w:cs="Times New Roman"/>
          <w:sz w:val="24"/>
          <w:szCs w:val="24"/>
          <w:lang w:val="en-GB"/>
        </w:rPr>
        <w:t xml:space="preserve"> </w:t>
      </w:r>
      <w:r w:rsidR="00003B58" w:rsidRPr="00002888">
        <w:rPr>
          <w:rFonts w:ascii="Times New Roman" w:hAnsi="Times New Roman" w:cs="Times New Roman"/>
          <w:sz w:val="24"/>
          <w:szCs w:val="24"/>
          <w:shd w:val="clear" w:color="auto" w:fill="FFFFFF"/>
          <w:lang w:val="en-GB"/>
        </w:rPr>
        <w:t xml:space="preserve">B-cell development and differentiation </w:t>
      </w:r>
      <w:r w:rsidR="00003B58" w:rsidRPr="00002888">
        <w:rPr>
          <w:rFonts w:ascii="Times New Roman" w:hAnsi="Times New Roman" w:cs="Times New Roman"/>
          <w:sz w:val="24"/>
          <w:szCs w:val="24"/>
          <w:shd w:val="clear" w:color="auto" w:fill="FFFFFF"/>
          <w:lang w:val="en-GB"/>
        </w:rPr>
        <w:fldChar w:fldCharType="begin" w:fldLock="1"/>
      </w:r>
      <w:r w:rsidR="00EB4D78" w:rsidRPr="00002888">
        <w:rPr>
          <w:rFonts w:ascii="Times New Roman" w:hAnsi="Times New Roman" w:cs="Times New Roman"/>
          <w:sz w:val="24"/>
          <w:szCs w:val="24"/>
          <w:shd w:val="clear" w:color="auto" w:fill="FFFFFF"/>
          <w:lang w:val="en-GB"/>
        </w:rPr>
        <w:instrText>ADDIN CSL_CITATION {"citationItems":[{"id":"ITEM-1","itemData":{"DOI":"10.1038/nri2656","ISSN":"1474-1741","PMID":"19855403","abstract":"Bone marrow-derived B cells make an important cell fate choice to develop into either follicular B cells or marginal zone B cells in the spleen, which depends on signalling through the B cell receptor, Notch2, the receptor for B cell-activating factor and the canonical nuclear factor-kappaB pathway, as well as signals involved in the migration and anatomical retention of marginal zone B cells. Recent information discussed in this Review reconciles some of the controversies regarding the role of the B cell receptor in this cell fate decision and a clearer picture has also emerged regarding the anatomical location of ligands for Notch2 in the spleen. This cell fate decision could provide mechanistic insights that are relevant to other commitment events in lymphocytes.","author":[{"dropping-particle":"","family":"Pillai","given":"Shiv","non-dropping-particle":"","parse-names":false,"suffix":""},{"dropping-particle":"","family":"Cariappa","given":"Annaiah","non-dropping-particle":"","parse-names":false,"suffix":""}],"container-title":"Nature reviews. Immunology","id":"ITEM-1","issue":"11","issued":{"date-parts":[["2009","11"]]},"page":"767-77","publisher":"Nature Publishing Group","title":"The follicular versus marginal zone B lymphocyte cell fate decision.","type":"article-journal","volume":"9"},"uris":["http://www.mendeley.com/documents/?uuid=474238d7-7182-49aa-b7cd-2ecfb2c26470"]}],"mendeley":{"formattedCitation":"(Pillai and Cariappa, 2009)","plainTextFormattedCitation":"(Pillai and Cariappa, 2009)","previouslyFormattedCitation":"(Pillai and Cariappa, 2009)"},"properties":{"noteIndex":0},"schema":"https://github.com/citation-style-language/schema/raw/master/csl-citation.json"}</w:instrText>
      </w:r>
      <w:r w:rsidR="00003B58" w:rsidRPr="00002888">
        <w:rPr>
          <w:rFonts w:ascii="Times New Roman" w:hAnsi="Times New Roman" w:cs="Times New Roman"/>
          <w:sz w:val="24"/>
          <w:szCs w:val="24"/>
          <w:shd w:val="clear" w:color="auto" w:fill="FFFFFF"/>
          <w:lang w:val="en-GB"/>
        </w:rPr>
        <w:fldChar w:fldCharType="separate"/>
      </w:r>
      <w:r w:rsidR="00A15967" w:rsidRPr="00002888">
        <w:rPr>
          <w:rFonts w:ascii="Times New Roman" w:hAnsi="Times New Roman" w:cs="Times New Roman"/>
          <w:noProof/>
          <w:sz w:val="24"/>
          <w:szCs w:val="24"/>
          <w:shd w:val="clear" w:color="auto" w:fill="FFFFFF"/>
          <w:lang w:val="en-GB"/>
        </w:rPr>
        <w:t>(Pillai and Cariappa, 2009)</w:t>
      </w:r>
      <w:r w:rsidR="00003B58" w:rsidRPr="00002888">
        <w:rPr>
          <w:rFonts w:ascii="Times New Roman" w:hAnsi="Times New Roman" w:cs="Times New Roman"/>
          <w:sz w:val="24"/>
          <w:szCs w:val="24"/>
          <w:shd w:val="clear" w:color="auto" w:fill="FFFFFF"/>
          <w:lang w:val="en-GB"/>
        </w:rPr>
        <w:fldChar w:fldCharType="end"/>
      </w:r>
      <w:r w:rsidR="00C03BE2" w:rsidRPr="00002888">
        <w:rPr>
          <w:rFonts w:ascii="Times New Roman" w:hAnsi="Times New Roman" w:cs="Times New Roman"/>
          <w:sz w:val="24"/>
          <w:szCs w:val="24"/>
          <w:shd w:val="clear" w:color="auto" w:fill="FFFFFF"/>
          <w:lang w:val="en-GB"/>
        </w:rPr>
        <w:t xml:space="preserve">. </w:t>
      </w:r>
      <w:r w:rsidR="000B13AC" w:rsidRPr="00002888">
        <w:rPr>
          <w:rFonts w:ascii="Times New Roman" w:hAnsi="Times New Roman" w:cs="Times New Roman"/>
          <w:sz w:val="24"/>
          <w:szCs w:val="24"/>
          <w:shd w:val="clear" w:color="auto" w:fill="FFFFFF"/>
          <w:lang w:val="en-GB"/>
        </w:rPr>
        <w:t>When normal B lymphocytes respond to antigens, NF-</w:t>
      </w:r>
      <w:proofErr w:type="spellStart"/>
      <w:r w:rsidR="00A44284" w:rsidRPr="00002888">
        <w:rPr>
          <w:rFonts w:ascii="Times New Roman" w:hAnsi="Times New Roman" w:cs="Times New Roman"/>
          <w:sz w:val="24"/>
          <w:szCs w:val="24"/>
          <w:lang w:val="en-GB"/>
        </w:rPr>
        <w:t>κ</w:t>
      </w:r>
      <w:r w:rsidR="000B13AC" w:rsidRPr="00002888">
        <w:rPr>
          <w:rFonts w:ascii="Times New Roman" w:hAnsi="Times New Roman" w:cs="Times New Roman"/>
          <w:sz w:val="24"/>
          <w:szCs w:val="24"/>
          <w:shd w:val="clear" w:color="auto" w:fill="FFFFFF"/>
          <w:lang w:val="en-GB"/>
        </w:rPr>
        <w:t>B</w:t>
      </w:r>
      <w:proofErr w:type="spellEnd"/>
      <w:r w:rsidR="000B13AC" w:rsidRPr="00002888">
        <w:rPr>
          <w:rFonts w:ascii="Times New Roman" w:hAnsi="Times New Roman" w:cs="Times New Roman"/>
          <w:sz w:val="24"/>
          <w:szCs w:val="24"/>
          <w:shd w:val="clear" w:color="auto" w:fill="FFFFFF"/>
          <w:lang w:val="en-GB"/>
        </w:rPr>
        <w:t xml:space="preserve"> </w:t>
      </w:r>
      <w:r w:rsidR="00451D37" w:rsidRPr="00002888">
        <w:rPr>
          <w:rFonts w:ascii="Times New Roman" w:hAnsi="Times New Roman" w:cs="Times New Roman"/>
          <w:sz w:val="24"/>
          <w:szCs w:val="24"/>
          <w:shd w:val="clear" w:color="auto" w:fill="FFFFFF"/>
          <w:lang w:val="en-GB"/>
        </w:rPr>
        <w:t>signa</w:t>
      </w:r>
      <w:r w:rsidR="00183BCA" w:rsidRPr="00002888">
        <w:rPr>
          <w:rFonts w:ascii="Times New Roman" w:hAnsi="Times New Roman" w:cs="Times New Roman"/>
          <w:sz w:val="24"/>
          <w:szCs w:val="24"/>
          <w:shd w:val="clear" w:color="auto" w:fill="FFFFFF"/>
          <w:lang w:val="en-GB"/>
        </w:rPr>
        <w:t>l</w:t>
      </w:r>
      <w:r w:rsidR="00451D37" w:rsidRPr="00002888">
        <w:rPr>
          <w:rFonts w:ascii="Times New Roman" w:hAnsi="Times New Roman" w:cs="Times New Roman"/>
          <w:sz w:val="24"/>
          <w:szCs w:val="24"/>
          <w:shd w:val="clear" w:color="auto" w:fill="FFFFFF"/>
          <w:lang w:val="en-GB"/>
        </w:rPr>
        <w:t>ling</w:t>
      </w:r>
      <w:r w:rsidR="005E7B40" w:rsidRPr="00002888">
        <w:rPr>
          <w:rFonts w:ascii="Times New Roman" w:hAnsi="Times New Roman" w:cs="Times New Roman"/>
          <w:sz w:val="24"/>
          <w:szCs w:val="24"/>
          <w:shd w:val="clear" w:color="auto" w:fill="FFFFFF"/>
          <w:lang w:val="en-GB"/>
        </w:rPr>
        <w:t xml:space="preserve"> is activated</w:t>
      </w:r>
      <w:r w:rsidR="004F50B9" w:rsidRPr="00002888">
        <w:rPr>
          <w:rFonts w:ascii="Times New Roman" w:hAnsi="Times New Roman" w:cs="Times New Roman"/>
          <w:sz w:val="24"/>
          <w:szCs w:val="24"/>
          <w:shd w:val="clear" w:color="auto" w:fill="FFFFFF"/>
          <w:lang w:val="en-GB"/>
        </w:rPr>
        <w:t>,</w:t>
      </w:r>
      <w:r w:rsidR="00B167BE" w:rsidRPr="00002888">
        <w:rPr>
          <w:rFonts w:ascii="Times New Roman" w:hAnsi="Times New Roman" w:cs="Times New Roman"/>
          <w:sz w:val="24"/>
          <w:szCs w:val="24"/>
          <w:shd w:val="clear" w:color="auto" w:fill="FFFFFF"/>
          <w:lang w:val="en-GB"/>
        </w:rPr>
        <w:t xml:space="preserve"> reprogramming cells to </w:t>
      </w:r>
      <w:r w:rsidR="00451D37" w:rsidRPr="00002888">
        <w:rPr>
          <w:rFonts w:ascii="Times New Roman" w:hAnsi="Times New Roman" w:cs="Times New Roman"/>
          <w:sz w:val="24"/>
          <w:szCs w:val="24"/>
          <w:shd w:val="clear" w:color="auto" w:fill="FFFFFF"/>
          <w:lang w:val="en-GB"/>
        </w:rPr>
        <w:t>favo</w:t>
      </w:r>
      <w:r w:rsidR="00183BCA" w:rsidRPr="00002888">
        <w:rPr>
          <w:rFonts w:ascii="Times New Roman" w:hAnsi="Times New Roman" w:cs="Times New Roman"/>
          <w:sz w:val="24"/>
          <w:szCs w:val="24"/>
          <w:shd w:val="clear" w:color="auto" w:fill="FFFFFF"/>
          <w:lang w:val="en-GB"/>
        </w:rPr>
        <w:t>u</w:t>
      </w:r>
      <w:r w:rsidR="00451D37" w:rsidRPr="00002888">
        <w:rPr>
          <w:rFonts w:ascii="Times New Roman" w:hAnsi="Times New Roman" w:cs="Times New Roman"/>
          <w:sz w:val="24"/>
          <w:szCs w:val="24"/>
          <w:shd w:val="clear" w:color="auto" w:fill="FFFFFF"/>
          <w:lang w:val="en-GB"/>
        </w:rPr>
        <w:t>r</w:t>
      </w:r>
      <w:r w:rsidR="00B167BE" w:rsidRPr="00002888">
        <w:rPr>
          <w:rFonts w:ascii="Times New Roman" w:hAnsi="Times New Roman" w:cs="Times New Roman"/>
          <w:sz w:val="24"/>
          <w:szCs w:val="24"/>
          <w:shd w:val="clear" w:color="auto" w:fill="FFFFFF"/>
          <w:lang w:val="en-GB"/>
        </w:rPr>
        <w:t xml:space="preserve"> cell cycle progression, </w:t>
      </w:r>
      <w:r w:rsidR="00451D37" w:rsidRPr="00002888">
        <w:rPr>
          <w:rFonts w:ascii="Times New Roman" w:hAnsi="Times New Roman" w:cs="Times New Roman"/>
          <w:sz w:val="24"/>
          <w:szCs w:val="24"/>
          <w:shd w:val="clear" w:color="auto" w:fill="FFFFFF"/>
          <w:lang w:val="en-GB"/>
        </w:rPr>
        <w:t>s</w:t>
      </w:r>
      <w:r w:rsidR="00B167BE" w:rsidRPr="00002888">
        <w:rPr>
          <w:rFonts w:ascii="Times New Roman" w:hAnsi="Times New Roman" w:cs="Times New Roman"/>
          <w:sz w:val="24"/>
          <w:szCs w:val="24"/>
          <w:shd w:val="clear" w:color="auto" w:fill="FFFFFF"/>
          <w:lang w:val="en-GB"/>
        </w:rPr>
        <w:t xml:space="preserve">urvival, cytokine secretion and </w:t>
      </w:r>
      <w:r w:rsidR="00162EAB" w:rsidRPr="00002888">
        <w:rPr>
          <w:rFonts w:ascii="Times New Roman" w:hAnsi="Times New Roman" w:cs="Times New Roman"/>
          <w:sz w:val="24"/>
          <w:szCs w:val="24"/>
          <w:shd w:val="clear" w:color="auto" w:fill="FFFFFF"/>
          <w:lang w:val="en-GB"/>
        </w:rPr>
        <w:t>inflammation</w:t>
      </w:r>
      <w:r w:rsidR="00161FC1" w:rsidRPr="00002888">
        <w:rPr>
          <w:rFonts w:ascii="Times New Roman" w:hAnsi="Times New Roman" w:cs="Times New Roman"/>
          <w:sz w:val="24"/>
          <w:szCs w:val="24"/>
          <w:shd w:val="clear" w:color="auto" w:fill="FFFFFF"/>
          <w:lang w:val="en-GB"/>
        </w:rPr>
        <w:t xml:space="preserve"> </w:t>
      </w:r>
      <w:r w:rsidR="00577FD4" w:rsidRPr="00002888">
        <w:rPr>
          <w:rFonts w:ascii="Times New Roman" w:hAnsi="Times New Roman" w:cs="Times New Roman"/>
          <w:sz w:val="24"/>
          <w:szCs w:val="24"/>
          <w:shd w:val="clear" w:color="auto" w:fill="FFFFFF"/>
          <w:lang w:val="en-GB"/>
        </w:rPr>
        <w:fldChar w:fldCharType="begin" w:fldLock="1"/>
      </w:r>
      <w:r w:rsidR="00EB4D78" w:rsidRPr="00002888">
        <w:rPr>
          <w:rFonts w:ascii="Times New Roman" w:hAnsi="Times New Roman" w:cs="Times New Roman"/>
          <w:sz w:val="24"/>
          <w:szCs w:val="24"/>
          <w:shd w:val="clear" w:color="auto" w:fill="FFFFFF"/>
          <w:lang w:val="en-GB"/>
        </w:rPr>
        <w:instrText>ADDIN CSL_CITATION {"citationItems":[{"id":"ITEM-1","itemData":{"DOI":"10.1016/j.semcancer.2016.08.002","ISSN":"1044579X","PMID":"27503810","abstract":"Splenic marginal zone lymphoma is a rare mature B-cell malignancy involving the spleen, bone marrow and blood. Over the past years, the rapid expansion of sequencing technologies allowing the genome-wide assessment of genomic, epigenetic and transcriptional changes has revolutionized our understanding of the biological basis of splenic marginal zone lymphoma by providing a comprehensive and unbiased view of the genes/pathways that are deregulated in this disease. NF-κB is a family of transcription factors that plays critical roles in development, survival, and activation of B lymphocytes. Consistent with the physiological involvement of NF-κB signalling in proliferation and commitment of mature B-cells to the marginal zone of the spleen, many oncogenic mutations involved in constitutive activation of the NF-κB pathway were recently identified in splenic marginal zone lymphoma. This review describes the progress in understanding the mechanism of NF-κB activation in splenic marginal zone lymphoma, including molecular, epigenetic and post-transcriptional modifications of NF-κB genes and of upstream pathways, and discusses how information gained from these efforts has provided new insights on potential targets of diagnostic, prognostic and therapeutic relevance for splenic marginal zone lymphoma.","author":[{"dropping-particle":"","family":"Spina","given":"Valeria","non-dropping-particle":"","parse-names":false,"suffix":""},{"dropping-particle":"","family":"Rossi","given":"Davide","non-dropping-particle":"","parse-names":false,"suffix":""}],"container-title":"Seminars in Cancer Biology","id":"ITEM-1","issued":{"date-parts":[["2016","8"]]},"page":"61-67","title":"NF-κB deregulation in splenic marginal zone lymphoma","type":"article-journal","volume":"39"},"uris":["http://www.mendeley.com/documents/?uuid=e4c42633-1ade-4d27-9de8-8d7120118612"]},{"id":"ITEM-2","itemData":{"DOI":"10.1111/j.1600-065X.2012.01105.x","ISSN":"1600-065X","PMID":"22435566","abstract":"Derangement of the nuclear factor κB (NF-κB) pathway initiates and/or sustains many types of human cancer. B-cell malignancies are particularly affected by oncogenic mutations, translocations, and copy number alterations affecting key components the NF-κB pathway, most likely owing to the pervasive role of this pathway in normal B cells. These genetic aberrations cause tumors to be 'addicted' to NF-κB, which can be exploited therapeutically. Since each subtype of lymphoid cancer utilizes different mechanisms to activate NF-κB, several different therapeutic strategies are needed to address this pathogenetic heterogeneity. Fortunately, a number of drugs that block signaling cascades leading to NF-κB are in early phase clinical trials, several of which are already showing activity in lymphoid malignancies.","author":[{"dropping-particle":"","family":"Lim","given":"Kian-Huat","non-dropping-particle":"","parse-names":false,"suffix":""},{"dropping-particle":"","family":"Yang","given":"Yibin","non-dropping-particle":"","parse-names":false,"suffix":""},{"dropping-particle":"","family":"Staudt","given":"Louis M.","non-dropping-particle":"","parse-names":false,"suffix":""}],"container-title":"Immunological reviews","id":"ITEM-2","issue":"1","issued":{"date-parts":[["2012","3"]]},"page":"359-78","title":"Pathogenetic importance and therapeutic implications of NF-κB in lymphoid malignancies.","type":"article-journal","volume":"246"},"uris":["http://www.mendeley.com/documents/?uuid=43a7e94b-145c-4e89-9090-3687e18df5a6"]}],"mendeley":{"formattedCitation":"(Lim et al., 2012; Spina and Rossi, 2016)","plainTextFormattedCitation":"(Lim et al., 2012; Spina and Rossi, 2016)","previouslyFormattedCitation":"(Lim et al., 2012; Spina and Rossi, 2016)"},"properties":{"noteIndex":0},"schema":"https://github.com/citation-style-language/schema/raw/master/csl-citation.json"}</w:instrText>
      </w:r>
      <w:r w:rsidR="00577FD4" w:rsidRPr="00002888">
        <w:rPr>
          <w:rFonts w:ascii="Times New Roman" w:hAnsi="Times New Roman" w:cs="Times New Roman"/>
          <w:sz w:val="24"/>
          <w:szCs w:val="24"/>
          <w:shd w:val="clear" w:color="auto" w:fill="FFFFFF"/>
          <w:lang w:val="en-GB"/>
        </w:rPr>
        <w:fldChar w:fldCharType="separate"/>
      </w:r>
      <w:r w:rsidR="00A15967" w:rsidRPr="00002888">
        <w:rPr>
          <w:rFonts w:ascii="Times New Roman" w:hAnsi="Times New Roman" w:cs="Times New Roman"/>
          <w:noProof/>
          <w:sz w:val="24"/>
          <w:szCs w:val="24"/>
          <w:shd w:val="clear" w:color="auto" w:fill="FFFFFF"/>
          <w:lang w:val="en-GB"/>
        </w:rPr>
        <w:t>(Lim et al., 2012; Spina and Rossi, 2016)</w:t>
      </w:r>
      <w:r w:rsidR="00577FD4" w:rsidRPr="00002888">
        <w:rPr>
          <w:rFonts w:ascii="Times New Roman" w:hAnsi="Times New Roman" w:cs="Times New Roman"/>
          <w:sz w:val="24"/>
          <w:szCs w:val="24"/>
          <w:shd w:val="clear" w:color="auto" w:fill="FFFFFF"/>
          <w:lang w:val="en-GB"/>
        </w:rPr>
        <w:fldChar w:fldCharType="end"/>
      </w:r>
      <w:r w:rsidR="00162EAB" w:rsidRPr="00002888">
        <w:rPr>
          <w:rFonts w:ascii="Times New Roman" w:hAnsi="Times New Roman" w:cs="Times New Roman"/>
          <w:sz w:val="24"/>
          <w:szCs w:val="24"/>
          <w:shd w:val="clear" w:color="auto" w:fill="FFFFFF"/>
          <w:lang w:val="en-GB"/>
        </w:rPr>
        <w:t xml:space="preserve">. </w:t>
      </w:r>
      <w:r w:rsidR="00325670" w:rsidRPr="00002888">
        <w:rPr>
          <w:rFonts w:ascii="Times New Roman" w:hAnsi="Times New Roman" w:cs="Times New Roman"/>
          <w:sz w:val="24"/>
          <w:szCs w:val="24"/>
          <w:shd w:val="clear" w:color="auto" w:fill="FFFFFF"/>
          <w:lang w:val="en-GB"/>
        </w:rPr>
        <w:t>NF-</w:t>
      </w:r>
      <w:proofErr w:type="spellStart"/>
      <w:r w:rsidR="00A44284" w:rsidRPr="00002888">
        <w:rPr>
          <w:rFonts w:ascii="Times New Roman" w:hAnsi="Times New Roman" w:cs="Times New Roman"/>
          <w:sz w:val="24"/>
          <w:szCs w:val="24"/>
          <w:lang w:val="en-GB"/>
        </w:rPr>
        <w:t>κ</w:t>
      </w:r>
      <w:r w:rsidR="00325670" w:rsidRPr="00002888">
        <w:rPr>
          <w:rFonts w:ascii="Times New Roman" w:hAnsi="Times New Roman" w:cs="Times New Roman"/>
          <w:sz w:val="24"/>
          <w:szCs w:val="24"/>
          <w:shd w:val="clear" w:color="auto" w:fill="FFFFFF"/>
          <w:lang w:val="en-GB"/>
        </w:rPr>
        <w:t>B</w:t>
      </w:r>
      <w:proofErr w:type="spellEnd"/>
      <w:r w:rsidR="00325670" w:rsidRPr="00002888">
        <w:rPr>
          <w:rFonts w:ascii="Times New Roman" w:hAnsi="Times New Roman" w:cs="Times New Roman"/>
          <w:sz w:val="24"/>
          <w:szCs w:val="24"/>
          <w:shd w:val="clear" w:color="auto" w:fill="FFFFFF"/>
          <w:lang w:val="en-GB"/>
        </w:rPr>
        <w:t xml:space="preserve"> activation, through </w:t>
      </w:r>
      <w:r w:rsidR="003D7283" w:rsidRPr="00002888">
        <w:rPr>
          <w:rFonts w:ascii="Times New Roman" w:hAnsi="Times New Roman" w:cs="Times New Roman"/>
          <w:sz w:val="24"/>
          <w:szCs w:val="24"/>
          <w:shd w:val="clear" w:color="auto" w:fill="FFFFFF"/>
          <w:lang w:val="en-GB"/>
        </w:rPr>
        <w:t>e</w:t>
      </w:r>
      <w:r w:rsidR="00325670" w:rsidRPr="00002888">
        <w:rPr>
          <w:rFonts w:ascii="Times New Roman" w:hAnsi="Times New Roman" w:cs="Times New Roman"/>
          <w:sz w:val="24"/>
          <w:szCs w:val="24"/>
          <w:shd w:val="clear" w:color="auto" w:fill="FFFFFF"/>
          <w:lang w:val="en-GB"/>
        </w:rPr>
        <w:t>ither the canonical or non</w:t>
      </w:r>
      <w:r w:rsidR="003D7283" w:rsidRPr="00002888">
        <w:rPr>
          <w:rFonts w:ascii="Times New Roman" w:hAnsi="Times New Roman" w:cs="Times New Roman"/>
          <w:sz w:val="24"/>
          <w:szCs w:val="24"/>
          <w:shd w:val="clear" w:color="auto" w:fill="FFFFFF"/>
          <w:lang w:val="en-GB"/>
        </w:rPr>
        <w:t>-</w:t>
      </w:r>
      <w:r w:rsidR="00325670" w:rsidRPr="00002888">
        <w:rPr>
          <w:rFonts w:ascii="Times New Roman" w:hAnsi="Times New Roman" w:cs="Times New Roman"/>
          <w:sz w:val="24"/>
          <w:szCs w:val="24"/>
          <w:shd w:val="clear" w:color="auto" w:fill="FFFFFF"/>
          <w:lang w:val="en-GB"/>
        </w:rPr>
        <w:t>canonical pathway</w:t>
      </w:r>
      <w:r w:rsidR="003D7283" w:rsidRPr="00002888">
        <w:rPr>
          <w:rFonts w:ascii="Times New Roman" w:hAnsi="Times New Roman" w:cs="Times New Roman"/>
          <w:sz w:val="24"/>
          <w:szCs w:val="24"/>
          <w:shd w:val="clear" w:color="auto" w:fill="FFFFFF"/>
          <w:lang w:val="en-GB"/>
        </w:rPr>
        <w:t>,</w:t>
      </w:r>
      <w:r w:rsidR="00325670" w:rsidRPr="00002888">
        <w:rPr>
          <w:rFonts w:ascii="Times New Roman" w:hAnsi="Times New Roman" w:cs="Times New Roman"/>
          <w:sz w:val="24"/>
          <w:szCs w:val="24"/>
          <w:shd w:val="clear" w:color="auto" w:fill="FFFFFF"/>
          <w:lang w:val="en-GB"/>
        </w:rPr>
        <w:t xml:space="preserve"> is transient in normal cells</w:t>
      </w:r>
      <w:r w:rsidR="003D7283" w:rsidRPr="00002888">
        <w:rPr>
          <w:rFonts w:ascii="Times New Roman" w:hAnsi="Times New Roman" w:cs="Times New Roman"/>
          <w:sz w:val="24"/>
          <w:szCs w:val="24"/>
          <w:shd w:val="clear" w:color="auto" w:fill="FFFFFF"/>
          <w:lang w:val="en-GB"/>
        </w:rPr>
        <w:t xml:space="preserve"> and depend</w:t>
      </w:r>
      <w:r w:rsidR="00974A79" w:rsidRPr="00002888">
        <w:rPr>
          <w:rFonts w:ascii="Times New Roman" w:hAnsi="Times New Roman" w:cs="Times New Roman"/>
          <w:sz w:val="24"/>
          <w:szCs w:val="24"/>
          <w:shd w:val="clear" w:color="auto" w:fill="FFFFFF"/>
          <w:lang w:val="en-GB"/>
        </w:rPr>
        <w:t>s</w:t>
      </w:r>
      <w:r w:rsidR="003D7283" w:rsidRPr="00002888">
        <w:rPr>
          <w:rFonts w:ascii="Times New Roman" w:hAnsi="Times New Roman" w:cs="Times New Roman"/>
          <w:sz w:val="24"/>
          <w:szCs w:val="24"/>
          <w:shd w:val="clear" w:color="auto" w:fill="FFFFFF"/>
          <w:lang w:val="en-GB"/>
        </w:rPr>
        <w:t xml:space="preserve"> on external s</w:t>
      </w:r>
      <w:r w:rsidR="00266A14" w:rsidRPr="00002888">
        <w:rPr>
          <w:rFonts w:ascii="Times New Roman" w:hAnsi="Times New Roman" w:cs="Times New Roman"/>
          <w:sz w:val="24"/>
          <w:szCs w:val="24"/>
          <w:shd w:val="clear" w:color="auto" w:fill="FFFFFF"/>
          <w:lang w:val="en-GB"/>
        </w:rPr>
        <w:t>timuli</w:t>
      </w:r>
      <w:r w:rsidR="004C151C" w:rsidRPr="00002888">
        <w:rPr>
          <w:rFonts w:ascii="Times New Roman" w:hAnsi="Times New Roman" w:cs="Times New Roman"/>
          <w:sz w:val="24"/>
          <w:szCs w:val="24"/>
          <w:shd w:val="clear" w:color="auto" w:fill="FFFFFF"/>
          <w:lang w:val="en-GB"/>
        </w:rPr>
        <w:t xml:space="preserve"> </w:t>
      </w:r>
      <w:r w:rsidR="00617F7A" w:rsidRPr="00002888">
        <w:rPr>
          <w:rFonts w:ascii="Times New Roman" w:hAnsi="Times New Roman" w:cs="Times New Roman"/>
          <w:sz w:val="24"/>
          <w:szCs w:val="24"/>
          <w:shd w:val="clear" w:color="auto" w:fill="FFFFFF"/>
          <w:lang w:val="en-GB"/>
        </w:rPr>
        <w:t xml:space="preserve">including ligands for the </w:t>
      </w:r>
      <w:r w:rsidR="58BD6802" w:rsidRPr="00002888">
        <w:rPr>
          <w:rFonts w:ascii="Times New Roman" w:hAnsi="Times New Roman" w:cs="Times New Roman"/>
          <w:sz w:val="24"/>
          <w:szCs w:val="24"/>
          <w:lang w:val="en-GB"/>
        </w:rPr>
        <w:t>BCR</w:t>
      </w:r>
      <w:r w:rsidR="00617F7A" w:rsidRPr="00002888">
        <w:rPr>
          <w:rFonts w:ascii="Times New Roman" w:hAnsi="Times New Roman" w:cs="Times New Roman"/>
          <w:sz w:val="24"/>
          <w:szCs w:val="24"/>
          <w:shd w:val="clear" w:color="auto" w:fill="FFFFFF"/>
          <w:lang w:val="en-GB"/>
        </w:rPr>
        <w:t xml:space="preserve"> and for the Toll-like receptors</w:t>
      </w:r>
      <w:r w:rsidR="00E43A2C" w:rsidRPr="00002888">
        <w:rPr>
          <w:rFonts w:ascii="Times New Roman" w:hAnsi="Times New Roman" w:cs="Times New Roman"/>
          <w:sz w:val="24"/>
          <w:szCs w:val="24"/>
          <w:shd w:val="clear" w:color="auto" w:fill="FFFFFF"/>
          <w:lang w:val="en-GB"/>
        </w:rPr>
        <w:t xml:space="preserve"> </w:t>
      </w:r>
      <w:r w:rsidR="00AE1A8A" w:rsidRPr="00002888">
        <w:rPr>
          <w:rFonts w:ascii="Times New Roman" w:hAnsi="Times New Roman" w:cs="Times New Roman"/>
          <w:sz w:val="24"/>
          <w:szCs w:val="24"/>
          <w:shd w:val="clear" w:color="auto" w:fill="FFFFFF"/>
          <w:lang w:val="en-GB"/>
        </w:rPr>
        <w:fldChar w:fldCharType="begin" w:fldLock="1"/>
      </w:r>
      <w:r w:rsidR="00EB4D78" w:rsidRPr="00002888">
        <w:rPr>
          <w:rFonts w:ascii="Times New Roman" w:hAnsi="Times New Roman" w:cs="Times New Roman"/>
          <w:sz w:val="24"/>
          <w:szCs w:val="24"/>
          <w:shd w:val="clear" w:color="auto" w:fill="FFFFFF"/>
          <w:lang w:val="en-GB"/>
        </w:rPr>
        <w:instrText>ADDIN CSL_CITATION {"citationItems":[{"id":"ITEM-1","itemData":{"DOI":"10.1016/j.semcancer.2016.08.002","ISSN":"1044579X","PMID":"27503810","abstract":"Splenic marginal zone lymphoma is a rare mature B-cell malignancy involving the spleen, bone marrow and blood. Over the past years, the rapid expansion of sequencing technologies allowing the genome-wide assessment of genomic, epigenetic and transcriptional changes has revolutionized our understanding of the biological basis of splenic marginal zone lymphoma by providing a comprehensive and unbiased view of the genes/pathways that are deregulated in this disease. NF-κB is a family of transcription factors that plays critical roles in development, survival, and activation of B lymphocytes. Consistent with the physiological involvement of NF-κB signalling in proliferation and commitment of mature B-cells to the marginal zone of the spleen, many oncogenic mutations involved in constitutive activation of the NF-κB pathway were recently identified in splenic marginal zone lymphoma. This review describes the progress in understanding the mechanism of NF-κB activation in splenic marginal zone lymphoma, including molecular, epigenetic and post-transcriptional modifications of NF-κB genes and of upstream pathways, and discusses how information gained from these efforts has provided new insights on potential targets of diagnostic, prognostic and therapeutic relevance for splenic marginal zone lymphoma.","author":[{"dropping-particle":"","family":"Spina","given":"Valeria","non-dropping-particle":"","parse-names":false,"suffix":""},{"dropping-particle":"","family":"Rossi","given":"Davide","non-dropping-particle":"","parse-names":false,"suffix":""}],"container-title":"Seminars in Cancer Biology","id":"ITEM-1","issued":{"date-parts":[["2016","8"]]},"page":"61-67","title":"NF-κB deregulation in splenic marginal zone lymphoma","type":"article-journal","volume":"39"},"uris":["http://www.mendeley.com/documents/?uuid=e4c42633-1ade-4d27-9de8-8d7120118612"]}],"mendeley":{"formattedCitation":"(Spina and Rossi, 2016)","plainTextFormattedCitation":"(Spina and Rossi, 2016)","previouslyFormattedCitation":"(Spina and Rossi, 2016)"},"properties":{"noteIndex":0},"schema":"https://github.com/citation-style-language/schema/raw/master/csl-citation.json"}</w:instrText>
      </w:r>
      <w:r w:rsidR="00AE1A8A" w:rsidRPr="00002888">
        <w:rPr>
          <w:rFonts w:ascii="Times New Roman" w:hAnsi="Times New Roman" w:cs="Times New Roman"/>
          <w:sz w:val="24"/>
          <w:szCs w:val="24"/>
          <w:shd w:val="clear" w:color="auto" w:fill="FFFFFF"/>
          <w:lang w:val="en-GB"/>
        </w:rPr>
        <w:fldChar w:fldCharType="separate"/>
      </w:r>
      <w:r w:rsidR="00A15967" w:rsidRPr="00002888">
        <w:rPr>
          <w:rFonts w:ascii="Times New Roman" w:hAnsi="Times New Roman" w:cs="Times New Roman"/>
          <w:noProof/>
          <w:sz w:val="24"/>
          <w:szCs w:val="24"/>
          <w:shd w:val="clear" w:color="auto" w:fill="FFFFFF"/>
          <w:lang w:val="en-GB"/>
        </w:rPr>
        <w:t>(Spina and Rossi, 2016)</w:t>
      </w:r>
      <w:r w:rsidR="00AE1A8A" w:rsidRPr="00002888">
        <w:rPr>
          <w:rFonts w:ascii="Times New Roman" w:hAnsi="Times New Roman" w:cs="Times New Roman"/>
          <w:sz w:val="24"/>
          <w:szCs w:val="24"/>
          <w:shd w:val="clear" w:color="auto" w:fill="FFFFFF"/>
          <w:lang w:val="en-GB"/>
        </w:rPr>
        <w:fldChar w:fldCharType="end"/>
      </w:r>
      <w:r w:rsidR="0004284C" w:rsidRPr="00002888">
        <w:rPr>
          <w:rFonts w:ascii="Times New Roman" w:hAnsi="Times New Roman" w:cs="Times New Roman"/>
          <w:sz w:val="24"/>
          <w:szCs w:val="24"/>
          <w:shd w:val="clear" w:color="auto" w:fill="FFFFFF"/>
          <w:lang w:val="en-GB"/>
        </w:rPr>
        <w:t>, wh</w:t>
      </w:r>
      <w:r w:rsidR="007D4223" w:rsidRPr="00002888">
        <w:rPr>
          <w:rFonts w:ascii="Times New Roman" w:hAnsi="Times New Roman" w:cs="Times New Roman"/>
          <w:sz w:val="24"/>
          <w:szCs w:val="24"/>
          <w:shd w:val="clear" w:color="auto" w:fill="FFFFFF"/>
          <w:lang w:val="en-GB"/>
        </w:rPr>
        <w:t>ile</w:t>
      </w:r>
      <w:r w:rsidR="00993813" w:rsidRPr="00002888">
        <w:rPr>
          <w:rFonts w:ascii="Times New Roman" w:hAnsi="Times New Roman" w:cs="Times New Roman"/>
          <w:sz w:val="24"/>
          <w:szCs w:val="24"/>
          <w:shd w:val="clear" w:color="auto" w:fill="FFFFFF"/>
          <w:lang w:val="en-GB"/>
        </w:rPr>
        <w:t xml:space="preserve"> termination of signalling is dependent on negative feedback mechanisms </w:t>
      </w:r>
      <w:r w:rsidR="00993813" w:rsidRPr="00002888">
        <w:rPr>
          <w:rFonts w:ascii="Times New Roman" w:hAnsi="Times New Roman" w:cs="Times New Roman"/>
          <w:color w:val="1C1D1E"/>
          <w:sz w:val="24"/>
          <w:szCs w:val="24"/>
          <w:shd w:val="clear" w:color="auto" w:fill="FFFFFF"/>
          <w:lang w:val="en-GB"/>
        </w:rPr>
        <w:t xml:space="preserve">including re‐accumulation of </w:t>
      </w:r>
      <w:proofErr w:type="spellStart"/>
      <w:r w:rsidR="00993813" w:rsidRPr="00002888">
        <w:rPr>
          <w:rFonts w:ascii="Times New Roman" w:hAnsi="Times New Roman" w:cs="Times New Roman"/>
          <w:color w:val="1C1D1E"/>
          <w:sz w:val="24"/>
          <w:szCs w:val="24"/>
          <w:shd w:val="clear" w:color="auto" w:fill="FFFFFF"/>
          <w:lang w:val="en-GB"/>
        </w:rPr>
        <w:t>IκB</w:t>
      </w:r>
      <w:proofErr w:type="spellEnd"/>
      <w:r w:rsidR="00993813" w:rsidRPr="00002888">
        <w:rPr>
          <w:rFonts w:ascii="Times New Roman" w:hAnsi="Times New Roman" w:cs="Times New Roman"/>
          <w:color w:val="1C1D1E"/>
          <w:sz w:val="24"/>
          <w:szCs w:val="24"/>
          <w:shd w:val="clear" w:color="auto" w:fill="FFFFFF"/>
          <w:lang w:val="en-GB"/>
        </w:rPr>
        <w:t>α and induction of A20</w:t>
      </w:r>
      <w:r w:rsidR="00993813" w:rsidRPr="00002888">
        <w:rPr>
          <w:rFonts w:ascii="Times New Roman" w:hAnsi="Times New Roman" w:cs="Times New Roman"/>
          <w:sz w:val="24"/>
          <w:szCs w:val="24"/>
          <w:shd w:val="clear" w:color="auto" w:fill="FFFFFF"/>
          <w:lang w:val="en-GB"/>
        </w:rPr>
        <w:t xml:space="preserve"> </w:t>
      </w:r>
      <w:r w:rsidR="00AE1A8A" w:rsidRPr="00002888">
        <w:rPr>
          <w:rFonts w:ascii="Times New Roman" w:hAnsi="Times New Roman" w:cs="Times New Roman"/>
          <w:sz w:val="24"/>
          <w:szCs w:val="24"/>
          <w:shd w:val="clear" w:color="auto" w:fill="FFFFFF"/>
          <w:lang w:val="en-GB"/>
        </w:rPr>
        <w:fldChar w:fldCharType="begin" w:fldLock="1"/>
      </w:r>
      <w:r w:rsidR="00EB4D78" w:rsidRPr="00002888">
        <w:rPr>
          <w:rFonts w:ascii="Times New Roman" w:hAnsi="Times New Roman" w:cs="Times New Roman"/>
          <w:sz w:val="24"/>
          <w:szCs w:val="24"/>
          <w:shd w:val="clear" w:color="auto" w:fill="FFFFFF"/>
          <w:lang w:val="en-GB"/>
        </w:rPr>
        <w:instrText>ADDIN CSL_CITATION {"citationItems":[{"id":"ITEM-1","itemData":{"DOI":"10.1111/j.1600-065X.2012.01105.x","ISSN":"1600-065X","PMID":"22435566","abstract":"Derangement of the nuclear factor κB (NF-κB) pathway initiates and/or sustains many types of human cancer. B-cell malignancies are particularly affected by oncogenic mutations, translocations, and copy number alterations affecting key components the NF-κB pathway, most likely owing to the pervasive role of this pathway in normal B cells. These genetic aberrations cause tumors to be 'addicted' to NF-κB, which can be exploited therapeutically. Since each subtype of lymphoid cancer utilizes different mechanisms to activate NF-κB, several different therapeutic strategies are needed to address this pathogenetic heterogeneity. Fortunately, a number of drugs that block signaling cascades leading to NF-κB are in early phase clinical trials, several of which are already showing activity in lymphoid malignancies.","author":[{"dropping-particle":"","family":"Lim","given":"Kian-Huat","non-dropping-particle":"","parse-names":false,"suffix":""},{"dropping-particle":"","family":"Yang","given":"Yibin","non-dropping-particle":"","parse-names":false,"suffix":""},{"dropping-particle":"","family":"Staudt","given":"Louis M.","non-dropping-particle":"","parse-names":false,"suffix":""}],"container-title":"Immunological reviews","id":"ITEM-1","issue":"1","issued":{"date-parts":[["2012","3"]]},"page":"359-78","title":"Pathogenetic importance and therapeutic implications of NF-κB in lymphoid malignancies.","type":"article-journal","volume":"246"},"uris":["http://www.mendeley.com/documents/?uuid=43a7e94b-145c-4e89-9090-3687e18df5a6"]}],"mendeley":{"formattedCitation":"(Lim et al., 2012)","plainTextFormattedCitation":"(Lim et al., 2012)","previouslyFormattedCitation":"(Lim et al., 2012)"},"properties":{"noteIndex":0},"schema":"https://github.com/citation-style-language/schema/raw/master/csl-citation.json"}</w:instrText>
      </w:r>
      <w:r w:rsidR="00AE1A8A" w:rsidRPr="00002888">
        <w:rPr>
          <w:rFonts w:ascii="Times New Roman" w:hAnsi="Times New Roman" w:cs="Times New Roman"/>
          <w:sz w:val="24"/>
          <w:szCs w:val="24"/>
          <w:shd w:val="clear" w:color="auto" w:fill="FFFFFF"/>
          <w:lang w:val="en-GB"/>
        </w:rPr>
        <w:fldChar w:fldCharType="separate"/>
      </w:r>
      <w:r w:rsidR="00A15967" w:rsidRPr="00002888">
        <w:rPr>
          <w:rFonts w:ascii="Times New Roman" w:hAnsi="Times New Roman" w:cs="Times New Roman"/>
          <w:noProof/>
          <w:sz w:val="24"/>
          <w:szCs w:val="24"/>
          <w:shd w:val="clear" w:color="auto" w:fill="FFFFFF"/>
          <w:lang w:val="en-GB"/>
        </w:rPr>
        <w:t>(Lim et al., 2012)</w:t>
      </w:r>
      <w:r w:rsidR="00AE1A8A" w:rsidRPr="00002888">
        <w:rPr>
          <w:rFonts w:ascii="Times New Roman" w:hAnsi="Times New Roman" w:cs="Times New Roman"/>
          <w:sz w:val="24"/>
          <w:szCs w:val="24"/>
          <w:shd w:val="clear" w:color="auto" w:fill="FFFFFF"/>
          <w:lang w:val="en-GB"/>
        </w:rPr>
        <w:fldChar w:fldCharType="end"/>
      </w:r>
      <w:r w:rsidR="00993813" w:rsidRPr="00002888">
        <w:rPr>
          <w:rFonts w:ascii="Times New Roman" w:hAnsi="Times New Roman" w:cs="Times New Roman"/>
          <w:color w:val="1C1D1E"/>
          <w:sz w:val="24"/>
          <w:szCs w:val="24"/>
          <w:shd w:val="clear" w:color="auto" w:fill="FFFFFF"/>
          <w:lang w:val="en-GB"/>
        </w:rPr>
        <w:t xml:space="preserve">. </w:t>
      </w:r>
      <w:r w:rsidR="0011732D" w:rsidRPr="00002888">
        <w:rPr>
          <w:rFonts w:ascii="Times New Roman" w:hAnsi="Times New Roman" w:cs="Times New Roman"/>
          <w:sz w:val="24"/>
          <w:szCs w:val="24"/>
          <w:shd w:val="clear" w:color="auto" w:fill="FFFFFF"/>
          <w:lang w:val="en-GB"/>
        </w:rPr>
        <w:t xml:space="preserve">Both unbiased and targeted approaches have </w:t>
      </w:r>
      <w:r w:rsidR="008D0D23" w:rsidRPr="00002888">
        <w:rPr>
          <w:rFonts w:ascii="Times New Roman" w:hAnsi="Times New Roman" w:cs="Times New Roman"/>
          <w:sz w:val="24"/>
          <w:szCs w:val="24"/>
          <w:shd w:val="clear" w:color="auto" w:fill="FFFFFF"/>
          <w:lang w:val="en-GB"/>
        </w:rPr>
        <w:t>uncovered</w:t>
      </w:r>
      <w:r w:rsidR="0011732D" w:rsidRPr="00002888">
        <w:rPr>
          <w:rFonts w:ascii="Times New Roman" w:hAnsi="Times New Roman" w:cs="Times New Roman"/>
          <w:sz w:val="24"/>
          <w:szCs w:val="24"/>
          <w:shd w:val="clear" w:color="auto" w:fill="FFFFFF"/>
          <w:lang w:val="en-GB"/>
        </w:rPr>
        <w:t xml:space="preserve"> </w:t>
      </w:r>
      <w:r w:rsidR="008D0D23" w:rsidRPr="00002888">
        <w:rPr>
          <w:rFonts w:ascii="Times New Roman" w:hAnsi="Times New Roman" w:cs="Times New Roman"/>
          <w:sz w:val="24"/>
          <w:szCs w:val="24"/>
          <w:shd w:val="clear" w:color="auto" w:fill="FFFFFF"/>
          <w:lang w:val="en-GB"/>
        </w:rPr>
        <w:t>molecular lesions affecting</w:t>
      </w:r>
      <w:r w:rsidR="009F7356" w:rsidRPr="00002888">
        <w:rPr>
          <w:rFonts w:ascii="Times New Roman" w:hAnsi="Times New Roman" w:cs="Times New Roman"/>
          <w:sz w:val="24"/>
          <w:szCs w:val="24"/>
          <w:shd w:val="clear" w:color="auto" w:fill="FFFFFF"/>
          <w:lang w:val="en-GB"/>
        </w:rPr>
        <w:t xml:space="preserve"> genes belon</w:t>
      </w:r>
      <w:r w:rsidR="00CA77AA" w:rsidRPr="00002888">
        <w:rPr>
          <w:rFonts w:ascii="Times New Roman" w:hAnsi="Times New Roman" w:cs="Times New Roman"/>
          <w:sz w:val="24"/>
          <w:szCs w:val="24"/>
          <w:shd w:val="clear" w:color="auto" w:fill="FFFFFF"/>
          <w:lang w:val="en-GB"/>
        </w:rPr>
        <w:t>ging</w:t>
      </w:r>
      <w:r w:rsidR="009F7356" w:rsidRPr="00002888">
        <w:rPr>
          <w:rFonts w:ascii="Times New Roman" w:hAnsi="Times New Roman" w:cs="Times New Roman"/>
          <w:sz w:val="24"/>
          <w:szCs w:val="24"/>
          <w:shd w:val="clear" w:color="auto" w:fill="FFFFFF"/>
          <w:lang w:val="en-GB"/>
        </w:rPr>
        <w:t xml:space="preserve"> to the </w:t>
      </w:r>
      <w:r w:rsidR="00CA77AA" w:rsidRPr="00002888">
        <w:rPr>
          <w:rFonts w:ascii="Times New Roman" w:hAnsi="Times New Roman" w:cs="Times New Roman"/>
          <w:sz w:val="24"/>
          <w:szCs w:val="24"/>
          <w:shd w:val="clear" w:color="auto" w:fill="FFFFFF"/>
          <w:lang w:val="en-GB"/>
        </w:rPr>
        <w:t>NF-</w:t>
      </w:r>
      <w:proofErr w:type="spellStart"/>
      <w:r w:rsidR="00A44284" w:rsidRPr="00002888">
        <w:rPr>
          <w:rFonts w:ascii="Times New Roman" w:hAnsi="Times New Roman" w:cs="Times New Roman"/>
          <w:sz w:val="24"/>
          <w:szCs w:val="24"/>
          <w:lang w:val="en-GB"/>
        </w:rPr>
        <w:t>κ</w:t>
      </w:r>
      <w:r w:rsidR="00CA77AA" w:rsidRPr="00002888">
        <w:rPr>
          <w:rFonts w:ascii="Times New Roman" w:hAnsi="Times New Roman" w:cs="Times New Roman"/>
          <w:sz w:val="24"/>
          <w:szCs w:val="24"/>
          <w:shd w:val="clear" w:color="auto" w:fill="FFFFFF"/>
          <w:lang w:val="en-GB"/>
        </w:rPr>
        <w:t>B</w:t>
      </w:r>
      <w:proofErr w:type="spellEnd"/>
      <w:r w:rsidR="00CA77AA" w:rsidRPr="00002888">
        <w:rPr>
          <w:rFonts w:ascii="Times New Roman" w:hAnsi="Times New Roman" w:cs="Times New Roman"/>
          <w:sz w:val="24"/>
          <w:szCs w:val="24"/>
          <w:shd w:val="clear" w:color="auto" w:fill="FFFFFF"/>
          <w:lang w:val="en-GB"/>
        </w:rPr>
        <w:t xml:space="preserve"> </w:t>
      </w:r>
      <w:r w:rsidR="009F7356" w:rsidRPr="00002888">
        <w:rPr>
          <w:rFonts w:ascii="Times New Roman" w:hAnsi="Times New Roman" w:cs="Times New Roman"/>
          <w:sz w:val="24"/>
          <w:szCs w:val="24"/>
          <w:shd w:val="clear" w:color="auto" w:fill="FFFFFF"/>
          <w:lang w:val="en-GB"/>
        </w:rPr>
        <w:t>pathway</w:t>
      </w:r>
      <w:r w:rsidR="004405AC" w:rsidRPr="00002888">
        <w:rPr>
          <w:rFonts w:ascii="Times New Roman" w:hAnsi="Times New Roman" w:cs="Times New Roman"/>
          <w:sz w:val="24"/>
          <w:szCs w:val="24"/>
          <w:shd w:val="clear" w:color="auto" w:fill="FFFFFF"/>
          <w:lang w:val="en-GB"/>
        </w:rPr>
        <w:t>,</w:t>
      </w:r>
      <w:r w:rsidR="00CA77AA" w:rsidRPr="00002888">
        <w:rPr>
          <w:rFonts w:ascii="Times New Roman" w:hAnsi="Times New Roman" w:cs="Times New Roman"/>
          <w:sz w:val="24"/>
          <w:szCs w:val="24"/>
          <w:shd w:val="clear" w:color="auto" w:fill="FFFFFF"/>
          <w:lang w:val="en-GB"/>
        </w:rPr>
        <w:t xml:space="preserve"> </w:t>
      </w:r>
      <w:r w:rsidR="00207D38" w:rsidRPr="00002888">
        <w:rPr>
          <w:rFonts w:ascii="Times New Roman" w:hAnsi="Times New Roman" w:cs="Times New Roman"/>
          <w:sz w:val="24"/>
          <w:szCs w:val="24"/>
          <w:shd w:val="clear" w:color="auto" w:fill="FFFFFF"/>
          <w:lang w:val="en-GB"/>
        </w:rPr>
        <w:t xml:space="preserve">as </w:t>
      </w:r>
      <w:r w:rsidR="00CA77AA" w:rsidRPr="00002888">
        <w:rPr>
          <w:rFonts w:ascii="Times New Roman" w:hAnsi="Times New Roman" w:cs="Times New Roman"/>
          <w:sz w:val="24"/>
          <w:szCs w:val="24"/>
          <w:shd w:val="clear" w:color="auto" w:fill="FFFFFF"/>
          <w:lang w:val="en-GB"/>
        </w:rPr>
        <w:t>well as upstream pathways connected to NF-</w:t>
      </w:r>
      <w:proofErr w:type="spellStart"/>
      <w:r w:rsidR="00A44284" w:rsidRPr="00002888">
        <w:rPr>
          <w:rFonts w:ascii="Times New Roman" w:hAnsi="Times New Roman" w:cs="Times New Roman"/>
          <w:sz w:val="24"/>
          <w:szCs w:val="24"/>
          <w:lang w:val="en-GB"/>
        </w:rPr>
        <w:t>κ</w:t>
      </w:r>
      <w:r w:rsidR="00CA77AA" w:rsidRPr="00002888">
        <w:rPr>
          <w:rFonts w:ascii="Times New Roman" w:hAnsi="Times New Roman" w:cs="Times New Roman"/>
          <w:sz w:val="24"/>
          <w:szCs w:val="24"/>
          <w:shd w:val="clear" w:color="auto" w:fill="FFFFFF"/>
          <w:lang w:val="en-GB"/>
        </w:rPr>
        <w:t>B</w:t>
      </w:r>
      <w:proofErr w:type="spellEnd"/>
      <w:r w:rsidR="00CA77AA" w:rsidRPr="00002888">
        <w:rPr>
          <w:rFonts w:ascii="Times New Roman" w:hAnsi="Times New Roman" w:cs="Times New Roman"/>
          <w:sz w:val="24"/>
          <w:szCs w:val="24"/>
          <w:shd w:val="clear" w:color="auto" w:fill="FFFFFF"/>
          <w:lang w:val="en-GB"/>
        </w:rPr>
        <w:t xml:space="preserve"> activation </w:t>
      </w:r>
      <w:r w:rsidR="00CA77AA" w:rsidRPr="00002888">
        <w:rPr>
          <w:rFonts w:ascii="Times New Roman" w:hAnsi="Times New Roman" w:cs="Times New Roman"/>
          <w:sz w:val="24"/>
          <w:szCs w:val="24"/>
          <w:shd w:val="clear" w:color="auto" w:fill="FFFFFF"/>
          <w:lang w:val="en-GB"/>
        </w:rPr>
        <w:fldChar w:fldCharType="begin" w:fldLock="1"/>
      </w:r>
      <w:r w:rsidR="00EB4D78" w:rsidRPr="00002888">
        <w:rPr>
          <w:rFonts w:ascii="Times New Roman" w:hAnsi="Times New Roman" w:cs="Times New Roman"/>
          <w:sz w:val="24"/>
          <w:szCs w:val="24"/>
          <w:shd w:val="clear" w:color="auto" w:fill="FFFFFF"/>
          <w:lang w:val="en-GB"/>
        </w:rPr>
        <w:instrText>ADDIN CSL_CITATION {"citationItems":[{"id":"ITEM-1","itemData":{"DOI":"10.1016/j.semcancer.2016.08.002","ISSN":"1044579X","PMID":"27503810","abstract":"Splenic marginal zone lymphoma is a rare mature B-cell malignancy involving the spleen, bone marrow and blood. Over the past years, the rapid expansion of sequencing technologies allowing the genome-wide assessment of genomic, epigenetic and transcriptional changes has revolutionized our understanding of the biological basis of splenic marginal zone lymphoma by providing a comprehensive and unbiased view of the genes/pathways that are deregulated in this disease. NF-κB is a family of transcription factors that plays critical roles in development, survival, and activation of B lymphocytes. Consistent with the physiological involvement of NF-κB signalling in proliferation and commitment of mature B-cells to the marginal zone of the spleen, many oncogenic mutations involved in constitutive activation of the NF-κB pathway were recently identified in splenic marginal zone lymphoma. This review describes the progress in understanding the mechanism of NF-κB activation in splenic marginal zone lymphoma, including molecular, epigenetic and post-transcriptional modifications of NF-κB genes and of upstream pathways, and discusses how information gained from these efforts has provided new insights on potential targets of diagnostic, prognostic and therapeutic relevance for splenic marginal zone lymphoma.","author":[{"dropping-particle":"","family":"Spina","given":"Valeria","non-dropping-particle":"","parse-names":false,"suffix":""},{"dropping-particle":"","family":"Rossi","given":"Davide","non-dropping-particle":"","parse-names":false,"suffix":""}],"container-title":"Seminars in Cancer Biology","id":"ITEM-1","issued":{"date-parts":[["2016","8"]]},"page":"61-67","title":"NF-κB deregulation in splenic marginal zone lymphoma","type":"article-journal","volume":"39"},"uris":["http://www.mendeley.com/documents/?uuid=e4c42633-1ade-4d27-9de8-8d7120118612"]}],"mendeley":{"formattedCitation":"(Spina and Rossi, 2016)","plainTextFormattedCitation":"(Spina and Rossi, 2016)","previouslyFormattedCitation":"(Spina and Rossi, 2016)"},"properties":{"noteIndex":0},"schema":"https://github.com/citation-style-language/schema/raw/master/csl-citation.json"}</w:instrText>
      </w:r>
      <w:r w:rsidR="00CA77AA" w:rsidRPr="00002888">
        <w:rPr>
          <w:rFonts w:ascii="Times New Roman" w:hAnsi="Times New Roman" w:cs="Times New Roman"/>
          <w:sz w:val="24"/>
          <w:szCs w:val="24"/>
          <w:shd w:val="clear" w:color="auto" w:fill="FFFFFF"/>
          <w:lang w:val="en-GB"/>
        </w:rPr>
        <w:fldChar w:fldCharType="separate"/>
      </w:r>
      <w:r w:rsidR="00A15967" w:rsidRPr="00002888">
        <w:rPr>
          <w:rFonts w:ascii="Times New Roman" w:hAnsi="Times New Roman" w:cs="Times New Roman"/>
          <w:noProof/>
          <w:sz w:val="24"/>
          <w:szCs w:val="24"/>
          <w:shd w:val="clear" w:color="auto" w:fill="FFFFFF"/>
          <w:lang w:val="en-GB"/>
        </w:rPr>
        <w:t>(Spina and Rossi, 2016)</w:t>
      </w:r>
      <w:r w:rsidR="00CA77AA" w:rsidRPr="00002888">
        <w:rPr>
          <w:rFonts w:ascii="Times New Roman" w:hAnsi="Times New Roman" w:cs="Times New Roman"/>
          <w:sz w:val="24"/>
          <w:szCs w:val="24"/>
          <w:shd w:val="clear" w:color="auto" w:fill="FFFFFF"/>
          <w:lang w:val="en-GB"/>
        </w:rPr>
        <w:fldChar w:fldCharType="end"/>
      </w:r>
      <w:r w:rsidR="00017FFD" w:rsidRPr="00002888">
        <w:rPr>
          <w:rFonts w:ascii="Times New Roman" w:hAnsi="Times New Roman" w:cs="Times New Roman"/>
          <w:sz w:val="24"/>
          <w:szCs w:val="24"/>
          <w:shd w:val="clear" w:color="auto" w:fill="FFFFFF"/>
          <w:lang w:val="en-GB"/>
        </w:rPr>
        <w:t xml:space="preserve">. Most notably </w:t>
      </w:r>
      <w:r w:rsidR="00017FFD" w:rsidRPr="00002888">
        <w:rPr>
          <w:rFonts w:ascii="Times New Roman" w:hAnsi="Times New Roman" w:cs="Times New Roman"/>
          <w:i/>
          <w:iCs/>
          <w:sz w:val="24"/>
          <w:szCs w:val="24"/>
          <w:shd w:val="clear" w:color="auto" w:fill="FFFFFF"/>
          <w:lang w:val="en-GB"/>
        </w:rPr>
        <w:t>TNFAIP3</w:t>
      </w:r>
      <w:r w:rsidR="00017FFD" w:rsidRPr="00002888">
        <w:rPr>
          <w:rFonts w:ascii="Times New Roman" w:hAnsi="Times New Roman" w:cs="Times New Roman"/>
          <w:sz w:val="24"/>
          <w:szCs w:val="24"/>
          <w:shd w:val="clear" w:color="auto" w:fill="FFFFFF"/>
          <w:lang w:val="en-GB"/>
        </w:rPr>
        <w:t xml:space="preserve"> (A20)</w:t>
      </w:r>
      <w:r w:rsidR="00236878" w:rsidRPr="00002888">
        <w:rPr>
          <w:rFonts w:ascii="Times New Roman" w:hAnsi="Times New Roman" w:cs="Times New Roman"/>
          <w:sz w:val="24"/>
          <w:szCs w:val="24"/>
          <w:shd w:val="clear" w:color="auto" w:fill="FFFFFF"/>
          <w:lang w:val="en-GB"/>
        </w:rPr>
        <w:t>, a</w:t>
      </w:r>
      <w:r w:rsidR="0085369D" w:rsidRPr="00002888">
        <w:rPr>
          <w:rFonts w:ascii="Times New Roman" w:hAnsi="Times New Roman" w:cs="Times New Roman"/>
          <w:sz w:val="24"/>
          <w:szCs w:val="24"/>
          <w:shd w:val="clear" w:color="auto" w:fill="FFFFFF"/>
          <w:lang w:val="en-GB"/>
        </w:rPr>
        <w:t xml:space="preserve"> </w:t>
      </w:r>
      <w:r w:rsidR="00236878" w:rsidRPr="00002888">
        <w:rPr>
          <w:rFonts w:ascii="Times New Roman" w:hAnsi="Times New Roman" w:cs="Times New Roman"/>
          <w:sz w:val="24"/>
          <w:szCs w:val="24"/>
          <w:shd w:val="clear" w:color="auto" w:fill="FFFFFF"/>
          <w:lang w:val="en-GB"/>
        </w:rPr>
        <w:t>negative regulator of NF-</w:t>
      </w:r>
      <w:proofErr w:type="spellStart"/>
      <w:r w:rsidR="00A44284" w:rsidRPr="00002888">
        <w:rPr>
          <w:rFonts w:ascii="Times New Roman" w:hAnsi="Times New Roman" w:cs="Times New Roman"/>
          <w:sz w:val="24"/>
          <w:szCs w:val="24"/>
          <w:lang w:val="en-GB"/>
        </w:rPr>
        <w:t>κ</w:t>
      </w:r>
      <w:r w:rsidR="00236878" w:rsidRPr="00002888">
        <w:rPr>
          <w:rFonts w:ascii="Times New Roman" w:hAnsi="Times New Roman" w:cs="Times New Roman"/>
          <w:sz w:val="24"/>
          <w:szCs w:val="24"/>
          <w:shd w:val="clear" w:color="auto" w:fill="FFFFFF"/>
          <w:lang w:val="en-GB"/>
        </w:rPr>
        <w:t>B</w:t>
      </w:r>
      <w:proofErr w:type="spellEnd"/>
      <w:r w:rsidR="0085369D" w:rsidRPr="00002888">
        <w:rPr>
          <w:rFonts w:ascii="Times New Roman" w:hAnsi="Times New Roman" w:cs="Times New Roman"/>
          <w:sz w:val="24"/>
          <w:szCs w:val="24"/>
          <w:shd w:val="clear" w:color="auto" w:fill="FFFFFF"/>
          <w:lang w:val="en-GB"/>
        </w:rPr>
        <w:t xml:space="preserve"> signalling,</w:t>
      </w:r>
      <w:r w:rsidR="00207D38" w:rsidRPr="00002888">
        <w:rPr>
          <w:rFonts w:ascii="Times New Roman" w:hAnsi="Times New Roman" w:cs="Times New Roman"/>
          <w:sz w:val="24"/>
          <w:szCs w:val="24"/>
          <w:shd w:val="clear" w:color="auto" w:fill="FFFFFF"/>
          <w:lang w:val="en-GB"/>
        </w:rPr>
        <w:t xml:space="preserve"> has been found</w:t>
      </w:r>
      <w:r w:rsidR="0085369D" w:rsidRPr="00002888">
        <w:rPr>
          <w:rFonts w:ascii="Times New Roman" w:hAnsi="Times New Roman" w:cs="Times New Roman"/>
          <w:sz w:val="24"/>
          <w:szCs w:val="24"/>
          <w:shd w:val="clear" w:color="auto" w:fill="FFFFFF"/>
          <w:lang w:val="en-GB"/>
        </w:rPr>
        <w:t xml:space="preserve"> mutated</w:t>
      </w:r>
      <w:r w:rsidR="00207D38" w:rsidRPr="00002888">
        <w:rPr>
          <w:rFonts w:ascii="Times New Roman" w:hAnsi="Times New Roman" w:cs="Times New Roman"/>
          <w:sz w:val="24"/>
          <w:szCs w:val="24"/>
          <w:shd w:val="clear" w:color="auto" w:fill="FFFFFF"/>
          <w:lang w:val="en-GB"/>
        </w:rPr>
        <w:t xml:space="preserve"> </w:t>
      </w:r>
      <w:r w:rsidR="002171BD" w:rsidRPr="00002888">
        <w:rPr>
          <w:rFonts w:ascii="Times New Roman" w:hAnsi="Times New Roman" w:cs="Times New Roman"/>
          <w:sz w:val="24"/>
          <w:szCs w:val="24"/>
          <w:shd w:val="clear" w:color="auto" w:fill="FFFFFF"/>
          <w:lang w:val="en-GB"/>
        </w:rPr>
        <w:t xml:space="preserve">in </w:t>
      </w:r>
      <w:r w:rsidR="0085369D" w:rsidRPr="00002888">
        <w:rPr>
          <w:rFonts w:ascii="Times New Roman" w:hAnsi="Times New Roman" w:cs="Times New Roman"/>
          <w:sz w:val="24"/>
          <w:szCs w:val="24"/>
          <w:shd w:val="clear" w:color="auto" w:fill="FFFFFF"/>
          <w:lang w:val="en-GB"/>
        </w:rPr>
        <w:t>~</w:t>
      </w:r>
      <w:r w:rsidR="002171BD" w:rsidRPr="00002888">
        <w:rPr>
          <w:rFonts w:ascii="Times New Roman" w:hAnsi="Times New Roman" w:cs="Times New Roman"/>
          <w:sz w:val="24"/>
          <w:szCs w:val="24"/>
          <w:shd w:val="clear" w:color="auto" w:fill="FFFFFF"/>
          <w:lang w:val="en-GB"/>
        </w:rPr>
        <w:t>13% of SMZL cases</w:t>
      </w:r>
      <w:r w:rsidR="008D06CC" w:rsidRPr="00002888">
        <w:rPr>
          <w:rFonts w:ascii="Times New Roman" w:hAnsi="Times New Roman" w:cs="Times New Roman"/>
          <w:sz w:val="24"/>
          <w:szCs w:val="24"/>
          <w:shd w:val="clear" w:color="auto" w:fill="FFFFFF"/>
          <w:lang w:val="en-GB"/>
        </w:rPr>
        <w:t xml:space="preserve"> </w:t>
      </w:r>
      <w:r w:rsidR="00076B83" w:rsidRPr="00002888">
        <w:rPr>
          <w:rFonts w:ascii="Times New Roman" w:hAnsi="Times New Roman" w:cs="Times New Roman"/>
          <w:sz w:val="24"/>
          <w:szCs w:val="24"/>
          <w:shd w:val="clear" w:color="auto" w:fill="FFFFFF"/>
          <w:lang w:val="en-GB"/>
        </w:rPr>
        <w:fldChar w:fldCharType="begin" w:fldLock="1"/>
      </w:r>
      <w:r w:rsidR="00284279" w:rsidRPr="00002888">
        <w:rPr>
          <w:rFonts w:ascii="Times New Roman" w:hAnsi="Times New Roman" w:cs="Times New Roman"/>
          <w:sz w:val="24"/>
          <w:szCs w:val="24"/>
          <w:shd w:val="clear" w:color="auto" w:fill="FFFFFF"/>
          <w:lang w:val="en-GB"/>
        </w:rPr>
        <w:instrText xml:space="preserve">ADDIN CSL_CITATION {"citationItems":[{"id":"ITEM-1","itemData":{"DOI":"10.1182/blood-2011-06-359166","ISSN":"0006-4971","abstract":"Splenic marginal zone lymphoma (SMZL) is one of the few B-cell lymphoma types that remain orphan of molecular lesions in cancer-related genes. Detection of active NF-κB signaling in 14 (58%) of 24 SMZLs prompted the investigation of NF-κB molecular alterations in 101 SMZLs. Mutations and copy number abnormalities of NF-κB genes occurred in 36 (36%) of 101 SMZLs and targeted both canonical (TNFAIP3 and IKBKB) and noncanonical (BIRC3, TRAF3, MAP3K14) NF-κB pathways. Most alterations were mutually exclusive, documenting the existence of multiple independent mechanisms affecting NF-κB in SMZL. BIRC3 inactivation in SMZL recurred because of somatic mutations that disrupted the same RING domain that in extranodal marginal zone lymphoma is removed by the t(11;18) translocation, which points to BIRC3 disruption as a common mechanism across marginal zone B-cell lymphomagenesis. Genetic lesions of NF-κB provide a molecular basis for the pathogenesis of more than 30% of SMZLs and offer a suitable target for NF-κB therapeutic approaches in this lymphoma.","author":[{"dropping-particle":"","family":"Rossi","given":"Davide","non-dropping-particle":"","parse-names":false,"suffix":""},{"dropping-particle":"","family":"Deaglio","given":"Silvia","non-dropping-particle":"","parse-names":false,"suffix":""},{"dropping-particle":"","family":"Dominguez-Sola","given":"David","non-dropping-particle":"","parse-names":false,"suffix":""},{"dropping-particle":"","family":"Rasi","given":"Silvia","non-dropping-particle":"","parse-names":false,"suffix":""},{"dropping-particle":"","family":"Vaisitti","given":"Tiziana","non-dropping-particle":"","parse-names":false,"suffix":""},{"dropping-particle":"","family":"Agostinelli","given":"Claudio","non-dropping-particle":"","parse-names":false,"suffix":""},{"dropping-particle":"","family":"Spina","given":"Valeria","non-dropping-particle":"","parse-names":false,"suffix":""},{"dropping-particle":"","family":"Bruscaggin","given":"Alessio","non-dropping-particle":"","parse-names":false,"suffix":""},{"dropping-particle":"","family":"Monti","given":"Sara","non-dropping-particle":"","parse-names":false,"suffix":""},{"dropping-particle":"","family":"Cerri","given":"Michaela","non-dropping-particle":"","parse-names":false,"suffix":""},{"dropping-particle":"","family":"Cresta","given":"Stefania","non-dropping-particle":"","parse-names":false,"suffix":""},{"dropping-particle":"","family":"Fangazio","given":"Marco","non-dropping-particle":"","parse-names":false,"suffix":""},{"dropping-particle":"","family":"Arcaini","given":"Luca","non-dropping-particle":"","parse-names":false,"suffix":""},{"dropping-particle":"","family":"Lucioni","given":"Marco","non-dropping-particle":"","parse-names":false,"suffix":""},{"dropping-particle":"","family":"Marasca","given":"Roberto","non-dropping-particle":"","parse-names":false,"suffix":""},{"dropping-particle":"","family":"Thieblemont","given":"Catherine","non-dropping-particle":"","parse-names":false,"suffix":""},{"dropping-particle":"","family":"Capello","given":"Daniela","non-dropping-particle":"","parse-names":false,"suffix":""},{"dropping-particle":"","family":"Facchetti","given":"Fabio","non-dropping-particle":"","parse-names":false,"suffix":""},{"dropping-particle":"","family":"Kwee","given":"Ivo","non-dropping-particle":"","parse-names":false,"suffix":""},{"dropping-particle":"","family":"Pileri","given":"Stefano a","non-dropping-particle":"","parse-names":false,"suffix":""},{"dropping-particle":"","family":"Foà","given":"Robin","non-dropping-particle":"","parse-names":false,"suffix":""},{"dropping-particle":"","family":"Bertoni","given":"Francesco","non-dropping-particle":"","parse-names":false,"suffix":""},{"dropping-particle":"","family":"Dalla-Favera","given":"Riccardo","non-dropping-particle":"","parse-names":false,"suffix":""},{"dropping-particle":"","family":"Pasqualucci","given":"Laura","non-dropping-particle":"","parse-names":false,"suffix":""},{"dropping-particle":"","family":"Gaidano","given":"Gianluca","non-dropping-particle":"","parse-names":false,"suffix":""}],"container-title":"Blood","id":"ITEM-1","issue":"18","issued":{"date-parts":[["2011","11","3"]]},"page":"4930-4934","title":"Alteration of BIRC3 and multiple other NF-κB pathway genes in splenic marginal zone lymphoma","type":"article-journal","volume":"118"},"uris":["http://www.mendeley.com/documents/?uuid=1f1496bd-955d-4150-a829-b7b3cedaf89d"]},{"id":"ITEM-2","itemData":{"DOI":"10.1182/blood-2010-01-264275","ISSN":"0006-4971","PMID":"21115979","abstract":"Marginal zone B-cell lymphomas (MZLs) have been divided into 3 distinct subtypes (extranodal MZLs of mucosa-associated lymphoid tissue [MALT] type, nodal MZLs, and splenic MZLs). Nevertheless, the relationship between the subtypes is still unclear. We performed a comprehensive analysis of genomic DNA copy number changes in a very large series of MZL cases with the aim of addressing this question. Samples from 218 MZL patients (25 nodal, 57 MALT, 134 splenic, and 2 not better specified MZLs) were analyzed with the Affymetrix Human Mapping 250K SNP arrays, and the data combined with matched gene expression in 33 of 218 cases. MALT lymphoma presented significantly more frequently gains at 3p, 6p, 18p, and del(6q23) (TNFAIP3/A20), whereas splenic MZLs was associated with del(7q31), del(8p). Nodal MZLs did not show statistically significant differences compared with MALT lymphoma while lacking the splenic MZLs-related 7q losses. Gains of 3q and 18q were common to all 3 subtypes. del(8p) was often present together with del(17p) (TP53). Although del(17p) did not determine a worse outcome and del(8p) was only of borderline significance, the presence of both deletions had a highly significant negative impact on the outcome of splenic MZLs.","author":[{"dropping-particle":"","family":"Rinaldi","given":"Andrea","non-dropping-particle":"","parse-names":false,"suffix":""},{"dropping-particle":"","family":"Mian","given":"Michael","non-dropping-particle":"","parse-names":false,"suffix":""},{"dropping-particle":"","family":"Chigrinova","given":"Ekaterina","non-dropping-particle":"","parse-names":false,"suffix":""},{"dropping-particle":"","family":"Arcaini","given":"Luca","non-dropping-particle":"","parse-names":false,"suffix":""},{"dropping-particle":"","family":"Bhagat","given":"Govind","non-dropping-particle":"","parse-names":false,"suffix":""},{"dropping-particle":"","family":"Novak","given":"Urban","non-dropping-particle":"","parse-names":false,"suffix":""},{"dropping-particle":"V.","family":"Rancoita","given":"Paola M.","non-dropping-particle":"","parse-names":false,"suffix":""},{"dropping-particle":"","family":"Campos","given":"Cassio P.","non-dropping-particle":"De","parse-names":false,"suffix":""},{"dropping-particle":"","family":"Forconi","given":"Francesco","non-dropping-particle":"","parse-names":false,"suffix":""},{"dropping-particle":"","family":"Gascoyne","given":"Randy D","non-dropping-particle":"","parse-names":false,"suffix":""},{"dropping-particle":"","family":"Facchetti","given":"Fabio","non-dropping-particle":"","parse-names":false,"suffix":""},{"dropping-particle":"","family":"Ponzoni","given":"Maurilio","non-dropping-particle":"","parse-names":false,"suffix":""},{"dropping-particle":"","family":"Govi","given":"Silvia","non-dropping-particle":"","parse-names":false,"suffix":""},{"dropping-particle":"","family":"Ferreri","given":"Andrés J. M.","non-dropping-particle":"","parse-names":false,"suffix":""},{"dropping-particle":"","family":"Mollejo","given":"Manuela","non-dropping-particle":"","parse-names":false,"suffix":""},{"dropping-particle":"","family":"Piris","given":"Miguel A","non-dropping-particle":"","parse-names":false,"suffix":""},{"dropping-particle":"","family":"Baldini","given":"Luca","non-dropping-particle":"","parse-names":false,"suffix":""},{"dropping-particle":"","family":"Soulier","given":"Jean","non-dropping-particle":"","parse-names":false,"suffix":""},{"dropping-particle":"","family":"Thieblemont","given":"Catherine","non-dropping-particle":"","parse-names":false,"suffix":""},{"dropping-particle":"","family":"Canzonieri","given":"Vincenzo","non-dropping-particle":"","parse-names":false,"suffix":""},{"dropping-particle":"","family":"Gattei","given":"Valter","non-dropping-particle":"","parse-names":false,"suffix":""},{"dropping-particle":"","family":"Marasca","given":"Roberto","non-dropping-particle":"","parse-names":false,"suffix":""},{"dropping-particle":"","family":"Franceschetti","given":"Silvia","non-dropping-particle":"","parse-names":false,"suffix":""},{"dropping-particle":"","family":"Gaidano","given":"Gianluca","non-dropping-particle":"","parse-names":false,"suffix":""},{"dropping-particle":"","family":"Tucci","given":"Alessandra","non-dropping-particle":"","parse-names":false,"suffix":""},{"dropping-particle":"","family":"Uccella","given":"Silvia","non-dropping-particle":"","parse-names":false,"suffix":""},{"dropping-particle":"","family":"Tibiletti","given":"Maria Grazia","non-dropping-particle":"","parse-names":false,"suffix":""},{"dropping-particle":"","family":"Dirnhofer","given":"Stephan","non-dropping-particle":"","parse-names":false,"suffix":""},{"dropping-particle":"","family":"Tripodo","given":"Claudio","non-dropping-particle":"","parse-names":false,"suffix":""},{"dropping-particle":"","family":"Doglioni","given":"Claudio","non-dropping-particle":"","parse-names":false,"suffix":""},{"dropping-particle":"","family":"Dalla Favera","given":"Riccardo","non-dropping-particle":"","parse-names":false,"suffix":""},{"dropping-particle":"","family":"Cavalli","given":"Franco","non-dropping-particle":"","parse-names":false,"suffix":""},{"dropping-particle":"","family":"Zucca","given":"Emanuele","non-dropping-particle":"","parse-names":false,"suffix":""},{"dropping-particle":"","family":"Kwee","given":"Ivo","non-dropping-particle":"","parse-names":false,"suffix":""},{"dropping-particle":"","family":"Bertoni","given":"Francesco","non-dropping-particle":"","parse-names":false,"suffix":""}],"container-title":"Blood","id":"ITEM-2","issue":"5","issued":{"date-parts":[["2011","2","3"]]},"page":"1595-1604","title":"Genome-wide DNA profiling of marginal zone lymphomas identifies subtype-specific lesions with an impact on the clinical outcome","type":"article-journal","volume":"117"},"uris":["http://www.mendeley.com/documents/?uuid=6ac62c53-1030-4cf0-9e7a-baca26dde9a6"]},{"id":"ITEM-3","itemData":{"DOI":"10.1084/jem.20120904","ISBN":"1540-9538 (Electronic)\\r0022-1007 (Linking)","ISSN":"0022-1007","PMID":"22891273","abstract":"Splenic marginal zone lymphoma (SMZL) is a B cell malignancy of unknown pathogenesis, and thus an orphan of targeted therapies. By integrating whole-exome sequencing and copy-number analysis, we show that the SMZL exome carries at least 30 nonsilent gene alterations. Mutations in NOTCH2, a gene required for marginal-zone (MZ) B cell development, represent the most frequent lesion in SMZL, accounting for </w:instrText>
      </w:r>
      <w:r w:rsidR="00284279" w:rsidRPr="00002888">
        <w:rPr>
          <w:rFonts w:ascii="Cambria Math" w:hAnsi="Cambria Math" w:cs="Cambria Math"/>
          <w:sz w:val="24"/>
          <w:szCs w:val="24"/>
          <w:shd w:val="clear" w:color="auto" w:fill="FFFFFF"/>
          <w:lang w:val="en-GB"/>
        </w:rPr>
        <w:instrText>∼</w:instrText>
      </w:r>
      <w:r w:rsidR="00284279" w:rsidRPr="00002888">
        <w:rPr>
          <w:rFonts w:ascii="Times New Roman" w:hAnsi="Times New Roman" w:cs="Times New Roman"/>
          <w:sz w:val="24"/>
          <w:szCs w:val="24"/>
          <w:shd w:val="clear" w:color="auto" w:fill="FFFFFF"/>
          <w:lang w:val="en-GB"/>
        </w:rPr>
        <w:instrText xml:space="preserve">20% of cases. All NOTCH2 mutations are predicted to cause impaired degradation of the NOTCH2 protein by eliminating the C-terminal PEST domain, which is required for proteasomal recruitment. Among indolent B cell lymphoproliferative disorders, NOTCH2 mutations are restricted to SMZL, thus representing a potential diagnostic marker for this lymphoma type. In addition to NOTCH2, other modulators or members of the NOTCH pathway are recurrently targeted by genetic lesions in SMZL; these include NOTCH1, SPEN, and DTX1. We also noted mutations in other signaling pathways normally involved in MZ B cell development, suggesting that deregulation of MZ B cell development pathways plays a role in the pathogenesis of </w:instrText>
      </w:r>
      <w:r w:rsidR="00284279" w:rsidRPr="00002888">
        <w:rPr>
          <w:rFonts w:ascii="Cambria Math" w:hAnsi="Cambria Math" w:cs="Cambria Math"/>
          <w:sz w:val="24"/>
          <w:szCs w:val="24"/>
          <w:shd w:val="clear" w:color="auto" w:fill="FFFFFF"/>
          <w:lang w:val="en-GB"/>
        </w:rPr>
        <w:instrText>∼</w:instrText>
      </w:r>
      <w:r w:rsidR="00284279" w:rsidRPr="00002888">
        <w:rPr>
          <w:rFonts w:ascii="Times New Roman" w:hAnsi="Times New Roman" w:cs="Times New Roman"/>
          <w:sz w:val="24"/>
          <w:szCs w:val="24"/>
          <w:shd w:val="clear" w:color="auto" w:fill="FFFFFF"/>
          <w:lang w:val="en-GB"/>
        </w:rPr>
        <w:instrText>60% SMZL. These findings have direct implications for the treatment of SMZL patients, given the availability of drugs that can target NOTCH, NF-κB, and other pathways deregulated in this disease.","author":[{"dropping-particle":"","family":"Rossi","given":"Davide","non-dropping-particle":"","parse-names":false,"suffix":""},{"dropping-particle":"","family":"Trifonov","given":"Vladimir","non-dropping-particle":"","parse-names":false,"suffix":""},{"dropping-particle":"","family":"Fangazio","given":"Marco","non-dropping-particle":"","parse-names":false,"suffix":""},{"dropping-particle":"","family":"Bruscaggin","given":"Alessio","non-dropping-particle":"","parse-names":false,"suffix":""},{"dropping-particle":"","family":"Rasi","given":"Silvia","non-dropping-particle":"","parse-names":false,"suffix":""},{"dropping-particle":"","family":"Spina","given":"Valeria","non-dropping-particle":"","parse-names":false,"suffix":""},{"dropping-particle":"","family":"Monti","given":"Sara","non-dropping-particle":"","parse-names":false,"suffix":""},{"dropping-particle":"","family":"Vaisitti","given":"Tiziana","non-dropping-particle":"","parse-names":false,"suffix":""},{"dropping-particle":"","family":"Arruga","given":"Francesca","non-dropping-particle":"","parse-names":false,"suffix":""},{"dropping-particle":"","family":"Famà","given":"Rosella","non-dropping-particle":"","parse-names":false,"suffix":""},{"dropping-particle":"","family":"Ciardullo","given":"Carmela","non-dropping-particle":"","parse-names":false,"suffix":""},{"dropping-particle":"","family":"Greco","given":"Mariangela","non-dropping-particle":"","parse-names":false,"suffix":""},{"dropping-particle":"","family":"Cresta","given":"Stefania","non-dropping-particle":"","parse-names":false,"suffix":""},{"dropping-particle":"","family":"Piranda","given":"Daniela","non-dropping-particle":"","parse-names":false,"suffix":""},{"dropping-particle":"","family":"Holmes","given":"Antony","non-dropping-particle":"","parse-names":false,"suffix":""},{"dropping-particle":"","family":"Fabbri","given":"Giulia","non-dropping-particle":"","parse-names":false,"suffix":""},{"dropping-particle":"","family":"Messina","given":"Monica","non-dropping-particle":"","parse-names":false,"suffix":""},{"dropping-particle":"","family":"Rinaldi","given":"Andrea","non-dropping-particle":"","parse-names":false,"suffix":""},{"dropping-particle":"","family":"Wang","given":"Jiguang","non-dropping-particle":"","parse-names":false,"suffix":""},{"dropping-particle":"","family":"Agostinelli","given":"Claudio","non-dropping-particle":"","parse-names":false,"suffix":""},{"dropping-particle":"","family":"Piccaluga","given":"Pier Paolo","non-dropping-particle":"","parse-names":false,"suffix":""},{"dropping-particle":"","family":"Lucioni","given":"Marco","non-dropping-particle":"","parse-names":false,"suffix":""},{"dropping-particle":"","family":"Tabbò","given":"Fabrizio","non-dropping-particle":"","parse-names":false,"suffix":""},{"dropping-particle":"","family":"Serra","given":"Roberto","non-dropping-particle":"","parse-names":false,"suffix":""},{"dropping-particle":"","family":"Franceschetti","given":"Silvia","non-dropping-particle":"","parse-names":false,"suffix":""},{"dropping-particle":"","family":"Deambrogi","given":"Clara","non-dropping-particle":"","parse-names":false,"suffix":""},{"dropping-particle":"","family":"Daniele","given":"Giulia","non-dropping-particle":"","parse-names":false,"suffix":""},{"dropping-particle":"","family":"Gattei","given":"Valter","non-dropping-particle":"","parse-names":false,"suffix":""},{"dropping-particle":"","family":"Marasca","given":"Roberto","non-dropping-particle":"","parse-names":false,"suffix":""},{"dropping-particle":"","family":"Facchetti","given":"Fabio","non-dropping-particle":"","parse-names":false,"suffix":""},{"dropping-particle":"","family":"Arcaini","given":"Luca","non-dropping-particle":"","parse-names":false,"suffix":""},{"dropping-particle":"","family":"Inghirami","given":"Giorgio","non-dropping-particle":"","parse-names":false,"suffix":""},{"dropping-particle":"","family":"Bertoni","given":"Francesco","non-dropping-particle":"","parse-names":false,"suffix":""},{"dropping-particle":"","family":"Pileri","given":"Stefano A.","non-dropping-particle":"","parse-names":false,"suffix":""},{"dropping-particle":"","family":"Deaglio","given":"Silvia","non-dropping-particle":"","parse-names":false,"suffix":""},{"dropping-particle":"","family":"Foà","given":"Robin","non-dropping-particle":"","parse-names":false,"suffix":""},{"dropping-particle":"","family":"Dalla-Favera","given":"Riccardo","non-dropping-particle":"","parse-names":false,"suffix":""},{"dropping-particle":"","family":"Pasqualucci","given":"Laura","non-dropping-particle":"","parse-names":false,"suffix":""},{"dropping-particle":"","family":"Rabadan","given":"Raul","non-dropping-particle":"","parse-names":false,"suffix":""},{"dropping-particle":"","family":"Gaidano","given":"Gianluca","non-dropping-particle":"","parse-names":false,"suffix":""}],"container-title":"The Journal of Experimental Medicine","id":"ITEM-3","issue":"9","issued":{"date-parts":[["2012"]]},"page":"1537-1551","title":"The coding genome of splenic marginal zone lymphoma: activation of &lt;i&gt;NOTCH2&lt;/i&gt; and other pathways regulating marginal zone development","type":"article-journal","volume":"209"},"uris":["http://www.mendeley.com/documents/?uuid=fff8afcc-b166-4232-81b9-1bf4d3e92c7e"]},{"id":"ITEM-4","itemData":{"DOI":"10.3324/haematol.2011.054080","ISBN":"1592-8721 (Electronic)\\r0390-6078 (Linking)","ISSN":"03906078","PMID":"22102703","abstract":"The genetics and pathogenesis of splenic marginal zone lymphoma are poorly understood. The lymphoma lacks chromosome translocation, and approximately 30% of cases are featured by 7q deletion, but the gene targeted by the deletion is unknown. A recent study showed inactivation of A20, a \"global\" NF-κB negative regulator, in 1 of 12 splenic marginal zone lymphomas. To investigate further whether deregulation of the NF-κB pathway plays a role in the pathogenesis of splenic marginal zone lymphoma, we screened several NF-κB regulators for genetic changes by PCR and sequencing. Somatic mutations were found in A20 (6/46=13%), MYD88 (6/46=13%), CARD11 (3/34=8.8%), but not in CD79A, CD79B and ABIN1. Interestingly, these genetic changes are largely mutually exclusive from each other and MYD88 mutation was also mutually exclusive from 7q deletion. These results strongly suggest that deregulation of the TLR (toll like receptor) and BCR (B-cell receptor) signaling pathway may play an important role in the pathogenesis of splenic marginal zone lymphoma.","author":[{"dropping-particle":"","family":"Yan","given":"Qingguo","non-dropping-particle":"","parse-names":false,"suffix":""},{"dropping-particle":"","family":"Huang","given":"Yuanxue","non-dropping-particle":"","parse-names":false,"suffix":""},{"dropping-particle":"","family":"James Watkins","given":"A.","non-dropping-particle":"","parse-names":false,"suffix":""},{"dropping-particle":"","family":"Kocialkowski","given":"Sylvia","non-dropping-particle":"","parse-names":false,"suffix":""},{"dropping-particle":"","family":"Zeng","given":"Naiyan","non-dropping-particle":"","parse-names":false,"suffix":""},{"dropping-particle":"","family":"Hamoudi","given":"Rifat A.","non-dropping-particle":"","parse-names":false,"suffix":""},{"dropping-particle":"","family":"Isaacson","given":"Peter G.","non-dropping-particle":"","parse-names":false,"suffix":""},{"dropping-particle":"","family":"Leval","given":"Laurence","non-dropping-particle":"de","parse-names":false,"suffix":""},{"dropping-particle":"","family":"Wotherspoon","given":"Andrew","non-dropping-particle":"","parse-names":false,"suffix":""},{"dropping-particle":"","family":"Du","given":"Ming Qing","non-dropping-particle":"","parse-names":false,"suffix":""}],"container-title":"Haematologica","id":"ITEM-4","issue":"4","issued":{"date-parts":[["2012"]]},"page":"595-598","title":"BCR and TLR signaling pathways are recurrently targeted by genetic changes in splenic marginal zone lymphomas","type":"article-journal","volume":"97"},"uris":["http://www.mendeley.com/documents/?uuid=def7d794-0796-462a-9191-cdd3c06cfff3"]},{"id":"ITEM-5","itemData":{"DOI":"10.1371/journal.pone.0083244","ISSN":"1932-6203","abstract":"The pathogenesis of splenic marginal zone lymphoma (SMZL) remains largely unknown. Recent high-throughput sequencing studies have identified recurrent mutations in key pathways, most notably NOTCH2 mutations in &gt;25% of patients. These studies are based on small, heterogeneous discovery cohorts, and therefore only captured a fraction of the lesions present in the SMZL genome. To identify further novel pathogenic mutations within related biochemical pathways, we applied whole exome sequencing (WES) and copy number (CN) analysis to a biologically and clinically homogeneous cohort of seven SMZL patients with 7q abnormalities and IGHV1-2*04 gene usage. We identified 173 somatic non-silent variants, affecting 160 distinct genes. In additional to providing independent validation of the presence of mutation in several previously reported genes (NOTCH2, TNFAIP3, MAP3K14, MLL2 and SPEN), our study defined eight additional recurrently mutated genes in SMZL; these genes are CREBBP, CBFA2T3, AMOTL1, FAT4, FBXO11, PLA2G4D, TRRAP and USH2A. By integrating our WES and CN data we identified three mutated putative candidate genes targeted by 7q deletions (CUL1, EZH2 and FLNC), with FLNC positioned within the well- characterized 7q minimally deleted region. Taken together, this work expands the reported directory of recurrently mutated cancer genes in this disease, thereby expanding our understanding of SMZL pathogenesis. Ultimately, this work will help to establish a stratified approach to care including the possibility of targeted therapy.","author":[{"dropping-particle":"","family":"Parry","given":"Marina","non-dropping-particle":"","parse-names":false,"suffix":""},{"dropping-particle":"","family":"Rose-Zerilli","given":"Matthew J. J.","non-dropping-particle":"","parse-names":false,"suffix":""},{"dropping-particle":"","family":"Gibson","given":"Jane","non-dropping-particle":"","parse-names":false,"suffix":""},{"dropping-particle":"","family":"Ennis","given":"Sarah","non-dropping-particle":"","parse-names":false,"suffix":""},{"dropping-particle":"","family":"Walewska","given":"Renata","non-dropping-particle":"","parse-names":false,"suffix":""},{"dropping-particle":"","family":"Forster","given":"Jade","non-dropping-particle":"","parse-names":false,"suffix":""},{"dropping-particle":"","family":"Parker","given":"Helen","non-dropping-particle":"","parse-names":false,"suffix":""},{"dropping-particle":"","family":"Davis","given":"Zadie","non-dropping-particle":"","parse-names":false,"suffix":""},{"dropping-particle":"","family":"Gardiner","given":"Anne","non-dropping-particle":"","parse-names":false,"suffix":""},{"dropping-particle":"","family":"Collins","given":"Andrew","non-dropping-particle":"","parse-names":false,"suffix":""},{"dropping-particle":"","family":"Oscier","given":"David G.","non-dropping-particle":"","parse-names":false,"suffix":""},{"dropping-particle":"","family":"Strefford","given":"Jonathan C.","non-dropping-particle":"","parse-names":false,"suffix":""}],"container-title":"PLoS ONE","editor":[{"dropping-particle":"","family":"Martinez Climent","given":"Jose Angel","non-dropping-particle":"","parse-names":false,"suffix":""}],"id":"ITEM-5","issue":"12","issued":{"date-parts":[["2013","12","13"]]},"page":"e83244","title":"Whole Exome Sequencing Identifies Novel Recurrently Mutated Genes in Patients with Splenic Marginal Zone Lymphoma","type":"article-journal","volume":"8"},"uris":["http://www.mendeley.com/documents/?uuid=a9b6d865-2849-447c-97d5-e16730a26fdc"]},{"id":"ITEM-6","itemData":{"DOI":"10.1158/1078-0432.CCR-14-2759","ISSN":"15573265","PMID":"25779943","abstract":"Purpose: Mounting evidence supports the clinical significance of gene mutations and immunogenetic features in common mature B-cell malignancies.\\n\\nExperimental Design: We undertook a detailed characterization of the genetic background of splenic marginal zone lymphoma (SMZL), using targeted resequencing and explored potential clinical implications in a multinational cohort of 175 patients with SMZL.\\n\\nResults: We identified recurrent mutations in TP53 (16%), KLF2 (12%), NOTCH2 (10%), TNFAIP3 (7%), MLL2 (11%), MYD88 (7%), and ARID1A (6%), all genes known to be targeted by somatic mutation in SMZL. KLF2 mutations were early, clonal events, enriched in patients with del(7q) and IGHV1-2*04 B-cell receptor immunoglobulins, and were associated with a short median time to first treatment (0.12 vs. 1.11 years; P = 0.01). In multivariate analysis, mutations in NOTCH2 [HR, 2.12; 95% confidence interval (CI), 1.02–4.4; P = 0.044] and 100% germline IGHV gene identity (HR, 2.19; 95% CI, 1.05–4.55; P = 0.036) were independent markers of short time to first treatment, whereas TP53 mutations were an independent marker of short overall survival (HR, 2.36; 95 % CI, 1.08–5.2; P = 0.03).\\n\\nConclusions: We identify key associations between gene mutations and clinical outcome, demonstrating for the first time that NOTCH2 and TP53 gene mutations are independent markers of reduced treatment-free and overall survival, respectively. Clin Cancer Res; 21(18); 4174–83. ©2015 AACR .","author":[{"dropping-particle":"","family":"Parry","given":"Marina","non-dropping-particle":"","parse-names":false,"suffix":""},{"dropping-particle":"","family":"Rose-Zerilli","given":"Matthew J.J.","non-dropping-particle":"","parse-names":false,"suffix":""},{"dropping-particle":"","family":"Ljungström","given":"Viktor","non-dropping-particle":"","parse-names":false,"suffix":""},{"dropping-particle":"","family":"Gibson","given":"Jane","non-dropping-particle":"","parse-names":false,"suffix":""},{"dropping-particle":"","family":"Wang","given":"Jun","non-dropping-particle":"","parse-names":false,"suffix":""},{"dropping-particle":"","family":"Walewska","given":"Renata","non-dropping-particle":"","parse-names":false,"suffix":""},{"dropping-particle":"","family":"Parker","given":"Helen","non-dropping-particle":"","parse-names":false,"suffix":""},{"dropping-particle":"","family":"Parker","given":"Anton","non-dropping-particle":"","parse-names":false,"suffix":""},{"dropping-particle":"","family":"Davis","given":"Zadie","non-dropping-particle":"","parse-names":false,"suffix":""},{"dropping-particle":"","family":"Gardiner","given":"Anne","non-dropping-particle":"","parse-names":false,"suffix":""},{"dropping-particle":"","family":"McIver-Brown","given":"Neil","non-dropping-particle":"","parse-names":false,"suffix":""},{"dropping-particle":"","family":"Kalpadakis","given":"Christina","non-dropping-particle":"","parse-names":false,"suffix":""},{"dropping-particle":"","family":"Xochelli","given":"Aliki","non-dropping-particle":"","parse-names":false,"suffix":""},{"dropping-particle":"","family":"Anagnostopoulos","given":"Achilles","non-dropping-particle":"","parse-names":false,"suffix":""},{"dropping-particle":"","family":"Fazi","given":"Claudia","non-dropping-particle":"","parse-names":false,"suffix":""},{"dropping-particle":"","family":"Castro","given":"David Gonzalez","non-dropping-particle":"De","parse-names":false,"suffix":""},{"dropping-particle":"","family":"Dearden","given":"Claire","non-dropping-particle":"","parse-names":false,"suffix":""},{"dropping-particle":"","family":"Pratt","given":"Guy","non-dropping-particle":"","parse-names":false,"suffix":""},{"dropping-particle":"","family":"Rosenquist","given":"Richard","non-dropping-particle":"","parse-names":false,"suffix":""},{"dropping-particle":"","family":"Ashton-Key","given":"Margaret","non-dropping-particle":"","parse-names":false,"suffix":""},{"dropping-particle":"","family":"Forconi","given":"Francesco","non-dropping-particle":"","parse-names":false,"suffix":""},{"dropping-particle":"","family":"Collins","given":"Andrew","non-dropping-particle":"","parse-names":false,"suffix":""},{"dropping-particle":"","family":"Ghia","given":"Paolo","non-dropping-particle":"","parse-names":false,"suffix":""},{"dropping-particle":"","family":"Matutes","given":"Estella","non-dropping-particle":"","parse-names":false,"suffix":""},{"dropping-particle":"","family":"Pangalis","given":"Gerassimos","non-dropping-particle":"","parse-names":false,"suffix":""},{"dropping-particle":"","family":"Stamatopoulos","given":"Kostas","non-dropping-particle":"","parse-names":false,"suffix":""},{"dropping-particle":"","family":"Oscier","given":"David","non-dropping-particle":"","parse-names":false,"suffix":""},{"dropping-particle":"","family":"Strefford","given":"Jonathan C.","non-dropping-particle":"","parse-names":false,"suffix":""}],"container-title":"Clinical Cancer Research","id":"ITEM-6","issue":"18","issued":{"date-parts":[["2015"]]},"page":"4174-4183","title":"Genetics and prognostication in splenic marginal zone lymphoma: Revelations from deep sequencing","type":"article-journal","volume":"21"},"uris":["http://www.mendeley.com/documents/?uuid=81509c2c-3e61-4115-bfa1-3ac38fc7fb12"]},{"id":"ITEM-7","itemData":{"DOI":"10.1038/leu.2014.330","ISSN":"14765551","PMID":"25428260","abstract":"To characterise the genetics of splenic marginal zone lymphoma (SMZL), we performed whole exome sequencing of 16 cases and identified novel recurrent inactivating mutations in Kruppel-like factor 2 (KLF2), a gene whose deficiency was previously shown to cause splenic marginal zone hyperplasia in mice. KLF2 mutation was found in 40 (42%) of 96 SMZLs, but rarely in other B-cell lymphomas. The majority of KLF2 mutations were frameshift indels or nonsense changes, with missense mutations clustered in the C-terminal zinc finger domains. Functional assays showed that these mutations inactivated the ability of KLF2 to suppress NF-κB activation by TLR, BCR, BAFFR and TNFR signalling. Further extensive investigations revealed common and distinct genetic changes between SMZL with and without KLF2 mutation. IGHV1-2 rearrangement and 7q deletion were primarily seen in SMZL with KLF2 mutation, while MYD88 and TP53 mutations were nearly exclusively found in those without KLF2 mutation. NOTCH2, TRAF3, TNFAIP3 and CARD11 mutations were observed in SMZL both with and without KLF2 mutation. Taken together, KLF2 mutation is the most common genetic change in SMZL and identifies a subset with a distinct genotype characterised by multi-genetic changes. These different genetic changes may deregulate various signalling pathways and generate cooperative oncogenic properties, thereby contributing to lymphomagenesis.","author":[{"dropping-particle":"","family":"Clipson","given":"A.","non-dropping-particle":"","parse-names":false,"suffix":""},{"dropping-particle":"","family":"Wang","given":"M.","non-dropping-particle":"","parse-names":false,"suffix":""},{"dropping-particle":"","family":"Leval","given":"L.","non-dropping-particle":"De","parse-names":false,"suffix":""},{"dropping-particle":"","family":"Ashton-Key","given":"M.","non-dropping-particle":"","parse-names":false,"suffix":""},{"dropping-particle":"","family":"Wotherspoon","given":"A.","non-dropping-particle":"","parse-names":false,"suffix":""},{"dropping-particle":"","family":"Vassiliou","given":"G.","non-dropping-particle":"","parse-names":false,"suffix":""},{"dropping-particle":"","family":"Bolli","given":"N.","non-dropping-particle":"","parse-names":false,"suffix":""},{"dropping-particle":"","family":"Grove","given":"C.","non-dropping-particle":"","parse-names":false,"suffix":""},{"dropping-particle":"","family":"Moody","given":"S.","non-dropping-particle":"","parse-names":false,"suffix":""},{"dropping-particle":"","family":"Escudero-Ibarz","given":"L.","non-dropping-particle":"","parse-names":false,"suffix":""},{"dropping-particle":"","family":"Gundem","given":"G.","non-dropping-particle":"","parse-names":false,"suffix":""},{"dropping-particle":"","family":"Brugger","given":"K.","non-dropping-particle":"","parse-names":false,"suffix":""},{"dropping-particle":"","family":"Xue","given":"X.","non-dropping-particle":"","parse-names":false,"suffix":""},{"dropping-particle":"","family":"Mi","given":"E.","non-dropping-particle":"","parse-names":false,"suffix":""},{"dropping-particle":"","family":"Bench","given":"A.","non-dropping-particle":"","parse-names":false,"suffix":""},{"dropping-particle":"","family":"Scott","given":"M.","non-dropping-particle":"","parse-names":false,"suffix":""},{"dropping-particle":"","family":"Liu","given":"H.","non-dropping-particle":"","parse-names":false,"suffix":""},{"dropping-particle":"","family":"Follows","given":"G.","non-dropping-particle":"","parse-names":false,"suffix":""},{"dropping-particle":"","family":"Robl</w:instrText>
      </w:r>
      <w:r w:rsidR="00284279" w:rsidRPr="00002888">
        <w:rPr>
          <w:rFonts w:ascii="Times New Roman" w:hAnsi="Times New Roman" w:cs="Times New Roman"/>
          <w:sz w:val="24"/>
          <w:szCs w:val="24"/>
          <w:shd w:val="clear" w:color="auto" w:fill="FFFFFF"/>
          <w:lang w:val="es-CO"/>
        </w:rPr>
        <w:instrText>es","given":"E. F.","non-dropping-particle":"","parse-names":false,"suffix":""},{"dropping-particle":"","family":"Martinez-Climent","given":"J. A.","non-dropping-particle":"","parse-names":false,"suffix":""},{"dropping-particle":"","family":"Oscier","given":"D.","non-dropping-particle":"","parse-names":false,"suffix":""},{"dropping-particle":"","family":"Watkins","given":"A. J.","non-dropping-particle":"","parse-names":false,"suffix":""},{"dropping-particle":"","family":"Du","given":"M. Q.","non-dropping-particle":"","parse-names":false,"suffix":""}],"container-title":"Leukemia","id":"ITEM-7","issue":"5","issued":{"date-parts":[["2015"]]},"page":"1177-1185","title":"KLF2 mutation is the most frequent somatic change in splenic marginal zone lymphoma and identifies a subset with distinct genotype","type":"article-journal","volume":"29"},"uris":["http://www.mendeley.com/documents/?uuid=9a03fc8c-403a-4b3d-8ecb-3673a4b13433"]}],"mendeley":{"formattedCitation":"(Clipson et al., 2015; Parry et al., 2015, 2013; Rinaldi et al., 2011; Rossi et al., 2012, 2011; Yan et al., 2012)","plainTextFormattedCitation":"(Clipson et al., 2015; Parry et al., 2015, 2013; Rinaldi et al., 2011; Rossi et al., 2012, 2011; Yan et al., 2012)","previouslyFormattedCitation":"(Clipson et al., 2015; Parry et al., 2015, 2013; Rinaldi et al., 2011; Rossi et al., 2012, 2011; Yan et al., 2012)"},"properties":{"noteIndex":0},"schema":"https://github.com/citation-style-language/schema/raw/master/csl-citation.json"}</w:instrText>
      </w:r>
      <w:r w:rsidR="00076B83" w:rsidRPr="00002888">
        <w:rPr>
          <w:rFonts w:ascii="Times New Roman" w:hAnsi="Times New Roman" w:cs="Times New Roman"/>
          <w:sz w:val="24"/>
          <w:szCs w:val="24"/>
          <w:shd w:val="clear" w:color="auto" w:fill="FFFFFF"/>
          <w:lang w:val="en-GB"/>
        </w:rPr>
        <w:fldChar w:fldCharType="separate"/>
      </w:r>
      <w:r w:rsidR="001254EB" w:rsidRPr="00002888">
        <w:rPr>
          <w:rFonts w:ascii="Times New Roman" w:hAnsi="Times New Roman" w:cs="Times New Roman"/>
          <w:noProof/>
          <w:sz w:val="24"/>
          <w:szCs w:val="24"/>
          <w:shd w:val="clear" w:color="auto" w:fill="FFFFFF"/>
          <w:lang w:val="es-CO"/>
        </w:rPr>
        <w:t xml:space="preserve">(Clipson et al., 2015; Parry et al., 2015, 2013; Rinaldi et al., 2011; Rossi et </w:t>
      </w:r>
      <w:r w:rsidR="001254EB" w:rsidRPr="00002888">
        <w:rPr>
          <w:rFonts w:ascii="Times New Roman" w:hAnsi="Times New Roman" w:cs="Times New Roman"/>
          <w:noProof/>
          <w:sz w:val="24"/>
          <w:szCs w:val="24"/>
          <w:shd w:val="clear" w:color="auto" w:fill="FFFFFF"/>
          <w:lang w:val="es-CO"/>
        </w:rPr>
        <w:lastRenderedPageBreak/>
        <w:t>al., 2012, 2011; Yan et al., 2012)</w:t>
      </w:r>
      <w:r w:rsidR="00076B83" w:rsidRPr="00002888">
        <w:rPr>
          <w:rFonts w:ascii="Times New Roman" w:hAnsi="Times New Roman" w:cs="Times New Roman"/>
          <w:sz w:val="24"/>
          <w:szCs w:val="24"/>
          <w:shd w:val="clear" w:color="auto" w:fill="FFFFFF"/>
          <w:lang w:val="en-GB"/>
        </w:rPr>
        <w:fldChar w:fldCharType="end"/>
      </w:r>
      <w:r w:rsidR="0085369D" w:rsidRPr="00002888">
        <w:rPr>
          <w:rFonts w:ascii="Times New Roman" w:hAnsi="Times New Roman" w:cs="Times New Roman"/>
          <w:sz w:val="24"/>
          <w:szCs w:val="24"/>
          <w:shd w:val="clear" w:color="auto" w:fill="FFFFFF"/>
          <w:lang w:val="es-CO"/>
        </w:rPr>
        <w:t xml:space="preserve">. </w:t>
      </w:r>
      <w:r w:rsidR="00B05550" w:rsidRPr="00002888">
        <w:rPr>
          <w:rFonts w:ascii="Times New Roman" w:hAnsi="Times New Roman" w:cs="Times New Roman"/>
          <w:sz w:val="24"/>
          <w:szCs w:val="24"/>
          <w:shd w:val="clear" w:color="auto" w:fill="FFFFFF"/>
          <w:lang w:val="en-GB"/>
        </w:rPr>
        <w:t xml:space="preserve">Parry and colleagues also reported higher frequency of </w:t>
      </w:r>
      <w:r w:rsidR="00B05550" w:rsidRPr="00002888">
        <w:rPr>
          <w:rFonts w:ascii="Times New Roman" w:hAnsi="Times New Roman" w:cs="Times New Roman"/>
          <w:i/>
          <w:iCs/>
          <w:sz w:val="24"/>
          <w:szCs w:val="24"/>
          <w:shd w:val="clear" w:color="auto" w:fill="FFFFFF"/>
          <w:lang w:val="en-GB"/>
        </w:rPr>
        <w:t>TNFAIP3</w:t>
      </w:r>
      <w:r w:rsidR="00B05550" w:rsidRPr="00002888">
        <w:rPr>
          <w:rFonts w:ascii="Times New Roman" w:hAnsi="Times New Roman" w:cs="Times New Roman"/>
          <w:sz w:val="24"/>
          <w:szCs w:val="24"/>
          <w:shd w:val="clear" w:color="auto" w:fill="FFFFFF"/>
          <w:lang w:val="en-GB"/>
        </w:rPr>
        <w:t xml:space="preserve"> mutations in </w:t>
      </w:r>
      <w:r w:rsidR="00BB3F44" w:rsidRPr="00002888">
        <w:rPr>
          <w:rFonts w:ascii="Times New Roman" w:hAnsi="Times New Roman" w:cs="Times New Roman"/>
          <w:sz w:val="24"/>
          <w:szCs w:val="24"/>
          <w:shd w:val="clear" w:color="auto" w:fill="FFFFFF"/>
          <w:lang w:val="en-GB"/>
        </w:rPr>
        <w:t xml:space="preserve">cases that subsequently transformed, along with truly unmutated </w:t>
      </w:r>
      <w:r w:rsidR="00BB3F44" w:rsidRPr="00002888">
        <w:rPr>
          <w:rFonts w:ascii="Times New Roman" w:hAnsi="Times New Roman" w:cs="Times New Roman"/>
          <w:i/>
          <w:iCs/>
          <w:sz w:val="24"/>
          <w:szCs w:val="24"/>
          <w:shd w:val="clear" w:color="auto" w:fill="FFFFFF"/>
          <w:lang w:val="en-GB"/>
        </w:rPr>
        <w:t xml:space="preserve">IGHV </w:t>
      </w:r>
      <w:r w:rsidR="00BB3F44" w:rsidRPr="00002888">
        <w:rPr>
          <w:rFonts w:ascii="Times New Roman" w:hAnsi="Times New Roman" w:cs="Times New Roman"/>
          <w:sz w:val="24"/>
          <w:szCs w:val="24"/>
          <w:shd w:val="clear" w:color="auto" w:fill="FFFFFF"/>
          <w:lang w:val="en-GB"/>
        </w:rPr>
        <w:t>genes</w:t>
      </w:r>
      <w:r w:rsidR="00374F88" w:rsidRPr="00002888">
        <w:rPr>
          <w:rFonts w:ascii="Times New Roman" w:hAnsi="Times New Roman" w:cs="Times New Roman"/>
          <w:sz w:val="24"/>
          <w:szCs w:val="24"/>
          <w:shd w:val="clear" w:color="auto" w:fill="FFFFFF"/>
          <w:lang w:val="en-GB"/>
        </w:rPr>
        <w:t xml:space="preserve"> </w:t>
      </w:r>
      <w:r w:rsidR="00BB3F44" w:rsidRPr="00002888">
        <w:rPr>
          <w:rFonts w:ascii="Times New Roman" w:hAnsi="Times New Roman" w:cs="Times New Roman"/>
          <w:sz w:val="24"/>
          <w:szCs w:val="24"/>
          <w:shd w:val="clear" w:color="auto" w:fill="FFFFFF"/>
          <w:lang w:val="en-GB"/>
        </w:rPr>
        <w:fldChar w:fldCharType="begin" w:fldLock="1"/>
      </w:r>
      <w:r w:rsidR="00EB4D78" w:rsidRPr="00002888">
        <w:rPr>
          <w:rFonts w:ascii="Times New Roman" w:hAnsi="Times New Roman" w:cs="Times New Roman"/>
          <w:sz w:val="24"/>
          <w:szCs w:val="24"/>
          <w:shd w:val="clear" w:color="auto" w:fill="FFFFFF"/>
          <w:lang w:val="en-GB"/>
        </w:rPr>
        <w:instrText>ADDIN CSL_CITATION {"citationItems":[{"id":"ITEM-1","itemData":{"DOI":"10.1158/1078-0432.CCR-14-2759","ISSN":"15573265","PMID":"25779943","abstract":"Purpose: Mounting evidence supports the clinical significance of gene mutations and immunogenetic features in common mature B-cell malignancies.\\n\\nExperimental Design: We undertook a detailed characterization of the genetic background of splenic marginal zone lymphoma (SMZL), using targeted resequencing and explored potential clinical implications in a multinational cohort of 175 patients with SMZL.\\n\\nResults: We identified recurrent mutations in TP53 (16%), KLF2 (12%), NOTCH2 (10%), TNFAIP3 (7%), MLL2 (11%), MYD88 (7%), and ARID1A (6%), all genes known to be targeted by somatic mutation in SMZL. KLF2 mutations were early, clonal events, enriched in patients with del(7q) and IGHV1-2*04 B-cell receptor immunoglobulins, and were associated with a short median time to first treatment (0.12 vs. 1.11 years; P = 0.01). In multivariate analysis, mutations in NOTCH2 [HR, 2.12; 95% confidence interval (CI), 1.02–4.4; P = 0.044] and 100% germline IGHV gene identity (HR, 2.19; 95% CI, 1.05–4.55; P = 0.036) were independent markers of short time to first treatment, whereas TP53 mutations were an independent marker of short overall survival (HR, 2.36; 95 % CI, 1.08–5.2; P = 0.03).\\n\\nConclusions: We identify key associations between gene mutations and clinical outcome, demonstrating for the first time that NOTCH2 and TP53 gene mutations are independent markers of reduced treatment-free and overall survival, respectively. Clin Cancer Res; 21(18); 4174–83. ©2015 AACR .","author":[{"dropping-particle":"","family":"Parry","given":"Marina","non-dropping-particle":"","parse-names":false,"suffix":""},{"dropping-particle":"","family":"Rose-Zerilli","given":"Matthew J.J.","non-dropping-particle":"","parse-names":false,"suffix":""},{"dropping-particle":"","family":"Ljungström","given":"Viktor","non-dropping-particle":"","parse-names":false,"suffix":""},{"dropping-particle":"","family":"Gibson","given":"Jane","non-dropping-particle":"","parse-names":false,"suffix":""},{"dropping-particle":"","family":"Wang","given":"Jun","non-dropping-particle":"","parse-names":false,"suffix":""},{"dropping-particle":"","family":"Walewska","given":"Renata","non-dropping-particle":"","parse-names":false,"suffix":""},{"dropping-particle":"","family":"Parker","given":"Helen","non-dropping-particle":"","parse-names":false,"suffix":""},{"dropping-particle":"","family":"Parker","given":"Anton","non-dropping-particle":"","parse-names":false,"suffix":""},{"dropping-particle":"","family":"Davis","given":"Zadie","non-dropping-particle":"","parse-names":false,"suffix":""},{"dropping-particle":"","family":"Gardiner","given":"Anne","non-dropping-particle":"","parse-names":false,"suffix":""},{"dropping-particle":"","family":"McIver-Brown","given":"Neil","non-dropping-particle":"","parse-names":false,"suffix":""},{"dropping-particle":"","family":"Kalpadakis","given":"Christina","non-dropping-particle":"","parse-names":false,"suffix":""},{"dropping-particle":"","family":"Xochelli","given":"Aliki","non-dropping-particle":"","parse-names":false,"suffix":""},{"dropping-particle":"","family":"Anagnostopoulos","given":"Achilles","non-dropping-particle":"","parse-names":false,"suffix":""},{"dropping-particle":"","family":"Fazi","given":"Claudia","non-dropping-particle":"","parse-names":false,"suffix":""},{"dropping-particle":"","family":"Castro","given":"David Gonzalez","non-dropping-particle":"De","parse-names":false,"suffix":""},{"dropping-particle":"","family":"Dearden","given":"Claire","non-dropping-particle":"","parse-names":false,"suffix":""},{"dropping-particle":"","family":"Pratt","given":"Guy","non-dropping-particle":"","parse-names":false,"suffix":""},{"dropping-particle":"","family":"Rosenquist","given":"Richard","non-dropping-particle":"","parse-names":false,"suffix":""},{"dropping-particle":"","family":"Ashton-Key","given":"Margaret","non-dropping-particle":"","parse-names":false,"suffix":""},{"dropping-particle":"","family":"Forconi","given":"Francesco","non-dropping-particle":"","parse-names":false,"suffix":""},{"dropping-particle":"","family":"Collins","given":"Andrew","non-dropping-particle":"","parse-names":false,"suffix":""},{"dropping-particle":"","family":"Ghia","given":"Paolo","non-dropping-particle":"","parse-names":false,"suffix":""},{"dropping-particle":"","family":"Matutes","given":"Estella","non-dropping-particle":"","parse-names":false,"suffix":""},{"dropping-particle":"","family":"Pangalis","given":"Gerassimos","non-dropping-particle":"","parse-names":false,"suffix":""},{"dropping-particle":"","family":"Stamatopoulos","given":"Kostas","non-dropping-particle":"","parse-names":false,"suffix":""},{"dropping-particle":"","family":"Oscier","given":"David","non-dropping-particle":"","parse-names":false,"suffix":""},{"dropping-particle":"","family":"Strefford","given":"Jonathan C.","non-dropping-particle":"","parse-names":false,"suffix":""}],"container-title":"Clinical Cancer Research","id":"ITEM-1","issue":"18","issued":{"date-parts":[["2015"]]},"page":"4174-4183","title":"Genetics and prognostication in splenic marginal zone lymphoma: Revelations from deep sequencing","type":"article-journal","volume":"21"},"uris":["http://www.mendeley.com/documents/?uuid=81509c2c-3e61-4115-bfa1-3ac38fc7fb12"]}],"mendeley":{"formattedCitation":"(Parry et al., 2015)","plainTextFormattedCitation":"(Parry et al., 2015)","previouslyFormattedCitation":"(Parry et al., 2015)"},"properties":{"noteIndex":0},"schema":"https://github.com/citation-style-language/schema/raw/master/csl-citation.json"}</w:instrText>
      </w:r>
      <w:r w:rsidR="00BB3F44" w:rsidRPr="00002888">
        <w:rPr>
          <w:rFonts w:ascii="Times New Roman" w:hAnsi="Times New Roman" w:cs="Times New Roman"/>
          <w:sz w:val="24"/>
          <w:szCs w:val="24"/>
          <w:shd w:val="clear" w:color="auto" w:fill="FFFFFF"/>
          <w:lang w:val="en-GB"/>
        </w:rPr>
        <w:fldChar w:fldCharType="separate"/>
      </w:r>
      <w:r w:rsidR="00A15967" w:rsidRPr="00002888">
        <w:rPr>
          <w:rFonts w:ascii="Times New Roman" w:hAnsi="Times New Roman" w:cs="Times New Roman"/>
          <w:noProof/>
          <w:sz w:val="24"/>
          <w:szCs w:val="24"/>
          <w:shd w:val="clear" w:color="auto" w:fill="FFFFFF"/>
          <w:lang w:val="en-GB"/>
        </w:rPr>
        <w:t>(Parry et al., 2015)</w:t>
      </w:r>
      <w:r w:rsidR="00BB3F44" w:rsidRPr="00002888">
        <w:rPr>
          <w:rFonts w:ascii="Times New Roman" w:hAnsi="Times New Roman" w:cs="Times New Roman"/>
          <w:sz w:val="24"/>
          <w:szCs w:val="24"/>
          <w:shd w:val="clear" w:color="auto" w:fill="FFFFFF"/>
          <w:lang w:val="en-GB"/>
        </w:rPr>
        <w:fldChar w:fldCharType="end"/>
      </w:r>
      <w:r w:rsidR="00BB3F44" w:rsidRPr="00002888">
        <w:rPr>
          <w:rFonts w:ascii="Times New Roman" w:hAnsi="Times New Roman" w:cs="Times New Roman"/>
          <w:sz w:val="24"/>
          <w:szCs w:val="24"/>
          <w:shd w:val="clear" w:color="auto" w:fill="FFFFFF"/>
          <w:lang w:val="en-GB"/>
        </w:rPr>
        <w:t xml:space="preserve">. </w:t>
      </w:r>
      <w:r w:rsidR="0085369D" w:rsidRPr="00002888">
        <w:rPr>
          <w:rFonts w:ascii="Times New Roman" w:hAnsi="Times New Roman" w:cs="Times New Roman"/>
          <w:sz w:val="24"/>
          <w:szCs w:val="24"/>
          <w:shd w:val="clear" w:color="auto" w:fill="FFFFFF"/>
          <w:lang w:val="en-GB"/>
        </w:rPr>
        <w:t>Other negative re</w:t>
      </w:r>
      <w:r w:rsidR="002D39CB" w:rsidRPr="00002888">
        <w:rPr>
          <w:rFonts w:ascii="Times New Roman" w:hAnsi="Times New Roman" w:cs="Times New Roman"/>
          <w:sz w:val="24"/>
          <w:szCs w:val="24"/>
          <w:shd w:val="clear" w:color="auto" w:fill="FFFFFF"/>
          <w:lang w:val="en-GB"/>
        </w:rPr>
        <w:t>gulator</w:t>
      </w:r>
      <w:r w:rsidR="00DA6429" w:rsidRPr="00002888">
        <w:rPr>
          <w:rFonts w:ascii="Times New Roman" w:hAnsi="Times New Roman" w:cs="Times New Roman"/>
          <w:sz w:val="24"/>
          <w:szCs w:val="24"/>
          <w:shd w:val="clear" w:color="auto" w:fill="FFFFFF"/>
          <w:lang w:val="en-GB"/>
        </w:rPr>
        <w:t>s</w:t>
      </w:r>
      <w:r w:rsidR="002D39CB" w:rsidRPr="00002888">
        <w:rPr>
          <w:rFonts w:ascii="Times New Roman" w:hAnsi="Times New Roman" w:cs="Times New Roman"/>
          <w:sz w:val="24"/>
          <w:szCs w:val="24"/>
          <w:shd w:val="clear" w:color="auto" w:fill="FFFFFF"/>
          <w:lang w:val="en-GB"/>
        </w:rPr>
        <w:t xml:space="preserve"> </w:t>
      </w:r>
      <w:r w:rsidR="0085369D" w:rsidRPr="00002888">
        <w:rPr>
          <w:rFonts w:ascii="Times New Roman" w:hAnsi="Times New Roman" w:cs="Times New Roman"/>
          <w:sz w:val="24"/>
          <w:szCs w:val="24"/>
          <w:shd w:val="clear" w:color="auto" w:fill="FFFFFF"/>
          <w:lang w:val="en-GB"/>
        </w:rPr>
        <w:t>h</w:t>
      </w:r>
      <w:r w:rsidR="002D39CB" w:rsidRPr="00002888">
        <w:rPr>
          <w:rFonts w:ascii="Times New Roman" w:hAnsi="Times New Roman" w:cs="Times New Roman"/>
          <w:sz w:val="24"/>
          <w:szCs w:val="24"/>
          <w:shd w:val="clear" w:color="auto" w:fill="FFFFFF"/>
          <w:lang w:val="en-GB"/>
        </w:rPr>
        <w:t>a</w:t>
      </w:r>
      <w:r w:rsidR="0085369D" w:rsidRPr="00002888">
        <w:rPr>
          <w:rFonts w:ascii="Times New Roman" w:hAnsi="Times New Roman" w:cs="Times New Roman"/>
          <w:sz w:val="24"/>
          <w:szCs w:val="24"/>
          <w:shd w:val="clear" w:color="auto" w:fill="FFFFFF"/>
          <w:lang w:val="en-GB"/>
        </w:rPr>
        <w:t>rbour</w:t>
      </w:r>
      <w:r w:rsidR="0065532D" w:rsidRPr="00002888">
        <w:rPr>
          <w:rFonts w:ascii="Times New Roman" w:hAnsi="Times New Roman" w:cs="Times New Roman"/>
          <w:sz w:val="24"/>
          <w:szCs w:val="24"/>
          <w:shd w:val="clear" w:color="auto" w:fill="FFFFFF"/>
          <w:lang w:val="en-GB"/>
        </w:rPr>
        <w:t>ing</w:t>
      </w:r>
      <w:r w:rsidR="00E11010" w:rsidRPr="00002888">
        <w:rPr>
          <w:rFonts w:ascii="Times New Roman" w:hAnsi="Times New Roman" w:cs="Times New Roman"/>
          <w:sz w:val="24"/>
          <w:szCs w:val="24"/>
          <w:shd w:val="clear" w:color="auto" w:fill="FFFFFF"/>
          <w:lang w:val="en-GB"/>
        </w:rPr>
        <w:t xml:space="preserve"> </w:t>
      </w:r>
      <w:r w:rsidR="0085369D" w:rsidRPr="00002888">
        <w:rPr>
          <w:rFonts w:ascii="Times New Roman" w:hAnsi="Times New Roman" w:cs="Times New Roman"/>
          <w:sz w:val="24"/>
          <w:szCs w:val="24"/>
          <w:shd w:val="clear" w:color="auto" w:fill="FFFFFF"/>
          <w:lang w:val="en-GB"/>
        </w:rPr>
        <w:t>mutation</w:t>
      </w:r>
      <w:r w:rsidR="002D39CB" w:rsidRPr="00002888">
        <w:rPr>
          <w:rFonts w:ascii="Times New Roman" w:hAnsi="Times New Roman" w:cs="Times New Roman"/>
          <w:sz w:val="24"/>
          <w:szCs w:val="24"/>
          <w:shd w:val="clear" w:color="auto" w:fill="FFFFFF"/>
          <w:lang w:val="en-GB"/>
        </w:rPr>
        <w:t xml:space="preserve">s </w:t>
      </w:r>
      <w:r w:rsidR="00E11010" w:rsidRPr="00002888">
        <w:rPr>
          <w:rFonts w:ascii="Times New Roman" w:hAnsi="Times New Roman" w:cs="Times New Roman"/>
          <w:sz w:val="24"/>
          <w:szCs w:val="24"/>
          <w:shd w:val="clear" w:color="auto" w:fill="FFFFFF"/>
          <w:lang w:val="en-GB"/>
        </w:rPr>
        <w:t>include</w:t>
      </w:r>
      <w:r w:rsidR="002D39CB" w:rsidRPr="00002888">
        <w:rPr>
          <w:rFonts w:ascii="Times New Roman" w:hAnsi="Times New Roman" w:cs="Times New Roman"/>
          <w:sz w:val="24"/>
          <w:szCs w:val="24"/>
          <w:shd w:val="clear" w:color="auto" w:fill="FFFFFF"/>
          <w:lang w:val="en-GB"/>
        </w:rPr>
        <w:t xml:space="preserve"> </w:t>
      </w:r>
      <w:r w:rsidR="00E11010" w:rsidRPr="00002888">
        <w:rPr>
          <w:rFonts w:ascii="Times New Roman" w:hAnsi="Times New Roman" w:cs="Times New Roman"/>
          <w:i/>
          <w:iCs/>
          <w:sz w:val="24"/>
          <w:szCs w:val="24"/>
          <w:shd w:val="clear" w:color="auto" w:fill="FFFFFF"/>
          <w:lang w:val="en-GB"/>
        </w:rPr>
        <w:t>TRAF3</w:t>
      </w:r>
      <w:r w:rsidR="00E11010" w:rsidRPr="00002888">
        <w:rPr>
          <w:rFonts w:ascii="Times New Roman" w:hAnsi="Times New Roman" w:cs="Times New Roman"/>
          <w:sz w:val="24"/>
          <w:szCs w:val="24"/>
          <w:shd w:val="clear" w:color="auto" w:fill="FFFFFF"/>
          <w:lang w:val="en-GB"/>
        </w:rPr>
        <w:t xml:space="preserve"> (8%) </w:t>
      </w:r>
      <w:r w:rsidR="00847493" w:rsidRPr="00002888">
        <w:rPr>
          <w:rFonts w:ascii="Times New Roman" w:hAnsi="Times New Roman" w:cs="Times New Roman"/>
          <w:sz w:val="24"/>
          <w:szCs w:val="24"/>
          <w:shd w:val="clear" w:color="auto" w:fill="FFFFFF"/>
          <w:lang w:val="en-GB"/>
        </w:rPr>
        <w:t>and</w:t>
      </w:r>
      <w:r w:rsidR="00E11010" w:rsidRPr="00002888">
        <w:rPr>
          <w:rFonts w:ascii="Times New Roman" w:hAnsi="Times New Roman" w:cs="Times New Roman"/>
          <w:sz w:val="24"/>
          <w:szCs w:val="24"/>
          <w:shd w:val="clear" w:color="auto" w:fill="FFFFFF"/>
          <w:lang w:val="en-GB"/>
        </w:rPr>
        <w:t xml:space="preserve"> </w:t>
      </w:r>
      <w:r w:rsidR="00E11010" w:rsidRPr="00002888">
        <w:rPr>
          <w:rFonts w:ascii="Times New Roman" w:hAnsi="Times New Roman" w:cs="Times New Roman"/>
          <w:i/>
          <w:iCs/>
          <w:sz w:val="24"/>
          <w:szCs w:val="24"/>
          <w:shd w:val="clear" w:color="auto" w:fill="FFFFFF"/>
          <w:lang w:val="en-GB"/>
        </w:rPr>
        <w:t>BIRC3</w:t>
      </w:r>
      <w:r w:rsidR="00E11010" w:rsidRPr="00002888">
        <w:rPr>
          <w:rFonts w:ascii="Times New Roman" w:hAnsi="Times New Roman" w:cs="Times New Roman"/>
          <w:sz w:val="24"/>
          <w:szCs w:val="24"/>
          <w:shd w:val="clear" w:color="auto" w:fill="FFFFFF"/>
          <w:lang w:val="en-GB"/>
        </w:rPr>
        <w:t xml:space="preserve"> (</w:t>
      </w:r>
      <w:r w:rsidR="008D6332" w:rsidRPr="00002888">
        <w:rPr>
          <w:rFonts w:ascii="Times New Roman" w:hAnsi="Times New Roman" w:cs="Times New Roman"/>
          <w:sz w:val="24"/>
          <w:szCs w:val="24"/>
          <w:shd w:val="clear" w:color="auto" w:fill="FFFFFF"/>
          <w:lang w:val="en-GB"/>
        </w:rPr>
        <w:t>5-11</w:t>
      </w:r>
      <w:r w:rsidR="00E11010" w:rsidRPr="00002888">
        <w:rPr>
          <w:rFonts w:ascii="Times New Roman" w:hAnsi="Times New Roman" w:cs="Times New Roman"/>
          <w:sz w:val="24"/>
          <w:szCs w:val="24"/>
          <w:shd w:val="clear" w:color="auto" w:fill="FFFFFF"/>
          <w:lang w:val="en-GB"/>
        </w:rPr>
        <w:t>%)</w:t>
      </w:r>
      <w:r w:rsidR="00847493" w:rsidRPr="00002888">
        <w:rPr>
          <w:rFonts w:ascii="Times New Roman" w:hAnsi="Times New Roman" w:cs="Times New Roman"/>
          <w:sz w:val="24"/>
          <w:szCs w:val="24"/>
          <w:shd w:val="clear" w:color="auto" w:fill="FFFFFF"/>
          <w:lang w:val="en-GB"/>
        </w:rPr>
        <w:t>.</w:t>
      </w:r>
      <w:r w:rsidR="008C396C" w:rsidRPr="00002888">
        <w:rPr>
          <w:rFonts w:ascii="Times New Roman" w:hAnsi="Times New Roman" w:cs="Times New Roman"/>
          <w:sz w:val="24"/>
          <w:szCs w:val="24"/>
          <w:shd w:val="clear" w:color="auto" w:fill="FFFFFF"/>
          <w:lang w:val="en-GB"/>
        </w:rPr>
        <w:t xml:space="preserve"> Both </w:t>
      </w:r>
      <w:r w:rsidR="008C396C" w:rsidRPr="00002888">
        <w:rPr>
          <w:rFonts w:ascii="Times New Roman" w:hAnsi="Times New Roman" w:cs="Times New Roman"/>
          <w:i/>
          <w:iCs/>
          <w:sz w:val="24"/>
          <w:szCs w:val="24"/>
          <w:shd w:val="clear" w:color="auto" w:fill="FFFFFF"/>
          <w:lang w:val="en-GB"/>
        </w:rPr>
        <w:t>TRAF3</w:t>
      </w:r>
      <w:r w:rsidR="008C396C" w:rsidRPr="00002888">
        <w:rPr>
          <w:rFonts w:ascii="Times New Roman" w:hAnsi="Times New Roman" w:cs="Times New Roman"/>
          <w:sz w:val="24"/>
          <w:szCs w:val="24"/>
          <w:shd w:val="clear" w:color="auto" w:fill="FFFFFF"/>
          <w:lang w:val="en-GB"/>
        </w:rPr>
        <w:t xml:space="preserve"> and </w:t>
      </w:r>
      <w:r w:rsidR="008C396C" w:rsidRPr="00002888">
        <w:rPr>
          <w:rFonts w:ascii="Times New Roman" w:hAnsi="Times New Roman" w:cs="Times New Roman"/>
          <w:i/>
          <w:iCs/>
          <w:sz w:val="24"/>
          <w:szCs w:val="24"/>
          <w:shd w:val="clear" w:color="auto" w:fill="FFFFFF"/>
          <w:lang w:val="en-GB"/>
        </w:rPr>
        <w:t>BIRC3</w:t>
      </w:r>
      <w:r w:rsidR="00337A1C" w:rsidRPr="00002888">
        <w:rPr>
          <w:rFonts w:ascii="Times New Roman" w:hAnsi="Times New Roman" w:cs="Times New Roman"/>
          <w:sz w:val="24"/>
          <w:szCs w:val="24"/>
          <w:shd w:val="clear" w:color="auto" w:fill="FFFFFF"/>
          <w:lang w:val="en-GB"/>
        </w:rPr>
        <w:t xml:space="preserve"> are part of the regulatory system that negatively regulates </w:t>
      </w:r>
      <w:r w:rsidR="004828BD" w:rsidRPr="00002888">
        <w:rPr>
          <w:rFonts w:ascii="Times New Roman" w:hAnsi="Times New Roman" w:cs="Times New Roman"/>
          <w:sz w:val="24"/>
          <w:szCs w:val="24"/>
          <w:shd w:val="clear" w:color="auto" w:fill="FFFFFF"/>
          <w:lang w:val="en-GB"/>
        </w:rPr>
        <w:t>MAP3K14</w:t>
      </w:r>
      <w:r w:rsidR="00337A1C" w:rsidRPr="00002888">
        <w:rPr>
          <w:rFonts w:ascii="Times New Roman" w:hAnsi="Times New Roman" w:cs="Times New Roman"/>
          <w:sz w:val="24"/>
          <w:szCs w:val="24"/>
          <w:shd w:val="clear" w:color="auto" w:fill="FFFFFF"/>
          <w:lang w:val="en-GB"/>
        </w:rPr>
        <w:t xml:space="preserve">, a central activator of </w:t>
      </w:r>
      <w:r w:rsidR="004828BD" w:rsidRPr="00002888">
        <w:rPr>
          <w:rFonts w:ascii="Times New Roman" w:hAnsi="Times New Roman" w:cs="Times New Roman"/>
          <w:sz w:val="24"/>
          <w:szCs w:val="24"/>
          <w:shd w:val="clear" w:color="auto" w:fill="FFFFFF"/>
          <w:lang w:val="en-GB"/>
        </w:rPr>
        <w:t xml:space="preserve">noncanonical signalling </w:t>
      </w:r>
      <w:r w:rsidR="00A041A3" w:rsidRPr="00002888">
        <w:rPr>
          <w:rFonts w:ascii="Times New Roman" w:hAnsi="Times New Roman" w:cs="Times New Roman"/>
          <w:sz w:val="24"/>
          <w:szCs w:val="24"/>
          <w:shd w:val="clear" w:color="auto" w:fill="FFFFFF"/>
          <w:lang w:val="en-GB"/>
        </w:rPr>
        <w:t>and another target of mutations in SMZL</w:t>
      </w:r>
      <w:r w:rsidR="004828BD" w:rsidRPr="00002888">
        <w:rPr>
          <w:rFonts w:ascii="Times New Roman" w:hAnsi="Times New Roman" w:cs="Times New Roman"/>
          <w:sz w:val="24"/>
          <w:szCs w:val="24"/>
          <w:shd w:val="clear" w:color="auto" w:fill="FFFFFF"/>
          <w:lang w:val="en-GB"/>
        </w:rPr>
        <w:t xml:space="preserve"> </w:t>
      </w:r>
      <w:r w:rsidR="004828BD" w:rsidRPr="00002888">
        <w:rPr>
          <w:rFonts w:ascii="Times New Roman" w:hAnsi="Times New Roman" w:cs="Times New Roman"/>
          <w:sz w:val="24"/>
          <w:szCs w:val="24"/>
          <w:shd w:val="clear" w:color="auto" w:fill="FFFFFF"/>
          <w:lang w:val="en-GB"/>
        </w:rPr>
        <w:fldChar w:fldCharType="begin" w:fldLock="1"/>
      </w:r>
      <w:r w:rsidR="00EB4D78" w:rsidRPr="00002888">
        <w:rPr>
          <w:rFonts w:ascii="Times New Roman" w:hAnsi="Times New Roman" w:cs="Times New Roman"/>
          <w:sz w:val="24"/>
          <w:szCs w:val="24"/>
          <w:shd w:val="clear" w:color="auto" w:fill="FFFFFF"/>
          <w:lang w:val="en-GB"/>
        </w:rPr>
        <w:instrText>ADDIN CSL_CITATION {"citationItems":[{"id":"ITEM-1","itemData":{"DOI":"10.1182/blood-2011-06-359166","ISSN":"0006-4971","abstract":"Splenic marginal zone lymphoma (SMZL) is one of the few B-cell lymphoma types that remain orphan of molecular lesions in cancer-related genes. Detection of active NF-κB signaling in 14 (58%) of 24 SMZLs prompted the investigation of NF-κB molecular alterations in 101 SMZLs. Mutations and copy number abnormalities of NF-κB genes occurred in 36 (36%) of 101 SMZLs and targeted both canonical (TNFAIP3 and IKBKB) and noncanonical (BIRC3, TRAF3, MAP3K14) NF-κB pathways. Most alterations were mutually exclusive, documenting the existence of multiple independent mechanisms affecting NF-κB in SMZL. BIRC3 inactivation in SMZL recurred because of somatic mutations that disrupted the same RING domain that in extranodal marginal zone lymphoma is removed by the t(11;18) translocation, which points to BIRC3 disruption as a common mechanism across marginal zone B-cell lymphomagenesis. Genetic lesions of NF-κB provide a molecular basis for the pathogenesis of more than 30% of SMZLs and offer a suitable target for NF-κB therapeutic approaches in this lymphoma.","author":[{"dropping-particle":"","family":"Rossi","given":"Davide","non-dropping-particle":"","parse-names":false,"suffix":""},{"dropping-particle":"","family":"Deaglio","given":"Silvia","non-dropping-particle":"","parse-names":false,"suffix":""},{"dropping-particle":"","family":"Dominguez-Sola","given":"David","non-dropping-particle":"","parse-names":false,"suffix":""},{"dropping-particle":"","family":"Rasi","given":"Silvia","non-dropping-particle":"","parse-names":false,"suffix":""},{"dropping-particle":"","family":"Vaisitti","given":"Tiziana","non-dropping-particle":"","parse-names":false,"suffix":""},{"dropping-particle":"","family":"Agostinelli","given":"Claudio","non-dropping-particle":"","parse-names":false,"suffix":""},{"dropping-particle":"","family":"Spina","given":"Valeria","non-dropping-particle":"","parse-names":false,"suffix":""},{"dropping-particle":"","family":"Bruscaggin","given":"Alessio","non-dropping-particle":"","parse-names":false,"suffix":""},{"dropping-particle":"","family":"Monti","given":"Sara","non-dropping-particle":"","parse-names":false,"suffix":""},{"dropping-particle":"","family":"Cerri","given":"Michaela","non-dropping-particle":"","parse-names":false,"suffix":""},{"dropping-particle":"","family":"Cresta","given":"Stefania","non-dropping-particle":"","parse-names":false,"suffix":""},{"dropping-particle":"","family":"Fangazio","given":"Marco","non-dropping-particle":"","parse-names":false,"suffix":""},{"dropping-particle":"","family":"Arcaini","given":"Luca","non-dropping-particle":"","parse-names":false,"suffix":""},{"dropping-particle":"","family":"Lucioni","given":"Marco","non-dropping-particle":"","parse-names":false,"suffix":""},{"dropping-particle":"","family":"Marasca","given":"Roberto","non-dropping-particle":"","parse-names":false,"suffix":""},{"dropping-particle":"","family":"Thieblemont","given":"Catherine","non-dropping-particle":"","parse-names":false,"suffix":""},{"dropping-particle":"","family":"Capello","given":"Daniela","non-dropping-particle":"","parse-names":false,"suffix":""},{"dropping-particle":"","family":"Facchetti","given":"Fabio","non-dropping-particle":"","parse-names":false,"suffix":""},{"dropping-particle":"","family":"Kwee","given":"Ivo","non-dropping-particle":"","parse-names":false,"suffix":""},{"dropping-particle":"","family":"Pileri","given":"Stefano a","non-dropping-particle":"","parse-names":false,"suffix":""},{"dropping-particle":"","family":"Foà","given":"Robin","non-dropping-particle":"","parse-names":false,"suffix":""},{"dropping-particle":"","family":"Bertoni","given":"Francesco","non-dropping-particle":"","parse-names":false,"suffix":""},{"dropping-particle":"","family":"Dalla-Favera","given":"Riccardo","non-dropping-particle":"","parse-names":false,"suffix":""},{"dropping-particle":"","family":"Pasqualucci","given":"Laura","non-dropping-particle":"","parse-names":false,"suffix":""},{"dropping-particle":"","family":"Gaidano","given":"Gianluca","non-dropping-particle":"","parse-names":false,"suffix":""}],"container-title":"Blood","id":"ITEM-1","issue":"18","issued":{"date-parts":[["2011","11","3"]]},"page":"4930-4934","title":"Alteration of BIRC3 and multiple other NF-κB pathway genes in splenic marginal zone lymphoma","type":"article-journal","volume":"118"},"uris":["http://www.mendeley.com/documents/?uuid=1f1496bd-955d-4150-a829-b7b3cedaf89d"]}],"mendeley":{"formattedCitation":"(Rossi et al., 2011)","plainTextFormattedCitation":"(Rossi et al., 2011)","previouslyFormattedCitation":"(Rossi et al., 2011)"},"properties":{"noteIndex":0},"schema":"https://github.com/citation-style-language/schema/raw/master/csl-citation.json"}</w:instrText>
      </w:r>
      <w:r w:rsidR="004828BD" w:rsidRPr="00002888">
        <w:rPr>
          <w:rFonts w:ascii="Times New Roman" w:hAnsi="Times New Roman" w:cs="Times New Roman"/>
          <w:sz w:val="24"/>
          <w:szCs w:val="24"/>
          <w:shd w:val="clear" w:color="auto" w:fill="FFFFFF"/>
          <w:lang w:val="en-GB"/>
        </w:rPr>
        <w:fldChar w:fldCharType="separate"/>
      </w:r>
      <w:r w:rsidR="00A15967" w:rsidRPr="00002888">
        <w:rPr>
          <w:rFonts w:ascii="Times New Roman" w:hAnsi="Times New Roman" w:cs="Times New Roman"/>
          <w:noProof/>
          <w:sz w:val="24"/>
          <w:szCs w:val="24"/>
          <w:shd w:val="clear" w:color="auto" w:fill="FFFFFF"/>
          <w:lang w:val="en-GB"/>
        </w:rPr>
        <w:t>(Rossi et al., 2011)</w:t>
      </w:r>
      <w:r w:rsidR="004828BD" w:rsidRPr="00002888">
        <w:rPr>
          <w:rFonts w:ascii="Times New Roman" w:hAnsi="Times New Roman" w:cs="Times New Roman"/>
          <w:sz w:val="24"/>
          <w:szCs w:val="24"/>
          <w:shd w:val="clear" w:color="auto" w:fill="FFFFFF"/>
          <w:lang w:val="en-GB"/>
        </w:rPr>
        <w:fldChar w:fldCharType="end"/>
      </w:r>
      <w:r w:rsidR="004828BD" w:rsidRPr="00002888">
        <w:rPr>
          <w:rFonts w:ascii="Times New Roman" w:hAnsi="Times New Roman" w:cs="Times New Roman"/>
          <w:sz w:val="24"/>
          <w:szCs w:val="24"/>
          <w:shd w:val="clear" w:color="auto" w:fill="FFFFFF"/>
          <w:lang w:val="en-GB"/>
        </w:rPr>
        <w:t xml:space="preserve">. </w:t>
      </w:r>
      <w:r w:rsidR="001B506A" w:rsidRPr="00002888">
        <w:rPr>
          <w:rFonts w:ascii="Times New Roman" w:hAnsi="Times New Roman" w:cs="Times New Roman"/>
          <w:sz w:val="24"/>
          <w:szCs w:val="24"/>
          <w:shd w:val="clear" w:color="auto" w:fill="FFFFFF"/>
          <w:lang w:val="en-GB"/>
        </w:rPr>
        <w:t xml:space="preserve">Activating mutations in positive </w:t>
      </w:r>
      <w:r w:rsidR="001B506A" w:rsidRPr="00245037">
        <w:rPr>
          <w:rFonts w:ascii="Times New Roman" w:hAnsi="Times New Roman" w:cs="Times New Roman"/>
          <w:sz w:val="24"/>
          <w:szCs w:val="24"/>
          <w:shd w:val="clear" w:color="auto" w:fill="FFFFFF"/>
          <w:lang w:val="en-GB"/>
        </w:rPr>
        <w:t>regulators</w:t>
      </w:r>
      <w:r w:rsidR="00312155" w:rsidRPr="00245037">
        <w:rPr>
          <w:rFonts w:ascii="Times New Roman" w:hAnsi="Times New Roman" w:cs="Times New Roman"/>
          <w:sz w:val="24"/>
          <w:szCs w:val="24"/>
          <w:shd w:val="clear" w:color="auto" w:fill="FFFFFF"/>
          <w:lang w:val="en-GB"/>
        </w:rPr>
        <w:t xml:space="preserve"> </w:t>
      </w:r>
      <w:r w:rsidR="001B506A" w:rsidRPr="00245037">
        <w:rPr>
          <w:rFonts w:ascii="Times New Roman" w:hAnsi="Times New Roman" w:cs="Times New Roman"/>
          <w:sz w:val="24"/>
          <w:szCs w:val="24"/>
          <w:shd w:val="clear" w:color="auto" w:fill="FFFFFF"/>
          <w:lang w:val="en-GB"/>
        </w:rPr>
        <w:t xml:space="preserve">have </w:t>
      </w:r>
      <w:r w:rsidR="00312155" w:rsidRPr="00245037">
        <w:rPr>
          <w:rFonts w:ascii="Times New Roman" w:hAnsi="Times New Roman" w:cs="Times New Roman"/>
          <w:sz w:val="24"/>
          <w:szCs w:val="24"/>
          <w:shd w:val="clear" w:color="auto" w:fill="FFFFFF"/>
          <w:lang w:val="en-GB"/>
        </w:rPr>
        <w:t xml:space="preserve">also been </w:t>
      </w:r>
      <w:r w:rsidR="001B506A" w:rsidRPr="00245037">
        <w:rPr>
          <w:rFonts w:ascii="Times New Roman" w:hAnsi="Times New Roman" w:cs="Times New Roman"/>
          <w:sz w:val="24"/>
          <w:szCs w:val="24"/>
          <w:shd w:val="clear" w:color="auto" w:fill="FFFFFF"/>
          <w:lang w:val="en-GB"/>
        </w:rPr>
        <w:t xml:space="preserve">found </w:t>
      </w:r>
      <w:r w:rsidR="00FC6BFC" w:rsidRPr="00245037">
        <w:rPr>
          <w:rFonts w:ascii="Times New Roman" w:hAnsi="Times New Roman" w:cs="Times New Roman"/>
          <w:sz w:val="24"/>
          <w:szCs w:val="24"/>
          <w:shd w:val="clear" w:color="auto" w:fill="FFFFFF"/>
          <w:lang w:val="en-GB"/>
        </w:rPr>
        <w:t xml:space="preserve">mainly in </w:t>
      </w:r>
      <w:r w:rsidR="00FC6BFC" w:rsidRPr="00245037">
        <w:rPr>
          <w:rFonts w:ascii="Times New Roman" w:hAnsi="Times New Roman" w:cs="Times New Roman"/>
          <w:i/>
          <w:iCs/>
          <w:sz w:val="24"/>
          <w:szCs w:val="24"/>
          <w:shd w:val="clear" w:color="auto" w:fill="FFFFFF"/>
          <w:lang w:val="en-GB"/>
        </w:rPr>
        <w:t>CARD11</w:t>
      </w:r>
      <w:r w:rsidR="00FC6BFC" w:rsidRPr="00245037">
        <w:rPr>
          <w:rFonts w:ascii="Times New Roman" w:hAnsi="Times New Roman" w:cs="Times New Roman"/>
          <w:sz w:val="24"/>
          <w:szCs w:val="24"/>
          <w:shd w:val="clear" w:color="auto" w:fill="FFFFFF"/>
          <w:lang w:val="en-GB"/>
        </w:rPr>
        <w:t xml:space="preserve"> </w:t>
      </w:r>
      <w:r w:rsidR="00300B28" w:rsidRPr="00245037">
        <w:rPr>
          <w:rFonts w:ascii="Times New Roman" w:hAnsi="Times New Roman" w:cs="Times New Roman"/>
          <w:sz w:val="24"/>
          <w:szCs w:val="24"/>
          <w:shd w:val="clear" w:color="auto" w:fill="FFFFFF"/>
          <w:lang w:val="en-GB"/>
        </w:rPr>
        <w:t>(</w:t>
      </w:r>
      <w:r w:rsidR="00DA6429" w:rsidRPr="00245037">
        <w:rPr>
          <w:rFonts w:ascii="Times New Roman" w:hAnsi="Times New Roman" w:cs="Times New Roman"/>
          <w:sz w:val="24"/>
          <w:szCs w:val="24"/>
          <w:shd w:val="clear" w:color="auto" w:fill="FFFFFF"/>
          <w:lang w:val="en-GB"/>
        </w:rPr>
        <w:t>~5</w:t>
      </w:r>
      <w:r w:rsidR="00300B28" w:rsidRPr="00245037">
        <w:rPr>
          <w:rFonts w:ascii="Times New Roman" w:hAnsi="Times New Roman" w:cs="Times New Roman"/>
          <w:sz w:val="24"/>
          <w:szCs w:val="24"/>
          <w:shd w:val="clear" w:color="auto" w:fill="FFFFFF"/>
          <w:lang w:val="en-GB"/>
        </w:rPr>
        <w:t>%)</w:t>
      </w:r>
      <w:r w:rsidR="280E4C8B" w:rsidRPr="00245037">
        <w:rPr>
          <w:rFonts w:ascii="Times New Roman" w:hAnsi="Times New Roman" w:cs="Times New Roman"/>
          <w:sz w:val="24"/>
          <w:szCs w:val="24"/>
          <w:lang w:val="en-GB"/>
        </w:rPr>
        <w:t xml:space="preserve"> and</w:t>
      </w:r>
      <w:r w:rsidR="00023C0A" w:rsidRPr="00245037">
        <w:rPr>
          <w:rFonts w:ascii="Times New Roman" w:hAnsi="Times New Roman" w:cs="Times New Roman"/>
          <w:sz w:val="24"/>
          <w:szCs w:val="24"/>
          <w:lang w:val="en-GB"/>
        </w:rPr>
        <w:t xml:space="preserve"> </w:t>
      </w:r>
      <w:r w:rsidR="00FC6BFC" w:rsidRPr="00245037">
        <w:rPr>
          <w:rFonts w:ascii="Times New Roman" w:hAnsi="Times New Roman" w:cs="Times New Roman"/>
          <w:i/>
          <w:iCs/>
          <w:sz w:val="24"/>
          <w:szCs w:val="24"/>
          <w:shd w:val="clear" w:color="auto" w:fill="FFFFFF"/>
          <w:lang w:val="en-GB"/>
        </w:rPr>
        <w:t>IKBKB</w:t>
      </w:r>
      <w:r w:rsidR="00300B28" w:rsidRPr="00245037">
        <w:rPr>
          <w:rFonts w:ascii="Times New Roman" w:hAnsi="Times New Roman" w:cs="Times New Roman"/>
          <w:sz w:val="24"/>
          <w:szCs w:val="24"/>
          <w:shd w:val="clear" w:color="auto" w:fill="FFFFFF"/>
          <w:lang w:val="en-GB"/>
        </w:rPr>
        <w:t xml:space="preserve"> (</w:t>
      </w:r>
      <w:r w:rsidR="00DA6429" w:rsidRPr="00245037">
        <w:rPr>
          <w:rFonts w:ascii="Times New Roman" w:hAnsi="Times New Roman" w:cs="Times New Roman"/>
          <w:sz w:val="24"/>
          <w:szCs w:val="24"/>
          <w:shd w:val="clear" w:color="auto" w:fill="FFFFFF"/>
          <w:lang w:val="en-GB"/>
        </w:rPr>
        <w:t>~3</w:t>
      </w:r>
      <w:r w:rsidR="00300B28" w:rsidRPr="00245037">
        <w:rPr>
          <w:rFonts w:ascii="Times New Roman" w:hAnsi="Times New Roman" w:cs="Times New Roman"/>
          <w:sz w:val="24"/>
          <w:szCs w:val="24"/>
          <w:shd w:val="clear" w:color="auto" w:fill="FFFFFF"/>
          <w:lang w:val="en-GB"/>
        </w:rPr>
        <w:t>%)</w:t>
      </w:r>
      <w:r w:rsidR="00F75B67" w:rsidRPr="00245037">
        <w:rPr>
          <w:rFonts w:ascii="Times New Roman" w:hAnsi="Times New Roman" w:cs="Times New Roman"/>
          <w:sz w:val="24"/>
          <w:szCs w:val="24"/>
          <w:shd w:val="clear" w:color="auto" w:fill="FFFFFF"/>
          <w:lang w:val="en-GB"/>
        </w:rPr>
        <w:t>.</w:t>
      </w:r>
      <w:r w:rsidR="00146D5D" w:rsidRPr="00245037">
        <w:rPr>
          <w:rFonts w:ascii="Times New Roman" w:hAnsi="Times New Roman" w:cs="Times New Roman"/>
          <w:sz w:val="24"/>
          <w:szCs w:val="24"/>
          <w:shd w:val="clear" w:color="auto" w:fill="FFFFFF"/>
          <w:lang w:val="en-GB"/>
        </w:rPr>
        <w:t xml:space="preserve"> </w:t>
      </w:r>
      <w:r w:rsidR="0003486C" w:rsidRPr="00245037">
        <w:rPr>
          <w:rFonts w:ascii="Times New Roman" w:hAnsi="Times New Roman" w:cs="Times New Roman"/>
          <w:sz w:val="24"/>
          <w:szCs w:val="24"/>
          <w:shd w:val="clear" w:color="auto" w:fill="FFFFFF"/>
          <w:lang w:val="en-GB"/>
        </w:rPr>
        <w:t>Furthermore, m</w:t>
      </w:r>
      <w:r w:rsidR="00525A3A" w:rsidRPr="00245037">
        <w:rPr>
          <w:rFonts w:ascii="Times New Roman" w:hAnsi="Times New Roman" w:cs="Times New Roman"/>
          <w:sz w:val="24"/>
          <w:szCs w:val="24"/>
          <w:shd w:val="clear" w:color="auto" w:fill="FFFFFF"/>
          <w:lang w:val="en-GB"/>
        </w:rPr>
        <w:t xml:space="preserve">utations in this pathway seem to be mutually exclusive </w:t>
      </w:r>
      <w:r w:rsidR="00A01A54" w:rsidRPr="00245037">
        <w:rPr>
          <w:rFonts w:ascii="Times New Roman" w:hAnsi="Times New Roman" w:cs="Times New Roman"/>
          <w:sz w:val="24"/>
          <w:szCs w:val="24"/>
          <w:shd w:val="clear" w:color="auto" w:fill="FFFFFF"/>
          <w:lang w:val="en-GB"/>
        </w:rPr>
        <w:t xml:space="preserve">pointing to </w:t>
      </w:r>
      <w:r w:rsidR="467AE569" w:rsidRPr="00245037">
        <w:rPr>
          <w:rFonts w:ascii="Times New Roman" w:hAnsi="Times New Roman" w:cs="Times New Roman"/>
          <w:sz w:val="24"/>
          <w:szCs w:val="24"/>
          <w:shd w:val="clear" w:color="auto" w:fill="FFFFFF"/>
          <w:lang w:val="en-GB"/>
        </w:rPr>
        <w:t>multiple independent</w:t>
      </w:r>
      <w:r w:rsidR="00A01A54" w:rsidRPr="00245037">
        <w:rPr>
          <w:rFonts w:ascii="Times New Roman" w:hAnsi="Times New Roman" w:cs="Times New Roman"/>
          <w:sz w:val="24"/>
          <w:szCs w:val="24"/>
          <w:shd w:val="clear" w:color="auto" w:fill="FFFFFF"/>
          <w:lang w:val="en-GB"/>
        </w:rPr>
        <w:t xml:space="preserve"> molecular mechanisms</w:t>
      </w:r>
      <w:r w:rsidR="00A01A54" w:rsidRPr="00002888">
        <w:rPr>
          <w:rFonts w:ascii="Times New Roman" w:hAnsi="Times New Roman" w:cs="Times New Roman"/>
          <w:sz w:val="24"/>
          <w:szCs w:val="24"/>
          <w:shd w:val="clear" w:color="auto" w:fill="FFFFFF"/>
          <w:lang w:val="en-GB"/>
        </w:rPr>
        <w:t xml:space="preserve"> targeting </w:t>
      </w:r>
      <w:r w:rsidR="003A7BC5" w:rsidRPr="00002888">
        <w:rPr>
          <w:rFonts w:ascii="Times New Roman" w:hAnsi="Times New Roman" w:cs="Times New Roman"/>
          <w:sz w:val="24"/>
          <w:szCs w:val="24"/>
          <w:shd w:val="clear" w:color="auto" w:fill="FFFFFF"/>
          <w:lang w:val="en-GB"/>
        </w:rPr>
        <w:t>NF-</w:t>
      </w:r>
      <w:proofErr w:type="spellStart"/>
      <w:r w:rsidR="00A44284" w:rsidRPr="00002888">
        <w:rPr>
          <w:rFonts w:ascii="Times New Roman" w:hAnsi="Times New Roman" w:cs="Times New Roman"/>
          <w:sz w:val="24"/>
          <w:szCs w:val="24"/>
          <w:lang w:val="en-GB"/>
        </w:rPr>
        <w:t>κ</w:t>
      </w:r>
      <w:r w:rsidR="003A7BC5" w:rsidRPr="00002888">
        <w:rPr>
          <w:rFonts w:ascii="Times New Roman" w:hAnsi="Times New Roman" w:cs="Times New Roman"/>
          <w:sz w:val="24"/>
          <w:szCs w:val="24"/>
          <w:shd w:val="clear" w:color="auto" w:fill="FFFFFF"/>
          <w:lang w:val="en-GB"/>
        </w:rPr>
        <w:t>B</w:t>
      </w:r>
      <w:proofErr w:type="spellEnd"/>
      <w:r w:rsidR="00A01A54" w:rsidRPr="00002888">
        <w:rPr>
          <w:rFonts w:ascii="Times New Roman" w:hAnsi="Times New Roman" w:cs="Times New Roman"/>
          <w:sz w:val="24"/>
          <w:szCs w:val="24"/>
          <w:shd w:val="clear" w:color="auto" w:fill="FFFFFF"/>
          <w:lang w:val="en-GB"/>
        </w:rPr>
        <w:t xml:space="preserve"> signalling in SMZLs</w:t>
      </w:r>
      <w:r w:rsidR="51BFB81D" w:rsidRPr="00002888">
        <w:rPr>
          <w:rFonts w:ascii="Times New Roman" w:hAnsi="Times New Roman" w:cs="Times New Roman"/>
          <w:sz w:val="24"/>
          <w:szCs w:val="24"/>
          <w:lang w:val="en-GB"/>
        </w:rPr>
        <w:t xml:space="preserve"> </w:t>
      </w:r>
      <w:r w:rsidR="00D472FF" w:rsidRPr="00002888">
        <w:rPr>
          <w:rFonts w:ascii="Times New Roman" w:hAnsi="Times New Roman" w:cs="Times New Roman"/>
          <w:sz w:val="24"/>
          <w:szCs w:val="24"/>
          <w:lang w:val="en-GB"/>
        </w:rPr>
        <w:fldChar w:fldCharType="begin" w:fldLock="1"/>
      </w:r>
      <w:r w:rsidR="009C4337" w:rsidRPr="00002888">
        <w:rPr>
          <w:rFonts w:ascii="Times New Roman" w:hAnsi="Times New Roman" w:cs="Times New Roman"/>
          <w:sz w:val="24"/>
          <w:szCs w:val="24"/>
          <w:lang w:val="en-GB"/>
        </w:rPr>
        <w:instrText>ADDIN CSL_CITATION {"citationItems":[{"id":"ITEM-1","itemData":{"DOI":"10.1182/blood-2011-06-359166","ISSN":"0006-4971","abstract":"Splenic marginal zone lymphoma (SMZL) is one of the few B-cell lymphoma types that remain orphan of molecular lesions in cancer-related genes. Detection of active NF-κB signaling in 14 (58%) of 24 SMZLs prompted the investigation of NF-κB molecular alterations in 101 SMZLs. Mutations and copy number abnormalities of NF-κB genes occurred in 36 (36%) of 101 SMZLs and targeted both canonical (TNFAIP3 and IKBKB) and noncanonical (BIRC3, TRAF3, MAP3K14) NF-κB pathways. Most alterations were mutually exclusive, documenting the existence of multiple independent mechanisms affecting NF-κB in SMZL. BIRC3 inactivation in SMZL recurred because of somatic mutations that disrupted the same RING domain that in extranodal marginal zone lymphoma is removed by the t(11;18) translocation, which points to BIRC3 disruption as a common mechanism across marginal zone B-cell lymphomagenesis. Genetic lesions of NF-κB provide a molecular basis for the pathogenesis of more than 30% of SMZLs and offer a suitable target for NF-κB therapeutic approaches in this lymphoma.","author":[{"dropping-particle":"","family":"Rossi","given":"Davide","non-dropping-particle":"","parse-names":false,"suffix":""},{"dropping-particle":"","family":"Deaglio","given":"Silvia","non-dropping-particle":"","parse-names":false,"suffix":""},{"dropping-particle":"","family":"Dominguez-Sola","given":"David","non-dropping-particle":"","parse-names":false,"suffix":""},{"dropping-particle":"","family":"Rasi","given":"Silvia","non-dropping-particle":"","parse-names":false,"suffix":""},{"dropping-particle":"","family":"Vaisitti","given":"Tiziana","non-dropping-particle":"","parse-names":false,"suffix":""},{"dropping-particle":"","family":"Agostinelli","given":"Claudio","non-dropping-particle":"","parse-names":false,"suffix":""},{"dropping-particle":"","family":"Spina","given":"Valeria","non-dropping-particle":"","parse-names":false,"suffix":""},{"dropping-particle":"","family":"Bruscaggin","given":"Alessio","non-dropping-particle":"","parse-names":false,"suffix":""},{"dropping-particle":"","family":"Monti","given":"Sara","non-dropping-particle":"","parse-names":false,"suffix":""},{"dropping-particle":"","family":"Cerri","given":"Michaela","non-dropping-particle":"","parse-names":false,"suffix":""},{"dropping-particle":"","family":"Cresta","given":"Stefania","non-dropping-particle":"","parse-names":false,"suffix":""},{"dropping-particle":"","family":"Fangazio","given":"Marco","non-dropping-particle":"","parse-names":false,"suffix":""},{"dropping-particle":"","family":"Arcaini","given":"Luca","non-dropping-particle":"","parse-names":false,"suffix":""},{"dropping-particle":"","family":"Lucioni","given":"Marco","non-dropping-particle":"","parse-names":false,"suffix":""},{"dropping-particle":"","family":"Marasca","given":"Roberto","non-dropping-particle":"","parse-names":false,"suffix":""},{"dropping-particle":"","family":"Thieblemont","given":"Catherine","non-dropping-particle":"","parse-names":false,"suffix":""},{"dropping-particle":"","family":"Capello","given":"Daniela","non-dropping-particle":"","parse-names":false,"suffix":""},{"dropping-particle":"","family":"Facchetti","given":"Fabio","non-dropping-particle":"","parse-names":false,"suffix":""},{"dropping-particle":"","family":"Kwee","given":"Ivo","non-dropping-particle":"","parse-names":false,"suffix":""},{"dropping-particle":"","family":"Pileri","given":"Stefano a","non-dropping-particle":"","parse-names":false,"suffix":""},{"dropping-particle":"","family":"Foà","given":"Robin","non-dropping-particle":"","parse-names":false,"suffix":""},{"dropping-particle":"","family":"Bertoni","given":"Francesco","non-dropping-particle":"","parse-names":false,"suffix":""},{"dropping-particle":"","family":"Dalla-Favera","given":"Riccardo","non-dropping-particle":"","parse-names":false,"suffix":""},{"dropping-particle":"","family":"Pasqualucci","given":"Laura","non-dropping-particle":"","parse-names":false,"suffix":""},{"dropping-particle":"","family":"Gaidano","given":"Gianluca","non-dropping-particle":"","parse-names":false,"suffix":""}],"container-title":"Blood","id":"ITEM-1","issue":"18","issued":{"date-parts":[["2011","11","3"]]},"page":"4930-4934","title":"Alteration of BIRC3 and multiple other NF-κB pathway genes in splenic marginal zone lymphoma","type":"article-journal","volume":"118"},"uris":["http://www.mendeley.com/documents/?uuid=1f1496bd-955d-4150-a829-b7b3cedaf89d"]}],"mendeley":{"formattedCitation":"(Rossi et al., 2011)","plainTextFormattedCitation":"(Rossi et al., 2011)","previouslyFormattedCitation":"(Rossi et al., 2011)"},"properties":{"noteIndex":0},"schema":"https://github.com/citation-style-language/schema/raw/master/csl-citation.json"}</w:instrText>
      </w:r>
      <w:r w:rsidR="00D472FF" w:rsidRPr="00002888">
        <w:rPr>
          <w:rFonts w:ascii="Times New Roman" w:hAnsi="Times New Roman" w:cs="Times New Roman"/>
          <w:sz w:val="24"/>
          <w:szCs w:val="24"/>
          <w:lang w:val="en-GB"/>
        </w:rPr>
        <w:fldChar w:fldCharType="separate"/>
      </w:r>
      <w:r w:rsidR="00D472FF" w:rsidRPr="00002888">
        <w:rPr>
          <w:rFonts w:ascii="Times New Roman" w:hAnsi="Times New Roman" w:cs="Times New Roman"/>
          <w:noProof/>
          <w:sz w:val="24"/>
          <w:szCs w:val="24"/>
          <w:lang w:val="en-GB"/>
        </w:rPr>
        <w:t>(Rossi et al., 2011)</w:t>
      </w:r>
      <w:r w:rsidR="00D472FF" w:rsidRPr="00002888">
        <w:rPr>
          <w:rFonts w:ascii="Times New Roman" w:hAnsi="Times New Roman" w:cs="Times New Roman"/>
          <w:sz w:val="24"/>
          <w:szCs w:val="24"/>
          <w:lang w:val="en-GB"/>
        </w:rPr>
        <w:fldChar w:fldCharType="end"/>
      </w:r>
      <w:r w:rsidR="00A01A54" w:rsidRPr="00002888">
        <w:rPr>
          <w:rFonts w:ascii="Times New Roman" w:hAnsi="Times New Roman" w:cs="Times New Roman"/>
          <w:sz w:val="24"/>
          <w:szCs w:val="24"/>
          <w:shd w:val="clear" w:color="auto" w:fill="FFFFFF"/>
          <w:lang w:val="en-GB"/>
        </w:rPr>
        <w:t>.</w:t>
      </w:r>
      <w:r w:rsidR="00C92D3F" w:rsidRPr="00002888">
        <w:rPr>
          <w:rFonts w:ascii="Times New Roman" w:hAnsi="Times New Roman" w:cs="Times New Roman"/>
          <w:sz w:val="24"/>
          <w:szCs w:val="24"/>
          <w:shd w:val="clear" w:color="auto" w:fill="FFFFFF"/>
          <w:lang w:val="en-GB"/>
        </w:rPr>
        <w:t xml:space="preserve"> </w:t>
      </w:r>
    </w:p>
    <w:p w14:paraId="09028C73" w14:textId="77777777" w:rsidR="00002888" w:rsidRPr="00002888" w:rsidRDefault="00002888" w:rsidP="00002888">
      <w:pPr>
        <w:spacing w:before="0" w:after="0" w:line="360" w:lineRule="auto"/>
        <w:jc w:val="left"/>
        <w:rPr>
          <w:rFonts w:ascii="Times New Roman" w:hAnsi="Times New Roman" w:cs="Times New Roman"/>
          <w:sz w:val="24"/>
          <w:szCs w:val="24"/>
          <w:shd w:val="clear" w:color="auto" w:fill="FFFFFF"/>
          <w:lang w:val="en-GB"/>
        </w:rPr>
      </w:pPr>
    </w:p>
    <w:p w14:paraId="1EA7BA0C" w14:textId="72C0E136" w:rsidR="00066928" w:rsidRDefault="00066928" w:rsidP="00002888">
      <w:pPr>
        <w:autoSpaceDE w:val="0"/>
        <w:autoSpaceDN w:val="0"/>
        <w:adjustRightInd w:val="0"/>
        <w:spacing w:before="0" w:after="0" w:line="360" w:lineRule="auto"/>
        <w:jc w:val="left"/>
        <w:rPr>
          <w:rFonts w:ascii="Times New Roman" w:hAnsi="Times New Roman" w:cs="Times New Roman"/>
          <w:sz w:val="24"/>
          <w:szCs w:val="24"/>
          <w:shd w:val="clear" w:color="auto" w:fill="FFFFFF"/>
          <w:lang w:val="en-GB"/>
        </w:rPr>
      </w:pPr>
      <w:r w:rsidRPr="00002888">
        <w:rPr>
          <w:rFonts w:ascii="Times New Roman" w:hAnsi="Times New Roman" w:cs="Times New Roman"/>
          <w:b/>
          <w:bCs/>
          <w:sz w:val="24"/>
          <w:szCs w:val="24"/>
          <w:shd w:val="clear" w:color="auto" w:fill="FFFFFF"/>
          <w:lang w:val="en-GB"/>
        </w:rPr>
        <w:t>Toll-like receptor (TLR) signalling</w:t>
      </w:r>
      <w:r w:rsidRPr="00002888">
        <w:rPr>
          <w:rFonts w:ascii="Times New Roman" w:hAnsi="Times New Roman" w:cs="Times New Roman"/>
          <w:sz w:val="24"/>
          <w:szCs w:val="24"/>
          <w:shd w:val="clear" w:color="auto" w:fill="FFFFFF"/>
          <w:lang w:val="en-GB"/>
        </w:rPr>
        <w:t xml:space="preserve"> plays a key role in SMZL biology, as cellular proliferation is driven by </w:t>
      </w:r>
      <w:r w:rsidR="5127E546" w:rsidRPr="00002888">
        <w:rPr>
          <w:rFonts w:ascii="Times New Roman" w:hAnsi="Times New Roman" w:cs="Times New Roman"/>
          <w:sz w:val="24"/>
          <w:szCs w:val="24"/>
          <w:shd w:val="clear" w:color="auto" w:fill="FFFFFF"/>
          <w:lang w:val="en-GB"/>
        </w:rPr>
        <w:t xml:space="preserve">TLR </w:t>
      </w:r>
      <w:r w:rsidRPr="00002888">
        <w:rPr>
          <w:rFonts w:ascii="Times New Roman" w:hAnsi="Times New Roman" w:cs="Times New Roman"/>
          <w:sz w:val="24"/>
          <w:szCs w:val="24"/>
          <w:shd w:val="clear" w:color="auto" w:fill="FFFFFF"/>
          <w:lang w:val="en-GB"/>
        </w:rPr>
        <w:t xml:space="preserve">activation. MYD88, an adaptor protein essential for </w:t>
      </w:r>
      <w:r w:rsidR="3F25EC7E" w:rsidRPr="00002888">
        <w:rPr>
          <w:rFonts w:ascii="Times New Roman" w:hAnsi="Times New Roman" w:cs="Times New Roman"/>
          <w:sz w:val="24"/>
          <w:szCs w:val="24"/>
          <w:shd w:val="clear" w:color="auto" w:fill="FFFFFF"/>
          <w:lang w:val="en-GB"/>
        </w:rPr>
        <w:t>proper</w:t>
      </w:r>
      <w:r w:rsidRPr="00002888">
        <w:rPr>
          <w:rFonts w:ascii="Times New Roman" w:hAnsi="Times New Roman" w:cs="Times New Roman"/>
          <w:sz w:val="24"/>
          <w:szCs w:val="24"/>
          <w:shd w:val="clear" w:color="auto" w:fill="FFFFFF"/>
          <w:lang w:val="en-GB"/>
        </w:rPr>
        <w:t xml:space="preserve"> TLR signal transduction, has several structural domains including a death domain responsible for oligomerization and interactions with IRAK1-4, that together lead to activation of </w:t>
      </w:r>
      <w:r w:rsidR="004D132C" w:rsidRPr="00002888">
        <w:rPr>
          <w:rFonts w:ascii="Times New Roman" w:hAnsi="Times New Roman" w:cs="Times New Roman"/>
          <w:sz w:val="24"/>
          <w:szCs w:val="24"/>
          <w:shd w:val="clear" w:color="auto" w:fill="FFFFFF"/>
          <w:lang w:val="en-GB"/>
        </w:rPr>
        <w:t>NF-</w:t>
      </w:r>
      <w:proofErr w:type="spellStart"/>
      <w:r w:rsidR="00A44284" w:rsidRPr="00002888">
        <w:rPr>
          <w:rFonts w:ascii="Times New Roman" w:hAnsi="Times New Roman" w:cs="Times New Roman"/>
          <w:sz w:val="24"/>
          <w:szCs w:val="24"/>
          <w:lang w:val="en-GB"/>
        </w:rPr>
        <w:t>κ</w:t>
      </w:r>
      <w:r w:rsidR="004D132C" w:rsidRPr="00002888">
        <w:rPr>
          <w:rFonts w:ascii="Times New Roman" w:hAnsi="Times New Roman" w:cs="Times New Roman"/>
          <w:sz w:val="24"/>
          <w:szCs w:val="24"/>
          <w:shd w:val="clear" w:color="auto" w:fill="FFFFFF"/>
          <w:lang w:val="en-GB"/>
        </w:rPr>
        <w:t>B</w:t>
      </w:r>
      <w:proofErr w:type="spellEnd"/>
      <w:r w:rsidRPr="00002888">
        <w:rPr>
          <w:rFonts w:ascii="Times New Roman" w:hAnsi="Times New Roman" w:cs="Times New Roman"/>
          <w:sz w:val="24"/>
          <w:szCs w:val="24"/>
          <w:shd w:val="clear" w:color="auto" w:fill="FFFFFF"/>
          <w:lang w:val="en-GB"/>
        </w:rPr>
        <w:t xml:space="preserve">. The toll/interleukin-1 receptor homology (TIR) domain, at the proteins C-terminus, is responsible for the activation of downstream signalling. </w:t>
      </w:r>
      <w:r w:rsidRPr="00002888">
        <w:rPr>
          <w:rFonts w:ascii="Times New Roman" w:hAnsi="Times New Roman" w:cs="Times New Roman"/>
          <w:i/>
          <w:iCs/>
          <w:sz w:val="24"/>
          <w:szCs w:val="24"/>
          <w:shd w:val="clear" w:color="auto" w:fill="FFFFFF"/>
          <w:lang w:val="en-GB"/>
        </w:rPr>
        <w:t>MYD88</w:t>
      </w:r>
      <w:r w:rsidRPr="00002888">
        <w:rPr>
          <w:rFonts w:ascii="Times New Roman" w:hAnsi="Times New Roman" w:cs="Times New Roman"/>
          <w:sz w:val="24"/>
          <w:szCs w:val="24"/>
          <w:shd w:val="clear" w:color="auto" w:fill="FFFFFF"/>
          <w:lang w:val="en-GB"/>
        </w:rPr>
        <w:t xml:space="preserve"> mutations have been identified in 3-15% of SMZL</w:t>
      </w:r>
      <w:r w:rsidR="702070F6" w:rsidRPr="00002888">
        <w:rPr>
          <w:rFonts w:ascii="Times New Roman" w:hAnsi="Times New Roman" w:cs="Times New Roman"/>
          <w:sz w:val="24"/>
          <w:szCs w:val="24"/>
          <w:shd w:val="clear" w:color="auto" w:fill="FFFFFF"/>
          <w:lang w:val="en-GB"/>
        </w:rPr>
        <w:t xml:space="preserve"> </w:t>
      </w:r>
      <w:r w:rsidR="2AFFAD69" w:rsidRPr="00002888">
        <w:rPr>
          <w:rFonts w:ascii="Times New Roman" w:hAnsi="Times New Roman" w:cs="Times New Roman"/>
          <w:sz w:val="24"/>
          <w:szCs w:val="24"/>
          <w:shd w:val="clear" w:color="auto" w:fill="FFFFFF"/>
          <w:lang w:val="en-GB"/>
        </w:rPr>
        <w:t>and</w:t>
      </w:r>
      <w:r w:rsidR="282AD0E3" w:rsidRPr="00002888">
        <w:rPr>
          <w:rFonts w:ascii="Times New Roman" w:hAnsi="Times New Roman" w:cs="Times New Roman"/>
          <w:sz w:val="24"/>
          <w:szCs w:val="24"/>
          <w:shd w:val="clear" w:color="auto" w:fill="FFFFFF"/>
          <w:lang w:val="en-GB"/>
        </w:rPr>
        <w:t xml:space="preserve"> </w:t>
      </w:r>
      <w:r w:rsidR="093ECBF3" w:rsidRPr="00002888">
        <w:rPr>
          <w:rFonts w:ascii="Times New Roman" w:hAnsi="Times New Roman" w:cs="Times New Roman"/>
          <w:sz w:val="24"/>
          <w:szCs w:val="24"/>
          <w:shd w:val="clear" w:color="auto" w:fill="FFFFFF"/>
          <w:lang w:val="en-GB"/>
        </w:rPr>
        <w:t>10</w:t>
      </w:r>
      <w:r w:rsidRPr="00002888">
        <w:rPr>
          <w:rFonts w:ascii="Times New Roman" w:hAnsi="Times New Roman" w:cs="Times New Roman"/>
          <w:sz w:val="24"/>
          <w:szCs w:val="24"/>
          <w:shd w:val="clear" w:color="auto" w:fill="FFFFFF"/>
          <w:lang w:val="en-GB"/>
        </w:rPr>
        <w:t xml:space="preserve">% of CBL-MZ as well as across a spectrum of other B-cell tumours </w:t>
      </w:r>
      <w:r w:rsidRPr="00002888">
        <w:rPr>
          <w:rFonts w:ascii="Times New Roman" w:hAnsi="Times New Roman" w:cs="Times New Roman"/>
          <w:sz w:val="24"/>
          <w:szCs w:val="24"/>
          <w:shd w:val="clear" w:color="auto" w:fill="FFFFFF"/>
          <w:lang w:val="en-GB"/>
        </w:rPr>
        <w:fldChar w:fldCharType="begin" w:fldLock="1"/>
      </w:r>
      <w:r w:rsidRPr="00002888">
        <w:rPr>
          <w:rFonts w:ascii="Times New Roman" w:hAnsi="Times New Roman" w:cs="Times New Roman"/>
          <w:sz w:val="24"/>
          <w:szCs w:val="24"/>
          <w:shd w:val="clear" w:color="auto" w:fill="FFFFFF"/>
          <w:lang w:val="en-GB"/>
        </w:rPr>
        <w:instrText>ADDIN CSL_CITATION {"citationItems":[{"id":"ITEM-1","itemData":{"DOI":"10.1158/1078-0432.CCR-14-2759","ISSN":"15573265","PMID":"25779943","abstract":"Purpose: Mounting evidence supports the clinical significance of gene mutations and immunogenetic features in common mature B-cell malignancies.\\n\\nExperimental Design: We undertook a detailed characterization of the genetic background of splenic marginal zone lymphoma (SMZL), using targeted resequencing and explored potential clinical implications in a multinational cohort of 175 patients with SMZL.\\n\\nResults: We identified recurrent mutations in TP53 (16%), KLF2 (12%), NOTCH2 (10%), TNFAIP3 (7%), MLL2 (11%), MYD88 (7%), and ARID1A (6%), all genes known to be targeted by somatic mutation in SMZL. KLF2 mutations were early, clonal events, enriched in patients with del(7q) and IGHV1-2*04 B-cell receptor immunoglobulins, and were associated with a short median time to first treatment (0.12 vs. 1.11 years; P = 0.01). In multivariate analysis, mutations in NOTCH2 [HR, 2.12; 95% confidence interval (CI), 1.02–4.4; P = 0.044] and 100% germline IGHV gene identity (HR, 2.19; 95% CI, 1.05–4.55; P = 0.036) were independent markers of short time to first treatment, whereas TP53 mutations were an independent marker of short overall survival (HR, 2.36; 95 % CI, 1.08–5.2; P = 0.03).\\n\\nConclusions: We identify key associations between gene mutations and clinical outcome, demonstrating for the first time that NOTCH2 and TP53 gene mutations are independent markers of reduced treatment-free and overall survival, respectively. Clin Cancer Res; 21(18); 4174–83. ©2015 AACR .","author":[{"dropping-particle":"","family":"Parry","given":"Marina","non-dropping-particle":"","parse-names":false,"suffix":""},{"dropping-particle":"","family":"Rose-Zerilli","given":"Matthew J.J.","non-dropping-particle":"","parse-names":false,"suffix":""},{"dropping-particle":"","family":"Ljungström","given":"Viktor","non-dropping-particle":"","parse-names":false,"suffix":""},{"dropping-particle":"","family":"Gibson","given":"Jane","non-dropping-particle":"","parse-names":false,"suffix":""},{"dropping-particle":"","family":"Wang","given":"Jun","non-dropping-particle":"","parse-names":false,"suffix":""},{"dropping-particle":"","family":"Walewska","given":"Renata","non-dropping-particle":"","parse-names":false,"suffix":""},{"dropping-particle":"","family":"Parker","given":"Helen","non-dropping-particle":"","parse-names":false,"suffix":""},{"dropping-particle":"","family":"Parker","given":"Anton","non-dropping-particle":"","parse-names":false,"suffix":""},{"dropping-particle":"","family":"Davis","given":"Zadie","non-dropping-particle":"","parse-names":false,"suffix":""},{"dropping-particle":"","family":"Gardiner","given":"Anne","non-dropping-particle":"","parse-names":false,"suffix":""},{"dropping-particle":"","family":"McIver-Brown","given":"Neil","non-dropping-particle":"","parse-names":false,"suffix":""},{"dropping-particle":"","family":"Kalpadakis","given":"Christina","non-dropping-particle":"","parse-names":false,"suffix":""},{"dropping-particle":"","family":"Xochelli","given":"Aliki","non-dropping-particle":"","parse-names":false,"suffix":""},{"dropping-particle":"","family":"Anagnostopoulos","given":"Achilles","non-dropping-particle":"","parse-names":false,"suffix":""},{"dropping-particle":"","family":"Fazi","given":"Claudia","non-dropping-particle":"","parse-names":false,"suffix":""},{"dropping-particle":"","family":"Castro","given":"David Gonzalez","non-dropping-particle":"De","parse-names":false,"suffix":""},{"dropping-particle":"","family":"Dearden","given":"Claire","non-dropping-particle":"","parse-names":false,"suffix":""},{"dropping-particle":"","family":"Pratt","given":"Guy","non-dropping-particle":"","parse-names":false,"suffix":""},{"dropping-particle":"","family":"Rosenquist","given":"Richard","non-dropping-particle":"","parse-names":false,"suffix":""},{"dropping-particle":"","family":"Ashton-Key","given":"Margaret","non-dropping-particle":"","parse-names":false,"suffix":""},{"dropping-particle":"","family":"Forconi","given":"Francesco","non-dropping-particle":"","parse-names":false,"suffix":""},{"dropping-particle":"","family":"Collins","given":"Andrew","non-dropping-particle":"","parse-names":false,"suffix":""},{"dropping-particle":"","family":"Ghia","given":"Paolo","non-dropping-particle":"","parse-names":false,"suffix":""},{"dropping-particle":"","family":"Matutes","given":"Estella","non-dropping-particle":"","parse-names":false,"suffix":""},{"dropping-particle":"","family":"Pangalis","given":"Gerassimos","non-dropping-particle":"","parse-names":false,"suffix":""},{"dropping-particle":"","family":"Stamatopoulos","given":"Kostas","non-dropping-particle":"","parse-names":false,"suffix":""},{"dropping-particle":"","family":"Oscier","given":"David","non-dropping-particle":"","parse-names":false,"suffix":""},{"dropping-particle":"","family":"Strefford","given":"Jonathan C.","non-dropping-particle":"","parse-names":false,"suffix":""}],"container-title":"Clinical Cancer Research","id":"ITEM-1","issue":"18","issued":{"date-parts":[["2015"]]},"page":"4174-4183","title":"Genetics and prognostication in splenic marginal zone lymphoma: Revelations from deep sequencing","type":"article-journal","volume":"21"},"uris":["http://www.mendeley.com/documents/?uuid=81509c2c-3e61-4115-bfa1-3ac38fc7fb12"]}],"mendeley":{"formattedCitation":"(Parry et al., 2015)","plainTextFormattedCitation":"(Parry et al., 2015)","previouslyFormattedCitation":"(Parry et al., 2015)"},"properties":{"noteIndex":0},"schema":"https://github.com/citation-style-language/schema/raw/master/csl-citation.json"}</w:instrText>
      </w:r>
      <w:r w:rsidRPr="00002888">
        <w:rPr>
          <w:rFonts w:ascii="Times New Roman" w:hAnsi="Times New Roman" w:cs="Times New Roman"/>
          <w:sz w:val="24"/>
          <w:szCs w:val="24"/>
          <w:shd w:val="clear" w:color="auto" w:fill="FFFFFF"/>
          <w:lang w:val="en-GB"/>
        </w:rPr>
        <w:fldChar w:fldCharType="separate"/>
      </w:r>
      <w:r w:rsidRPr="00002888">
        <w:rPr>
          <w:rFonts w:ascii="Times New Roman" w:hAnsi="Times New Roman" w:cs="Times New Roman"/>
          <w:noProof/>
          <w:sz w:val="24"/>
          <w:szCs w:val="24"/>
          <w:shd w:val="clear" w:color="auto" w:fill="FFFFFF"/>
          <w:lang w:val="en-GB"/>
        </w:rPr>
        <w:t>(Parry et al., 2015)</w:t>
      </w:r>
      <w:r w:rsidRPr="00002888">
        <w:rPr>
          <w:rFonts w:ascii="Times New Roman" w:hAnsi="Times New Roman" w:cs="Times New Roman"/>
          <w:sz w:val="24"/>
          <w:szCs w:val="24"/>
          <w:shd w:val="clear" w:color="auto" w:fill="FFFFFF"/>
          <w:lang w:val="en-GB"/>
        </w:rPr>
        <w:fldChar w:fldCharType="end"/>
      </w:r>
      <w:r w:rsidRPr="00002888">
        <w:rPr>
          <w:rFonts w:ascii="Times New Roman" w:hAnsi="Times New Roman" w:cs="Times New Roman"/>
          <w:sz w:val="24"/>
          <w:szCs w:val="24"/>
          <w:shd w:val="clear" w:color="auto" w:fill="FFFFFF"/>
          <w:lang w:val="en-GB"/>
        </w:rPr>
        <w:t xml:space="preserve"> where they occur as early clonal events, mutually ex</w:t>
      </w:r>
      <w:r w:rsidR="00B854A6" w:rsidRPr="00002888">
        <w:rPr>
          <w:rFonts w:ascii="Times New Roman" w:hAnsi="Times New Roman" w:cs="Times New Roman"/>
          <w:sz w:val="24"/>
          <w:szCs w:val="24"/>
          <w:shd w:val="clear" w:color="auto" w:fill="FFFFFF"/>
          <w:lang w:val="en-GB"/>
        </w:rPr>
        <w:t>c</w:t>
      </w:r>
      <w:r w:rsidRPr="00002888">
        <w:rPr>
          <w:rFonts w:ascii="Times New Roman" w:hAnsi="Times New Roman" w:cs="Times New Roman"/>
          <w:sz w:val="24"/>
          <w:szCs w:val="24"/>
          <w:shd w:val="clear" w:color="auto" w:fill="FFFFFF"/>
          <w:lang w:val="en-GB"/>
        </w:rPr>
        <w:t xml:space="preserve">lusive to other driver mutations and in the presence of </w:t>
      </w:r>
      <w:r w:rsidRPr="00245037">
        <w:rPr>
          <w:rFonts w:ascii="Times New Roman" w:hAnsi="Times New Roman" w:cs="Times New Roman"/>
          <w:sz w:val="24"/>
          <w:szCs w:val="24"/>
          <w:shd w:val="clear" w:color="auto" w:fill="FFFFFF"/>
          <w:lang w:val="en-GB"/>
        </w:rPr>
        <w:t xml:space="preserve">mutated </w:t>
      </w:r>
      <w:r w:rsidRPr="00245037">
        <w:rPr>
          <w:rFonts w:ascii="Times New Roman" w:hAnsi="Times New Roman" w:cs="Times New Roman"/>
          <w:i/>
          <w:iCs/>
          <w:sz w:val="24"/>
          <w:szCs w:val="24"/>
          <w:shd w:val="clear" w:color="auto" w:fill="FFFFFF"/>
          <w:lang w:val="en-GB"/>
        </w:rPr>
        <w:t>IGHV</w:t>
      </w:r>
      <w:r w:rsidRPr="00245037">
        <w:rPr>
          <w:rFonts w:ascii="Times New Roman" w:hAnsi="Times New Roman" w:cs="Times New Roman"/>
          <w:sz w:val="24"/>
          <w:szCs w:val="24"/>
          <w:shd w:val="clear" w:color="auto" w:fill="FFFFFF"/>
          <w:lang w:val="en-GB"/>
        </w:rPr>
        <w:t xml:space="preserve"> genes, suggesting that these mutations define a group of homogeneous disease subtypes </w:t>
      </w:r>
      <w:r w:rsidRPr="00245037">
        <w:rPr>
          <w:rFonts w:ascii="Times New Roman" w:hAnsi="Times New Roman" w:cs="Times New Roman"/>
          <w:sz w:val="24"/>
          <w:szCs w:val="24"/>
          <w:shd w:val="clear" w:color="auto" w:fill="FFFFFF"/>
          <w:lang w:val="en-GB"/>
        </w:rPr>
        <w:fldChar w:fldCharType="begin" w:fldLock="1"/>
      </w:r>
      <w:r w:rsidRPr="00245037">
        <w:rPr>
          <w:rFonts w:ascii="Times New Roman" w:hAnsi="Times New Roman" w:cs="Times New Roman"/>
          <w:sz w:val="24"/>
          <w:szCs w:val="24"/>
          <w:shd w:val="clear" w:color="auto" w:fill="FFFFFF"/>
          <w:lang w:val="en-GB"/>
        </w:rPr>
        <w:instrText>ADDIN CSL_CITATION {"citationItems":[{"id":"ITEM-1","itemData":{"DOI":"10.3324/haematol.2011.054080","ISBN":"1592-8721 (Electronic)\\r0390-6078 (Linking)","ISSN":"03906078","PMID":"22102703","abstract":"The genetics and pathogenesis of splenic marginal zone lymphoma are poorly understood. The lymphoma lacks chromosome translocation, and approximately 30% of cases are featured by 7q deletion, but the gene targeted by the deletion is unknown. A recent study showed inactivation of A20, a \"global\" NF-κB negative regulator, in 1 of 12 splenic marginal zone lymphomas. To investigate further whether deregulation of the NF-κB pathway plays a role in the pathogenesis of splenic marginal zone lymphoma, we screened several NF-κB regulators for genetic changes by PCR and sequencing. Somatic mutations were found in A20 (6/46=13%), MYD88 (6/46=13%), CARD11 (3/34=8.8%), but not in CD79A, CD79B and ABIN1. Interestingly, these genetic changes are largely mutually exclusive from each other and MYD88 mutation was also mutually exclusive from 7q deletion. These results strongly suggest that deregulation of the TLR (toll like receptor) and BCR (B-cell receptor) signaling pathway may play an important role in the pathogenesis of splenic marginal zone lymphoma.","author":[{"dropping-particle":"","family":"Yan","given":"Qingguo","non-dropping-particle":"","parse-names":false,"suffix":""},{"dropping-particle":"","family":"Huang","given":"Yuanxue","non-dropping-particle":"","parse-names":false,"suffix":""},{"dropping-particle":"","family":"James Watkins","given":"A.","non-dropping-particle":"","parse-names":false,"suffix":""},{"dropping-particle":"","family":"Kocialkowski","given":"Sylvia","non-dropping-particle":"","parse-names":false,"suffix":""},{"dropping-particle":"","family":"Zeng","given":"Naiyan","non-dropping-particle":"","parse-names":false,"suffix":""},{"dropping-particle":"","family":"Hamoudi","given":"Rifat A.","non-dropping-particle":"","parse-names":false,"suffix":""},{"dropping-particle":"","family":"Isaacson","given":"Peter G.","non-dropping-particle":"","parse-names":false,"suffix":""},{"dropping-particle":"","family":"Leval","given":"Laurence","non-dropping-particle":"de","parse-names":false,"suffix":""},{"dropping-particle":"","family":"Wotherspoon","given":"Andrew","non-dropping-particle":"","parse-names":false,"suffix":""},{"dropping-particle":"","family":"Du","given":"Ming Qing","non-dropping-particle":"","parse-names":false,"suffix":""}],"container-title":"Haematologica","id":"ITEM-1","issue":"4","issued":{"date-parts":[["2012"]]},"page":"595-598","title":"BCR and TLR signaling pathways are recurrently targeted by genetic changes in splenic marginal zone lymphomas","type":"article-journal","volume":"97"},"uris":["http://www.mendeley.com/documents/?uuid=def7d794-0796-462a-9191-cdd3c06cfff3"]},{"id":"ITEM-2","itemData":{"DOI":"10.1038/leu.2014.330","ISSN":"14765551","PMID":"25428260","abstract":"To characterise the genetics of splenic marginal zone lymphoma (SMZL), we performed whole exome sequencing of 16 cases and identified novel recurrent inactivating mutations in Kruppel-like factor 2 (KLF2), a gene whose deficiency was previously shown to cause splenic marginal zone hyperplasia in mice. KLF2 mutation was found in 40 (42%) of 96 SMZLs, but rarely in other B-cell lymphomas. The majority of KLF2 mutations were frameshift indels or nonsense changes, with missense mutations clustered in the C-terminal zinc finger domains. Functional assays showed that these mutations inactivated the ability of KLF2 to suppress NF-κB activation by TLR, BCR, BAFFR and TNFR signalling. Further extensive investigations revealed common and distinct genetic changes between SMZL with and without KLF2 mutation. IGHV1-2 rearrangement and 7q deletion were primarily seen in SMZL with KLF2 mutation, while MYD88 and TP53 mutations were nearly exclusively found in those without KLF2 mutation. NOTCH2, TRAF3, TNFAIP3 and CARD11 mutations were observed in SMZL both with and without KLF2 mutation. Taken together, KLF2 mutation is the most common genetic change in SMZL and identifies a subset with a distinct genotype characterised by multi-genetic changes. These different genetic changes may deregulate various signalling pathways and generate cooperative oncogenic properties, thereby contributing to lymphomagenesis.","author":[{"dropping-particle":"","family":"Clipson","given":"A.","non-dropping-particle":"","parse-names":false,"suffix":""},{"dropping-particle":"","family":"Wang","given":"M.","non-dropping-particle":"","parse-names":false,"suffix":""},{"dropping-particle":"","family":"Leval","given":"L.","non-dropping-particle":"De","parse-names":false,"suffix":""},{"dropping-particle":"","family":"Ashton-Key","given":"M.","non-dropping-particle":"","parse-names":false,"suffix":""},{"dropping-particle":"","family":"Wotherspoon","given":"A.","non-dropping-particle":"","parse-names":false,"suffix":""},{"dropping-particle":"","family":"Vassiliou","given":"G.","non-dropping-particle":"","parse-names":false,"suffix":""},{"dropping-particle":"","family":"Bolli","given":"N.","non-dropping-particle":"","parse-names":false,"suffix":""},{"dropping-particle":"","family":"Grove","given":"C.","non-dropping-particle":"","parse-names":false,"suffix":""},{"dropping-particle":"","family":"Moody","given":"S.","non-dropping-particle":"","parse-names":false,"suffix":""},{"dropping-particle":"","family":"Escudero-Ibarz","given":"L.","non-dropping-particle":"","parse-names":false,"suffix":""},{"dropping-particle":"","family":"Gundem","given":"G.","non-dropping-particle":"","parse-names":false,"suffix":""},{"dropping-particle":"","family":"Brugger","given":"K.","non-dropping-particle":"","parse-names":false,"suffix":""},{"dropping-particle":"","family":"Xue","given":"X.","non-dropping-particle":"","parse-names":false,"suffix":""},{"dropping-particle":"","family":"Mi","given":"E.","non-dropping-particle":"","parse-names":false,"suffix":""},{"dropping-particle":"","family":"Bench","given":"A.","non-dropping-particle":"","parse-names":false,"suffix":""},{"dropping-particle":"","family":"Scott","given":"M.","non-dropping-particle":"","parse-names":false,"suffix":""},{"dropping-particle":"","family":"Liu","given":"H.","non-dropping-particle":"","parse-names":false,"suffix":""},{"dropping-particle":"","family":"Follows","given":"G.","non-dropping-particle":"","parse-names":false,"suffix":""},{"dropping-particle":"","family":"Robles","given":"E. F.","non-dropping-particle":"","parse-names":false,"suffix":""},{"dropping-particle":"","family":"Martinez-Climent","given":"J. A.","non-dropping-particle":"","parse-names":false,"suffix":""},{"dropping-particle":"","family":"Oscier","given":"D.","non-dropping-particle":"","parse-names":false,"suffix":""},{"dropping-particle":"","family":"Watkins","given":"A. J.","non-dropping-particle":"","parse-names":false,"suffix":""},{"dropping-particle":"","family":"Du","given":"M. Q.","non-dropping-particle":"","parse-names":false,"suffix":""}],"container-title":"Leukemia","id":"ITEM-2","issue":"5","issued":{"date-parts":[["2015"]]},"page":"1177-1185","title":"KLF2 mutation is the most frequent somatic change in splenic marginal zone lymphoma and identifies a subset with distinct genotype","type":"article-journal","volume":"29"},"uris":["http://www.mendeley.com/documents/?uuid=9a03fc8c-403a-4b3d-8ecb-3673a4b13433"]}],"mendeley":{"formattedCitation":"(Clipson et al., 2015; Yan et al., 2012)","plainTextFormattedCitation":"(Clipson et al., 2015; Yan et al., 2012)","previouslyFormattedCitation":"(Clipson et al., 2015; Yan et al., 2012)"},"properties":{"noteIndex":0},"schema":"https://github.com/citation-style-language/schema/raw/master/csl-citation.json"}</w:instrText>
      </w:r>
      <w:r w:rsidRPr="00245037">
        <w:rPr>
          <w:rFonts w:ascii="Times New Roman" w:hAnsi="Times New Roman" w:cs="Times New Roman"/>
          <w:sz w:val="24"/>
          <w:szCs w:val="24"/>
          <w:shd w:val="clear" w:color="auto" w:fill="FFFFFF"/>
          <w:lang w:val="en-GB"/>
        </w:rPr>
        <w:fldChar w:fldCharType="separate"/>
      </w:r>
      <w:r w:rsidRPr="00245037">
        <w:rPr>
          <w:rFonts w:ascii="Times New Roman" w:hAnsi="Times New Roman" w:cs="Times New Roman"/>
          <w:noProof/>
          <w:sz w:val="24"/>
          <w:szCs w:val="24"/>
          <w:shd w:val="clear" w:color="auto" w:fill="FFFFFF"/>
          <w:lang w:val="en-GB"/>
        </w:rPr>
        <w:t>(Clipson et al., 2015; Yan et al., 2012)</w:t>
      </w:r>
      <w:r w:rsidRPr="00245037">
        <w:rPr>
          <w:rFonts w:ascii="Times New Roman" w:hAnsi="Times New Roman" w:cs="Times New Roman"/>
          <w:sz w:val="24"/>
          <w:szCs w:val="24"/>
          <w:shd w:val="clear" w:color="auto" w:fill="FFFFFF"/>
          <w:lang w:val="en-GB"/>
        </w:rPr>
        <w:fldChar w:fldCharType="end"/>
      </w:r>
      <w:r w:rsidRPr="00245037">
        <w:rPr>
          <w:rFonts w:ascii="Times New Roman" w:hAnsi="Times New Roman" w:cs="Times New Roman"/>
          <w:sz w:val="24"/>
          <w:szCs w:val="24"/>
          <w:shd w:val="clear" w:color="auto" w:fill="FFFFFF"/>
          <w:lang w:val="en-GB"/>
        </w:rPr>
        <w:t>.</w:t>
      </w:r>
      <w:r w:rsidRPr="00002888">
        <w:rPr>
          <w:rFonts w:ascii="Times New Roman" w:hAnsi="Times New Roman" w:cs="Times New Roman"/>
          <w:sz w:val="24"/>
          <w:szCs w:val="24"/>
          <w:shd w:val="clear" w:color="auto" w:fill="FFFFFF"/>
          <w:lang w:val="en-GB"/>
        </w:rPr>
        <w:t xml:space="preserve"> </w:t>
      </w:r>
      <w:r w:rsidRPr="00002888">
        <w:rPr>
          <w:rFonts w:ascii="Times New Roman" w:hAnsi="Times New Roman" w:cs="Times New Roman"/>
          <w:i/>
          <w:iCs/>
          <w:sz w:val="24"/>
          <w:szCs w:val="24"/>
          <w:shd w:val="clear" w:color="auto" w:fill="FFFFFF"/>
          <w:lang w:val="en-GB"/>
        </w:rPr>
        <w:t>MYD88</w:t>
      </w:r>
      <w:r w:rsidRPr="00002888">
        <w:rPr>
          <w:rFonts w:ascii="Times New Roman" w:hAnsi="Times New Roman" w:cs="Times New Roman"/>
          <w:sz w:val="24"/>
          <w:szCs w:val="24"/>
          <w:shd w:val="clear" w:color="auto" w:fill="FFFFFF"/>
          <w:lang w:val="en-GB"/>
        </w:rPr>
        <w:t xml:space="preserve"> also harbours a recurrent variant (L265P) in the TIR domain, frequently seen in a number of mature B-cell tumours </w:t>
      </w:r>
      <w:r w:rsidRPr="00002888">
        <w:rPr>
          <w:rFonts w:ascii="Times New Roman" w:hAnsi="Times New Roman" w:cs="Times New Roman"/>
          <w:color w:val="000000"/>
          <w:sz w:val="24"/>
          <w:szCs w:val="24"/>
          <w:shd w:val="clear" w:color="auto" w:fill="FFFFFF"/>
          <w:lang w:val="en-GB"/>
        </w:rPr>
        <w:fldChar w:fldCharType="begin" w:fldLock="1"/>
      </w:r>
      <w:r w:rsidRPr="00002888">
        <w:rPr>
          <w:rFonts w:ascii="Times New Roman" w:hAnsi="Times New Roman" w:cs="Times New Roman"/>
          <w:color w:val="000000"/>
          <w:sz w:val="24"/>
          <w:szCs w:val="24"/>
          <w:shd w:val="clear" w:color="auto" w:fill="FFFFFF"/>
          <w:lang w:val="en-GB"/>
        </w:rPr>
        <w:instrText>ADDIN CSL_CITATION {"citationItems":[{"id":"ITEM-1","itemData":{"DOI":"10.1038/s41375-018-0082-4","ISSN":"0887-6924","PMID":"29556019","abstract":"Nodal marginal zone lymphoma (NMZL) is a rare small B-cell lymphoma lacking disease-defining phenotype and precise diagnostic markers. To better understand the mutational landscape of NMZL, particularly in comparison to other nodal small B-cell lymphomas, we performed whole-exome sequencing, targeted high-throughput sequencing, and array-comparative genomic hybridization on a retrospective series. Our study identified for the first time recurrent, diagnostically useful, and potentially therapeutically relevant BRAF mutations in NMZL. Sets of somatic mutations that could help to discriminate NMZL from other closely related small B-cell lymphomas were uncovered and tested on unclassifiable small B-cell lymphoma cases, in which clinical, morphological, and phenotypical features were equivocal. Application of targeted gene panel sequencing gave at many occasions valuable clues for more specific classification.","author":[{"dropping-particle":"","family":"Pillonel","given":"V.","non-dropping-particle":"","parse-names":false,"suffix":""},{"dropping-particle":"","family":"Juskevicius","given":"D.","non-dropping-particle":"","parse-names":false,"suffix":""},{"dropping-particle":"","family":"Ng","given":"C. K. Y.","non-dropping-particle":"","parse-names":false,"suffix":""},{"dropping-particle":"","family":"Bodmer","given":"A.","non-dropping-particle":"","parse-names":false,"suffix":""},{"dropping-particle":"","family":"Zettl","given":"A.","non-dropping-particle":"","parse-names":false,"suffix":""},{"dropping-particle":"","family":"Jucker","given":"D.","non-dropping-particle":"","parse-names":false,"suffix":""},{"dropping-particle":"","family":"Dirnhofer","given":"S.","non-dropping-particle":"","parse-names":false,"suffix":""},{"dropping-particle":"","family":"Tzankov","given":"A.","non-dropping-particle":"","parse-names":false,"suffix":""}],"container-title":"Leukemia","id":"ITEM-1","issue":"11","issued":{"date-parts":[["2018","11","28"]]},"page":"2412-2426","title":"High-throughput sequencing of nodal marginal zone lymphomas identifies recurrent BRAF mutations","type":"article-journal","volume":"32"},"uris":["http://www.mendeley.com/documents/?uuid=95bf9a36-8883-4d95-b9a6-b1e294da88dc"]}],"mendeley":{"formattedCitation":"(Pillonel et al., 2018)","plainTextFormattedCitation":"(Pillonel et al., 2018)","previouslyFormattedCitation":"(Pillonel et al., 2018)"},"properties":{"noteIndex":0},"schema":"https://github.com/citation-style-language/schema/raw/master/csl-citation.json"}</w:instrText>
      </w:r>
      <w:r w:rsidRPr="00002888">
        <w:rPr>
          <w:rFonts w:ascii="Times New Roman" w:hAnsi="Times New Roman" w:cs="Times New Roman"/>
          <w:color w:val="000000"/>
          <w:sz w:val="24"/>
          <w:szCs w:val="24"/>
          <w:shd w:val="clear" w:color="auto" w:fill="FFFFFF"/>
          <w:lang w:val="en-GB"/>
        </w:rPr>
        <w:fldChar w:fldCharType="separate"/>
      </w:r>
      <w:r w:rsidRPr="00002888">
        <w:rPr>
          <w:rFonts w:ascii="Times New Roman" w:hAnsi="Times New Roman" w:cs="Times New Roman"/>
          <w:noProof/>
          <w:color w:val="000000"/>
          <w:sz w:val="24"/>
          <w:szCs w:val="24"/>
          <w:shd w:val="clear" w:color="auto" w:fill="FFFFFF"/>
          <w:lang w:val="en-GB"/>
        </w:rPr>
        <w:t>(Pillonel et al., 2018)</w:t>
      </w:r>
      <w:r w:rsidRPr="00002888">
        <w:rPr>
          <w:rFonts w:ascii="Times New Roman" w:hAnsi="Times New Roman" w:cs="Times New Roman"/>
          <w:color w:val="000000"/>
          <w:sz w:val="24"/>
          <w:szCs w:val="24"/>
          <w:shd w:val="clear" w:color="auto" w:fill="FFFFFF"/>
          <w:lang w:val="en-GB"/>
        </w:rPr>
        <w:fldChar w:fldCharType="end"/>
      </w:r>
      <w:r w:rsidRPr="00002888">
        <w:rPr>
          <w:rFonts w:ascii="Times New Roman" w:hAnsi="Times New Roman" w:cs="Times New Roman"/>
          <w:color w:val="000000"/>
          <w:sz w:val="24"/>
          <w:szCs w:val="24"/>
          <w:shd w:val="clear" w:color="auto" w:fill="FFFFFF"/>
          <w:lang w:val="en-GB"/>
        </w:rPr>
        <w:t xml:space="preserve">. </w:t>
      </w:r>
      <w:r w:rsidRPr="00002888">
        <w:rPr>
          <w:rFonts w:ascii="Times New Roman" w:hAnsi="Times New Roman" w:cs="Times New Roman"/>
          <w:sz w:val="24"/>
          <w:szCs w:val="24"/>
          <w:shd w:val="clear" w:color="auto" w:fill="FFFFFF"/>
          <w:lang w:val="en-GB"/>
        </w:rPr>
        <w:t>This missense mutation promotes cell survival by enhancing NF-</w:t>
      </w:r>
      <w:proofErr w:type="spellStart"/>
      <w:r w:rsidR="00A44284" w:rsidRPr="00002888">
        <w:rPr>
          <w:rFonts w:ascii="Times New Roman" w:hAnsi="Times New Roman" w:cs="Times New Roman"/>
          <w:sz w:val="24"/>
          <w:szCs w:val="24"/>
          <w:lang w:val="en-GB"/>
        </w:rPr>
        <w:t>κ</w:t>
      </w:r>
      <w:r w:rsidRPr="00002888">
        <w:rPr>
          <w:rFonts w:ascii="Times New Roman" w:hAnsi="Times New Roman" w:cs="Times New Roman"/>
          <w:sz w:val="24"/>
          <w:szCs w:val="24"/>
          <w:shd w:val="clear" w:color="auto" w:fill="FFFFFF"/>
          <w:lang w:val="en-GB"/>
        </w:rPr>
        <w:t>B</w:t>
      </w:r>
      <w:proofErr w:type="spellEnd"/>
      <w:r w:rsidRPr="00002888">
        <w:rPr>
          <w:rFonts w:ascii="Times New Roman" w:hAnsi="Times New Roman" w:cs="Times New Roman"/>
          <w:sz w:val="24"/>
          <w:szCs w:val="24"/>
          <w:shd w:val="clear" w:color="auto" w:fill="FFFFFF"/>
          <w:lang w:val="en-GB"/>
        </w:rPr>
        <w:t xml:space="preserve"> signalling </w:t>
      </w:r>
      <w:r w:rsidRPr="00002888">
        <w:rPr>
          <w:rFonts w:ascii="Times New Roman" w:hAnsi="Times New Roman" w:cs="Times New Roman"/>
          <w:sz w:val="24"/>
          <w:szCs w:val="24"/>
          <w:shd w:val="clear" w:color="auto" w:fill="FFFFFF"/>
          <w:lang w:val="en-GB"/>
        </w:rPr>
        <w:fldChar w:fldCharType="begin" w:fldLock="1"/>
      </w:r>
      <w:r w:rsidRPr="00002888">
        <w:rPr>
          <w:rFonts w:ascii="Times New Roman" w:hAnsi="Times New Roman" w:cs="Times New Roman"/>
          <w:sz w:val="24"/>
          <w:szCs w:val="24"/>
          <w:shd w:val="clear" w:color="auto" w:fill="FFFFFF"/>
          <w:lang w:val="en-GB"/>
        </w:rPr>
        <w:instrText>ADDIN CSL_CITATION {"citationItems":[{"id":"ITEM-1","itemData":{"DOI":"10.1038/nature09671","ISSN":"0028-0836","author":[{"dropping-particle":"","family":"Ngo","given":"Vu N.","non-dropping-particle":"","parse-names":false,"suffix":""},{"dropping-particle":"","family":"Young","given":"Ryan M.","non-dropping-particle":"","parse-names":false,"suffix":""},{"dropping-particle":"","family":"Schmitz","given":"Roland","non-dropping-particle":"","parse-names":false,"suffix":""},{"dropping-particle":"","family":"Jhavar","given":"Sameer","non-dropping-particle":"","parse-names":false,"suffix":""},{"dropping-particle":"","family":"Xiao","given":"Wenming","non-dropping-particle":"","parse-names":false,"suffix":""},{"dropping-particle":"","family":"Lim","given":"Kian-huat","non-dropping-particle":"","parse-names":false,"suffix":""},{"dropping-particle":"","family":"Kohlhammer","given":"Holger","non-dropping-particle":"","parse-names":false,"suffix":""},{"dropping-particle":"","family":"Xu","given":"Weihong","non-dropping-particle":"","parse-names":false,"suffix":""},{"dropping-particle":"","family":"Yang","given":"Yandan","non-dropping-particle":"","parse-names":false,"suffix":""},{"dropping-particle":"","family":"Zhao","given":"Hong","non-dropping-particle":"","parse-names":false,"suffix":""},{"dropping-particle":"","family":"Shaffer","given":"Arthur L.","non-dropping-particle":"","parse-names":false,"suffix":""},{"dropping-particle":"","family":"Romesser","given":"Paul","non-dropping-particle":"","parse-names":false,"suffix":""},{"dropping-particle":"","family":"Wright","given":"George","non-dropping-particle":"","parse-names":false,"suffix":""},{"dropping-particle":"","family":"Powell","given":"John","non-dropping-particle":"","parse-names":false,"suffix":""},{"dropping-particle":"","family":"Rosenwald","given":"Andreas","non-dropping-particle":"","parse-names":false,"suffix":""},{"dropping-particle":"","family":"Muller-Hermelink","given":"Hans Konrad","non-dropping-particle":"","parse-names":false,"suffix":""},{"dropping-particle":"","family":"Ott","given":"German","non-dropping-particle":"","parse-names":false,"suffix":""},{"dropping-particle":"","family":"Gascoyne","given":"Randy D","non-dropping-particle":"","parse-names":false,"suffix":""},{"dropping-particle":"","family":"Connors","given":"Joseph M","non-dropping-particle":"","parse-names":false,"suffix":""},{"dropping-particle":"","family":"Rimsza","given":"Lisa M.","non-dropping-particle":"","parse-names":false,"suffix":""},{"dropping-particle":"","family":"Campo","given":"Elias","non-dropping-particle":"","parse-names":false,"suffix":""},{"dropping-particle":"","family":"Jaffe","given":"Elaine S.","non-dropping-particle":"","parse-names":false,"suffix":""},{"dropping-particle":"","family":"Delabie","given":"Jan","non-dropping-particle":"","parse-names":false,"suffix":""},{"dropping-particle":"","family":"Smeland","given":"Erlend B.","non-dropping-particle":"","parse-names":false,"suffix":""},{"dropping-particle":"","family":"Fisher","given":"Richard I.","non-dropping-particle":"","parse-names":false,"suffix":""},{"dropping-particle":"","family":"Braziel","given":"Rita M.","non-dropping-particle":"","parse-names":false,"suffix":""},{"dropping-particle":"","family":"Tubbs","given":"Raymond R.","non-dropping-particle":"","parse-names":false,"suffix":""},{"dropping-particle":"","family":"Cook","given":"J. R.","non-dropping-particle":"","parse-names":false,"suffix":""},{"dropping-particle":"","family":"Weisenburger","given":"Denny D.","non-dropping-particle":"","parse-names":false,"suffix":""},{"dropping-particle":"","family":"Chan","given":"Wing C.","non-dropping-particle":"","parse-names":false,"suffix":""},{"dropping-particle":"","family":"Staudt","given":"Louis M.","non-dropping-particle":"","parse-names":false,"suffix":""}],"container-title":"Nature","id":"ITEM-1","issue":"7332","issued":{"date-parts":[["2011","2","22"]]},"page":"115-119","title":"Oncogenically active MYD88 mutations in human lymphoma","type":"article-journal","volume":"470"},"uris":["http://www.mendeley.com/documents/?uuid=953a278d-d765-4e42-bca7-93e94f039d0d"]}],"mendeley":{"formattedCitation":"(Ngo et al., 2011)","plainTextFormattedCitation":"(Ngo et al., 2011)","previouslyFormattedCitation":"(Ngo et al., 2011)"},"properties":{"noteIndex":0},"schema":"https://github.com/citation-style-language/schema/raw/master/csl-citation.json"}</w:instrText>
      </w:r>
      <w:r w:rsidRPr="00002888">
        <w:rPr>
          <w:rFonts w:ascii="Times New Roman" w:hAnsi="Times New Roman" w:cs="Times New Roman"/>
          <w:sz w:val="24"/>
          <w:szCs w:val="24"/>
          <w:shd w:val="clear" w:color="auto" w:fill="FFFFFF"/>
          <w:lang w:val="en-GB"/>
        </w:rPr>
        <w:fldChar w:fldCharType="separate"/>
      </w:r>
      <w:r w:rsidRPr="00002888">
        <w:rPr>
          <w:rFonts w:ascii="Times New Roman" w:hAnsi="Times New Roman" w:cs="Times New Roman"/>
          <w:noProof/>
          <w:sz w:val="24"/>
          <w:szCs w:val="24"/>
          <w:shd w:val="clear" w:color="auto" w:fill="FFFFFF"/>
          <w:lang w:val="en-GB"/>
        </w:rPr>
        <w:t>(Ngo et al., 2011)</w:t>
      </w:r>
      <w:r w:rsidRPr="00002888">
        <w:rPr>
          <w:rFonts w:ascii="Times New Roman" w:hAnsi="Times New Roman" w:cs="Times New Roman"/>
          <w:sz w:val="24"/>
          <w:szCs w:val="24"/>
          <w:shd w:val="clear" w:color="auto" w:fill="FFFFFF"/>
          <w:lang w:val="en-GB"/>
        </w:rPr>
        <w:fldChar w:fldCharType="end"/>
      </w:r>
      <w:r w:rsidRPr="00002888">
        <w:rPr>
          <w:rFonts w:ascii="Times New Roman" w:hAnsi="Times New Roman" w:cs="Times New Roman"/>
          <w:sz w:val="24"/>
          <w:szCs w:val="24"/>
          <w:shd w:val="clear" w:color="auto" w:fill="FFFFFF"/>
          <w:lang w:val="en-GB"/>
        </w:rPr>
        <w:t xml:space="preserve">. As in CLL, </w:t>
      </w:r>
      <w:r w:rsidRPr="00002888">
        <w:rPr>
          <w:rFonts w:ascii="Times New Roman" w:hAnsi="Times New Roman" w:cs="Times New Roman"/>
          <w:i/>
          <w:iCs/>
          <w:sz w:val="24"/>
          <w:szCs w:val="24"/>
          <w:shd w:val="clear" w:color="auto" w:fill="FFFFFF"/>
          <w:lang w:val="en-GB"/>
        </w:rPr>
        <w:t>MYD88</w:t>
      </w:r>
      <w:r w:rsidRPr="00002888">
        <w:rPr>
          <w:rFonts w:ascii="Times New Roman" w:hAnsi="Times New Roman" w:cs="Times New Roman"/>
          <w:sz w:val="24"/>
          <w:szCs w:val="24"/>
          <w:shd w:val="clear" w:color="auto" w:fill="FFFFFF"/>
          <w:lang w:val="en-GB"/>
        </w:rPr>
        <w:t xml:space="preserve"> mutations have also been shown to be linked to favourable clinical outcome in SMZL using univariate approaches, though its </w:t>
      </w:r>
      <w:r w:rsidR="00CF3AAF" w:rsidRPr="00002888">
        <w:rPr>
          <w:rFonts w:ascii="Times New Roman" w:hAnsi="Times New Roman" w:cs="Times New Roman"/>
          <w:sz w:val="24"/>
          <w:szCs w:val="24"/>
          <w:shd w:val="clear" w:color="auto" w:fill="FFFFFF"/>
          <w:lang w:val="en-GB"/>
        </w:rPr>
        <w:t>independent</w:t>
      </w:r>
      <w:r w:rsidRPr="00002888">
        <w:rPr>
          <w:rFonts w:ascii="Times New Roman" w:hAnsi="Times New Roman" w:cs="Times New Roman"/>
          <w:sz w:val="24"/>
          <w:szCs w:val="24"/>
          <w:shd w:val="clear" w:color="auto" w:fill="FFFFFF"/>
          <w:lang w:val="en-GB"/>
        </w:rPr>
        <w:t xml:space="preserve"> prognostic relevance has yet to be confirmed </w:t>
      </w:r>
      <w:r w:rsidRPr="00002888">
        <w:rPr>
          <w:rFonts w:ascii="Times New Roman" w:hAnsi="Times New Roman" w:cs="Times New Roman"/>
          <w:sz w:val="24"/>
          <w:szCs w:val="24"/>
          <w:shd w:val="clear" w:color="auto" w:fill="FFFFFF"/>
          <w:lang w:val="en-GB"/>
        </w:rPr>
        <w:fldChar w:fldCharType="begin" w:fldLock="1"/>
      </w:r>
      <w:r w:rsidR="005C7883" w:rsidRPr="00002888">
        <w:rPr>
          <w:rFonts w:ascii="Times New Roman" w:hAnsi="Times New Roman" w:cs="Times New Roman"/>
          <w:sz w:val="24"/>
          <w:szCs w:val="24"/>
          <w:shd w:val="clear" w:color="auto" w:fill="FFFFFF"/>
          <w:lang w:val="en-GB"/>
        </w:rPr>
        <w:instrText>ADDIN CSL_CITATION {"citationItems":[{"id":"ITEM-1","itemData":{"DOI":"10.3324/haematol.2011.054080","ISBN":"1592-8721 (Electronic)\\r0390-6078 (Linking)","ISSN":"03906078","PMID":"22102703","abstract":"The genetics and pathogenesis of splenic marginal zone lymphoma are poorly understood. The lymphoma lacks chromosome translocation, and approximately 30% of cases are featured by 7q deletion, but the gene targeted by the deletion is unknown. A recent study showed inactivation of A20, a \"global\" NF-κB negative regulator, in 1 of 12 splenic marginal zone lymphomas. To investigate further whether deregulation of the NF-κB pathway plays a role in the pathogenesis of splenic marginal zone lymphoma, we screened several NF-κB regulators for genetic changes by PCR and sequencing. Somatic mutations were found in A20 (6/46=13%), MYD88 (6/46=13%), CARD11 (3/34=8.8%), but not in CD79A, CD79B and ABIN1. Interestingly, these genetic changes are largely mutually exclusive from each other and MYD88 mutation was also mutually exclusive from 7q deletion. These results strongly suggest that deregulation of the TLR (toll like receptor) and BCR (B-cell receptor) signaling pathway may play an important role in the pathogenesis of splenic marginal zone lymphoma.","author":[{"dropping-particle":"","family":"Yan","given":"Qingguo","non-dropping-particle":"","parse-names":false,"suffix":""},{"dropping-particle":"","family":"Huang","given":"Yuanxue","non-dropping-particle":"","parse-names":false,"suffix":""},{"dropping-particle":"","family":"James Watkins","given":"A.","non-dropping-particle":"","parse-names":false,"suffix":""},{"dropping-particle":"","family":"Kocialkowski","given":"Sylvia","non-dropping-particle":"","parse-names":false,"suffix":""},{"dropping-particle":"","family":"Zeng","given":"Naiyan","non-dropping-particle":"","parse-names":false,"suffix":""},{"dropping-particle":"","family":"Hamoudi","given":"Rifat A.","non-dropping-particle":"","parse-names":false,"suffix":""},{"dropping-particle":"","family":"Isaacson","given":"Peter G.","non-dropping-particle":"","parse-names":false,"suffix":""},{"dropping-particle":"","family":"Leval","given":"Laurence","non-dropping-particle":"de","parse-names":false,"suffix":""},{"dropping-particle":"","family":"Wotherspoon","given":"Andrew","non-dropping-particle":"","parse-names":false,"suffix":""},{"dropping-particle":"","family":"Du","given":"Ming Qing","non-dropping-particle":"","parse-names":false,"suffix":""}],"container-title":"Haematologica","id":"ITEM-1","issue":"4","issued":{"date-parts":[["2012"]]},"page":"595-598","title":"BCR and TLR signaling pathways are recurrently targeted by genetic changes in splenic marginal zone lymphomas","type":"article-journal","volume":"97"},"uris":["http://www.mendeley.com/documents/?uuid=def7d794-0796-462a-9191-cdd3c06cfff3"]},{"id":"ITEM-2","itemData":{"DOI":"10.1158/1078-0432.CCR-14-2759","ISSN":"15573265","PMID":"25779943","abstract":"Purpose: Mounting evidence supports the clinical significance of gene mutations and immunogenetic features in common mature B-cell malignancies.\\n\\nExperimental Design: We undertook a detailed characterization of the genetic background of splenic marginal zone lymphoma (SMZL), using targeted resequencing and explored potential clinical implications in a multinational cohort of 175 patients with SMZL.\\n\\nResults: We identified recurrent mutations in TP53 (16%), KLF2 (12%), NOTCH2 (10%), TNFAIP3 (7%), MLL2 (11%), MYD88 (7%), and ARID1A (6%), all genes known to be targeted by somatic mutation in SMZL. KLF2 mutations were early, clonal events, enriched in patients with del(7q) and IGHV1-2*04 B-cell receptor immunoglobulins, and were associated with a short median time to first treatment (0.12 vs. 1.11 years; P = 0.01). In multivariate analysis, mutations in NOTCH2 [HR, 2.12; 95% confidence interval (CI), 1.02–4.4; P = 0.044] and 100% germline IGHV gene identity (HR, 2.19; 95% CI, 1.05–4.55; P = 0.036) were independent markers of short time to first treatment, whereas TP53 mutations were an independent marker of short overall survival (HR, 2.36; 95 % CI, 1.08–5.2; P = 0.03).\\n\\nConclusions: We identify key associations between gene mutations and clinical outcome, demonstrating for the first time that NOTCH2 and TP53 gene mutations are independent markers of reduced treatment-free and overall survival, respectively. Clin Cancer Res; 21(18); 4174–83. ©2015 AACR .","author":[{"dropping-particle":"","family":"Parry","given":"Marina","non-dropping-particle":"","parse-names":false,"suffix":""},{"dropping-particle":"","family":"Rose-Zerilli","given":"Matthew J.J.","non-dropping-particle":"","parse-names":false,"suffix":""},{"dropping-particle":"","family":"Ljungström","given":"Viktor","non-dropping-particle":"","parse-names":false,"suffix":""},{"dropping-particle":"","family":"Gibson","given":"Jane","non-dropping-particle":"","parse-names":false,"suffix":""},{"dropping-particle":"","family":"Wang","given":"Jun","non-dropping-particle":"","parse-names":false,"suffix":""},{"dropping-particle":"","family":"Walewska","given":"Renata","non-dropping-particle":"","parse-names":false,"suffix":""},{"dropping-particle":"","family":"Parker","given":"Helen","non-dropping-particle":"","parse-names":false,"suffix":""},{"dropping-particle":"","family":"Parker","given":"Anton","non-dropping-particle":"","parse-names":false,"suffix":""},{"dropping-particle":"","family":"Davis","given":"Zadie","non-dropping-particle":"","parse-names":false,"suffix":""},{"dropping-particle":"","family":"Gardiner","given":"Anne","non-dropping-particle":"","parse-names":false,"suffix":""},{"dropping-particle":"","family":"McIver-Brown","given":"Neil","non-dropping-particle":"","parse-names":false,"suffix":""},{"dropping-particle":"","family":"Kalpadakis","given":"Christina","non-dropping-particle":"","parse-names":false,"suffix":""},{"dropping-particle":"","family":"Xochelli","given":"Aliki","non-dropping-particle":"","parse-names":false,"suffix":""},{"dropping-particle":"","family":"Anagnostopoulos","given":"Achilles","non-dropping-particle":"","parse-names":false,"suffix":""},{"dropping-particle":"","family":"Fazi","given":"Claudia","non-dropping-particle":"","parse-names":false,"suffix":""},{"dropping-particle":"","family":"Castro","given":"David Gonzalez","non-dropping-particle":"De","parse-names":false,"suffix":""},{"dropping-particle":"","family":"Dearden","given":"Claire","non-dropping-particle":"","parse-names":false,"suffix":""},{"dropping-particle":"","family":"Pratt","given":"Guy","non-dropping-particle":"","parse-names":false,"suffix":""},{"dropping-particle":"","family":"Rosenquist","given":"Richard","non-dropping-particle":"","parse-names":false,"suffix":""},{"dropping-particle":"","family":"Ashton-Key","given":"Margaret","non-dropping-particle":"","parse-names":false,"suffix":""},{"dropping-particle":"","family":"Forconi","given":"Francesco","non-dropping-particle":"","parse-names":false,"suffix":""},{"dropping-particle":"","family":"Collins","given":"Andrew","non-dropping-particle":"","parse-names":false,"suffix":""},{"dropping-particle":"","family":"Ghia","given":"Paolo","non-dropping-particle":"","parse-names":false,"suffix":""},{"dropping-particle":"","family":"Matutes","given":"Estella","non-dropping-particle":"","parse-names":false,"suffix":""},{"dropping-particle":"","family":"Pangalis","given":"Gerassimos","non-dropping-particle":"","parse-names":false,"suffix":""},{"dropping-particle":"","family":"Stamatopoulos","given":"Kostas","non-dropping-particle":"","parse-names":false,"suffix":""},{"dropping-particle":"","family":"Oscier","given":"David","non-dropping-particle":"","parse-names":false,"suffix":""},{"dropping-particle":"","family":"Strefford","given":"Jonathan C.","non-dropping-particle":"","parse-names":false,"suffix":""}],"container-title":"Clinical Cancer Research","id":"ITEM-2","issue":"18","issued":{"date-parts":[["2015"]]},"page":"4174-4183","title":"Genetics and prognostication in splenic marginal zone lymphoma: Revelations from deep sequencing","type":"article-journal","volume":"21"},"uris":["http://www.mendeley.com/documents/?uuid=81509c2c-3e61-4115-bfa1-3ac38fc7fb12"]}],"mendeley":{"formattedCitation":"(Parry et al., 2015; Yan et al., 2012)","plainTextFormattedCitation":"(Parry et al., 2015; Yan et al., 2012)","previouslyFormattedCitation":"(Parry et al., 2015; Yan et al., 2012)"},"properties":{"noteIndex":0},"schema":"https://github.com/citation-style-language/schema/raw/master/csl-citation.json"}</w:instrText>
      </w:r>
      <w:r w:rsidRPr="00002888">
        <w:rPr>
          <w:rFonts w:ascii="Times New Roman" w:hAnsi="Times New Roman" w:cs="Times New Roman"/>
          <w:sz w:val="24"/>
          <w:szCs w:val="24"/>
          <w:shd w:val="clear" w:color="auto" w:fill="FFFFFF"/>
          <w:lang w:val="en-GB"/>
        </w:rPr>
        <w:fldChar w:fldCharType="separate"/>
      </w:r>
      <w:r w:rsidR="003A2844" w:rsidRPr="00002888">
        <w:rPr>
          <w:rFonts w:ascii="Times New Roman" w:hAnsi="Times New Roman" w:cs="Times New Roman"/>
          <w:noProof/>
          <w:sz w:val="24"/>
          <w:szCs w:val="24"/>
          <w:shd w:val="clear" w:color="auto" w:fill="FFFFFF"/>
          <w:lang w:val="en-GB"/>
        </w:rPr>
        <w:t>(Parry et al., 2015; Yan et al., 2012)</w:t>
      </w:r>
      <w:r w:rsidRPr="00002888">
        <w:rPr>
          <w:rFonts w:ascii="Times New Roman" w:hAnsi="Times New Roman" w:cs="Times New Roman"/>
          <w:sz w:val="24"/>
          <w:szCs w:val="24"/>
          <w:shd w:val="clear" w:color="auto" w:fill="FFFFFF"/>
          <w:lang w:val="en-GB"/>
        </w:rPr>
        <w:fldChar w:fldCharType="end"/>
      </w:r>
      <w:r w:rsidRPr="00002888">
        <w:rPr>
          <w:rFonts w:ascii="Times New Roman" w:hAnsi="Times New Roman" w:cs="Times New Roman"/>
          <w:sz w:val="24"/>
          <w:szCs w:val="24"/>
          <w:shd w:val="clear" w:color="auto" w:fill="FFFFFF"/>
          <w:lang w:val="en-GB"/>
        </w:rPr>
        <w:t xml:space="preserve">. </w:t>
      </w:r>
    </w:p>
    <w:p w14:paraId="3248204B" w14:textId="77777777" w:rsidR="00002888" w:rsidRPr="00002888" w:rsidRDefault="00002888" w:rsidP="00002888">
      <w:pPr>
        <w:autoSpaceDE w:val="0"/>
        <w:autoSpaceDN w:val="0"/>
        <w:adjustRightInd w:val="0"/>
        <w:spacing w:before="0" w:after="0" w:line="360" w:lineRule="auto"/>
        <w:jc w:val="left"/>
        <w:rPr>
          <w:rFonts w:ascii="Times New Roman" w:hAnsi="Times New Roman" w:cs="Times New Roman"/>
          <w:sz w:val="24"/>
          <w:szCs w:val="24"/>
          <w:shd w:val="clear" w:color="auto" w:fill="FFFFFF"/>
          <w:lang w:val="en-GB"/>
        </w:rPr>
      </w:pPr>
    </w:p>
    <w:p w14:paraId="432F0EC2" w14:textId="77777777" w:rsidR="006E582D" w:rsidRDefault="00E31134" w:rsidP="006E582D">
      <w:pPr>
        <w:spacing w:before="0" w:after="0" w:line="360" w:lineRule="auto"/>
        <w:jc w:val="left"/>
        <w:rPr>
          <w:rFonts w:ascii="Times New Roman" w:hAnsi="Times New Roman" w:cs="Times New Roman"/>
          <w:sz w:val="24"/>
          <w:szCs w:val="24"/>
          <w:lang w:val="en-GB"/>
        </w:rPr>
      </w:pPr>
      <w:r w:rsidRPr="00002888">
        <w:rPr>
          <w:rFonts w:ascii="Times New Roman" w:hAnsi="Times New Roman" w:cs="Times New Roman"/>
          <w:b/>
          <w:bCs/>
          <w:sz w:val="24"/>
          <w:szCs w:val="24"/>
          <w:lang w:val="en-GB"/>
        </w:rPr>
        <w:t>Chromatin remodelling enzymes</w:t>
      </w:r>
      <w:r w:rsidR="005A60FF" w:rsidRPr="00002888">
        <w:rPr>
          <w:rFonts w:ascii="Times New Roman" w:hAnsi="Times New Roman" w:cs="Times New Roman"/>
          <w:sz w:val="24"/>
          <w:szCs w:val="24"/>
          <w:lang w:val="en-GB"/>
        </w:rPr>
        <w:t xml:space="preserve"> </w:t>
      </w:r>
      <w:r w:rsidR="003D47F2" w:rsidRPr="00002888">
        <w:rPr>
          <w:rFonts w:ascii="Times New Roman" w:hAnsi="Times New Roman" w:cs="Times New Roman"/>
          <w:sz w:val="24"/>
          <w:szCs w:val="24"/>
          <w:lang w:val="en-GB"/>
        </w:rPr>
        <w:t xml:space="preserve">are dynamic </w:t>
      </w:r>
      <w:r w:rsidR="7E27C98C" w:rsidRPr="00002888">
        <w:rPr>
          <w:rFonts w:ascii="Times New Roman" w:hAnsi="Times New Roman" w:cs="Times New Roman"/>
          <w:sz w:val="24"/>
          <w:szCs w:val="24"/>
          <w:lang w:val="en-GB"/>
        </w:rPr>
        <w:t xml:space="preserve">modulators </w:t>
      </w:r>
      <w:r w:rsidR="6F086F5B" w:rsidRPr="00002888">
        <w:rPr>
          <w:rFonts w:ascii="Times New Roman" w:hAnsi="Times New Roman" w:cs="Times New Roman"/>
          <w:sz w:val="24"/>
          <w:szCs w:val="24"/>
          <w:lang w:val="en-GB"/>
        </w:rPr>
        <w:t>of</w:t>
      </w:r>
      <w:r w:rsidR="00C5162A" w:rsidRPr="00002888">
        <w:rPr>
          <w:rFonts w:ascii="Times New Roman" w:hAnsi="Times New Roman" w:cs="Times New Roman"/>
          <w:sz w:val="24"/>
          <w:szCs w:val="24"/>
          <w:lang w:val="en-GB"/>
        </w:rPr>
        <w:t xml:space="preserve"> cell identity and regulate B-cell differentiation and proliferation through recognition of a spectrum</w:t>
      </w:r>
      <w:r w:rsidR="005A60FF" w:rsidRPr="00002888">
        <w:rPr>
          <w:rFonts w:ascii="Times New Roman" w:hAnsi="Times New Roman" w:cs="Times New Roman"/>
          <w:sz w:val="24"/>
          <w:szCs w:val="24"/>
          <w:lang w:val="en-GB"/>
        </w:rPr>
        <w:t xml:space="preserve"> </w:t>
      </w:r>
      <w:r w:rsidR="00C5162A" w:rsidRPr="00002888">
        <w:rPr>
          <w:rFonts w:ascii="Times New Roman" w:hAnsi="Times New Roman" w:cs="Times New Roman"/>
          <w:sz w:val="24"/>
          <w:szCs w:val="24"/>
          <w:lang w:val="en-GB"/>
        </w:rPr>
        <w:t xml:space="preserve">of specific biochemical marks on histone proteins and DNA, thereby modifying </w:t>
      </w:r>
      <w:r w:rsidR="002234ED" w:rsidRPr="00002888">
        <w:rPr>
          <w:rFonts w:ascii="Times New Roman" w:hAnsi="Times New Roman" w:cs="Times New Roman"/>
          <w:sz w:val="24"/>
          <w:szCs w:val="24"/>
          <w:lang w:val="en-GB"/>
        </w:rPr>
        <w:t xml:space="preserve">chromatin accessibility to transcription machinery proteins </w:t>
      </w:r>
      <w:r w:rsidR="005A60FF" w:rsidRPr="00245037">
        <w:rPr>
          <w:rFonts w:ascii="Times New Roman" w:hAnsi="Times New Roman" w:cs="Times New Roman"/>
          <w:sz w:val="24"/>
          <w:szCs w:val="24"/>
          <w:lang w:val="en-GB"/>
        </w:rPr>
        <w:fldChar w:fldCharType="begin" w:fldLock="1"/>
      </w:r>
      <w:r w:rsidR="005A60FF" w:rsidRPr="00245037">
        <w:rPr>
          <w:rFonts w:ascii="Times New Roman" w:hAnsi="Times New Roman" w:cs="Times New Roman"/>
          <w:sz w:val="24"/>
          <w:szCs w:val="24"/>
          <w:lang w:val="en-GB"/>
        </w:rPr>
        <w:instrText xml:space="preserve">ADDIN CSL_CITATION {"citationItems":[{"id":"ITEM-1","itemData":{"DOI":"10.1038/bcj.2015.89","ISSN":"2044-5385","PMID":"26473533","abstract":"Subtypes of non-Hodgkin's lymphomas align with different stages of B-cell development. Germinal center B-cell (GCB)-like diffuse large B-cell lymphoma (DLBCL), follicular lymphoma (FL) and Burkitt's lymphoma (BL) each share molecular similarities with normal GCB cells. Recent next-generation sequencing studies have gained insight into the genetic etiology of these malignancies and revealed a high frequency of mutations within genes encoding proteins that modifying chromatin. These include activating and inactivating mutations of genes that perform post-translational modification of histones and organize chromatin structure. Here, we discuss the function of histone acetyltransferases (CREBBP, EP300), histone methyltransferases (KDM2C/D, EZH2) and regulators of higher order chromatin structure (HIST1H1C/D/E, ARID1A and SMARCA4) that have been reported to be mutated in </w:instrText>
      </w:r>
      <w:r w:rsidR="005A60FF" w:rsidRPr="00245037">
        <w:rPr>
          <w:rFonts w:ascii="Cambria Math" w:hAnsi="Cambria Math" w:cs="Cambria Math"/>
          <w:sz w:val="24"/>
          <w:szCs w:val="24"/>
          <w:lang w:val="en-GB"/>
        </w:rPr>
        <w:instrText>⩾</w:instrText>
      </w:r>
      <w:r w:rsidR="005A60FF" w:rsidRPr="00245037">
        <w:rPr>
          <w:rFonts w:ascii="Times New Roman" w:hAnsi="Times New Roman" w:cs="Times New Roman"/>
          <w:sz w:val="24"/>
          <w:szCs w:val="24"/>
          <w:lang w:val="en-GB"/>
        </w:rPr>
        <w:instrText>5% of DLBCL, FL or BL. Mutations of these genes are an emerging hallmark of lymphomas with GCB-cell origins, and likely represent the next generation of therapeutic targets for these malignancies.","author":[{"dropping-particle":"","family":"Lunning","given":"M. A.","non-dropping-particle":"","parse-names":false,"suffix":""},{"dropping-particle":"","family":"Green","given":"M. R.","non-dropping-particle":"","parse-names":false,"suffix":""}],"container-title":"Blood cancer journal","id":"ITEM-1","issue":"10","issued":{"date-parts":[["2015","10","16"]]},"page":"e361","publisher":"Nature Publishing Group","title":"Mutation of chromatin modifiers; an emerging hallmark of germinal center B-cell lymphomas.","type":"article-journal","volume":"5"},"uris":["http://www.mendeley.com/documents/?uuid=502563d5-a546-49de-8c2e-0cc1e3ee0e91"]}],"mendeley":{"formattedCitation":"(Lunning and Green, 2015)","plainTextFormattedCitation":"(Lunning and Green, 2015)","previouslyFormattedCitation":"(Lunning and Green, 2015)"},"properties":{"noteIndex":0},"schema":"https://github.com/citation-style-language/schema/raw/master/csl-citation.json"}</w:instrText>
      </w:r>
      <w:r w:rsidR="005A60FF" w:rsidRPr="00245037">
        <w:rPr>
          <w:rFonts w:ascii="Times New Roman" w:hAnsi="Times New Roman" w:cs="Times New Roman"/>
          <w:sz w:val="24"/>
          <w:szCs w:val="24"/>
          <w:lang w:val="en-GB"/>
        </w:rPr>
        <w:fldChar w:fldCharType="separate"/>
      </w:r>
      <w:r w:rsidR="005A60FF" w:rsidRPr="00245037">
        <w:rPr>
          <w:rFonts w:ascii="Times New Roman" w:hAnsi="Times New Roman" w:cs="Times New Roman"/>
          <w:noProof/>
          <w:sz w:val="24"/>
          <w:szCs w:val="24"/>
          <w:lang w:val="en-GB"/>
        </w:rPr>
        <w:t>(Lunning and Green, 2015)</w:t>
      </w:r>
      <w:r w:rsidR="005A60FF" w:rsidRPr="00245037">
        <w:rPr>
          <w:rFonts w:ascii="Times New Roman" w:hAnsi="Times New Roman" w:cs="Times New Roman"/>
          <w:sz w:val="24"/>
          <w:szCs w:val="24"/>
          <w:lang w:val="en-GB"/>
        </w:rPr>
        <w:fldChar w:fldCharType="end"/>
      </w:r>
      <w:r w:rsidR="005A60FF" w:rsidRPr="00245037">
        <w:rPr>
          <w:rFonts w:ascii="Times New Roman" w:hAnsi="Times New Roman" w:cs="Times New Roman"/>
          <w:sz w:val="24"/>
          <w:szCs w:val="24"/>
          <w:lang w:val="en-GB"/>
        </w:rPr>
        <w:t>.</w:t>
      </w:r>
      <w:r w:rsidR="001A72D1" w:rsidRPr="00245037">
        <w:rPr>
          <w:rFonts w:ascii="Times New Roman" w:hAnsi="Times New Roman" w:cs="Times New Roman"/>
          <w:sz w:val="24"/>
          <w:szCs w:val="24"/>
          <w:lang w:val="en-GB"/>
        </w:rPr>
        <w:t xml:space="preserve"> </w:t>
      </w:r>
      <w:r w:rsidR="002234ED" w:rsidRPr="00245037">
        <w:rPr>
          <w:rFonts w:ascii="Times New Roman" w:hAnsi="Times New Roman" w:cs="Times New Roman"/>
          <w:sz w:val="24"/>
          <w:szCs w:val="24"/>
          <w:lang w:val="en-GB"/>
        </w:rPr>
        <w:t>R</w:t>
      </w:r>
      <w:r w:rsidR="631DEA5C" w:rsidRPr="00245037">
        <w:rPr>
          <w:rFonts w:ascii="Times New Roman" w:hAnsi="Times New Roman" w:cs="Times New Roman"/>
          <w:sz w:val="24"/>
          <w:szCs w:val="24"/>
          <w:lang w:val="en-GB"/>
        </w:rPr>
        <w:t xml:space="preserve">ecurrent somatic mutations in </w:t>
      </w:r>
      <w:r w:rsidR="00BC7B1E" w:rsidRPr="00245037">
        <w:rPr>
          <w:rFonts w:ascii="Times New Roman" w:hAnsi="Times New Roman" w:cs="Times New Roman"/>
          <w:sz w:val="24"/>
          <w:szCs w:val="24"/>
          <w:lang w:val="en-GB"/>
        </w:rPr>
        <w:t xml:space="preserve">chromatin remodelling and epigenetic modifier </w:t>
      </w:r>
      <w:r w:rsidR="631DEA5C" w:rsidRPr="00245037">
        <w:rPr>
          <w:rFonts w:ascii="Times New Roman" w:hAnsi="Times New Roman" w:cs="Times New Roman"/>
          <w:sz w:val="24"/>
          <w:szCs w:val="24"/>
          <w:lang w:val="en-GB"/>
        </w:rPr>
        <w:t>gene</w:t>
      </w:r>
      <w:r w:rsidR="7249396C" w:rsidRPr="00245037">
        <w:rPr>
          <w:rFonts w:ascii="Times New Roman" w:hAnsi="Times New Roman" w:cs="Times New Roman"/>
          <w:sz w:val="24"/>
          <w:szCs w:val="24"/>
          <w:lang w:val="en-GB"/>
        </w:rPr>
        <w:t>s (</w:t>
      </w:r>
      <w:r w:rsidR="7249396C" w:rsidRPr="00002888">
        <w:rPr>
          <w:rFonts w:ascii="Times New Roman" w:hAnsi="Times New Roman" w:cs="Times New Roman"/>
          <w:i/>
          <w:iCs/>
          <w:sz w:val="24"/>
          <w:szCs w:val="24"/>
          <w:lang w:val="en-GB"/>
        </w:rPr>
        <w:t>KMT2D</w:t>
      </w:r>
      <w:r w:rsidR="01C7F8C4" w:rsidRPr="00002888">
        <w:rPr>
          <w:rFonts w:ascii="Times New Roman" w:hAnsi="Times New Roman" w:cs="Times New Roman"/>
          <w:sz w:val="24"/>
          <w:szCs w:val="24"/>
          <w:lang w:val="en-GB"/>
        </w:rPr>
        <w:t xml:space="preserve"> </w:t>
      </w:r>
      <w:r w:rsidR="005A60FF" w:rsidRPr="00002888">
        <w:rPr>
          <w:rFonts w:ascii="Times New Roman" w:hAnsi="Times New Roman" w:cs="Times New Roman"/>
          <w:sz w:val="24"/>
          <w:szCs w:val="24"/>
          <w:lang w:val="en-GB"/>
        </w:rPr>
        <w:t>11-15</w:t>
      </w:r>
      <w:r w:rsidR="01C7F8C4" w:rsidRPr="00002888">
        <w:rPr>
          <w:rFonts w:ascii="Times New Roman" w:hAnsi="Times New Roman" w:cs="Times New Roman"/>
          <w:sz w:val="24"/>
          <w:szCs w:val="24"/>
          <w:lang w:val="en-GB"/>
        </w:rPr>
        <w:t>%</w:t>
      </w:r>
      <w:r w:rsidR="7249396C" w:rsidRPr="00002888">
        <w:rPr>
          <w:rFonts w:ascii="Times New Roman" w:hAnsi="Times New Roman" w:cs="Times New Roman"/>
          <w:sz w:val="24"/>
          <w:szCs w:val="24"/>
          <w:lang w:val="en-GB"/>
        </w:rPr>
        <w:t xml:space="preserve">, </w:t>
      </w:r>
      <w:r w:rsidR="7249396C" w:rsidRPr="00002888">
        <w:rPr>
          <w:rFonts w:ascii="Times New Roman" w:hAnsi="Times New Roman" w:cs="Times New Roman"/>
          <w:i/>
          <w:iCs/>
          <w:sz w:val="24"/>
          <w:szCs w:val="24"/>
          <w:lang w:val="en-GB"/>
        </w:rPr>
        <w:t>CREBBP</w:t>
      </w:r>
      <w:r w:rsidR="01C7F8C4" w:rsidRPr="00002888">
        <w:rPr>
          <w:rFonts w:ascii="Times New Roman" w:hAnsi="Times New Roman" w:cs="Times New Roman"/>
          <w:sz w:val="24"/>
          <w:szCs w:val="24"/>
          <w:lang w:val="en-GB"/>
        </w:rPr>
        <w:t xml:space="preserve"> </w:t>
      </w:r>
      <w:r w:rsidR="005A60FF" w:rsidRPr="00002888">
        <w:rPr>
          <w:rFonts w:ascii="Times New Roman" w:hAnsi="Times New Roman" w:cs="Times New Roman"/>
          <w:sz w:val="24"/>
          <w:szCs w:val="24"/>
          <w:lang w:val="en-GB"/>
        </w:rPr>
        <w:t>~5</w:t>
      </w:r>
      <w:r w:rsidR="01C7F8C4" w:rsidRPr="00002888">
        <w:rPr>
          <w:rFonts w:ascii="Times New Roman" w:hAnsi="Times New Roman" w:cs="Times New Roman"/>
          <w:sz w:val="24"/>
          <w:szCs w:val="24"/>
          <w:lang w:val="en-GB"/>
        </w:rPr>
        <w:t>%</w:t>
      </w:r>
      <w:r w:rsidR="7249396C" w:rsidRPr="00002888">
        <w:rPr>
          <w:rFonts w:ascii="Times New Roman" w:hAnsi="Times New Roman" w:cs="Times New Roman"/>
          <w:sz w:val="24"/>
          <w:szCs w:val="24"/>
          <w:lang w:val="en-GB"/>
        </w:rPr>
        <w:t xml:space="preserve">, </w:t>
      </w:r>
      <w:r w:rsidR="7249396C" w:rsidRPr="00002888">
        <w:rPr>
          <w:rFonts w:ascii="Times New Roman" w:hAnsi="Times New Roman" w:cs="Times New Roman"/>
          <w:i/>
          <w:iCs/>
          <w:sz w:val="24"/>
          <w:szCs w:val="24"/>
          <w:lang w:val="en-GB"/>
        </w:rPr>
        <w:t>ARID1A</w:t>
      </w:r>
      <w:r w:rsidR="01C7F8C4" w:rsidRPr="00002888">
        <w:rPr>
          <w:rFonts w:ascii="Times New Roman" w:hAnsi="Times New Roman" w:cs="Times New Roman"/>
          <w:sz w:val="24"/>
          <w:szCs w:val="24"/>
          <w:lang w:val="en-GB"/>
        </w:rPr>
        <w:t xml:space="preserve"> </w:t>
      </w:r>
      <w:r w:rsidR="005A60FF" w:rsidRPr="00002888">
        <w:rPr>
          <w:rFonts w:ascii="Times New Roman" w:hAnsi="Times New Roman" w:cs="Times New Roman"/>
          <w:sz w:val="24"/>
          <w:szCs w:val="24"/>
          <w:lang w:val="en-GB"/>
        </w:rPr>
        <w:t>~4</w:t>
      </w:r>
      <w:r w:rsidR="01C7F8C4" w:rsidRPr="00002888">
        <w:rPr>
          <w:rFonts w:ascii="Times New Roman" w:hAnsi="Times New Roman" w:cs="Times New Roman"/>
          <w:sz w:val="24"/>
          <w:szCs w:val="24"/>
          <w:lang w:val="en-GB"/>
        </w:rPr>
        <w:t>%</w:t>
      </w:r>
      <w:r w:rsidR="006A4164" w:rsidRPr="00002888">
        <w:rPr>
          <w:rFonts w:ascii="Times New Roman" w:hAnsi="Times New Roman" w:cs="Times New Roman"/>
          <w:sz w:val="24"/>
          <w:szCs w:val="24"/>
          <w:lang w:val="en-GB"/>
        </w:rPr>
        <w:t xml:space="preserve">, </w:t>
      </w:r>
      <w:r w:rsidR="006A4164" w:rsidRPr="00002888">
        <w:rPr>
          <w:rFonts w:ascii="Times New Roman" w:hAnsi="Times New Roman" w:cs="Times New Roman"/>
          <w:i/>
          <w:iCs/>
          <w:sz w:val="24"/>
          <w:szCs w:val="24"/>
          <w:lang w:val="en-GB"/>
        </w:rPr>
        <w:lastRenderedPageBreak/>
        <w:t>EP300</w:t>
      </w:r>
      <w:r w:rsidR="009F5A48" w:rsidRPr="00002888">
        <w:rPr>
          <w:rFonts w:ascii="Times New Roman" w:hAnsi="Times New Roman" w:cs="Times New Roman"/>
          <w:i/>
          <w:iCs/>
          <w:sz w:val="24"/>
          <w:szCs w:val="24"/>
          <w:lang w:val="en-GB"/>
        </w:rPr>
        <w:t xml:space="preserve"> ~2%</w:t>
      </w:r>
      <w:r w:rsidR="006A4164" w:rsidRPr="00002888">
        <w:rPr>
          <w:rFonts w:ascii="Times New Roman" w:hAnsi="Times New Roman" w:cs="Times New Roman"/>
          <w:i/>
          <w:iCs/>
          <w:sz w:val="24"/>
          <w:szCs w:val="24"/>
          <w:lang w:val="en-GB"/>
        </w:rPr>
        <w:t xml:space="preserve"> </w:t>
      </w:r>
      <w:r w:rsidR="006A4164" w:rsidRPr="00002888">
        <w:rPr>
          <w:rFonts w:ascii="Times New Roman" w:hAnsi="Times New Roman" w:cs="Times New Roman"/>
          <w:sz w:val="24"/>
          <w:szCs w:val="24"/>
          <w:lang w:val="en-GB"/>
        </w:rPr>
        <w:t xml:space="preserve">and </w:t>
      </w:r>
      <w:r w:rsidR="006A4164" w:rsidRPr="00002888">
        <w:rPr>
          <w:rFonts w:ascii="Times New Roman" w:hAnsi="Times New Roman" w:cs="Times New Roman"/>
          <w:i/>
          <w:iCs/>
          <w:sz w:val="24"/>
          <w:szCs w:val="24"/>
          <w:lang w:val="en-GB"/>
        </w:rPr>
        <w:t>TBL1XR1</w:t>
      </w:r>
      <w:r w:rsidR="009F5A48" w:rsidRPr="00002888">
        <w:rPr>
          <w:rFonts w:ascii="Times New Roman" w:hAnsi="Times New Roman" w:cs="Times New Roman"/>
          <w:i/>
          <w:iCs/>
          <w:sz w:val="24"/>
          <w:szCs w:val="24"/>
          <w:lang w:val="en-GB"/>
        </w:rPr>
        <w:t xml:space="preserve"> ~1%</w:t>
      </w:r>
      <w:r w:rsidR="7249396C" w:rsidRPr="00002888">
        <w:rPr>
          <w:rFonts w:ascii="Times New Roman" w:hAnsi="Times New Roman" w:cs="Times New Roman"/>
          <w:i/>
          <w:iCs/>
          <w:sz w:val="24"/>
          <w:szCs w:val="24"/>
          <w:lang w:val="en-GB"/>
        </w:rPr>
        <w:t>)</w:t>
      </w:r>
      <w:r w:rsidR="006A4164" w:rsidRPr="00002888">
        <w:rPr>
          <w:rFonts w:ascii="Times New Roman" w:hAnsi="Times New Roman" w:cs="Times New Roman"/>
          <w:sz w:val="24"/>
          <w:szCs w:val="24"/>
          <w:lang w:val="en-GB"/>
        </w:rPr>
        <w:t xml:space="preserve"> </w:t>
      </w:r>
      <w:r w:rsidR="00BC7B1E" w:rsidRPr="00002888">
        <w:rPr>
          <w:rFonts w:ascii="Times New Roman" w:hAnsi="Times New Roman" w:cs="Times New Roman"/>
          <w:sz w:val="24"/>
          <w:szCs w:val="24"/>
          <w:lang w:val="en-GB"/>
        </w:rPr>
        <w:t>are present in approx. 40% of SMZL cases</w:t>
      </w:r>
      <w:r w:rsidR="00F7499F" w:rsidRPr="00002888">
        <w:rPr>
          <w:rFonts w:ascii="Times New Roman" w:hAnsi="Times New Roman" w:cs="Times New Roman"/>
          <w:sz w:val="24"/>
          <w:szCs w:val="24"/>
          <w:lang w:val="en-GB"/>
        </w:rPr>
        <w:t xml:space="preserve"> </w:t>
      </w:r>
      <w:r w:rsidR="00F7499F" w:rsidRPr="00002888">
        <w:rPr>
          <w:rFonts w:ascii="Times New Roman" w:hAnsi="Times New Roman" w:cs="Times New Roman"/>
          <w:sz w:val="24"/>
          <w:szCs w:val="24"/>
          <w:lang w:val="en-GB"/>
        </w:rPr>
        <w:fldChar w:fldCharType="begin" w:fldLock="1"/>
      </w:r>
      <w:r w:rsidR="00A5727C" w:rsidRPr="00002888">
        <w:rPr>
          <w:rFonts w:ascii="Times New Roman" w:hAnsi="Times New Roman" w:cs="Times New Roman"/>
          <w:sz w:val="24"/>
          <w:szCs w:val="24"/>
          <w:lang w:val="en-GB"/>
        </w:rPr>
        <w:instrText xml:space="preserve">ADDIN CSL_CITATION {"citationItems":[{"id":"ITEM-1","itemData":{"DOI":"10.1084/jem.20120904","ISBN":"1540-9538 (Electronic)\\r0022-1007 (Linking)","ISSN":"0022-1007","PMID":"22891273","abstract":"Splenic marginal zone lymphoma (SMZL) is a B cell malignancy of unknown pathogenesis, and thus an orphan of targeted therapies. By integrating whole-exome sequencing and copy-number analysis, we show that the SMZL exome carries at least 30 nonsilent gene alterations. Mutations in NOTCH2, a gene required for marginal-zone (MZ) B cell development, represent the most frequent lesion in SMZL, accounting for </w:instrText>
      </w:r>
      <w:r w:rsidR="00A5727C" w:rsidRPr="00002888">
        <w:rPr>
          <w:rFonts w:ascii="Cambria Math" w:hAnsi="Cambria Math" w:cs="Cambria Math"/>
          <w:sz w:val="24"/>
          <w:szCs w:val="24"/>
          <w:lang w:val="en-GB"/>
        </w:rPr>
        <w:instrText>∼</w:instrText>
      </w:r>
      <w:r w:rsidR="00A5727C" w:rsidRPr="00002888">
        <w:rPr>
          <w:rFonts w:ascii="Times New Roman" w:hAnsi="Times New Roman" w:cs="Times New Roman"/>
          <w:sz w:val="24"/>
          <w:szCs w:val="24"/>
          <w:lang w:val="en-GB"/>
        </w:rPr>
        <w:instrText xml:space="preserve">20% of cases. All NOTCH2 mutations are predicted to cause impaired degradation of the NOTCH2 protein by eliminating the C-terminal PEST domain, which is required for proteasomal recruitment. Among indolent B cell lymphoproliferative disorders, NOTCH2 mutations are restricted to SMZL, thus representing a potential diagnostic marker for this lymphoma type. In addition to NOTCH2, other modulators or members of the NOTCH pathway are recurrently targeted by genetic lesions in SMZL; these include NOTCH1, SPEN, and DTX1. We also noted mutations in other signaling pathways normally involved in MZ B cell development, suggesting that deregulation of MZ B cell development pathways plays a role in the pathogenesis of </w:instrText>
      </w:r>
      <w:r w:rsidR="00A5727C" w:rsidRPr="00002888">
        <w:rPr>
          <w:rFonts w:ascii="Cambria Math" w:hAnsi="Cambria Math" w:cs="Cambria Math"/>
          <w:sz w:val="24"/>
          <w:szCs w:val="24"/>
          <w:lang w:val="en-GB"/>
        </w:rPr>
        <w:instrText>∼</w:instrText>
      </w:r>
      <w:r w:rsidR="00A5727C" w:rsidRPr="00002888">
        <w:rPr>
          <w:rFonts w:ascii="Times New Roman" w:hAnsi="Times New Roman" w:cs="Times New Roman"/>
          <w:sz w:val="24"/>
          <w:szCs w:val="24"/>
          <w:lang w:val="en-GB"/>
        </w:rPr>
        <w:instrText>60% SMZL. These findings have direct implications for the treatment of SMZL patients, given the availability of drugs that can target NOTCH, NF-κB, and other pathways deregulated in this disease.","author":[{"dropping-particle":"","family":"Rossi","given":"Davide","non-dropping-particle":"","parse-names":false,"suffix":""},{"dropping-particle":"","family":"Trifonov","given":"Vladimir","non-dropping-particle":"","parse-names":false,"suffix":""},{"dropping-particle":"","family":"Fangazio","given":"Marco","non-dropping-particle":"","parse-names":false,"suffix":""},{"dropping-particle":"","family":"Bruscaggin","given":"Alessio","non-dropping-particle":"","parse-names":false,"suffix":""},{"dropping-particle":"","family":"Rasi","given":"Silvia","non-dropping-particle":"","parse-names":false,"suffix":""},{"dropping-particle":"","family":"Spina","given":"Valeria","non-dropping-particle":"","parse-names":false,"suffix":""},{"dropping-particle":"","family":"Monti","given":"Sara","non-dropping-particle":"","parse-names":false,"suffix":""},{"dropping-particle":"","family":"Vaisitti","given":"Tiziana","non-dropping-particle":"","parse-names":false,"suffix":""},{"dropping-particle":"","family":"Arruga","given":"Francesca","non-dropping-particle":"","parse-names":false,"suffix":""},{"dropping-particle":"","family":"Famà","given":"Rosella","non-dropping-particle":"","parse-names":false,"suffix":""},{"dropping-particle":"","family":"Ciardullo","given":"Carmela","non-dropping-particle":"","parse-names":false,"suffix":""},{"dropping-particle":"","family":"Greco","given":"Mariangela","non-dropping-particle":"","parse-names":false,"suffix":""},{"dropping-particle":"","family":"Cresta","given":"Stefania","non-dropping-particle":"","parse-names":false,"suffix":""},{"dropping-particle":"","family":"Piranda","given":"Daniela","non-dropping-particle":"","parse-names":false,"suffix":""},{"dropping-particle":"","family":"Holmes","given":"Antony","non-dropping-particle":"","parse-names":false,"suffix":""},{"dropping-particle":"","family":"Fabbri","given":"Giulia","non-dropping-particle":"","parse-names":false,"suffix":""},{"dropping-particle":"","family":"Messina","given":"Monica","non-dropping-particle":"","parse-names":false,"suffix":""},{"dropping-particle":"","family":"Rinaldi","given":"Andrea","non-dropping-particle":"","parse-names":false,"suffix":""},{"dropping-particle":"","family":"Wang","given":"Jiguang","non-dropping-particle":"","parse-names":false,"suffix":""},{"dropping-particle":"","family":"Agostinelli","given":"Claudio","non-dropping-particle":"","parse-names":false,"suffix":""},{"dropping-particle":"","family":"Piccaluga","given":"Pier Paolo","non-dropping-particle":"","parse-names":false,"suffix":""},{"dropping-particle":"","family":"Lucioni","given":"Marco","non-dropping-particle":"","parse-names":false,"suffix":""},{"dropping-particle":"","family":"Tabbò","given":"Fabrizio","non-dropping-particle":"","parse-names":false,"suffix":""},{"dropping-particle":"","family":"Serra","given":"Roberto","non-dropping-particle":"","parse-names":false,"suffix":""},{"dropping-particle":"","family":"Franceschetti","given":"Silvia","non-dropping-particle":"","parse-names":false,"suffix":""},{"dropping-particle":"","family":"Deambrogi","given":"Clara","non-dropping-particle":"","parse-names":false,"suffix":""},{"dropping-particle":"","family":"Daniele","given":"Giulia","non-dropping-particle":"","parse-names":false,"suffix":""},{"dropping-particle":"","family":"Gattei","given":"Valter","non-dropping-particle":"","parse-names":false,"suffix":""},{"dropping-particle":"","family":"Marasca","given":"Roberto","non-dropping-particle":"","parse-names":false,"suffix":""},{"dropping-particle":"","family":"Facchetti","given":"Fabio","non-dropping-particle":"","parse-names":false,"suffix":""},{"dropping-particle":"","family":"Arcaini","given":"Luca","non-dropping-particle":"","parse-names":false,"suffix":""},{"dropping-particle":"","family":"Inghirami","given":"Giorgio","non-dropping-particle":"","parse-names":false,"suffix":""},{"dropping-particle":"","family":"Bertoni","given":"Francesco","non-dropping-particle":"","parse-names":false,"suffix":""},{"dropping-particle":"","family":"Pileri","given":"Stefano A.","non-dropping-particle":"","parse-names":false,"suffix":""},{"dropping-particle":"","family":"Deaglio","given":"Silvia","non-dropping-particle":"","parse-names":false,"suffix":""},{"dropping-particle":"","family":"Foà","given":"Robin","non-dropping-particle":"","parse-names":false,"suffix":""},{"dropping-particle":"","family":"Dalla-Favera","given":"Riccardo","non-dropping-particle":"","parse-names":false,"suffix":""},{"dropping-particle":"","family":"Pasqualucci","given":"Laura","non-dropping-particle":"","parse-names":false,"suffix":""},{"dropping-particle":"","family":"Rabadan","given":"Raul","non-dropping-particle":"","parse-names":false,"suffix":""},{"dropping-particle":"","family":"Gaidano","given":"Gianluca","non-dropping-particle":"","parse-names":false,"suffix":""}],"container-title":"The Journal of Experimental Medicine","id":"ITEM-1","issue":"9","issued":{"date-parts":[["2012"]]},"page":"1537-1551","title":"The coding genome of splenic marginal zone lymphoma: activation of &lt;i&gt;NOTCH2&lt;/i&gt; and other pathways regulating marginal zone development","type":"article-journal","volume":"209"},"uris":["http://www.mendeley.com/documents/?uuid=fff8afcc-b166-4232-81b9-1bf4d3e92c7e"]},{"id":"ITEM-2","itemData":{"DOI":"10.1371/journal.pone.0083244","ISSN":"1932-6203","abstract":"The pathogenesis of splenic marginal zone lymphoma (SMZL) remains largely unknown. Recent high-throughput sequencing studies have identified recurrent mutations in key pathways, most notably NOTCH2 mutations in &gt;25% of patients. These studies are based on small, heterogeneous discovery cohorts, and therefore only captured a fraction of the lesions present in the SMZL genome. To identify further novel pathogenic mutations within related biochemical pathways, we applied whole exome sequencing (WES) and copy number (CN) analysis to a biologically and clinically homogeneous cohort of seven SMZL patients with 7q abnormalities and IGHV1-2*04 gene usage. We identified 173 somatic non-silent variants, affecting 160 distinct genes. In additional to providing independent validation of the presence of mutation in several previously reported genes (NOTCH2, TNFAIP3, MAP3K14, MLL2 and SPEN), our study defined eight additional recurrently mutated genes in SMZL; these genes are CREBBP, CBFA2T3, AMOTL1, FAT4, FBXO11, PLA2G4D, TRRAP and USH2A. By integrating our WES and CN data we identified three mutated putative candidate genes targeted by 7q deletions (CUL1, EZH2 and FLNC), with FLNC positioned within the well- characterized 7q minimally deleted region. Taken together, this work expands the reported directory of recurrently mutated cancer genes in this disease, thereby expanding our understanding of SMZL pathogenesis. Ultimately, this work will help to establish a stratified approach to care including the possibility of targeted therapy.","author":[{"dropping-particle":"","family":"Parry","given":"Marina","non-dropping-particle":"","parse-names":false,"suffix":""},{"dropping-particle":"","family":"Rose-Zerilli","given":"Matthew J. J.","non-dropping-particle":"","parse-names":false,"suffix":""},{"dropping-particle":"","family":"Gibson","given":"Jane","non-dropping-particle":"","parse-names":false,"suffix":""},{"dropping-particle":"","family":"Ennis","given":"Sarah","non-dropping-particle":"","parse-names":false,"suffix":""},{"dropping-particle":"","family":"Walewska","given":"Renata","non-dropping-particle":"","parse-names":false,"suffix":""},{"dropping-particle":"","family":"Forster","given":"Jade","non-dropping-particle":"","parse-names":false,"suffix":""},{"dropping-particle":"","family":"Parker","given":"Helen","non-dropping-particle":"","parse-names":false,"suffix":""},{"dropping-particle":"","family":"Davis","given":"Zadie","non-dropping-particle":"","parse-names":false,"suffix":""},{"dropping-particle":"","family":"Gardiner","given":"Anne","non-dropping-particle":"","parse-names":false,"suffix":""},{"dropping-particle":"","family":"Collins","given":"Andrew","non-dropping-particle":"","parse-names":false,"suffix":""},{"dropping-particle":"","family":"Oscier","given":"David G.","non-dropping-particle":"","parse-names":false,"suffix":""},{"dropping-particle":"","family":"Strefford","given":"Jonathan C.","non-dropping-particle":"","parse-names":false,"suffix":""}],"container-title":"PLoS ONE","editor":[{"dropping-particle":"","family":"Martinez Climent","given":"Jose Angel","non-dropping-particle":"","parse-names":false,"suffix":""}],"id":"ITEM-2","issue":"12","issued":{"date-parts":[["2013","12","13"]]},"page":"e83244","title":"Whole Exome Sequencing Identifies Novel Recurrently Mutated Genes in Patients with Splenic Marginal Zone Lymphoma","type":"article-journal","volume":"8"},"uris":["http://www.mendeley.com/documents/?uuid=a9b6d865-2849-447c-97d5-e16730a26fdc"]},{"id":"ITEM-3","itemData":{"DOI":"10.1158/1078-0432.CCR-14-2759","ISSN":"15573265","PMID":"25779943","abstract":"Purpose: Mounting evidence supports the clinical significance of gene mutations and immunogenetic features in common mature B-cell malignancies.\\n\\nExperimental Design: We undertook a detailed characterization of the genetic background of splenic marginal zone lymphoma (SMZL), using targeted resequencing and explored potential clinical implications in a multinational cohort of 175 patients with SMZL.\\n\\nResults: We identified recurrent mutations in TP53 (16%), KLF2 (12%), NOTCH2 (10%), TNFAIP3 (7%), MLL2 (11%), MYD88 (7%), and ARID1A (6%), all genes known to be targeted by somatic mutation in SMZL. KLF2 mutations were early, clonal events, enriched in patients with del(7q) and IGHV1-2*04 B-cell receptor immunoglobulins, and were associated with a short median time to first treatment (0.12 vs. 1.11 years; P = 0.01). In multivariate analysis, mutations in NOTCH2 [HR, 2.12; 95% confidence interval (CI), 1.02–4.4; P = 0.044] and 100% germline IGHV gene identity (HR, 2.19; 95% CI, 1.05–4.55; P = 0.036) were independent markers of short time to first treatment, whereas TP53 mutations were an independent marker of short overall survival (HR, 2.36; 95 % CI, 1.08–5.2; P = 0.03).\\n\\nConclusions: We identify key associations between gene mutations and clinical outcome, demonstrating for the first time that NOTCH2 and TP53 gene mutations are independent markers of reduced treatment-free and overall survival, respectively. Clin Cancer Res; 21(18); 4174–83. ©2015 AACR .","author":[{"dropping-particle":"","family":"Parry","given":"Marina","non-dropping-particle":"","parse-names":false,"suffix":""},{"dropping-particle":"","family":"Rose-Zerilli","given":"Matthew J.J.","non-dropping-particle":"","parse-names":false,"suffix":""},{"dropping-particle":"","family":"Ljungström","given":"Viktor","non-dropping-particle":"","parse-names":false,"suffix":""},{"dropping-particle":"","family":"Gibson","given":"Jane","non-dropping-particle":"","parse-names":false,"suffix":""},{"dropping-particle":"","family":"Wang","given":"Jun","non-dropping-particle":"","parse-names":false,"suffix":""},{"dropping-particle":"","family":"Walewska","given":"Renata","non-dropping-particle":"","parse-names":false,"suffix":""},{"dropping-particle":"","family":"Parker","given":"Helen","non-dropping-particle":"","parse-names":false,"suffix":""},{"dropping-particle":"","family":"Parker","given":"Anton","non-dropping-particle":"","parse-names":false,"suffix":""},{"dropping-particle":"","family":"Davis","given":"Zadie","non-dropping-particle":"","parse-names":false,"suffix":""},{"dropping-particle":"","family":"Gardiner","given":"Anne","non-dropping-particle":"","parse-names":false,"suffix":""},{"dropping-particle":"","family":"McIver-Brown","given":"Neil","non-dropping-particle":"","parse-names":false,"suffix":""},{"dropping-particle":"","family":"Kalpadakis","given":"Christina","non-dropping-particle":"","parse-names":false,"suffix":""},{"dropping-particle":"","family":"Xochelli","given":"Aliki","non-dropping-particle":"","parse-names":false,"suffix":""},{"dropping-particle":"","family":"Anagnostopoulos","given":"Achilles","non-dropping-particle":"","parse-names":false,"suffix":""},{"dropping-particle":"","family":"Fazi","given":"Claudia","non-dropping-particle":"","parse-names":false,"suffix":""},{"dropping-particle":"","family":"Castro","given":"David Gonzalez","non-dropping-particle":"De","parse-names":false,"suffix":""},{"dropping-particle":"","family":"Dearden","given":"Claire","non-dropping-particle":"","parse-names":false,"suffix":""},{"dropping-particle":"","family":"Pratt","given":"Guy","non-dropping-particle":"","parse-names":false,"suffix":""},{"dropping-particle":"","family":"Rosenquist","given":"Richard","non-dropping-particle":"","parse-names":false,"suffix":""},{"dropping-particle":"","family":"Ashton-Key","given":"Margaret","non-dropping-particle":"","parse-names":false,"suffix":""},{"dropping-particle":"","family":"Forconi","given":"Francesco","non-dropping-particle":"","parse-names":false,"suffix":""},{"dropping-particle":"","family":"Collins","given":"Andrew","non-dropping-particle":"","parse-names":false,"suffix":""},{"dropping-particle":"","family":"Ghia","given":"Paolo","non-dropping-particle":"","parse-names":false,"suffix":""},{"dropping-particle":"","family":"Matutes","given":"Estella","non-dropping-particle":"","parse-names":false,"suffix":""},{"dropping-particle":"","family":"Pangalis","given":"Gerassimos","non-dropping-particle":"","parse-names":false,"suffix":""},{"dropping-particle":"","family":"Stamatopoulos","given":"Kostas","non-dropping-particle":"","parse-names":false,"suffix":""},{"dropping-particle":"","family":"Oscier","given":"David","non-dropping-particle":"","parse-names":false,"suffix":""},{"dropping-particle":"","family":"Strefford","given":"Jonathan C.","non-dropping-particle":"","parse-names":false,"suffix":""}],"container-title":"Clinical Cancer Research","id":"ITEM-3","issue":"18","issued":{"date-parts":[["2015"]]},"page":"4174-4183","title":"Genetics and prognostication in splenic marginal zone lymphoma: Revelations from deep sequencing","type":"article-journal","volume":"21"},"uris":["http://www.mendeley.com/documents/?uuid=81509c2c-3e61-4115-bfa1-3ac38fc7fb12"]},{"id":"ITEM-4","itemData":{"DOI":"10.1182/blood-2016-02-696757.","author":[{"dropping-particle":"","family":"Spina","given":"Valeria","non-dropping-particle":"","parse-names":false,"suffix":""},{"dropping-particle":"","family":"Khiabanian","given":"Hossein","non-dropping-particle":"","parse-names":false,"suffix":""},{"dropping-particle":"","family":"Messina","given":"Monica","non-dropping-particle":"","parse-names":false,"suffix":""},{"dropping-particle":"","family":"Monti","given":"Sara","non-dropping-particle":"","parse-names":false,"suffix":""},{"dropping-particle":"","family":"Cascione","given":"Luciano","non-dropping-particle":"","parse-names":false,"suffix":""},{"dropping-particle":"","family":"Bruscaggin","given":"Alessio","non-dropping-particle":"","parse-names":false,"suffix":""},{"dropping-particle":"","family":"Spaccarotella","given":"Elisa","non-dropping-particle":"","parse-names":false,"suffix":""},{"dropping-particle":"","family":"Holmes","given":"Antony B","non-dropping-particle":"","parse-names":false,"suffix":""},{"dropping-particle":"","family":"Arcaini","given":"Luca","non-dropping-particle":"","parse-names":false,"suffix":""},{"dropping-particle":"","family":"Lucioni","given":"Marco","non-dropping-particle":"","parse-names":false,"suffix":""},{"dropping-particle":"","family":"Tabbò","given":"Fabrizio","non-dropping-particle":"","parse-names":false,"suffix":""},{"dropping-particle":"","family":"Zairis","given":"Sakellarios","non-dropping-particle":"","parse-names":false,"suffix":""},{"dropping-particle":"","family":"Diop","given":"Fary","non-dropping-particle":"","parse-names":false,"suffix":""},{"dropping-particle":"","family":"Cerri","given":"Michaela","non-dropping-particle":"","parse-names":false,"suffix":""},{"dropping-particle":"","family":"Chiaretti","given":"Sabina","non-dropping-particle":"","parse-names":false,"suffix":""},{"dropping-particle":"","family":"Marasca","given":"Roberto","non-dropping-particle":"","parse-names":false,"suffix":""},{"dropping-particle":"","family":"Ponzoni","given":"Maurilio","non-dropping-particle":"","parse-names":false,"suffix":""},{"dropping-particle":"","family":"Deaglio","given":"Silvia","non-dropping-particle":"","parse-names":false,"suffix":""},{"dropping-particle":"","family":"Ramponi","given":"Antonio","non-dropping-particle":"","parse-names":false,"suffix":""},{"dropping-particle":"","family":"Tiacci","given":"Enrico","non-dropping-particle":"","parse-names":false,"suffix":""},{"dropping-particle":"","family":"Pasqualucci","given":"Laura","non-dropping-particle":"","parse-names":false,"suffix":""},{"dropping-particle":"","family":"Paulli","given":"Marco","non-dropping-particle":"","parse-names":false,"suffix":""},{"dropping-particle":"","family":"Falini","given":"Brunangelo","non-dropping-particle":"","parse-names":false,"suffix":""},{"dropping-particle":"","family":"Bertoni","given":"Francesco","non-dropping-particle":"","parse-names":false,"suffix":""},{"dropping-particle":"","family":"Foà","given":"Robin","non-dropping-particle":"","parse-names":false,"suffix":""},{"dropping-particle":"","family":"Rabadan","given":"Raul","non-dropping-particle":"","parse-names":false,"suffix":""},{"dropping-particle":"","family":"Gaidano","given":"Gianluca","non-dropping-particle":"","parse-names":false,"suffix":""},{"dropping-particle":"","family":"Rossi","given":"Davide","non-dropping-particle":"","parse-names":false,"suffix":""}],"container-title":"Blood","id":"ITEM-4","issue":"10","issued":{"date-parts":[["2016"]]},"page":"1362-1374","title":"The Genetics of Nodal Marginal Zone Lymphoma","type":"article-journal","volume":"128"},"uris":["http://www.mendeley.com/documents/?uuid=ad84a010-86be-42c8-9e02-1925b8a60652"]},{"id":"ITEM-5","itemData":{"DOI":"10.1038/leu.2013.365","ISSN":"14765551","PMID":"24296945","abstract":"Splenic marginal zone lymphoma (SMZL) is a B-cell neoplasm whose molecular pathogenesis remains fundamentally unexplained, requiring more precise diagnostic markers. Previous molecular studies have revealed 7q loss and mutations of nuclear factor κB (NF-κB), B-cell receptor (BCR) and Notch signalling genes. We performed whole-exome sequencing in a series of SMZL cases. Results confirmed that SMZL is an entity distinct from other low-grade B-cell lymphomas, and identified mutations in multiple genes involved in marginal zone development, and others involved in NF-κB, BCR, chromatin remodelling and the cytoskeleton.Leukemia advance online publication, 10 January 2014; doi:10.1038/leu.2013.365.","author":[{"dropping-particle":"","family":"Martínez","given":"N.","non-dropping-particle":"","parse-names":false,"suffix":""},{"dropping-particle":"","family":"Almaraz","given":"C.","non-dropping-particle":"","parse-names":false,"suffix":""},{"dropping-particle":"","family":"Vaqué","given":"J. P.","non-dropping-particle":"","parse-names":false,"suffix":""},{"dropping-particle":"","family":"Varela","given":"I.","non-dropping-particle":"","parse-names":false,"suffix":""},{"dropping-particle":"","family":"Derdak","given":"S.","non-dropping-particle":"","parse-names":false,"suffix":""},{"dropping-particle":"","family":"Beltran","given":"S.","non-dropping-particle":"","parse-names":false,"suffix":""},{"dropping-particle":"","family":"Mollejo","given":"M.","non-dropping-particle":"","parse-names":false,"suffix":""},{"dropping-particle":"","family":"Campos-Martin","given":"Y.","non-dropping-particle":"","parse-names":false,"suffix":""},{"dropping-particle":"","family":"Agueda","given":"L.","non-dropping-particle":"","parse-names":false,"suffix":""},{"dropping-particle":"","family":"Rinaldi","given":"A.","non-dropping-particle":"","parse-names":false,"suffix":""},{"dropping-particle":"","family":"Kwee","given":"I.","non-dropping-particle":"","parse-names":false,"suffix":""},{"dropping-particle":"","family":"Gut","given":"M.","non-dropping-particle":"","parse-names":false,"suffix":""},{"dropping-particle":"","family":"Blanc","given":"J.","non-dropping-particle":"","parse-names":false,"suffix":""},{"dropping-particle":"","family":"Oscier","given":"D.","non-dropping-particle":"","parse-names":false,"suffix":""},{"dropping-particle":"","family":"Strefford","given":"J. C.","non-dropping-particle":"","parse-names":false,"suffix":""},{"dropping-particle":"","family":"Martinez-Lopez","given":"J.","non-dropping-particle":"","parse-names":false,"suffix":""},{"dropping-particle":"","family":"Salar","given":"A.","non-dropping-particle":"","parse-names":false,"suffix":""},{"dropping-particle":"","family":"Sole","given":"F.","non-dropping-particle":"","parse-names":false,"suffix":""},{"dropping-particle":"","family":"Rodriguez-Peralto","given":"J. L.","non-dropping-particle":"","parse-names":false,"suffix":""},{"dropping-particle":"","family":"Diez-Tascón","given":"C.","non-dropping-particle":"","parse-names":false,"suffix":""},{"dropping-particle":"","family":"García","given":"J. F.","non-dropping-particle":"","parse-names":false,"suffix":""},{"dropping-particle":"","family":"Fraga","given":"M.","non-dropping-particle":"","parse-names":false,"suffix":""},{"dropping-particle":"","family":"Sebastián","given":"E.","non-dropping-particle":"","parse-names":false,"suffix":""},{"dropping-particle":"","family":"Alvés","given":"J.","non-dropping-particle":"","parse-names":false,"suffix":""},{"dropping-particle":"","family":"Menárguez","given":"J.","non-dropping-particle":"","parse-names":false,"suffix":""},{"dropping-particle":"","family":"González-Carreró","given":"J.","</w:instrText>
      </w:r>
      <w:r w:rsidR="00A5727C" w:rsidRPr="00002888">
        <w:rPr>
          <w:rFonts w:ascii="Times New Roman" w:hAnsi="Times New Roman" w:cs="Times New Roman"/>
          <w:sz w:val="24"/>
          <w:szCs w:val="24"/>
          <w:lang w:val="es-CO"/>
        </w:rPr>
        <w:instrText>non-dropping-particle":"","parse-names":false,"suffix":""},{"dropping-particle":"","family":"Casado","given":"L. F.","non-dropping-particle":"","parse-names":false,"suffix":""},{"dropping-particle":"","family":"Bayes","given":"M.","non-dropping-particle":"","parse-names":false,"suffix":""},{"dropping-particle":"","family":"Bertoni","given":"F.","non-dropping-particle":"","parse-names":false,"suffix":""},{"dropping-particle":"","family":"Gut","given":"I.","non-dropping-particle":"","parse-names":false,"suffix":""},{"dropping-particle":"","family":"Piris","given":"M. A.","non-dropping-particle":"","parse-names":false,"suffix":""}],"container-title":"Leukemia","id":"ITEM-5","issue":"6","issued":{"date-parts":[["2014"]]},"page":"1334-1340","title":"Whole-exome sequencing in splenic marginal zone lymphoma reveals mutations in genes involved in marginal zone differentiation","type":"article-journal","volume":"28"},"uris":["http://www.mendeley.com/documents/?uuid=cbc308a4-59c7-4b1b-a8b5-daf886900844"]}],"mendeley":{"formattedCitation":"(Martínez et al., 2014; Parry et al., 2015, 2013; Rossi et al., 2012; Spina et al., 2016)","plainTextFormattedCitation":"(Martínez et al., 2014; Parry et al., 2015, 2013; Rossi et al., 2012; Spina et al., 2016)","previouslyFormattedCitation":"(Martínez et al., 2014; Parry et al., 2015, 2013; Rossi et al., 2012; Spina et al., 2016)"},"properties":{"noteIndex":0},"schema":"https://github.com/citation-style-language/schema/raw/master/csl-citation.json"}</w:instrText>
      </w:r>
      <w:r w:rsidR="00F7499F" w:rsidRPr="00002888">
        <w:rPr>
          <w:rFonts w:ascii="Times New Roman" w:hAnsi="Times New Roman" w:cs="Times New Roman"/>
          <w:sz w:val="24"/>
          <w:szCs w:val="24"/>
          <w:lang w:val="en-GB"/>
        </w:rPr>
        <w:fldChar w:fldCharType="separate"/>
      </w:r>
      <w:r w:rsidR="002E6F34" w:rsidRPr="00002888">
        <w:rPr>
          <w:rFonts w:ascii="Times New Roman" w:hAnsi="Times New Roman" w:cs="Times New Roman"/>
          <w:noProof/>
          <w:sz w:val="24"/>
          <w:szCs w:val="24"/>
          <w:lang w:val="es-CO"/>
        </w:rPr>
        <w:t>(Martínez et al., 2014; Parry et al., 2015, 2013; Rossi et al., 2012; Spina et al., 2016)</w:t>
      </w:r>
      <w:r w:rsidR="00F7499F" w:rsidRPr="00002888">
        <w:rPr>
          <w:rFonts w:ascii="Times New Roman" w:hAnsi="Times New Roman" w:cs="Times New Roman"/>
          <w:sz w:val="24"/>
          <w:szCs w:val="24"/>
          <w:lang w:val="en-GB"/>
        </w:rPr>
        <w:fldChar w:fldCharType="end"/>
      </w:r>
      <w:r w:rsidR="004031F7" w:rsidRPr="00002888">
        <w:rPr>
          <w:rFonts w:ascii="Times New Roman" w:hAnsi="Times New Roman" w:cs="Times New Roman"/>
          <w:sz w:val="24"/>
          <w:szCs w:val="24"/>
          <w:lang w:val="es-CO"/>
        </w:rPr>
        <w:t xml:space="preserve">. </w:t>
      </w:r>
      <w:r w:rsidR="003A2844" w:rsidRPr="00002888">
        <w:rPr>
          <w:rFonts w:ascii="Times New Roman" w:hAnsi="Times New Roman" w:cs="Times New Roman"/>
          <w:i/>
          <w:iCs/>
          <w:sz w:val="24"/>
          <w:szCs w:val="24"/>
          <w:lang w:val="en-GB"/>
        </w:rPr>
        <w:t>CREBBP</w:t>
      </w:r>
      <w:r w:rsidR="003A2844" w:rsidRPr="00002888">
        <w:rPr>
          <w:rFonts w:ascii="Times New Roman" w:hAnsi="Times New Roman" w:cs="Times New Roman"/>
          <w:sz w:val="24"/>
          <w:szCs w:val="24"/>
          <w:lang w:val="en-GB"/>
        </w:rPr>
        <w:t xml:space="preserve"> mutations are often clonal mutations in SMZL </w:t>
      </w:r>
      <w:r w:rsidR="003A2844" w:rsidRPr="00002888">
        <w:rPr>
          <w:rFonts w:ascii="Times New Roman" w:hAnsi="Times New Roman" w:cs="Times New Roman"/>
          <w:sz w:val="24"/>
          <w:szCs w:val="24"/>
          <w:lang w:val="en-GB"/>
        </w:rPr>
        <w:fldChar w:fldCharType="begin" w:fldLock="1"/>
      </w:r>
      <w:r w:rsidR="005C7883" w:rsidRPr="00002888">
        <w:rPr>
          <w:rFonts w:ascii="Times New Roman" w:hAnsi="Times New Roman" w:cs="Times New Roman"/>
          <w:sz w:val="24"/>
          <w:szCs w:val="24"/>
          <w:lang w:val="en-GB"/>
        </w:rPr>
        <w:instrText>ADDIN CSL_CITATION {"citationItems":[{"id":"ITEM-1","itemData":{"DOI":"10.1158/1078-0432.CCR-14-2759","ISSN":"15573265","PMID":"25779943","abstract":"Purpose: Mounting evidence supports the clinical significance of gene mutations and immunogenetic features in common mature B-cell malignancies.\\n\\nExperimental Design: We undertook a detailed characterization of the genetic background of splenic marginal zone lymphoma (SMZL), using targeted resequencing and explored potential clinical implications in a multinational cohort of 175 patients with SMZL.\\n\\nResults: We identified recurrent mutations in TP53 (16%), KLF2 (12%), NOTCH2 (10%), TNFAIP3 (7%), MLL2 (11%), MYD88 (7%), and ARID1A (6%), all genes known to be targeted by somatic mutation in SMZL. KLF2 mutations were early, clonal events, enriched in patients with del(7q) and IGHV1-2*04 B-cell receptor immunoglobulins, and were associated with a short median time to first treatment (0.12 vs. 1.11 years; P = 0.01). In multivariate analysis, mutations in NOTCH2 [HR, 2.12; 95% confidence interval (CI), 1.02–4.4; P = 0.044] and 100% germline IGHV gene identity (HR, 2.19; 95% CI, 1.05–4.55; P = 0.036) were independent markers of short time to first treatment, whereas TP53 mutations were an independent marker of short overall survival (HR, 2.36; 95 % CI, 1.08–5.2; P = 0.03).\\n\\nConclusions: We identify key associations between gene mutations and clinical outcome, demonstrating for the first time that NOTCH2 and TP53 gene mutations are independent markers of reduced treatment-free and overall survival, respectively. Clin Cancer Res; 21(18); 4174–83. ©2015 AACR .","author":[{"dropping-particle":"","family":"Parry","given":"Marina","non-dropping-particle":"","parse-names":false,"suffix":""},{"dropping-particle":"","family":"Rose-Zerilli","given":"Matthew J.J.","non-dropping-particle":"","parse-names":false,"suffix":""},{"dropping-particle":"","family":"Ljungström","given":"Viktor","non-dropping-particle":"","parse-names":false,"suffix":""},{"dropping-particle":"","family":"Gibson","given":"Jane","non-dropping-particle":"","parse-names":false,"suffix":""},{"dropping-particle":"","family":"Wang","given":"Jun","non-dropping-particle":"","parse-names":false,"suffix":""},{"dropping-particle":"","family":"Walewska","given":"Renata","non-dropping-particle":"","parse-names":false,"suffix":""},{"dropping-particle":"","family":"Parker","given":"Helen","non-dropping-particle":"","parse-names":false,"suffix":""},{"dropping-particle":"","family":"Parker","given":"Anton","non-dropping-particle":"","parse-names":false,"suffix":""},{"dropping-particle":"","family":"Davis","given":"Zadie","non-dropping-particle":"","parse-names":false,"suffix":""},{"dropping-particle":"","family":"Gardiner","given":"Anne","non-dropping-particle":"","parse-names":false,"suffix":""},{"dropping-particle":"","family":"McIver-Brown","given":"Neil","non-dropping-particle":"","parse-names":false,"suffix":""},{"dropping-particle":"","family":"Kalpadakis","given":"Christina","non-dropping-particle":"","parse-names":false,"suffix":""},{"dropping-particle":"","family":"Xochelli","given":"Aliki","non-dropping-particle":"","parse-names":false,"suffix":""},{"dropping-particle":"","family":"Anagnostopoulos","given":"Achilles","non-dropping-particle":"","parse-names":false,"suffix":""},{"dropping-particle":"","family":"Fazi","given":"Claudia","non-dropping-particle":"","parse-names":false,"suffix":""},{"dropping-particle":"","family":"Castro","given":"David Gonzalez","non-dropping-particle":"De","parse-names":false,"suffix":""},{"dropping-particle":"","family":"Dearden","given":"Claire","non-dropping-particle":"","parse-names":false,"suffix":""},{"dropping-particle":"","family":"Pratt","given":"Guy","non-dropping-particle":"","parse-names":false,"suffix":""},{"dropping-particle":"","family":"Rosenquist","given":"Richard","non-dropping-particle":"","parse-names":false,"suffix":""},{"dropping-particle":"","family":"Ashton-Key","given":"Margaret","non-dropping-particle":"","parse-names":false,"suffix":""},{"dropping-particle":"","family":"Forconi","given":"Francesco","non-dropping-particle":"","parse-names":false,"suffix":""},{"dropping-particle":"","family":"Collins","given":"Andrew","non-dropping-particle":"","parse-names":false,"suffix":""},{"dropping-particle":"","family":"Ghia","given":"Paolo","non-dropping-particle":"","parse-names":false,"suffix":""},{"dropping-particle":"","family":"Matutes","given":"Estella","non-dropping-particle":"","parse-names":false,"suffix":""},{"dropping-particle":"","family":"Pangalis","given":"Gerassimos","non-dropping-particle":"","parse-names":false,"suffix":""},{"dropping-particle":"","family":"Stamatopoulos","given":"Kostas","non-dropping-particle":"","parse-names":false,"suffix":""},{"dropping-particle":"","family":"Oscier","given":"David","non-dropping-particle":"","parse-names":false,"suffix":""},{"dropping-particle":"","family":"Strefford","given":"Jonathan C.","non-dropping-particle":"","parse-names":false,"suffix":""}],"container-title":"Clinical Cancer Research","id":"ITEM-1","issue":"18","issued":{"date-parts":[["2015"]]},"page":"4174-4183","title":"Genetics and prognostication in splenic marginal zone lymphoma: Revelations from deep sequencing","type":"article-journal","volume":"21"},"uris":["http://www.mendeley.com/documents/?uuid=81509c2c-3e61-4115-bfa1-3ac38fc7fb12"]}],"mendeley":{"formattedCitation":"(Parry et al., 2015)","plainTextFormattedCitation":"(Parry et al., 2015)","previouslyFormattedCitation":"(Parry et al., 2015)"},"properties":{"noteIndex":0},"schema":"https://github.com/citation-style-language/schema/raw/master/csl-citation.json"}</w:instrText>
      </w:r>
      <w:r w:rsidR="003A2844" w:rsidRPr="00002888">
        <w:rPr>
          <w:rFonts w:ascii="Times New Roman" w:hAnsi="Times New Roman" w:cs="Times New Roman"/>
          <w:sz w:val="24"/>
          <w:szCs w:val="24"/>
          <w:lang w:val="en-GB"/>
        </w:rPr>
        <w:fldChar w:fldCharType="separate"/>
      </w:r>
      <w:r w:rsidR="003A2844" w:rsidRPr="00002888">
        <w:rPr>
          <w:rFonts w:ascii="Times New Roman" w:hAnsi="Times New Roman" w:cs="Times New Roman"/>
          <w:noProof/>
          <w:sz w:val="24"/>
          <w:szCs w:val="24"/>
          <w:lang w:val="en-GB"/>
        </w:rPr>
        <w:t>(Parry et al., 2015)</w:t>
      </w:r>
      <w:r w:rsidR="003A2844" w:rsidRPr="00002888">
        <w:rPr>
          <w:rFonts w:ascii="Times New Roman" w:hAnsi="Times New Roman" w:cs="Times New Roman"/>
          <w:sz w:val="24"/>
          <w:szCs w:val="24"/>
          <w:lang w:val="en-GB"/>
        </w:rPr>
        <w:fldChar w:fldCharType="end"/>
      </w:r>
      <w:r w:rsidR="003A2844" w:rsidRPr="00002888">
        <w:rPr>
          <w:rFonts w:ascii="Times New Roman" w:hAnsi="Times New Roman" w:cs="Times New Roman"/>
          <w:sz w:val="24"/>
          <w:szCs w:val="24"/>
          <w:lang w:val="en-GB"/>
        </w:rPr>
        <w:t xml:space="preserve">. Whilst the functional consequences of these mutations have not been functionally validated in SMZL, there is ample evidence in other B-cell lymphomas. Mutations in </w:t>
      </w:r>
      <w:r w:rsidR="003A2844" w:rsidRPr="00002888">
        <w:rPr>
          <w:rFonts w:ascii="Times New Roman" w:hAnsi="Times New Roman" w:cs="Times New Roman"/>
          <w:i/>
          <w:iCs/>
          <w:sz w:val="24"/>
          <w:szCs w:val="24"/>
          <w:lang w:val="en-GB"/>
        </w:rPr>
        <w:t>KMT2D</w:t>
      </w:r>
      <w:r w:rsidR="003A2844" w:rsidRPr="00002888">
        <w:rPr>
          <w:rFonts w:ascii="Times New Roman" w:hAnsi="Times New Roman" w:cs="Times New Roman"/>
          <w:sz w:val="24"/>
          <w:szCs w:val="24"/>
          <w:lang w:val="en-GB"/>
        </w:rPr>
        <w:t xml:space="preserve"> (</w:t>
      </w:r>
      <w:r w:rsidR="003A2844" w:rsidRPr="00002888">
        <w:rPr>
          <w:rFonts w:ascii="Times New Roman" w:hAnsi="Times New Roman" w:cs="Times New Roman"/>
          <w:i/>
          <w:iCs/>
          <w:sz w:val="24"/>
          <w:szCs w:val="24"/>
          <w:lang w:val="en-GB"/>
        </w:rPr>
        <w:t>MLL2)</w:t>
      </w:r>
      <w:r w:rsidR="003A2844" w:rsidRPr="00002888">
        <w:rPr>
          <w:rFonts w:ascii="Times New Roman" w:hAnsi="Times New Roman" w:cs="Times New Roman"/>
          <w:sz w:val="24"/>
          <w:szCs w:val="24"/>
          <w:lang w:val="en-GB"/>
        </w:rPr>
        <w:t xml:space="preserve">, a histone methyltransferase that modifies lysine-4 of histone 3, contributes to lymphomagenesis </w:t>
      </w:r>
      <w:r w:rsidR="003A2844" w:rsidRPr="00002888">
        <w:rPr>
          <w:rFonts w:ascii="Times New Roman" w:hAnsi="Times New Roman" w:cs="Times New Roman"/>
          <w:sz w:val="24"/>
          <w:szCs w:val="24"/>
          <w:lang w:val="en-GB"/>
        </w:rPr>
        <w:fldChar w:fldCharType="begin" w:fldLock="1"/>
      </w:r>
      <w:r w:rsidR="003A2844" w:rsidRPr="00002888">
        <w:rPr>
          <w:rFonts w:ascii="Times New Roman" w:hAnsi="Times New Roman" w:cs="Times New Roman"/>
          <w:sz w:val="24"/>
          <w:szCs w:val="24"/>
          <w:lang w:val="en-GB"/>
        </w:rPr>
        <w:instrText>ADDIN CSL_CITATION {"citationItems":[{"id":"ITEM-1","itemData":{"DOI":"10.1016/j.gene.2017.06.056","ISSN":"03781119","abstract":"Histone-lysine N-methyltransferase 2D (KMT2D), also known as MLL4 and MLL2 in humans and Mll4 in mice, belongs to a family of mammalian histone H3 lysine 4 (H3K4) methyltransferases. It is a large protein over 5500 amino acids in size and is partially functionally redundant with KMT2C. KMT2D is widely expressed in adult tissues and is essential for early embryonic development. The C-terminal SET domain is responsible for its H3K4 methyltransferase activity and is necessary for maintaining KMT2D protein stability in cells. KMT2D associates with WRAD (WDR5, RbBP5, ASH2L, and DPY30), NCOA6, PTIP, PA1, and H3K27 demethylase UTX in one protein complex. It acts as a scaffold protein within the complex and is responsible for maintaining the stability of UTX. KMT2D is a major mammalian H3K4 mono-methyltransferase and co-localizes with lineage determining transcription factors on transcriptional enhancers. It is required for the binding of histone H3K27 acetyltransferases CBP and p300 on enhancers, enhancer activation and cell-type specific gene expression during differentiation. KMT2D plays critical roles in regulating development, differentiation, metabolism, and tumor suppression. It is frequently mutated in developmental diseases, such as Kabuki syndrome and congenital heart disease, and various forms of cancer. Further understanding of the mechanism through which KMT2D regulates gene expression will reveal why KMT2D mutations are so harmful and may help generate novel therapeutic approaches.","author":[{"dropping-particle":"","family":"Froimchuk","given":"Eugene","non-dropping-particle":"","parse-names":false,"suffix":""},{"dropping-particle":"","family":"Jang","given":"Younghoon","non-dropping-particle":"","parse-names":false,"suffix":""},{"dropping-particle":"","family":"Ge","given":"Kai","non-dropping-particle":"","parse-names":false,"suffix":""}],"container-title":"Gene","id":"ITEM-1","issue":"April","issued":{"date-parts":[["2017","9"]]},"page":"337-342","publisher":"Elsevier","title":"Histone H3 lysine 4 methyltransferase KMT2D","type":"article-journal","volume":"627"},"uris":["http://www.mendeley.com/documents/?uuid=93acd795-c123-44d4-9d18-6bf18d3d9478"]}],"mendeley":{"formattedCitation":"(Froimchuk et al., 2017)","plainTextFormattedCitation":"(Froimchuk et al., 2017)","previouslyFormattedCitation":"(Froimchuk et al., 2017)"},"properties":{"noteIndex":0},"schema":"https://github.com/citation-style-language/schema/raw/master/csl-citation.json"}</w:instrText>
      </w:r>
      <w:r w:rsidR="003A2844" w:rsidRPr="00002888">
        <w:rPr>
          <w:rFonts w:ascii="Times New Roman" w:hAnsi="Times New Roman" w:cs="Times New Roman"/>
          <w:sz w:val="24"/>
          <w:szCs w:val="24"/>
          <w:lang w:val="en-GB"/>
        </w:rPr>
        <w:fldChar w:fldCharType="separate"/>
      </w:r>
      <w:r w:rsidR="003A2844" w:rsidRPr="00002888">
        <w:rPr>
          <w:rFonts w:ascii="Times New Roman" w:hAnsi="Times New Roman" w:cs="Times New Roman"/>
          <w:noProof/>
          <w:sz w:val="24"/>
          <w:szCs w:val="24"/>
          <w:lang w:val="en-GB"/>
        </w:rPr>
        <w:t>(Froimchuk et al., 2017)</w:t>
      </w:r>
      <w:r w:rsidR="003A2844" w:rsidRPr="00002888">
        <w:rPr>
          <w:rFonts w:ascii="Times New Roman" w:hAnsi="Times New Roman" w:cs="Times New Roman"/>
          <w:sz w:val="24"/>
          <w:szCs w:val="24"/>
          <w:lang w:val="en-GB"/>
        </w:rPr>
        <w:fldChar w:fldCharType="end"/>
      </w:r>
      <w:r w:rsidR="003A2844" w:rsidRPr="00002888">
        <w:rPr>
          <w:rFonts w:ascii="Times New Roman" w:hAnsi="Times New Roman" w:cs="Times New Roman"/>
          <w:sz w:val="24"/>
          <w:szCs w:val="24"/>
          <w:lang w:val="en-GB"/>
        </w:rPr>
        <w:t xml:space="preserve">, with an established tumour suppressor role in DLBCL and FL </w:t>
      </w:r>
      <w:r w:rsidR="005C7883" w:rsidRPr="00002888">
        <w:rPr>
          <w:rFonts w:ascii="Times New Roman" w:hAnsi="Times New Roman" w:cs="Times New Roman"/>
          <w:sz w:val="24"/>
          <w:szCs w:val="24"/>
          <w:lang w:val="en-GB"/>
        </w:rPr>
        <w:fldChar w:fldCharType="begin" w:fldLock="1"/>
      </w:r>
      <w:r w:rsidR="00C57D59" w:rsidRPr="00002888">
        <w:rPr>
          <w:rFonts w:ascii="Times New Roman" w:hAnsi="Times New Roman" w:cs="Times New Roman"/>
          <w:sz w:val="24"/>
          <w:szCs w:val="24"/>
          <w:lang w:val="en-GB"/>
        </w:rPr>
        <w:instrText>ADDIN CSL_CITATION {"citationItems":[{"id":"ITEM-1","itemData":{"DOI":"10.1038/nm.3940","ISSN":"1078-8956","abstract":"Mutations in the gene encoding the KMT2D (or MLL2) methyltransferase are highly recurrent and occur early during tumorigenesis in diffuse large B cell lymphoma (DLBCL) and follicular lymphoma (FL). However, the functional consequences of these mutations and their role in lymphomagenesis are unknown. Here we show that FL- and DLBCL-associated KMT2D mutations impair KMT2D enzymatic activity, leading to diminished global H3K4 methylation in germinal-center (GC) B cells and DLBCL cells. Conditional deletion of Kmt2d early during B cell development, but not after initiation of the GC reaction, results in an increase in GC B cells and enhances B cell proliferation in mice. Moreover, genetic ablation of Kmt2d in mice overexpressing Bcl2 increases the incidence of GC-derived lymphomas resembling human tumors. These findings suggest that KMT2D acts as a tumor suppressor gene whose early loss facilitates lymphomagenesis by remodeling the epigenetic landscape of the cancer precursor cells. Eradication of KMT2D-deficient cells may thus represent a rational therapeutic approach for targeting early tumorigenic events.","author":[{"dropping-particle":"","family":"Zhang","given":"Jiyuan","non-dropping-particle":"","parse-names":false,"suffix":""},{"dropping-particle":"","family":"Dominguez-Sola","given":"David","non-dropping-particle":"","parse-names":false,"suffix":""},{"dropping-particle":"","family":"Hussein","given":"Shafinaz","non-dropping-particle":"","parse-names":false,"suffix":""},{"dropping-particle":"","family":"Lee","given":"Ji-Eun","non-dropping-particle":"","parse-names":false,"suffix":""},{"dropping-particle":"","family":"Holmes","given":"Antony B.","non-dropping-particle":"","parse-names":false,"suffix":""},{"dropping-particle":"","family":"Bansal","given":"Mukesh","non-dropping-particle":"","parse-names":false,"suffix":""},{"dropping-particle":"","family":"Vlasevska","given":"Sofija","non-dropping-particle":"","parse-names":false,"suffix":""},{"dropping-particle":"","family":"Mo","given":"Tongwei","non-dropping-particle":"","parse-names":false,"suffix":""},{"dropping-particle":"","family":"Tang","given":"Hongyan","non-dropping-particle":"","parse-names":false,"suffix":""},{"dropping-particle":"","family":"Basso","given":"Katia","non-dropping-particle":"","parse-names":false,"suffix":""},{"dropping-particle":"","family":"Ge","given":"Kai","non-dropping-particle":"","parse-names":false,"suffix":""},{"dropping-particle":"","family":"Dalla-Favera","given":"Riccardo","non-dropping-particle":"","parse-names":false,"suffix":""},{"dropping-particle":"","family":"Pasqualucci","given":"Laura","non-dropping-particle":"","parse-names":false,"suffix":""}],"container-title":"Nature Medicine","id":"ITEM-1","issue":"10","issued":{"date-parts":[["2015","10","14"]]},"page":"1190-1198","publisher":"Nature Publishing Group","title":"Disruption of KMT2D perturbs germinal center B cell development and promotes lymphomagenesis","type":"article-journal","volume":"21"},"uris":["http://www.mendeley.com/documents/?uuid=1d737489-c2d8-423e-8f2e-c63e54e30ead"]},{"id":"ITEM-2","itemData":{"DOI":"10.1073/pnas.1501199112","ISSN":"10916490","PMID":"25713363","abstract":"Follicular lymphoma (FL) is incurable with conventional therapies and has a clinical course typified by multiple relapses after therapy. These tumors are genetically characterized by B-cell leukemia/lymphoma 2 (BCL2) translocation and mutation of genes involved in chromatin modification. By analyzing purified tumor cells, we identified additional novel recurrently mutated genes and confirmed mutations of one or more chromatin modifier genes within 96% of FL tumors and two or more in 76% of tumors. We defined the hierarchy of somatic mutations arising during tumor evolution by analyzing the phylogenetic relationship of somatic mutations across the coding genomes of 59 sequentially acquired biopsies from 22 patients. Among all somatically mutated genes, CREBBP mutations were most significantly enriched within the earliest inferable progenitor. These mutations were associated with a signature of decreased antigen presentation characterized by reduced transcript and protein abundance of MHC class II on tumor B cells, in line with the role of CREBBP in promoting class II transactivator (CIITA)-dependent transcriptional activation of these genes. CREBBP mutant B cells stimulated less proliferation of T cells in vitro compared with wild-type B cells from the same tumor. Transcriptional signatures of tumor-infiltrating T cells were indicative of reduced proliferation, and this corresponded to decreased frequencies of tumor-infiltrating CD4 helper T cells and CD8 memory cytotoxic T cells. These observations therefore implicate CREBBP mutation as an early event in FL evolution that contributes to immune evasion via decreased antigen presentation.","author":[{"dropping-particle":"","family":"Green","given":"Michael R.","non-dropping-particle":"","parse-names":false,"suffix":""},{"dropping-particle":"","family":"Kihira","given":"Shingo","non-dropping-particle":"","parse-names":false,"suffix":""},{"dropping-particle":"","family":"Liu","given":"Chih Long","non-dropping-particle":"","parse-names":false,"suffix":""},{"dropping-particle":"V.","family":"Nair","given":"Ramesh","non-dropping-particle":"","parse-names":false,"suffix":""},{"dropping-particle":"","family":"Salari","given":"Raheleh","non-dropping-particle":"","parse-names":false,"suffix":""},{"dropping-particle":"","family":"Gentles","given":"Andrew J.","non-dropping-particle":"","parse-names":false,"suffix":""},{"dropping-particle":"","family":"Irish","given":"Jonathan","non-dropping-particle":"","parse-names":false,"suffix":""},{"dropping-particle":"","family":"Stehr","given":"Henning","non-dropping-particle":"","parse-names":false,"suffix":""},{"dropping-particle":"","family":"Vicente-Dueñas","given":"Carolina","non-dropping-particle":"","parse-names":false,"suffix":""},{"dropping-particle":"","family":"Romero-Camarero","given":"Isabel","non-dropping-particle":"","parse-names":false,"suffix":""},{"dropping-particle":"","family":"Sanchez-Garcia","given":"Isidro","non-dropping-particle":"","parse-names":false,"suffix":""},{"dropping-particle":"","family":"Plevritis","given":"Sylvia K.","non-dropping-particle":"","parse-names":false,"suffix":""},{"dropping-particle":"","family":"Arber","given":"Daniel A.","non-dropping-particle":"","parse-names":false,"suffix":""},{"dropping-particle":"","family":"Batzoglou","given":"Serafim","non-dropping-particle":"","parse-names":false,"suffix":""},{"dropping-particle":"","family":"Levy","given":"Ronald","non-dropping-particle":"","parse-names":false,"suffix":""},{"dropping-particle":"","family":"Alizadeh","given":"Ash A.","non-dropping-particle":"","parse-names":false,"suffix":""}],"container-title":"Proceedings of the National Academy of Sciences of the United States of America","id":"ITEM-2","issue":"10","issued":{"date-parts":[["2015","3","10"]]},"page":"E1116-E1125","publisher":"National Academy of Sciences","title":"Mutations in early follicular lymphoma progenitors are associated with suppressed antigen presentation","type":"article-journal","volume":"112"},"uris":["http://www.mendeley.com/documents/?uuid=5be5e805-138f-3113-bde9-32ed33c3e8b6"]},{"id":"ITEM-3","itemData":{"DOI":"10.1038/ng.2856","ISSN":"10614036","PMID":"24362818","abstract":"Follicular lymphoma is an incurable malignancy, with transformation to an aggressive subtype representing a critical event during disease progression. Here we performed whole-genome or whole-exome sequencing on 10 follicular lymphoma-transformed follicular lymphoma pairs followed by deep sequencing of 28 genes in an extension cohort, and we report the key events and evolutionary processes governing tumor initiation and transformation. Tumor evolution occurred through either a 'rich' or 'sparse' ancestral common progenitor clone (CPC). We identified recurrent mutations in linker histone, JAK-STAT signaling, NF-κB signaling and B cell developmental genes. Longitudinal analyses identified early driver mutations in chromatin regulator genes (CREBBP, EZH2 and KMT2D (MLL2)), whereas mutations in EBF1 and regulators of NF-κB signaling (MYD88 and TNFAIP3) were gained at transformation. Collectively, this study provides new insights into the genetic basis of follicular lymphoma and the clonal dynamics of transformation and suggests that personalizing therapies to target key genetic alterations in the CPC represents an attractive therapeutic strategy. © 2014 Nature America, Inc.","author":[{"dropping-particle":"","family":"Okosun","given":"Jessica","non-dropping-particle":"","parse-names":false,"suffix":""},{"dropping-particle":"","family":"Bödör","given":"Csaba","non-dropping-particle":"","parse-names":false,"suffix":""},{"dropping-particle":"","family":"Wang","given":"Jun","non-dropping-particle":"","parse-names":false,"suffix":""},{"dropping-particle":"","family":"Araf","given":"Shamzah","non-dropping-particle":"","parse-names":false,"suffix":""},{"dropping-particle":"","family":"Yang","given":"Cheng Yuan","non-dropping-particle":"","parse-names":false,"suffix":""},{"dropping-particle":"","family":"Pan","given":"Chenyi","non-dropping-particle":"","parse-names":false,"suffix":""},{"dropping-particle":"","family":"Boller","given":"Sören","non-dropping-particle":"","parse-names":false,"suffix":""},{"dropping-particle":"","family":"Cittaro","given":"Davide","non-dropping-particle":"","parse-names":false,"suffix":""},{"dropping-particle":"","family":"Bozek","given":"Monika","non-dropping-particle":"","parse-names":false,"suffix":""},{"dropping-particle":"","family":"Iqbal","given":"Sameena","non-dropping-particle":"","parse-names":false,"suffix":""},{"dropping-particle":"","family":"Matthews","given":"Janet","non-dropping-particle":"","parse-names":false,"suffix":""},{"dropping-particle":"","family":"Wrench","given":"David","non-dropping-particle":"","parse-names":false,"suffix":""},{"dropping-particle":"","family":"Marzec","given":"Jacek","non-dropping-particle":"","parse-names":false,"suffix":""},{"dropping-particle":"","family":"Tawana","given":"Kiran","non-dropping-particle":"","parse-names":false,"suffix":""},{"dropping-particle":"","family":"Popov","given":"Nikolay","non-dropping-particle":"","parse-names":false,"suffix":""},{"dropping-particle":"","family":"O'riain","given":"Ciaran","non-dropping-particle":"","parse-names":false,"suffix":""},{"dropping-particle":"","family":"O'shea","given":"Derville","non-dropping-particle":"","parse-names":false,"suffix":""},{"dropping-particle":"","family":"Carlotti","given":"Emanuela","non-dropping-particle":"","parse-names":false,"suffix":""},{"dropping-particle":"","family":"Davies","given":"Andrew","non-dropping-particle":"","parse-names":false,"suffix":""},{"dropping-particle":"","family":"Lawrie","given":"Charles H.","non-dropping-particle":"","parse-names":false,"suffix":""},{"dropping-particle":"","family":"Matolcsy","given":"András","non-dropping-particle":"","parse-names":false,"suffix":""},{"dropping-particle":"","family":"Calaminici","given":"Maria","non-dropping-particle":"","parse-names":false,"suffix":""},{"dropping-particle":"","family":"Norton","given":"Andrew","non-dropping-particle":"","parse-names":false,"suffix":""},{"dropping-particle":"","family":"Byers","given":"Richard J.","non-dropping-particle":"","parse-names":false,"suffix":""},{"dropping-particle":"","family":"Mein","given":"Charles","non-dropping-particle":"","parse-names":false,"suffix":""},{"dropping-particle":"","family":"Stupka","given":"Elia","non-dropping-particle":"","parse-names":false,"suffix":""},{"dropping-particle":"","family":"Lister","given":"T. Andrew","non-dropping-particle":"","parse-names":false,"suffix":""},{"dropping-particle":"","family":"Lenz","given":"Georg","non-dropping-particle":"","parse-names":false,"suffix":""},{"dropping-particle":"","family":"Montoto","given":"Silvia","non-dropping-particle":"","parse-names":false,"suffix":""},{"dropping-particle":"","family":"Gribben","given":"John G.","non-dropping-particle":"","parse-names":false,"suffix":""},{"dropping-particle":"","family":"Fan","given":"Yuhong","non-dropping-particle":"","parse-names":false,"suffix":""},{"dropping-particle":"","family":"Grosschedl","given":"Rudolf","non-dropping-particle":"","parse-names":false,"suffix":""},{"dropping-particle":"","family":"Chelala","given":"Claude","non-dropping-particle":"","parse-names":false,"suffix":""},{"dropping-particle":"","family":"Fitzgibbon","given":"Jude","non-dropping-particle":"","parse-names":false,"suffix":""}],"container-title":"Nature Genetics","id":"ITEM-3","issue":"2","issued":{"date-parts":[["2014","2"]]},"page":"176-181","publisher":"Nat Genet","title":"Integrated genomic analysis identifies recurrent mutations and evolution patterns driving the initiation and progression of follicular lymphoma","type":"article-journal","volume":"46"},"uris":["http://www.mendeley.com/documents/?uuid=838cc446-47b4-3d56-a4ca-73c3a09c9a7d"]}],"mendeley":{"formattedCitation":"(Green et al., 2015; Okosun et al., 2014; Zhang et al., 2015)","plainTextFormattedCitation":"(Green et al., 2015; Okosun et al., 2014; Zhang et al., 2015)","previouslyFormattedCitation":"(Green et al., 2015; Okosun et al., 2014; Zhang et al., 2015)"},"properties":{"noteIndex":0},"schema":"https://github.com/citation-style-language/schema/raw/master/csl-citation.json"}</w:instrText>
      </w:r>
      <w:r w:rsidR="005C7883" w:rsidRPr="00002888">
        <w:rPr>
          <w:rFonts w:ascii="Times New Roman" w:hAnsi="Times New Roman" w:cs="Times New Roman"/>
          <w:sz w:val="24"/>
          <w:szCs w:val="24"/>
          <w:lang w:val="en-GB"/>
        </w:rPr>
        <w:fldChar w:fldCharType="separate"/>
      </w:r>
      <w:r w:rsidR="005C7883" w:rsidRPr="00002888">
        <w:rPr>
          <w:rFonts w:ascii="Times New Roman" w:hAnsi="Times New Roman" w:cs="Times New Roman"/>
          <w:noProof/>
          <w:sz w:val="24"/>
          <w:szCs w:val="24"/>
          <w:lang w:val="en-GB"/>
        </w:rPr>
        <w:t>(Green et al., 2015; Okosun et al., 2014; Zhang et al., 2015)</w:t>
      </w:r>
      <w:r w:rsidR="005C7883" w:rsidRPr="00002888">
        <w:rPr>
          <w:rFonts w:ascii="Times New Roman" w:hAnsi="Times New Roman" w:cs="Times New Roman"/>
          <w:sz w:val="24"/>
          <w:szCs w:val="24"/>
          <w:lang w:val="en-GB"/>
        </w:rPr>
        <w:fldChar w:fldCharType="end"/>
      </w:r>
      <w:r w:rsidR="003A2844" w:rsidRPr="00002888">
        <w:rPr>
          <w:rFonts w:ascii="Times New Roman" w:hAnsi="Times New Roman" w:cs="Times New Roman"/>
          <w:sz w:val="24"/>
          <w:szCs w:val="24"/>
          <w:lang w:val="en-GB"/>
        </w:rPr>
        <w:t xml:space="preserve">. In these same tumours, mutations in </w:t>
      </w:r>
      <w:r w:rsidR="003A2844" w:rsidRPr="00002888">
        <w:rPr>
          <w:rFonts w:ascii="Times New Roman" w:hAnsi="Times New Roman" w:cs="Times New Roman"/>
          <w:i/>
          <w:sz w:val="24"/>
          <w:szCs w:val="24"/>
          <w:lang w:val="en-GB"/>
        </w:rPr>
        <w:t>CREBBP</w:t>
      </w:r>
      <w:r w:rsidR="003A2844" w:rsidRPr="00002888">
        <w:rPr>
          <w:rFonts w:ascii="Times New Roman" w:hAnsi="Times New Roman" w:cs="Times New Roman"/>
          <w:sz w:val="24"/>
          <w:szCs w:val="24"/>
          <w:lang w:val="en-GB"/>
        </w:rPr>
        <w:t xml:space="preserve">, and more rarely, </w:t>
      </w:r>
      <w:r w:rsidR="003A2844" w:rsidRPr="00002888">
        <w:rPr>
          <w:rFonts w:ascii="Times New Roman" w:hAnsi="Times New Roman" w:cs="Times New Roman"/>
          <w:i/>
          <w:sz w:val="24"/>
          <w:szCs w:val="24"/>
          <w:lang w:val="en-GB"/>
        </w:rPr>
        <w:t>EP300</w:t>
      </w:r>
      <w:r w:rsidR="003A2844" w:rsidRPr="00002888">
        <w:rPr>
          <w:rFonts w:ascii="Times New Roman" w:hAnsi="Times New Roman" w:cs="Times New Roman"/>
          <w:sz w:val="24"/>
          <w:szCs w:val="24"/>
          <w:lang w:val="en-GB"/>
        </w:rPr>
        <w:t xml:space="preserve">, two highly similar histone acetyltransferases, result in defects in acetylation-mediated ablation of BCL6 expression and activity of p53 </w:t>
      </w:r>
      <w:r w:rsidR="003A2844" w:rsidRPr="00002888">
        <w:rPr>
          <w:rFonts w:ascii="Times New Roman" w:hAnsi="Times New Roman" w:cs="Times New Roman"/>
          <w:sz w:val="24"/>
          <w:szCs w:val="24"/>
          <w:lang w:val="en-GB"/>
        </w:rPr>
        <w:fldChar w:fldCharType="begin" w:fldLock="1"/>
      </w:r>
      <w:r w:rsidR="003A2844" w:rsidRPr="00002888">
        <w:rPr>
          <w:rFonts w:ascii="Times New Roman" w:hAnsi="Times New Roman" w:cs="Times New Roman"/>
          <w:sz w:val="24"/>
          <w:szCs w:val="24"/>
          <w:lang w:val="en-GB"/>
        </w:rPr>
        <w:instrText>ADDIN CSL_CITATION {"citationItems":[{"id":"ITEM-1","itemData":{"DOI":"10.1038/nature03147","ISSN":"0028-0836","PMID":"15577912","abstract":"The architecture of higher plants is established through the activity of lateral meristems--small groups of stem cells formed during vegetative and reproductive development. Lateral meristems generate branches and inflorescence structures, which define the overall form of a plant, and are largely responsible for the evolution of different plant architectures. Here, we report the isolation of the barren stalk1 gene, which encodes a non-canonical basic helix-loop-helix protein required for the initiation of all aerial lateral meristems in maize. barren stalk1 represents one of the earliest genes involved in the patterning of maize inflorescences, and, together with the teosinte branched1 gene, it regulates vegetative lateral meristem development. The architecture of maize has been a major target of selection for early agriculturalists and modern farmers, because it influences harvesting, breeding strategies and mechanization. By sampling nucleotide diversity in the barren stalk1 region, we show that two haplotypes entered the maize gene pool from its wild progenitor, teosinte, and that only one was incorporated throughout modern inbreds, suggesting that barren stalk1 was selected for agronomic purposes.","author":[{"dropping-particle":"","family":"Phan","given":"Ryan T.","non-dropping-particle":"","parse-names":false,"suffix":""},{"dropping-particle":"","family":"Dalla-Favera","given":"Riccardo","non-dropping-particle":"","parse-names":false,"suffix":""}],"container-title":"Nature","id":"ITEM-1","issue":"7017","issued":{"date-parts":[["2004","12","2"]]},"page":"635-639","title":"The BCL6 proto-oncogene suppresses p53 expression in germinal-centre B cells","type":"article-journal","volume":"432"},"uris":["http://www.mendeley.com/documents/?uuid=4201fb9a-3bb1-43d3-9bc2-fce3e8362e8a"]}],"mendeley":{"formattedCitation":"(Phan and Dalla-Favera, 2004)","plainTextFormattedCitation":"(Phan and Dalla-Favera, 2004)","previouslyFormattedCitation":"(Phan and Dalla-Favera, 2004)"},"properties":{"noteIndex":0},"schema":"https://github.com/citation-style-language/schema/raw/master/csl-citation.json"}</w:instrText>
      </w:r>
      <w:r w:rsidR="003A2844" w:rsidRPr="00002888">
        <w:rPr>
          <w:rFonts w:ascii="Times New Roman" w:hAnsi="Times New Roman" w:cs="Times New Roman"/>
          <w:sz w:val="24"/>
          <w:szCs w:val="24"/>
          <w:lang w:val="en-GB"/>
        </w:rPr>
        <w:fldChar w:fldCharType="separate"/>
      </w:r>
      <w:r w:rsidR="003A2844" w:rsidRPr="00002888">
        <w:rPr>
          <w:rFonts w:ascii="Times New Roman" w:hAnsi="Times New Roman" w:cs="Times New Roman"/>
          <w:noProof/>
          <w:sz w:val="24"/>
          <w:szCs w:val="24"/>
          <w:lang w:val="en-GB"/>
        </w:rPr>
        <w:t>(Phan and Dalla-Favera, 2004)</w:t>
      </w:r>
      <w:r w:rsidR="003A2844" w:rsidRPr="00002888">
        <w:rPr>
          <w:rFonts w:ascii="Times New Roman" w:hAnsi="Times New Roman" w:cs="Times New Roman"/>
          <w:sz w:val="24"/>
          <w:szCs w:val="24"/>
          <w:lang w:val="en-GB"/>
        </w:rPr>
        <w:fldChar w:fldCharType="end"/>
      </w:r>
      <w:r w:rsidR="003A2844" w:rsidRPr="00002888">
        <w:rPr>
          <w:rFonts w:ascii="Times New Roman" w:hAnsi="Times New Roman" w:cs="Times New Roman"/>
          <w:sz w:val="24"/>
          <w:szCs w:val="24"/>
          <w:lang w:val="en-GB"/>
        </w:rPr>
        <w:t xml:space="preserve">. </w:t>
      </w:r>
      <w:r w:rsidR="003A2844" w:rsidRPr="00002888">
        <w:rPr>
          <w:rFonts w:ascii="Times New Roman" w:hAnsi="Times New Roman" w:cs="Times New Roman"/>
          <w:i/>
          <w:iCs/>
          <w:sz w:val="24"/>
          <w:szCs w:val="24"/>
          <w:lang w:val="en-GB"/>
        </w:rPr>
        <w:t>ARID1A</w:t>
      </w:r>
      <w:r w:rsidR="003A2844" w:rsidRPr="00002888">
        <w:rPr>
          <w:rFonts w:ascii="Times New Roman" w:hAnsi="Times New Roman" w:cs="Times New Roman"/>
          <w:sz w:val="24"/>
          <w:szCs w:val="24"/>
          <w:lang w:val="en-GB"/>
        </w:rPr>
        <w:t xml:space="preserve"> </w:t>
      </w:r>
      <w:r w:rsidR="003A2844" w:rsidRPr="00002888">
        <w:rPr>
          <w:rFonts w:ascii="Times New Roman" w:hAnsi="Times New Roman" w:cs="Times New Roman"/>
          <w:color w:val="222222"/>
          <w:sz w:val="24"/>
          <w:szCs w:val="24"/>
          <w:shd w:val="clear" w:color="auto" w:fill="FFFFFF"/>
          <w:lang w:val="en-GB"/>
        </w:rPr>
        <w:t>(BAF250a) is a component of SWI/SNF (</w:t>
      </w:r>
      <w:proofErr w:type="spellStart"/>
      <w:r w:rsidR="003A2844" w:rsidRPr="00002888">
        <w:rPr>
          <w:rFonts w:ascii="Times New Roman" w:hAnsi="Times New Roman" w:cs="Times New Roman"/>
          <w:color w:val="222222"/>
          <w:sz w:val="24"/>
          <w:szCs w:val="24"/>
          <w:shd w:val="clear" w:color="auto" w:fill="FFFFFF"/>
          <w:lang w:val="en-GB"/>
        </w:rPr>
        <w:t>SWItch</w:t>
      </w:r>
      <w:proofErr w:type="spellEnd"/>
      <w:r w:rsidR="003A2844" w:rsidRPr="00002888">
        <w:rPr>
          <w:rFonts w:ascii="Times New Roman" w:hAnsi="Times New Roman" w:cs="Times New Roman"/>
          <w:color w:val="222222"/>
          <w:sz w:val="24"/>
          <w:szCs w:val="24"/>
          <w:shd w:val="clear" w:color="auto" w:fill="FFFFFF"/>
          <w:lang w:val="en-GB"/>
        </w:rPr>
        <w:t>/Sucrose Non-Fermentable) family of evolutionary</w:t>
      </w:r>
      <w:r w:rsidR="004C2601" w:rsidRPr="00002888">
        <w:rPr>
          <w:rFonts w:ascii="Times New Roman" w:hAnsi="Times New Roman" w:cs="Times New Roman"/>
          <w:color w:val="222222"/>
          <w:sz w:val="24"/>
          <w:szCs w:val="24"/>
          <w:shd w:val="clear" w:color="auto" w:fill="FFFFFF"/>
          <w:lang w:val="en-GB"/>
        </w:rPr>
        <w:t xml:space="preserve"> </w:t>
      </w:r>
      <w:r w:rsidR="003A2844" w:rsidRPr="00002888">
        <w:rPr>
          <w:rFonts w:ascii="Times New Roman" w:hAnsi="Times New Roman" w:cs="Times New Roman"/>
          <w:color w:val="222222"/>
          <w:sz w:val="24"/>
          <w:szCs w:val="24"/>
          <w:shd w:val="clear" w:color="auto" w:fill="FFFFFF"/>
          <w:lang w:val="en-GB"/>
        </w:rPr>
        <w:t xml:space="preserve">conserved, multi-subunit chromatin remodelling complexes, found mutated in various cancers </w:t>
      </w:r>
      <w:r w:rsidR="0014603E" w:rsidRPr="00002888">
        <w:rPr>
          <w:rFonts w:ascii="Times New Roman" w:hAnsi="Times New Roman" w:cs="Times New Roman"/>
          <w:color w:val="222222"/>
          <w:sz w:val="24"/>
          <w:szCs w:val="24"/>
          <w:shd w:val="clear" w:color="auto" w:fill="FFFFFF"/>
          <w:lang w:val="en-GB"/>
        </w:rPr>
        <w:t xml:space="preserve">and in SMZL </w:t>
      </w:r>
      <w:r w:rsidR="003A2844" w:rsidRPr="00002888">
        <w:rPr>
          <w:rFonts w:ascii="Times New Roman" w:hAnsi="Times New Roman" w:cs="Times New Roman"/>
          <w:color w:val="222222"/>
          <w:sz w:val="24"/>
          <w:szCs w:val="24"/>
          <w:shd w:val="clear" w:color="auto" w:fill="FFFFFF"/>
          <w:lang w:val="en-GB"/>
        </w:rPr>
        <w:fldChar w:fldCharType="begin" w:fldLock="1"/>
      </w:r>
      <w:r w:rsidR="003A2844" w:rsidRPr="00002888">
        <w:rPr>
          <w:rFonts w:ascii="Times New Roman" w:hAnsi="Times New Roman" w:cs="Times New Roman"/>
          <w:color w:val="222222"/>
          <w:sz w:val="24"/>
          <w:szCs w:val="24"/>
          <w:shd w:val="clear" w:color="auto" w:fill="FFFFFF"/>
          <w:lang w:val="en-GB"/>
        </w:rPr>
        <w:instrText>ADDIN CSL_CITATION {"citationItems":[{"id":"ITEM-1","itemData":{"DOI":"10.1038/s41375-019-0438-4","ISBN":"4137501904","ISSN":"14765551","PMID":"30858552","abstract":"Precise regulation of chromatin architecture is vital to physiological processes including hematopoiesis. ARID1A is a core component of the mammalian SWI/SNF complex, which is one of the ATP-dependent chromatin remodeling complexes. To uncover the role of ARID1A in hematopoietic development, we utilized hematopoietic cell-specific deletion of Arid1a in mice. We demonstrate that ARID1A is essential for maintaining the frequency and function of hematopoietic stem cells and its loss impairs the differentiation of both myeloid and lymphoid lineages. ARID1A deficiency led to a global reduction in open chromatin and ensuing transcriptional changes affected key genes involved in hematopoietic development. We also observed that silencing of ARID1A affected ATRA-induced differentiation of NB4 cells, suggesting its role in granulocytic differentiation of human leukemic cells. Overall, our study provides a comprehensive elucidation of the function of ARID1A in hematopoiesis and highlights the central role of ARID1A-containing SWI/SNF complex in maintaining chromatin dynamics in hematopoietic cells.","author":[{"dropping-particle":"","family":"Han","given":"Lin","non-dropping-particle":"","parse-names":false,"suffix":""},{"dropping-particle":"","family":"Madan","given":"Vikas","non-dropping-particle":"","parse-names":false,"suffix":""},{"dropping-particle":"","family":"Mayakonda","given":"Anand","non-dropping-particle":"","parse-names":false,"suffix":""},{"dropping-particle":"","family":"Dakle","given":"Pushkar","non-dropping-particle":"","parse-names":false,"suffix":""},{"dropping-particle":"","family":"Woon","given":"Teoh Weoi","non-dropping-particle":"","parse-names":false,"suffix":""},{"dropping-particle":"","family":"Shyamsunder","given":"Pavithra","non-dropping-particle":"","parse-names":false,"suffix":""},{"dropping-particle":"","family":"Nordin","given":"Hazimah Binte Mohd","non-dropping-particle":"","parse-names":false,"suffix":""},{"dropping-particle":"","family":"Cao","given":"Zeya","non-dropping-particle":"","parse-names":false,"suffix":""},{"dropping-particle":"","family":"Sundaresan","given":"Janani","non-dropping-particle":"","parse-names":false,"suffix":""},{"dropping-particle":"","family":"Lei","given":"Ienglam","non-dropping-particle":"","parse-names":false,"suffix":""},{"dropping-particle":"","family":"Wang","given":"Zhong","non-dropping-particle":"","parse-names":false,"suffix":""},{"dropping-particle":"","family":"Koeffler","given":"H. Phillip","non-dropping-particle":"","parse-names":false,"suffix":""}],"container-title":"Leukemia","id":"ITEM-1","issue":"9","issued":{"date-parts":[["2019"]]},"page":"2291-2305","title":"Chromatin remodeling mediated by ARID1A is indispensable for normal hematopoiesis in mice","type":"article-journal","volume":"33"},"uris":["http://www.mendeley.com/documents/?uuid=47285642-6a09-4466-b23a-d52ded812d52"]}],"mendeley":{"formattedCitation":"(Han et al., 2019)","plainTextFormattedCitation":"(Han et al., 2019)","previouslyFormattedCitation":"(Han et al., 2019)"},"properties":{"noteIndex":0},"schema":"https://github.com/citation-style-language/schema/raw/master/csl-citation.json"}</w:instrText>
      </w:r>
      <w:r w:rsidR="003A2844" w:rsidRPr="00002888">
        <w:rPr>
          <w:rFonts w:ascii="Times New Roman" w:hAnsi="Times New Roman" w:cs="Times New Roman"/>
          <w:color w:val="222222"/>
          <w:sz w:val="24"/>
          <w:szCs w:val="24"/>
          <w:shd w:val="clear" w:color="auto" w:fill="FFFFFF"/>
          <w:lang w:val="en-GB"/>
        </w:rPr>
        <w:fldChar w:fldCharType="separate"/>
      </w:r>
      <w:r w:rsidR="003A2844" w:rsidRPr="00002888">
        <w:rPr>
          <w:rFonts w:ascii="Times New Roman" w:hAnsi="Times New Roman" w:cs="Times New Roman"/>
          <w:noProof/>
          <w:color w:val="222222"/>
          <w:sz w:val="24"/>
          <w:szCs w:val="24"/>
          <w:shd w:val="clear" w:color="auto" w:fill="FFFFFF"/>
          <w:lang w:val="en-GB"/>
        </w:rPr>
        <w:t>(Han et al., 2019)</w:t>
      </w:r>
      <w:r w:rsidR="003A2844" w:rsidRPr="00002888">
        <w:rPr>
          <w:rFonts w:ascii="Times New Roman" w:hAnsi="Times New Roman" w:cs="Times New Roman"/>
          <w:color w:val="222222"/>
          <w:sz w:val="24"/>
          <w:szCs w:val="24"/>
          <w:shd w:val="clear" w:color="auto" w:fill="FFFFFF"/>
          <w:lang w:val="en-GB"/>
        </w:rPr>
        <w:fldChar w:fldCharType="end"/>
      </w:r>
      <w:r w:rsidR="003A2844" w:rsidRPr="00002888">
        <w:rPr>
          <w:rFonts w:ascii="Times New Roman" w:hAnsi="Times New Roman" w:cs="Times New Roman"/>
          <w:color w:val="222222"/>
          <w:sz w:val="24"/>
          <w:szCs w:val="24"/>
          <w:shd w:val="clear" w:color="auto" w:fill="FFFFFF"/>
          <w:lang w:val="en-GB"/>
        </w:rPr>
        <w:t xml:space="preserve">. SWI/SNF regulates DNA accessibility to other proteins involved in replication and repair, allowing the activation or suppression of gene transcription </w:t>
      </w:r>
      <w:r w:rsidR="003A2844" w:rsidRPr="00002888">
        <w:rPr>
          <w:rFonts w:ascii="Times New Roman" w:hAnsi="Times New Roman" w:cs="Times New Roman"/>
          <w:color w:val="222222"/>
          <w:sz w:val="24"/>
          <w:szCs w:val="24"/>
          <w:shd w:val="clear" w:color="auto" w:fill="FFFFFF"/>
          <w:lang w:val="en-GB"/>
        </w:rPr>
        <w:fldChar w:fldCharType="begin" w:fldLock="1"/>
      </w:r>
      <w:r w:rsidR="003A2844" w:rsidRPr="00002888">
        <w:rPr>
          <w:rFonts w:ascii="Times New Roman" w:hAnsi="Times New Roman" w:cs="Times New Roman"/>
          <w:color w:val="222222"/>
          <w:sz w:val="24"/>
          <w:szCs w:val="24"/>
          <w:shd w:val="clear" w:color="auto" w:fill="FFFFFF"/>
          <w:lang w:val="en-GB"/>
        </w:rPr>
        <w:instrText xml:space="preserve">ADDIN CSL_CITATION {"citationItems":[{"id":"ITEM-1","itemData":{"DOI":"10.1038/bcj.2015.89","ISSN":"2044-5385","PMID":"26473533","abstract":"Subtypes of non-Hodgkin's lymphomas align with different stages of B-cell development. Germinal center B-cell (GCB)-like diffuse large B-cell lymphoma (DLBCL), follicular lymphoma (FL) and Burkitt's lymphoma (BL) each share molecular similarities with normal GCB cells. Recent next-generation sequencing studies have gained insight into the genetic etiology of these malignancies and revealed a high frequency of mutations within genes encoding proteins that modifying chromatin. These include activating and inactivating mutations of genes that perform post-translational modification of histones and organize chromatin structure. Here, we discuss the function of histone acetyltransferases (CREBBP, EP300), histone methyltransferases (KDM2C/D, EZH2) and regulators of higher order chromatin structure (HIST1H1C/D/E, ARID1A and SMARCA4) that have been reported to be mutated in </w:instrText>
      </w:r>
      <w:r w:rsidR="003A2844" w:rsidRPr="00002888">
        <w:rPr>
          <w:rFonts w:ascii="Cambria Math" w:hAnsi="Cambria Math" w:cs="Cambria Math"/>
          <w:color w:val="222222"/>
          <w:sz w:val="24"/>
          <w:szCs w:val="24"/>
          <w:shd w:val="clear" w:color="auto" w:fill="FFFFFF"/>
          <w:lang w:val="en-GB"/>
        </w:rPr>
        <w:instrText>⩾</w:instrText>
      </w:r>
      <w:r w:rsidR="003A2844" w:rsidRPr="00002888">
        <w:rPr>
          <w:rFonts w:ascii="Times New Roman" w:hAnsi="Times New Roman" w:cs="Times New Roman"/>
          <w:color w:val="222222"/>
          <w:sz w:val="24"/>
          <w:szCs w:val="24"/>
          <w:shd w:val="clear" w:color="auto" w:fill="FFFFFF"/>
          <w:lang w:val="en-GB"/>
        </w:rPr>
        <w:instrText>5% of DLBCL, FL or BL. Mutations of these genes are an emerging hallmark of lymphomas with GCB-cell origins, and likely represent the next generation of therapeutic targets for these malignancies.","author":[{"dropping-particle":"","family":"Lunning","given":"M. A.","non-dropping-particle":"","parse-names":false,"suffix":""},{"dropping-particle":"","family":"Green","given":"M. R.","non-dropping-particle":"","parse-names":false,"suffix":""}],"container-title":"Blood cancer journal","id":"ITEM-1","issue":"10","issued":{"date-parts":[["2015","10","16"]]},"page":"e361","publisher":"Nature Publishing Group","title":"Mutation of chromatin modifiers; an emerging hallmark of germinal center B-cell lymphomas.","type":"article-journal","volume":"5"},"uris":["http://www.mendeley.com/documents/?uuid=502563d5-a546-49de-8c2e-0cc1e3ee0e91"]}],"mendeley":{"formattedCitation":"(Lunning and Green, 2015)","plainTextFormattedCitation":"(Lunning and Green, 2015)","previouslyFormattedCitation":"(Lunning and Green, 2015)"},"properties":{"noteIndex":0},"schema":"https://github.com/citation-style-language/schema/raw/master/csl-citation.json"}</w:instrText>
      </w:r>
      <w:r w:rsidR="003A2844" w:rsidRPr="00002888">
        <w:rPr>
          <w:rFonts w:ascii="Times New Roman" w:hAnsi="Times New Roman" w:cs="Times New Roman"/>
          <w:color w:val="222222"/>
          <w:sz w:val="24"/>
          <w:szCs w:val="24"/>
          <w:shd w:val="clear" w:color="auto" w:fill="FFFFFF"/>
          <w:lang w:val="en-GB"/>
        </w:rPr>
        <w:fldChar w:fldCharType="separate"/>
      </w:r>
      <w:r w:rsidR="003A2844" w:rsidRPr="00002888">
        <w:rPr>
          <w:rFonts w:ascii="Times New Roman" w:hAnsi="Times New Roman" w:cs="Times New Roman"/>
          <w:noProof/>
          <w:color w:val="222222"/>
          <w:sz w:val="24"/>
          <w:szCs w:val="24"/>
          <w:shd w:val="clear" w:color="auto" w:fill="FFFFFF"/>
          <w:lang w:val="en-GB"/>
        </w:rPr>
        <w:t>(Lunning and Green, 2015)</w:t>
      </w:r>
      <w:r w:rsidR="003A2844" w:rsidRPr="00002888">
        <w:rPr>
          <w:rFonts w:ascii="Times New Roman" w:hAnsi="Times New Roman" w:cs="Times New Roman"/>
          <w:color w:val="222222"/>
          <w:sz w:val="24"/>
          <w:szCs w:val="24"/>
          <w:shd w:val="clear" w:color="auto" w:fill="FFFFFF"/>
          <w:lang w:val="en-GB"/>
        </w:rPr>
        <w:fldChar w:fldCharType="end"/>
      </w:r>
      <w:r w:rsidR="003A2844" w:rsidRPr="00002888">
        <w:rPr>
          <w:rFonts w:ascii="Times New Roman" w:hAnsi="Times New Roman" w:cs="Times New Roman"/>
          <w:color w:val="222222"/>
          <w:sz w:val="24"/>
          <w:szCs w:val="24"/>
          <w:shd w:val="clear" w:color="auto" w:fill="FFFFFF"/>
          <w:lang w:val="en-GB"/>
        </w:rPr>
        <w:t>. It will be interesting to investigate the relationship between these mutations and any epigenetic fingerprint associated with the cell of origin in SMZL</w:t>
      </w:r>
      <w:r w:rsidR="003A2844" w:rsidRPr="00002888">
        <w:rPr>
          <w:rFonts w:ascii="Times New Roman" w:hAnsi="Times New Roman" w:cs="Times New Roman"/>
          <w:sz w:val="24"/>
          <w:szCs w:val="24"/>
          <w:lang w:val="en-GB"/>
        </w:rPr>
        <w:t xml:space="preserve">. </w:t>
      </w:r>
    </w:p>
    <w:p w14:paraId="0EF23D5D" w14:textId="77777777" w:rsidR="006E582D" w:rsidRDefault="006E582D" w:rsidP="006E582D">
      <w:pPr>
        <w:spacing w:before="0" w:after="0" w:line="360" w:lineRule="auto"/>
        <w:jc w:val="left"/>
        <w:rPr>
          <w:rFonts w:ascii="Times New Roman" w:hAnsi="Times New Roman" w:cs="Times New Roman"/>
          <w:sz w:val="24"/>
          <w:szCs w:val="24"/>
          <w:lang w:val="en-GB"/>
        </w:rPr>
      </w:pPr>
    </w:p>
    <w:p w14:paraId="4D17801A" w14:textId="732FE1B1" w:rsidR="00002888" w:rsidRPr="00245037" w:rsidRDefault="006E582D" w:rsidP="006E582D">
      <w:pPr>
        <w:spacing w:before="0" w:after="0" w:line="360" w:lineRule="auto"/>
        <w:jc w:val="left"/>
        <w:rPr>
          <w:rFonts w:ascii="Times New Roman" w:hAnsi="Times New Roman" w:cs="Times New Roman"/>
          <w:sz w:val="24"/>
          <w:szCs w:val="24"/>
          <w:lang w:val="en-GB"/>
        </w:rPr>
      </w:pPr>
      <w:bookmarkStart w:id="2" w:name="_Hlk68601915"/>
      <w:r w:rsidRPr="00245037">
        <w:rPr>
          <w:rFonts w:ascii="Times New Roman" w:hAnsi="Times New Roman" w:cs="Times New Roman"/>
          <w:b/>
          <w:bCs/>
          <w:sz w:val="24"/>
          <w:szCs w:val="24"/>
          <w:lang w:val="en-GB"/>
        </w:rPr>
        <w:t>TRANSCRIPTOMICS</w:t>
      </w:r>
    </w:p>
    <w:p w14:paraId="020D8EDD" w14:textId="21443A88" w:rsidR="007B2F11" w:rsidRPr="00245037" w:rsidRDefault="00897FDB" w:rsidP="006E582D">
      <w:pPr>
        <w:spacing w:line="360" w:lineRule="auto"/>
        <w:jc w:val="left"/>
        <w:rPr>
          <w:rFonts w:ascii="Times" w:eastAsia="Times New Roman" w:hAnsi="Times" w:cs="Times New Roman"/>
          <w:sz w:val="24"/>
          <w:szCs w:val="24"/>
          <w:lang w:val="en-GB" w:eastAsia="en-GB"/>
        </w:rPr>
      </w:pPr>
      <w:r w:rsidRPr="00245037">
        <w:rPr>
          <w:rFonts w:ascii="Times" w:hAnsi="Times"/>
          <w:sz w:val="24"/>
          <w:szCs w:val="24"/>
          <w:lang w:val="en-GB"/>
        </w:rPr>
        <w:t>At the transcriptional level, limited gene expression profiling of SMZL cases reveal</w:t>
      </w:r>
      <w:r w:rsidR="004C67DC" w:rsidRPr="00245037">
        <w:rPr>
          <w:rFonts w:ascii="Times" w:hAnsi="Times"/>
          <w:sz w:val="24"/>
          <w:szCs w:val="24"/>
          <w:lang w:val="en-GB"/>
        </w:rPr>
        <w:t>ed</w:t>
      </w:r>
      <w:r w:rsidRPr="00245037">
        <w:rPr>
          <w:rFonts w:ascii="Times" w:hAnsi="Times"/>
          <w:sz w:val="24"/>
          <w:szCs w:val="24"/>
          <w:lang w:val="en-GB"/>
        </w:rPr>
        <w:t xml:space="preserve"> the expected signatures; most notably B-cell genes, such as those within the BCR (</w:t>
      </w:r>
      <w:r w:rsidRPr="00245037">
        <w:rPr>
          <w:rFonts w:ascii="Times" w:hAnsi="Times"/>
          <w:i/>
          <w:iCs/>
          <w:sz w:val="24"/>
          <w:szCs w:val="24"/>
          <w:lang w:val="en-GB"/>
        </w:rPr>
        <w:t>BTK, PKCA, NFATC1</w:t>
      </w:r>
      <w:r w:rsidRPr="00245037">
        <w:rPr>
          <w:rFonts w:ascii="Times" w:hAnsi="Times"/>
          <w:sz w:val="24"/>
          <w:szCs w:val="24"/>
          <w:lang w:val="en-GB"/>
        </w:rPr>
        <w:t>) and NF-kB (</w:t>
      </w:r>
      <w:r w:rsidRPr="00245037">
        <w:rPr>
          <w:rFonts w:ascii="Times" w:hAnsi="Times"/>
          <w:i/>
          <w:iCs/>
          <w:sz w:val="24"/>
          <w:szCs w:val="24"/>
          <w:lang w:val="en-GB"/>
        </w:rPr>
        <w:t>CD40, REL, BIRC3, TRAF3</w:t>
      </w:r>
      <w:r w:rsidRPr="00245037">
        <w:rPr>
          <w:rFonts w:ascii="Times" w:hAnsi="Times"/>
          <w:sz w:val="24"/>
          <w:szCs w:val="24"/>
          <w:lang w:val="en-GB"/>
        </w:rPr>
        <w:t>) pathways, and genes critical to MZ development and migration (</w:t>
      </w:r>
      <w:r w:rsidRPr="00245037">
        <w:rPr>
          <w:rFonts w:ascii="Times" w:hAnsi="Times"/>
          <w:i/>
          <w:iCs/>
          <w:sz w:val="24"/>
          <w:szCs w:val="24"/>
          <w:lang w:val="en-GB"/>
        </w:rPr>
        <w:t>NOTCH2</w:t>
      </w:r>
      <w:r w:rsidRPr="00245037">
        <w:rPr>
          <w:rFonts w:ascii="Times" w:hAnsi="Times"/>
          <w:sz w:val="24"/>
          <w:szCs w:val="24"/>
          <w:lang w:val="en-GB"/>
        </w:rPr>
        <w:t>)</w:t>
      </w:r>
      <w:r w:rsidR="006E582D" w:rsidRPr="00245037">
        <w:rPr>
          <w:rFonts w:ascii="Times" w:hAnsi="Times"/>
          <w:sz w:val="24"/>
          <w:szCs w:val="24"/>
          <w:lang w:val="en-GB"/>
        </w:rPr>
        <w:t xml:space="preserve"> </w:t>
      </w:r>
      <w:r w:rsidR="006E582D" w:rsidRPr="00245037">
        <w:rPr>
          <w:rFonts w:ascii="Times" w:hAnsi="Times"/>
          <w:sz w:val="24"/>
          <w:szCs w:val="24"/>
          <w:lang w:val="en-GB"/>
        </w:rPr>
        <w:fldChar w:fldCharType="begin" w:fldLock="1"/>
      </w:r>
      <w:r w:rsidR="006E582D" w:rsidRPr="00245037">
        <w:rPr>
          <w:rFonts w:ascii="Times" w:hAnsi="Times"/>
          <w:sz w:val="24"/>
          <w:szCs w:val="24"/>
          <w:lang w:val="en-GB"/>
        </w:rPr>
        <w:instrText>ADDIN CSL_CITATION {"citationItems":[{"id":"ITEM-1","itemData":{"DOI":"10.1016/S1525-1578(10)60525-9","ISSN":"15251578","PMID":"15507668","abstract":"Splenic marginal zone lymphoma (SMZL) is a lymphoma type of putative marginal zone B-cell origin. No specific genetic alterations have yet been demonstrated in SMZL. Clinically, SMZL is a low-grade B-cell non-Hodgkin lymphoma. However, the presence of p53 mutation, 7q22-7q32 deletion or the absence of somatic hypermutations of immunoglobulin genes has been correlated with a worse prognosis. In this study, we analyzed genome-wide gene expression of 24 cases of SMZL using the microarray technique. The AP-1 transcription factors c-jun, junD, junB, and c-fos as well as Notch2 were found to be specifically up-regulated. These data were confirmed by real-time PCR and immunohistochemical staining of tissue sections. The absence of concordant high expression of the MAP kinases, the signaling cascade leading to AP-1 up-regulation, suggests autoregulation of the AP-1 transcription factors and an important role in SMZL oncogenesis. High expression of Notch2, a transcription factor that induces marginal zone B-cell differentiation, is highly suggestive for a marginal zone B-cell origin of SMZL. In addition, SMZL with the 7q deletion showed high expression of TGF-β1 and low expression of the DNA helicase XPB, a crucial part of the nucleotide excision repair complex, possibly explaining the more aggressive clinical course of those cases. Copyright © American Society for Investigative Pathology and the Association for Molecular Pathology.","author":[{"dropping-particle":"","family":"Trøen","given":"Gunhild","non-dropping-particle":"","parse-names":false,"suffix":""},{"dropping-particle":"","family":"Nygaard","given":"Vigdis","non-dropping-particle":"","parse-names":false,"suffix":""},{"dropping-particle":"","family":"Jenssen","given":"Tor Kristian","non-dropping-particle":"","parse-names":false,"suffix":""},{"dropping-particle":"","family":"Ikonomou","given":"Ida Münster","non-dropping-particle":"","parse-names":false,"suffix":""},{"dropping-particle":"","family":"Tierens","given":"Anne","non-dropping-particle":"","parse-names":false,"suffix":""},{"dropping-particle":"","family":"Matutes","given":"Estella","non-dropping-particle":"","parse-names":false,"suffix":""},{"dropping-particle":"","family":"Gruszka-Westwood","given":"Alicja","non-dropping-particle":"","parse-names":false,"suffix":""},{"dropping-particle":"","family":"Catovsky","given":"Daniel","non-dropping-particle":"","parse-names":false,"suffix":""},{"dropping-particle":"","family":"Myklebost","given":"Ola","non-dropping-particle":"","parse-names":false,"suffix":""},{"dropping-particle":"","family":"Lauritzsen","given":"Grete","non-dropping-particle":"","parse-names":false,"suffix":""},{"dropping-particle":"","family":"Hovig","given":"Eivind","non-dropping-particle":"","parse-names":false,"suffix":""},{"dropping-particle":"","family":"Delabie","given":"Jan","non-dropping-particle":"","parse-names":false,"suffix":""}],"container-title":"Journal of Molecular Diagnostics","id":"ITEM-1","issue":"4","issued":{"date-parts":[["2004"]]},"page":"297-307","publisher":"Association of Molecular Pathology","title":"Constitutive expression of the AP-1 transcription factors c-jun, junD, junB, and c-fos and the marginal zone B-cell transcription factor notch2 in splenic marginal zone lymphoma","type":"article-journal","volume":"6"},"uris":["http://www.mendeley.com/documents/?uuid=817d769d-5abf-3b38-a1b2-3e44dc37b0ed"]},{"id":"ITEM-2","itemData":{"DOI":"10.1182/blood-2004-10-3898","ISSN":"0006-4971","PMID":"15914563","abstract":"Splenic marginal zone lymphoma (SMZL) is a newly recognized lymphoma type whose precise molecular pathogenesis is still essentially unknown. This hampers differential diagnosis with other small B-cell malignancies. With the aim of characterizing this tumor more comprehensively, and of identifying new diagnostic and prognostic markers, we performed cDNA microarray expression profiling and tissue microarray (TMA) immunohistochemical studies in a relatively large series of 44 SMZLs. The results were related to immunoglobulin heavy chain variable region (IgVH) mutational status and clinical outcome. SMZLs display a largely homogenous signature, implying the existence of a single molecular entity. Of the genes deregulated in SMZLs, special mention may be made of the genes involved in B-cell receptor (BCR) signaling, tumor necrosis factor (TNF) signaling and nuclear factor-κB (NF-κB) activation, such as SYK, BTK, BIRC3, TRAF3, and LTB. Other genes observed were SELL and LPXN, which were highly expressed in spleen, and lymphoma oncogenes, such as ARHH and TCL1. In contrast, the genes CAV1, CAV2, and GNG11 located in 7q31, a commonly deleted area, were down-regulated in the entire series. A comparison with the genes comprising the signature of other small B-cell lymphomas identified 3 genes whose expression distinguishes SMZL, namely ILF1, SENATAXIN, and CD40. Shorter survival was associated with CD38 expression, naive IgVH genes, and the expression of a set of NF-κB pathway genes, including TRAF5, REL, and PKCA. (Blood. 2005;106:1831-1838)","author":[{"dropping-particle":"","family":"Ruiz-Ballesteros","given":"Elena","non-dropping-particle":"","parse-names":false,"suffix":""},{"dropping-particle":"","family":"Mollejo","given":"Manuela","non-dropping-particle":"","parse-names":false,"suffix":""},{"dropping-particle":"","family":"Rodriguez","given":"Antonia","non-dropping-particle":"","parse-names":false,"suffix":""},{"dropping-particle":"","family":"Camacho","given":"Francisca I","non-dropping-particle":"","parse-names":false,"suffix":""},{"dropping-particle":"","family":"Algara","given":"Patrocinio","non-dropping-particle":"","parse-names":false,"suffix":""},{"dropping-particle":"","family":"Martinez","given":"Nerea","non-dropping-particle":"","parse-names":false,"suffix":""},{"dropping-particle":"","family":"Pollán","given":"Marina","non-dropping-particle":"","parse-names":false,"suffix":""},{"dropping-particle":"","family":"Sanchez-Aguilera","given":"Abel","non-dropping-particle":"","parse-names":false,"suffix":""},{"dropping-particle":"","family":"Menarguez","given":"Javier","non-dropping-particle":"","parse-names":false,"suffix":""},{"dropping-particle":"","family":"Campo","given":"Elias","non-dropping-particle":"","parse-names":false,"suffix":""},{"dropping-particle":"","family":"Martinez","given":"Pedro","non-dropping-particle":"","parse-names":false,"suffix":""},{"dropping-particle":"","family":"Mateo","given":"Marisol","non-dropping-particle":"","parse-names":false,"suffix":""},{"dropping-particle":"","family":"Piris","given":"Miguel Angel","non-dropping-particle":"","parse-names":false,"suffix":""}],"container-title":"Blood","id":"ITEM-2","issue":"5","issued":{"date-parts":[["2005","9","1"]]},"page":"1831-1838","title":"Splenic marginal zone lymphoma: proposal of new diagnostic and prognostic markers identified after tissue and cDNA microarray analysis","type":"article-journal","volume":"106"},"uris":["http://www.mendeley.com/documents/?uuid=38d8fb97-1194-4e10-8208-acf40ce7bb4d"]},{"id":"ITEM-3","itemData":{"DOI":"10.1182/blood-2014-08-596247","ISSN":"0006-4971","PMID":"25612624","abstract":"Methylation profiling identifies subgroups of SMZL with distinct biological features. Demethylating agents can reverse some of the adverse epigenetic alterations.","author":[{"dropping-particle":"","family":"Arribas","given":"Alberto J.","non-dropping-particle":"","parse-names":false,"suffix":""},{"dropping-particle":"","family":"Rinaldi","given":"Andrea","non-dropping-particle":"","parse-names":false,"suffix":""},{"dropping-particle":"","family":"Mensah","given":"Afua A.","non-dropping-particle":"","parse-names":false,"suffix":""},{"dropping-particle":"","family":"Kwee","given":"Ivo","non-dropping-particle":"","parse-names":false,"suffix":""},{"dropping-particle":"","family":"Cascione","given":"Luciano","non-dropping-particle":"","parse-names":false,"suffix":""},{"dropping-particle":"","family":"Robles","given":"Eloy F.","non-dropping-particle":"","parse-names":false,"suffix":""},{"dropping-particle":"","family":"Martinez-Climent","given":"Jose A.","non-dropping-particle":"","parse-names":false,"suffix":""},{"dropping-particle":"","family":"Oscier","given":"David","non-dropping-particle":"","parse-names":false,"suffix":""},{"dropping-particle":"","family":"Arcaini","given":"Luca","non-dropping-particle":"","parse-names":false,"suffix":""},{"dropping-particle":"","family":"Baldini","given":"Luca","non-dropping-particle":"","parse-names":false,"suffix":""},{"dropping-particle":"","family":"Marasca","given":"Roberto","non-dropping-particle":"","parse-names":false,"suffix":""},{"dropping-particle":"","family":"Thieblemont","given":"Catherine","non-dropping-particle":"","parse-names":false,"suffix":""},{"dropping-particle":"","family":"Briere","given":"Josette","non-dropping-particle":"","parse-names":false,"suffix":""},{"dropping-particle":"","family":"Forconi","given":"Francesco","non-dropping-particle":"","parse-names":false,"suffix":""},{"dropping-particle":"","family":"Zamò","given":"Alberto","non-dropping-particle":"","parse-names":false,"suffix":""},{"dropping-particle":"","family":"Bonifacio","given":"Massimiliano","non-dropping-particle":"","parse-names":false,"suffix":""},{"dropping-particle":"","family":"Mollejo","given":"Manuela","non-dropping-particle":"","parse-names":false,"suffix":""},{"dropping-particle":"","family":"Facchetti","given":"Fabio","non-dropping-particle":"","parse-names":false,"suffix":""},{"dropping-particle":"","family":"Dirnhofer","given":"Stephan","non-dropping-particle":"","parse-names":false,"suffix":""},{"dropping-particle":"","family":"Ponzoni","given":"Maurilio","non-dropping-particle":"","parse-names":false,"suffix":""},{"dropping-particle":"","family":"Bhagat","given</w:instrText>
      </w:r>
      <w:r w:rsidR="006E582D" w:rsidRPr="00245037">
        <w:rPr>
          <w:rFonts w:ascii="Times" w:hAnsi="Times"/>
          <w:sz w:val="24"/>
          <w:szCs w:val="24"/>
          <w:lang w:val="es-CO"/>
        </w:rPr>
        <w:instrText>":"Govind","non-dropping-particle":"","parse-names":false,"suffix":""},{"dropping-particle":"","family":"Piris","given":"Miguel A.","non-dropping-particle":"","parse-names":false,"suffix":""},{"dropping-particle":"","family":"Gaidano","given":"Gianluca","non-dropping-particle":"","parse-names":false,"suffix":""},{"dropping-particle":"","family":"Zucca","given":"Emanuele","non-dropping-particle":"","parse-names":false,"suffix":""},{"dropping-particle":"","family":"Rossi","given":"Davide","non-dropping-particle":"","parse-names":false,"suffix":""},{"dropping-particle":"","family":"Bertoni","given":"Francesco","non-dropping-particle":"","parse-names":false,"suffix":""}],"container-title":"Blood","id":"ITEM-3","issue":"12","issued":{"date-parts":[["2015","3","19"]]},"page":"1922-1931","title":"DNA methylation profiling identifies two splenic marginal zone lymphoma subgroups with different clinical and genetic features","type":"article-journal","volume":"125"},"uris":["http://www.mendeley.com/documents/?uuid=f9d5c83f-ede8-4d1a-b946-90f6b7efba70"]}],"mendeley":{"formattedCitation":"(Arribas et al., 2015; Ruiz-Ballesteros et al., 2005; Trøen et al., 2004)","plainTextFormattedCitation":"(Arribas et al., 2015; Ruiz-Ballesteros et al., 2005; Trøen et al., 2004)","previouslyFormattedCitation":"(Arribas et al., 2015; Ruiz-Ballesteros et al., 2005; Trøen et al., 2004)"},"properties":{"noteIndex":0},"schema":"https://github.com/citation-style-language/schema/raw/master/csl-citation.json"}</w:instrText>
      </w:r>
      <w:r w:rsidR="006E582D" w:rsidRPr="00245037">
        <w:rPr>
          <w:rFonts w:ascii="Times" w:hAnsi="Times"/>
          <w:sz w:val="24"/>
          <w:szCs w:val="24"/>
          <w:lang w:val="en-GB"/>
        </w:rPr>
        <w:fldChar w:fldCharType="separate"/>
      </w:r>
      <w:r w:rsidR="006E582D" w:rsidRPr="00245037">
        <w:rPr>
          <w:rFonts w:ascii="Times" w:hAnsi="Times"/>
          <w:noProof/>
          <w:sz w:val="24"/>
          <w:szCs w:val="24"/>
          <w:lang w:val="es-CO"/>
        </w:rPr>
        <w:t>(Arribas et al., 2015; Ruiz-Ballesteros et al., 2005; Trøen et al., 2004)</w:t>
      </w:r>
      <w:r w:rsidR="006E582D" w:rsidRPr="00245037">
        <w:rPr>
          <w:rFonts w:ascii="Times" w:hAnsi="Times"/>
          <w:sz w:val="24"/>
          <w:szCs w:val="24"/>
          <w:lang w:val="en-GB"/>
        </w:rPr>
        <w:fldChar w:fldCharType="end"/>
      </w:r>
      <w:r w:rsidR="00F967E6" w:rsidRPr="00245037">
        <w:rPr>
          <w:rFonts w:ascii="Times" w:eastAsia="Times New Roman" w:hAnsi="Times" w:cs="Times New Roman"/>
          <w:color w:val="323232"/>
          <w:sz w:val="24"/>
          <w:szCs w:val="24"/>
          <w:lang w:val="es-CO" w:eastAsia="en-GB"/>
        </w:rPr>
        <w:t>.</w:t>
      </w:r>
      <w:r w:rsidR="00F967E6" w:rsidRPr="00245037">
        <w:rPr>
          <w:rFonts w:ascii="Times" w:eastAsia="Times New Roman" w:hAnsi="Times" w:cs="Times New Roman"/>
          <w:sz w:val="24"/>
          <w:szCs w:val="24"/>
          <w:lang w:val="es-CO" w:eastAsia="en-GB"/>
        </w:rPr>
        <w:t xml:space="preserve"> </w:t>
      </w:r>
      <w:r w:rsidRPr="00245037">
        <w:rPr>
          <w:rFonts w:ascii="Times" w:hAnsi="Times"/>
          <w:sz w:val="24"/>
          <w:szCs w:val="24"/>
          <w:lang w:val="en-GB"/>
        </w:rPr>
        <w:t xml:space="preserve">Existing data does not yield a </w:t>
      </w:r>
      <w:r w:rsidR="004C67DC" w:rsidRPr="00245037">
        <w:rPr>
          <w:rFonts w:ascii="Times" w:hAnsi="Times"/>
          <w:sz w:val="24"/>
          <w:szCs w:val="24"/>
          <w:lang w:val="en-GB"/>
        </w:rPr>
        <w:t>robust</w:t>
      </w:r>
      <w:r w:rsidRPr="00245037">
        <w:rPr>
          <w:rFonts w:ascii="Times" w:hAnsi="Times"/>
          <w:sz w:val="24"/>
          <w:szCs w:val="24"/>
          <w:lang w:val="en-GB"/>
        </w:rPr>
        <w:t xml:space="preserve"> gene expression signature for SMZL</w:t>
      </w:r>
      <w:r w:rsidR="004C67DC" w:rsidRPr="00245037">
        <w:rPr>
          <w:rFonts w:ascii="Times" w:hAnsi="Times"/>
          <w:sz w:val="24"/>
          <w:szCs w:val="24"/>
          <w:lang w:val="en-GB"/>
        </w:rPr>
        <w:t xml:space="preserve">, but rather genes expressed across aligned mature B-cell tumours. Navarro and colleagues constructed a gene expression classifier from a panel of B-cell tumours, that was not able to identify distinct gene signatures for SMZL, LPL and SDRPL </w:t>
      </w:r>
      <w:r w:rsidR="006E582D" w:rsidRPr="00245037">
        <w:rPr>
          <w:rFonts w:ascii="Times" w:hAnsi="Times"/>
          <w:sz w:val="24"/>
          <w:szCs w:val="24"/>
          <w:lang w:val="en-GB"/>
        </w:rPr>
        <w:fldChar w:fldCharType="begin" w:fldLock="1"/>
      </w:r>
      <w:r w:rsidR="006E582D" w:rsidRPr="00245037">
        <w:rPr>
          <w:rFonts w:ascii="Times" w:hAnsi="Times"/>
          <w:sz w:val="24"/>
          <w:szCs w:val="24"/>
          <w:lang w:val="en-GB"/>
        </w:rPr>
        <w:instrText>ADDIN CSL_CITATION {"citationItems":[{"id":"ITEM-1","itemData":{"DOI":"10.3324/haematol.2016.160374","ISSN":"15928721","PMID":"28522579","author":[{"dropping-particle":"","family":"Navarro","given":"Alba","non-dropping-particle":"","parse-names":false,"suffix":""},{"dropping-particle":"","family":"Clot","given":"Guillem","non-dropping-particle":"","parse-names":false,"suffix":""},{"dropping-particle":"","family":"Martínez-Trillos","given":"Alejandra","non-dropping-particle":"","parse-names":false,"suffix":""},{"dropping-particle":"","family":"Pinyol","given":"Magda","non-dropping-particle":"","parse-names":false,"suffix":""},{"dropping-particle":"","family":"Jares","given":"Pedro","non-dropping-particle":"","parse-names":false,"suffix":""},{"dropping-particle":"","family":"González-Farré","given":"Blanca","non-dropping-particle":"","parse-names":false,"suffix":""},{"dropping-particle":"","family":"Martínez","given":"Daniel","non-dropping-particle":"","parse-names":false,"suffix":""},{"dropping-particle":"","family":"Trim","given":"Nicola","non-dropping-particle":"","parse-names":false,"suffix":""},{"dropping-particle":"","family":"Fernández","given":"Verónica","non-dropping-particle":"","parse-names":false,"suffix":""},{"dropping-particle":"","family":"Villamor","given":"Neus","non-dropping-particle":"","parse-names":false,"suffix":""},{"dropping-particle":"","family":"Colomer","given":"Dolors","non-dropping-particle":"","parse-names":false,"suffix":""},{"dropping-particle":"","family":"Costa","given":"Dolors","non-dropping-particle":"","parse-names":false,"suffix":""},{"dropping-particle":"","family":"Salaverria","given":"Itziar","non-dropping-particle":"","parse-names":false,"suffix":""},{"dropping-particle":"","family":"Martín-Garcia","given":"David","non-dropping-particle":"","parse-names":false,"suffix":""},{"dropping-particle":"","family":"Erber","given":"Wendy","non-dropping-particle":"","parse-names":false,"suffix":""},{"dropping-particle":"","family":"López","given":"Cristina","non-dropping-particle":"","parse-names":false,"suffix":""},{"dropping-particle":"","family":"Jayne","given":"Sandrine","non-dropping-particle":"","parse-names":false,"suffix":""},{"dropping-particle":"","family":"Siebert","given":"Reiner","non-dropping-particle":"","parse-names":false,"suffix":""},{"dropping-particle":"","family":"Dyer","given":"Martin J.S.","non-dropping-particle":"","parse-names":false,"suffix":""},{"dropping-particle":"","family":"Wiestner","given":"Adrian","non-dropping-particle":"","parse-names":false,"suffix":""},{"dropping-particle":"","family":"Wilson","given":"Wyndham H.","non-dropping-particle":"","parse-names":false,"suffix":""},{"dropping-particle":"","family":"Aymerich","given":"Marta","non-dropping-particle":"","parse-names":false,"suffix":""},{"dropping-particle":"","family":"López-Guillermo","given":"Armando","non-dropping-particle":"","parse-names":false,"suffix":""},{"dropping-particle":"","family":"Sánchez","given":"Àlex","non-dropping-particle":"","parse-names":false,"suffix":""},{"dropping-particle":"","family":"Campo","given":"Elías","non-dropping-particle":"","parse-names":false,"suffix":""},{"dropping-particle":"","family":"Matutes","given":"Estella","non-dropping-particle":"","parse-names":false,"suffix":""},{"dropping-particle":"","family":"Beà","given":"Sílvia","non-dropping-particle":"","parse-names":false,"suffix":""}],"container-title":"Haematologica","id":"ITEM-1","issue":"9","issued":{"date-parts":[["2017","8","31"]]},"page":"360-363","publisher":"Ferrata Storti Foundation","title":"Improved classification of leukemic B-cell lymphoproliferative disorders using a transcriptional and genetic classifier","type":"article","volume":"102"},"uris":["http://www.mendeley.com/documents/?uuid=c8ae0e40-ec2c-309f-a26a-b53aed05b631"]}],"mendeley":{"formattedCitation":"(Navarro et al., 2017)","plainTextFormattedCitation":"(Navarro et al., 2017)","previouslyFormattedCitation":"(Navarro et al., 2017)"},"properties":{"noteIndex":0},"schema":"https://github.com/citation-style-language/schema/raw/master/csl-citation.json"}</w:instrText>
      </w:r>
      <w:r w:rsidR="006E582D" w:rsidRPr="00245037">
        <w:rPr>
          <w:rFonts w:ascii="Times" w:hAnsi="Times"/>
          <w:sz w:val="24"/>
          <w:szCs w:val="24"/>
          <w:lang w:val="en-GB"/>
        </w:rPr>
        <w:fldChar w:fldCharType="separate"/>
      </w:r>
      <w:r w:rsidR="006E582D" w:rsidRPr="00245037">
        <w:rPr>
          <w:rFonts w:ascii="Times" w:hAnsi="Times"/>
          <w:noProof/>
          <w:sz w:val="24"/>
          <w:szCs w:val="24"/>
          <w:lang w:val="en-GB"/>
        </w:rPr>
        <w:t>(Navarro et al., 2017)</w:t>
      </w:r>
      <w:r w:rsidR="006E582D" w:rsidRPr="00245037">
        <w:rPr>
          <w:rFonts w:ascii="Times" w:hAnsi="Times"/>
          <w:sz w:val="24"/>
          <w:szCs w:val="24"/>
          <w:lang w:val="en-GB"/>
        </w:rPr>
        <w:fldChar w:fldCharType="end"/>
      </w:r>
      <w:r w:rsidR="004C67DC" w:rsidRPr="00245037">
        <w:rPr>
          <w:rFonts w:ascii="Times" w:hAnsi="Times"/>
          <w:sz w:val="24"/>
          <w:szCs w:val="24"/>
          <w:lang w:val="en-GB"/>
        </w:rPr>
        <w:t>. Of note though, a recent meta-analysis of gene expression profiles from SMZL</w:t>
      </w:r>
      <w:r w:rsidR="0016335B" w:rsidRPr="00245037">
        <w:rPr>
          <w:rFonts w:ascii="Times" w:hAnsi="Times"/>
          <w:sz w:val="24"/>
          <w:szCs w:val="24"/>
          <w:lang w:val="en-GB"/>
        </w:rPr>
        <w:t xml:space="preserve">, </w:t>
      </w:r>
      <w:r w:rsidR="004C67DC" w:rsidRPr="00245037">
        <w:rPr>
          <w:rFonts w:ascii="Times" w:hAnsi="Times"/>
          <w:sz w:val="24"/>
          <w:szCs w:val="24"/>
          <w:lang w:val="en-GB"/>
        </w:rPr>
        <w:t xml:space="preserve">normal splenic material </w:t>
      </w:r>
      <w:r w:rsidR="0016335B" w:rsidRPr="00245037">
        <w:rPr>
          <w:rFonts w:ascii="Times" w:hAnsi="Times"/>
          <w:sz w:val="24"/>
          <w:szCs w:val="24"/>
          <w:lang w:val="en-GB"/>
        </w:rPr>
        <w:t xml:space="preserve">and other B-cell tumours </w:t>
      </w:r>
      <w:r w:rsidR="004C67DC" w:rsidRPr="00245037">
        <w:rPr>
          <w:rFonts w:ascii="Times" w:hAnsi="Times"/>
          <w:sz w:val="24"/>
          <w:szCs w:val="24"/>
          <w:lang w:val="en-GB"/>
        </w:rPr>
        <w:t>was able to define 135 genes that discriminate SMZL from other B-cell lymphomas</w:t>
      </w:r>
      <w:r w:rsidR="0016335B" w:rsidRPr="00245037">
        <w:rPr>
          <w:rFonts w:ascii="Times" w:hAnsi="Times"/>
          <w:sz w:val="24"/>
          <w:szCs w:val="24"/>
          <w:lang w:val="en-GB"/>
        </w:rPr>
        <w:t xml:space="preserve"> </w:t>
      </w:r>
      <w:r w:rsidR="006E582D" w:rsidRPr="00245037">
        <w:rPr>
          <w:rFonts w:ascii="Times" w:hAnsi="Times"/>
          <w:sz w:val="24"/>
          <w:szCs w:val="24"/>
          <w:lang w:val="en-GB"/>
        </w:rPr>
        <w:fldChar w:fldCharType="begin" w:fldLock="1"/>
      </w:r>
      <w:r w:rsidR="00D4493D" w:rsidRPr="00245037">
        <w:rPr>
          <w:rFonts w:ascii="Times" w:hAnsi="Times"/>
          <w:sz w:val="24"/>
          <w:szCs w:val="24"/>
          <w:lang w:val="en-GB"/>
        </w:rPr>
        <w:instrText>ADDIN CSL_CITATION {"citationItems":[{"id":"ITEM-1","itemData":{"DOI":"10.3389/fonc.2020.00640","ISSN":"2234943X","abstract":"Splenic marginal zone lymphoma (SMZL) is a rare, indolent non-Hodgkin's lymphoma that affects 0. 13 per 100,000 persons annually. Overall survival of SMZL is estimated to reach 8–11 years in most cases, but up to 30% of SMZL cases develop aggressive presentations resulting in greatly diminished time of survival. SMZL presents with a very heterogeneous molecular profile, making diagnosis problematic, and accurate prognosis even less likely. The study herein has identified a potential diagnostic gene expression signature with highly specific predictive utility, coined the SMZL-specific Gene Expression Signature (SSGES). Additionally, five of the most impactful markers identified within the SSGES were selected for a five-protein panel, for further evaluation among control and SMZL patient samples. These markers included EME2, ERCC5, SETBP1, USP24, and ZBTB32. When compared with control spleen and other B-cell lymphoma subtypes, significantly higher expression was noticed in SMZL samples when stained for EME2 and USP24. Additionally, ERCC5, SETBP1, USP24, and ZBTB32 staining displayed indications of prognostic value for SMZL patients. Delineation of the SSGES offers a unique SMZL signature that could provide diagnostic utility for a malignancy that has historically been difficult to identify, and the five-marker protein panel provides additional support for such findings. These results should be further investigated and validated in subsequent molecular investigations of SMZL so it may be potentially incorporated into standard oncology practice for improving the understanding and outlook for SMZL patients.","author":[{"dropping-particle":"","family":"Robinson","given":"Jacob E.","non-dropping-particle":"","parse-names":false,"suffix":""},{"dropping-particle":"","family":"Greiner","given":"Timothy C.","non-dropping-particle":"","parse-names":false,"suffix":""},{"dropping-particle":"","family":"Bouska","given":"Alyssa C.","non-dropping-particle":"","parse-names":false,"suffix":""},{"dropping-particle":"","family":"Iqbal","given":"Javeed","non-dropping-particle":"","parse-names":false,"suffix":""},{"dropping-particle":"","family":"Cutucache","given":"Christine E.","non-dropping-particle":"","parse-names":false,"suffix":""}],"container-title":"Frontiers in Oncology","id":"ITEM-1","issued":{"date-parts":[["2020","5","8"]]},"publisher":"Frontiers Media S.A.","title":"Identification of a Splenic Marginal Zone Lymphoma Signature: Preliminary Findings With Diagnostic Potential","type":"article-journal","volume":"10"},"uris":["http://www.mendeley.com/documents/?uuid=15254d32-d8ac-34f5-a8b7-698ddb9b35a8"]}],"mendeley":{"formattedCitation":"(Robinson et al., 2020)","plainTextFormattedCitation":"(Robinson et al., 2020)","previouslyFormattedCitation":"(Robinson et al., 2020)"},"properties":{"noteIndex":0},"schema":"https://github.com/citation-style-language/schema/raw/master/csl-citation.json"}</w:instrText>
      </w:r>
      <w:r w:rsidR="006E582D" w:rsidRPr="00245037">
        <w:rPr>
          <w:rFonts w:ascii="Times" w:hAnsi="Times"/>
          <w:sz w:val="24"/>
          <w:szCs w:val="24"/>
          <w:lang w:val="en-GB"/>
        </w:rPr>
        <w:fldChar w:fldCharType="separate"/>
      </w:r>
      <w:r w:rsidR="006E582D" w:rsidRPr="00245037">
        <w:rPr>
          <w:rFonts w:ascii="Times" w:hAnsi="Times"/>
          <w:noProof/>
          <w:sz w:val="24"/>
          <w:szCs w:val="24"/>
          <w:lang w:val="en-GB"/>
        </w:rPr>
        <w:t>(Robinson et al., 2020)</w:t>
      </w:r>
      <w:r w:rsidR="006E582D" w:rsidRPr="00245037">
        <w:rPr>
          <w:rFonts w:ascii="Times" w:hAnsi="Times"/>
          <w:sz w:val="24"/>
          <w:szCs w:val="24"/>
          <w:lang w:val="en-GB"/>
        </w:rPr>
        <w:fldChar w:fldCharType="end"/>
      </w:r>
      <w:r w:rsidR="0016335B" w:rsidRPr="00245037">
        <w:rPr>
          <w:rFonts w:ascii="Times" w:hAnsi="Times"/>
          <w:sz w:val="24"/>
          <w:szCs w:val="24"/>
          <w:lang w:val="en-GB"/>
        </w:rPr>
        <w:t>.</w:t>
      </w:r>
      <w:r w:rsidR="004C67DC" w:rsidRPr="00245037">
        <w:rPr>
          <w:rFonts w:ascii="Times" w:hAnsi="Times"/>
          <w:sz w:val="24"/>
          <w:szCs w:val="24"/>
          <w:lang w:val="en-GB"/>
        </w:rPr>
        <w:t xml:space="preserve"> </w:t>
      </w:r>
      <w:r w:rsidR="0016335B" w:rsidRPr="00245037">
        <w:rPr>
          <w:rFonts w:ascii="Times" w:hAnsi="Times"/>
          <w:sz w:val="24"/>
          <w:szCs w:val="24"/>
          <w:lang w:val="en-GB"/>
        </w:rPr>
        <w:t>It will be important to validate this early observation, through the inclusion of larger patient cohorts</w:t>
      </w:r>
      <w:r w:rsidR="00F967E6" w:rsidRPr="00245037">
        <w:rPr>
          <w:rFonts w:ascii="Times" w:hAnsi="Times"/>
          <w:sz w:val="24"/>
          <w:szCs w:val="24"/>
          <w:lang w:val="en-GB"/>
        </w:rPr>
        <w:t>,</w:t>
      </w:r>
      <w:r w:rsidR="0016335B" w:rsidRPr="00245037">
        <w:rPr>
          <w:rFonts w:ascii="Times" w:hAnsi="Times"/>
          <w:sz w:val="24"/>
          <w:szCs w:val="24"/>
          <w:lang w:val="en-GB"/>
        </w:rPr>
        <w:t xml:space="preserve"> cell sub-population from the spleen</w:t>
      </w:r>
      <w:r w:rsidR="00F967E6" w:rsidRPr="00245037">
        <w:rPr>
          <w:rFonts w:ascii="Times" w:hAnsi="Times"/>
          <w:sz w:val="24"/>
          <w:szCs w:val="24"/>
          <w:lang w:val="en-GB"/>
        </w:rPr>
        <w:t xml:space="preserve"> and the inclusions of CBL-MZ patients to track progression to overt SMZL</w:t>
      </w:r>
      <w:r w:rsidR="0016335B" w:rsidRPr="00245037">
        <w:rPr>
          <w:rFonts w:ascii="Times" w:hAnsi="Times"/>
          <w:sz w:val="24"/>
          <w:szCs w:val="24"/>
          <w:lang w:val="en-GB"/>
        </w:rPr>
        <w:t>.</w:t>
      </w:r>
    </w:p>
    <w:bookmarkEnd w:id="2"/>
    <w:p w14:paraId="396405D5" w14:textId="5EF2A09C" w:rsidR="006446CB" w:rsidRPr="00245037" w:rsidRDefault="00AE3069" w:rsidP="00002888">
      <w:pPr>
        <w:spacing w:before="0" w:after="0" w:line="360" w:lineRule="auto"/>
        <w:jc w:val="left"/>
        <w:rPr>
          <w:rFonts w:ascii="Times New Roman" w:hAnsi="Times New Roman" w:cs="Times New Roman"/>
          <w:b/>
          <w:bCs/>
          <w:sz w:val="24"/>
          <w:szCs w:val="24"/>
          <w:lang w:val="en-GB"/>
        </w:rPr>
      </w:pPr>
      <w:r w:rsidRPr="00245037">
        <w:rPr>
          <w:rFonts w:ascii="Times New Roman" w:hAnsi="Times New Roman" w:cs="Times New Roman"/>
          <w:b/>
          <w:bCs/>
          <w:sz w:val="24"/>
          <w:szCs w:val="24"/>
          <w:lang w:val="en-GB"/>
        </w:rPr>
        <w:lastRenderedPageBreak/>
        <w:t>EPIGENETICS</w:t>
      </w:r>
    </w:p>
    <w:p w14:paraId="79DD2A50" w14:textId="0CD2BB06" w:rsidR="00EB7494" w:rsidRDefault="00BD415F" w:rsidP="00002888">
      <w:pPr>
        <w:spacing w:before="0" w:after="0" w:line="360" w:lineRule="auto"/>
        <w:jc w:val="left"/>
        <w:rPr>
          <w:rFonts w:ascii="Times New Roman" w:hAnsi="Times New Roman" w:cs="Times New Roman"/>
          <w:color w:val="202020"/>
          <w:sz w:val="24"/>
          <w:szCs w:val="24"/>
          <w:shd w:val="clear" w:color="auto" w:fill="FFFFFF"/>
          <w:lang w:val="en-GB"/>
        </w:rPr>
      </w:pPr>
      <w:r w:rsidRPr="00245037">
        <w:rPr>
          <w:rFonts w:ascii="Times New Roman" w:hAnsi="Times New Roman" w:cs="Times New Roman"/>
          <w:sz w:val="24"/>
          <w:szCs w:val="24"/>
          <w:lang w:val="en-GB"/>
        </w:rPr>
        <w:t xml:space="preserve">Epigenetic modifications that are perturbed in cancer include dysregulation of higher order chromatin structure, such as chemical modifications to histones (thereby effecting DNA positive charge, decreasing histone/DNA affinity and altering accessibility of tertiary DNA structure), </w:t>
      </w:r>
      <w:bookmarkStart w:id="3" w:name="_Hlk68603059"/>
      <w:r w:rsidRPr="00245037">
        <w:rPr>
          <w:rFonts w:ascii="Times New Roman" w:hAnsi="Times New Roman" w:cs="Times New Roman"/>
          <w:sz w:val="24"/>
          <w:szCs w:val="24"/>
          <w:lang w:val="en-GB"/>
        </w:rPr>
        <w:t>DNA methylation (</w:t>
      </w:r>
      <w:r w:rsidR="009F53FC" w:rsidRPr="00245037">
        <w:rPr>
          <w:rFonts w:ascii="Times New Roman" w:hAnsi="Times New Roman" w:cs="Times New Roman"/>
          <w:sz w:val="24"/>
          <w:szCs w:val="24"/>
          <w:lang w:val="en-GB"/>
        </w:rPr>
        <w:t xml:space="preserve">regulation of gene expression </w:t>
      </w:r>
      <w:r w:rsidRPr="00245037">
        <w:rPr>
          <w:rFonts w:ascii="Times New Roman" w:hAnsi="Times New Roman" w:cs="Times New Roman"/>
          <w:sz w:val="24"/>
          <w:szCs w:val="24"/>
          <w:lang w:val="en-GB"/>
        </w:rPr>
        <w:t xml:space="preserve">by </w:t>
      </w:r>
      <w:r w:rsidR="009F53FC" w:rsidRPr="00245037">
        <w:rPr>
          <w:rFonts w:ascii="Times New Roman" w:hAnsi="Times New Roman" w:cs="Times New Roman"/>
          <w:sz w:val="24"/>
          <w:szCs w:val="24"/>
          <w:lang w:val="en-GB"/>
        </w:rPr>
        <w:t>the transfer of methyl groups onto the C5 position of cytosine</w:t>
      </w:r>
      <w:r w:rsidRPr="00245037">
        <w:rPr>
          <w:rFonts w:ascii="Times New Roman" w:hAnsi="Times New Roman" w:cs="Times New Roman"/>
          <w:sz w:val="24"/>
          <w:szCs w:val="24"/>
          <w:lang w:val="en-GB"/>
        </w:rPr>
        <w:t xml:space="preserve">) </w:t>
      </w:r>
      <w:bookmarkEnd w:id="3"/>
      <w:r w:rsidRPr="00245037">
        <w:rPr>
          <w:rFonts w:ascii="Times New Roman" w:hAnsi="Times New Roman" w:cs="Times New Roman"/>
          <w:sz w:val="24"/>
          <w:szCs w:val="24"/>
          <w:lang w:val="en-GB"/>
        </w:rPr>
        <w:t>and changes to miRNA expression patterns</w:t>
      </w:r>
      <w:r w:rsidR="0570F72A" w:rsidRPr="00245037">
        <w:rPr>
          <w:rFonts w:ascii="Times New Roman" w:hAnsi="Times New Roman" w:cs="Times New Roman"/>
          <w:sz w:val="24"/>
          <w:szCs w:val="24"/>
          <w:lang w:val="en-GB"/>
        </w:rPr>
        <w:t>.</w:t>
      </w:r>
      <w:r w:rsidRPr="00245037">
        <w:rPr>
          <w:rFonts w:ascii="Times New Roman" w:hAnsi="Times New Roman" w:cs="Times New Roman"/>
          <w:sz w:val="24"/>
          <w:szCs w:val="24"/>
          <w:lang w:val="en-GB"/>
        </w:rPr>
        <w:t xml:space="preserve"> </w:t>
      </w:r>
      <w:r w:rsidR="22E41CD2" w:rsidRPr="00245037">
        <w:rPr>
          <w:rFonts w:ascii="Times New Roman" w:hAnsi="Times New Roman" w:cs="Times New Roman"/>
          <w:sz w:val="24"/>
          <w:szCs w:val="24"/>
          <w:lang w:val="en-GB"/>
        </w:rPr>
        <w:t>These modifications</w:t>
      </w:r>
      <w:r w:rsidRPr="00245037">
        <w:rPr>
          <w:rFonts w:ascii="Times New Roman" w:hAnsi="Times New Roman" w:cs="Times New Roman"/>
          <w:sz w:val="24"/>
          <w:szCs w:val="24"/>
          <w:lang w:val="en-GB"/>
        </w:rPr>
        <w:t xml:space="preserve"> are crucial mechanisms that control gene transcription, genome stability, and contribute to</w:t>
      </w:r>
      <w:r w:rsidRPr="00002888">
        <w:rPr>
          <w:rFonts w:ascii="Times New Roman" w:hAnsi="Times New Roman" w:cs="Times New Roman"/>
          <w:sz w:val="24"/>
          <w:szCs w:val="24"/>
          <w:lang w:val="en-GB"/>
        </w:rPr>
        <w:t xml:space="preserve"> normal B-cell maturation. DNA methylation is the epigenetic mark most well-studied in both normal and malignant B-cells, that have outlined clinically relevant changes associated with the cell-of-origin and malignant progression itself </w:t>
      </w:r>
      <w:r w:rsidR="00A26404" w:rsidRPr="00002888">
        <w:rPr>
          <w:rFonts w:ascii="Times New Roman" w:hAnsi="Times New Roman" w:cs="Times New Roman"/>
          <w:sz w:val="24"/>
          <w:szCs w:val="24"/>
          <w:lang w:val="en-GB"/>
        </w:rPr>
        <w:fldChar w:fldCharType="begin" w:fldLock="1"/>
      </w:r>
      <w:r w:rsidR="00FC3E05" w:rsidRPr="00002888">
        <w:rPr>
          <w:rFonts w:ascii="Times New Roman" w:hAnsi="Times New Roman" w:cs="Times New Roman"/>
          <w:sz w:val="24"/>
          <w:szCs w:val="24"/>
          <w:lang w:val="en-GB"/>
        </w:rPr>
        <w:instrText>ADDIN CSL_CITATION {"citationItems":[{"id":"ITEM-1","itemData":{"DOI":"10.1038/s43018-020-00131-2","ISSN":"26621347","abstract":"We report a systematic analysis of the DNA methylation variability in 1,595 samples of normal cell subpopulations and 14 tumor subtypes spanning the entire human B-cell lineage. Differential methylation among tumor entities relates to differences in cellular origin and to de novo epigenetic alterations, which allowed us to build an accurate machine learning-based diagnostic algorithm. We identify extensive individual-specific methylation variability in silenced chromatin associated with the proliferative history of normal and neoplastic B cells. Mitotic activity generally leaves both hyper- and hypomethylation imprints, but some B-cell neoplasms preferentially gain or lose DNA methylation. We construct a DNA-methylation-based mitotic clock, called epiCMIT, whose lapse magnitude represents a strong independent prognostic variable in B-cell tumors and is associated with particular driver genetic alterations. Our findings reveal DNA methylation as a holistic tracer of B-cell tumor developmental history, with implications in differential diagnosis and the prediction of clinical outcome.","author":[{"dropping-particle":"","family":"Duran-Ferrer","given":"Martí","non-dropping-particle":"","parse-names":false,"suffix":""},{"dropping-particle":"","family":"Clot","given":"Guillem","non-dropping-particle":"","parse-names":false,"suffix":""},{"dropping-particle":"","family":"Nadeu","given":"Ferran","non-dropping-particle":"","parse-names":false,"suffix":""},{"dropping-particle":"","family":"Beekman","given":"Renée","non-dropping-particle":"","parse-names":false,"suffix":""},{"dropping-particle":"","family":"Baumann","given":"Tycho","non-dropping-particle":"","parse-names":false,"suffix":""},{"dropping-particle":"","family":"Nordlund","given":"Jessica","non-dropping-particle":"","parse-names":false,"suffix":""},{"dropping-particle":"","family":"Marincevic-Zuniga","given":"Yanara","non-dropping-particle":"","parse-names":false,"suffix":""},{"dropping-particle":"","family":"Lönnerholm","given":"Gudmar","non-dropping-particle":"","parse-names":false,"suffix":""},{"dropping-particle":"","family":"Rivas-Delgado","given":"Alfredo","non-dropping-particle":"","parse-names":false,"suffix":""},{"dropping-particle":"","family":"Martín","given":"Silvia","non-dropping-particle":"","parse-names":false,"suffix":""},{"dropping-particle":"","family":"Ordoñez","given":"Raquel","non-dropping-particle":"","parse-names":false,"suffix":""},{"dropping-particle":"","family":"Castellano","given":"Giancarlo","non-dropping-particle":"","parse-names":false,"suffix":""},{"dropping-particle":"","family":"Kulis","given":"Marta","non-dropping-particle":"","parse-names":false,"suffix":""},{"dropping-particle":"","family":"Queirós","given":"Ana C.","non-dropping-particle":"","parse-names":false,"suffix":""},{"dropping-particle":"","family":"Lee","given":"Seung Tae","non-dropping-particle":"","parse-names":false,"suffix":""},{"dropping-particle":"","family":"Wiemels","given":"Joseph","non-dropping-particle":"","parse-names":false,"suffix":""},{"dropping-particle":"","family":"Royo","given":"Romina","non-dropping-particle":"","parse-names":false,"suffix":""},{"dropping-particle":"","family":"Puiggrós","given":"Montserrat","non-dropping-particle":"","parse-names":false,"suffix":""},{"dropping-particle":"","family":"Lu","given":"Junyan","non-dropping-particle":"","parse-names":false,"suffix":""},{"dropping-particle":"","family":"Giné","given":"Eva","non-dropping-particle":"","parse-names":false,"suffix":""},{"dropping-particle":"","family":"Beà","given":"Sílvia","non-dropping-particle":"","parse-names":false,"suffix":""},{"dropping-particle":"","family":"Jares","given":"Pedro","non-dropping-particle":"","parse-names":false,"suffix":""},{"dropping-particle":"","family":"Agirre","given":"Xabier","non-dropping-particle":"","parse-names":false,"suffix":""},{"dropping-particle":"","family":"Prosper","given":"Felipe","non-dropping-particle":"","parse-names":false,"suffix":""},{"dropping-particle":"","family":"López-Otín","given":"Carlos","non-dropping-particle":"","parse-names":false,"suffix":""},{"dropping-particle":"","family":"Puente","given":"Xosé S.","non-dropping-particle":"","parse-names":false,"suffix":""},{"dropping-particle":"","family":"Oakes","given":"Christopher C.","non-dropping-particle":"","parse-names":false,"suffix":""},{"dropping-particle":"","family":"Zenz","given":"Thorsten","non-dropping-particle":"","parse-names":false,"suffix":""},{"dropping-particle":"","family":"Delgado","given":"Julio","non-dropping-particle":"","parse-names":false,"suffix":""},{"dropping-particle":"","family":"López-Guillermo","given":"Armando","non-dropping-particle":"","parse-names":false,"suffix":""},{"dropping-particle":"","family":"Campo","given":"Elías","non-dropping-particle":"","parse-names":false,"suffix":""},{"dropping-particle":"","family":"Martín-Subero","given":"José Ignacio","non-dropping-particle":"","parse-names":false,"suffix":""}],"container-title":"Nature Cancer","id":"ITEM-1","issue":"11","issued":{"date-parts":[["2020","11","1"]]},"page":"1066-1081","publisher":"Nature Research","title":"The proliferative history shapes the DNA methylome of B-cell tumors and predicts clinical outcome","type":"article-journal","volume":"1"},"uris":["http://www.mendeley.com/documents/?uuid=bb0d24cb-2707-3346-8eda-f623489f3820"]},{"id":"ITEM-2","itemData":{"DOI":"10.1016/j.ccell.2016.09.014","ISSN":"18783686","PMID":"27846393","abstract":"We analyzed the in silico purified DNA methylation signatures of 82 mantle cell lymphomas (MCL) in comparison with cell subpopulations spanning the entire B cell lineage. We identified two MCL subgroups, respectively carrying epigenetic imprints of germinal-center-inexperienced and germinal-center-experienced B cells, and we found that DNA methylation profiles during lymphomagenesis are largely influenced by the methylation dynamics in normal B cells. An integrative epigenomic approach revealed 10,504 differentially methylated regions in regulatory elements marked by H3K27ac in MCL primary cases, including a distant enhancer showing de novo looping to the MCL oncogene SOX11. Finally, we observed that the magnitude of DNA methylation changes per case is highly variable and serves as an independent prognostic factor for MCL outcome.","author":[{"dropping-particle":"","family":"Queirós","given":"Ana C.","non-dropping-particle":"","parse-names":false,"suffix":""},{"dropping-particle":"","family":"Beekman","given":"Renée","non-dropping-particle":"","parse-names":false,"suffix":""},{"dropping-particle":"","family":"Vilarrasa-Blasi","given":"Roser","non-dropping-particle":"","parse-names":false,"suffix":""},{"dropping-particle":"","family":"Duran-Ferrer","given":"Martí","non-dropping-particle":"","parse-names":false,"suffix":""},{"dropping-particle":"","family":"Clot","given":"Guillem","non-dropping-particle":"","parse-names":false,"suffix":""},{"dropping-particle":"","family":"Merkel","given":"Angelika","non-dropping-particle":"","parse-names":false,"suffix":""},{"dropping-particle":"","family":"Raineri","given":"Emanuele","non-dropping-particle":"","parse-names":false,"suffix":""},{"dropping-particle":"","family":"Russiñol","given":"Nuria","non-dropping-particle":"","parse-names":false,"suffix":""},{"dropping-particle":"","family":"Castellano","given":"Giancarlo","non-dropping-particle":"","parse-names":false,"suffix":""},{"dropping-particle":"","family":"Beà","given":"Sílvia","non-dropping-particle":"","parse-names":false,"suffix":""},{"dropping-particle":"","family":"Navarro","given":"Alba","non-dropping-particle":"","parse-names":false,"suffix":""},{"dropping-particle":"","family":"Kulis","given":"Marta","non-dropping-particle":"","parse-names":false,"suffix":""},{"dropping-particle":"","family":"Verdaguer-Dot","given":"Núria","non-dropping-particle":"","parse-names":false,"suffix":""},{"dropping-particle":"","family":"Jares","given":"Pedro","non-dropping-particle":"","parse-names":false,"suffix":""},{"dropping-particle":"","family":"Enjuanes","given":"Anna","non-dropping-particle":"","parse-names":false,"suffix":""},{"dropping-particle":"","family":"Calasanz","given":"María José","non-dropping-particle":"","parse-names":false,"suffix":""},{"dropping-particle":"","family":"Bergmann","given":"Anke","non-dropping-particle":"","parse-names":false,"suffix":""},{"dropping-particle":"","family":"Vater","given":"Inga","non-dropping-particle":"","parse-names":false,"suffix":""},{"dropping-particle":"","family":"Salaverría","given":"Itziar","non-dropping-particle":"","parse-names":false,"suffix":""},{"dropping-particle":"","family":"Werken","given":"Harmen J.G.","non-dropping-particle":"van de","parse-names":false,"suffix":""},{"dropping-particle":"","family":"Wilson","given":"Wyndham H.","non-dropping-particle":"","parse-names":false,"suffix":""},{"dropping-particle":"","family":"Datta","given":"Avik","non-dropping-particle":"","parse-names":false,"suffix":""},{"dropping-particle":"","family":"Flicek","given":"Paul","non-dropping-particle":"","parse-names":false,"suffix":""},{"dropping-particle":"","family":"Royo","given":"Romina","non-dropping-particle":"","parse-names":false,"suffix":""},{"dropping-particle":"","family":"Martens","given":"Joost","non-dropping-particle":"","parse-names":false,"suffix":""},{"dropping-particle":"","family":"Giné","given":"Eva","non-dropping-particle":"","parse-names":false,"suffix":""},{"dropping-particle":"","family":"Lopez-Guillermo","given":"Armando","non-dropping-particle":"","parse-names":false,"suffix":""},{"dropping-particle":"","family":"Stunnenberg","given":"Hendrik G.","non-dropping-particle":"","parse-names":false,"suffix":""},{"dropping-particle":"","family":"Klapper","given":"Wolfram","non-dropping-particle":"","parse-names":false,"suffix":""},{"dropping-particle":"","family":"Pott","given":"Christiane","non-dropping-particle":"","parse-names":false,"suffix":""},{"dropping-particle":"","family":"Heath","given":"Simon","non-dropping-particle":"","parse-names":false,"suffix":""},{"dropping-particle":"","family":"Gut","given":"Ivo G.","non-dropping-particle":"","parse-names":false,"suffix":""},{"dropping-particle":"","family":"Siebert","given":"Reiner","non-dropping-particle":"","parse-names":false,"suffix":""},{"dropping-particle":"","family":"Campo","given":"Elías","non-dropping-particle":"","parse-names":false,"suffix":""},{"dropping-particle":"","family":"Martín-Subero","given":"José I.","non-dropping-particle":"","parse-names":false,"suffix":""}],"container-title":"Cancer Cell","id":"ITEM-2","issue":"5","issued":{"date-parts":[["2016","11","14"]]},"page":"806-821","publisher":"Cell Press","title":"Decoding the DNA Methylome of Mantle Cell Lymphoma in the Light of the Entire B Cell Lineage","type":"article-journal","volume":"30"},"uris":["http://www.mendeley.com/documents/?uuid=b6fca573-3243-3779-bce0-f4d070b67a06"]},{"id":"ITEM-3","itemData":{"DOI":"10.1038/ng.3291","ISSN":"15461718","PMID":"26053498","abstract":"We analyzed the DNA methylome of ten subpopulations spanning the entire B cell differentiation program by whole-genome bisulfite sequencing and high-density microarrays. We observed that non-CpG methylation disappeared upon B cell commitment, whereas CpG methylation changed extensively during B cell maturation, showing an accumulative pattern and affecting around 30% of all measured CpG sites. Early differentiation stages mainly displayed enhancer demethylation, which was associated with upregulation of key B cell transcription factors and affected multiple genes involved in B cell biology. Late differentiation stages, in contrast, showed extensive demethylation of heterochromatin and methylation gain at Polycomb-repressed areas, and genes with apparent functional impact in B cells were not affected. This signature, which has previously been linked to aging and cancer, was particularly widespread in mature cells with an extended lifespan. Comparing B cell neoplasms with their normal counterparts, we determined that they frequently acquire methylation changes in regions already undergoing dynamic methylation during normal B cell differentiation.","author":[{"dropping-particle":"","family":"Kulis","given":"Marta","non-dropping-particle":"","parse-names":false,"suffix":""},{"dropping-particle":"","family":"Merkel","given":"Angelika","non-dropping-particle":"","parse-names":false,"suffix":""},{"dropping-particle":"","family":"Heath","given":"Simon","non-dropping-particle":"","parse-names":false,"suffix":""},{"dropping-particle":"","family":"Queirós","given":"Ana C.","non-dropping-particle":"","parse-names":false,"suffix":""},{"dropping-particle":"","family":"Schuyler","given":"Ronald P.","non-dropping-particle":"","parse-names":false,"suffix":""},{"dropping-particle":"","family":"Castellano","given":"Giancarlo","non-dropping-particle":"","parse-names":false,"suffix":""},{"dropping-particle":"","family":"Beekman","given":"Renée","non-dropping-particle":"","parse-names":false,"suffix":""},{"dropping-particle":"","family":"Raineri","given":"Emanuele","non-dropping-particle":"","parse-names":false,"suffix":""},{"dropping-particle":"","family":"Esteve","given":"Anna","non-dropping-particle":"","parse-names":false,"suffix":""},{"dropping-particle":"","family":"Clot","given":"Guillem","non-dropping-particle":"","parse-names":false,"suffix":""},{"dropping-particle":"","family":"Verdaguer-Dot","given":"Néria","non-dropping-particle":"","parse-names":false,"suffix":""},{"dropping-particle":"","family":"Duran-Ferrer","given":"Martí","non-dropping-particle":"","parse-names":false,"suffix":""},{"dropping-particle":"","family":"Russiñol","given":"Nuria","non-dropping-particle":"","parse-names":false,"suffix":""},{"dropping-particle":"","family":"Vilarrasa-Blasi","given":"Roser","non-dropping-particle":"","parse-names":false,"suffix":""},{"dropping-particle":"","family":"Ecker","given":"Simone","non-dropping-particle":"","parse-names":false,"suffix":""},{"dropping-particle":"","family":"Pancaldi","given":"Vera","non-dropping-particle":"","parse-names":false,"suffix":""},{"dropping-particle":"","family":"Rico","given":"Daniel","non-dropping-particle":"","parse-names":false,"suffix":""},{"dropping-particle":"","family":"Agueda","given":"Lidia","non-dropping-particle":"","parse-names":false,"suffix":""},{"dropping-particle":"","family":"Blanc","given":"Julie","non-dropping-particle":"","parse-names":false,"suffix":""},{"dropping-particle":"","family":"Richardson","given":"David","non-dropping-particle":"","parse-names":false,"suffix":""},{"dropping-particle":"","family":"Clarke","given":"Laura","non-dropping-particle":"","parse-names":false,"suffix":""},{"dropping-particle":"","family":"Datta","given":"Avik","non-dropping-particle":"","parse-names":false,"suffix":""},{"dropping-particle":"","family":"Pascual","given":"Marien","non-dropping-particle":"","parse-names":false,"suffix":""},{"dropping-particle":"","family":"Agirre","given":"Xabier","non-dropping-particle":"","parse-names":false,"suffix":""},{"dropping-particle":"","family":"Prosper","given":"Felipe","non-dropping-particle":"","parse-names":false,"suffix":""},{"dropping-particle":"","family":"Alignani","given":"Diego","non-dropping-particle":"","parse-names":false,"suffix":""},{"dropping-particle":"","family":"Paiva","given":"Bruno","non-dropping-particle":"","parse-names":false,"suffix":""},{"dropping-particle":"","family":"Caron","given":"Gersende","non-dropping-particle":"","parse-names":false,"suffix":""},{"dropping-particle":"","family":"Fest","given":"Thierry","non-dropping-particle":"","parse-names":false,"suffix":""},{"dropping-particle":"","family":"Muench","given":"Marcus O.","non-dropping-particle":"","parse-names":false,"suffix":""},{"dropping-particle":"","family":"Fomin","given":"Marina E.","non-dropping-particle":"","parse-names":false,"suffix":""},{"dropping-particle":"","family":"Lee","given":"Seung Tae","non-dropping-particle":"","parse-names":false,"suffix":""},{"dropping-particle":"","family":"Wiemels","given":"Joseph L.","non-dropping-particle":"","parse-names":false,"suffix":""},{"dropping-particle":"","family":"Valencia","given":"Alfonso","non-dropping-particle":"","parse-names":false,"suffix":""},{"dropping-particle":"","family":"Gut","given":"Marta","non-dropping-particle":"","parse-names":false,"suffix":""},{"dropping-particle":"","family":"Flicek","given":"Paul","non-dropping-particle":"","parse-names":false,"suffix":""},{"dropping-particle":"","family":"Stunnenberg","given":"Hendrik G.","non-dropping-particle":"","parse-names":false,"suffix":""},{"dropping-particle":"","family":"Siebert","given":"Reiner","non-dropping-particle":"","parse-names":false,"suffix":""},{"dropping-particle":"","family":"Küppers","given":"Ralf","non-dropping-particle":"","parse-names":false,"suffix":""},{"dropping-particle":"","family":"Gut","given":"Ivo G.","non-dropping-particle":"","parse-names":false,"suffix":""},{"dropping-particle":"","family":"Campo","given":"Elías","non-dropping-particle":"","parse-names":false,"suffix":""},{"dropping-particle":"","family":"Martín-Subero","given":"José I.","non-dropping-particle":"","parse-names":false,"suffix":""}],"container-title":"Nature Genetics","id":"ITEM-3","issue":"7","issued":{"date-parts":[["2015","6","26"]]},"page":"746-756","publisher":"Nature Publishing Group","title":"Whole-genome fingerprint of the DNA methylome during human B cell differentiation","type":"article-journal","volume":"47"},"uris":["http://www.mendeley.com/documents/?uuid=bcf31f26-9247-3503-993c-15cee2509ec8"]},{"id":"ITEM-4","itemData":{"DOI":"10.1038/ng.2443","ISBN":"1546-1718 (Electronic)\\n1061-4036 (Linking)","ISSN":"1061-4036","PMID":"23064414","abstract":"We have extensively characterized the DNA methylomes of 139 patients with chronic lymphocytic leukemia (CLL) with mutated or unmutated IGHV and of several mature B-cell subpopulations through the use of whole-genome bisulfite sequencing and high-density microarrays. The two molecular subtypes of CLL have differing DNA methylomes that seem to represent epigenetic imprints from distinct normal B-cell subpopulations. DNA hypomethylation in the gene body, targeting mostly enhancer sites, was the most frequent difference between naive and memory B cells and between the two molecular subtypes of CLL and normal B cells. Although DNA methylation and gene expression were poorly correlated, we identified gene-body CpG dinucleotides whose methylation was positively or negatively associated with expression. We have also recognized a DNA methylation signature that distinguishes new clinico-biological subtypes of CLL. We propose an epigenomic scenario in which differential methylation in the gene body may have functional and clinical implications in leukemogenesis.","author":[{"dropping-particle":"","family":"Kulis","given":"Marta","non-dropping-particle":"","parse-names":false,"suffix":""},{"dropping-particle":"","family":"Heath","given":"Simon","non-dropping-particle":"","parse-names":false,"suffix":""},{"dropping-particle":"","family":"Bibikova","given":"Marina","non-dropping-particle":"","parse-names":false,"suffix":""},{"dropping-particle":"","family":"Queirós","given":"Ana C","non-dropping-particle":"","parse-names":false,"suffix":""},{"dropping-particle":"","family":"Navarro","given":"Alba","non-dropping-particle":"","parse-names":false,"suffix":""},{"dropping-particle":"","family":"Clot","given":"Guillem","non-dropping-particle":"","parse-names":false,"suffix":""},{"dropping-particle":"","family":"Martínez-Trillos","given":"Alejandra","non-dropping-particle":"","parse-names":false,"suffix":""},{"dropping-particle":"","family":"Castellano","given":"Giancarlo","non-dropping-particle":"","parse-names":false,"suffix":""},{"dropping-particle":"","family":"Brun-Heath","given":"Isabelle","non-dropping-particle":"","parse-names":false,"suffix":""},{"dropping-particle":"","family":"Pinyol","given":"Magda","non-dropping-particle":"","parse-names":false,"suffix":""},{"dropping-particle":"","family":"Barberán-Soler","given":"Sergio","non-dropping-particle":"","parse-names":false,"suffix":""},{"dropping-particle":"","family":"Papasaikas","given":"Panagiotis","non-dropping-particle":"","parse-names":false,"suffix":""},{"dropping-particle":"","family":"Jares","given":"Pedro","non-dropping-particle":"","parse-names":false,"suffix":""},{"dropping-particle":"","family":"Beà","given":"Sílvia","non-dropping-particle":"","parse-names":false,"suffix":""},{"dropping-particle":"","family":"Rico","given":"Daniel","non-dropping-particle":"","parse-names":false,"suffix":""},{"dropping-particle":"","family":"Ecker","given":"Simone","non-dropping-particle":"","parse-names":false,"suffix":""},{"dropping-particle":"","family":"Rubio","given":"Miriam","non-dropping-particle":"","parse-names":false,"suffix":""},{"dropping-particle":"","family":"Royo","given":"Romina","non-dropping-particle":"","parse-names":false,"suffix":""},{"dropping-particle":"","family":"Ho","given":"Vincent","non-dropping-particle":"","parse-names":false,"suffix":""},{"dropping-particle":"","family":"Klotzle","given":"Brandy","non-dropping-particle":"","parse-names":false,"suffix":""},{"dropping-particle":"","family":"Hernández","given":"Lluis","non-dropping-particle":"","parse-names":false,"suffix":""},{"dropping-particle":"","family":"Conde","given":"Laura","non-dropping-particle":"","parse-names":false,"suffix":""},{"dropping-particle":"","family":"López-Guerra","given":"Mónica","non-dropping-particle":"","parse-names":false,"suffix":""},{"dropping-particle":"","family":"Colomer","given":"Dolors","non-dropping-particle":"","parse-names":false,"suffix":""},{"dropping-particle":"","family":"Villamor","given":"Neus","non-dropping-particle":"","parse-names":false,"suffix":""},{"dropping-particle":"","family":"Aymerich","given":"Marta","non-dropping-particle":"","parse-names":false,"suffix":""},{"dropping-particle":"","family":"Rozman","given":"María","non-dropping-particle":"","parse-names":false,"suffix":""},{"dropping-particle":"","family":"Bayes","given":"Mónica","non-dropping-particle":"","parse-names":false,"suffix":""},{"dropping-particle":"","family":"Gut","given":"Marta","non-dropping-particle":"","parse-names":false,"suffix":""},{"dropping-particle":"","family":"Gelpí","given":"Josep L","non-dropping-particle":"","parse-names":false,"suffix":""},{"dropping-particle":"","family":"Orozco","given":"Modesto","non-dropping-particle":"","parse-names":false,"suffix":""},{"dropping-particle":"","family":"Fan","given":"Jian-Bing","non-dropping-particle":"","parse-names":false,"suffix":""},{"dropping-particle":"","family":"Quesada","given":"Víctor","non-dropping-particle":"","parse-names":false,"suffix":""},{"dropping-particle":"","family":"Puente","given":"Xose S","non-dropping-particle":"","parse-names":false,"suffix":""},{"dropping-particle":"","family":"Pisano","given":"David G","non-dropping-particle":"","parse-names":false,"suffix":""},{"dropping-particle":"","family":"Valencia","given":"Alfonso","non-dropping-particle":"","parse-names":false,"suffix":""},{"dropping-particle":"","family":"López-Guillermo","given":"Armando","non-dropping-particle":"","parse-names":false,"suffix":""},{"dropping-particle":"","family":"Gut","given":"Ivo","non-dropping-particle":"","parse-names":false,"suffix":""},{"dropping-particle":"","family":"López-Otín","given":"Carlos","non-dropping-particle":"","parse-names":false,"suffix":""},{"dropping-particle":"","family":"Campo","given":"Elías","non-dropping-particle":"","parse-names":false,"suffix":""},{"dropping-particle":"","family":"Martín-Subero","given":"José I","non-dropping-particle":"","parse-names":false,"suffix":""}],"container-title":"Nature Genetics","id":"ITEM-4","issue":"11","issued":{"date-parts":[["2012"]]},"page":"1236-1242","publisher":"Nature Publishing Group","title":"Epigenomic analysis detects widespread gene-body DNA hypomethylation in chronic lymphocytic leukemia","type":"article-journal","volume":"44"},"uris":["http://www.mendeley.com/documents/?uuid=04bda283-7f8f-476a-9cf5-1369cc45042d"]},{"id":"ITEM-5","itemData":{"DOI":"10.1093/nar/gkv103","ISSN":"13624962","PMID":"25690899","abstract":"We investigated DNA methylomes of pediatric Bcell acute lymphoblastic leukemias (B-ALLs) using whole-genome bisulfite sequencing and highdefinition microarrays, along with RNA expression profiles. Epigenetic alteration of B-ALLs occurred in two tracks: de novo methylation of small functional compartments and demethylation of large intercompartmental backbones. The deviations were exaggerated in lamina-associated domains, with differences corresponding to methylation clusters and/or cytogenetic groups. Our data also suggested a pivotal role of polycomb and CTBP2 in de novo methylation, which may be traced back to bivalency status of embryonic stem cells. Driven by these potent epigenetic modulations, suppression of polycomb target genes was observed along with disruption of developmental fate and cell cycle and mismatch repair pathways and altered activities of key upstream regulators.","author":[{"dropping-particle":"","family":"Lee","given":"Seung Tae","non-dropping-particle":"","parse-names":false,"suffix":""},{"dropping-particle":"","family":"Muench","given":"Marcus O.","non-dropping-particle":"","parse-names":false,"suffix":""},{"dropping-particle":"","family":"Fomin","given":"Marina E.","non-dropping-particle":"","parse-names":false,"suffix":""},{"dropping-particle":"","family":"Xiao","given":"Jianqiao","non-dropping-particle":"","parse-names":false,"suffix":""},{"dropping-particle":"","family":"Zhou","given":"Mi","non-dropping-particle":"","parse-names":false,"suffix":""},{"dropping-particle":"","family":"Smith","given":"Adam","non-dropping-particle":"De","parse-names":false,"suffix":""},{"dropping-particle":"","family":"Martín-Subero","given":"José I.","non-dropping-particle":"","parse-names":false,"suffix":""},{"dropping-particle":"","family":"Heath","given":"Simon","non-dropping-particle":"","parse-names":false,"suffix":""},{"dropping-particle":"","family":"Houseman","given":"E. Andres","non-dropping-particle":"","parse-names":false,"suffix":""},{"dropping-particle":"","family":"Roy","g</w:instrText>
      </w:r>
      <w:r w:rsidR="00FC3E05" w:rsidRPr="00002888">
        <w:rPr>
          <w:rFonts w:ascii="Times New Roman" w:hAnsi="Times New Roman" w:cs="Times New Roman"/>
          <w:sz w:val="24"/>
          <w:szCs w:val="24"/>
          <w:lang w:val="es-CO"/>
        </w:rPr>
        <w:instrText>iven":"Ritu","non-dropping-particle":"","parse-names":false,"suffix":""},{"dropping-particle":"","family":"Wrensch","given":"Margaret","non-dropping-particle":"","parse-names":false,"suffix":""},{"dropping-particle":"","family":"Wiencke","given":"John","non-dropping-particle":"","parse-names":false,"suffix":""},{"dropping-particle":"","family":"Metayer","given":"Catherine","non-dropping-particle":"","parse-names":false,"suffix":""},{"dropping-particle":"","family":"Wiemels","given":"Joseph L.","non-dropping-particle":"","parse-names":false,"suffix":""}],"container-title":"Nucleic Acids Research","id":"ITEM-5","issue":"5","issued":{"date-parts":[["2015","3","11"]]},"page":"2590-2602","publisher":"Oxford University Press","title":"Epigenetic remodeling in B-cell acute lymphoblastic leukemia occurs in two tracks and employs embryonic stem cell-like signatures","type":"article-journal","volume":"43"},"uris":["http://www.mendeley.com/documents/?uuid=35e9af85-afcf-30f6-80f4-0e9c3778eec1"]}],"mendeley":{"formattedCitation":"(Duran-Ferrer et al., 2020; Kulis et al., 2015, 2012; Lee et al., 2015; Queirós et al., 2016)","plainTextFormattedCitation":"(Duran-Ferrer et al., 2020; Kulis et al., 2015, 2012; Lee et al., 2015; Queirós et al., 2016)","previouslyFormattedCitation":"(Duran-Ferrer et al., 2020; Kulis et al., 2015, 2012; Lee et al., 2015; Queirós et al., 2016)"},"properties":{"noteIndex":0},"schema":"https://github.com/citation-style-language/schema/raw/master/csl-citation.json"}</w:instrText>
      </w:r>
      <w:r w:rsidR="00A26404" w:rsidRPr="00002888">
        <w:rPr>
          <w:rFonts w:ascii="Times New Roman" w:hAnsi="Times New Roman" w:cs="Times New Roman"/>
          <w:sz w:val="24"/>
          <w:szCs w:val="24"/>
          <w:lang w:val="en-GB"/>
        </w:rPr>
        <w:fldChar w:fldCharType="separate"/>
      </w:r>
      <w:r w:rsidR="00AF441B" w:rsidRPr="00002888">
        <w:rPr>
          <w:rFonts w:ascii="Times New Roman" w:hAnsi="Times New Roman" w:cs="Times New Roman"/>
          <w:noProof/>
          <w:sz w:val="24"/>
          <w:szCs w:val="24"/>
          <w:lang w:val="es-CO"/>
        </w:rPr>
        <w:t>(Duran-Ferrer et al., 2020; Kulis et al., 2015, 2012; Lee et al., 2015; Queirós et al., 2016)</w:t>
      </w:r>
      <w:r w:rsidR="00A26404" w:rsidRPr="00002888">
        <w:rPr>
          <w:rFonts w:ascii="Times New Roman" w:hAnsi="Times New Roman" w:cs="Times New Roman"/>
          <w:sz w:val="24"/>
          <w:szCs w:val="24"/>
          <w:lang w:val="en-GB"/>
        </w:rPr>
        <w:fldChar w:fldCharType="end"/>
      </w:r>
      <w:r w:rsidRPr="00002888">
        <w:rPr>
          <w:rFonts w:ascii="Times New Roman" w:hAnsi="Times New Roman" w:cs="Times New Roman"/>
          <w:sz w:val="24"/>
          <w:szCs w:val="24"/>
          <w:lang w:val="es-CO"/>
        </w:rPr>
        <w:t xml:space="preserve">. </w:t>
      </w:r>
      <w:r w:rsidRPr="00002888">
        <w:rPr>
          <w:rFonts w:ascii="Times New Roman" w:hAnsi="Times New Roman" w:cs="Times New Roman"/>
          <w:sz w:val="24"/>
          <w:szCs w:val="24"/>
          <w:lang w:val="en-GB"/>
        </w:rPr>
        <w:t xml:space="preserve">Murine studies first demonstrated the crucial importance of epigenetic modifiers in various aspects of B-cell differentiation </w:t>
      </w:r>
      <w:r w:rsidR="00823B40" w:rsidRPr="00002888">
        <w:rPr>
          <w:rFonts w:ascii="Times New Roman" w:hAnsi="Times New Roman" w:cs="Times New Roman"/>
          <w:sz w:val="24"/>
          <w:szCs w:val="24"/>
          <w:lang w:val="en-GB"/>
        </w:rPr>
        <w:fldChar w:fldCharType="begin" w:fldLock="1"/>
      </w:r>
      <w:r w:rsidR="00934E50" w:rsidRPr="00002888">
        <w:rPr>
          <w:rFonts w:ascii="Times New Roman" w:hAnsi="Times New Roman" w:cs="Times New Roman"/>
          <w:sz w:val="24"/>
          <w:szCs w:val="24"/>
          <w:lang w:val="en-GB"/>
        </w:rPr>
        <w:instrText>ADDIN CSL_CITATION {"citationItems":[{"id":"ITEM-1","itemData":{"DOI":"10.1038/ni876","ISSN":"15292908","PMID":"12496962","abstract":"Polycomb group protein Ezh2 is an essential epigenetic regulator of embryonic development in mice, but its role in the adult organism is unknown. High expression of Ezh2 in developing murine lymphocytes suggests Ezh2 involvement in lymphopoiesis. Using Cre-mediated conditional mutagenesis, we demonstrated a critical role for Ezh2 in early B cell development and rearrangement of the immunoglobulin heavy chain gene (Igh). We also revealed Ezh2 as a key regulator of histone H3 methylation in early B cell progenitors. Our data suggest Ezh-2-dependent histone H3 methylation as a novel regulatory mechanism controlling Igh rearrangement during early murine B cell development.","author":[{"dropping-particle":"","family":"Su","given":"I. Hsin","non-dropping-particle":"","parse-names":false,"suffix":""},{"dropping-particle":"","family":"Basavaraj","given":"Ashwin","non-dropping-particle":"","parse-names":false,"suffix":""},{"dropping-particle":"","family":"Krutchinsky","given":"Andrew N.","non-dropping-particle":"","parse-names":false,"suffix":""},{"dropping-particle":"","family":"Hobert","given":"Oliver","non-dropping-particle":"","parse-names":false,"suffix":""},{"dropping-particle":"","family":"Ullrich","given":"Axel","non-dropping-particle":"","parse-names":false,"suffix":""},{"dropping-particle":"","family":"Chait","given":"Brian T.","non-dropping-particle":"","parse-names":false,"suffix":""},{"dropping-particle":"","family":"Tarakhovsky","given":"Alexander","non-dropping-particle":"","parse-names":false,"suffix":""}],"container-title":"Nature Immunology","id":"ITEM-1","issue":"2","issued":{"date-parts":[["2003","2","1"]]},"page":"124-131","publisher":"Nature Publishing Group","title":"Ezh2 controls B cell development through histone H3 methylation and Igh rearrangement","type":"article-journal","volume":"4"},"uris":["http://www.mendeley.com/documents/?uuid=a15cdbb9-dac1-3c18-bf15-58b27fb1a91e"]},{"id":"ITEM-2","itemData":{"DOI":"10.1016/S1074-7613(00)80516-6","ISSN":"10747613","PMID":"9252126","abstract":"mel-18 is a mammalian homolog of Drosophila melanogaster Polycomb group genes. Mice lacking the mel-18 gene show a posterior transformation of the axial skeleton, severe combined immunodeficiency, and a food-passing disturbance in the lower intestine due to hypertrophy of the smooth muscle layer. In this study, the severe combined immunodeficiency observed in mel- 18 mutant mice is correlated with the impaired mitotic response of lymphocyte precursors upon interleukin-7 stimulation. Strikingly, the axial skeleton and lymphoid phenotypes are identical in both mel-18 and bmi-1 mutants, indicating that the Mel-18 and Bmi-1 gene products might act in the same genetic cascade. These results suggest that mammalian Polycomb group gene products are involved in cell cycle progression in the immune system.","author":[{"dropping-particle":"","family":"Akasaka","given":"Takeshi","non-dropping-particle":"","parse-names":false,"suffix":""},{"dropping-particle":"","family":"Tsuji","given":"Koh Ichiro","non-dropping-particle":"","parse-names":false,"suffix":""},{"dropping-particle":"","family":"Kawahira","given":"Hiroshi","non-dropping-particle":"","parse-names":false,"suffix":""},{"dropping-particle":"","family":"Kanno","given":"Masamoto","non-dropping-particle":"","parse-names":false,"suffix":""},{"dropping-particle":"","family":"Harigaya","given":"Ken Ichi","non-dropping-particle":"","parse-names":false,"suffix":""},{"dropping-particle":"","family":"Hu","given":"Lina","non-dropping-particle":"","parse-names":false,"suffix":""},{"dropping-particle":"","family":"Ebihara","given":"Yasuhiro","non-dropping-particle":"","parse-names":false,"suffix":""},{"dropping-particle":"","family":"Nakahata","given":"Tatsutoshi","non-dropping-particle":"","parse-names":false,"suffix":""},{"dropping-particle":"","family":"Tetsu","given":"Osamu","non-dropping-particle":"","parse-names":false,"suffix":""},{"dropping-particle":"","family":"Taniguchi","given":"Masaru","non-dropping-particle":"","parse-names":false,"suffix":""},{"dropping-particle":"","family":"Koseki","given":"Haruhiko","non-dropping-particle":"","parse-names":false,"suffix":""}],"container-title":"Immunity","id":"ITEM-2","issue":"1","issued":{"date-parts":[["1997","7","1"]]},"page":"135-146","publisher":"Cell Press","title":"The role of mel-18, a mammalian polycomb group gene, during IL-7- dependent proliferation of lymphocyte precursors","type":"article-journal","volume":"7"},"uris":["http://www.mendeley.com/documents/?uuid=0503fddf-2468-3020-b276-203f0a4336fb"]}],"mendeley":{"formattedCitation":"(Akasaka et al., 1997; Su et al., 2003)","plainTextFormattedCitation":"(Akasaka et al., 1997; Su et al., 2003)","previouslyFormattedCitation":"(Akasaka et al., 1997; Su et al., 2003)"},"properties":{"noteIndex":0},"schema":"https://github.com/citation-style-language/schema/raw/master/csl-citation.json"}</w:instrText>
      </w:r>
      <w:r w:rsidR="00823B40" w:rsidRPr="00002888">
        <w:rPr>
          <w:rFonts w:ascii="Times New Roman" w:hAnsi="Times New Roman" w:cs="Times New Roman"/>
          <w:sz w:val="24"/>
          <w:szCs w:val="24"/>
          <w:lang w:val="en-GB"/>
        </w:rPr>
        <w:fldChar w:fldCharType="separate"/>
      </w:r>
      <w:r w:rsidR="00823B40" w:rsidRPr="00002888">
        <w:rPr>
          <w:rFonts w:ascii="Times New Roman" w:hAnsi="Times New Roman" w:cs="Times New Roman"/>
          <w:noProof/>
          <w:sz w:val="24"/>
          <w:szCs w:val="24"/>
          <w:lang w:val="en-GB"/>
        </w:rPr>
        <w:t>(Akasaka et al., 1997; Su et al., 2003)</w:t>
      </w:r>
      <w:r w:rsidR="00823B40" w:rsidRPr="00002888">
        <w:rPr>
          <w:rFonts w:ascii="Times New Roman" w:hAnsi="Times New Roman" w:cs="Times New Roman"/>
          <w:sz w:val="24"/>
          <w:szCs w:val="24"/>
          <w:lang w:val="en-GB"/>
        </w:rPr>
        <w:fldChar w:fldCharType="end"/>
      </w:r>
      <w:r w:rsidR="0063192B" w:rsidRPr="00002888">
        <w:rPr>
          <w:rFonts w:ascii="Times New Roman" w:hAnsi="Times New Roman" w:cs="Times New Roman"/>
          <w:sz w:val="24"/>
          <w:szCs w:val="24"/>
          <w:lang w:val="en-GB"/>
        </w:rPr>
        <w:t xml:space="preserve"> and m</w:t>
      </w:r>
      <w:r w:rsidRPr="00002888">
        <w:rPr>
          <w:rFonts w:ascii="Times New Roman" w:hAnsi="Times New Roman" w:cs="Times New Roman"/>
          <w:sz w:val="24"/>
          <w:szCs w:val="24"/>
          <w:lang w:val="en-GB"/>
        </w:rPr>
        <w:t xml:space="preserve">ore recently, high-resolution genome-wide analysis of sorted B-cell subsets have mapped the DNA methylome during critical stages of human B-cell development </w:t>
      </w:r>
      <w:r w:rsidRPr="00002888">
        <w:rPr>
          <w:rFonts w:ascii="Times New Roman" w:hAnsi="Times New Roman" w:cs="Times New Roman"/>
          <w:sz w:val="24"/>
          <w:szCs w:val="24"/>
          <w:lang w:val="en-GB"/>
        </w:rPr>
        <w:fldChar w:fldCharType="begin" w:fldLock="1"/>
      </w:r>
      <w:r w:rsidR="00B21490" w:rsidRPr="00002888">
        <w:rPr>
          <w:rFonts w:ascii="Times New Roman" w:hAnsi="Times New Roman" w:cs="Times New Roman"/>
          <w:sz w:val="24"/>
          <w:szCs w:val="24"/>
          <w:lang w:val="en-GB"/>
        </w:rPr>
        <w:instrText>ADDIN CSL_CITATION {"citationItems":[{"id":"ITEM-1","itemData":{"DOI":"10.1038/ng.3291","ISSN":"15461718","PMID":"26053498","abstract":"We analyzed the DNA methylome of ten subpopulations spanning the entire B cell differentiation program by whole-genome bisulfite sequencing and high-density microarrays. We observed that non-CpG methylation disappeared upon B cell commitment, whereas CpG methylation changed extensively during B cell maturation, showing an accumulative pattern and affecting around 30% of all measured CpG sites. Early differentiation stages mainly displayed enhancer demethylation, which was associated with upregulation of key B cell transcription factors and affected multiple genes involved in B cell biology. Late differentiation stages, in contrast, showed extensive demethylation of heterochromatin and methylation gain at Polycomb-repressed areas, and genes with apparent functional impact in B cells were not affected. This signature, which has previously been linked to aging and cancer, was particularly widespread in mature cells with an extended lifespan. Comparing B cell neoplasms with their normal counterparts, we determined that they frequently acquire methylation changes in regions already undergoing dynamic methylation during normal B cell differentiation.","author":[{"dropping-particle":"","family":"Kulis","given":"Marta","non-dropping-particle":"","parse-names":false,"suffix":""},{"dropping-particle":"","family":"Merkel","given":"Angelika","non-dropping-particle":"","parse-names":false,"suffix":""},{"dropping-particle":"","family":"Heath","given":"Simon","non-dropping-particle":"","parse-names":false,"suffix":""},{"dropping-particle":"","family":"Queirós","given":"Ana C.","non-dropping-particle":"","parse-names":false,"suffix":""},{"dropping-particle":"","family":"Schuyler","given":"Ronald P.","non-dropping-particle":"","parse-names":false,"suffix":""},{"dropping-particle":"","family":"Castellano","given":"Giancarlo","non-dropping-particle":"","parse-names":false,"suffix":""},{"dropping-particle":"","family":"Beekman","given":"Renée","non-dropping-particle":"","parse-names":false,"suffix":""},{"dropping-particle":"","family":"Raineri","given":"Emanuele","non-dropping-particle":"","parse-names":false,"suffix":""},{"dropping-particle":"","family":"Esteve","given":"Anna","non-dropping-particle":"","parse-names":false,"suffix":""},{"dropping-particle":"","family":"Clot","given":"Guillem","non-dropping-particle":"","parse-names":false,"suffix":""},{"dropping-particle":"","family":"Verdaguer-Dot","given":"Néria","non-dropping-particle":"","parse-names":false,"suffix":""},{"dropping-particle":"","family":"Duran-Ferrer","given":"Martí","non-dropping-particle":"","parse-names":false,"suffix":""},{"dropping-particle":"","family":"Russiñol","given":"Nuria","non-dropping-particle":"","parse-names":false,"suffix":""},{"dropping-particle":"","family":"Vilarrasa-Blasi","given":"Roser","non-dropping-particle":"","parse-names":false,"suffix":""},{"dropping-particle":"","family":"Ecker","given":"Simone","non-dropping-particle":"","parse-names":false,"suffix":""},{"dropping-particle":"","family":"Pancaldi","given":"Vera","non-dropping-particle":"","parse-names":false,"suffix":""},{"dropping-particle":"","family":"Rico","given":"Daniel","non-dropping-particle":"","parse-names":false,"suffix":""},{"dropping-particle":"","family":"Agueda","given":"Lidia","non-dropping-particle":"","parse-names":false,"suffix":""},{"dropping-particle":"","family":"Blanc","given":"Julie","non-dropping-particle":"","parse-names":false,"suffix":""},{"dropping-particle":"","family":"Richardson","given":"David","non-dropping-particle":"","parse-names":false,"suffix":""},{"dropping-particle":"","family":"Clarke","given":"Laura","non-dropping-particle":"","parse-names":false,"suffix":""},{"dropping-particle":"","family":"Datta","given":"Avik","non-dropping-particle":"","parse-names":false,"suffix":""},{"dropping-particle":"","family":"Pascual","given":"Marien","non-dropping-particle":"","parse-names":false,"suffix":""},{"dropping-particle":"","family":"Agirre","given":"Xabier","non-dropping-particle":"","parse-names":false,"suffix":""},{"dropping-particle":"","family":"Prosper","given":"Felipe","non-dropping-particle":"","parse-names":false,"suffix":""},{"dropping-particle":"","family":"Alignani","given":"Diego","non-dropping-particle":"","parse-names":false,"suffix":""},{"dropping-particle":"","family":"Paiva","given":"Bruno","non-dropping-particle":"","parse-names":false,"suffix":""},{"dropping-particle":"","family":"Caron","given":"Gersende","non-dropping-particle":"","parse-names":false,"suffix":""},{"dropping-particle":"","family":"Fest","given":"Thierry","non-dropping-particle":"","parse-names":false,"suffix":""},{"dropping-particle":"","family":"Muench","given":"Marcus O.","non-dropping-particle":"","parse-names":false,"suffix":""},{"dropping-particle":"","family":"Fomin","given":"Marina E.","non-dropping-particle":"","parse-names":false,"suffix":""},{"dropping-particle":"","family":"Lee","given":"Seung Tae","non-dropping-particle":"","parse-names":false,"suffix":""},{"dropping-particle":"","family":"Wiemels","given":"Joseph L.","non-dropping-particle":"","parse-names":false,"suffix":""},{"dropping-particle":"","family":"Valencia","given":"Alfonso","non-dropping-particle":"","parse-names":false,"suffix":""},{"dropping-particle":"","family":"Gut","given":"Marta","non-dropping-particle":"","parse-names":false,"suffix":""},{"dropping-particle":"","family":"Flicek","given":"Paul","non-dropping-particle":"","parse-names":false,"suffix":""},{"dropping-particle":"","family":"Stunnenberg","given":"Hendrik G.","non-dropping-particle":"","parse-names":false,"suffix":""},{"dropping-particle":"","family":"Siebert","given":"Reiner","non-dropping-particle":"","parse-names":false,"suffix":""},{"dropping-particle":"","family":"Küppers","given":"Ralf","non-dropping-particle":"","parse-names":false,"suffix":""},{"dropping-particle":"","family":"Gut","given":"Ivo G.","non-dropping-particle":"","parse-names":false,"suffix":""},{"dropping-particle":"","family":"Campo","given":"Elías","non-dropping-particle":"","parse-names":false,"suffix":""},{"dropping-particle":"","family":"Martín-Subero","given":"José I.","non-dropping-particle":"","parse-names":false,"suffix":""}],"container-title":"Nature Genetics","id":"ITEM-1","issue":"7","issued":{"date-parts":[["2015","6","26"]]},"page":"746-756","publisher":"Nature Publishing Group","title":"Whole-genome fingerprint of the DNA methylome during human B cell differentiation","type":"article-journal","volume":"47"},"uris":["http://www.mendeley.com/documents/?uuid=bcf31f26-9247-3503-993c-15cee2509ec8"]},{"id":"ITEM-2","itemData":{"DOI":"10.1038/ng.3488","ISSN":"15461718","PMID":"26780610","abstract":"Charting differences between tumors and normal tissue is a mainstay of cancer research. However, clonal tumor expansion from complex normal tissue architectures potentially obscures cancer-specific events, including divergent epigenetic patterns. Using whole-genome bisulfite sequencing of normal B cell subsets, we observed broad epigenetic programming of selective transcription factor binding sites coincident with the degree of B cell maturation. By comparing normal B cells to malignant B cells from 268 patients with chronic lymphocytic leukemia (CLL), we showed that tumors derive largely from a continuum of maturation states reflected in normal developmental stages. Epigenetic maturation in CLL was associated with an indolent gene expression pattern and increasingly favorable clinical outcomes. We further uncovered that most previously reported tumor-specific methylation events are normally present in non-malignant B cells. Instead, we identified a potential pathogenic role for transcription factor dysregulation in CLL, where excess programming by EGR and NFAT with reduced EBF and AP-1 programming imbalances the normal B cell epigenetic program.","author":[{"dropping-particle":"","family":"Oakes","given":"Christopher C.","non-dropping-particle":"","parse-names":false,"suffix":""},{"dropping-particle":"","family":"Seifert","given":"Marc","non-dropping-particle":"","parse-names":false,"suffix":""},{"dropping-particle":"","family":"Assenov","given":"Yassen","non-dropping-particle":"","parse-names":false,"suffix":""},{"dropping-particle":"","family":"Gu","given":"Lei","non-dropping-particle":"","parse-names":false,"suffix":""},{"dropping-particle":"","family":"Przekopowitz","given":"Martina","non-dropping-particle":"","parse-names":false,"suffix":""},{"dropping-particle":"","family":"Ruppert","given":"Amy S.","non-dropping-particle":"","parse-names":false,"suffix":""},{"dropping-particle":"","family":"Wang","given":"Qi","non-dropping-particle":"","parse-names":false,"suffix":""},{"dropping-particle":"","family":"Imbusch","given":"Charles D.","non-dropping-particle":"","parse-names":false,"suffix":""},{"dropping-particle":"","family":"Serva","given":"Andrius","non-dropping-particle":"","parse-names":false,"suffix":""},{"dropping-particle":"","family":"Koser","given":"Sandra D.","non-dropping-particle":"","parse-names":false,"suffix":""},{"dropping-particle":"","family":"Brocks","given":"David","non-dropping-particle":"","parse-names":false,"suffix":""},{"dropping-particle":"","family":"Lipka","given":"Daniel B.","non-dropping-particle":"","parse-names":false,"suffix":""},{"dropping-particle":"","family":"Bogatyrova","given":"Olga","non-dropping-particle":"","parse-names":false,"suffix":""},{"dropping-particle":"","family":"Weichenhan","given":"Dieter","non-dropping-particle":"","parse-names":false,"suffix":""},{"dropping-particle":"","family":"Brors","given":"Benedikt","non-dropping-particle":"","parse-names":false,"suffix":""},{"dropping-particle":"","family":"Rassenti","given":"Laura","non-dropping-particle":"","parse-names":false,"suffix":""},{"dropping-particle":"","family":"Kipps","given":"Thomas J.","non-dropping-particle":"","parse-names":false,"suffix":""},{"dropping-particle":"","family":"Mertens","given":"Daniel","non-dropping-particle":"","parse-names":false,"suffix":""},{"dropping-particle":"","family":"Zapatka","given":"Marc","non-dropping-particle":"","parse-names":false,"suffix":""},{"dropping-particle":"","family":"Lichter","given":"Peter","non-dropping-particle":"","parse-names":false,"suffix":""},{"dropping-particle":"","family":"Döhner","given":"Hartmut","non-dropping-particle":"","parse-names":false,"suffix":""},{"dropping-particle":"","family":"Küppers","given":"Ralf","non-dropping-particle":"","parse-names":false,"suffix":""},{"dropping-particle":"","family":"Zenz","given":"Thorsten","non-dropping-particle":"","parse-names":false,"suffix":""},{"dropping-particle":"","family":"Stilgenbauer","given":"Stephan","non-dropping-particle":"","parse-names":false,"suffix":""},{"dropping-particle":"","family":"Byrd","given":"John C.","non-dropping-particle":"","parse-names":false,"suffix":""},{"dropping-particle":"","family":"Plass","given":"Christoph","non-dropping-particle":"","parse-names":false,"suffix":""}],"container-title":"Nature Genetics","id":"ITEM-2","issue":"3","issued":{"date-parts":[["2016","3","1"]]},"page":"253-264","publisher":"Nature Publishing Group","title":"DNA methylation dynamics during B cell maturation underlie a continuum of disease phenotypes in chronic lymphocytic leukemia","type":"article-journal","volume":"48"},"uris":["http://www.mendeley.com/documents/?uuid=22538650-1448-33b0-a735-ed32f6a7fe43"]},{"id":"ITEM-3","itemData":{"DOI":"10.1038/nature12433","ISSN":"00280836","PMID":"23925113","abstract":"DNA methylation is a defining feature of mammalian cellular identity and is essential for normal development. Most cell types, except germ cells and pre-implantation embryos, display relatively stable DNA methylation patterns, with 70-80% of all CpGs being methylated. Despite recent advances, we still have a limited understanding of when, where and how many CpGs participate in genomic regulation. Here we report the in-depth analysis of 42 whole-genome bisulphite sequencing data sets across 30 diverse human cell and tissue types. We observe dynamic regulation for only 21.8% of autosomal CpGs within a normal developmental context, most of which are distal to transcription start sites. These dynamic CpGs co-localize with gene regulatory elements, particularly enhancers and transcription-factor-binding sites, which allow identification of key lineage-specific regulators. In addition, differentially methylated regions (DMRs) often contain single nucleotide polymorphisms associated with cell-type-related diseases as determined by genome-wide association studies. The results also highlight the general inefficiency of whole-genome bisulphite sequencing, as 70-80% of the sequencing reads across these data sets provided little or no relevant information about CpG methylation. To demonstrate further the utility of our DMR set, we use it to classify unknown samples and identify representative signature regions that recapitulate major DNA methylation dynamics. In summary, although in theory every CpG can change its methylation state, our results suggest that only a fraction does so as part of coordinated regulatory programs. Therefore, our selected DMRs can serve as a starting point to guide new, more effective reduced representation approaches to capture the most informative fraction of CpGs, as well as further pinpoint putative regulatory elements. © 2013 Macmillan Publishers Limited. All rights reserved.","author":[{"dropping-particle":"","family":"Ziller","given":"Michael J.","non-dropping-particle":"","parse-names":false,"suffix":""},{"dropping-particle":"","family":"Gu","given":"Hongcang","non-dropping-particle":"","parse-names":false,"suffix":""},{"dropping-particle":"","family":"Müller","given":"Fabian","non-dropping-particle":"","parse-names":false,"suffix":""},{"dropping-particle":"","family":"Donaghey","given":"Julie","non-dropping-particle":"","parse-names":false,"suffix":""},{"dropping-particle":"","family":"Tsai","given":"Linus T.Y.","non-dropping-particle":"","parse-names":false,"suffix":""},{"dropping-particle":"","family":"Kohlbacher","given":"Oliver","non-dropping-particle":"","parse-names":false,"suffix":""},{"dropping-particle":"","family":"Jager","given":"Philip L.","non-dropping-particle":"De","parse-names":false,"suffix":""},{"dropping-particle":"","family":"Rosen","given":"Evan D.","non-dropping-particle":"","parse-names":false,"suffix":""},{"dropping-particle":"","family":"Bennett","given":"David A.","non-dropping-particle":"","parse-names":false,"suffix":""},{"dropping-particle":"","family":"Bernstein","given":"Bradley E.","non-dropping-particle":"","parse-names":false,"suffix":""},{"dropping-particle":"","family":"Gnirke","given":"Andreas","non-dropping-particle":"","parse-names":false,"suffix":""},{"dropping-particle":"","family":"Meissner","given":"Alexander","non-dropping-particle":"","parse-names":false,"suffix":""}],"container-title":"Nature","id":"ITEM-3","issue":"7463","issued":{"date-parts":[["2013"]]},"page":"477-481","publisher":"NIH Public Access","title":"Charting a dynamic DNA methylation landscape of the human genome","type":"article-journal","volume":"500"},"uris":["http://www.mendeley.com/documents/?uuid=7a267e28-15fe-367d-8ccb-f16e2869699b"]}],"mendeley":{"formattedCitation":"(Kulis et al., 2015; Oakes et al., 2016; Ziller et al., 2013)","plainTextFormattedCitation":"(Kulis et al., 2015; Oakes et al., 2016; Ziller et al., 2013)","previouslyFormattedCitation":"(Kulis et al., 2015; Oakes et al., 2016; Ziller et al., 2013)"},"properties":{"noteIndex":0},"schema":"https://github.com/citation-style-language/schema/raw/master/csl-citation.json"}</w:instrText>
      </w:r>
      <w:r w:rsidRPr="00002888">
        <w:rPr>
          <w:rFonts w:ascii="Times New Roman" w:hAnsi="Times New Roman" w:cs="Times New Roman"/>
          <w:sz w:val="24"/>
          <w:szCs w:val="24"/>
          <w:lang w:val="en-GB"/>
        </w:rPr>
        <w:fldChar w:fldCharType="separate"/>
      </w:r>
      <w:r w:rsidRPr="00002888">
        <w:rPr>
          <w:rFonts w:ascii="Times New Roman" w:hAnsi="Times New Roman" w:cs="Times New Roman"/>
          <w:noProof/>
          <w:sz w:val="24"/>
          <w:szCs w:val="24"/>
          <w:lang w:val="en-GB"/>
        </w:rPr>
        <w:t>(Kulis et al., 2015; Oakes et al., 2016; Ziller et al., 2013)</w:t>
      </w:r>
      <w:r w:rsidRPr="00002888">
        <w:rPr>
          <w:rFonts w:ascii="Times New Roman" w:hAnsi="Times New Roman" w:cs="Times New Roman"/>
          <w:sz w:val="24"/>
          <w:szCs w:val="24"/>
          <w:lang w:val="en-GB"/>
        </w:rPr>
        <w:fldChar w:fldCharType="end"/>
      </w:r>
      <w:r w:rsidRPr="00002888">
        <w:rPr>
          <w:rFonts w:ascii="Times New Roman" w:hAnsi="Times New Roman" w:cs="Times New Roman"/>
          <w:sz w:val="24"/>
          <w:szCs w:val="24"/>
          <w:lang w:val="en-GB"/>
        </w:rPr>
        <w:t>. These studies suggest that the B-cells are the lineage most defined by changes in DNA methylation with up to 30% of the human DNA methylome modified during cell maturation, particularly global changes</w:t>
      </w:r>
      <w:r w:rsidR="00F67D6A" w:rsidRPr="00002888">
        <w:rPr>
          <w:rFonts w:ascii="Times New Roman" w:hAnsi="Times New Roman" w:cs="Times New Roman"/>
          <w:sz w:val="24"/>
          <w:szCs w:val="24"/>
          <w:lang w:val="en-GB"/>
        </w:rPr>
        <w:t xml:space="preserve"> a</w:t>
      </w:r>
      <w:r w:rsidRPr="00002888">
        <w:rPr>
          <w:rFonts w:ascii="Times New Roman" w:hAnsi="Times New Roman" w:cs="Times New Roman"/>
          <w:sz w:val="24"/>
          <w:szCs w:val="24"/>
          <w:lang w:val="en-GB"/>
        </w:rPr>
        <w:t xml:space="preserve">ffecting heterochromatin, DNA repeats and </w:t>
      </w:r>
      <w:proofErr w:type="spellStart"/>
      <w:r w:rsidRPr="00002888">
        <w:rPr>
          <w:rFonts w:ascii="Times New Roman" w:hAnsi="Times New Roman" w:cs="Times New Roman"/>
          <w:sz w:val="24"/>
          <w:szCs w:val="24"/>
          <w:lang w:val="en-GB"/>
        </w:rPr>
        <w:t>polycomb</w:t>
      </w:r>
      <w:proofErr w:type="spellEnd"/>
      <w:r w:rsidRPr="00002888">
        <w:rPr>
          <w:rFonts w:ascii="Times New Roman" w:hAnsi="Times New Roman" w:cs="Times New Roman"/>
          <w:sz w:val="24"/>
          <w:szCs w:val="24"/>
          <w:lang w:val="en-GB"/>
        </w:rPr>
        <w:t xml:space="preserve"> repressor regions, and specific alterations targeting lineage defining enhancers and promoters. </w:t>
      </w:r>
      <w:r w:rsidR="00EB7494" w:rsidRPr="00002888">
        <w:rPr>
          <w:rFonts w:ascii="Times New Roman" w:hAnsi="Times New Roman" w:cs="Times New Roman"/>
          <w:sz w:val="24"/>
          <w:szCs w:val="24"/>
          <w:lang w:val="en-GB"/>
        </w:rPr>
        <w:t>A number of mature B-cell tumours ha</w:t>
      </w:r>
      <w:r w:rsidRPr="00002888">
        <w:rPr>
          <w:rFonts w:ascii="Times New Roman" w:hAnsi="Times New Roman" w:cs="Times New Roman"/>
          <w:sz w:val="24"/>
          <w:szCs w:val="24"/>
          <w:lang w:val="en-GB"/>
        </w:rPr>
        <w:t>ve</w:t>
      </w:r>
      <w:r w:rsidR="00EB7494" w:rsidRPr="00002888">
        <w:rPr>
          <w:rFonts w:ascii="Times New Roman" w:hAnsi="Times New Roman" w:cs="Times New Roman"/>
          <w:sz w:val="24"/>
          <w:szCs w:val="24"/>
          <w:lang w:val="en-GB"/>
        </w:rPr>
        <w:t xml:space="preserve"> been analysed at the DNA methylation level, exhibiting a global reduction in methylation levels, principally the result of hypomethylation in heterochromatic sequences that correlates with the maturation state of the putative founding normal cell type. Specific DNA hypermethylation is observed in these tumours and is highly correlated with sequences known to display </w:t>
      </w:r>
      <w:proofErr w:type="spellStart"/>
      <w:r w:rsidR="00EB7494" w:rsidRPr="00002888">
        <w:rPr>
          <w:rFonts w:ascii="Times New Roman" w:hAnsi="Times New Roman" w:cs="Times New Roman"/>
          <w:sz w:val="24"/>
          <w:szCs w:val="24"/>
          <w:lang w:val="en-GB"/>
        </w:rPr>
        <w:t>polycomb</w:t>
      </w:r>
      <w:proofErr w:type="spellEnd"/>
      <w:r w:rsidR="00EB7494" w:rsidRPr="00002888">
        <w:rPr>
          <w:rFonts w:ascii="Times New Roman" w:hAnsi="Times New Roman" w:cs="Times New Roman"/>
          <w:sz w:val="24"/>
          <w:szCs w:val="24"/>
          <w:lang w:val="en-GB"/>
        </w:rPr>
        <w:t xml:space="preserve"> repression in normal cells. Unlike other mature B-cell tumours, SMZL is under-studied at the DNA methylation level, </w:t>
      </w:r>
      <w:r w:rsidR="00EB7494" w:rsidRPr="00002888">
        <w:rPr>
          <w:rFonts w:ascii="Times New Roman" w:hAnsi="Times New Roman" w:cs="Times New Roman"/>
          <w:color w:val="201F1E"/>
          <w:sz w:val="24"/>
          <w:szCs w:val="24"/>
          <w:shd w:val="clear" w:color="auto" w:fill="FFFFFF"/>
          <w:lang w:val="en-GB"/>
        </w:rPr>
        <w:t xml:space="preserve">with only a single study published that employed microarray-based promoter methylation and gene expression analysis, correlated with genomic and clinical outcome data </w:t>
      </w:r>
      <w:r w:rsidR="00EB7494" w:rsidRPr="00002888">
        <w:rPr>
          <w:rFonts w:ascii="Times New Roman" w:hAnsi="Times New Roman" w:cs="Times New Roman"/>
          <w:color w:val="202020"/>
          <w:sz w:val="24"/>
          <w:szCs w:val="24"/>
          <w:shd w:val="clear" w:color="auto" w:fill="FFFFFF"/>
          <w:lang w:val="en-GB"/>
        </w:rPr>
        <w:fldChar w:fldCharType="begin" w:fldLock="1"/>
      </w:r>
      <w:r w:rsidR="00EB4D78" w:rsidRPr="00002888">
        <w:rPr>
          <w:rFonts w:ascii="Times New Roman" w:hAnsi="Times New Roman" w:cs="Times New Roman"/>
          <w:color w:val="202020"/>
          <w:sz w:val="24"/>
          <w:szCs w:val="24"/>
          <w:shd w:val="clear" w:color="auto" w:fill="FFFFFF"/>
          <w:lang w:val="en-GB"/>
        </w:rPr>
        <w:instrText>ADDIN CSL_CITATION {"citationItems":[{"id":"ITEM-1","itemData":{"DOI":"10.1182/blood-2014-08-596247","ISSN":"0006-4971","PMID":"25612624","abstract":"Methylation profiling identifies subgroups of SMZL with distinct biological features. Demethylating agents can reverse some of the adverse epigenetic alterations.","author":[{"dropping-particle":"","family":"Arribas","given":"Alberto J.","non-dropping-particle":"","parse-names":false,"suffix":""},{"dropping-particle":"","family":"Rinaldi","given":"Andrea","non-dropping-particle":"","parse-names":false,"suffix":""},{"dropping-particle":"","family":"Mensah","given":"Afua A.","non-dropping-particle":"","parse-names":false,"suffix":""},{"dropping-particle":"","family":"Kwee","given":"Ivo","non-dropping-particle":"","parse-names":false,"suffix":""},{"dropping-particle":"","family":"Cascione","given":"Luciano","non-dropping-particle":"","parse-names":false,"suffix":""},{"dropping-particle":"","family":"Robles","given":"Eloy F.","non-dropping-particle":"","parse-names":false,"suffix":""},{"dropping-particle":"","family":"Martinez-Climent","given":"Jose A.","non-dropping-particle":"","parse-names":false,"suffix":""},{"dropping-particle":"","family":"Oscier","given":"David","non-dropping-particle":"","parse-names":false,"suffix":""},{"dropping-particle":"","family":"Arcaini","given":"Luca","non-dropping-particle":"","parse-names":false,"suffix":""},{"dropping-particle":"","family":"Baldini","given":"Luca","non-dropping-particle":"","parse-names":false,"suffix":""},{"dropping-particle":"","family":"Marasca","given":"Roberto","non-dropping-particle":"","parse-names":false,"suffix":""},{"dropping-particle":"","family":"Thieblemont","given":"Catherine","non-dropping-particle":"","parse-names":false,"suffix":""},{"dropping-particle":"","family":"Briere","given":"Josette","non-dropping-particle":"","parse-names":false,"suffix":""},{"dropping-particle":"","family":"Forconi","given":"Francesco","non-dropping-particle":"","parse-names":false,"suffix":""},{"dropping-particle":"","family":"Zamò","given":"Alberto","non-dropping-particle":"","parse-names":false,"suffix":""},{"dropping-particle":"","family":"Bonifacio","given":"Massimiliano","non-dropping-particle":"","parse-names":false,"suffix":""},{"dropping-particle":"","family":"Mollejo","given":"Manuela","non-dropping-particle":"","parse-names":false,"suffix":""},{"dropping-particle":"","family":"Facchetti","given":"Fabio","non-dropping-particle":"","parse-names":false,"suffix":""},{"dropping-particle":"","family":"Dirnhofer","given":"Stephan","non-dropping-particle":"","parse-names":false,"suffix":""},{"dropping-particle":"","family":"Ponzoni","given":"Maurilio","non-dropping-particle":"","parse-names":false,"suffix":""},{"dropping-particle":"","family":"Bhagat","given":"Govind","non-dropping-particle":"","parse-names":false,"suffix":""},{"dropping-particle":"","family":"Piris","given":"Miguel A.","non-dropping-particle":"","parse-names":false,"suffix":""},{"dropping-particle":"","family":"Gaidano","given":"Gianluca","non-dropping-particle":"","parse-names":false,"suffix":""},{"dropping-particle":"","family":"Zucca","given":"Emanuele","non-dropping-particle":"","parse-names":false,"suffix":""},{"dropping-particle":"","family":"Rossi","given":"Davide","non-dropping-particle":"","parse-names":false,"suffix":""},{"dropping-particle":"","family":"Bertoni","given":"Francesco","non-dropping-particle":"","parse-names":false,"suffix":""}],"container-title":"Blood","id":"ITEM-1","issue":"12","issued":{"date-parts":[["2015","3","19"]]},"page":"1922-1931","title":"DNA methylation profiling identifies two splenic marginal zone lymphoma subgroups with different clinical and genetic features","type":"article-journal","volume":"125"},"uris":["http://www.mendeley.com/documents/?uuid=f9d5c83f-ede8-4d1a-b946-90f6b7efba70"]}],"mendeley":{"formattedCitation":"(Arribas et al., 2015)","plainTextFormattedCitation":"(Arribas et al., 2015)","previouslyFormattedCitation":"(Arribas et al., 2015)"},"properties":{"noteIndex":0},"schema":"https://github.com/citation-style-language/schema/raw/master/csl-citation.json"}</w:instrText>
      </w:r>
      <w:r w:rsidR="00EB7494" w:rsidRPr="00002888">
        <w:rPr>
          <w:rFonts w:ascii="Times New Roman" w:hAnsi="Times New Roman" w:cs="Times New Roman"/>
          <w:color w:val="202020"/>
          <w:sz w:val="24"/>
          <w:szCs w:val="24"/>
          <w:shd w:val="clear" w:color="auto" w:fill="FFFFFF"/>
          <w:lang w:val="en-GB"/>
        </w:rPr>
        <w:fldChar w:fldCharType="separate"/>
      </w:r>
      <w:r w:rsidR="00A15967" w:rsidRPr="00002888">
        <w:rPr>
          <w:rFonts w:ascii="Times New Roman" w:hAnsi="Times New Roman" w:cs="Times New Roman"/>
          <w:noProof/>
          <w:color w:val="202020"/>
          <w:sz w:val="24"/>
          <w:szCs w:val="24"/>
          <w:shd w:val="clear" w:color="auto" w:fill="FFFFFF"/>
          <w:lang w:val="en-GB"/>
        </w:rPr>
        <w:t>(Arribas et al., 2015)</w:t>
      </w:r>
      <w:r w:rsidR="00EB7494" w:rsidRPr="00002888">
        <w:rPr>
          <w:rFonts w:ascii="Times New Roman" w:hAnsi="Times New Roman" w:cs="Times New Roman"/>
          <w:color w:val="202020"/>
          <w:sz w:val="24"/>
          <w:szCs w:val="24"/>
          <w:shd w:val="clear" w:color="auto" w:fill="FFFFFF"/>
          <w:lang w:val="en-GB"/>
        </w:rPr>
        <w:fldChar w:fldCharType="end"/>
      </w:r>
      <w:r w:rsidR="00EB7494" w:rsidRPr="00002888">
        <w:rPr>
          <w:rFonts w:ascii="Times New Roman" w:hAnsi="Times New Roman" w:cs="Times New Roman"/>
          <w:color w:val="202020"/>
          <w:sz w:val="24"/>
          <w:szCs w:val="24"/>
          <w:shd w:val="clear" w:color="auto" w:fill="FFFFFF"/>
          <w:lang w:val="en-GB"/>
        </w:rPr>
        <w:t xml:space="preserve">. </w:t>
      </w:r>
    </w:p>
    <w:p w14:paraId="6A744D30" w14:textId="77777777" w:rsidR="00002888" w:rsidRPr="00002888" w:rsidRDefault="00002888" w:rsidP="00002888">
      <w:pPr>
        <w:spacing w:before="0" w:after="0" w:line="360" w:lineRule="auto"/>
        <w:jc w:val="left"/>
        <w:rPr>
          <w:rFonts w:ascii="Times New Roman" w:hAnsi="Times New Roman" w:cs="Times New Roman"/>
          <w:color w:val="202020"/>
          <w:sz w:val="24"/>
          <w:szCs w:val="24"/>
          <w:shd w:val="clear" w:color="auto" w:fill="FFFFFF"/>
          <w:lang w:val="en-GB"/>
        </w:rPr>
      </w:pPr>
    </w:p>
    <w:p w14:paraId="34AD2EC8" w14:textId="319481BC" w:rsidR="00EB7494" w:rsidRPr="00002888" w:rsidRDefault="00EB7494" w:rsidP="00002888">
      <w:pPr>
        <w:spacing w:before="0" w:after="0" w:line="360" w:lineRule="auto"/>
        <w:jc w:val="left"/>
        <w:rPr>
          <w:rFonts w:ascii="Times New Roman" w:hAnsi="Times New Roman" w:cs="Times New Roman"/>
          <w:sz w:val="24"/>
          <w:szCs w:val="24"/>
          <w:lang w:val="en-GB"/>
        </w:rPr>
      </w:pPr>
      <w:r w:rsidRPr="00002888">
        <w:rPr>
          <w:rFonts w:ascii="Times New Roman" w:hAnsi="Times New Roman" w:cs="Times New Roman"/>
          <w:sz w:val="24"/>
          <w:szCs w:val="24"/>
          <w:lang w:val="en-GB"/>
        </w:rPr>
        <w:t xml:space="preserve">The multicentre study performed by </w:t>
      </w:r>
      <w:proofErr w:type="spellStart"/>
      <w:r w:rsidRPr="00002888">
        <w:rPr>
          <w:rFonts w:ascii="Times New Roman" w:hAnsi="Times New Roman" w:cs="Times New Roman"/>
          <w:sz w:val="24"/>
          <w:szCs w:val="24"/>
          <w:lang w:val="en-GB"/>
        </w:rPr>
        <w:t>Arribas</w:t>
      </w:r>
      <w:proofErr w:type="spellEnd"/>
      <w:r w:rsidRPr="00002888">
        <w:rPr>
          <w:rFonts w:ascii="Times New Roman" w:hAnsi="Times New Roman" w:cs="Times New Roman"/>
          <w:sz w:val="24"/>
          <w:szCs w:val="24"/>
          <w:lang w:val="en-GB"/>
        </w:rPr>
        <w:t xml:space="preserve"> and co-workers profiled the methylation status of 27,000 promoter </w:t>
      </w:r>
      <w:proofErr w:type="spellStart"/>
      <w:r w:rsidRPr="00002888">
        <w:rPr>
          <w:rFonts w:ascii="Times New Roman" w:hAnsi="Times New Roman" w:cs="Times New Roman"/>
          <w:sz w:val="24"/>
          <w:szCs w:val="24"/>
          <w:lang w:val="en-GB"/>
        </w:rPr>
        <w:t>CpGs</w:t>
      </w:r>
      <w:proofErr w:type="spellEnd"/>
      <w:r w:rsidRPr="00002888">
        <w:rPr>
          <w:rFonts w:ascii="Times New Roman" w:hAnsi="Times New Roman" w:cs="Times New Roman"/>
          <w:sz w:val="24"/>
          <w:szCs w:val="24"/>
          <w:lang w:val="en-GB"/>
        </w:rPr>
        <w:t xml:space="preserve"> in 134 DNA samples extracted from </w:t>
      </w:r>
      <w:r w:rsidR="005A60FF" w:rsidRPr="00002888">
        <w:rPr>
          <w:rFonts w:ascii="Times New Roman" w:hAnsi="Times New Roman" w:cs="Times New Roman"/>
          <w:sz w:val="24"/>
          <w:szCs w:val="24"/>
          <w:lang w:val="en-GB"/>
        </w:rPr>
        <w:t>spleen derived</w:t>
      </w:r>
      <w:r w:rsidRPr="00002888">
        <w:rPr>
          <w:rFonts w:ascii="Times New Roman" w:hAnsi="Times New Roman" w:cs="Times New Roman"/>
          <w:sz w:val="24"/>
          <w:szCs w:val="24"/>
          <w:lang w:val="en-GB"/>
        </w:rPr>
        <w:t xml:space="preserve"> SMZL tumour cells of high purity using the Infinium HumanMethylation27 arrays. These data were integrated with </w:t>
      </w:r>
      <w:r w:rsidRPr="00002888">
        <w:rPr>
          <w:rFonts w:ascii="Times New Roman" w:hAnsi="Times New Roman" w:cs="Times New Roman"/>
          <w:sz w:val="24"/>
          <w:szCs w:val="24"/>
          <w:lang w:val="en-GB"/>
        </w:rPr>
        <w:lastRenderedPageBreak/>
        <w:t>gene expression, copy number, somatic mutation</w:t>
      </w:r>
      <w:r w:rsidR="57122643" w:rsidRPr="00002888">
        <w:rPr>
          <w:rFonts w:ascii="Times New Roman" w:hAnsi="Times New Roman" w:cs="Times New Roman"/>
          <w:sz w:val="24"/>
          <w:szCs w:val="24"/>
          <w:lang w:val="en-GB"/>
        </w:rPr>
        <w:t>al</w:t>
      </w:r>
      <w:r w:rsidRPr="00002888">
        <w:rPr>
          <w:rFonts w:ascii="Times New Roman" w:hAnsi="Times New Roman" w:cs="Times New Roman"/>
          <w:sz w:val="24"/>
          <w:szCs w:val="24"/>
          <w:lang w:val="en-GB"/>
        </w:rPr>
        <w:t xml:space="preserve"> and immunogenetic data. The authors identified a patient subgroup characterised by high genome-wide promoter methylation (High-M), inferior survival, an elevated risk of histo</w:t>
      </w:r>
      <w:r w:rsidR="005A60FF" w:rsidRPr="00002888">
        <w:rPr>
          <w:rFonts w:ascii="Times New Roman" w:hAnsi="Times New Roman" w:cs="Times New Roman"/>
          <w:sz w:val="24"/>
          <w:szCs w:val="24"/>
          <w:lang w:val="en-GB"/>
        </w:rPr>
        <w:t>logic</w:t>
      </w:r>
      <w:r w:rsidRPr="00002888">
        <w:rPr>
          <w:rFonts w:ascii="Times New Roman" w:hAnsi="Times New Roman" w:cs="Times New Roman"/>
          <w:sz w:val="24"/>
          <w:szCs w:val="24"/>
          <w:lang w:val="en-GB"/>
        </w:rPr>
        <w:t xml:space="preserve"> transformation, and a raised prevalence of </w:t>
      </w:r>
      <w:r w:rsidRPr="00002888">
        <w:rPr>
          <w:rFonts w:ascii="Times New Roman" w:hAnsi="Times New Roman" w:cs="Times New Roman"/>
          <w:i/>
          <w:iCs/>
          <w:sz w:val="24"/>
          <w:szCs w:val="24"/>
          <w:lang w:val="en-GB"/>
        </w:rPr>
        <w:t>NOTCH2</w:t>
      </w:r>
      <w:r w:rsidRPr="00002888">
        <w:rPr>
          <w:rFonts w:ascii="Times New Roman" w:hAnsi="Times New Roman" w:cs="Times New Roman"/>
          <w:sz w:val="24"/>
          <w:szCs w:val="24"/>
          <w:lang w:val="en-GB"/>
        </w:rPr>
        <w:t xml:space="preserve"> mutations, 7q31-32 deletion and </w:t>
      </w:r>
      <w:r w:rsidRPr="00002888">
        <w:rPr>
          <w:rFonts w:ascii="Times New Roman" w:hAnsi="Times New Roman" w:cs="Times New Roman"/>
          <w:i/>
          <w:iCs/>
          <w:sz w:val="24"/>
          <w:szCs w:val="24"/>
          <w:lang w:val="en-GB"/>
        </w:rPr>
        <w:t>IGHV1-02</w:t>
      </w:r>
      <w:r w:rsidRPr="00002888">
        <w:rPr>
          <w:rFonts w:ascii="Times New Roman" w:hAnsi="Times New Roman" w:cs="Times New Roman"/>
          <w:sz w:val="24"/>
          <w:szCs w:val="24"/>
          <w:lang w:val="en-GB"/>
        </w:rPr>
        <w:t xml:space="preserve"> usage. In addition to these distinct (</w:t>
      </w:r>
      <w:proofErr w:type="spellStart"/>
      <w:r w:rsidRPr="00002888">
        <w:rPr>
          <w:rFonts w:ascii="Times New Roman" w:hAnsi="Times New Roman" w:cs="Times New Roman"/>
          <w:sz w:val="24"/>
          <w:szCs w:val="24"/>
          <w:lang w:val="en-GB"/>
        </w:rPr>
        <w:t>immuno</w:t>
      </w:r>
      <w:proofErr w:type="spellEnd"/>
      <w:r w:rsidRPr="00002888">
        <w:rPr>
          <w:rFonts w:ascii="Times New Roman" w:hAnsi="Times New Roman" w:cs="Times New Roman"/>
          <w:sz w:val="24"/>
          <w:szCs w:val="24"/>
          <w:lang w:val="en-GB"/>
        </w:rPr>
        <w:t xml:space="preserve">)genetic features, the High-M subgroup was defined by significant DNA methylation and transcriptional disruption of genes involved epigenetic regulation. Most importantly, the High-M subgroup exhibited hypomethylation and consequent elevated transcription of genes involved in B-cell activation and </w:t>
      </w:r>
      <w:r w:rsidR="00F67D6A" w:rsidRPr="00002888">
        <w:rPr>
          <w:rFonts w:ascii="Times New Roman" w:hAnsi="Times New Roman" w:cs="Times New Roman"/>
          <w:sz w:val="24"/>
          <w:szCs w:val="24"/>
          <w:shd w:val="clear" w:color="auto" w:fill="FFFFFF"/>
          <w:lang w:val="en-GB"/>
        </w:rPr>
        <w:t>NF-</w:t>
      </w:r>
      <w:proofErr w:type="spellStart"/>
      <w:r w:rsidR="00A44284" w:rsidRPr="00002888">
        <w:rPr>
          <w:rFonts w:ascii="Times New Roman" w:hAnsi="Times New Roman" w:cs="Times New Roman"/>
          <w:sz w:val="24"/>
          <w:szCs w:val="24"/>
          <w:lang w:val="en-GB"/>
        </w:rPr>
        <w:t>κ</w:t>
      </w:r>
      <w:r w:rsidR="00F67D6A" w:rsidRPr="00002888">
        <w:rPr>
          <w:rFonts w:ascii="Times New Roman" w:hAnsi="Times New Roman" w:cs="Times New Roman"/>
          <w:sz w:val="24"/>
          <w:szCs w:val="24"/>
          <w:shd w:val="clear" w:color="auto" w:fill="FFFFFF"/>
          <w:lang w:val="en-GB"/>
        </w:rPr>
        <w:t>B</w:t>
      </w:r>
      <w:proofErr w:type="spellEnd"/>
      <w:r w:rsidR="00F67D6A" w:rsidRPr="00002888">
        <w:rPr>
          <w:rFonts w:ascii="Times New Roman" w:hAnsi="Times New Roman" w:cs="Times New Roman"/>
          <w:sz w:val="24"/>
          <w:szCs w:val="24"/>
          <w:shd w:val="clear" w:color="auto" w:fill="FFFFFF"/>
          <w:lang w:val="en-GB"/>
        </w:rPr>
        <w:t xml:space="preserve"> </w:t>
      </w:r>
      <w:r w:rsidRPr="00002888">
        <w:rPr>
          <w:rFonts w:ascii="Times New Roman" w:hAnsi="Times New Roman" w:cs="Times New Roman"/>
          <w:sz w:val="24"/>
          <w:szCs w:val="24"/>
          <w:lang w:val="en-GB"/>
        </w:rPr>
        <w:t xml:space="preserve">and those encoding for the </w:t>
      </w:r>
      <w:proofErr w:type="spellStart"/>
      <w:r w:rsidRPr="00002888">
        <w:rPr>
          <w:rFonts w:ascii="Times New Roman" w:hAnsi="Times New Roman" w:cs="Times New Roman"/>
          <w:sz w:val="24"/>
          <w:szCs w:val="24"/>
          <w:lang w:val="en-GB"/>
        </w:rPr>
        <w:t>polycomb</w:t>
      </w:r>
      <w:proofErr w:type="spellEnd"/>
      <w:r w:rsidRPr="00002888">
        <w:rPr>
          <w:rFonts w:ascii="Times New Roman" w:hAnsi="Times New Roman" w:cs="Times New Roman"/>
          <w:sz w:val="24"/>
          <w:szCs w:val="24"/>
          <w:lang w:val="en-GB"/>
        </w:rPr>
        <w:t xml:space="preserve"> repressor complex 2 (PRC2) components, including </w:t>
      </w:r>
      <w:r w:rsidRPr="00002888">
        <w:rPr>
          <w:rFonts w:ascii="Times New Roman" w:hAnsi="Times New Roman" w:cs="Times New Roman"/>
          <w:i/>
          <w:iCs/>
          <w:sz w:val="24"/>
          <w:szCs w:val="24"/>
          <w:lang w:val="en-GB"/>
        </w:rPr>
        <w:t>EED</w:t>
      </w:r>
      <w:r w:rsidRPr="00002888">
        <w:rPr>
          <w:rFonts w:ascii="Times New Roman" w:hAnsi="Times New Roman" w:cs="Times New Roman"/>
          <w:sz w:val="24"/>
          <w:szCs w:val="24"/>
          <w:lang w:val="en-GB"/>
        </w:rPr>
        <w:t xml:space="preserve">, </w:t>
      </w:r>
      <w:r w:rsidRPr="00002888">
        <w:rPr>
          <w:rFonts w:ascii="Times New Roman" w:hAnsi="Times New Roman" w:cs="Times New Roman"/>
          <w:i/>
          <w:iCs/>
          <w:sz w:val="24"/>
          <w:szCs w:val="24"/>
          <w:lang w:val="en-GB"/>
        </w:rPr>
        <w:t>SUZ12</w:t>
      </w:r>
      <w:r w:rsidRPr="00002888">
        <w:rPr>
          <w:rFonts w:ascii="Times New Roman" w:hAnsi="Times New Roman" w:cs="Times New Roman"/>
          <w:sz w:val="24"/>
          <w:szCs w:val="24"/>
          <w:lang w:val="en-GB"/>
        </w:rPr>
        <w:t xml:space="preserve"> and </w:t>
      </w:r>
      <w:r w:rsidRPr="00002888">
        <w:rPr>
          <w:rFonts w:ascii="Times New Roman" w:hAnsi="Times New Roman" w:cs="Times New Roman"/>
          <w:i/>
          <w:iCs/>
          <w:sz w:val="24"/>
          <w:szCs w:val="24"/>
          <w:lang w:val="en-GB"/>
        </w:rPr>
        <w:t>EZH2</w:t>
      </w:r>
      <w:r w:rsidRPr="00002888">
        <w:rPr>
          <w:rFonts w:ascii="Times New Roman" w:hAnsi="Times New Roman" w:cs="Times New Roman"/>
          <w:sz w:val="24"/>
          <w:szCs w:val="24"/>
          <w:lang w:val="en-GB"/>
        </w:rPr>
        <w:t xml:space="preserve">. Hypomethylation of key PRC2 components was concomitant with hypermethylation and reduced </w:t>
      </w:r>
      <w:r w:rsidRPr="00245037">
        <w:rPr>
          <w:rFonts w:ascii="Times New Roman" w:hAnsi="Times New Roman" w:cs="Times New Roman"/>
          <w:sz w:val="24"/>
          <w:szCs w:val="24"/>
          <w:lang w:val="en-GB"/>
        </w:rPr>
        <w:t xml:space="preserve">expression of PRC2 target genes and those with H3K27me3 marks, supporting the hypothesis that the expression of key differentiation genes defines this High-M sub-type </w:t>
      </w:r>
      <w:r w:rsidR="005A60FF" w:rsidRPr="00245037">
        <w:rPr>
          <w:rFonts w:ascii="Times New Roman" w:hAnsi="Times New Roman" w:cs="Times New Roman"/>
          <w:sz w:val="24"/>
          <w:szCs w:val="24"/>
          <w:lang w:val="en-GB"/>
        </w:rPr>
        <w:fldChar w:fldCharType="begin" w:fldLock="1"/>
      </w:r>
      <w:r w:rsidR="00FC4190" w:rsidRPr="00245037">
        <w:rPr>
          <w:rFonts w:ascii="Times New Roman" w:hAnsi="Times New Roman" w:cs="Times New Roman"/>
          <w:sz w:val="24"/>
          <w:szCs w:val="24"/>
          <w:lang w:val="en-GB"/>
        </w:rPr>
        <w:instrText>ADDIN CSL_CITATION {"citationItems":[{"id":"ITEM-1","itemData":{"DOI":"10.1182/blood-2012-12-451799","ISSN":"15280020","PMID":"23704048","author":[{"dropping-particle":"","family":"Jiang","given":"Yanwen","non-dropping-particle":"","parse-names":false,"suffix":""},{"dropping-particle":"","family":"Hatzi","given":"Katerina","non-dropping-particle":"","parse-names":false,"suffix":""},{"dropping-particle":"","family":"Shaknovich","given":"Rita","non-dropping-particle":"","parse-names":false,"suffix":""}],"container-title":"Blood","id":"ITEM-1","issue":"21","issued":{"date-parts":[["2013","5","23"]]},"page":"4271-4279","publisher":"American Society of Hematology","title":"Mechanisms of epigenetic deregulation in lymphoid neoplasms","type":"article","volume":"121"},"uris":["http://www.mendeley.com/documents/?uuid=17157b4e-3cea-3d82-b506-c18ec0ab2e72"]}],"mendeley":{"formattedCitation":"(Jiang et al., 2013)","plainTextFormattedCitation":"(Jiang et al., 2013)","previouslyFormattedCitation":"(Jiang et al., 2013)"},"properties":{"noteIndex":0},"schema":"https://github.com/citation-style-language/schema/raw/master/csl-citation.json"}</w:instrText>
      </w:r>
      <w:r w:rsidR="005A60FF" w:rsidRPr="00245037">
        <w:rPr>
          <w:rFonts w:ascii="Times New Roman" w:hAnsi="Times New Roman" w:cs="Times New Roman"/>
          <w:sz w:val="24"/>
          <w:szCs w:val="24"/>
          <w:lang w:val="en-GB"/>
        </w:rPr>
        <w:fldChar w:fldCharType="separate"/>
      </w:r>
      <w:r w:rsidR="005A60FF" w:rsidRPr="00245037">
        <w:rPr>
          <w:rFonts w:ascii="Times New Roman" w:hAnsi="Times New Roman" w:cs="Times New Roman"/>
          <w:noProof/>
          <w:sz w:val="24"/>
          <w:szCs w:val="24"/>
          <w:lang w:val="en-GB"/>
        </w:rPr>
        <w:t>(Jiang et al., 2013)</w:t>
      </w:r>
      <w:r w:rsidR="005A60FF" w:rsidRPr="00245037">
        <w:rPr>
          <w:rFonts w:ascii="Times New Roman" w:hAnsi="Times New Roman" w:cs="Times New Roman"/>
          <w:sz w:val="24"/>
          <w:szCs w:val="24"/>
          <w:lang w:val="en-GB"/>
        </w:rPr>
        <w:fldChar w:fldCharType="end"/>
      </w:r>
      <w:r w:rsidRPr="00245037">
        <w:rPr>
          <w:rFonts w:ascii="Times New Roman" w:hAnsi="Times New Roman" w:cs="Times New Roman"/>
          <w:sz w:val="24"/>
          <w:szCs w:val="24"/>
          <w:lang w:val="en-GB"/>
        </w:rPr>
        <w:t xml:space="preserve">. Collectively, these data support a distinct sub-group of SMZL, driven by key </w:t>
      </w:r>
      <w:r w:rsidRPr="00245037">
        <w:rPr>
          <w:rFonts w:ascii="Times New Roman" w:hAnsi="Times New Roman" w:cs="Times New Roman"/>
          <w:i/>
          <w:iCs/>
          <w:sz w:val="24"/>
          <w:szCs w:val="24"/>
          <w:lang w:val="en-GB"/>
        </w:rPr>
        <w:t>IGHV</w:t>
      </w:r>
      <w:r w:rsidRPr="00245037">
        <w:rPr>
          <w:rFonts w:ascii="Times New Roman" w:hAnsi="Times New Roman" w:cs="Times New Roman"/>
          <w:sz w:val="24"/>
          <w:szCs w:val="24"/>
          <w:lang w:val="en-GB"/>
        </w:rPr>
        <w:t xml:space="preserve"> usage, defined by consistent epigenetic and genomic lesions, with the likely functional impact being d</w:t>
      </w:r>
      <w:r w:rsidR="78CDB586" w:rsidRPr="00245037">
        <w:rPr>
          <w:rFonts w:ascii="Times New Roman" w:hAnsi="Times New Roman" w:cs="Times New Roman"/>
          <w:sz w:val="24"/>
          <w:szCs w:val="24"/>
          <w:lang w:val="en-GB"/>
        </w:rPr>
        <w:t>ys</w:t>
      </w:r>
      <w:r w:rsidRPr="00245037">
        <w:rPr>
          <w:rFonts w:ascii="Times New Roman" w:hAnsi="Times New Roman" w:cs="Times New Roman"/>
          <w:sz w:val="24"/>
          <w:szCs w:val="24"/>
          <w:lang w:val="en-GB"/>
        </w:rPr>
        <w:t>regulated lineage specification and cellular proliferation signalling</w:t>
      </w:r>
      <w:r w:rsidR="00921F86" w:rsidRPr="00245037">
        <w:rPr>
          <w:rFonts w:ascii="Times New Roman" w:hAnsi="Times New Roman" w:cs="Times New Roman"/>
          <w:sz w:val="24"/>
          <w:szCs w:val="24"/>
          <w:lang w:val="en-GB"/>
        </w:rPr>
        <w:t xml:space="preserve"> (</w:t>
      </w:r>
      <w:r w:rsidR="00921F86" w:rsidRPr="00245037">
        <w:rPr>
          <w:rFonts w:ascii="Times New Roman" w:hAnsi="Times New Roman" w:cs="Times New Roman"/>
          <w:b/>
          <w:bCs/>
          <w:sz w:val="24"/>
          <w:szCs w:val="24"/>
          <w:lang w:val="en-GB"/>
        </w:rPr>
        <w:t xml:space="preserve">Figure </w:t>
      </w:r>
      <w:r w:rsidR="001D52B9" w:rsidRPr="00245037">
        <w:rPr>
          <w:rFonts w:ascii="Times New Roman" w:hAnsi="Times New Roman" w:cs="Times New Roman"/>
          <w:b/>
          <w:bCs/>
          <w:sz w:val="24"/>
          <w:szCs w:val="24"/>
          <w:lang w:val="en-GB"/>
        </w:rPr>
        <w:t>4</w:t>
      </w:r>
      <w:r w:rsidR="00D40D40" w:rsidRPr="00245037">
        <w:rPr>
          <w:rFonts w:ascii="Times New Roman" w:hAnsi="Times New Roman" w:cs="Times New Roman"/>
          <w:sz w:val="24"/>
          <w:szCs w:val="24"/>
          <w:lang w:val="en-GB"/>
        </w:rPr>
        <w:t>)</w:t>
      </w:r>
      <w:r w:rsidRPr="00245037">
        <w:rPr>
          <w:rFonts w:ascii="Times New Roman" w:hAnsi="Times New Roman" w:cs="Times New Roman"/>
          <w:sz w:val="24"/>
          <w:szCs w:val="24"/>
          <w:lang w:val="en-GB"/>
        </w:rPr>
        <w:t xml:space="preserve">. The same study performed parallel </w:t>
      </w:r>
      <w:r w:rsidRPr="00245037">
        <w:rPr>
          <w:rFonts w:ascii="Times New Roman" w:hAnsi="Times New Roman" w:cs="Times New Roman"/>
          <w:i/>
          <w:iCs/>
          <w:sz w:val="24"/>
          <w:szCs w:val="24"/>
          <w:lang w:val="en-GB"/>
        </w:rPr>
        <w:t>in vitro</w:t>
      </w:r>
      <w:r w:rsidRPr="00245037">
        <w:rPr>
          <w:rFonts w:ascii="Times New Roman" w:hAnsi="Times New Roman" w:cs="Times New Roman"/>
          <w:sz w:val="24"/>
          <w:szCs w:val="24"/>
          <w:lang w:val="en-GB"/>
        </w:rPr>
        <w:t xml:space="preserve"> experiments with the demethylating agent, decitabine, </w:t>
      </w:r>
      <w:r w:rsidR="008722AE" w:rsidRPr="00245037">
        <w:rPr>
          <w:rFonts w:ascii="Times New Roman" w:hAnsi="Times New Roman" w:cs="Times New Roman"/>
          <w:sz w:val="24"/>
          <w:szCs w:val="24"/>
          <w:lang w:val="en-GB"/>
        </w:rPr>
        <w:t>which</w:t>
      </w:r>
      <w:r w:rsidRPr="00245037">
        <w:rPr>
          <w:rFonts w:ascii="Times New Roman" w:hAnsi="Times New Roman" w:cs="Times New Roman"/>
          <w:sz w:val="24"/>
          <w:szCs w:val="24"/>
          <w:lang w:val="en-GB"/>
        </w:rPr>
        <w:t xml:space="preserve"> partially rescue</w:t>
      </w:r>
      <w:r w:rsidR="008722AE" w:rsidRPr="00245037">
        <w:rPr>
          <w:rFonts w:ascii="Times New Roman" w:hAnsi="Times New Roman" w:cs="Times New Roman"/>
          <w:sz w:val="24"/>
          <w:szCs w:val="24"/>
          <w:lang w:val="en-GB"/>
        </w:rPr>
        <w:t>d</w:t>
      </w:r>
      <w:r w:rsidRPr="00245037">
        <w:rPr>
          <w:rFonts w:ascii="Times New Roman" w:hAnsi="Times New Roman" w:cs="Times New Roman"/>
          <w:sz w:val="24"/>
          <w:szCs w:val="24"/>
          <w:lang w:val="en-GB"/>
        </w:rPr>
        <w:t xml:space="preserve"> key tumour suppressor genes and down-regulated survival and proliferation pathways, suggesting that the High-M sub-group might be </w:t>
      </w:r>
      <w:r w:rsidR="008722AE" w:rsidRPr="00245037">
        <w:rPr>
          <w:rFonts w:ascii="Times New Roman" w:hAnsi="Times New Roman" w:cs="Times New Roman"/>
          <w:sz w:val="24"/>
          <w:szCs w:val="24"/>
          <w:lang w:val="en-GB"/>
        </w:rPr>
        <w:t>responsive</w:t>
      </w:r>
      <w:r w:rsidRPr="00245037">
        <w:rPr>
          <w:rFonts w:ascii="Times New Roman" w:hAnsi="Times New Roman" w:cs="Times New Roman"/>
          <w:sz w:val="24"/>
          <w:szCs w:val="24"/>
          <w:lang w:val="en-GB"/>
        </w:rPr>
        <w:t xml:space="preserve"> to epigenetic therap</w:t>
      </w:r>
      <w:r w:rsidRPr="00002888">
        <w:rPr>
          <w:rFonts w:ascii="Times New Roman" w:hAnsi="Times New Roman" w:cs="Times New Roman"/>
          <w:sz w:val="24"/>
          <w:szCs w:val="24"/>
          <w:lang w:val="en-GB"/>
        </w:rPr>
        <w:t>ies.</w:t>
      </w:r>
    </w:p>
    <w:p w14:paraId="3AA27FEC" w14:textId="56101839" w:rsidR="00D7020E" w:rsidRDefault="00D7020E" w:rsidP="00814224">
      <w:pPr>
        <w:rPr>
          <w:rFonts w:ascii="Times New Roman" w:hAnsi="Times New Roman" w:cs="Times New Roman"/>
          <w:sz w:val="20"/>
          <w:szCs w:val="20"/>
          <w:lang w:val="en-GB"/>
        </w:rPr>
      </w:pPr>
      <w:r>
        <w:rPr>
          <w:rFonts w:ascii="Times New Roman" w:hAnsi="Times New Roman" w:cs="Times New Roman"/>
          <w:noProof/>
          <w:sz w:val="20"/>
          <w:szCs w:val="20"/>
          <w:lang w:eastAsia="zh-CN"/>
        </w:rPr>
        <w:lastRenderedPageBreak/>
        <w:drawing>
          <wp:inline distT="0" distB="0" distL="0" distR="0" wp14:anchorId="5E3F9335" wp14:editId="0F4885B6">
            <wp:extent cx="5943600" cy="3863340"/>
            <wp:effectExtent l="0" t="0" r="0" b="3810"/>
            <wp:docPr id="4" name="Picture 4"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imel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3863340"/>
                    </a:xfrm>
                    <a:prstGeom prst="rect">
                      <a:avLst/>
                    </a:prstGeom>
                  </pic:spPr>
                </pic:pic>
              </a:graphicData>
            </a:graphic>
          </wp:inline>
        </w:drawing>
      </w:r>
    </w:p>
    <w:p w14:paraId="427E33ED" w14:textId="339C9D6D" w:rsidR="00682664" w:rsidRPr="008425E7" w:rsidRDefault="00682664" w:rsidP="00814224">
      <w:pPr>
        <w:rPr>
          <w:rFonts w:ascii="Times New Roman" w:hAnsi="Times New Roman" w:cs="Times New Roman"/>
          <w:sz w:val="20"/>
          <w:szCs w:val="20"/>
          <w:lang w:val="en-GB"/>
        </w:rPr>
      </w:pPr>
      <w:r w:rsidRPr="00A65B29">
        <w:rPr>
          <w:rFonts w:ascii="Times New Roman" w:hAnsi="Times New Roman" w:cs="Times New Roman"/>
          <w:b/>
          <w:bCs/>
          <w:sz w:val="20"/>
          <w:szCs w:val="20"/>
          <w:lang w:val="en-GB"/>
        </w:rPr>
        <w:t>Figure 4.</w:t>
      </w:r>
      <w:r>
        <w:rPr>
          <w:rFonts w:ascii="Times New Roman" w:hAnsi="Times New Roman" w:cs="Times New Roman"/>
          <w:sz w:val="20"/>
          <w:szCs w:val="20"/>
          <w:lang w:val="en-GB"/>
        </w:rPr>
        <w:t xml:space="preserve"> </w:t>
      </w:r>
      <w:r w:rsidR="00A65B29" w:rsidRPr="00A65B29">
        <w:rPr>
          <w:rFonts w:ascii="Times New Roman" w:hAnsi="Times New Roman" w:cs="Times New Roman"/>
          <w:sz w:val="20"/>
          <w:szCs w:val="20"/>
          <w:lang w:val="en-GB"/>
        </w:rPr>
        <w:t xml:space="preserve">Putative SMZL disease subtypes. Collectively, data from different studies support a distinct sub-group of SMZL (Group 1) driven by: </w:t>
      </w:r>
      <w:r w:rsidR="00A65B29" w:rsidRPr="00A65B29">
        <w:rPr>
          <w:rFonts w:ascii="Times New Roman" w:hAnsi="Times New Roman" w:cs="Times New Roman"/>
          <w:i/>
          <w:iCs/>
          <w:sz w:val="20"/>
          <w:szCs w:val="20"/>
          <w:lang w:val="en-GB"/>
        </w:rPr>
        <w:t>IGHV1-02</w:t>
      </w:r>
      <w:r w:rsidR="00A65B29" w:rsidRPr="00A65B29">
        <w:rPr>
          <w:rFonts w:ascii="Times New Roman" w:hAnsi="Times New Roman" w:cs="Times New Roman"/>
          <w:sz w:val="20"/>
          <w:szCs w:val="20"/>
          <w:lang w:val="en-GB"/>
        </w:rPr>
        <w:t xml:space="preserve"> usage, DNA hypo-methylation and over expression of genes involved in B-cell activation, NF-</w:t>
      </w:r>
      <w:proofErr w:type="spellStart"/>
      <w:r w:rsidR="00CA20D6">
        <w:rPr>
          <w:rFonts w:ascii="Times New Roman" w:hAnsi="Times New Roman" w:cs="Times New Roman"/>
          <w:sz w:val="20"/>
          <w:szCs w:val="20"/>
          <w:lang w:val="en-GB"/>
        </w:rPr>
        <w:t>κ</w:t>
      </w:r>
      <w:r w:rsidR="00A65B29" w:rsidRPr="00A65B29">
        <w:rPr>
          <w:rFonts w:ascii="Times New Roman" w:hAnsi="Times New Roman" w:cs="Times New Roman"/>
          <w:sz w:val="20"/>
          <w:szCs w:val="20"/>
          <w:lang w:val="en-GB"/>
        </w:rPr>
        <w:t>B</w:t>
      </w:r>
      <w:proofErr w:type="spellEnd"/>
      <w:r w:rsidR="00A65B29" w:rsidRPr="00A65B29">
        <w:rPr>
          <w:rFonts w:ascii="Times New Roman" w:hAnsi="Times New Roman" w:cs="Times New Roman"/>
          <w:sz w:val="20"/>
          <w:szCs w:val="20"/>
          <w:lang w:val="en-GB"/>
        </w:rPr>
        <w:t xml:space="preserve">, and those encoding for the </w:t>
      </w:r>
      <w:proofErr w:type="spellStart"/>
      <w:r w:rsidR="00A65B29" w:rsidRPr="00A65B29">
        <w:rPr>
          <w:rFonts w:ascii="Times New Roman" w:hAnsi="Times New Roman" w:cs="Times New Roman"/>
          <w:sz w:val="20"/>
          <w:szCs w:val="20"/>
          <w:lang w:val="en-GB"/>
        </w:rPr>
        <w:t>polycomb</w:t>
      </w:r>
      <w:proofErr w:type="spellEnd"/>
      <w:r w:rsidR="00A65B29" w:rsidRPr="00A65B29">
        <w:rPr>
          <w:rFonts w:ascii="Times New Roman" w:hAnsi="Times New Roman" w:cs="Times New Roman"/>
          <w:sz w:val="20"/>
          <w:szCs w:val="20"/>
          <w:lang w:val="en-GB"/>
        </w:rPr>
        <w:t xml:space="preserve"> repressor region, and recurrent genomic lesions (deletion of 7q and somatic mutation</w:t>
      </w:r>
      <w:r w:rsidR="008C31BE">
        <w:rPr>
          <w:rFonts w:ascii="Times New Roman" w:hAnsi="Times New Roman" w:cs="Times New Roman"/>
          <w:sz w:val="20"/>
          <w:szCs w:val="20"/>
          <w:lang w:val="en-GB"/>
        </w:rPr>
        <w:t>s</w:t>
      </w:r>
      <w:r w:rsidR="00A65B29" w:rsidRPr="00A65B29">
        <w:rPr>
          <w:rFonts w:ascii="Times New Roman" w:hAnsi="Times New Roman" w:cs="Times New Roman"/>
          <w:sz w:val="20"/>
          <w:szCs w:val="20"/>
          <w:lang w:val="en-GB"/>
        </w:rPr>
        <w:t xml:space="preserve"> in </w:t>
      </w:r>
      <w:r w:rsidR="00A65B29" w:rsidRPr="00A65B29">
        <w:rPr>
          <w:rFonts w:ascii="Times New Roman" w:hAnsi="Times New Roman" w:cs="Times New Roman"/>
          <w:i/>
          <w:iCs/>
          <w:sz w:val="20"/>
          <w:szCs w:val="20"/>
          <w:lang w:val="en-GB"/>
        </w:rPr>
        <w:t>KLF2</w:t>
      </w:r>
      <w:r w:rsidR="00A65B29" w:rsidRPr="00A65B29">
        <w:rPr>
          <w:rFonts w:ascii="Times New Roman" w:hAnsi="Times New Roman" w:cs="Times New Roman"/>
          <w:sz w:val="20"/>
          <w:szCs w:val="20"/>
          <w:lang w:val="en-GB"/>
        </w:rPr>
        <w:t xml:space="preserve"> and </w:t>
      </w:r>
      <w:r w:rsidR="00A65B29" w:rsidRPr="00A65B29">
        <w:rPr>
          <w:rFonts w:ascii="Times New Roman" w:hAnsi="Times New Roman" w:cs="Times New Roman"/>
          <w:i/>
          <w:iCs/>
          <w:sz w:val="20"/>
          <w:szCs w:val="20"/>
          <w:lang w:val="en-GB"/>
        </w:rPr>
        <w:t>NOTCH2</w:t>
      </w:r>
      <w:r w:rsidR="00A65B29" w:rsidRPr="00A65B29">
        <w:rPr>
          <w:rFonts w:ascii="Times New Roman" w:hAnsi="Times New Roman" w:cs="Times New Roman"/>
          <w:sz w:val="20"/>
          <w:szCs w:val="20"/>
          <w:lang w:val="en-GB"/>
        </w:rPr>
        <w:t>).</w:t>
      </w:r>
      <w:r w:rsidR="00A65B29">
        <w:rPr>
          <w:rFonts w:ascii="Times New Roman" w:hAnsi="Times New Roman" w:cs="Times New Roman"/>
          <w:sz w:val="20"/>
          <w:szCs w:val="20"/>
          <w:lang w:val="en-GB"/>
        </w:rPr>
        <w:t xml:space="preserve"> </w:t>
      </w:r>
      <w:r w:rsidR="00A65B29" w:rsidRPr="00A65B29">
        <w:rPr>
          <w:rFonts w:ascii="Times New Roman" w:hAnsi="Times New Roman" w:cs="Times New Roman"/>
          <w:sz w:val="20"/>
          <w:szCs w:val="20"/>
          <w:lang w:val="en-GB"/>
        </w:rPr>
        <w:t>Sub-groups 2-4 are less well supported due to limited number of cases and lack of functional evidence. Further work is necessary to delineate and characterise them fully.</w:t>
      </w:r>
    </w:p>
    <w:p w14:paraId="4F6D3BAB" w14:textId="5930BE2C" w:rsidR="001B1935" w:rsidRDefault="001B1935" w:rsidP="00002888">
      <w:pPr>
        <w:spacing w:before="0" w:after="0" w:line="360" w:lineRule="auto"/>
        <w:jc w:val="left"/>
        <w:rPr>
          <w:rFonts w:ascii="Times New Roman" w:hAnsi="Times New Roman" w:cs="Times New Roman"/>
          <w:color w:val="222222"/>
          <w:sz w:val="24"/>
          <w:szCs w:val="24"/>
          <w:shd w:val="clear" w:color="auto" w:fill="FFFFFF"/>
          <w:lang w:val="en-GB"/>
        </w:rPr>
      </w:pPr>
      <w:r w:rsidRPr="00002888">
        <w:rPr>
          <w:rFonts w:ascii="Times New Roman" w:hAnsi="Times New Roman" w:cs="Times New Roman"/>
          <w:sz w:val="24"/>
          <w:szCs w:val="24"/>
          <w:lang w:val="en-GB"/>
        </w:rPr>
        <w:t xml:space="preserve">Micro-RNAs (miRNAs) are a key group of short noncoding RNA molecules, approximately 22 nucleotides in length, that anneal to mRNA target genes, principally through partial complementarity </w:t>
      </w:r>
      <w:r w:rsidRPr="00245037">
        <w:rPr>
          <w:rFonts w:ascii="Times New Roman" w:hAnsi="Times New Roman" w:cs="Times New Roman"/>
          <w:sz w:val="24"/>
          <w:szCs w:val="24"/>
          <w:lang w:val="en-GB"/>
        </w:rPr>
        <w:t xml:space="preserve">to the 3′-untranslated region </w:t>
      </w:r>
      <w:r w:rsidR="008722AE" w:rsidRPr="00245037">
        <w:rPr>
          <w:rFonts w:ascii="Times New Roman" w:hAnsi="Times New Roman" w:cs="Times New Roman"/>
          <w:sz w:val="24"/>
          <w:szCs w:val="24"/>
          <w:lang w:val="en-GB"/>
        </w:rPr>
        <w:t xml:space="preserve">(UTR) </w:t>
      </w:r>
      <w:r w:rsidRPr="00245037">
        <w:rPr>
          <w:rFonts w:ascii="Times New Roman" w:hAnsi="Times New Roman" w:cs="Times New Roman"/>
          <w:sz w:val="24"/>
          <w:szCs w:val="24"/>
          <w:lang w:val="en-GB"/>
        </w:rPr>
        <w:t>of target genes, where they repress protein translation</w:t>
      </w:r>
      <w:r w:rsidR="77B22BDC" w:rsidRPr="00245037">
        <w:rPr>
          <w:rFonts w:ascii="Times New Roman" w:hAnsi="Times New Roman" w:cs="Times New Roman"/>
          <w:sz w:val="24"/>
          <w:szCs w:val="24"/>
          <w:lang w:val="en-GB"/>
        </w:rPr>
        <w:t xml:space="preserve"> or promote mRNA decay</w:t>
      </w:r>
      <w:r w:rsidR="6417E551" w:rsidRPr="00245037">
        <w:rPr>
          <w:rFonts w:ascii="Times New Roman" w:hAnsi="Times New Roman" w:cs="Times New Roman"/>
          <w:sz w:val="24"/>
          <w:szCs w:val="24"/>
          <w:lang w:val="en-GB"/>
        </w:rPr>
        <w:t>.</w:t>
      </w:r>
      <w:r w:rsidRPr="00245037">
        <w:rPr>
          <w:rFonts w:ascii="Times New Roman" w:hAnsi="Times New Roman" w:cs="Times New Roman"/>
          <w:sz w:val="24"/>
          <w:szCs w:val="24"/>
          <w:lang w:val="en-GB"/>
        </w:rPr>
        <w:t xml:space="preserve"> Aberrant miRNA expression</w:t>
      </w:r>
      <w:r w:rsidRPr="00002888">
        <w:rPr>
          <w:rFonts w:ascii="Times New Roman" w:hAnsi="Times New Roman" w:cs="Times New Roman"/>
          <w:sz w:val="24"/>
          <w:szCs w:val="24"/>
          <w:lang w:val="en-GB"/>
        </w:rPr>
        <w:t xml:space="preserve"> is a hallmark of human tumours</w:t>
      </w:r>
      <w:r w:rsidR="00961147" w:rsidRPr="00002888">
        <w:rPr>
          <w:rFonts w:ascii="Times New Roman" w:hAnsi="Times New Roman" w:cs="Times New Roman"/>
          <w:sz w:val="24"/>
          <w:szCs w:val="24"/>
          <w:lang w:val="en-GB"/>
        </w:rPr>
        <w:t xml:space="preserve"> and </w:t>
      </w:r>
      <w:r w:rsidR="00961147" w:rsidRPr="00002888">
        <w:rPr>
          <w:rFonts w:ascii="Times New Roman" w:hAnsi="Times New Roman" w:cs="Times New Roman"/>
          <w:color w:val="221F22"/>
          <w:sz w:val="24"/>
          <w:szCs w:val="24"/>
          <w:shd w:val="clear" w:color="auto" w:fill="FFFFFF"/>
        </w:rPr>
        <w:t>a</w:t>
      </w:r>
      <w:r w:rsidRPr="00002888">
        <w:rPr>
          <w:rFonts w:ascii="Times New Roman" w:hAnsi="Times New Roman" w:cs="Times New Roman"/>
          <w:color w:val="221F22"/>
          <w:sz w:val="24"/>
          <w:szCs w:val="24"/>
          <w:shd w:val="clear" w:color="auto" w:fill="FFFFFF"/>
        </w:rPr>
        <w:t xml:space="preserve">cross B-cell lymphomas, deregulated miRNAs have been identified due to their impact on B-cell differentiation, and on established cancer pathways. </w:t>
      </w:r>
      <w:r w:rsidRPr="00002888">
        <w:rPr>
          <w:rFonts w:ascii="Times New Roman" w:hAnsi="Times New Roman" w:cs="Times New Roman"/>
          <w:color w:val="222222"/>
          <w:sz w:val="24"/>
          <w:szCs w:val="24"/>
          <w:shd w:val="clear" w:color="auto" w:fill="FFFFFF"/>
          <w:lang w:val="en-GB"/>
        </w:rPr>
        <w:t xml:space="preserve">A number of candidate and genome-wide studies have been performed identifying novel miRNAs and those that are casually implicated in other B-cell lymphomas, such as miR-155, miR-21 and miR-34a </w:t>
      </w:r>
      <w:r w:rsidR="00DE7AD6" w:rsidRPr="00002888">
        <w:rPr>
          <w:rFonts w:ascii="Times New Roman" w:hAnsi="Times New Roman" w:cs="Times New Roman"/>
          <w:color w:val="222222"/>
          <w:sz w:val="24"/>
          <w:szCs w:val="24"/>
          <w:shd w:val="clear" w:color="auto" w:fill="FFFFFF"/>
          <w:lang w:val="en-GB"/>
        </w:rPr>
        <w:fldChar w:fldCharType="begin" w:fldLock="1"/>
      </w:r>
      <w:r w:rsidR="00747509" w:rsidRPr="00002888">
        <w:rPr>
          <w:rFonts w:ascii="Times New Roman" w:hAnsi="Times New Roman" w:cs="Times New Roman"/>
          <w:color w:val="222222"/>
          <w:sz w:val="24"/>
          <w:szCs w:val="24"/>
          <w:shd w:val="clear" w:color="auto" w:fill="FFFFFF"/>
          <w:lang w:val="en-GB"/>
        </w:rPr>
        <w:instrText>ADDIN CSL_CITATION {"citationItems":[{"id":"ITEM-1","itemData":{"DOI":"10.1177/1177271918806840","ISSN":"11772719","abstract":"B-cell lymphomas represent a diverse group of neoplasms classified primarily by histopatholgy and are often challenging to accurately diagnose. Despite having been recognized less than 20 years ago, microRNAs (miRNAs) have emerged as one of the most promising class of cancer molecular biomarkers and are particularly attractive as they can be readily detected in formalin-fixed paraffin-embedded biopsy material and biological fluids such as blood. Many of the identified B-cell lymphoma miRNA biomarkers also play crucial regulatory roles in normal B-cell development. Below we consider the identity, function, and biomarker potential of miRNAs in B-cell lymphoma and most importantly the barriers that remain to be overcome if they are really to become part of routine clinical practice.","author":[{"dropping-particle":"","family":"Solé","given":"Carla","non-dropping-particle":"","parse-names":false,"suffix":""},{"dropping-particle":"","family":"Arnaiz","given":"Esther","non-dropping-particle":"","parse-names":false,"suffix":""},{"dropping-particle":"","family":"Lawrie","given":"Charles H.","non-dropping-particle":"","parse-names":false,"suffix":""}],"container-title":"Biomarker Insights","id":"ITEM-1","issued":{"date-parts":[["2018","10","1"]]},"publisher":"SAGE Publications Ltd","title":"MicroRNAs as Biomarkers of B-cell Lymphoma","type":"article","volume":"13"},"uris":["http://www.mendeley.com/documents/?uuid=70250d95-a08f-3aca-988f-898cf64243e8"]}],"mendeley":{"formattedCitation":"(Solé et al., 2018)","plainTextFormattedCitation":"(Solé et al., 2018)","previouslyFormattedCitation":"(Solé et al., 2018)"},"properties":{"noteIndex":0},"schema":"https://github.com/citation-style-language/schema/raw/master/csl-citation.json"}</w:instrText>
      </w:r>
      <w:r w:rsidR="00DE7AD6" w:rsidRPr="00002888">
        <w:rPr>
          <w:rFonts w:ascii="Times New Roman" w:hAnsi="Times New Roman" w:cs="Times New Roman"/>
          <w:color w:val="222222"/>
          <w:sz w:val="24"/>
          <w:szCs w:val="24"/>
          <w:shd w:val="clear" w:color="auto" w:fill="FFFFFF"/>
          <w:lang w:val="en-GB"/>
        </w:rPr>
        <w:fldChar w:fldCharType="separate"/>
      </w:r>
      <w:r w:rsidR="00DE7AD6" w:rsidRPr="00002888">
        <w:rPr>
          <w:rFonts w:ascii="Times New Roman" w:hAnsi="Times New Roman" w:cs="Times New Roman"/>
          <w:noProof/>
          <w:color w:val="222222"/>
          <w:sz w:val="24"/>
          <w:szCs w:val="24"/>
          <w:shd w:val="clear" w:color="auto" w:fill="FFFFFF"/>
          <w:lang w:val="en-GB"/>
        </w:rPr>
        <w:t>(Solé et al., 2018)</w:t>
      </w:r>
      <w:r w:rsidR="00DE7AD6" w:rsidRPr="00002888">
        <w:rPr>
          <w:rFonts w:ascii="Times New Roman" w:hAnsi="Times New Roman" w:cs="Times New Roman"/>
          <w:color w:val="222222"/>
          <w:sz w:val="24"/>
          <w:szCs w:val="24"/>
          <w:shd w:val="clear" w:color="auto" w:fill="FFFFFF"/>
          <w:lang w:val="en-GB"/>
        </w:rPr>
        <w:fldChar w:fldCharType="end"/>
      </w:r>
      <w:r w:rsidR="00972690" w:rsidRPr="00002888">
        <w:rPr>
          <w:rFonts w:ascii="Times New Roman" w:hAnsi="Times New Roman" w:cs="Times New Roman"/>
          <w:color w:val="222222"/>
          <w:sz w:val="24"/>
          <w:szCs w:val="24"/>
          <w:shd w:val="clear" w:color="auto" w:fill="FFFFFF"/>
          <w:lang w:val="en-GB"/>
        </w:rPr>
        <w:t>.</w:t>
      </w:r>
      <w:r w:rsidRPr="00002888">
        <w:rPr>
          <w:rFonts w:ascii="Times New Roman" w:hAnsi="Times New Roman" w:cs="Times New Roman"/>
          <w:color w:val="222222"/>
          <w:sz w:val="24"/>
          <w:szCs w:val="24"/>
          <w:shd w:val="clear" w:color="auto" w:fill="FFFFFF"/>
          <w:lang w:val="en-GB"/>
        </w:rPr>
        <w:t xml:space="preserve"> </w:t>
      </w:r>
    </w:p>
    <w:p w14:paraId="0F04A066" w14:textId="77777777" w:rsidR="00002888" w:rsidRPr="00002888" w:rsidRDefault="00002888" w:rsidP="00002888">
      <w:pPr>
        <w:spacing w:before="0" w:after="0" w:line="360" w:lineRule="auto"/>
        <w:jc w:val="left"/>
        <w:rPr>
          <w:rFonts w:ascii="Times New Roman" w:hAnsi="Times New Roman" w:cs="Times New Roman"/>
          <w:color w:val="222222"/>
          <w:sz w:val="24"/>
          <w:szCs w:val="24"/>
          <w:shd w:val="clear" w:color="auto" w:fill="FFFFFF"/>
          <w:lang w:val="en-GB"/>
        </w:rPr>
      </w:pPr>
    </w:p>
    <w:p w14:paraId="33BBFF51" w14:textId="7E73A821" w:rsidR="001B1935" w:rsidRDefault="001B1935" w:rsidP="00002888">
      <w:pPr>
        <w:spacing w:before="0" w:after="0" w:line="360" w:lineRule="auto"/>
        <w:jc w:val="left"/>
        <w:rPr>
          <w:rFonts w:ascii="Times New Roman" w:hAnsi="Times New Roman" w:cs="Times New Roman"/>
          <w:color w:val="222222"/>
          <w:sz w:val="24"/>
          <w:szCs w:val="24"/>
          <w:shd w:val="clear" w:color="auto" w:fill="FFFFFF"/>
          <w:lang w:val="en-GB"/>
        </w:rPr>
      </w:pPr>
      <w:r w:rsidRPr="00002888">
        <w:rPr>
          <w:rFonts w:ascii="Times New Roman" w:hAnsi="Times New Roman" w:cs="Times New Roman"/>
          <w:color w:val="222222"/>
          <w:sz w:val="24"/>
          <w:szCs w:val="24"/>
          <w:shd w:val="clear" w:color="auto" w:fill="FFFFFF"/>
          <w:lang w:val="en-GB"/>
        </w:rPr>
        <w:t xml:space="preserve">As briefly mentioned previously, several candidate miRNAs have been defined based on their proximity to </w:t>
      </w:r>
      <w:r w:rsidR="00DE28CE" w:rsidRPr="00002888">
        <w:rPr>
          <w:rFonts w:ascii="Times New Roman" w:hAnsi="Times New Roman" w:cs="Times New Roman"/>
          <w:color w:val="222222"/>
          <w:sz w:val="24"/>
          <w:szCs w:val="24"/>
          <w:shd w:val="clear" w:color="auto" w:fill="FFFFFF"/>
          <w:lang w:val="en-GB"/>
        </w:rPr>
        <w:t xml:space="preserve">the </w:t>
      </w:r>
      <w:r w:rsidRPr="00002888">
        <w:rPr>
          <w:rFonts w:ascii="Times New Roman" w:hAnsi="Times New Roman" w:cs="Times New Roman"/>
          <w:color w:val="222222"/>
          <w:sz w:val="24"/>
          <w:szCs w:val="24"/>
          <w:shd w:val="clear" w:color="auto" w:fill="FFFFFF"/>
          <w:lang w:val="en-GB"/>
        </w:rPr>
        <w:t>minimally deletion region on 7q. Whilst based on limited cohorts and traditional molecular approaches, miRNAs includ</w:t>
      </w:r>
      <w:r w:rsidR="00DE7AD6" w:rsidRPr="00002888">
        <w:rPr>
          <w:rFonts w:ascii="Times New Roman" w:hAnsi="Times New Roman" w:cs="Times New Roman"/>
          <w:color w:val="222222"/>
          <w:sz w:val="24"/>
          <w:szCs w:val="24"/>
          <w:shd w:val="clear" w:color="auto" w:fill="FFFFFF"/>
          <w:lang w:val="en-GB"/>
        </w:rPr>
        <w:t>ing</w:t>
      </w:r>
      <w:r w:rsidRPr="00002888">
        <w:rPr>
          <w:rFonts w:ascii="Times New Roman" w:hAnsi="Times New Roman" w:cs="Times New Roman"/>
          <w:color w:val="222222"/>
          <w:sz w:val="24"/>
          <w:szCs w:val="24"/>
          <w:shd w:val="clear" w:color="auto" w:fill="FFFFFF"/>
          <w:lang w:val="en-GB"/>
        </w:rPr>
        <w:t xml:space="preserve"> </w:t>
      </w:r>
      <w:r w:rsidRPr="00002888">
        <w:rPr>
          <w:rFonts w:ascii="Times New Roman" w:eastAsia="Times New Roman" w:hAnsi="Times New Roman" w:cs="Times New Roman"/>
          <w:color w:val="000000"/>
          <w:sz w:val="24"/>
          <w:szCs w:val="24"/>
          <w:shd w:val="clear" w:color="auto" w:fill="FFFFFF"/>
          <w:lang w:val="en-GB" w:eastAsia="en-GB"/>
        </w:rPr>
        <w:t>miR-593, miR-129, miR-182, miR-96, miR-183, miR-</w:t>
      </w:r>
      <w:r w:rsidRPr="00002888">
        <w:rPr>
          <w:rFonts w:ascii="Times New Roman" w:eastAsia="Times New Roman" w:hAnsi="Times New Roman" w:cs="Times New Roman"/>
          <w:color w:val="000000"/>
          <w:sz w:val="24"/>
          <w:szCs w:val="24"/>
          <w:shd w:val="clear" w:color="auto" w:fill="FFFFFF"/>
          <w:lang w:val="en-GB" w:eastAsia="en-GB"/>
        </w:rPr>
        <w:lastRenderedPageBreak/>
        <w:t>335, miR-29a and miR-29b-1 have been shown to be under-expressed in the presence of 7q</w:t>
      </w:r>
      <w:r w:rsidR="00B27C81" w:rsidRPr="00002888">
        <w:rPr>
          <w:rFonts w:ascii="Times New Roman" w:eastAsia="Times New Roman" w:hAnsi="Times New Roman" w:cs="Times New Roman"/>
          <w:color w:val="000000"/>
          <w:sz w:val="24"/>
          <w:szCs w:val="24"/>
          <w:shd w:val="clear" w:color="auto" w:fill="FFFFFF"/>
          <w:lang w:val="en-GB" w:eastAsia="en-GB"/>
        </w:rPr>
        <w:t xml:space="preserve"> </w:t>
      </w:r>
      <w:r w:rsidR="00DE7AD6" w:rsidRPr="00002888">
        <w:rPr>
          <w:rFonts w:ascii="Times New Roman" w:eastAsia="Times New Roman" w:hAnsi="Times New Roman" w:cs="Times New Roman"/>
          <w:color w:val="000000"/>
          <w:sz w:val="24"/>
          <w:szCs w:val="24"/>
          <w:shd w:val="clear" w:color="auto" w:fill="FFFFFF"/>
          <w:lang w:val="en-GB" w:eastAsia="en-GB"/>
        </w:rPr>
        <w:t xml:space="preserve">deletions </w:t>
      </w:r>
      <w:r w:rsidR="00B27C81" w:rsidRPr="00002888">
        <w:rPr>
          <w:rFonts w:ascii="Times New Roman" w:eastAsia="Times New Roman" w:hAnsi="Times New Roman" w:cs="Times New Roman"/>
          <w:color w:val="000000"/>
          <w:sz w:val="24"/>
          <w:szCs w:val="24"/>
          <w:shd w:val="clear" w:color="auto" w:fill="FFFFFF"/>
          <w:lang w:val="en-GB" w:eastAsia="en-GB"/>
        </w:rPr>
        <w:fldChar w:fldCharType="begin" w:fldLock="1"/>
      </w:r>
      <w:r w:rsidR="00B27C81" w:rsidRPr="00002888">
        <w:rPr>
          <w:rFonts w:ascii="Times New Roman" w:eastAsia="Times New Roman" w:hAnsi="Times New Roman" w:cs="Times New Roman"/>
          <w:color w:val="000000"/>
          <w:sz w:val="24"/>
          <w:szCs w:val="24"/>
          <w:shd w:val="clear" w:color="auto" w:fill="FFFFFF"/>
          <w:lang w:val="en-GB" w:eastAsia="en-GB"/>
        </w:rPr>
        <w:instrText>ADDIN CSL_CITATION {"citationItems":[{"id":"ITEM-1","itemData":{"DOI":"10.1371/journal.pone.0044997","ISSN":"1932-6203","PMID":"23028731","abstract":"Splenic marginal zone lymphoma (SMZL) is an indolent B-cell lymphoproliferative disorder characterised by 7q32 deletion, but the target genes of this deletion remain unknown. In order to elucidate the genetic target of this deletion, we performed an integrative analysis of the genetic, epigenetic, transcriptomic and miRNomic data. High resolution array comparative genomic hybridization of 56 cases of SMZL delineated a minimally deleted region (2.8 Mb) at 7q32, but showed no evidence of any cryptic homozygous deletion or recurrent breakpoint in this region. Integrated transcriptomic analysis confirmed significant under-expression of a number of genes in this region in cases of SMZL with deletion, several of which showed hypermethylation. In addition, a cluster of 8 miRNA in this region showed under-expression in cases with the deletion, and three (miR-182/96/183) were also significantly under-expressed (P&lt;0.05) in SMZL relative to other lymphomas. Genomic sequencing of these miRNA and IRF5, a strong candidate gene, did not show any evidence of somatic mutation in SMZL. These observations provide valuable guidance for further characterisation of 7q deletion.","author":[{"dropping-particle":"","family":"Watkins","given":"A. James","non-dropping-particle":"","parse-names":false,"suffix":""},{"dropping-particle":"","family":"Hamoudi","given":"Rifat A.","non-dropping-particle":"","parse-names":false,"suffix":""},{"dropping-particle":"","family":"Zeng","given":"Naiyan","non-dropping-particle":"","parse-names":false,"suffix":""},{"dropping-particle":"","family":"Yan","given":"Qingguo","non-dropping-particle":"","parse-names":false,"suffix":""},{"dropping-particle":"","family":"Huang","given":"Yuanxue","non-dropping-particle":"","parse-names":false,"suffix":""},{"dropping-particle":"","family":"Liu","given":"Hongxiang","non-dropping-particle":"","parse-names":false,"suffix":""},{"dropping-particle":"","family":"Zhang","given":"Jianzhong","non-dropping-particle":"","parse-names":false,"suffix":""},{"dropping-particle":"","family":"Braggio","given":"Esteban","non-dropping-particle":"","parse-names":false,"suffix":""},{"dropping-particle":"","family":"Fonseca","given":"Rafael","non-dropping-particle":"","parse-names":false,"suffix":""},{"dropping-particle":"","family":"Leval","given":"Laurence","non-dropping-particle":"de","parse-names":false,"suffix":""},{"dropping-particle":"","family":"Isaacson","given":"Peter G.","non-dropping-particle":"","parse-names":false,"suffix":""},{"dropping-particle":"","family":"Wotherspoon","given":"Andrew","non-dropping-particle":"","parse-names":false,"suffix":""},{"dropping-particle":"","family":"McPhail","given":"Ellen D.","non-dropping-particle":"","parse-names":false,"suffix":""},{"dropping-particle":"","family":"Dogan","given":"Ahmet","non-dropping-particle":"","parse-names":false,"suffix":""},{"dropping-particle":"","family":"Du","given":"Ming-Qing","non-dropping-particle":"","parse-names":false,"suffix":""}],"container-title":"PloS one","id":"ITEM-1","issue":"9","issued":{"date-parts":[["2012"]]},"page":"e44997","title":"An integrated genomic and expression analysis of 7q deletion in splenic marginal zone lymphoma.","type":"article-journal","volume":"7"},"uris":["http://www.mendeley.com/documents/?uuid=9effd166-8d5c-47f0-9602-0f3bbd596449"]},{"id":"ITEM-2","itemData":{"DOI":"10.1038/sj.leu.2404853","ISSN":"1476-5551","PMID":"17625607","author":[{"dropping-particle":"","family":"Ruiz-Ballesteros","given":"E.","non-dropping-particle":"","parse-names":false,"suffix":""},{"dropping-particle":"","family":"Mollejo","given":"M.","non-dropping-particle":"","parse-names":false,"suffix":""},{"dropping-particle":"","family":"Mateo","given":"M.","non-dropping-particle":"","parse-names":false,"suffix":""},{"dropping-particle":"","family":"Algara","given":"P.","non-dropping-particle":"","parse-names":false,"suffix":""},{"dropping-particle":"","family":"Martínez","given":"P.","non-dropping-particle":"","parse-names":false,"suffix":""},{"dropping-particle":"","family":"Piris","given":"M. A.","non-dropping-particle":"","parse-names":false,"suffix":""}],"container-title":"Leukemia","id":"ITEM-2","issue":"12","issued":{"date-parts":[["2007","12"]]},"page":"2547-9","title":"MicroRNA losses in the frequently deleted region of 7q in SMZL.","type":"article-journal","volume":"21"},"uris":["http://www.mendeley.com/documents/?uuid=fd32faa5-9864-4d6f-82d8-58cb49781a4e"]}],"mendeley":{"formattedCitation":"(Ruiz-Ballesteros et al., 2007; Watkins et al., 2012)","plainTextFormattedCitation":"(Ruiz-Ballesteros et al., 2007; Watkins et al., 2012)","previouslyFormattedCitation":"(Ruiz-Ballesteros et al., 2007; Watkins et al., 2012)"},"properties":{"noteIndex":0},"schema":"https://github.com/citation-style-language/schema/raw/master/csl-citation.json"}</w:instrText>
      </w:r>
      <w:r w:rsidR="00B27C81" w:rsidRPr="00002888">
        <w:rPr>
          <w:rFonts w:ascii="Times New Roman" w:eastAsia="Times New Roman" w:hAnsi="Times New Roman" w:cs="Times New Roman"/>
          <w:color w:val="000000"/>
          <w:sz w:val="24"/>
          <w:szCs w:val="24"/>
          <w:shd w:val="clear" w:color="auto" w:fill="FFFFFF"/>
          <w:lang w:val="en-GB" w:eastAsia="en-GB"/>
        </w:rPr>
        <w:fldChar w:fldCharType="separate"/>
      </w:r>
      <w:r w:rsidR="00B27C81" w:rsidRPr="00002888">
        <w:rPr>
          <w:rFonts w:ascii="Times New Roman" w:eastAsia="Times New Roman" w:hAnsi="Times New Roman" w:cs="Times New Roman"/>
          <w:noProof/>
          <w:color w:val="000000"/>
          <w:sz w:val="24"/>
          <w:szCs w:val="24"/>
          <w:shd w:val="clear" w:color="auto" w:fill="FFFFFF"/>
          <w:lang w:val="en-GB" w:eastAsia="en-GB"/>
        </w:rPr>
        <w:t>(Ruiz-Ballesteros et al., 2007; Watkins et al., 2012)</w:t>
      </w:r>
      <w:r w:rsidR="00B27C81" w:rsidRPr="00002888">
        <w:rPr>
          <w:rFonts w:ascii="Times New Roman" w:eastAsia="Times New Roman" w:hAnsi="Times New Roman" w:cs="Times New Roman"/>
          <w:color w:val="000000"/>
          <w:sz w:val="24"/>
          <w:szCs w:val="24"/>
          <w:shd w:val="clear" w:color="auto" w:fill="FFFFFF"/>
          <w:lang w:val="en-GB" w:eastAsia="en-GB"/>
        </w:rPr>
        <w:fldChar w:fldCharType="end"/>
      </w:r>
      <w:r w:rsidRPr="00002888">
        <w:rPr>
          <w:rFonts w:ascii="Times New Roman" w:eastAsia="Times New Roman" w:hAnsi="Times New Roman" w:cs="Times New Roman"/>
          <w:color w:val="000000"/>
          <w:sz w:val="24"/>
          <w:szCs w:val="24"/>
          <w:shd w:val="clear" w:color="auto" w:fill="FFFFFF"/>
          <w:lang w:val="en-GB" w:eastAsia="en-GB"/>
        </w:rPr>
        <w:t xml:space="preserve">. Under-expression of </w:t>
      </w:r>
      <w:r w:rsidR="00DE28CE" w:rsidRPr="00002888">
        <w:rPr>
          <w:rFonts w:ascii="Times New Roman" w:eastAsia="Times New Roman" w:hAnsi="Times New Roman" w:cs="Times New Roman"/>
          <w:color w:val="000000"/>
          <w:sz w:val="24"/>
          <w:szCs w:val="24"/>
          <w:shd w:val="clear" w:color="auto" w:fill="FFFFFF"/>
          <w:lang w:val="en-GB" w:eastAsia="en-GB"/>
        </w:rPr>
        <w:t>miR-29a and miR-29b-</w:t>
      </w:r>
      <w:r w:rsidRPr="00002888">
        <w:rPr>
          <w:rFonts w:ascii="Times New Roman" w:eastAsia="Times New Roman" w:hAnsi="Times New Roman" w:cs="Times New Roman"/>
          <w:color w:val="000000"/>
          <w:sz w:val="24"/>
          <w:szCs w:val="24"/>
          <w:shd w:val="clear" w:color="auto" w:fill="FFFFFF"/>
          <w:lang w:val="en-GB" w:eastAsia="en-GB"/>
        </w:rPr>
        <w:t xml:space="preserve"> on 7q, have putative roles in immune regulation, cell proliferation and B-cell differentiation. In particular a key miR-29 target is the </w:t>
      </w:r>
      <w:r w:rsidRPr="00002888">
        <w:rPr>
          <w:rFonts w:ascii="Times New Roman" w:eastAsia="Times New Roman" w:hAnsi="Times New Roman" w:cs="Times New Roman"/>
          <w:i/>
          <w:color w:val="000000"/>
          <w:sz w:val="24"/>
          <w:szCs w:val="24"/>
          <w:shd w:val="clear" w:color="auto" w:fill="FFFFFF"/>
          <w:lang w:val="en-GB" w:eastAsia="en-GB"/>
        </w:rPr>
        <w:t>TCL1A</w:t>
      </w:r>
      <w:r w:rsidRPr="00002888">
        <w:rPr>
          <w:rFonts w:ascii="Times New Roman" w:eastAsia="Times New Roman" w:hAnsi="Times New Roman" w:cs="Times New Roman"/>
          <w:color w:val="000000"/>
          <w:sz w:val="24"/>
          <w:szCs w:val="24"/>
          <w:shd w:val="clear" w:color="auto" w:fill="FFFFFF"/>
          <w:lang w:val="en-GB" w:eastAsia="en-GB"/>
        </w:rPr>
        <w:t xml:space="preserve"> gene, a gene that is over-expressed in SMZL</w:t>
      </w:r>
      <w:r w:rsidR="00B27C81" w:rsidRPr="00002888">
        <w:rPr>
          <w:rFonts w:ascii="Times New Roman" w:eastAsia="Times New Roman" w:hAnsi="Times New Roman" w:cs="Times New Roman"/>
          <w:color w:val="000000"/>
          <w:sz w:val="24"/>
          <w:szCs w:val="24"/>
          <w:shd w:val="clear" w:color="auto" w:fill="FFFFFF"/>
          <w:lang w:val="en-GB" w:eastAsia="en-GB"/>
        </w:rPr>
        <w:t xml:space="preserve"> </w:t>
      </w:r>
      <w:r w:rsidR="00B27C81" w:rsidRPr="00002888">
        <w:rPr>
          <w:rFonts w:ascii="Times New Roman" w:eastAsia="Times New Roman" w:hAnsi="Times New Roman" w:cs="Times New Roman"/>
          <w:color w:val="000000"/>
          <w:sz w:val="24"/>
          <w:szCs w:val="24"/>
          <w:shd w:val="clear" w:color="auto" w:fill="FFFFFF"/>
          <w:lang w:val="en-GB" w:eastAsia="en-GB"/>
        </w:rPr>
        <w:fldChar w:fldCharType="begin" w:fldLock="1"/>
      </w:r>
      <w:r w:rsidR="00B27C81" w:rsidRPr="00002888">
        <w:rPr>
          <w:rFonts w:ascii="Times New Roman" w:eastAsia="Times New Roman" w:hAnsi="Times New Roman" w:cs="Times New Roman"/>
          <w:color w:val="000000"/>
          <w:sz w:val="24"/>
          <w:szCs w:val="24"/>
          <w:shd w:val="clear" w:color="auto" w:fill="FFFFFF"/>
          <w:lang w:val="en-GB" w:eastAsia="en-GB"/>
        </w:rPr>
        <w:instrText>ADDIN CSL_CITATION {"citationItems":[{"id":"ITEM-1","itemData":{"DOI":"10.1182/blood-2004-10-3898","ISSN":"0006-4971","PMID":"15914563","abstract":"Splenic marginal zone lymphoma (SMZL) is a newly recognized lymphoma type whose precise molecular pathogenesis is still essentially unknown. This hampers differential diagnosis with other small B-cell malignancies. With the aim of characterizing this tumor more comprehensively, and of identifying new diagnostic and prognostic markers, we performed cDNA microarray expression profiling and tissue microarray (TMA) immunohistochemical studies in a relatively large series of 44 SMZLs. The results were related to immunoglobulin heavy chain variable region (IgVH) mutational status and clinical outcome. SMZLs display a largely homogenous signature, implying the existence of a single molecular entity. Of the genes deregulated in SMZLs, special mention may be made of the genes involved in B-cell receptor (BCR) signaling, tumor necrosis factor (TNF) signaling and nuclear factor-κB (NF-κB) activation, such as SYK, BTK, BIRC3, TRAF3, and LTB. Other genes observed were SELL and LPXN, which were highly expressed in spleen, and lymphoma oncogenes, such as ARHH and TCL1. In contrast, the genes CAV1, CAV2, and GNG11 located in 7q31, a commonly deleted area, were down-regulated in the entire series. A comparison with the genes comprising the signature of other small B-cell lymphomas identified 3 genes whose expression distinguishes SMZL, namely ILF1, SENATAXIN, and CD40. Shorter survival was associated with CD38 expression, naive IgVH genes, and the expression of a set of NF-κB pathway genes, including TRAF5, REL, and PKCA. (Blood. 2005;106:1831-1838)","author":[{"dropping-particle":"","family":"Ruiz-Ballesteros","given":"Elena","non-dropping-particle":"","parse-names":false,"suffix":""},{"dropping-particle":"","family":"Mollejo","given":"Manuela","non-dropping-particle":"","parse-names":false,"suffix":""},{"dropping-particle":"","family":"Rodriguez","given":"Antonia","non-dropping-particle":"","parse-names":false,"suffix":""},{"dropping-particle":"","family":"Camacho","given":"Francisca I","non-dropping-particle":"","parse-names":false,"suffix":""},{"dropping-particle":"","family":"Algara","given":"Patrocinio","non-dropping-particle":"","parse-names":false,"suffix":""},{"dropping-particle":"","family":"Martinez","given":"Nerea","non-dropping-particle":"","parse-names":false,"suffix":""},{"dropping-particle":"","family":"Pollán","given":"Marina","non-dropping-particle":"","parse-names":false,"suffix":""},{"dropping-particle":"","family":"Sanchez-Aguilera","given":"Abel","non-dropping-particle":"","parse-names":false,"suffix":""},{"dropping-particle":"","family":"Menarguez","given":"Javier","non-dropping-particle":"","parse-names":false,"suffix":""},{"dropping-particle":"","family":"Campo","given":"Elias","non-dropping-particle":"","parse-names":false,"suffix":""},{"dropping-particle":"","family":"Martinez","given":"Pedro","non-dropping-particle":"","parse-names":false,"suffix":""},{"dropping-particle":"","family":"Mateo","given":"Marisol","non-dropping-particle":"","parse-names":false,"suffix":""},{"dropping-particle":"","family":"Piris","given":"Miguel Angel","non-dropping-particle":"","parse-names":false,"suffix":""}],"container-title":"Blood","id":"ITEM-1","issue":"5","issued":{"date-parts":[["2005","9","1"]]},"page":"1831-1838","title":"Splenic marginal zone lymphoma: proposal of new diagnostic and prognostic markers identified after tissue and cDNA microarray analysis","type":"article-journal","volume":"106"},"uris":["http://www.mendeley.com/documents/?uuid=38d8fb97-1194-4e10-8208-acf40ce7bb4d"]}],"mendeley":{"formattedCitation":"(Ruiz-Ballesteros et al., 2005)","plainTextFormattedCitation":"(Ruiz-Ballesteros et al., 2005)","previouslyFormattedCitation":"(Ruiz-Ballesteros et al., 2005)"},"properties":{"noteIndex":0},"schema":"https://github.com/citation-style-language/schema/raw/master/csl-citation.json"}</w:instrText>
      </w:r>
      <w:r w:rsidR="00B27C81" w:rsidRPr="00002888">
        <w:rPr>
          <w:rFonts w:ascii="Times New Roman" w:eastAsia="Times New Roman" w:hAnsi="Times New Roman" w:cs="Times New Roman"/>
          <w:color w:val="000000"/>
          <w:sz w:val="24"/>
          <w:szCs w:val="24"/>
          <w:shd w:val="clear" w:color="auto" w:fill="FFFFFF"/>
          <w:lang w:val="en-GB" w:eastAsia="en-GB"/>
        </w:rPr>
        <w:fldChar w:fldCharType="separate"/>
      </w:r>
      <w:r w:rsidR="00B27C81" w:rsidRPr="00002888">
        <w:rPr>
          <w:rFonts w:ascii="Times New Roman" w:eastAsia="Times New Roman" w:hAnsi="Times New Roman" w:cs="Times New Roman"/>
          <w:noProof/>
          <w:color w:val="000000"/>
          <w:sz w:val="24"/>
          <w:szCs w:val="24"/>
          <w:shd w:val="clear" w:color="auto" w:fill="FFFFFF"/>
          <w:lang w:val="en-GB" w:eastAsia="en-GB"/>
        </w:rPr>
        <w:t>(Ruiz-Ballesteros et al., 2005)</w:t>
      </w:r>
      <w:r w:rsidR="00B27C81" w:rsidRPr="00002888">
        <w:rPr>
          <w:rFonts w:ascii="Times New Roman" w:eastAsia="Times New Roman" w:hAnsi="Times New Roman" w:cs="Times New Roman"/>
          <w:color w:val="000000"/>
          <w:sz w:val="24"/>
          <w:szCs w:val="24"/>
          <w:shd w:val="clear" w:color="auto" w:fill="FFFFFF"/>
          <w:lang w:val="en-GB" w:eastAsia="en-GB"/>
        </w:rPr>
        <w:fldChar w:fldCharType="end"/>
      </w:r>
      <w:r w:rsidRPr="00002888">
        <w:rPr>
          <w:rFonts w:ascii="Times New Roman" w:eastAsia="Times New Roman" w:hAnsi="Times New Roman" w:cs="Times New Roman"/>
          <w:color w:val="000000"/>
          <w:sz w:val="24"/>
          <w:szCs w:val="24"/>
          <w:shd w:val="clear" w:color="auto" w:fill="FFFFFF"/>
          <w:lang w:val="en-GB" w:eastAsia="en-GB"/>
        </w:rPr>
        <w:t xml:space="preserve">, where miRNA binding deactivates the oncogenic function of </w:t>
      </w:r>
      <w:r w:rsidRPr="00002888">
        <w:rPr>
          <w:rFonts w:ascii="Times New Roman" w:eastAsia="Times New Roman" w:hAnsi="Times New Roman" w:cs="Times New Roman"/>
          <w:i/>
          <w:color w:val="000000"/>
          <w:sz w:val="24"/>
          <w:szCs w:val="24"/>
          <w:shd w:val="clear" w:color="auto" w:fill="FFFFFF"/>
          <w:lang w:val="en-GB" w:eastAsia="en-GB"/>
        </w:rPr>
        <w:t>TCL1A.</w:t>
      </w:r>
      <w:r w:rsidRPr="00002888">
        <w:rPr>
          <w:rFonts w:ascii="Times New Roman" w:eastAsia="Times New Roman" w:hAnsi="Times New Roman" w:cs="Times New Roman"/>
          <w:color w:val="000000"/>
          <w:sz w:val="24"/>
          <w:szCs w:val="24"/>
          <w:shd w:val="clear" w:color="auto" w:fill="FFFFFF"/>
          <w:lang w:val="en-GB" w:eastAsia="en-GB"/>
        </w:rPr>
        <w:t xml:space="preserve"> Several of these other 7q miRNAs may also contribute to disease biology through the d</w:t>
      </w:r>
      <w:r w:rsidR="00551EB7" w:rsidRPr="00002888">
        <w:rPr>
          <w:rFonts w:ascii="Times New Roman" w:eastAsia="Times New Roman" w:hAnsi="Times New Roman" w:cs="Times New Roman"/>
          <w:color w:val="000000"/>
          <w:sz w:val="24"/>
          <w:szCs w:val="24"/>
          <w:shd w:val="clear" w:color="auto" w:fill="FFFFFF"/>
          <w:lang w:val="en-GB" w:eastAsia="en-GB"/>
        </w:rPr>
        <w:t>ysr</w:t>
      </w:r>
      <w:r w:rsidRPr="00002888">
        <w:rPr>
          <w:rFonts w:ascii="Times New Roman" w:eastAsia="Times New Roman" w:hAnsi="Times New Roman" w:cs="Times New Roman"/>
          <w:color w:val="000000"/>
          <w:sz w:val="24"/>
          <w:szCs w:val="24"/>
          <w:shd w:val="clear" w:color="auto" w:fill="FFFFFF"/>
          <w:lang w:val="en-GB" w:eastAsia="en-GB"/>
        </w:rPr>
        <w:t xml:space="preserve">egulation of target gene expression and function; miR-129 and miR-335 have been shown to target BCL2, RB1 and BCL-w </w:t>
      </w:r>
      <w:r w:rsidR="00747509" w:rsidRPr="00002888">
        <w:rPr>
          <w:rFonts w:ascii="Times New Roman" w:eastAsia="Times New Roman" w:hAnsi="Times New Roman" w:cs="Times New Roman"/>
          <w:color w:val="000000"/>
          <w:sz w:val="24"/>
          <w:szCs w:val="24"/>
          <w:shd w:val="clear" w:color="auto" w:fill="FFFFFF"/>
          <w:lang w:val="en-GB" w:eastAsia="en-GB"/>
        </w:rPr>
        <w:fldChar w:fldCharType="begin" w:fldLock="1"/>
      </w:r>
      <w:r w:rsidR="00CD3F78" w:rsidRPr="00002888">
        <w:rPr>
          <w:rFonts w:ascii="Times New Roman" w:eastAsia="Times New Roman" w:hAnsi="Times New Roman" w:cs="Times New Roman"/>
          <w:color w:val="000000"/>
          <w:sz w:val="24"/>
          <w:szCs w:val="24"/>
          <w:shd w:val="clear" w:color="auto" w:fill="FFFFFF"/>
          <w:lang w:val="en-GB" w:eastAsia="en-GB"/>
        </w:rPr>
        <w:instrText>ADDIN CSL_CITATION {"citationItems":[{"id":"ITEM-1","itemData":{"DOI":"10.1038/cddis.2013.193","ISSN":"20414889","abstract":"Resistance to fluoropyrimidine-based chemotherapy is the major reason for the failure of advanced colorectal cancer (CRC) treatment. The lack of ability of tumor cells to undergo apoptosis after genotoxic stress is the key contributor to this intrinsic mechanism. Mounting evidence has demonstrated that non-coding microRNAs (miRNAs) are crucial regulators of gene expression, in particular, under acute genotoxic stress. However, there is still limited knowledge about the role of miRNAs in apoptosis. In this study, we discovered a novel mechanism mediated by microRNA-129 (miR-129) to trigger apoptosis by suppressing a key anti-apoptotic protein, B-cell lymphoma 2 (BCL2). Ectopic expression of miR-129 promoted apoptosis, inhibited cell proliferation and caused cell-cycle arrest in CRC cells. The intrinsic apoptotic pathway triggered by miR-129 was activated by cleavage of caspase-9 and caspase-3. The expression of miR-129 was significantly downregulated in CRC tissue specimens compared with the paired normal control samples. More importantly, we demonstrated that miR-129 enhanced the cytotoxic effect of 5-fluorouracil both in vitro and in vivo. These results suggest that miR-129 has a unique potential as a tumor suppressor and a novel candidate for developing miR-129-based therapeutic strategies in CRC. © 2013 Macmillan Publishers Limited All rights reserved.","author":[{"dropping-particle":"","family":"Karaayvaz","given":"M.","non-dropping-particle":"","parse-names":false,"suffix":""},{"dropping-particle":"","family":"Zhai","given":"H.","non-dropping-particle":"","parse-names":false,"suffix":""},{"dropping-particle":"","family":"Ju","given":"J.","non-dropping-particle":"","parse-names":false,"suffix":""}],"container-title":"Cell Death and Disease","id":"ITEM-1","issue":"6","issued":{"date-parts":[["2013","6","6"]]},"page":"e659-e659","publisher":"Nature Publishing Group","title":"MiR-129 promotes apoptosis and enhances chemosensitivity to 5-fluorouracil in colorectal cancer","type":"article-journal","volume":"4"},"uris":["http://www.mendeley.com/documents/?uuid=1663c648-a534-3b9b-b680-508d7934ad7f"]},{"id":"ITEM-2","itemData":{"DOI":"10.1158/0008-5472.CAN-10-0141","ISSN":"15387445","PMID":"20713524","abstract":"Loss-of-function mutations of retinoblastoma family (Rb) proteins drive tumorigenesis by overcoming barriers to cellular proliferation. Consequently, factors modulating Rb function are of great clinical import. Here, we show that miR-335 is differentially expressed in human cancer cells and that it tightly regulates the expression of Rb1 (pRb/p105) by specifically targeting a conserved sequence motif in its 3′ untranslated region. We found that by altering Rb1 (pRb/p105) levels, miR-335 activates the p53 tumor suppressor pathway to limit cell proliferation and neoplastic cell transformation. DNA damage elicited an increase in miR-335 expression in a p53-dependent manner. miR-335 and p53 cooperated in a positive feedback loop to drive cell cycle arrest. Together, these results indicate that miR-335 helps control proliferation by balancing the activities of the Rb and p53 tumor suppressor pathways. Further, they establish that miR-335 activation plays an important role in the induction of p53-dependent cell cycle arrest after DNA damage. ©2010 AACR.","author":[{"dropping-particle":"","family":"Scarola","given":"Michele","non-dropping-particle":"","parse-names":false,"suffix":""},{"dropping-particle":"","family":"Schoeftner","given":"Stefan","non-dropping-particle":"","parse-names":false,"suffix":""},{"dropping-particle":"","family":"Schneider","given":"Claudio","non-dropping-particle":"","parse-names":false,"suffix":""},{"dropping-particle":"","family":"Benetti","given":"Roberta","non-dropping-particle":"","parse-names":false,"suffix":""}],"container-title":"Cancer Research","id":"ITEM-2","issue":"17","issued":{"date-parts":[["2010","9","1"]]},"page":"6925-6933","publisher":"American Association for Cancer Research Inc.","title":"miR-335 directly targets Rb1 (pRb/p105) in a proximal connection to p53-dependent stress response","type":"article-journal","volume":"70"},"uris":["http://www.mendeley.com/documents/?uuid=1195b612-7cef-37f5-9e8b-daf974d78da2"]}],"mendeley":{"formattedCitation":"(Karaayvaz et al., 2013; Scarola et al., 2010)","plainTextFormattedCitation":"(Karaayvaz et al., 2013; Scarola et al., 2010)","previouslyFormattedCitation":"(Karaayvaz et al., 2013; Scarola et al., 2010)"},"properties":{"noteIndex":0},"schema":"https://github.com/citation-style-language/schema/raw/master/csl-citation.json"}</w:instrText>
      </w:r>
      <w:r w:rsidR="00747509" w:rsidRPr="00002888">
        <w:rPr>
          <w:rFonts w:ascii="Times New Roman" w:eastAsia="Times New Roman" w:hAnsi="Times New Roman" w:cs="Times New Roman"/>
          <w:color w:val="000000"/>
          <w:sz w:val="24"/>
          <w:szCs w:val="24"/>
          <w:shd w:val="clear" w:color="auto" w:fill="FFFFFF"/>
          <w:lang w:val="en-GB" w:eastAsia="en-GB"/>
        </w:rPr>
        <w:fldChar w:fldCharType="separate"/>
      </w:r>
      <w:r w:rsidR="00747509" w:rsidRPr="00002888">
        <w:rPr>
          <w:rFonts w:ascii="Times New Roman" w:eastAsia="Times New Roman" w:hAnsi="Times New Roman" w:cs="Times New Roman"/>
          <w:noProof/>
          <w:color w:val="000000"/>
          <w:sz w:val="24"/>
          <w:szCs w:val="24"/>
          <w:shd w:val="clear" w:color="auto" w:fill="FFFFFF"/>
          <w:lang w:val="en-GB" w:eastAsia="en-GB"/>
        </w:rPr>
        <w:t>(Karaayvaz et al., 2013; Scarola et al., 2010)</w:t>
      </w:r>
      <w:r w:rsidR="00747509" w:rsidRPr="00002888">
        <w:rPr>
          <w:rFonts w:ascii="Times New Roman" w:eastAsia="Times New Roman" w:hAnsi="Times New Roman" w:cs="Times New Roman"/>
          <w:color w:val="000000"/>
          <w:sz w:val="24"/>
          <w:szCs w:val="24"/>
          <w:shd w:val="clear" w:color="auto" w:fill="FFFFFF"/>
          <w:lang w:val="en-GB" w:eastAsia="en-GB"/>
        </w:rPr>
        <w:fldChar w:fldCharType="end"/>
      </w:r>
      <w:r w:rsidRPr="00002888">
        <w:rPr>
          <w:rFonts w:ascii="Times New Roman" w:eastAsia="Times New Roman" w:hAnsi="Times New Roman" w:cs="Times New Roman"/>
          <w:color w:val="000000"/>
          <w:sz w:val="24"/>
          <w:szCs w:val="24"/>
          <w:lang w:val="en-GB" w:eastAsia="en-GB"/>
        </w:rPr>
        <w:t xml:space="preserve">. </w:t>
      </w:r>
      <w:r w:rsidRPr="00002888">
        <w:rPr>
          <w:rFonts w:ascii="Times New Roman" w:eastAsia="Times New Roman" w:hAnsi="Times New Roman" w:cs="Times New Roman"/>
          <w:color w:val="000000"/>
          <w:sz w:val="24"/>
          <w:szCs w:val="24"/>
          <w:shd w:val="clear" w:color="auto" w:fill="FFFFFF"/>
          <w:lang w:val="en-GB" w:eastAsia="en-GB"/>
        </w:rPr>
        <w:t xml:space="preserve">Beyond miRNAs located on 7q, genome-wide studies have identified a spectrum of miRNAs, some of which target disease-relevant genes and are associated with clinical outcome. </w:t>
      </w:r>
      <w:r w:rsidRPr="00002888">
        <w:rPr>
          <w:rFonts w:ascii="Times New Roman" w:hAnsi="Times New Roman" w:cs="Times New Roman"/>
          <w:color w:val="222222"/>
          <w:sz w:val="24"/>
          <w:szCs w:val="24"/>
          <w:shd w:val="clear" w:color="auto" w:fill="FFFFFF"/>
          <w:lang w:val="en-GB"/>
        </w:rPr>
        <w:t xml:space="preserve">Key studies have compared miRNA expression in SMZL versus other B-cell lymphoma sub-types, or by using normal/reactive spleen samples </w:t>
      </w:r>
      <w:r w:rsidR="00B27C81" w:rsidRPr="00002888">
        <w:rPr>
          <w:rFonts w:ascii="Times New Roman" w:hAnsi="Times New Roman" w:cs="Times New Roman"/>
          <w:color w:val="222222"/>
          <w:sz w:val="24"/>
          <w:szCs w:val="24"/>
          <w:shd w:val="clear" w:color="auto" w:fill="FFFFFF"/>
          <w:lang w:val="en-GB"/>
        </w:rPr>
        <w:fldChar w:fldCharType="begin" w:fldLock="1"/>
      </w:r>
      <w:r w:rsidR="00440600" w:rsidRPr="00002888">
        <w:rPr>
          <w:rFonts w:ascii="Times New Roman" w:hAnsi="Times New Roman" w:cs="Times New Roman"/>
          <w:color w:val="222222"/>
          <w:sz w:val="24"/>
          <w:szCs w:val="24"/>
          <w:shd w:val="clear" w:color="auto" w:fill="FFFFFF"/>
          <w:lang w:val="en-GB"/>
        </w:rPr>
        <w:instrText>ADDIN CSL_CITATION {"citationItems":[{"id":"ITEM-1","itemData":{"DOI":"10.1038/bcj.2012.1","ISSN":"2044-5385","abstract":"Accurate lymphoma diagnosis, prognosis and therapy still require additional markers. We explore the potential relevance of microRNA (miRNA) expression in a large series that included all major B-cell non-Hodgkin lymphoma (NHL) types. The data generated were also used to identify miRNAs differentially expressed in Burkitt lymphoma (BL) and diffuse large B-cell lymphoma (DLBCL) samples. A series of 147 NHL samples and 15 controls were hybridized on a human miRNA one-color platform containing probes for 470 human miRNAs. Each lymphoma type was compared against the entire set of NHLs. BL was also directly compared with DLBCL, and 43 preselected miRNAs were analyzed in a new series of routinely processed samples of 28 BLs and 43 DLBCLs using quantitative reverse transcription-polymerase chain reaction. A signature of 128 miRNAs enabled the characterization of lymphoma neoplasms, reflecting the lymphoma type, cell of origin and/or discrete oncogene alterations. Comparative analysis of BL and DLBCL yielded 19 differentially expressed miRNAs, which were confirmed in a second confirmation series of 71 paraffin-embedded samples. The set of differentially expressed miRNAs found here expands the range of potential diagnostic markers for lymphoma diagnosis, especially when differential diagnosis of BL and DLBCL is required. © 2012 Macmillan Publishers Limited All rights reserved.","author":[{"dropping-particle":"","family":"Lisio","given":"L.","non-dropping-particle":"Di","parse-names":false,"suffix":""},{"dropping-particle":"","family":"Sánchez-Beato","given":"M.","non-dropping-particle":"","parse-names":false,"suffix":""},{"dropping-particle":"","family":"Gómez-López","given":"G.","non-dropping-particle":"","parse-names":false,"suffix":""},{"dropping-particle":"","family":"Rodríguez","given":"M. E.","non-dropping-particle":"","parse-names":false,"suffix":""},{"dropping-particle":"","family":"Montes-Moreno","given":"S.","non-dropping-particle":"","parse-names":false,"suffix":""},{"dropping-particle":"","family":"Mollejo","given":"M.","non-dropping-particle":"","parse-names":false,"suffix":""},{"dropping-particle":"","family":"Menárguez","given":"J.","non-dropping-particle":"","parse-names":false,"suffix":""},{"dropping-particle":"","family":"Martínez","given":"M A","non-dropping-particle":"","parse-names":false,"suffix":""},{"dropping-particle":"","family":"Alves","given":"F. J.","non-dropping-particle":"","parse-names":false,"suffix":""},{"dropping-particle":"","family":"Pisano","given":"D. G.","non-dropping-particle":"","parse-names":false,"suffix":""},{"dropping-particle":"","family":"Piris","given":"M. A.","non-dropping-particle":"","parse-names":false,"suffix":""},{"dropping-particle":"","family":"Martínez","given":"N.","non-dropping-particle":"","parse-names":false,"suffix":""}],"container-title":"Blood Cancer Journal","id":"ITEM-1","issue":"2","issued":{"date-parts":[["2012","2","17"]]},"page":"e57-e57","title":"MicroRNA signatures in B-cell lymphomas","type":"article-journal","volume":"2"},"uris":["http://www.mendeley.com/documents/?uuid=48c79e87-cee4-4bec-b43a-d6fb615d7cd0"]},{"id":"ITEM-2","itemData":{"DOI":"10.1111/j.1365-2141.2011.08848.x","ISSN":"00071048","author":[{"dropping-particle":"","family":"Bouteloup","given":"Marie","non-dropping-particle":"","parse-names":false,"suffix":""},{"dropping-particle":"","family":"Verney","given":"Aurélie","non-dropping-particle":"","parse-names":false,"suffix":""},{"dropping-particle":"","family":"Rachinel","given":"Nicolas","non-dropping-particle":"","parse-names":false,"suffix":""},{"dropping-particle":"","family":"Callet-Bauchu","given":"Evelyne","non-dropping-particle":"","parse-names":false,"suffix":""},{"dropping-particle":"","family":"Ffrench","given":"Martine","non-dropping-particle":"","parse-names":false,"suffix":""},{"dropping-particle":"","family":"Coiffier","given":"Bertrand","non-dropping-particle":"","parse-names":false,"suffix":""},{"dropping-particle":"","family":"Magaud","given":"Jean-Pierre","non-dropping-particle":"","parse-names":false,"suffix":""},{"dropping-particle":"","family":"Berger","given":"Francoise","non-dropping-particle":"","parse-names":false,"suffix":""},{"dropping-particle":"","family":"Salles","given":"Gilles Andre","non-dropping-particle":"","parse-names":false,"suffix":""},{"dropping-particle":"","family":"Traverse-Glehen","given":"Alexandra","non-dropping-particle":"","parse-names":false,"suffix":""}],"container-title":"British Journal of Haematology","id":"ITEM-2","issue":"2","issued":{"date-parts":[["2012","1"]]},"page":"279-281","title":"MicroRNA expression profile in splenic marginal zone lymphoma","type":"article-journal","volume":"156"},"uris":["http://www.mendeley.com/documents/?uuid=c902672c-3c85-4403-8ae5-c8abcf802662"]}],"mendeley":{"formattedCitation":"(Bouteloup et al., 2012; Di Lisio et al., 2012)","plainTextFormattedCitation":"(Bouteloup et al., 2012; Di Lisio et al., 2012)","previouslyFormattedCitation":"(Bouteloup et al., 2012; Di Lisio et al., 2012)"},"properties":{"noteIndex":0},"schema":"https://github.com/citation-style-language/schema/raw/master/csl-citation.json"}</w:instrText>
      </w:r>
      <w:r w:rsidR="00B27C81" w:rsidRPr="00002888">
        <w:rPr>
          <w:rFonts w:ascii="Times New Roman" w:hAnsi="Times New Roman" w:cs="Times New Roman"/>
          <w:color w:val="222222"/>
          <w:sz w:val="24"/>
          <w:szCs w:val="24"/>
          <w:shd w:val="clear" w:color="auto" w:fill="FFFFFF"/>
          <w:lang w:val="en-GB"/>
        </w:rPr>
        <w:fldChar w:fldCharType="separate"/>
      </w:r>
      <w:r w:rsidR="00B27C81" w:rsidRPr="00002888">
        <w:rPr>
          <w:rFonts w:ascii="Times New Roman" w:hAnsi="Times New Roman" w:cs="Times New Roman"/>
          <w:noProof/>
          <w:color w:val="222222"/>
          <w:sz w:val="24"/>
          <w:szCs w:val="24"/>
          <w:shd w:val="clear" w:color="auto" w:fill="FFFFFF"/>
          <w:lang w:val="en-GB"/>
        </w:rPr>
        <w:t>(Bouteloup et al., 2012; Di Lisio et al., 2012)</w:t>
      </w:r>
      <w:r w:rsidR="00B27C81" w:rsidRPr="00002888">
        <w:rPr>
          <w:rFonts w:ascii="Times New Roman" w:hAnsi="Times New Roman" w:cs="Times New Roman"/>
          <w:color w:val="222222"/>
          <w:sz w:val="24"/>
          <w:szCs w:val="24"/>
          <w:shd w:val="clear" w:color="auto" w:fill="FFFFFF"/>
          <w:lang w:val="en-GB"/>
        </w:rPr>
        <w:fldChar w:fldCharType="end"/>
      </w:r>
      <w:r w:rsidRPr="00002888">
        <w:rPr>
          <w:rFonts w:ascii="Times New Roman" w:hAnsi="Times New Roman" w:cs="Times New Roman"/>
          <w:color w:val="222222"/>
          <w:sz w:val="24"/>
          <w:szCs w:val="24"/>
          <w:shd w:val="clear" w:color="auto" w:fill="FFFFFF"/>
          <w:lang w:val="en-GB"/>
        </w:rPr>
        <w:t xml:space="preserve">. </w:t>
      </w:r>
      <w:proofErr w:type="spellStart"/>
      <w:r w:rsidRPr="00002888">
        <w:rPr>
          <w:rFonts w:ascii="Times New Roman" w:hAnsi="Times New Roman" w:cs="Times New Roman"/>
          <w:color w:val="222222"/>
          <w:sz w:val="24"/>
          <w:szCs w:val="24"/>
          <w:shd w:val="clear" w:color="auto" w:fill="FFFFFF"/>
          <w:lang w:val="en-GB"/>
        </w:rPr>
        <w:t>Bouteloup</w:t>
      </w:r>
      <w:proofErr w:type="spellEnd"/>
      <w:r w:rsidRPr="00002888">
        <w:rPr>
          <w:rFonts w:ascii="Times New Roman" w:hAnsi="Times New Roman" w:cs="Times New Roman"/>
          <w:color w:val="222222"/>
          <w:sz w:val="24"/>
          <w:szCs w:val="24"/>
          <w:shd w:val="clear" w:color="auto" w:fill="FFFFFF"/>
          <w:lang w:val="en-GB"/>
        </w:rPr>
        <w:t xml:space="preserve"> et al demonstrated that reduced miR-29a and elevated miR-21 levels correlate with disease aggressiveness </w:t>
      </w:r>
      <w:r w:rsidRPr="00002888">
        <w:rPr>
          <w:rFonts w:ascii="Times New Roman" w:hAnsi="Times New Roman" w:cs="Times New Roman"/>
          <w:color w:val="222222"/>
          <w:sz w:val="24"/>
          <w:szCs w:val="24"/>
          <w:shd w:val="clear" w:color="auto" w:fill="FFFFFF"/>
          <w:lang w:val="en-GB"/>
        </w:rPr>
        <w:fldChar w:fldCharType="begin" w:fldLock="1"/>
      </w:r>
      <w:r w:rsidR="00A26F96" w:rsidRPr="00002888">
        <w:rPr>
          <w:rFonts w:ascii="Times New Roman" w:hAnsi="Times New Roman" w:cs="Times New Roman"/>
          <w:color w:val="222222"/>
          <w:sz w:val="24"/>
          <w:szCs w:val="24"/>
          <w:shd w:val="clear" w:color="auto" w:fill="FFFFFF"/>
          <w:lang w:val="en-GB"/>
        </w:rPr>
        <w:instrText>ADDIN CSL_CITATION {"citationItems":[{"id":"ITEM-1","itemData":{"DOI":"10.1111/j.1365-2141.2011.08848.x","ISSN":"00071048","author":[{"dropping-particle":"","family":"Bouteloup","given":"Marie","non-dropping-particle":"","parse-names":false,"suffix":""},{"dropping-particle":"","family":"Verney","given":"Aurélie","non-dropping-particle":"","parse-names":false,"suffix":""},{"dropping-particle":"","family":"Rachinel","given":"Nicolas","non-dropping-particle":"","parse-names":false,"suffix":""},{"dropping-particle":"","family":"Callet-Bauchu","given":"Evelyne","non-dropping-particle":"","parse-names":false,"suffix":""},{"dropping-particle":"","family":"Ffrench","given":"Martine","non-dropping-particle":"","parse-names":false,"suffix":""},{"dropping-particle":"","family":"Coiffier","given":"Bertrand","non-dropping-particle":"","parse-names":false,"suffix":""},{"dropping-particle":"","family":"Magaud","given":"Jean-Pierre","non-dropping-particle":"","parse-names":false,"suffix":""},{"dropping-particle":"","family":"Berger","given":"Francoise","non-dropping-particle":"","parse-names":false,"suffix":""},{"dropping-particle":"","family":"Salles","given":"Gilles Andre","non-dropping-particle":"","parse-names":false,"suffix":""},{"dropping-particle":"","family":"Traverse-Glehen","given":"Alexandra","non-dropping-particle":"","parse-names":false,"suffix":""}],"container-title":"British Journal of Haematology","id":"ITEM-1","issue":"2","issued":{"date-parts":[["2012","1"]]},"page":"279-281","title":"MicroRNA expression profile in splenic marginal zone lymphoma","type":"article-journal","volume":"156"},"uris":["http://www.mendeley.com/documents/?uuid=c902672c-3c85-4403-8ae5-c8abcf802662"]}],"mendeley":{"formattedCitation":"(Bouteloup et al., 2012)","plainTextFormattedCitation":"(Bouteloup et al., 2012)","previouslyFormattedCitation":"(Bouteloup et al., 2012)"},"properties":{"noteIndex":0},"schema":"https://github.com/citation-style-language/schema/raw/master/csl-citation.json"}</w:instrText>
      </w:r>
      <w:r w:rsidRPr="00002888">
        <w:rPr>
          <w:rFonts w:ascii="Times New Roman" w:hAnsi="Times New Roman" w:cs="Times New Roman"/>
          <w:color w:val="222222"/>
          <w:sz w:val="24"/>
          <w:szCs w:val="24"/>
          <w:shd w:val="clear" w:color="auto" w:fill="FFFFFF"/>
          <w:lang w:val="en-GB"/>
        </w:rPr>
        <w:fldChar w:fldCharType="separate"/>
      </w:r>
      <w:r w:rsidR="00A26F96" w:rsidRPr="00002888">
        <w:rPr>
          <w:rFonts w:ascii="Times New Roman" w:hAnsi="Times New Roman" w:cs="Times New Roman"/>
          <w:noProof/>
          <w:color w:val="222222"/>
          <w:sz w:val="24"/>
          <w:szCs w:val="24"/>
          <w:shd w:val="clear" w:color="auto" w:fill="FFFFFF"/>
          <w:lang w:val="en-GB"/>
        </w:rPr>
        <w:t>(Bouteloup et al., 2012)</w:t>
      </w:r>
      <w:r w:rsidRPr="00002888">
        <w:rPr>
          <w:rFonts w:ascii="Times New Roman" w:hAnsi="Times New Roman" w:cs="Times New Roman"/>
          <w:color w:val="222222"/>
          <w:sz w:val="24"/>
          <w:szCs w:val="24"/>
          <w:shd w:val="clear" w:color="auto" w:fill="FFFFFF"/>
          <w:lang w:val="en-GB"/>
        </w:rPr>
        <w:fldChar w:fldCharType="end"/>
      </w:r>
      <w:r w:rsidRPr="00002888">
        <w:rPr>
          <w:rFonts w:ascii="Times New Roman" w:hAnsi="Times New Roman" w:cs="Times New Roman"/>
          <w:color w:val="222222"/>
          <w:sz w:val="24"/>
          <w:szCs w:val="24"/>
          <w:shd w:val="clear" w:color="auto" w:fill="FFFFFF"/>
          <w:lang w:val="en-GB"/>
        </w:rPr>
        <w:t xml:space="preserve">. </w:t>
      </w:r>
      <w:proofErr w:type="spellStart"/>
      <w:r w:rsidRPr="00002888">
        <w:rPr>
          <w:rFonts w:ascii="Times New Roman" w:eastAsia="Times New Roman" w:hAnsi="Times New Roman" w:cs="Times New Roman"/>
          <w:color w:val="000000"/>
          <w:sz w:val="24"/>
          <w:szCs w:val="24"/>
          <w:shd w:val="clear" w:color="auto" w:fill="FFFFFF"/>
          <w:lang w:val="en-GB" w:eastAsia="en-GB"/>
        </w:rPr>
        <w:t>Peveling-Oberhag</w:t>
      </w:r>
      <w:proofErr w:type="spellEnd"/>
      <w:r w:rsidRPr="00002888">
        <w:rPr>
          <w:rFonts w:ascii="Times New Roman" w:eastAsia="Times New Roman" w:hAnsi="Times New Roman" w:cs="Times New Roman"/>
          <w:color w:val="000000"/>
          <w:sz w:val="24"/>
          <w:szCs w:val="24"/>
          <w:shd w:val="clear" w:color="auto" w:fill="FFFFFF"/>
          <w:lang w:val="en-GB" w:eastAsia="en-GB"/>
        </w:rPr>
        <w:t xml:space="preserve"> and colleagues found miR-26b to be differentially expressed between SMZL arising in Hepatitis-C (HCV)+ vs HCV- patients, though it remains unknown to what extent miR-26b expression is associated with SMZL pathophysiology or HCV infection</w:t>
      </w:r>
      <w:r w:rsidR="002959D4">
        <w:rPr>
          <w:rFonts w:ascii="Times New Roman" w:eastAsia="Times New Roman" w:hAnsi="Times New Roman" w:cs="Times New Roman"/>
          <w:color w:val="000000"/>
          <w:sz w:val="24"/>
          <w:szCs w:val="24"/>
          <w:shd w:val="clear" w:color="auto" w:fill="FFFFFF"/>
          <w:lang w:val="en-GB" w:eastAsia="en-GB"/>
        </w:rPr>
        <w:t xml:space="preserve"> </w:t>
      </w:r>
      <w:r w:rsidR="002959D4">
        <w:rPr>
          <w:rFonts w:ascii="Times New Roman" w:eastAsia="Times New Roman" w:hAnsi="Times New Roman" w:cs="Times New Roman"/>
          <w:color w:val="000000"/>
          <w:sz w:val="24"/>
          <w:szCs w:val="24"/>
          <w:shd w:val="clear" w:color="auto" w:fill="FFFFFF"/>
          <w:lang w:val="en-GB" w:eastAsia="en-GB"/>
        </w:rPr>
        <w:fldChar w:fldCharType="begin" w:fldLock="1"/>
      </w:r>
      <w:r w:rsidR="000359B3">
        <w:rPr>
          <w:rFonts w:ascii="Times New Roman" w:eastAsia="Times New Roman" w:hAnsi="Times New Roman" w:cs="Times New Roman"/>
          <w:color w:val="000000"/>
          <w:sz w:val="24"/>
          <w:szCs w:val="24"/>
          <w:shd w:val="clear" w:color="auto" w:fill="FFFFFF"/>
          <w:lang w:val="en-GB" w:eastAsia="en-GB"/>
        </w:rPr>
        <w:instrText>ADDIN CSL_CITATION {"citationItems":[{"id":"ITEM-1","itemData":{"DOI":"10.1038/leu.2012.29","ISSN":"0887-6924","PMID":"22307176","abstract":"The precise molecular pathogenesis of splenic marginal zone lymphoma (SMZL) is still unknown. Clinical and epidemiological data suggest that chronic hepatitis C virus (HCV) infection may have an etiological role in a subset of cases.We performed a large-scale microRNA (miRNA) expression profiling analysis of 381 miRNAs by quantitative reverse transcription PCR (Q-RT-PCR) of 26 microdissected splenic tissue samples (7 HCV SMZL; 8 HCV SMZL and 11 non-neoplastic splenic controls). Single assay Q-RT-PCR and miRNA in situ hybridization (miRNA-ISH) were used to confirm the results in an independent cohort. Unsupervised hierarchical clustering of miRNA expression profiles demonstrated a distinct signature of SMZL compared with the normal splenic marginal zone. Supervised analysis revealed differentially expressed miRNAs, including miRNAs with previously recognized tumor suppressive or oncogenic potential. Five miRNAs were found significantly overexpressed in SMZL, including miR-21, miR-155 and miR-146a, whereas seven miRNAs showed significantly reduced expression, including miR-139, miR-345, miR-125a and miR-126. Furthermore, we identified miR-26b, a miRNA known to have tumor suppressive properties, as significantly downregulated in SMZL arising in HCV-positive patients (P0.0016). In conclusion, there is a characteristic dysregulation of miRNA expression in SMZL with a possible implication in its molecular tumorigenesis. © 2012 Macmillan Publishers Limited.","author":[{"dropping-particle":"","family":"Peveling-Oberhag","given":"J.","non-dropping-particle":"","parse-names":false,"suffix":""},{"dropping-particle":"","family":"Crisman","given":"G.","non-dropping-particle":"","parse-names":false,"suffix":""},{"dropping-particle":"","family":"Schmidt","given":"A.","non-dropping-particle":"","parse-names":false,"suffix":""},{"dropping-particle":"","family":"Döring","given":"C.","non-dropping-particle":"","parse-names":false,"suffix":""},{"dropping-particle":"","family":"Lucioni","given":"M.","non-dropping-particle":"","parse-names":false,"suffix":""},{"dropping-particle":"","family":"Arcaini","given":"L.","non-dropping-particle":"","parse-names":false,"suffix":""},{"dropping-particle":"","family":"Rattotti","given":"S.","non-dropping-particle":"","parse-names":false,"suffix":""},{"dropping-particle":"","family":"Hartmann","given":"S.","non-dropping-particle":"","parse-names":false,"suffix":""},{"dropping-particle":"","family":"Piiper","given":"A.","non-dropping-particle":"","parse-names":false,"suffix":""},{"dropping-particle":"","family":"Hofmann","given":"W-P","non-dropping-particle":"","parse-names":false,"suffix":""},{"dropping-particle":"","family":"Paulli","given":"M.","non-dropping-particle":"","parse-names":false,"suffix":""},{"dropping-particle":"","family":"Küppers","given":"R.","non-dropping-particle":"","parse-names":false,"suffix":""},{"dropping-particle":"","family":"Zeuzem","given":"S.","non-dropping-particle":"","parse-names":false,"suffix":""},{"dropping-particle":"","family":"Hansmann","given":"M-L","non-dropping-particle":"","parse-names":false,"suffix":""}],"container-title":"Leukemia","id":"ITEM-1","issue":"7","issued":{"date-parts":[["2012","7","6"]]},"page":"1654-1662","title":"Dysregulation of global microRNA expression in splenic marginal zone lymphoma and influence of chronic hepatitis C virus infection","type":"article-journal","volume":"26"},"uris":["http://www.mendeley.com/documents/?uuid=4dcff637-6bf1-4f33-bbf8-d1ca7daa7e5a"]}],"mendeley":{"formattedCitation":"(Peveling-Oberhag et al., 2012)","plainTextFormattedCitation":"(Peveling-Oberhag et al., 2012)","previouslyFormattedCitation":"(Peveling-Oberhag et al., 2012)"},"properties":{"noteIndex":0},"schema":"https://github.com/citation-style-language/schema/raw/master/csl-citation.json"}</w:instrText>
      </w:r>
      <w:r w:rsidR="002959D4">
        <w:rPr>
          <w:rFonts w:ascii="Times New Roman" w:eastAsia="Times New Roman" w:hAnsi="Times New Roman" w:cs="Times New Roman"/>
          <w:color w:val="000000"/>
          <w:sz w:val="24"/>
          <w:szCs w:val="24"/>
          <w:shd w:val="clear" w:color="auto" w:fill="FFFFFF"/>
          <w:lang w:val="en-GB" w:eastAsia="en-GB"/>
        </w:rPr>
        <w:fldChar w:fldCharType="separate"/>
      </w:r>
      <w:r w:rsidR="002959D4" w:rsidRPr="002959D4">
        <w:rPr>
          <w:rFonts w:ascii="Times New Roman" w:eastAsia="Times New Roman" w:hAnsi="Times New Roman" w:cs="Times New Roman"/>
          <w:noProof/>
          <w:color w:val="000000"/>
          <w:sz w:val="24"/>
          <w:szCs w:val="24"/>
          <w:shd w:val="clear" w:color="auto" w:fill="FFFFFF"/>
          <w:lang w:val="en-GB" w:eastAsia="en-GB"/>
        </w:rPr>
        <w:t>(Peveling-Oberhag et al., 2012)</w:t>
      </w:r>
      <w:r w:rsidR="002959D4">
        <w:rPr>
          <w:rFonts w:ascii="Times New Roman" w:eastAsia="Times New Roman" w:hAnsi="Times New Roman" w:cs="Times New Roman"/>
          <w:color w:val="000000"/>
          <w:sz w:val="24"/>
          <w:szCs w:val="24"/>
          <w:shd w:val="clear" w:color="auto" w:fill="FFFFFF"/>
          <w:lang w:val="en-GB" w:eastAsia="en-GB"/>
        </w:rPr>
        <w:fldChar w:fldCharType="end"/>
      </w:r>
      <w:r w:rsidRPr="00002888">
        <w:rPr>
          <w:rFonts w:ascii="Times New Roman" w:eastAsia="Times New Roman" w:hAnsi="Times New Roman" w:cs="Times New Roman"/>
          <w:color w:val="000000"/>
          <w:sz w:val="24"/>
          <w:szCs w:val="24"/>
          <w:shd w:val="clear" w:color="auto" w:fill="FFFFFF"/>
          <w:lang w:val="en-GB" w:eastAsia="en-GB"/>
        </w:rPr>
        <w:t>.</w:t>
      </w:r>
      <w:r w:rsidR="005E2B57" w:rsidRPr="00002888">
        <w:rPr>
          <w:rFonts w:ascii="Times New Roman" w:hAnsi="Times New Roman" w:cs="Times New Roman"/>
          <w:color w:val="222222"/>
          <w:sz w:val="24"/>
          <w:szCs w:val="24"/>
          <w:shd w:val="clear" w:color="auto" w:fill="FFFFFF"/>
          <w:lang w:val="en-GB"/>
        </w:rPr>
        <w:t xml:space="preserve"> </w:t>
      </w:r>
      <w:r w:rsidRPr="00002888">
        <w:rPr>
          <w:rFonts w:ascii="Times New Roman" w:hAnsi="Times New Roman" w:cs="Times New Roman"/>
          <w:color w:val="222222"/>
          <w:sz w:val="24"/>
          <w:szCs w:val="24"/>
          <w:shd w:val="clear" w:color="auto" w:fill="FFFFFF"/>
          <w:lang w:val="en-GB"/>
        </w:rPr>
        <w:t xml:space="preserve">However, there is only limited concordance between these studies, perhaps reflecting biological disease heterogeneity, but also predicated on experimental differences, such as cohort size, experimental design, technology of choice and statistical analysis. Clearly, further investigations are needed to identify and functionally validate causative miRNAs involved in SMZL pathogenesis. </w:t>
      </w:r>
    </w:p>
    <w:p w14:paraId="1B51F884" w14:textId="77777777" w:rsidR="00002888" w:rsidRPr="00002888" w:rsidRDefault="00002888" w:rsidP="00002888">
      <w:pPr>
        <w:spacing w:before="0" w:after="0" w:line="360" w:lineRule="auto"/>
        <w:jc w:val="left"/>
        <w:rPr>
          <w:rFonts w:ascii="Times New Roman" w:hAnsi="Times New Roman" w:cs="Times New Roman"/>
          <w:color w:val="222222"/>
          <w:sz w:val="24"/>
          <w:szCs w:val="24"/>
          <w:shd w:val="clear" w:color="auto" w:fill="FFFFFF"/>
          <w:lang w:val="en-GB"/>
        </w:rPr>
      </w:pPr>
    </w:p>
    <w:p w14:paraId="4E893DAC" w14:textId="5CD8FCBE" w:rsidR="001B1935" w:rsidRPr="00002888" w:rsidRDefault="00182581" w:rsidP="00002888">
      <w:pPr>
        <w:pStyle w:val="Heading1"/>
        <w:spacing w:before="0" w:line="360" w:lineRule="auto"/>
        <w:jc w:val="left"/>
        <w:rPr>
          <w:rFonts w:ascii="Times New Roman" w:hAnsi="Times New Roman" w:cs="Times New Roman"/>
          <w:b/>
          <w:bCs/>
          <w:sz w:val="24"/>
          <w:szCs w:val="24"/>
        </w:rPr>
      </w:pPr>
      <w:r w:rsidRPr="00002888">
        <w:rPr>
          <w:rFonts w:ascii="Times New Roman" w:hAnsi="Times New Roman" w:cs="Times New Roman"/>
          <w:b/>
          <w:bCs/>
          <w:sz w:val="24"/>
          <w:szCs w:val="24"/>
          <w:shd w:val="clear" w:color="auto" w:fill="FFFFFF"/>
          <w:lang w:val="en-GB"/>
        </w:rPr>
        <w:t>THE CLINICAL UTILITY OF MOLECULAR LESIONS IN SMZL</w:t>
      </w:r>
    </w:p>
    <w:p w14:paraId="1E9C9936" w14:textId="50862282" w:rsidR="00EF784A" w:rsidRDefault="00EF784A" w:rsidP="00002888">
      <w:pPr>
        <w:spacing w:before="0" w:after="0" w:line="360" w:lineRule="auto"/>
        <w:jc w:val="left"/>
        <w:rPr>
          <w:rFonts w:ascii="Times New Roman" w:hAnsi="Times New Roman" w:cs="Times New Roman"/>
          <w:sz w:val="24"/>
          <w:szCs w:val="24"/>
        </w:rPr>
      </w:pPr>
      <w:r w:rsidRPr="00002888">
        <w:rPr>
          <w:rFonts w:ascii="Times New Roman" w:hAnsi="Times New Roman" w:cs="Times New Roman"/>
          <w:sz w:val="24"/>
          <w:szCs w:val="24"/>
          <w:lang w:val="en-GB"/>
        </w:rPr>
        <w:t xml:space="preserve">Previous sections of this review have highlighted in SMZL the biased use of the </w:t>
      </w:r>
      <w:r w:rsidRPr="00002888">
        <w:rPr>
          <w:rFonts w:ascii="Times New Roman" w:hAnsi="Times New Roman" w:cs="Times New Roman"/>
          <w:i/>
          <w:iCs/>
          <w:sz w:val="24"/>
          <w:szCs w:val="24"/>
          <w:lang w:val="en-GB"/>
        </w:rPr>
        <w:t>IGHV1-2*04</w:t>
      </w:r>
      <w:r w:rsidRPr="00002888">
        <w:rPr>
          <w:rFonts w:ascii="Times New Roman" w:hAnsi="Times New Roman" w:cs="Times New Roman"/>
          <w:sz w:val="24"/>
          <w:szCs w:val="24"/>
          <w:lang w:val="en-GB"/>
        </w:rPr>
        <w:t xml:space="preserve"> allele, a cytogenetic and genomic landscape which overlaps that seen in other marginal zone and splenic lymphomas but is distinguished by a higher incidence of 7q deletion, </w:t>
      </w:r>
      <w:r w:rsidRPr="00002888">
        <w:rPr>
          <w:rFonts w:ascii="Times New Roman" w:hAnsi="Times New Roman" w:cs="Times New Roman"/>
          <w:i/>
          <w:iCs/>
          <w:sz w:val="24"/>
          <w:szCs w:val="24"/>
          <w:lang w:val="en-GB"/>
        </w:rPr>
        <w:t>KLF2</w:t>
      </w:r>
      <w:r w:rsidRPr="00002888">
        <w:rPr>
          <w:rFonts w:ascii="Times New Roman" w:hAnsi="Times New Roman" w:cs="Times New Roman"/>
          <w:sz w:val="24"/>
          <w:szCs w:val="24"/>
          <w:lang w:val="en-GB"/>
        </w:rPr>
        <w:t xml:space="preserve"> and </w:t>
      </w:r>
      <w:r w:rsidRPr="00002888">
        <w:rPr>
          <w:rFonts w:ascii="Times New Roman" w:hAnsi="Times New Roman" w:cs="Times New Roman"/>
          <w:i/>
          <w:iCs/>
          <w:sz w:val="24"/>
          <w:szCs w:val="24"/>
          <w:lang w:val="en-GB"/>
        </w:rPr>
        <w:t>NOTCH2</w:t>
      </w:r>
      <w:r w:rsidRPr="00002888">
        <w:rPr>
          <w:rFonts w:ascii="Times New Roman" w:hAnsi="Times New Roman" w:cs="Times New Roman"/>
          <w:sz w:val="24"/>
          <w:szCs w:val="24"/>
          <w:lang w:val="en-GB"/>
        </w:rPr>
        <w:t xml:space="preserve"> mutations and a subgroup characterised by high genome-wide promoter methylation. The latter, together with </w:t>
      </w:r>
      <w:r w:rsidRPr="00002888">
        <w:rPr>
          <w:rFonts w:ascii="Times New Roman" w:hAnsi="Times New Roman" w:cs="Times New Roman"/>
          <w:i/>
          <w:iCs/>
          <w:sz w:val="24"/>
          <w:szCs w:val="24"/>
          <w:lang w:val="en-GB"/>
        </w:rPr>
        <w:t>NOTCH2</w:t>
      </w:r>
      <w:r w:rsidRPr="00002888">
        <w:rPr>
          <w:rFonts w:ascii="Times New Roman" w:hAnsi="Times New Roman" w:cs="Times New Roman"/>
          <w:sz w:val="24"/>
          <w:szCs w:val="24"/>
          <w:lang w:val="en-GB"/>
        </w:rPr>
        <w:t xml:space="preserve"> mutations, unmutated </w:t>
      </w:r>
      <w:r w:rsidRPr="00002888">
        <w:rPr>
          <w:rFonts w:ascii="Times New Roman" w:hAnsi="Times New Roman" w:cs="Times New Roman"/>
          <w:i/>
          <w:iCs/>
          <w:sz w:val="24"/>
          <w:szCs w:val="24"/>
          <w:lang w:val="en-GB"/>
        </w:rPr>
        <w:t>IGHV</w:t>
      </w:r>
      <w:r w:rsidRPr="00002888">
        <w:rPr>
          <w:rFonts w:ascii="Times New Roman" w:hAnsi="Times New Roman" w:cs="Times New Roman"/>
          <w:sz w:val="24"/>
          <w:szCs w:val="24"/>
          <w:lang w:val="en-GB"/>
        </w:rPr>
        <w:t xml:space="preserve"> genes, </w:t>
      </w:r>
      <w:r w:rsidRPr="00002888">
        <w:rPr>
          <w:rFonts w:ascii="Times New Roman" w:hAnsi="Times New Roman" w:cs="Times New Roman"/>
          <w:i/>
          <w:iCs/>
          <w:sz w:val="24"/>
          <w:szCs w:val="24"/>
          <w:lang w:val="en-GB"/>
        </w:rPr>
        <w:t>TP53</w:t>
      </w:r>
      <w:r w:rsidRPr="00002888">
        <w:rPr>
          <w:rFonts w:ascii="Times New Roman" w:hAnsi="Times New Roman" w:cs="Times New Roman"/>
          <w:sz w:val="24"/>
          <w:szCs w:val="24"/>
          <w:lang w:val="en-GB"/>
        </w:rPr>
        <w:t xml:space="preserve"> abnormalities and a complex karyotype have been reported in one or more studies to have an adverse prognostic significance</w:t>
      </w:r>
      <w:r w:rsidR="007641E6" w:rsidRPr="00002888">
        <w:rPr>
          <w:rFonts w:ascii="Times New Roman" w:hAnsi="Times New Roman" w:cs="Times New Roman"/>
          <w:sz w:val="24"/>
          <w:szCs w:val="24"/>
          <w:lang w:val="en-GB"/>
        </w:rPr>
        <w:t xml:space="preserve"> </w:t>
      </w:r>
      <w:r w:rsidR="00CE2AAF" w:rsidRPr="00002888">
        <w:rPr>
          <w:rFonts w:ascii="Times New Roman" w:hAnsi="Times New Roman" w:cs="Times New Roman"/>
          <w:sz w:val="24"/>
          <w:szCs w:val="24"/>
          <w:lang w:val="en-GB"/>
        </w:rPr>
        <w:fldChar w:fldCharType="begin" w:fldLock="1"/>
      </w:r>
      <w:r w:rsidR="00A47CF7" w:rsidRPr="00002888">
        <w:rPr>
          <w:rFonts w:ascii="Times New Roman" w:hAnsi="Times New Roman" w:cs="Times New Roman"/>
          <w:sz w:val="24"/>
          <w:szCs w:val="24"/>
          <w:lang w:val="en-GB"/>
        </w:rPr>
        <w:instrText>ADDIN CSL_CITATION {"citationItems":[{"id":"ITEM-1","itemData":{"DOI":"10.1182/blood-2010-02-267476","ISSN":"0006-4971","abstract":"We conducted a retrospective collaborative study to cytogenetically characterize splenic marginal zone lymphoma (SMZL) and ascertain the prognostic value of chromosomal aberrations. Of 330 cases, 72% displayed an aberrant karyotype, 53% were complex, and 29% had a single aberration. The predominant aberrations were gains of 3/3q and 12q, deletions of 7q and 6q and translocations involving 8q/1q/14q. CD5 expression was detected in 39 of 158 cases (25%). The cytogenetic makeup of the CD5+ group differed significantly from that of the CD5− group. Cases with unmutated IGHV were significantly associated with deletions of 7q and TP53. A strong association was noted between usage of the IGVH1-2 and deletion 7q, 14q alterations, and abnormal karyotype. On univariate analysis, patients with more than or equal to 2 aberrations, 14q alterations, and TP53 deletions had the shortest survival; 7q deletion did not affect survival. On multivariate analysis, cytogenetic aberrations did not retain prognostic significance; the parameters negatively affecting survival were hemoglobin and age. In conclusion, the cytogenetic profile of SMZL is distinct from other B-cell lymphomas. Complexity of the karyotype, 14q aberrations, and TP53 deletions are poor prognostic indicators and may be considered together with other clinicobiologic parameters to ascertain the prognosis of SMZL.","author":[{"dropping-particle":"","family":"Salido","given":"Marta","non-dropping-particle":"","parse-names":false,"suffix":""},{"dropping-particle":"","family":"Baró","given":"Cristina","non-dropping-particle":"","parse-names":false,"suffix":""},{"dropping-particle":"","family":"Oscier","given":"David","non-dropping-particle":"","parse-names":false,"suffix":""},{"dropping-particle":"","family":"Stamatopoulos","given":"Kostas","non-dropping-particle":"","parse-names":false,"suffix":""},{"dropping-particle":"","family":"Dierlamm","given":"Judith","non-dropping-particle":"","parse-names":false,"suffix":""},{"dropping-particle":"","family":"Matutes","given":"Estela","non-dropping-particle":"","parse-names":false,"suffix":""},{"dropping-particle":"","family":"Traverse-Glehen","given":"Alexandra","non-dropping-particle":"","parse-names":false,"suffix":""},{"dropping-particle":"","family":"Berger","given":"Francoise","non-dropping-particle":"","parse-names":false,"suffix":""},{"dropping-particle":"","family":"Felman","given":"Pascale","non-dropping-particle":"","parse-names":false,"suffix":""},{"dropping-particle":"","family":"Thieblemont","given":"Catherine","non-dropping-particle":"","parse-names":false,"suffix":""},{"dropping-particle":"","family":"Gesk","given":"Stefan","non-dropping-particle":"","parse-names":false,"suffix":""},{"dropping-particle":"","family":"Athanasiadou","given":"Anastasia","non-dropping-particle":"","parse-names":false,"suffix":""},{"dropping-particle":"","family":"Davis","given":"Zadie","non-dropping-particle":"","parse-names":false,"suffix":""},{"dropping-particle":"","family":"Gardiner","given":"Anne","non-dropping-particle":"","parse-names":false,"suffix":""},{"dropping-particle":"","family":"Milla","given":"Fuensanta","non-dropping-particle":"","parse-names":false,"suffix":""},{"dropping-particle":"","family":"Ferrer","given":"Ana","non-dropping-particle":"","parse-names":false,"suffix":""},{"dropping-particle":"","family":"Mollejo","given":"Manuela","non-dropping-particle":"","parse-names":false,"suffix":""},{"dropping-particle":"","family":"Calasanz","given":"Maria José","non-dropping-particle":"","parse-names":false,"suffix":""},{"dropping-particle":"","family":"Florensa","given":"Lourdes","non-dropping-particle":"","parse-names":false,"suffix":""},{"dropping-particle":"","family":"Espinet","given":"Blanca","non-dropping-particle":"","parse-names":false,"suffix":""},{"dropping-particle":"","family":"Luño","given":"Elisa","non-dropping-particle":"","parse-names":false,"suffix":""},{"dropping-particle":"","family":"Wlodarska","given":"Iwona","non-dropping-particle":"","parse-names":false,"suffix":""},{"dropping-particle":"","family":"Verhoef","given":"Gregor","non-dropping-particle":"","parse-names":false,"suffix":""},{"dropping-particle":"","family":"García-Granero","given":"Marta","non-dropping-particle":"","parse-names":false,"suffix":""},{"dropping-particle":"","family":"Salar","given":"Antonio","non-dropping-particle":"","parse-names":false,"suffix":""},{"dropping-particle":"","family":"Papadaki","given":"Theodora","non-dropping-particle":"","parse-names":false,"suffix":""},{"dropping-particle":"","family":"Serrano","given":"Sergio","non-dropping-particle":"","parse-names":false,"suffix":""},{"dropping-particle":"","family":"Piris","given":"Miguel A.","non-dropping-particle":"","parse-names":false,"suffix":""},{"dropping-particle":"","family":"Solé","given":"Francesc","non-dropping-particle":"","parse-names":false,"suffix":""}],"container-title":"Blood","id":"ITEM-1","issue":"9","issued":{"date-parts":[["2010","9","2"]]},"page":"1479-1488","title":"Cytogenetic aberrations and their prognostic value in a series of 330 splenic marginal zone B-cell lymphomas: a multicenter study of the Splenic B-Cell Lymphoma Group","type":"article-journal","volume":"116"},"uris":["http://www.mendeley.com/documents/?uuid=00dbce41-c817-49fc-b697-553243a471a1"]},{"id":"ITEM-2","itemData":{"DOI":"10.1158/1078-0432.CCR-14-2759","ISSN":"15573265","PMID":"25779943","abstract":"Purpose: Mounting evidence supports the clinical significance of gene mutations and immunogenetic features in common mature B-cell malignancies.\\n\\nExperimental Design: We undertook a detailed characterization of the genetic background of splenic marginal zone lymphoma (SMZL), using targeted resequencing and explored potential clinical implications in a multinational cohort of 175 patients with SMZL.\\n\\nResults: We identified recurrent mutations in TP53 (16%), KLF2 (12%), NOTCH2 (10%), TNFAIP3 (7%), MLL2 (11%), MYD88 (7%), and ARID1A (6%), all genes known to be targeted by somatic mutation in SMZL. KLF2 mutations were early, clonal events, enriched in patients with del(7q) and IGHV1-2*04 B-cell receptor immunoglobulins, and were associated with a short median time to first treatment (0.12 vs. 1.11 years; P = 0.01). In multivariate analysis, mutations in NOTCH2 [HR, 2.12; 95% confidence interval (CI), 1.02–4.4; P = 0.044] and 100% germline IGHV gene identity (HR, 2.19; 95% CI, 1.05–4.55; P = 0.036) were independent markers of short time to first treatment, whereas TP53 mutations were an independent marker of short overall survival (HR, 2.36; 95 % CI, 1.08–5.2; P = 0.03).\\n\\nConclusions: We identify key associations between gene mutations and clinical outcome, demonstrating for the first time that NOTCH2 and TP53 gene mutations are independent markers of reduced treatment-free and overall survival, respectively. Clin Cancer Res; 21(18); 4174–83. ©2015 AACR .","author":[{"dropping-particle":"","family":"Parry","given":"Marina","non-dropping-particle":"","parse-names":false,"suffix":""},{"dropping-particle":"","family":"Rose-Zerilli","given":"Matthew J.J.","non-dropping-particle":"","parse-names":false,"suffix":""},{"dropping-particle":"","family":"Ljungström","given":"Viktor","non-dropping-particle":"","parse-names":false,"suffix":""},{"dropping-particle":"","family":"Gibson","given":"Jane","non-dropping-particle":"","parse-names":false,"suffix":""},{"dropping-particle":"","family":"Wang","given":"Jun","non-dropping-particle":"","parse-names":false,"suffix":""},{"dropping-particle":"","family":"Walewska","given":"Renata","non-dropping-particle":"","parse-names":false,"suffix":""},{"dropping-particle":"","family":"Parker","given":"Helen","non-dropping-particle":"","parse-names":false,"suffix":""},{"dropping-particle":"","family":"Parker","given":"Anton","non-dropping-particle":"","parse-names":false,"suffix":""},{"dropping-particle":"","family":"Davis","given":"Zadie","non-dropping-particle":"","parse-names":false,"suffix":""},{"dropping-particle":"","family":"Gardiner","given":"Anne","non-dropping-particle":"","parse-names":false,"suffix":""},{"dropping-particle":"","family":"McIver-Brown","given":"Neil","non-dropping-particle":"","parse-names":false,"suffix":""},{"dropping-particle":"","family":"Kalpadakis","given":"Christina","non-dropping-particle":"","parse-names":false,"suffix":""},{"dropping-particle":"","family":"Xochelli","given":"Aliki","non-dropping-particle":"","parse-names":false,"suffix":""},{"dropping-particle":"","family":"Anagnostopoulos","given":"Achilles","non-dropping-particle":"","parse-names":false,"suffix":""},{"dropping-particle":"","family":"Fazi","given":"Claudia","non-dropping-particle":"","parse-names":false,"suffix":""},{"dropping-particle":"","family":"Castro","given":"David Gonzalez","non-dropping-particle":"De","parse-names":false,"suffix":""},{"dropping-particle":"","family":"Dearden","given":"Claire","non-dropping-particle":"","parse-names":false,"suffix":""},{"dropping-particle":"","family":"Pratt","given":"Guy","non-dropping-particle":"","parse-names":false,"suffix":""},{"dropping-particle":"","family":"Rosenquist","given":"Richard","non-dropping-particle":"","parse-names":false,"suffix":""},{"dropping-particle":"","family":"Ashton-Key","given":"Margaret","non-dropping-particle":"","parse-names":false,"suffix":""},{"dropping-particle":"","family":"Forconi","given":"Francesco","non-dropping-particle":"","parse-names":false,"suffix":""},{"dropping-particle":"","family":"Collins","given":"Andrew","non-dropping-particle":"","parse-names":false,"suffix":""},{"dropping-particle":"","family":"Ghia","given":"Paolo","non-dropping-particle":"","parse-names":false,"suffix":""},{"dropping-particle":"","family":"Matutes","given":"Estella","non-dropping-particle":"","parse-names":false,"suffix":""},{"dropping-particle":"","family":"Pangalis","given":"Gerassimos","non-dropping-particle":"","parse-names":false,"suffix":""},{"dropping-particle":"","family":"Stamatopoulos","given":"Kostas","non-dropping-particle":"","parse-names":false,"suffix":""},{"dropping-particle":"","family":"Oscier","given":"David","non-dropping-particle":"","parse-names":false,"suffix":""},{"dropping-particle":"","family":"Strefford","given":"Jonathan C.","non-dropping-particle":"","parse-names":false,"suffix":""}],"container-title":"Clinical Cancer Research","id":"ITEM-2","issue":"18","issued":{"date-parts":[["2015"]]},"page":"4174-4183","title":"Genetics and prognostication in splenic marginal zone lymphoma: Revelations from deep sequencing","type":"article-journal","volume":"21"},"uris":["http://www.mendeley.com/documents/?uuid=81509c2c-3e61-4115-bfa1-3ac38fc7fb12"]},{"id":"ITEM-3","itemData":{"DOI":"10.1111/j.1365-2141.2012.09226.x","ISSN":"00071048","abstract":"Using high-resolution genomic microarray analysis, a distinct genomic profile was defined in 114 samples from patients with splenic marginal zone lymphoma (SMZL). Deletion or uniparental disomy of chromosome 7q were detected in 42 of 114 (37%) SMZLs but in only nine of 170 (5%) mature B-cell lymphomas (P &lt; 0·00001). The presence of unmutated IGHV, genomic complexity, 17p13-TP53 deletion and 8q-MYC gain, but not 7q deletion, correlated with shorter overall survival of SMZL patients. Mapping studies narrowed down a commonly deleted region of 2·7 Mb in 7q32.1-q32.2 spanning a region between the SND1 and COPG2 genes. High-throughput sequencing analysis of the 7q32-deleted segment did not identify biallelic deletions/insertions or clear pathogenic gene mutations, but detected six nucleotide changes in IRF5 (n = 2), TMEM209 (n = 2), CALU (n = 1) and ZC3HC1 (n = 1) not found in healthy individuals. Comparative expression analysis found a fourfold down-regulation of IRF5 gene in lymphomas with 7q32 deletion versus non-deleted tumours (P = 0·032). Ectopic expression of IRF5 in marginal-zone lymphoma cells decreased proliferation and increased apoptosis in vitro, and impaired lymphoma development in vivo. These results show that cryptic deletions, insertions and/or point mutations inactivating genes within 7q32 are not common in SMZL, and suggest that IRF5 may be a haploinsufficient tumour suppressor in this lymphoma entity.","author":[{"dropping-particle":"","family":"Fresquet","given":"Vicente","non-dropping-particle":"","parse-names":false,"suffix":""},{"dropping-particle":"","family":"Robles","given":"Eloy F.","non-dropping-particle":"","parse-names":false,"suffix":""},{"dropping-particle":"","family":"Parker","given":"Anton","non-dropping-particle":"","parse-names":false,"suffix":""},{"dropping-particle":"","family":"Martinez-Useros","given":"Javier","non-dropping-particle":"","parse-names":false,"suffix":""},{"dropping-particle":"","family":"Mena","given":"Maria","non-dropping-particle":"","parse-names":false,"suffix":""},{"dropping-particle":"","family":"Malumbres","given":"Raquel","non-dropping-particle":"","parse-names":false,"suffix":""},{"dropping-particle":"","family":"Agirre","given":"Xabier","non-dropping-particle":"","parse-names":false,"suffix":""},{"dropping-particle":"","family":"Catarino","given":"Susana","non-dropping-particle":"","parse-names":false,"suffix":""},{"dropping-particle":"","family":"Arteta","given":"David","non-dropping-particle":"","parse-names":false,"suffix":""},{"dropping-particle":"","family":"Osaba","given":"Lourdes","non-dropping-particle":"","parse-names":false,"suffix":""},{"dropping-particle":"","family":"Mollejo","given":"Manuela","non-dropping-particle":"","parse-names":false,"suffix":""},{"dropping-particle":"","family":"Hernandez-Rivas","given":"Jesus M.","non-dropping-particle":"","parse-names":false,"suffix":""},{"dropping-particle":"","family":"Calasanz","given":"Maria Jose","non-dropping-particle":"","parse-names":false,"suffix":""},{"dropping-particle":"","family":"Daibata","given":"Masanori","non-dropping-particle":"","parse-names":false,"suffix":""},{"dropping-particle":"","family":"Dyer","given":"Martin J.S.","non-dropping-particle":"","parse-names":false,"suffix":""},{"dropping-particle":"","family":"Prosper","given":"Felipe","non-dropping-particle":"","parse-names":false,"suffix":""},{"dropping-particle":"","family":"Vizcarra","given":"Esperanza","non-dropping-particle":"","parse-names":false,"suffix":""},{"dropping-particle":"","family":"Piris","given":"Miguel Ángel","non-dropping-particle":"","parse-names":false,"suffix":""},{"dropping-particle":"","family":"Oscier","given":"David","non-dropping-particle":"","parse-names":false,"suffix":""},{"dropping-particle":"","family":"Martinez-Climent","given":"Jose Angel","non-dropping-particle":"","parse-names":false,"suffix":""}],"container-title":"British Journal of Haematology","id":"ITEM-3","issue":"6","issued":{"date-parts":[["2012"]]},"page":"712-726","title":"High-throughput sequencing analysis of the chromosome 7q32 deletion reveals IRF5 as a potential tumour suppressor in splenic marginal-zone lymphoma","type":"article-journal","volume":"158"},"uris":["http://www.mendeley.com/documents/?uuid=2714e14e-698f-4333-abde-22b2781ab808"]}],"mendeley":{"formattedCitation":"(Fresquet et al., 2012; Parry et al., 2015; Salido et al., 2010)","plainTextFormattedCitation":"(Fresquet et al., 2012; Parry et al., 2015; Salido et al., 2010)","previouslyFormattedCitation":"(Fresquet et al., 2012; Parry et al., 2015; Salido et al., 2010)"},"properties":{"noteIndex":0},"schema":"https://github.com/citation-style-language/schema/raw/master/csl-citation.json"}</w:instrText>
      </w:r>
      <w:r w:rsidR="00CE2AAF" w:rsidRPr="00002888">
        <w:rPr>
          <w:rFonts w:ascii="Times New Roman" w:hAnsi="Times New Roman" w:cs="Times New Roman"/>
          <w:sz w:val="24"/>
          <w:szCs w:val="24"/>
          <w:lang w:val="en-GB"/>
        </w:rPr>
        <w:fldChar w:fldCharType="separate"/>
      </w:r>
      <w:r w:rsidR="00CE2AAF" w:rsidRPr="00002888">
        <w:rPr>
          <w:rFonts w:ascii="Times New Roman" w:hAnsi="Times New Roman" w:cs="Times New Roman"/>
          <w:noProof/>
          <w:sz w:val="24"/>
          <w:szCs w:val="24"/>
          <w:lang w:val="en-GB"/>
        </w:rPr>
        <w:t>(Fresquet et al., 2012; Parry et al., 2015; Salido et al., 2010)</w:t>
      </w:r>
      <w:r w:rsidR="00CE2AAF" w:rsidRPr="00002888">
        <w:rPr>
          <w:rFonts w:ascii="Times New Roman" w:hAnsi="Times New Roman" w:cs="Times New Roman"/>
          <w:sz w:val="24"/>
          <w:szCs w:val="24"/>
          <w:lang w:val="en-GB"/>
        </w:rPr>
        <w:fldChar w:fldCharType="end"/>
      </w:r>
      <w:r w:rsidRPr="00002888">
        <w:rPr>
          <w:rFonts w:ascii="Times New Roman" w:hAnsi="Times New Roman" w:cs="Times New Roman"/>
          <w:sz w:val="24"/>
          <w:szCs w:val="24"/>
          <w:lang w:val="en-GB"/>
        </w:rPr>
        <w:t xml:space="preserve">. The European Society for Medical Oncology have recently published guidelines on the diagnosis, treatment and follow </w:t>
      </w:r>
      <w:r w:rsidRPr="00002888">
        <w:rPr>
          <w:rFonts w:ascii="Times New Roman" w:hAnsi="Times New Roman" w:cs="Times New Roman"/>
          <w:sz w:val="24"/>
          <w:szCs w:val="24"/>
          <w:lang w:val="en-GB"/>
        </w:rPr>
        <w:lastRenderedPageBreak/>
        <w:t xml:space="preserve">up of </w:t>
      </w:r>
      <w:r w:rsidR="0CFA42B8" w:rsidRPr="00002888">
        <w:rPr>
          <w:rFonts w:ascii="Times New Roman" w:hAnsi="Times New Roman" w:cs="Times New Roman"/>
          <w:sz w:val="24"/>
          <w:szCs w:val="24"/>
          <w:lang w:val="en-GB"/>
        </w:rPr>
        <w:t>MZ</w:t>
      </w:r>
      <w:r w:rsidRPr="00002888">
        <w:rPr>
          <w:rFonts w:ascii="Times New Roman" w:hAnsi="Times New Roman" w:cs="Times New Roman"/>
          <w:sz w:val="24"/>
          <w:szCs w:val="24"/>
          <w:lang w:val="en-GB"/>
        </w:rPr>
        <w:t xml:space="preserve"> lymphomas and while acknowledging the potential utility</w:t>
      </w:r>
      <w:r w:rsidRPr="00002888">
        <w:rPr>
          <w:rFonts w:ascii="Times New Roman" w:hAnsi="Times New Roman" w:cs="Times New Roman"/>
          <w:sz w:val="24"/>
          <w:szCs w:val="24"/>
        </w:rPr>
        <w:t xml:space="preserve"> of some of the molecular features listed above as biomarkers, none are currently recommended for establishing the diagnosis, assessing prognosis or determining the timing or choice of therapy. </w:t>
      </w:r>
    </w:p>
    <w:p w14:paraId="44E6AB8B" w14:textId="77777777" w:rsidR="00002888" w:rsidRPr="00002888" w:rsidRDefault="00002888" w:rsidP="00002888">
      <w:pPr>
        <w:spacing w:before="0" w:after="0" w:line="360" w:lineRule="auto"/>
        <w:jc w:val="left"/>
        <w:rPr>
          <w:rFonts w:ascii="Times New Roman" w:hAnsi="Times New Roman" w:cs="Times New Roman"/>
          <w:sz w:val="24"/>
          <w:szCs w:val="24"/>
          <w:lang w:val="en-GB"/>
        </w:rPr>
      </w:pPr>
    </w:p>
    <w:p w14:paraId="582A306D" w14:textId="06DFC1D9" w:rsidR="00EF784A" w:rsidRDefault="00EF784A" w:rsidP="00002888">
      <w:pPr>
        <w:spacing w:before="0" w:after="0" w:line="360" w:lineRule="auto"/>
        <w:jc w:val="left"/>
        <w:rPr>
          <w:rFonts w:ascii="Times New Roman" w:hAnsi="Times New Roman" w:cs="Times New Roman"/>
          <w:sz w:val="24"/>
          <w:szCs w:val="24"/>
          <w:lang w:val="en-GB"/>
        </w:rPr>
      </w:pPr>
      <w:r w:rsidRPr="00002888">
        <w:rPr>
          <w:rFonts w:ascii="Times New Roman" w:hAnsi="Times New Roman" w:cs="Times New Roman"/>
          <w:sz w:val="24"/>
          <w:szCs w:val="24"/>
        </w:rPr>
        <w:t>There are a number of reasons for this apparent paradox; firstly there is a lack of routine access to many of the potential novel biomarkers, secondly the rarity of SMZL and the paucity of clinical trial data dictate that studies have been relatively small and retrospective and thirdly, many cohorts have included a large percentage of non-</w:t>
      </w:r>
      <w:proofErr w:type="spellStart"/>
      <w:r w:rsidRPr="00002888">
        <w:rPr>
          <w:rFonts w:ascii="Times New Roman" w:hAnsi="Times New Roman" w:cs="Times New Roman"/>
          <w:sz w:val="24"/>
          <w:szCs w:val="24"/>
        </w:rPr>
        <w:t>splenectomised</w:t>
      </w:r>
      <w:proofErr w:type="spellEnd"/>
      <w:r w:rsidRPr="00002888">
        <w:rPr>
          <w:rFonts w:ascii="Times New Roman" w:hAnsi="Times New Roman" w:cs="Times New Roman"/>
          <w:sz w:val="24"/>
          <w:szCs w:val="24"/>
        </w:rPr>
        <w:t xml:space="preserve"> cases in whom establishing a definitive diagnosis may be difficult, especially in cases presenting before the diagnostic features of HCL-</w:t>
      </w:r>
      <w:r w:rsidR="619E8502" w:rsidRPr="00002888">
        <w:rPr>
          <w:rFonts w:ascii="Times New Roman" w:hAnsi="Times New Roman" w:cs="Times New Roman"/>
          <w:sz w:val="24"/>
          <w:szCs w:val="24"/>
        </w:rPr>
        <w:t>v</w:t>
      </w:r>
      <w:r w:rsidRPr="00002888">
        <w:rPr>
          <w:rFonts w:ascii="Times New Roman" w:hAnsi="Times New Roman" w:cs="Times New Roman"/>
          <w:sz w:val="24"/>
          <w:szCs w:val="24"/>
        </w:rPr>
        <w:t xml:space="preserve"> and SDRPL were well recognized. Confining cohorts to cases who have undergone splenectomy overcomes this problem but excludes cases with indolent disease not requiring treatment and those treated with other modalities. Nevertheless, preliminary data from ongoing studies suggests that one or more combinations of </w:t>
      </w:r>
      <w:r w:rsidRPr="00002888">
        <w:rPr>
          <w:rFonts w:ascii="Times New Roman" w:hAnsi="Times New Roman" w:cs="Times New Roman"/>
          <w:i/>
          <w:sz w:val="24"/>
          <w:szCs w:val="24"/>
          <w:lang w:val="en-GB"/>
        </w:rPr>
        <w:t xml:space="preserve">IGHV1-2*04 </w:t>
      </w:r>
      <w:r w:rsidRPr="00002888">
        <w:rPr>
          <w:rFonts w:ascii="Times New Roman" w:hAnsi="Times New Roman" w:cs="Times New Roman"/>
          <w:sz w:val="24"/>
          <w:szCs w:val="24"/>
          <w:lang w:val="en-GB"/>
        </w:rPr>
        <w:t xml:space="preserve">usage, deletion of 7q, </w:t>
      </w:r>
      <w:r w:rsidRPr="00002888">
        <w:rPr>
          <w:rFonts w:ascii="Times New Roman" w:hAnsi="Times New Roman" w:cs="Times New Roman"/>
          <w:i/>
          <w:sz w:val="24"/>
          <w:szCs w:val="24"/>
          <w:lang w:val="en-GB"/>
        </w:rPr>
        <w:t>NOTCH2</w:t>
      </w:r>
      <w:r w:rsidRPr="00002888">
        <w:rPr>
          <w:rFonts w:ascii="Times New Roman" w:hAnsi="Times New Roman" w:cs="Times New Roman"/>
          <w:sz w:val="24"/>
          <w:szCs w:val="24"/>
          <w:lang w:val="en-GB"/>
        </w:rPr>
        <w:t xml:space="preserve"> and </w:t>
      </w:r>
      <w:r w:rsidRPr="00002888">
        <w:rPr>
          <w:rFonts w:ascii="Times New Roman" w:hAnsi="Times New Roman" w:cs="Times New Roman"/>
          <w:i/>
          <w:sz w:val="24"/>
          <w:szCs w:val="24"/>
          <w:lang w:val="en-GB"/>
        </w:rPr>
        <w:t>KLF2</w:t>
      </w:r>
      <w:r w:rsidRPr="00002888">
        <w:rPr>
          <w:rFonts w:ascii="Times New Roman" w:hAnsi="Times New Roman" w:cs="Times New Roman"/>
          <w:sz w:val="24"/>
          <w:szCs w:val="24"/>
          <w:lang w:val="en-GB"/>
        </w:rPr>
        <w:t xml:space="preserve"> mutations and aberrant methylation will be sufficient to identify a subgroup of SMZL with clearly defined diagnostic and prognostic </w:t>
      </w:r>
      <w:r w:rsidRPr="00245037">
        <w:rPr>
          <w:rFonts w:ascii="Times New Roman" w:hAnsi="Times New Roman" w:cs="Times New Roman"/>
          <w:sz w:val="24"/>
          <w:szCs w:val="24"/>
          <w:lang w:val="en-GB"/>
        </w:rPr>
        <w:t xml:space="preserve">features. </w:t>
      </w:r>
      <w:r w:rsidR="005B27FB" w:rsidRPr="00245037">
        <w:rPr>
          <w:rFonts w:ascii="Times New Roman" w:hAnsi="Times New Roman" w:cs="Times New Roman"/>
          <w:sz w:val="24"/>
          <w:szCs w:val="24"/>
          <w:lang w:val="en-GB"/>
        </w:rPr>
        <w:t>Whilst the role of minimal residual disease (MRD) monitoring in the management of SMZL patients remains unclear</w:t>
      </w:r>
      <w:r w:rsidR="00540787" w:rsidRPr="00245037">
        <w:rPr>
          <w:rFonts w:ascii="Times New Roman" w:hAnsi="Times New Roman" w:cs="Times New Roman"/>
          <w:sz w:val="24"/>
          <w:szCs w:val="24"/>
          <w:lang w:val="en-GB"/>
        </w:rPr>
        <w:t xml:space="preserve"> </w:t>
      </w:r>
      <w:r w:rsidR="00590D92" w:rsidRPr="00245037">
        <w:rPr>
          <w:rFonts w:ascii="Times New Roman" w:hAnsi="Times New Roman" w:cs="Times New Roman"/>
          <w:sz w:val="24"/>
          <w:szCs w:val="24"/>
          <w:lang w:val="en-GB"/>
        </w:rPr>
        <w:fldChar w:fldCharType="begin" w:fldLock="1"/>
      </w:r>
      <w:r w:rsidR="006E582D" w:rsidRPr="00245037">
        <w:rPr>
          <w:rFonts w:ascii="Times New Roman" w:hAnsi="Times New Roman" w:cs="Times New Roman"/>
          <w:sz w:val="24"/>
          <w:szCs w:val="24"/>
          <w:lang w:val="en-GB"/>
        </w:rPr>
        <w:instrText>ADDIN CSL_CITATION {"citationItems":[{"id":"ITEM-1","itemData":{"DOI":"10.1093/annonc/mdp395","ISSN":"09237534","PMID":"19825880","abstract":"BACKGROUND: Splenic marginal zone lymphoma (SMZL) with or without villous lymphocytes is an indolent lymphoma that typically affects elderly patients. Treatment is required in symptomatic cases. Splenectomy remains one of the first-line options in patients fit for surgery. The best therapeutic strategy has not yet been identified. Among different possible chemotherapeutic approaches, purine analogues, alone or in association with rituximab, seem to be a valid therapeutic choice. PATIENTS AND METHODS: Fifty SMZL patients were treated with cladribine with or without anti-CD20 mAb. RESULTS: Forty-six of 50 patients were assessable for response. Overall response rate was 87%: 24 of 46 patients (52%) achieved a complete hematological response (CR), 16 of 46 (35%) a partial response and 6 (13%) were unresponsive. Interestingly, 15 of 24 cases (62%) in CR also achieved a molecular remission. CONCLUSIONS: The present results indicate that this schedule is a valid therapeutic approach in SMZL. Addition of rituximab significantly improved quality of response and consequently the outcome of the disease.","author":[{"dropping-particle":"","family":"Cervetti","given":"G","non-dropping-particle":"","parse-names":false,"suffix":""},{"dropping-particle":"","family":"Galimberti","given":"S","non-dropping-particle":"","parse-names":false,"suffix":""},{"dropping-particle":"","family":"Sordi","given":"E","non-dropping-particle":"","parse-names":false,"suffix":""},{"dropping-particle":"","family":"Buda","given":"G","non-dropping-particle":"","parse-names":false,"suffix":""},{"dropping-particle":"","family":"Orciuolo","given":"E","non-dropping-particle":"","parse-names":false,"suffix":""},{"dropping-particle":"","family":"Cecconi","given":"N","non-dropping-particle":"","parse-names":false,"suffix":""},{"dropping-particle":"","family":"Petrini","given":"M","non-dropping-particle":"","parse-names":false,"suffix":""}],"container-title":"Annals of Oncology","id":"ITEM-1","issue":"4","issued":{"date-parts":[["2010","4"]]},"language":"eng","page":"851-854","publisher-place":"England","title":"Significant efficacy of 2-CdA with or without rituximab in the treatment of splenic marginal zone lymphoma (SMZL)","type":"article-journal","volume":"21"},"uris":["http://www.mendeley.com/documents/?uuid=3e256432-ac2e-40c8-94e6-fe676732e382"]}],"mendeley":{"formattedCitation":"(Cervetti et al., 2010)","plainTextFormattedCitation":"(Cervetti et al., 2010)","previouslyFormattedCitation":"(Cervetti et al., 2010)"},"properties":{"noteIndex":0},"schema":"https://github.com/citation-style-language/schema/raw/master/csl-citation.json"}</w:instrText>
      </w:r>
      <w:r w:rsidR="00590D92" w:rsidRPr="00245037">
        <w:rPr>
          <w:rFonts w:ascii="Times New Roman" w:hAnsi="Times New Roman" w:cs="Times New Roman"/>
          <w:sz w:val="24"/>
          <w:szCs w:val="24"/>
          <w:lang w:val="en-GB"/>
        </w:rPr>
        <w:fldChar w:fldCharType="separate"/>
      </w:r>
      <w:r w:rsidR="00590D92" w:rsidRPr="00245037">
        <w:rPr>
          <w:rFonts w:ascii="Times New Roman" w:hAnsi="Times New Roman" w:cs="Times New Roman"/>
          <w:noProof/>
          <w:sz w:val="24"/>
          <w:szCs w:val="24"/>
          <w:lang w:val="en-GB"/>
        </w:rPr>
        <w:t>(Cervetti et al., 2010)</w:t>
      </w:r>
      <w:r w:rsidR="00590D92" w:rsidRPr="00245037">
        <w:rPr>
          <w:rFonts w:ascii="Times New Roman" w:hAnsi="Times New Roman" w:cs="Times New Roman"/>
          <w:sz w:val="24"/>
          <w:szCs w:val="24"/>
          <w:lang w:val="en-GB"/>
        </w:rPr>
        <w:fldChar w:fldCharType="end"/>
      </w:r>
      <w:r w:rsidR="005B27FB" w:rsidRPr="00245037">
        <w:rPr>
          <w:rFonts w:ascii="Times New Roman" w:hAnsi="Times New Roman" w:cs="Times New Roman"/>
          <w:sz w:val="24"/>
          <w:szCs w:val="24"/>
          <w:lang w:val="en-GB"/>
        </w:rPr>
        <w:t>, (epi)genomic lesions may have utility to track treatment response, perhaps in conjunction of the use of positron emission tomography (PET) scans.</w:t>
      </w:r>
      <w:r w:rsidR="005B27FB">
        <w:rPr>
          <w:rFonts w:ascii="Times New Roman" w:hAnsi="Times New Roman" w:cs="Times New Roman"/>
          <w:sz w:val="24"/>
          <w:szCs w:val="24"/>
          <w:lang w:val="en-GB"/>
        </w:rPr>
        <w:t xml:space="preserve"> </w:t>
      </w:r>
    </w:p>
    <w:p w14:paraId="256004F5" w14:textId="77777777" w:rsidR="00002888" w:rsidRPr="00002888" w:rsidRDefault="00002888" w:rsidP="00002888">
      <w:pPr>
        <w:spacing w:before="0" w:after="0" w:line="360" w:lineRule="auto"/>
        <w:jc w:val="left"/>
        <w:rPr>
          <w:rFonts w:ascii="Times New Roman" w:hAnsi="Times New Roman" w:cs="Times New Roman"/>
          <w:sz w:val="24"/>
          <w:szCs w:val="24"/>
        </w:rPr>
      </w:pPr>
    </w:p>
    <w:p w14:paraId="6590ACEC" w14:textId="7EBD16AF" w:rsidR="00EF784A" w:rsidRDefault="00EF784A" w:rsidP="00002888">
      <w:pPr>
        <w:spacing w:before="0" w:after="0" w:line="360" w:lineRule="auto"/>
        <w:jc w:val="left"/>
        <w:rPr>
          <w:rFonts w:ascii="Times New Roman" w:eastAsia="Times New Roman" w:hAnsi="Times New Roman" w:cs="Times New Roman"/>
          <w:color w:val="000000"/>
          <w:sz w:val="24"/>
          <w:szCs w:val="24"/>
          <w:bdr w:val="none" w:sz="0" w:space="0" w:color="auto" w:frame="1"/>
        </w:rPr>
      </w:pPr>
      <w:r w:rsidRPr="00002888">
        <w:rPr>
          <w:rFonts w:ascii="Times New Roman" w:hAnsi="Times New Roman" w:cs="Times New Roman"/>
          <w:sz w:val="24"/>
          <w:szCs w:val="24"/>
          <w:lang w:val="en-GB"/>
        </w:rPr>
        <w:t xml:space="preserve">A further benefit of genomic analyses demonstrating the importance of dysregulated </w:t>
      </w:r>
      <w:r w:rsidRPr="00002888">
        <w:rPr>
          <w:rFonts w:ascii="Times New Roman" w:hAnsi="Times New Roman" w:cs="Times New Roman"/>
          <w:sz w:val="24"/>
          <w:szCs w:val="24"/>
          <w:shd w:val="clear" w:color="auto" w:fill="FFFFFF"/>
          <w:lang w:val="en-GB"/>
        </w:rPr>
        <w:t>NF-</w:t>
      </w:r>
      <w:proofErr w:type="spellStart"/>
      <w:r w:rsidR="00A44284" w:rsidRPr="00002888">
        <w:rPr>
          <w:rFonts w:ascii="Times New Roman" w:hAnsi="Times New Roman" w:cs="Times New Roman"/>
          <w:sz w:val="24"/>
          <w:szCs w:val="24"/>
          <w:lang w:val="en-GB"/>
        </w:rPr>
        <w:t>κ</w:t>
      </w:r>
      <w:r w:rsidRPr="00002888">
        <w:rPr>
          <w:rFonts w:ascii="Times New Roman" w:hAnsi="Times New Roman" w:cs="Times New Roman"/>
          <w:sz w:val="24"/>
          <w:szCs w:val="24"/>
          <w:shd w:val="clear" w:color="auto" w:fill="FFFFFF"/>
          <w:lang w:val="en-GB"/>
        </w:rPr>
        <w:t>B</w:t>
      </w:r>
      <w:proofErr w:type="spellEnd"/>
      <w:r w:rsidRPr="00002888">
        <w:rPr>
          <w:rFonts w:ascii="Times New Roman" w:hAnsi="Times New Roman" w:cs="Times New Roman"/>
          <w:sz w:val="24"/>
          <w:szCs w:val="24"/>
          <w:shd w:val="clear" w:color="auto" w:fill="FFFFFF"/>
          <w:lang w:val="en-GB"/>
        </w:rPr>
        <w:t xml:space="preserve"> signalling, partially mediated through increased B</w:t>
      </w:r>
      <w:r w:rsidR="00CD3F78" w:rsidRPr="00002888">
        <w:rPr>
          <w:rFonts w:ascii="Times New Roman" w:hAnsi="Times New Roman" w:cs="Times New Roman"/>
          <w:sz w:val="24"/>
          <w:szCs w:val="24"/>
          <w:shd w:val="clear" w:color="auto" w:fill="FFFFFF"/>
          <w:lang w:val="en-GB"/>
        </w:rPr>
        <w:t>C</w:t>
      </w:r>
      <w:r w:rsidRPr="00002888">
        <w:rPr>
          <w:rFonts w:ascii="Times New Roman" w:hAnsi="Times New Roman" w:cs="Times New Roman"/>
          <w:sz w:val="24"/>
          <w:szCs w:val="24"/>
          <w:shd w:val="clear" w:color="auto" w:fill="FFFFFF"/>
          <w:lang w:val="en-GB"/>
        </w:rPr>
        <w:t>R signal</w:t>
      </w:r>
      <w:r w:rsidR="00CD3F78" w:rsidRPr="00002888">
        <w:rPr>
          <w:rFonts w:ascii="Times New Roman" w:hAnsi="Times New Roman" w:cs="Times New Roman"/>
          <w:sz w:val="24"/>
          <w:szCs w:val="24"/>
          <w:shd w:val="clear" w:color="auto" w:fill="FFFFFF"/>
          <w:lang w:val="en-GB"/>
        </w:rPr>
        <w:t>l</w:t>
      </w:r>
      <w:r w:rsidRPr="00002888">
        <w:rPr>
          <w:rFonts w:ascii="Times New Roman" w:hAnsi="Times New Roman" w:cs="Times New Roman"/>
          <w:sz w:val="24"/>
          <w:szCs w:val="24"/>
          <w:shd w:val="clear" w:color="auto" w:fill="FFFFFF"/>
          <w:lang w:val="en-GB"/>
        </w:rPr>
        <w:t>ing</w:t>
      </w:r>
      <w:r w:rsidRPr="00002888">
        <w:rPr>
          <w:rFonts w:ascii="Times New Roman" w:hAnsi="Times New Roman" w:cs="Times New Roman"/>
          <w:sz w:val="24"/>
          <w:szCs w:val="24"/>
          <w:lang w:val="en-GB"/>
        </w:rPr>
        <w:t xml:space="preserve"> has been</w:t>
      </w:r>
      <w:r w:rsidR="00CD3F78" w:rsidRPr="00002888">
        <w:rPr>
          <w:rFonts w:ascii="Times New Roman" w:hAnsi="Times New Roman" w:cs="Times New Roman"/>
          <w:sz w:val="24"/>
          <w:szCs w:val="24"/>
          <w:lang w:val="en-GB"/>
        </w:rPr>
        <w:t xml:space="preserve"> able</w:t>
      </w:r>
      <w:r w:rsidRPr="00002888">
        <w:rPr>
          <w:rFonts w:ascii="Times New Roman" w:hAnsi="Times New Roman" w:cs="Times New Roman"/>
          <w:sz w:val="24"/>
          <w:szCs w:val="24"/>
          <w:lang w:val="en-GB"/>
        </w:rPr>
        <w:t xml:space="preserve"> to provide the rationale for clinical trials of BTK and PI3K inhibitors in all 3 subtypes of MZL. </w:t>
      </w:r>
      <w:r w:rsidRPr="00002888">
        <w:rPr>
          <w:rFonts w:ascii="Times New Roman" w:hAnsi="Times New Roman" w:cs="Times New Roman"/>
          <w:b/>
          <w:bCs/>
          <w:sz w:val="24"/>
          <w:szCs w:val="24"/>
          <w:lang w:val="en-GB"/>
        </w:rPr>
        <w:t xml:space="preserve">Table </w:t>
      </w:r>
      <w:r w:rsidR="00D85C97" w:rsidRPr="00002888">
        <w:rPr>
          <w:rFonts w:ascii="Times New Roman" w:hAnsi="Times New Roman" w:cs="Times New Roman"/>
          <w:b/>
          <w:bCs/>
          <w:sz w:val="24"/>
          <w:szCs w:val="24"/>
          <w:lang w:val="en-GB"/>
        </w:rPr>
        <w:t>3</w:t>
      </w:r>
      <w:r w:rsidRPr="00002888">
        <w:rPr>
          <w:rFonts w:ascii="Times New Roman" w:hAnsi="Times New Roman" w:cs="Times New Roman"/>
          <w:sz w:val="24"/>
          <w:szCs w:val="24"/>
          <w:lang w:val="en-GB"/>
        </w:rPr>
        <w:t xml:space="preserve"> summarises response data for patients with SMZL who were refractory to, or relapsed after, one or more prior therapies, usually including an anti</w:t>
      </w:r>
      <w:r w:rsidR="77E9EB3F" w:rsidRPr="00002888">
        <w:rPr>
          <w:rFonts w:ascii="Times New Roman" w:hAnsi="Times New Roman" w:cs="Times New Roman"/>
          <w:sz w:val="24"/>
          <w:szCs w:val="24"/>
          <w:lang w:val="en-GB"/>
        </w:rPr>
        <w:t>-</w:t>
      </w:r>
      <w:r w:rsidRPr="00002888">
        <w:rPr>
          <w:rFonts w:ascii="Times New Roman" w:hAnsi="Times New Roman" w:cs="Times New Roman"/>
          <w:sz w:val="24"/>
          <w:szCs w:val="24"/>
          <w:lang w:val="en-GB"/>
        </w:rPr>
        <w:t>CD20 antibody</w:t>
      </w:r>
      <w:r w:rsidR="00B2561B" w:rsidRPr="00002888">
        <w:rPr>
          <w:rFonts w:ascii="Times New Roman" w:hAnsi="Times New Roman" w:cs="Times New Roman"/>
          <w:sz w:val="24"/>
          <w:szCs w:val="24"/>
          <w:lang w:val="en-GB"/>
        </w:rPr>
        <w:t xml:space="preserve"> </w:t>
      </w:r>
      <w:r w:rsidR="00EA7188" w:rsidRPr="00002888">
        <w:rPr>
          <w:rFonts w:ascii="Times New Roman" w:hAnsi="Times New Roman" w:cs="Times New Roman"/>
          <w:sz w:val="24"/>
          <w:szCs w:val="24"/>
          <w:lang w:val="en-GB"/>
        </w:rPr>
        <w:fldChar w:fldCharType="begin" w:fldLock="1"/>
      </w:r>
      <w:r w:rsidR="00802CE9" w:rsidRPr="00002888">
        <w:rPr>
          <w:rFonts w:ascii="Times New Roman" w:hAnsi="Times New Roman" w:cs="Times New Roman"/>
          <w:sz w:val="24"/>
          <w:szCs w:val="24"/>
          <w:lang w:val="en-GB"/>
        </w:rPr>
        <w:instrText>ADDIN CSL_CITATION {"citationItems":[{"id":"ITEM-1","itemData":{"DOI":"10.1182/blood-2020-134451","ISSN":"0006-4971","abstract":"Background: Marginal zone lymphoma (MZL) is a clinically heterogeneous, indolent, non-Hodgkin lymphoma (NHL) with 3 subtypes classified as extranodal, nodal, and splenic MZL. Parsaclisib, a potent, highly-selective, next-generation phosphatidylinositol 3 kinase (PI3K) δ inhibitor, has shown promising response rates in a phase 1/2 study in patients with previously treated B-cell malignancies. CITADEL-204 (NCT03144674) is a multicenter, open-label phase 2 study of parsaclisib in patients with relapsed or refractory (R/R) MZL. Here, we report preliminary results for patients who were not previously treated with a Bruton's tyrosine kinase inhibitor (BTKi-naïve).","author":[{"dropping-particle":"","family":"Phillips","given":"Tycel J.","non-dropping-particle":"","parse-names":false,"suffix":""},{"dropping-particle":"","family":"Corradini","given":"Paolo","non-dropping-particle":"","parse-names":false,"suffix":""},{"dropping-particle":"","family":"Gurion","given":"Ronit","non-dropping-particle":"","parse-names":false,"suffix":""},{"dropping-particle":"","family":"Patti","given":"Caterina","non-dropping-particle":"","parse-names":false,"suffix":""},{"dropping-particle":"","family":"Tani","given":"Monica","non-dropping-particle":"","parse-names":false,"suffix":""},{"dropping-particle":"","family":"Avigdor","given":"Abraham","non-dropping-particle":"","parse-names":false,"suffix":""},{"dropping-particle":"","family":"Jurczak","given":"Wojciech","non-dropping-particle":"","parse-names":false,"suffix":""},{"dropping-particle":"","family":"Mehta","given":"Amitkumar","non-dropping-particle":"","parse-names":false,"suffix":""},{"dropping-particle":"","family":"Zinzani","given":"Pier Luigi","non-dropping-particle":"","parse-names":false,"suffix":""},{"dropping-particle":"","family":"Lossos","given":"Izidore S.","non-dropping-particle":"","parse-names":false,"suffix":""},{"dropping-particle":"","family":"Thieblemont","given":"Catherine","non-dropping-particle":"","parse-names":false,"suffix":""},{"dropping-particle":"","family":"Zheng","given":"Fred","non-dropping-particle":"","parse-names":false,"suffix":""},{"dropping-particle":"","family":"Rappold","given":"Erica","non-dropping-particle":"","parse-names":false,"suffix":""},{"dropping-particle":"","family":"Zhao","given":"Wanying","non-dropping-particle":"","parse-names":false,"suffix":""},{"dropping-particle":"","family":"Johnson","given":"Peter","non-dropping-particle":"","parse-names":false,"suffix":""}],"container-title":"Blood","id":"ITEM-1","issue":"Supplement 1","issued":{"date-parts":[["2020","11","5"]]},"page":"27-28","title":"Phase 2 Study Evaluating the Efficacy and Safety of Parsaclisib in Patients with Relapsed or Refractory Marginal Zone Lymphoma (CITADEL-204)","type":"article-journal","volume":"136"},"uris":["http://www.mendeley.com/documents/?uuid=03427b0e-cb1e-41aa-9dc7-9d60de8117a3"]},{"id":"ITEM-2","itemData":{"DOI":"10.1182/blood-2020-134611","ISSN":"0006-4971","abstract":"Background: Marginal zone lymphoma (MZL) is rare and heterogeneous and it has been difficult to define optimal therapeutic strategies. Like other indolent non-Hodgkin lymphomas, advanced stage disease is considered incurable, with most patients experiencing a continuing pattern of relapse and remission. MZL is typically dependent on B-cell receptor (BCR) signaling suggesting a role for BCR pathway targeting via inhibition of Bruton's tyrosine kinase (BTK). The utility of this approach was confirmed by the pivotal phase 2 study demonstrating a 48% objective response rate (ORR) to ibrutinib in patients with relapsed/refractory (R/R) MZL (Noy et al. Blood. 2017;129:2224-2232).","author":[{"dropping-particle":"","family":"Opat","given":"Stephen","non-dropping-particle":"","parse-names":false,"suffix":""},{"dropping-particle":"","family":"Tedeschi","given":"Alessandra","non-dropping-particle":"","parse-names":false,"suffix":""},{"dropping-particle":"","family":"Linton","given":"Kim","non-dropping-particle":"","parse-names":false,"suffix":""},{"dropping-particle":"","family":"McKay","given":"Pamela","non-dropping-particle":"","parse-names":false,"suffix":""},{"dropping-particle":"","family":"Hu","given":"Bei","non-dropping-particle":"","parse-names":false,"suffix":""},{"dropping-particle":"","family":"Chan","given":"Henry","non-dropping-particle":"","parse-names":false,"suffix":""},{"dropping-particle":"","family":"Jin","given":"Jie","non-dropping-particle":"","parse-names":false,"suffix":""},{"dropping-particle":"","family":"Zinzani","given":"Pier Luigi","non-dropping-particle":"","parse-names":false,"suffix":""},{"dropping-particle":"","family":"Browett","given":"Peter","non-dropping-particle":"","parse-names":false,"suffix":""},{"dropping-particle":"","family":"Coleman","given":"Morton","non-dropping-particle":"","parse-names":false,"suffix":""},{"dropping-particle":"","family":"Sobieraj-Teague","given":"Magdalena","non-dropping-particle":"","parse-names":false,"suffix":""},{"dropping-particle":"","family":"Ke","given":"Xiaoyan","non-dropping-particle":"","parse-names":false,"suffix":""},{"dropping-particle":"","family":"Sun","given":"Mingyuan","non-dropping-particle":"","parse-names":false,"suffix":""},{"dropping-particle":"","family":"Marcus","given":"Robert","non-dropping-particle":"","parse-names":false,"suffix":""},{"dropping-particle":"","family":"Portell","given":"Craig A.","non-dropping-particle":"","parse-names":false,"suffix":""},{"dropping-particle":"","family":"Zhou","given":"Keshu","non-dropping-particle":"","parse-names":false,"suffix":""},{"dropping-particle":"","family":"Thieblemont","given":"Catherine","non-dropping-particle":"","parse-names":false,"suffix":""},{"dropping-particle":"","family":"Co","given":"Melannie","non-dropping-particle":"","parse-names":false,"suffix":""},{"dropping-particle":"","family":"Wang","given":"Weige","non-dropping-particle":"","parse-names":false,"suffix":""},{"dropping-particle":"","family":"Tankersley","given":"Chris","non-dropping-particle":"","parse-names":false,"suffix":""},{"dropping-particle":"","family":"Zhou","given":"Wenxiao","non-dropping-particle":"","parse-names":false,"suffix":""},{"dropping-particle":"","family":"Cappellini","given":"Massimo","non-dropping-particle":"","parse-names":false,"suffix":""},{"dropping-particle":"","family":"Huang","given":"Jane","non-dropping-particle":"","parse-names":false,"suffix":""},{"dropping-particle":"","family":"Trotman","given":"Judith","non-dropping-particle":"","parse-names":false,"suffix":""}],"container-title":"Blood","id":"ITEM-2","issue":"Supplement 1","issued":{"date-parts":[["2020","11","5"]]},"page":"28-30","title":"Efficacy and Safety of Zanubrutinib in Patients with Relapsed/Refractory Marginal Zone Lymphoma: Initial Results of the MAGNOLIA (BGB-3111-214) Trial","type":"article-journal","volume":"136"},"uris":["http://www.mendeley.com/documents/?uuid=873606ae-1756-4b26-b6b2-e93042d78a02"]},{"id":"ITEM-3","itemData":{"DOI":"10.1002/hon.139_2629","ISSN":"02780232","author":[{"dropping-particle":"","family":"Zinzani","given":"P.","non-dropping-particle":"","parse-names":false,"suffix":""},{"dropping-particle":"","family":"Samaniego","given":"F.","non-dropping-particle":"","parse-names":false,"suffix":""},{"dropping-particle":"","family":"Jurczak","given":"W.","non-dropping-particle":"","parse-names":false,"suffix":""},{"dropping-particle":"","family":"Lech-Maranda","given":"E.","non-dropping-particle":"","parse-names":false,"suffix":""},{"dropping-particle":"","family":"Ghosh","given":"N.","non-dropping-particle":"","parse-names":false,"suffix":""},{"dropping-particle":"","family":"Anz","given":"B.","non-dropping-particle":"","parse-names":false,"suffix":""},{"dropping-particle":"","family":"Patten","given":"P.","non-dropping-particle":"","parse-names":false,"suffix":""},{"dropping-particle":"","family":"Reeves","given":"J.","non-dropping-particle":"","parse-names":false,"suffix":""},{"dropping-particle":"","family":"Leslie","given":"L.A.","non-dropping-particle":"","parse-names":false,"suffix":""},{"dropping-particle":"","family":"Smolewski","given":"P.","non-dropping-particle":"","parse-names":false,"suffix":""},{"dropping-particle":"","family":"Chavez","given":"J.C.","non-dropping-particle":"","parse-names":false,"suffix":""},{"dropping-particle":"","family":"Scarfo","given":"L.","non-dropping-particle":"","parse-names":false,"suffix":""},{"dropping-particle":"","family":"Derenzini","given":"E.","non-dropping-particle":"","parse-names":false,"suffix":""},{"dropping-particle":"","family":"Burke","given":"J.M.","non-dropping-particle":"","parse-names":false,"suffix":""},{"dropping-particle":"","family":"Sharman","given":"J.","non-dropping-particle":"","parse-names":false,"suffix":""},{"dropping-particle":"","family":"Kolibaba","given":"K.","non-dropping-particle":"","parse-names":false,"suffix":""},{"dropping-particle":"","family":"O'Connor","given":"O.A.","non-dropping-particle":"","parse-names":false,"suffix":""},{"dropping-particle":"","family":"Cheah","given":"C.Y.","non-dropping-particle":"","parse-names":false,"suffix":""},{"dropping-particle":"","family":"Miskin","given":"H.P.","non-dropping-particle":"","parse-names":false,"suffix":""},{"dropping-particle":"","family":"Sportelli","given":"P.","non-dropping-particle":"","parse-names":false,"suffix":""},{"dropping-particle":"","family":"Weiss","given":"M.S.","non-dropping-particle":"","parse-names":false,"suffix":""},{"dropping-particle":"","family":"Fowler","given":"N.H.","non-dropping-particle":"","parse-names":false,"suffix":""}],"container-title":"Hematological Oncology","id":"ITEM-3","issued":{"date-parts":[["2019","6"]]},"page":"182-183","title":"UMBRALISIB MONOTHERAPY DEMONSTRATES EFFICACY AND SAFETY IN PATIENTS WITH RELAPSED/REFRACTORY MARGINAL ZONE LYMPHOMA: A MULTICENTER, OPEN-LABEL, REGISTRATION DIRECTED PHASE 2 STUDY","type":"article-journal","volume":"37"},"uris":["http://www.mendeley.com/documents/?uuid=96beb7f2-a572-41db-8c86-f34756a7be2a"]},{"id":"ITEM-4","itemData":{"DOI":"10.1182/bloodadvances.2020003121","ISSN":"24739537","PMID":"33227125","abstract":"Advanced marginal zone lymphoma (MZL) is an incurable B-cell malignancy dependent on B-cell receptor signaling. The phase 2 PCYC-1121 study demonstrated the safety and efficacy of single-agent ibrutinib 560 mg/d in 63 patients with relapsed/refractory MZL treated with prior rituximab (RTX) or rituximab-based chemoimmunotherapy (RTX-CIT). We report the final analysis of PCYC-1121 with median follow-up of 33.1 months (range: 1.4-44.6). Overall response rate (ORR) was 58%; median duration of response (DOR) was 27.6 months (95% confidence interval [CI]: 12.1 to not estimable [NE]); median progression-free survival (PFS) was 15.7 months (95% CI: 12.2-30.4); and median overall survival (OS) was not reached (95% CI: NE to NE). Patients with prior RTX treatment had better outcomes (ORR: 81%; median DOR: not reached [95% CI: 12.2 to NE]; median PFS: 30.4 months [95% CI: 22.1 to NE]; median OS: not reached [95% CI: 30.3 to NE]) vs those with prior RTX-CIT treatment (ORR: 51%; DOR: 12.4 months [95% CI: 2.8 to NE]; PFS: 13.8 months [95% CI: 8.3-22.5]; OS: not reached [95% CI: NE to NE]). ORRs were 63%, 47%, and 62% for extranodal, nodal, and splenic subtypes, respectively. With up to 45 months of ibrutinib treatment, the safety profile remained consistent with prior reports. The most common grade $3 event was anemia (16%). Exploratory biomarker analysis showed NF-kB pathway gene mutations correlated with outcomes. Final analysis of PCYC-1121 demonstrated long-term safety and efficacy of ibrutinib in patients with relapsed/refractory MZL, regardless of prior treatment or MZL subtype. This trial was registered at www.clinicaltrials.gov as #NCT01980628.","author":[{"dropping-particle":"","family":"Noy","given":"Ariela","non-dropping-particle":"","parse-names":false,"suffix":""},{"dropping-particle":"","family":"Vos","given":"Sven","non-dropping-particle":"de","parse-names":false,"suffix":""},{"dropping-particle":"","family":"Coleman","given":"Morton","non-dropping-particle":"","parse-names":false,"suffix":""},{"dropping-particle":"","family":"Martin","given":"Peter","non-dropping-particle":"","parse-names":false,"suffix":""},{"dropping-particle":"","family":"Flowers","given":"Christopher R.","non-dropping-particle":"","parse-names":false,"suffix":""},{"dropping-particle":"","family":"Thieblemont","given":"Catherine","non-dropping-particle":"","parse-names":false,"suffix":""},{"dropping-particle":"","family":"Morschhauser","given":"Franck","non-dropping-particle":"","parse-names":false,"suffix":""},{"dropping-particle":"","family":"Collins","given":"Graham P.","non-dropping-particle":"","parse-names":false,"suffix":""},{"dropping-particle":"","family":"Ma","given":"Shuo","non-dropping-particle":"","parse-names":false,"suffix":""},{"dropping-particle":"","family":"Peles","given":"Shachar","non-dropping-particle":"","parse-names":false,"suffix":""},{"dropping-particle":"","family":"Smith","given":"Stephen D.","non-dropping-particle":"","parse-names":false,"suffix":""},{"dropping-particle":"","family":"Barrientos","given":"Jacqueline C.","non-dropping-particle":"","parse-names":false,"suffix":""},{"dropping-particle":"","family":"Chong","given":"Elizabeth","non-dropping-particle":"","parse-names":false,"suffix":""},{"dropping-particle":"","family":"Wu","given":"Shiquan","non-dropping-particle":"","parse-names":false,"suffix":""},{"dropping-particle":"","family":"Cheung","given":"Leo W.K.","non-dropping-particle":"","parse-names":false,"suffix":""},{"dropping-particle":"","family":"Kwei","given":"Kevin","non-dropping-particle":"","parse-names":false,"suffix":""},{"dropping-particle":"","family":"Hauns","given":"Bernhard","non-dropping-particle":"","parse-names":false,"suffix":""},{"dropping-particle":"","family":"Arango-Hisijara","given":"Israel","non-dropping-particle":"","parse-names":false,"suffix":""},{"dropping-particle":"","family":"Chen","given":"Robert","non-dropping-particle":"","parse-names":false,"suffix":""}],"container-title":"Blood Advances","id":"ITEM-4","issue":"22","issued":{"date-parts":[["2020"]]},"page":"5773-5784","title":"Durable ibrutinib responses in relapsed/refractory marginal zone lymphoma: long-term follow-up and biomarker analysis","type":"article-journal","volume":"4"},"uris":["http://www.mendeley.com/documents/?uuid=1863eb57-1d2d-4abf-96ae-8e4c68c6b5b0"]},{"id":"ITEM-5","itemData":{"DOI":"10.1182/bloodadvances.2020002910","ISSN":"2473-9529","abstract":"Marginal zone lymphoma (MZL) is challenging to treat, with many patients relapsing  following initial treatment. We report the long-term efficacy and safety of copanlisib, a pan-class I phosphoinositide 3-kinase (PI3K) inhibitor, in the subset of 23 patients with relapsed/refractory MZL treated in the phase 2 CHRONOS-1 study (#NCT01660451, Part B; www.clinicaltrials.gov). Patients had a median of 3 prior lines of therapy, including rituximab and alkylating agents, and received IV copanlisib 60 mg on days 1, 8, and 15 of 28-day cycles for a median of 23 weeks. The objective response rate was 78.3% (18/23; 3 complete responses and 15 partial responses). The median duration of response was 17.4 months (median follow-up, 9.4 months), and median time to response was 2.1 months. Median progression-free survival was 24.1 months (median follow-up, 10.3 months), and median overall survival was not reached (median follow-up, 28.4 months). The most common all-grade treatment-emergent adverse events (TEAEs) included fatigue (52.2%, 12/23), diarrhea, and transient, infusion-related hyperglycemia (each 47.8%, 11/23). Nineteen patients (82.6%) had grade 3/4 TEAEs, most commonly transient, infusion-related hyperglycemia and hypertension (each 39.1%, 9/23). TEAEs led to dose reduction or dose interruptions /delays in 9 patients (39.1%) and 18 patients (78.3%), respectively. Patients with activated PI3K/B-cell antigen receptor signaling had improved response rates. Overall, copanlisib demonstrated strong efficacy, with a short time to objective response, improved objective response rate with longer treatment duration, durable responses, and manageable safety, in line with previous reports. These data provide rationale for long-term treatment with copanlisib in patients with relapsed/refractory MZL.","author":[{"dropping-particle":"","family":"Panayiotidis","given":"Panayiotis","non-dropping-particle":"","parse-names":false,"suffix":""},{"dropping-particle":"","family":"Follows","given":"George A.","non-dropping-particle":"","parse-names":false,"suffix":""},{"dropping-particle":"","family":"Mollica","given":"Luigina","non-dropping-particle":"","parse-names":false,"suffix":""},{"dropping-particle":"","family":"Nagler","given":"Arnon","non-dropping-particle":"","parse-names":false,"suffix":""},{"dropping-particle":"","family":"Özcan","given":"Muhit","non-dropping-particle":"","parse-names":false,"suffix":""},{"dropping-particle":"","family":"Santoro","given":"Armando","non-dropping-particle":"","parse-names":false,"suffix":""},{"dropping-particle":"","family":"Stevens","given":"Don","non-dropping-particle":"","parse-names":false,"suffix":""},{"dropping-particle":"","family":"Trevarthen","given":"David","non-dropping-particle":"","parse-names":false,"suffix":""},{"dropping-p</w:instrText>
      </w:r>
      <w:r w:rsidR="00802CE9" w:rsidRPr="00590D92">
        <w:rPr>
          <w:rFonts w:ascii="Times New Roman" w:hAnsi="Times New Roman" w:cs="Times New Roman"/>
          <w:sz w:val="24"/>
          <w:szCs w:val="24"/>
          <w:lang w:val="es-CO"/>
        </w:rPr>
        <w:instrText>article":"","family":"Hiemeyer","given":"Florian","non-dropping-particle":"","parse-names":false,"suffix":""},{"dropping-particle":"","family":"Garcia-Vargas","given":"Jose","non-dropping-particle":"","parse-names":false,"suffix":""},{"dropping-particle":"","family":"Childs","given":"Barrett H.","non-dropping-particle":"","parse-names":false,"suffix":""},{"dropping-particle":"","family":"Zinzani","given":"Pier Luigi","non-dropping-particle":"","parse-names":false,"suffix":""},{"dropping-particle":"","family":"Dreyling","given":"Martin","non-dropping-particle":"","parse-names":false,"suffix":""}],"container-title":"Blood Advances","id":"ITEM-5","issue":"3","issued":{"date-parts":[["2021"]]},"page":"823-828","title":"Efficacy and safety of copanlisib in patients with relapsed or refractory marginal zone lymphoma","type":"article-journal","volume":"5"},"uris":["http://www.mendeley.com/documents/?uuid=a1574267-4f4b-4a93-927a-bb23c750fee5"]}],"mendeley":{"formattedCitation":"(Noy et al., 2020; Opat et al., 2020; Panayiotidis et al., 2021; Phillips et al., 2020; Zinzani et al., 2019)","plainTextFormattedCitation":"(Noy et al., 2020; Opat et al., 2020; Panayiotidis et al., 2021; Phillips et al., 2020; Zinzani et al., 2019)","previouslyFormattedCitation":"(Noy et al., 2020; Opat et al., 2020; Panayiotidis et al., 2021; Phillips et al., 2020; Zinzani et al., 2019)"},"properties":{"noteIndex":0},"schema":"https://github.com/citation-style-language/schema/raw/master/csl-citation.json"}</w:instrText>
      </w:r>
      <w:r w:rsidR="00EA7188" w:rsidRPr="00002888">
        <w:rPr>
          <w:rFonts w:ascii="Times New Roman" w:hAnsi="Times New Roman" w:cs="Times New Roman"/>
          <w:sz w:val="24"/>
          <w:szCs w:val="24"/>
          <w:lang w:val="en-GB"/>
        </w:rPr>
        <w:fldChar w:fldCharType="separate"/>
      </w:r>
      <w:r w:rsidR="00EA7188" w:rsidRPr="00002888">
        <w:rPr>
          <w:rFonts w:ascii="Times New Roman" w:hAnsi="Times New Roman" w:cs="Times New Roman"/>
          <w:noProof/>
          <w:sz w:val="24"/>
          <w:szCs w:val="24"/>
          <w:lang w:val="es-CO"/>
        </w:rPr>
        <w:t>(Noy et al., 2020; Opat et al., 2020; Panayiotidis et al., 2021; Phillips et al., 2020; Zinzani et al., 2019)</w:t>
      </w:r>
      <w:r w:rsidR="00EA7188" w:rsidRPr="00002888">
        <w:rPr>
          <w:rFonts w:ascii="Times New Roman" w:hAnsi="Times New Roman" w:cs="Times New Roman"/>
          <w:sz w:val="24"/>
          <w:szCs w:val="24"/>
          <w:lang w:val="en-GB"/>
        </w:rPr>
        <w:fldChar w:fldCharType="end"/>
      </w:r>
      <w:r w:rsidRPr="00002888">
        <w:rPr>
          <w:rFonts w:ascii="Times New Roman" w:hAnsi="Times New Roman" w:cs="Times New Roman"/>
          <w:sz w:val="24"/>
          <w:szCs w:val="24"/>
          <w:lang w:val="es-CO"/>
        </w:rPr>
        <w:t xml:space="preserve">. </w:t>
      </w:r>
      <w:r w:rsidRPr="00002888">
        <w:rPr>
          <w:rFonts w:ascii="Times New Roman" w:hAnsi="Times New Roman" w:cs="Times New Roman"/>
          <w:sz w:val="24"/>
          <w:szCs w:val="24"/>
          <w:lang w:val="en-GB"/>
        </w:rPr>
        <w:t xml:space="preserve">Overall response rates of 50-65% are comparable to those seen in other MZL subtypes. It is not yet reported whether primary acquired resistance to these agents is associated </w:t>
      </w:r>
      <w:r w:rsidRPr="00002888">
        <w:rPr>
          <w:rFonts w:ascii="Times New Roman" w:hAnsi="Times New Roman" w:cs="Times New Roman"/>
          <w:sz w:val="24"/>
          <w:szCs w:val="24"/>
        </w:rPr>
        <w:t>with mutations downstream of the PI3K and BCR pathways</w:t>
      </w:r>
      <w:r w:rsidRPr="00002888">
        <w:rPr>
          <w:rFonts w:ascii="Times New Roman" w:hAnsi="Times New Roman" w:cs="Times New Roman"/>
          <w:sz w:val="24"/>
          <w:szCs w:val="24"/>
          <w:lang w:val="en-GB"/>
        </w:rPr>
        <w:t xml:space="preserve"> </w:t>
      </w:r>
      <w:r w:rsidRPr="00245037">
        <w:rPr>
          <w:rFonts w:ascii="Times New Roman" w:hAnsi="Times New Roman" w:cs="Times New Roman"/>
          <w:sz w:val="24"/>
          <w:szCs w:val="24"/>
          <w:lang w:val="en-GB"/>
        </w:rPr>
        <w:t xml:space="preserve">but </w:t>
      </w:r>
      <w:r w:rsidRPr="00245037">
        <w:rPr>
          <w:rFonts w:ascii="Times New Roman" w:hAnsi="Times New Roman" w:cs="Times New Roman"/>
          <w:i/>
          <w:iCs/>
          <w:sz w:val="24"/>
          <w:szCs w:val="24"/>
          <w:lang w:val="en-GB"/>
        </w:rPr>
        <w:t>in vitro</w:t>
      </w:r>
      <w:r w:rsidRPr="00245037">
        <w:rPr>
          <w:rFonts w:ascii="Times New Roman" w:hAnsi="Times New Roman" w:cs="Times New Roman"/>
          <w:sz w:val="24"/>
          <w:szCs w:val="24"/>
          <w:lang w:val="en-GB"/>
        </w:rPr>
        <w:t xml:space="preserve"> studies using MZL cell lines have demonstrated synergy between </w:t>
      </w:r>
      <w:proofErr w:type="spellStart"/>
      <w:r w:rsidRPr="00245037">
        <w:rPr>
          <w:rFonts w:ascii="Times New Roman" w:hAnsi="Times New Roman" w:cs="Times New Roman"/>
          <w:sz w:val="24"/>
          <w:szCs w:val="24"/>
          <w:lang w:val="en-GB"/>
        </w:rPr>
        <w:t>copanlisib</w:t>
      </w:r>
      <w:proofErr w:type="spellEnd"/>
      <w:r w:rsidRPr="00245037">
        <w:rPr>
          <w:rFonts w:ascii="Times New Roman" w:hAnsi="Times New Roman" w:cs="Times New Roman"/>
          <w:sz w:val="24"/>
          <w:szCs w:val="24"/>
          <w:lang w:val="en-GB"/>
        </w:rPr>
        <w:t xml:space="preserve"> and the BCL2 inhibitor </w:t>
      </w:r>
      <w:proofErr w:type="spellStart"/>
      <w:r w:rsidRPr="00245037">
        <w:rPr>
          <w:rFonts w:ascii="Times New Roman" w:hAnsi="Times New Roman" w:cs="Times New Roman"/>
          <w:sz w:val="24"/>
          <w:szCs w:val="24"/>
          <w:lang w:val="en-GB"/>
        </w:rPr>
        <w:t>venetoclax</w:t>
      </w:r>
      <w:proofErr w:type="spellEnd"/>
      <w:r w:rsidR="00CD3F78" w:rsidRPr="00245037">
        <w:rPr>
          <w:rFonts w:ascii="Times New Roman" w:hAnsi="Times New Roman" w:cs="Times New Roman"/>
          <w:sz w:val="24"/>
          <w:szCs w:val="24"/>
          <w:lang w:val="en-GB"/>
        </w:rPr>
        <w:t xml:space="preserve"> </w:t>
      </w:r>
      <w:r w:rsidR="00CD3F78" w:rsidRPr="00245037">
        <w:rPr>
          <w:rFonts w:ascii="Times New Roman" w:hAnsi="Times New Roman" w:cs="Times New Roman"/>
          <w:sz w:val="24"/>
          <w:szCs w:val="24"/>
          <w:lang w:val="en-GB"/>
        </w:rPr>
        <w:fldChar w:fldCharType="begin" w:fldLock="1"/>
      </w:r>
      <w:r w:rsidR="00CD3F78" w:rsidRPr="00245037">
        <w:rPr>
          <w:rFonts w:ascii="Times New Roman" w:hAnsi="Times New Roman" w:cs="Times New Roman"/>
          <w:sz w:val="24"/>
          <w:szCs w:val="24"/>
          <w:lang w:val="en-GB"/>
        </w:rPr>
        <w:instrText>ADDIN CSL_CITATION {"citationItems":[{"id":"ITEM-1","itemData":{"DOI":"10.1182/bloodadvances.2019000844","ISSN":"24739537","PMID":"32126142","abstract":"Copanlisib is a pan-class I phosphoinositide 3-kinase (PI3K) inhibitor with preferred activity toward PI3Ka and PI3Kd. Despite the clear overall clinical benefit, the number of patients achieving complete remissions with the single agent is relatively low, a problem shared by the vast majority of targeted agents. Here, we searched for novel copanlisib-based combinations. Copanlisib was tested as a single agent, in combination with an additional 17 drugs in 26 cell lines derived from mantle cell lymphoma (MCL), marginal zone lymphoma (MZL), and T-cell lymphomas. In vivo experiments, transcriptome analyses, and immunoblotting experiments were also performed. Copanlisib as a single agent showed in vitro dose-dependent antitumor activity in the vast majority of the models. Combination screening identified several compounds that synergized with copanlisib. The strongest combination was with the B-cell lymphoma 2 (BCL2) inhibitor venetoclax. The benefit of the combination over single agents was also validated in an MZL xenograft model and in MCL primary cells, and was due to increased induction of apoptosis, an effect likely sustained by the reduction of the antiapoptotic proteins myeloid cell leukemia 1 (MCL1) and BCL-XL, observed in MCL and MZL cell lines, respectively. These data supported the rationale for the design of the Swiss Group for Clinical Cancer Research (SAKK) 66/18phase 1 study currently exploring the combination of copanlisib and venetoclax in relapsed/refractory lymphomas.","author":[{"dropping-particle":"","family":"Tarantelli","given":"Chiara","non-dropping-particle":"","parse-names":false,"suffix":""},{"dropping-particle":"","family":"Lange","given":"Martin","non-dropping-particle":"","parse-names":false,"suffix":""},{"dropping-particle":"","family":"Gaudio","given":"Eugenio","non-dropping-particle":"","parse-names":false,"suffix":""},{"dropping-particle":"","family":"Cascione","given":"Luciano","non-dropping-particle":"","parse-names":false,"suffix":""},{"dropping-particle":"","family":"Spriano","given":"Filippo","non-dropping-particle":"","parse-names":false,"suffix":""},{"dropping-particle":"","family":"Kwee","given":"Ivo","non-dropping-particle":"","parse-names":false,"suffix":""},{"dropping-particle":"","family":"Arribas","given":"Alberto J.","non-dropping-particle":"","parse-names":false,"suffix":""},{"dropping-particle":"","family":"Rinaldi","given":"Andrea","non-dropping-particle":"","parse-names":false,"suffix":""},{"dropping-particle":"","family":"Jourdan","given":"Thibaud","non-dropping-particle":"","parse-names":false,"suffix":""},{"dropping-particle":"","family":"Berthold","given":"Melanie","non-dropping-particle":"","parse-names":false,"suffix":""},{"dropping-particle":"","family":"Sturz","given":"Andrea","non-dropping-particle":"","parse-names":false,"suffix":""},{"dropping-particle":"","family":"Sperl","given":"Carolyn","non-dropping-particle":"","parse-names":false,"suffix":""},{"dropping-particle":"","family":"Margheriti","given":"Francesco","non-dropping-particle":"","parse-names":false,"suffix":""},{"dropping-particle":"","family":"Scalise","given":"Lorenzo","non-dropping-particle":"","parse-names":false,"suffix":""},{"dropping-particle":"","family":"Gritti","given":"Giuseppe","non-dropping-particle":"","parse-names":false,"suffix":""},{"dropping-particle":"","family":"Rossi","given":"Davide","non-dropping-particle":"","parse-names":false,"suffix":""},{"dropping-particle":"","family":"Stathis","given":"Anastasios","non-dropping-particle":"","parse-names":false,"suffix":""},{"dropping-particle":"","family":"Liu","given":"Ningshu","non-dropping-particle":"","parse-names":false,"suffix":""},{"dropping-particle":"","family":"Zucca","given":"Emanuele","non-dropping-particle":"","parse-names":false,"suffix":""},{"dropping-particle":"","family":"Politz","given":"Oliver","non-dropping-particle":"","parse-names":false,"suffix":""},{"dropping-particle":"","family":"Bertoni","given":"Francesco","non-dropping-particle":"","parse-names":false,"suffix":""}],"container-title":"Blood Advances","id":"ITEM-1","issue":"5","issued":{"date-parts":[["2020","3","10"]]},"page":"819-829","publisher":"American Society of Hematology","title":"Copanlisib synergizes with conventional and targeted agents including venetoclax in B- And T-cell lymphoma models","type":"article-journal","volume":"4"},"uris":["http://www.mendeley.com/documents/?uuid=335fcbb8-0fc2-39f3-99f1-19fc4a0c1666"]}],"mendeley":{"formattedCitation":"(Tarantelli et al., 2020)","plainTextFormattedCitation":"(Tarantelli et al., 2020)","previouslyFormattedCitation":"(Tarantelli et al., 2020)"},"properties":{"noteIndex":0},"schema":"https://github.com/citation-style-language/schema/raw/master/csl-citation.json"}</w:instrText>
      </w:r>
      <w:r w:rsidR="00CD3F78" w:rsidRPr="00245037">
        <w:rPr>
          <w:rFonts w:ascii="Times New Roman" w:hAnsi="Times New Roman" w:cs="Times New Roman"/>
          <w:sz w:val="24"/>
          <w:szCs w:val="24"/>
          <w:lang w:val="en-GB"/>
        </w:rPr>
        <w:fldChar w:fldCharType="separate"/>
      </w:r>
      <w:r w:rsidR="00CD3F78" w:rsidRPr="00245037">
        <w:rPr>
          <w:rFonts w:ascii="Times New Roman" w:hAnsi="Times New Roman" w:cs="Times New Roman"/>
          <w:noProof/>
          <w:sz w:val="24"/>
          <w:szCs w:val="24"/>
          <w:lang w:val="en-GB"/>
        </w:rPr>
        <w:t>(Tarantelli et al., 2020)</w:t>
      </w:r>
      <w:r w:rsidR="00CD3F78" w:rsidRPr="00245037">
        <w:rPr>
          <w:rFonts w:ascii="Times New Roman" w:hAnsi="Times New Roman" w:cs="Times New Roman"/>
          <w:sz w:val="24"/>
          <w:szCs w:val="24"/>
          <w:lang w:val="en-GB"/>
        </w:rPr>
        <w:fldChar w:fldCharType="end"/>
      </w:r>
      <w:r w:rsidRPr="00245037">
        <w:rPr>
          <w:rFonts w:ascii="Times New Roman" w:hAnsi="Times New Roman" w:cs="Times New Roman"/>
          <w:sz w:val="24"/>
          <w:szCs w:val="24"/>
          <w:lang w:val="en-GB"/>
        </w:rPr>
        <w:t>,</w:t>
      </w:r>
      <w:r w:rsidR="00CD3F78" w:rsidRPr="00245037">
        <w:rPr>
          <w:rFonts w:ascii="Times New Roman" w:hAnsi="Times New Roman" w:cs="Times New Roman"/>
          <w:sz w:val="24"/>
          <w:szCs w:val="24"/>
          <w:lang w:val="en-GB"/>
        </w:rPr>
        <w:t xml:space="preserve"> </w:t>
      </w:r>
      <w:r w:rsidRPr="00245037">
        <w:rPr>
          <w:rFonts w:ascii="Times New Roman" w:hAnsi="Times New Roman" w:cs="Times New Roman"/>
          <w:sz w:val="24"/>
          <w:szCs w:val="24"/>
          <w:lang w:val="en-GB"/>
        </w:rPr>
        <w:t xml:space="preserve">and that acquired </w:t>
      </w:r>
      <w:proofErr w:type="spellStart"/>
      <w:r w:rsidRPr="00245037">
        <w:rPr>
          <w:rFonts w:ascii="Times New Roman" w:hAnsi="Times New Roman" w:cs="Times New Roman"/>
          <w:sz w:val="24"/>
          <w:szCs w:val="24"/>
          <w:lang w:val="en-GB"/>
        </w:rPr>
        <w:t>copanlisib</w:t>
      </w:r>
      <w:proofErr w:type="spellEnd"/>
      <w:r w:rsidRPr="00245037">
        <w:rPr>
          <w:rFonts w:ascii="Times New Roman" w:hAnsi="Times New Roman" w:cs="Times New Roman"/>
          <w:sz w:val="24"/>
          <w:szCs w:val="24"/>
          <w:lang w:val="en-GB"/>
        </w:rPr>
        <w:t xml:space="preserve"> resistance induced by prolonged exposure, was</w:t>
      </w:r>
      <w:r w:rsidRPr="00245037">
        <w:rPr>
          <w:rFonts w:ascii="Times New Roman" w:hAnsi="Times New Roman" w:cs="Times New Roman"/>
          <w:sz w:val="24"/>
          <w:szCs w:val="24"/>
        </w:rPr>
        <w:t xml:space="preserve"> associated</w:t>
      </w:r>
      <w:r w:rsidRPr="00002888">
        <w:rPr>
          <w:rFonts w:ascii="Times New Roman" w:hAnsi="Times New Roman" w:cs="Times New Roman"/>
          <w:sz w:val="24"/>
          <w:szCs w:val="24"/>
        </w:rPr>
        <w:t xml:space="preserve"> with decreased sensitivity </w:t>
      </w:r>
      <w:r w:rsidRPr="00002888">
        <w:rPr>
          <w:rFonts w:ascii="Times New Roman" w:hAnsi="Times New Roman" w:cs="Times New Roman"/>
          <w:sz w:val="24"/>
          <w:szCs w:val="24"/>
        </w:rPr>
        <w:lastRenderedPageBreak/>
        <w:t>to other PI3K inhibitors and to ibrutinib and with upregulation of multiple signaling pathways</w:t>
      </w:r>
      <w:r w:rsidR="00CD3F78" w:rsidRPr="00002888">
        <w:rPr>
          <w:rFonts w:ascii="Times New Roman" w:hAnsi="Times New Roman" w:cs="Times New Roman"/>
          <w:sz w:val="24"/>
          <w:szCs w:val="24"/>
        </w:rPr>
        <w:t xml:space="preserve"> </w:t>
      </w:r>
      <w:r w:rsidR="00CD3F78" w:rsidRPr="00002888">
        <w:rPr>
          <w:rFonts w:ascii="Times New Roman" w:hAnsi="Times New Roman" w:cs="Times New Roman"/>
          <w:sz w:val="24"/>
          <w:szCs w:val="24"/>
        </w:rPr>
        <w:fldChar w:fldCharType="begin" w:fldLock="1"/>
      </w:r>
      <w:r w:rsidR="00CD3F78" w:rsidRPr="00002888">
        <w:rPr>
          <w:rFonts w:ascii="Times New Roman" w:hAnsi="Times New Roman" w:cs="Times New Roman"/>
          <w:sz w:val="24"/>
          <w:szCs w:val="24"/>
        </w:rPr>
        <w:instrText>ADDIN CSL_CITATION {"citationItems":[{"id":"ITEM-1","itemData":{"DOI":"10.1158/2643-3249.lymphoma20-po-46","abstract":"Abstracts: AACR Virtual Meeting: Advances in Malignant Lymphoma; August 17-19, 2020\n\nBackground: PI3Kδ is expressed in B cells and has a central role in the B-cell receptor signaling. Copanlisib is a highly selective PI3Kδ and PI3Kα inhibitor, and it is currently under clinical development in indolent lymphomas including marginal zone lymphoma (MZL). Copanlisib is Food and Drug Administration (FDA) approved for the treatment of patients with relapsed or refractory follicular lymphoma. Nevertheless, a subset of patients can eventually relapse due to acquired resistance. A better understanding of resistance mechanisms could help to design improved therapies; hence, we generated MZL cell lines resistant to copanlisib.\n\nMaterials and Methods: Cells were kept on copanlisib (IC90) until acquisition of resistance (RES) or with no drug (parental, PAR). Stable resistance was confirmed by MTT assay after 3 weeks of drug-free culture. Multidrug resistance phenotype was ruled out by confirming sensitivity to vincristine. Cells underwent transcriptome profiling (RNA-Seq) and immunophenotypic analysis.\n\nResults: The RES models were obtained from VL51 cell line with over 50-fold times higher IC50s than PAR counterparts. Of note, the copanlisib-resistant lines showed decreased sensitivity to other PI3K inhibitors such as duvelisib (50-fold) and idelalisib (5-fold) and to the BTK inhibitor ibrutinib (15-fold), suggesting that the mechanism observed here might drive resistance to other downstream B-cell receptor inhibitors. Gene expression profiles of RES showed the upregulation of cytokine signaling (IL1A, IL1B, CXCR4), NFkB (LTA, TNF), MAPK (RASGRP4, RASGRP2), and JAK-STAT (STAT3, JAK3) signaling pathways and negative regulators of apoptosis (CD44, JUN). Conversely, repressed genes in RES were involved in cell adhesion (ITGA4, ITGB1), antigen presentation (HLAs), and IFN response (PARP12, GBP6). Consistent with the overexpression of antiapoptotic signaling genes, RES cells exhibited also resistance to the BCL2-inhibitor venetoclax, either as a single as in combination with copanlisib. Flow cytometry confirmed the CXCR4 upregulation and the downregulation of CD49d (ITGA4), paired with reduced CD20 and CD81 surface expression. In accordance, addition of a CXCR4 inhibitor overcame resistance to copanlisib.\n\nConclusions: We created a model of secondary resistance to the PI3K inhibitor copanlisib, derived from an MZL cell line. This model will help in clarifying mechanisms …","author":[{"dropping-particle":"","family":"Arribas","given":"Alberto J.","non-dropping-particle":"","parse-names":false,"suffix":""},{"dropping-particle":"","family":"Napoli","given":"Sara","non-dropping-particle":"","parse-names":false,"suffix":""},{"dropping-particle":"","family":"Cascione","given":"Luciano","non-dropping-particle":"","parse-names":false,"suffix":""},{"dropping-particle":"","family":"Gaudio","given":"Eugenio","non-dropping-particle":"","parse-names":false,"suffix":""},{"dropping-particle":"","family":"Bordone-Pittau","given":"Roberta","non-dropping-particle":"","parse-names":false,"suffix":""},{"dropping-particle":"","family":"Barreca","given":"Marilia","non-dropping-particle":"","parse-names":false,"suffix":""},{"dropping-particle":"","family":"Sartori","given":"Giulio","non-dropping-particle":"","parse-names":false,"suffix":""},{"dropping-particle":"","family":"Tarantelli","given":"Chiara","non-dropping-particle":"","parse-names":false,"suffix":""},{"dropping-particle":"","family":"Spriano","given":"Filippo","non-dropping-particle":"","parse-names":false,"suffix":""},{"dropping-particle":"","family":"Rinaldi","given":"Andrea","non-dropping-particle":"","parse-names":false,"suffix":""},{"dropping-particle":"","family":"Stathis","given":"Anastasios","non-dropping-particle":"","parse-names":false,"suffix":""},{"dropping-particle":"","family":"Stussi","given":"Georg","non-dropping-particle":"","parse-names":false,"suffix":""},{"dropping-particle":"","family":"Rossi","given":"Davide","non-dropping-particle":"","parse-names":false,"suffix":""},{"dropping-particle":"","family":"Zucca","given":"Emanuele","non-dropping-particle":"","parse-names":false,"suffix":""},{"dropping-particle":"","family":"Bertoni","given":"Francesco","non-dropping-particle":"","parse-names":false,"suffix":""}],"container-title":"Blood Cancer Discovery","id":"ITEM-1","issue":"3 Supplement","issued":{"date-parts":[["2020","11","1"]]},"page":"PO-46-PO-46","publisher":"American Association for Cancer Research (AACR)","title":"Abstract PO-46: Mechanisms of resistance to the PI3K inhibitor copanlisib in marginal zone lymphoma","type":"paper-conference","volume":"1"},"uris":["http://www.mendeley.com/documents/?uuid=9f18e580-5151-3b76-baa7-10f597b771a4"]}],"mendeley":{"formattedCitation":"(Arribas et al., 2020)","plainTextFormattedCitation":"(Arribas et al., 2020)","previouslyFormattedCitation":"(Arribas et al., 2020)"},"properties":{"noteIndex":0},"schema":"https://github.com/citation-style-language/schema/raw/master/csl-citation.json"}</w:instrText>
      </w:r>
      <w:r w:rsidR="00CD3F78" w:rsidRPr="00002888">
        <w:rPr>
          <w:rFonts w:ascii="Times New Roman" w:hAnsi="Times New Roman" w:cs="Times New Roman"/>
          <w:sz w:val="24"/>
          <w:szCs w:val="24"/>
        </w:rPr>
        <w:fldChar w:fldCharType="separate"/>
      </w:r>
      <w:r w:rsidR="00CD3F78" w:rsidRPr="00002888">
        <w:rPr>
          <w:rFonts w:ascii="Times New Roman" w:hAnsi="Times New Roman" w:cs="Times New Roman"/>
          <w:noProof/>
          <w:sz w:val="24"/>
          <w:szCs w:val="24"/>
        </w:rPr>
        <w:t>(Arribas et al., 2020)</w:t>
      </w:r>
      <w:r w:rsidR="00CD3F78" w:rsidRPr="00002888">
        <w:rPr>
          <w:rFonts w:ascii="Times New Roman" w:hAnsi="Times New Roman" w:cs="Times New Roman"/>
          <w:sz w:val="24"/>
          <w:szCs w:val="24"/>
        </w:rPr>
        <w:fldChar w:fldCharType="end"/>
      </w:r>
      <w:r w:rsidRPr="00002888">
        <w:rPr>
          <w:rFonts w:ascii="Times New Roman" w:eastAsia="Times New Roman" w:hAnsi="Times New Roman" w:cs="Times New Roman"/>
          <w:color w:val="000000"/>
          <w:sz w:val="24"/>
          <w:szCs w:val="24"/>
          <w:bdr w:val="none" w:sz="0" w:space="0" w:color="auto" w:frame="1"/>
        </w:rPr>
        <w:t xml:space="preserve">. </w:t>
      </w:r>
    </w:p>
    <w:p w14:paraId="0DC8B9C3" w14:textId="77777777" w:rsidR="00002888" w:rsidRPr="00002888" w:rsidRDefault="00002888" w:rsidP="00002888">
      <w:pPr>
        <w:spacing w:before="0" w:after="0" w:line="360" w:lineRule="auto"/>
        <w:jc w:val="left"/>
        <w:rPr>
          <w:rFonts w:ascii="Times New Roman" w:eastAsia="Times New Roman" w:hAnsi="Times New Roman" w:cs="Times New Roman"/>
          <w:color w:val="000000"/>
          <w:sz w:val="24"/>
          <w:szCs w:val="24"/>
          <w:bdr w:val="none" w:sz="0" w:space="0" w:color="auto" w:frame="1"/>
        </w:rPr>
      </w:pPr>
    </w:p>
    <w:p w14:paraId="58322D92" w14:textId="77777777" w:rsidR="00240054" w:rsidRPr="00240054" w:rsidRDefault="00240054" w:rsidP="00240054">
      <w:pPr>
        <w:rPr>
          <w:rFonts w:ascii="Times New Roman" w:hAnsi="Times New Roman" w:cs="Times New Roman"/>
          <w:b/>
          <w:bCs/>
          <w:sz w:val="20"/>
          <w:szCs w:val="20"/>
          <w:lang w:val="en-GB"/>
        </w:rPr>
      </w:pPr>
      <w:r w:rsidRPr="00240054">
        <w:rPr>
          <w:rFonts w:ascii="Times New Roman" w:hAnsi="Times New Roman" w:cs="Times New Roman"/>
          <w:b/>
          <w:bCs/>
          <w:sz w:val="20"/>
          <w:szCs w:val="20"/>
          <w:lang w:val="en-GB"/>
        </w:rPr>
        <w:t xml:space="preserve">Table 3. Overall response rates to novel signalling inhibitor in phase 2 studies of relapsed/refractory patients with SMZL. * 1 patient was unevaluable. </w:t>
      </w:r>
    </w:p>
    <w:tbl>
      <w:tblPr>
        <w:tblStyle w:val="TableGrid"/>
        <w:tblW w:w="0" w:type="auto"/>
        <w:tblLook w:val="04A0" w:firstRow="1" w:lastRow="0" w:firstColumn="1" w:lastColumn="0" w:noHBand="0" w:noVBand="1"/>
      </w:tblPr>
      <w:tblGrid>
        <w:gridCol w:w="1555"/>
        <w:gridCol w:w="1701"/>
        <w:gridCol w:w="2268"/>
        <w:gridCol w:w="1956"/>
        <w:gridCol w:w="1870"/>
      </w:tblGrid>
      <w:tr w:rsidR="00240054" w:rsidRPr="00BE436C" w14:paraId="12BC469D" w14:textId="77777777" w:rsidTr="008F7DD3">
        <w:tc>
          <w:tcPr>
            <w:tcW w:w="1555" w:type="dxa"/>
            <w:shd w:val="clear" w:color="auto" w:fill="DEEAF6" w:themeFill="accent5" w:themeFillTint="33"/>
          </w:tcPr>
          <w:p w14:paraId="035310B3" w14:textId="77777777" w:rsidR="00240054" w:rsidRPr="00BE436C" w:rsidRDefault="00240054" w:rsidP="00002888">
            <w:pPr>
              <w:rPr>
                <w:rFonts w:ascii="Times New Roman" w:hAnsi="Times New Roman" w:cs="Times New Roman"/>
                <w:b/>
                <w:bCs/>
                <w:sz w:val="18"/>
                <w:szCs w:val="18"/>
                <w:lang w:val="en-GB"/>
              </w:rPr>
            </w:pPr>
            <w:r w:rsidRPr="00BE436C">
              <w:rPr>
                <w:rFonts w:ascii="Times New Roman" w:hAnsi="Times New Roman" w:cs="Times New Roman"/>
                <w:b/>
                <w:bCs/>
                <w:sz w:val="18"/>
                <w:szCs w:val="18"/>
                <w:lang w:val="en-GB"/>
              </w:rPr>
              <w:t>Phase 2 Study</w:t>
            </w:r>
          </w:p>
        </w:tc>
        <w:tc>
          <w:tcPr>
            <w:tcW w:w="1701" w:type="dxa"/>
            <w:shd w:val="clear" w:color="auto" w:fill="DEEAF6" w:themeFill="accent5" w:themeFillTint="33"/>
          </w:tcPr>
          <w:p w14:paraId="24B4498B" w14:textId="77777777" w:rsidR="00240054" w:rsidRPr="00BE436C" w:rsidRDefault="00240054" w:rsidP="00002888">
            <w:pPr>
              <w:rPr>
                <w:rFonts w:ascii="Times New Roman" w:hAnsi="Times New Roman" w:cs="Times New Roman"/>
                <w:b/>
                <w:bCs/>
                <w:sz w:val="18"/>
                <w:szCs w:val="18"/>
                <w:lang w:val="en-GB"/>
              </w:rPr>
            </w:pPr>
            <w:r w:rsidRPr="00BE436C">
              <w:rPr>
                <w:rFonts w:ascii="Times New Roman" w:hAnsi="Times New Roman" w:cs="Times New Roman"/>
                <w:b/>
                <w:bCs/>
                <w:sz w:val="18"/>
                <w:szCs w:val="18"/>
                <w:lang w:val="en-GB"/>
              </w:rPr>
              <w:t>Novel Agent</w:t>
            </w:r>
          </w:p>
        </w:tc>
        <w:tc>
          <w:tcPr>
            <w:tcW w:w="2268" w:type="dxa"/>
            <w:shd w:val="clear" w:color="auto" w:fill="DEEAF6" w:themeFill="accent5" w:themeFillTint="33"/>
          </w:tcPr>
          <w:p w14:paraId="33761AE9" w14:textId="77777777" w:rsidR="00240054" w:rsidRPr="00BE436C" w:rsidRDefault="00240054" w:rsidP="00002888">
            <w:pPr>
              <w:rPr>
                <w:rFonts w:ascii="Times New Roman" w:hAnsi="Times New Roman" w:cs="Times New Roman"/>
                <w:b/>
                <w:sz w:val="18"/>
                <w:szCs w:val="18"/>
                <w:lang w:val="en-GB"/>
              </w:rPr>
            </w:pPr>
            <w:r w:rsidRPr="00BE436C">
              <w:rPr>
                <w:rFonts w:ascii="Times New Roman" w:hAnsi="Times New Roman" w:cs="Times New Roman"/>
                <w:b/>
                <w:sz w:val="18"/>
                <w:szCs w:val="18"/>
                <w:lang w:val="en-GB"/>
              </w:rPr>
              <w:t>Activity</w:t>
            </w:r>
          </w:p>
        </w:tc>
        <w:tc>
          <w:tcPr>
            <w:tcW w:w="1956" w:type="dxa"/>
            <w:shd w:val="clear" w:color="auto" w:fill="DEEAF6" w:themeFill="accent5" w:themeFillTint="33"/>
          </w:tcPr>
          <w:p w14:paraId="54F33D14" w14:textId="77777777" w:rsidR="00240054" w:rsidRPr="00BE436C" w:rsidRDefault="00240054" w:rsidP="00002888">
            <w:pPr>
              <w:rPr>
                <w:rFonts w:ascii="Times New Roman" w:hAnsi="Times New Roman" w:cs="Times New Roman"/>
                <w:b/>
                <w:sz w:val="18"/>
                <w:szCs w:val="18"/>
                <w:lang w:val="en-GB"/>
              </w:rPr>
            </w:pPr>
            <w:r w:rsidRPr="00BE436C">
              <w:rPr>
                <w:rFonts w:ascii="Times New Roman" w:hAnsi="Times New Roman" w:cs="Times New Roman"/>
                <w:b/>
                <w:sz w:val="18"/>
                <w:szCs w:val="18"/>
                <w:lang w:val="en-GB"/>
              </w:rPr>
              <w:t>No. of Patients</w:t>
            </w:r>
          </w:p>
        </w:tc>
        <w:tc>
          <w:tcPr>
            <w:tcW w:w="1870" w:type="dxa"/>
            <w:shd w:val="clear" w:color="auto" w:fill="DEEAF6" w:themeFill="accent5" w:themeFillTint="33"/>
          </w:tcPr>
          <w:p w14:paraId="127AF957" w14:textId="77777777" w:rsidR="00240054" w:rsidRPr="00BE436C" w:rsidRDefault="00240054" w:rsidP="00002888">
            <w:pPr>
              <w:rPr>
                <w:rFonts w:ascii="Times New Roman" w:hAnsi="Times New Roman" w:cs="Times New Roman"/>
                <w:b/>
                <w:sz w:val="18"/>
                <w:szCs w:val="18"/>
                <w:lang w:val="en-GB"/>
              </w:rPr>
            </w:pPr>
            <w:r w:rsidRPr="00BE436C">
              <w:rPr>
                <w:rFonts w:ascii="Times New Roman" w:hAnsi="Times New Roman" w:cs="Times New Roman"/>
                <w:b/>
                <w:sz w:val="18"/>
                <w:szCs w:val="18"/>
                <w:lang w:val="en-GB"/>
              </w:rPr>
              <w:t>ORR %</w:t>
            </w:r>
          </w:p>
        </w:tc>
      </w:tr>
      <w:tr w:rsidR="00240054" w:rsidRPr="00BE436C" w14:paraId="6603A69E" w14:textId="77777777" w:rsidTr="00002888">
        <w:tc>
          <w:tcPr>
            <w:tcW w:w="1555" w:type="dxa"/>
          </w:tcPr>
          <w:p w14:paraId="5BEDBDDD" w14:textId="77777777" w:rsidR="00240054" w:rsidRPr="00BE436C" w:rsidRDefault="00240054" w:rsidP="00002888">
            <w:pPr>
              <w:rPr>
                <w:rFonts w:ascii="Times New Roman" w:hAnsi="Times New Roman" w:cs="Times New Roman"/>
                <w:sz w:val="18"/>
                <w:szCs w:val="18"/>
                <w:lang w:val="en-GB"/>
              </w:rPr>
            </w:pPr>
            <w:r w:rsidRPr="00BE436C">
              <w:rPr>
                <w:rFonts w:ascii="Times New Roman" w:hAnsi="Times New Roman" w:cs="Times New Roman"/>
                <w:sz w:val="18"/>
                <w:szCs w:val="18"/>
                <w:lang w:val="en-GB"/>
              </w:rPr>
              <w:t>PCYC 1121</w:t>
            </w:r>
          </w:p>
        </w:tc>
        <w:tc>
          <w:tcPr>
            <w:tcW w:w="1701" w:type="dxa"/>
          </w:tcPr>
          <w:p w14:paraId="4A99B667" w14:textId="77777777" w:rsidR="00240054" w:rsidRPr="00BE436C" w:rsidRDefault="00240054" w:rsidP="00002888">
            <w:pPr>
              <w:rPr>
                <w:rFonts w:ascii="Times New Roman" w:hAnsi="Times New Roman" w:cs="Times New Roman"/>
                <w:sz w:val="18"/>
                <w:szCs w:val="18"/>
                <w:lang w:val="en-GB"/>
              </w:rPr>
            </w:pPr>
            <w:r w:rsidRPr="00BE436C">
              <w:rPr>
                <w:rFonts w:ascii="Times New Roman" w:hAnsi="Times New Roman" w:cs="Times New Roman"/>
                <w:sz w:val="18"/>
                <w:szCs w:val="18"/>
                <w:lang w:val="en-GB"/>
              </w:rPr>
              <w:t>Ibrutinib</w:t>
            </w:r>
          </w:p>
        </w:tc>
        <w:tc>
          <w:tcPr>
            <w:tcW w:w="2268" w:type="dxa"/>
          </w:tcPr>
          <w:p w14:paraId="05F77592" w14:textId="77777777" w:rsidR="00240054" w:rsidRPr="00BE436C" w:rsidRDefault="00240054" w:rsidP="00002888">
            <w:pPr>
              <w:rPr>
                <w:rFonts w:ascii="Times New Roman" w:hAnsi="Times New Roman" w:cs="Times New Roman"/>
                <w:sz w:val="18"/>
                <w:szCs w:val="18"/>
                <w:lang w:val="en-GB"/>
              </w:rPr>
            </w:pPr>
            <w:r w:rsidRPr="00BE436C">
              <w:rPr>
                <w:rFonts w:ascii="Times New Roman" w:hAnsi="Times New Roman" w:cs="Times New Roman"/>
                <w:sz w:val="18"/>
                <w:szCs w:val="18"/>
                <w:lang w:val="en-GB"/>
              </w:rPr>
              <w:t>BTKi</w:t>
            </w:r>
          </w:p>
        </w:tc>
        <w:tc>
          <w:tcPr>
            <w:tcW w:w="1956" w:type="dxa"/>
          </w:tcPr>
          <w:p w14:paraId="016627F4" w14:textId="77777777" w:rsidR="00240054" w:rsidRPr="00BE436C" w:rsidRDefault="00240054" w:rsidP="00002888">
            <w:pPr>
              <w:rPr>
                <w:rFonts w:ascii="Times New Roman" w:hAnsi="Times New Roman" w:cs="Times New Roman"/>
                <w:sz w:val="18"/>
                <w:szCs w:val="18"/>
                <w:lang w:val="en-GB"/>
              </w:rPr>
            </w:pPr>
            <w:r w:rsidRPr="00BE436C">
              <w:rPr>
                <w:rFonts w:ascii="Times New Roman" w:hAnsi="Times New Roman" w:cs="Times New Roman"/>
                <w:sz w:val="18"/>
                <w:szCs w:val="18"/>
                <w:lang w:val="en-GB"/>
              </w:rPr>
              <w:t>14</w:t>
            </w:r>
          </w:p>
        </w:tc>
        <w:tc>
          <w:tcPr>
            <w:tcW w:w="1870" w:type="dxa"/>
          </w:tcPr>
          <w:p w14:paraId="47175AD0" w14:textId="77777777" w:rsidR="00240054" w:rsidRPr="00BE436C" w:rsidRDefault="00240054" w:rsidP="00002888">
            <w:pPr>
              <w:rPr>
                <w:rFonts w:ascii="Times New Roman" w:hAnsi="Times New Roman" w:cs="Times New Roman"/>
                <w:sz w:val="18"/>
                <w:szCs w:val="18"/>
                <w:lang w:val="en-GB"/>
              </w:rPr>
            </w:pPr>
            <w:r w:rsidRPr="00BE436C">
              <w:rPr>
                <w:rFonts w:ascii="Times New Roman" w:hAnsi="Times New Roman" w:cs="Times New Roman"/>
                <w:sz w:val="18"/>
                <w:szCs w:val="18"/>
                <w:lang w:val="en-GB"/>
              </w:rPr>
              <w:t>62</w:t>
            </w:r>
          </w:p>
        </w:tc>
      </w:tr>
      <w:tr w:rsidR="00240054" w:rsidRPr="00BE436C" w14:paraId="16AC7B65" w14:textId="77777777" w:rsidTr="008F7DD3">
        <w:tc>
          <w:tcPr>
            <w:tcW w:w="1555" w:type="dxa"/>
            <w:shd w:val="clear" w:color="auto" w:fill="F2F2F2" w:themeFill="background1" w:themeFillShade="F2"/>
          </w:tcPr>
          <w:p w14:paraId="351BE486" w14:textId="77777777" w:rsidR="00240054" w:rsidRPr="00BE436C" w:rsidRDefault="00240054" w:rsidP="00002888">
            <w:pPr>
              <w:rPr>
                <w:rFonts w:ascii="Times New Roman" w:hAnsi="Times New Roman" w:cs="Times New Roman"/>
                <w:sz w:val="18"/>
                <w:szCs w:val="18"/>
                <w:lang w:val="en-GB"/>
              </w:rPr>
            </w:pPr>
            <w:r w:rsidRPr="00BE436C">
              <w:rPr>
                <w:rFonts w:ascii="Times New Roman" w:hAnsi="Times New Roman" w:cs="Times New Roman"/>
                <w:sz w:val="18"/>
                <w:szCs w:val="18"/>
                <w:lang w:val="en-GB"/>
              </w:rPr>
              <w:t>MAGNOLIA</w:t>
            </w:r>
          </w:p>
        </w:tc>
        <w:tc>
          <w:tcPr>
            <w:tcW w:w="1701" w:type="dxa"/>
            <w:shd w:val="clear" w:color="auto" w:fill="F2F2F2" w:themeFill="background1" w:themeFillShade="F2"/>
          </w:tcPr>
          <w:p w14:paraId="0A1ABC74" w14:textId="77777777" w:rsidR="00240054" w:rsidRPr="00BE436C" w:rsidRDefault="00240054" w:rsidP="00002888">
            <w:pPr>
              <w:rPr>
                <w:rFonts w:ascii="Times New Roman" w:hAnsi="Times New Roman" w:cs="Times New Roman"/>
                <w:sz w:val="18"/>
                <w:szCs w:val="18"/>
                <w:lang w:val="en-GB"/>
              </w:rPr>
            </w:pPr>
            <w:proofErr w:type="spellStart"/>
            <w:r w:rsidRPr="00BE436C">
              <w:rPr>
                <w:rFonts w:ascii="Times New Roman" w:hAnsi="Times New Roman" w:cs="Times New Roman"/>
                <w:sz w:val="18"/>
                <w:szCs w:val="18"/>
                <w:lang w:val="en-GB"/>
              </w:rPr>
              <w:t>Zanabrutinib</w:t>
            </w:r>
            <w:proofErr w:type="spellEnd"/>
          </w:p>
        </w:tc>
        <w:tc>
          <w:tcPr>
            <w:tcW w:w="2268" w:type="dxa"/>
            <w:shd w:val="clear" w:color="auto" w:fill="F2F2F2" w:themeFill="background1" w:themeFillShade="F2"/>
          </w:tcPr>
          <w:p w14:paraId="3EBC6477" w14:textId="77777777" w:rsidR="00240054" w:rsidRPr="00BE436C" w:rsidRDefault="00240054" w:rsidP="00002888">
            <w:pPr>
              <w:rPr>
                <w:rFonts w:ascii="Times New Roman" w:hAnsi="Times New Roman" w:cs="Times New Roman"/>
                <w:sz w:val="18"/>
                <w:szCs w:val="18"/>
                <w:lang w:val="en-GB"/>
              </w:rPr>
            </w:pPr>
            <w:r w:rsidRPr="00BE436C">
              <w:rPr>
                <w:rFonts w:ascii="Times New Roman" w:hAnsi="Times New Roman" w:cs="Times New Roman"/>
                <w:sz w:val="18"/>
                <w:szCs w:val="18"/>
                <w:lang w:val="en-GB"/>
              </w:rPr>
              <w:t>BTKi</w:t>
            </w:r>
          </w:p>
        </w:tc>
        <w:tc>
          <w:tcPr>
            <w:tcW w:w="1956" w:type="dxa"/>
            <w:shd w:val="clear" w:color="auto" w:fill="F2F2F2" w:themeFill="background1" w:themeFillShade="F2"/>
          </w:tcPr>
          <w:p w14:paraId="5C66F728" w14:textId="77777777" w:rsidR="00240054" w:rsidRPr="00BE436C" w:rsidRDefault="00240054" w:rsidP="00002888">
            <w:pPr>
              <w:rPr>
                <w:rFonts w:ascii="Times New Roman" w:hAnsi="Times New Roman" w:cs="Times New Roman"/>
                <w:sz w:val="18"/>
                <w:szCs w:val="18"/>
                <w:lang w:val="en-GB"/>
              </w:rPr>
            </w:pPr>
            <w:r w:rsidRPr="00BE436C">
              <w:rPr>
                <w:rFonts w:ascii="Times New Roman" w:hAnsi="Times New Roman" w:cs="Times New Roman"/>
                <w:sz w:val="18"/>
                <w:szCs w:val="18"/>
                <w:lang w:val="en-GB"/>
              </w:rPr>
              <w:t>12</w:t>
            </w:r>
          </w:p>
        </w:tc>
        <w:tc>
          <w:tcPr>
            <w:tcW w:w="1870" w:type="dxa"/>
            <w:shd w:val="clear" w:color="auto" w:fill="F2F2F2" w:themeFill="background1" w:themeFillShade="F2"/>
          </w:tcPr>
          <w:p w14:paraId="75248FC5" w14:textId="77777777" w:rsidR="00240054" w:rsidRPr="00BE436C" w:rsidRDefault="00240054" w:rsidP="00002888">
            <w:pPr>
              <w:rPr>
                <w:rFonts w:ascii="Times New Roman" w:hAnsi="Times New Roman" w:cs="Times New Roman"/>
                <w:sz w:val="18"/>
                <w:szCs w:val="18"/>
                <w:lang w:val="en-GB"/>
              </w:rPr>
            </w:pPr>
            <w:r w:rsidRPr="00BE436C">
              <w:rPr>
                <w:rFonts w:ascii="Times New Roman" w:hAnsi="Times New Roman" w:cs="Times New Roman"/>
                <w:sz w:val="18"/>
                <w:szCs w:val="18"/>
                <w:lang w:val="en-GB"/>
              </w:rPr>
              <w:t>50</w:t>
            </w:r>
          </w:p>
        </w:tc>
      </w:tr>
      <w:tr w:rsidR="00240054" w:rsidRPr="00BE436C" w14:paraId="2C6A7793" w14:textId="77777777" w:rsidTr="00002888">
        <w:tc>
          <w:tcPr>
            <w:tcW w:w="1555" w:type="dxa"/>
          </w:tcPr>
          <w:p w14:paraId="72068ADC" w14:textId="77777777" w:rsidR="00240054" w:rsidRPr="00BE436C" w:rsidRDefault="00240054" w:rsidP="00002888">
            <w:pPr>
              <w:rPr>
                <w:rFonts w:ascii="Times New Roman" w:hAnsi="Times New Roman" w:cs="Times New Roman"/>
                <w:sz w:val="18"/>
                <w:szCs w:val="18"/>
                <w:lang w:val="en-GB"/>
              </w:rPr>
            </w:pPr>
            <w:r w:rsidRPr="00BE436C">
              <w:rPr>
                <w:rFonts w:ascii="Times New Roman" w:hAnsi="Times New Roman" w:cs="Times New Roman"/>
                <w:sz w:val="18"/>
                <w:szCs w:val="18"/>
                <w:lang w:val="en-GB"/>
              </w:rPr>
              <w:t>CHRONOS-1</w:t>
            </w:r>
          </w:p>
        </w:tc>
        <w:tc>
          <w:tcPr>
            <w:tcW w:w="1701" w:type="dxa"/>
          </w:tcPr>
          <w:p w14:paraId="000A0A78" w14:textId="77777777" w:rsidR="00240054" w:rsidRPr="00BE436C" w:rsidRDefault="00240054" w:rsidP="00002888">
            <w:pPr>
              <w:rPr>
                <w:rFonts w:ascii="Times New Roman" w:hAnsi="Times New Roman" w:cs="Times New Roman"/>
                <w:sz w:val="18"/>
                <w:szCs w:val="18"/>
                <w:lang w:val="en-GB"/>
              </w:rPr>
            </w:pPr>
            <w:proofErr w:type="spellStart"/>
            <w:r w:rsidRPr="00BE436C">
              <w:rPr>
                <w:rFonts w:ascii="Times New Roman" w:hAnsi="Times New Roman" w:cs="Times New Roman"/>
                <w:sz w:val="18"/>
                <w:szCs w:val="18"/>
                <w:lang w:val="en-GB"/>
              </w:rPr>
              <w:t>Copanlisib</w:t>
            </w:r>
            <w:proofErr w:type="spellEnd"/>
          </w:p>
        </w:tc>
        <w:tc>
          <w:tcPr>
            <w:tcW w:w="2268" w:type="dxa"/>
          </w:tcPr>
          <w:p w14:paraId="1C404A7A" w14:textId="77777777" w:rsidR="00240054" w:rsidRPr="00BE436C" w:rsidRDefault="00240054" w:rsidP="00002888">
            <w:pPr>
              <w:rPr>
                <w:rFonts w:ascii="Times New Roman" w:hAnsi="Times New Roman" w:cs="Times New Roman"/>
                <w:sz w:val="18"/>
                <w:szCs w:val="18"/>
                <w:lang w:val="en-GB"/>
              </w:rPr>
            </w:pPr>
            <w:r w:rsidRPr="00BE436C">
              <w:rPr>
                <w:rFonts w:ascii="Times New Roman" w:hAnsi="Times New Roman" w:cs="Times New Roman"/>
                <w:sz w:val="18"/>
                <w:szCs w:val="18"/>
                <w:lang w:val="en-GB"/>
              </w:rPr>
              <w:t>Pan Class 1 PI3Ki</w:t>
            </w:r>
          </w:p>
        </w:tc>
        <w:tc>
          <w:tcPr>
            <w:tcW w:w="1956" w:type="dxa"/>
          </w:tcPr>
          <w:p w14:paraId="6975FC97" w14:textId="77777777" w:rsidR="00240054" w:rsidRPr="00BE436C" w:rsidRDefault="00240054" w:rsidP="00002888">
            <w:pPr>
              <w:rPr>
                <w:rFonts w:ascii="Times New Roman" w:hAnsi="Times New Roman" w:cs="Times New Roman"/>
                <w:sz w:val="18"/>
                <w:szCs w:val="18"/>
                <w:lang w:val="en-GB"/>
              </w:rPr>
            </w:pPr>
            <w:r w:rsidRPr="00BE436C">
              <w:rPr>
                <w:rFonts w:ascii="Times New Roman" w:hAnsi="Times New Roman" w:cs="Times New Roman"/>
                <w:sz w:val="18"/>
                <w:szCs w:val="18"/>
                <w:lang w:val="en-GB"/>
              </w:rPr>
              <w:t>4</w:t>
            </w:r>
          </w:p>
        </w:tc>
        <w:tc>
          <w:tcPr>
            <w:tcW w:w="1870" w:type="dxa"/>
          </w:tcPr>
          <w:p w14:paraId="6E682543" w14:textId="77777777" w:rsidR="00240054" w:rsidRPr="00BE436C" w:rsidRDefault="00240054" w:rsidP="00002888">
            <w:pPr>
              <w:rPr>
                <w:rFonts w:ascii="Times New Roman" w:hAnsi="Times New Roman" w:cs="Times New Roman"/>
                <w:sz w:val="18"/>
                <w:szCs w:val="18"/>
                <w:lang w:val="en-GB"/>
              </w:rPr>
            </w:pPr>
            <w:r w:rsidRPr="00BE436C">
              <w:rPr>
                <w:rFonts w:ascii="Times New Roman" w:hAnsi="Times New Roman" w:cs="Times New Roman"/>
                <w:sz w:val="18"/>
                <w:szCs w:val="18"/>
                <w:lang w:val="en-GB"/>
              </w:rPr>
              <w:t>75*</w:t>
            </w:r>
          </w:p>
        </w:tc>
      </w:tr>
      <w:tr w:rsidR="00240054" w:rsidRPr="00BE436C" w14:paraId="0F51C673" w14:textId="77777777" w:rsidTr="008F7DD3">
        <w:tc>
          <w:tcPr>
            <w:tcW w:w="1555" w:type="dxa"/>
            <w:shd w:val="clear" w:color="auto" w:fill="F2F2F2" w:themeFill="background1" w:themeFillShade="F2"/>
          </w:tcPr>
          <w:p w14:paraId="0B79FC2D" w14:textId="77777777" w:rsidR="00240054" w:rsidRPr="00BE436C" w:rsidRDefault="00240054" w:rsidP="00002888">
            <w:pPr>
              <w:rPr>
                <w:rFonts w:ascii="Times New Roman" w:hAnsi="Times New Roman" w:cs="Times New Roman"/>
                <w:sz w:val="18"/>
                <w:szCs w:val="18"/>
                <w:lang w:val="en-GB"/>
              </w:rPr>
            </w:pPr>
            <w:r w:rsidRPr="00BE436C">
              <w:rPr>
                <w:rFonts w:ascii="Times New Roman" w:hAnsi="Times New Roman" w:cs="Times New Roman"/>
                <w:sz w:val="18"/>
                <w:szCs w:val="18"/>
                <w:lang w:val="en-GB"/>
              </w:rPr>
              <w:t>CITADEL</w:t>
            </w:r>
          </w:p>
        </w:tc>
        <w:tc>
          <w:tcPr>
            <w:tcW w:w="1701" w:type="dxa"/>
            <w:shd w:val="clear" w:color="auto" w:fill="F2F2F2" w:themeFill="background1" w:themeFillShade="F2"/>
          </w:tcPr>
          <w:p w14:paraId="61CBFF8C" w14:textId="77777777" w:rsidR="00240054" w:rsidRPr="00BE436C" w:rsidRDefault="00240054" w:rsidP="00002888">
            <w:pPr>
              <w:rPr>
                <w:rFonts w:ascii="Times New Roman" w:hAnsi="Times New Roman" w:cs="Times New Roman"/>
                <w:sz w:val="18"/>
                <w:szCs w:val="18"/>
                <w:lang w:val="en-GB"/>
              </w:rPr>
            </w:pPr>
            <w:proofErr w:type="spellStart"/>
            <w:r w:rsidRPr="00BE436C">
              <w:rPr>
                <w:rFonts w:ascii="Times New Roman" w:hAnsi="Times New Roman" w:cs="Times New Roman"/>
                <w:sz w:val="18"/>
                <w:szCs w:val="18"/>
                <w:lang w:val="en-GB"/>
              </w:rPr>
              <w:t>Parsaclisib</w:t>
            </w:r>
            <w:proofErr w:type="spellEnd"/>
          </w:p>
        </w:tc>
        <w:tc>
          <w:tcPr>
            <w:tcW w:w="2268" w:type="dxa"/>
            <w:shd w:val="clear" w:color="auto" w:fill="F2F2F2" w:themeFill="background1" w:themeFillShade="F2"/>
          </w:tcPr>
          <w:p w14:paraId="6A177659" w14:textId="77777777" w:rsidR="00240054" w:rsidRPr="00BE436C" w:rsidRDefault="00240054" w:rsidP="00002888">
            <w:pPr>
              <w:rPr>
                <w:rFonts w:ascii="Times New Roman" w:hAnsi="Times New Roman" w:cs="Times New Roman"/>
                <w:sz w:val="18"/>
                <w:szCs w:val="18"/>
                <w:lang w:val="en-GB"/>
              </w:rPr>
            </w:pPr>
            <w:r w:rsidRPr="00BE436C">
              <w:rPr>
                <w:rFonts w:ascii="Times New Roman" w:hAnsi="Times New Roman" w:cs="Times New Roman"/>
                <w:sz w:val="18"/>
                <w:szCs w:val="18"/>
                <w:lang w:val="en-GB"/>
              </w:rPr>
              <w:t>PI3K delta i</w:t>
            </w:r>
          </w:p>
        </w:tc>
        <w:tc>
          <w:tcPr>
            <w:tcW w:w="1956" w:type="dxa"/>
            <w:shd w:val="clear" w:color="auto" w:fill="F2F2F2" w:themeFill="background1" w:themeFillShade="F2"/>
          </w:tcPr>
          <w:p w14:paraId="21242207" w14:textId="77777777" w:rsidR="00240054" w:rsidRPr="00BE436C" w:rsidRDefault="00240054" w:rsidP="00002888">
            <w:pPr>
              <w:rPr>
                <w:rFonts w:ascii="Times New Roman" w:hAnsi="Times New Roman" w:cs="Times New Roman"/>
                <w:sz w:val="18"/>
                <w:szCs w:val="18"/>
                <w:lang w:val="en-GB"/>
              </w:rPr>
            </w:pPr>
            <w:r w:rsidRPr="00BE436C">
              <w:rPr>
                <w:rFonts w:ascii="Times New Roman" w:hAnsi="Times New Roman" w:cs="Times New Roman"/>
                <w:sz w:val="18"/>
                <w:szCs w:val="18"/>
                <w:lang w:val="en-GB"/>
              </w:rPr>
              <w:t>35</w:t>
            </w:r>
          </w:p>
        </w:tc>
        <w:tc>
          <w:tcPr>
            <w:tcW w:w="1870" w:type="dxa"/>
            <w:shd w:val="clear" w:color="auto" w:fill="F2F2F2" w:themeFill="background1" w:themeFillShade="F2"/>
          </w:tcPr>
          <w:p w14:paraId="023A3D64" w14:textId="77777777" w:rsidR="00240054" w:rsidRPr="00BE436C" w:rsidRDefault="00240054" w:rsidP="00002888">
            <w:pPr>
              <w:rPr>
                <w:rFonts w:ascii="Times New Roman" w:hAnsi="Times New Roman" w:cs="Times New Roman"/>
                <w:sz w:val="18"/>
                <w:szCs w:val="18"/>
                <w:lang w:val="en-GB"/>
              </w:rPr>
            </w:pPr>
            <w:r w:rsidRPr="00BE436C">
              <w:rPr>
                <w:rFonts w:ascii="Times New Roman" w:hAnsi="Times New Roman" w:cs="Times New Roman"/>
                <w:sz w:val="18"/>
                <w:szCs w:val="18"/>
                <w:lang w:val="en-GB"/>
              </w:rPr>
              <w:t>63</w:t>
            </w:r>
          </w:p>
        </w:tc>
      </w:tr>
      <w:tr w:rsidR="00240054" w:rsidRPr="00BE436C" w14:paraId="1E04F4CE" w14:textId="77777777" w:rsidTr="00002888">
        <w:tc>
          <w:tcPr>
            <w:tcW w:w="1555" w:type="dxa"/>
          </w:tcPr>
          <w:p w14:paraId="4F36E832" w14:textId="77777777" w:rsidR="00240054" w:rsidRPr="00BE436C" w:rsidRDefault="00240054" w:rsidP="00002888">
            <w:pPr>
              <w:rPr>
                <w:rFonts w:ascii="Times New Roman" w:hAnsi="Times New Roman" w:cs="Times New Roman"/>
                <w:sz w:val="18"/>
                <w:szCs w:val="18"/>
                <w:lang w:val="en-GB"/>
              </w:rPr>
            </w:pPr>
            <w:r w:rsidRPr="00BE436C">
              <w:rPr>
                <w:rFonts w:ascii="Times New Roman" w:hAnsi="Times New Roman" w:cs="Times New Roman"/>
                <w:sz w:val="18"/>
                <w:szCs w:val="18"/>
                <w:lang w:val="en-GB"/>
              </w:rPr>
              <w:t>UTX-TGR</w:t>
            </w:r>
          </w:p>
        </w:tc>
        <w:tc>
          <w:tcPr>
            <w:tcW w:w="1701" w:type="dxa"/>
          </w:tcPr>
          <w:p w14:paraId="08769C69" w14:textId="77777777" w:rsidR="00240054" w:rsidRPr="00BE436C" w:rsidRDefault="00240054" w:rsidP="00002888">
            <w:pPr>
              <w:rPr>
                <w:rFonts w:ascii="Times New Roman" w:hAnsi="Times New Roman" w:cs="Times New Roman"/>
                <w:sz w:val="18"/>
                <w:szCs w:val="18"/>
                <w:lang w:val="en-GB"/>
              </w:rPr>
            </w:pPr>
            <w:proofErr w:type="spellStart"/>
            <w:r w:rsidRPr="00BE436C">
              <w:rPr>
                <w:rFonts w:ascii="Times New Roman" w:hAnsi="Times New Roman" w:cs="Times New Roman"/>
                <w:sz w:val="18"/>
                <w:szCs w:val="18"/>
                <w:lang w:val="en-GB"/>
              </w:rPr>
              <w:t>Umbralisib</w:t>
            </w:r>
            <w:proofErr w:type="spellEnd"/>
          </w:p>
        </w:tc>
        <w:tc>
          <w:tcPr>
            <w:tcW w:w="2268" w:type="dxa"/>
          </w:tcPr>
          <w:p w14:paraId="495B1E3E" w14:textId="77777777" w:rsidR="00240054" w:rsidRPr="00BE436C" w:rsidRDefault="00240054" w:rsidP="00002888">
            <w:pPr>
              <w:rPr>
                <w:rFonts w:ascii="Times New Roman" w:hAnsi="Times New Roman" w:cs="Times New Roman"/>
                <w:sz w:val="18"/>
                <w:szCs w:val="18"/>
                <w:lang w:val="en-GB"/>
              </w:rPr>
            </w:pPr>
            <w:r w:rsidRPr="00BE436C">
              <w:rPr>
                <w:rFonts w:ascii="Times New Roman" w:hAnsi="Times New Roman" w:cs="Times New Roman"/>
                <w:sz w:val="18"/>
                <w:szCs w:val="18"/>
                <w:lang w:val="en-GB"/>
              </w:rPr>
              <w:t>PIK3 delta + CK1 i</w:t>
            </w:r>
          </w:p>
        </w:tc>
        <w:tc>
          <w:tcPr>
            <w:tcW w:w="1956" w:type="dxa"/>
          </w:tcPr>
          <w:p w14:paraId="47A40FE8" w14:textId="77777777" w:rsidR="00240054" w:rsidRPr="00BE436C" w:rsidRDefault="00240054" w:rsidP="00002888">
            <w:pPr>
              <w:rPr>
                <w:rFonts w:ascii="Times New Roman" w:hAnsi="Times New Roman" w:cs="Times New Roman"/>
                <w:sz w:val="18"/>
                <w:szCs w:val="18"/>
                <w:lang w:val="en-GB"/>
              </w:rPr>
            </w:pPr>
            <w:r w:rsidRPr="00BE436C">
              <w:rPr>
                <w:rFonts w:ascii="Times New Roman" w:hAnsi="Times New Roman" w:cs="Times New Roman"/>
                <w:sz w:val="18"/>
                <w:szCs w:val="18"/>
                <w:lang w:val="en-GB"/>
              </w:rPr>
              <w:t>69 MZL (8 SMZL)</w:t>
            </w:r>
          </w:p>
        </w:tc>
        <w:tc>
          <w:tcPr>
            <w:tcW w:w="1870" w:type="dxa"/>
          </w:tcPr>
          <w:p w14:paraId="7C0319E2" w14:textId="77777777" w:rsidR="00240054" w:rsidRPr="00BE436C" w:rsidRDefault="00240054" w:rsidP="00002888">
            <w:pPr>
              <w:rPr>
                <w:rFonts w:ascii="Times New Roman" w:hAnsi="Times New Roman" w:cs="Times New Roman"/>
                <w:sz w:val="18"/>
                <w:szCs w:val="18"/>
                <w:lang w:val="en-GB"/>
              </w:rPr>
            </w:pPr>
            <w:r w:rsidRPr="00BE436C">
              <w:rPr>
                <w:rFonts w:ascii="Times New Roman" w:hAnsi="Times New Roman" w:cs="Times New Roman"/>
                <w:sz w:val="18"/>
                <w:szCs w:val="18"/>
                <w:lang w:val="en-GB"/>
              </w:rPr>
              <w:t>55 (whole cohort)</w:t>
            </w:r>
          </w:p>
        </w:tc>
      </w:tr>
    </w:tbl>
    <w:p w14:paraId="1446BCF3" w14:textId="77777777" w:rsidR="00EA6496" w:rsidRDefault="00EA6496" w:rsidP="00002888">
      <w:pPr>
        <w:pStyle w:val="Heading1"/>
        <w:spacing w:before="0" w:line="360" w:lineRule="auto"/>
        <w:jc w:val="left"/>
        <w:rPr>
          <w:rFonts w:ascii="Times New Roman" w:hAnsi="Times New Roman" w:cs="Times New Roman"/>
          <w:b/>
          <w:bCs/>
          <w:sz w:val="24"/>
          <w:szCs w:val="24"/>
          <w:lang w:val="en-GB"/>
        </w:rPr>
      </w:pPr>
    </w:p>
    <w:p w14:paraId="66EC1670" w14:textId="3FB16A45" w:rsidR="006446CB" w:rsidRPr="00002888" w:rsidRDefault="008425E7" w:rsidP="00002888">
      <w:pPr>
        <w:pStyle w:val="Heading1"/>
        <w:spacing w:before="0" w:line="360" w:lineRule="auto"/>
        <w:jc w:val="left"/>
        <w:rPr>
          <w:rFonts w:ascii="Times New Roman" w:hAnsi="Times New Roman" w:cs="Times New Roman"/>
          <w:b/>
          <w:bCs/>
          <w:sz w:val="24"/>
          <w:szCs w:val="24"/>
          <w:lang w:val="en-GB"/>
        </w:rPr>
      </w:pPr>
      <w:r w:rsidRPr="00002888">
        <w:rPr>
          <w:rFonts w:ascii="Times New Roman" w:hAnsi="Times New Roman" w:cs="Times New Roman"/>
          <w:b/>
          <w:bCs/>
          <w:sz w:val="24"/>
          <w:szCs w:val="24"/>
          <w:lang w:val="en-GB"/>
        </w:rPr>
        <w:t>FUTURE PERSPECTIVES</w:t>
      </w:r>
    </w:p>
    <w:p w14:paraId="526700D1" w14:textId="781B1F33" w:rsidR="00CD7031" w:rsidRPr="00002888" w:rsidRDefault="00CD7031" w:rsidP="00002888">
      <w:pPr>
        <w:spacing w:before="0" w:after="0" w:line="360" w:lineRule="auto"/>
        <w:jc w:val="left"/>
        <w:rPr>
          <w:rFonts w:ascii="Times New Roman" w:hAnsi="Times New Roman" w:cs="Times New Roman"/>
          <w:sz w:val="24"/>
          <w:szCs w:val="24"/>
          <w:lang w:val="en-GB"/>
        </w:rPr>
      </w:pPr>
      <w:r w:rsidRPr="00002888">
        <w:rPr>
          <w:rFonts w:ascii="Times New Roman" w:hAnsi="Times New Roman" w:cs="Times New Roman"/>
          <w:sz w:val="24"/>
          <w:szCs w:val="24"/>
          <w:lang w:val="en-GB"/>
        </w:rPr>
        <w:t xml:space="preserve">Our understanding of the molecular basis of </w:t>
      </w:r>
      <w:r w:rsidR="00B909DD" w:rsidRPr="00002888">
        <w:rPr>
          <w:rFonts w:ascii="Times New Roman" w:hAnsi="Times New Roman" w:cs="Times New Roman"/>
          <w:sz w:val="24"/>
          <w:szCs w:val="24"/>
          <w:lang w:val="en-GB"/>
        </w:rPr>
        <w:t>many mature B-cell tumour</w:t>
      </w:r>
      <w:r w:rsidRPr="00002888">
        <w:rPr>
          <w:rFonts w:ascii="Times New Roman" w:hAnsi="Times New Roman" w:cs="Times New Roman"/>
          <w:sz w:val="24"/>
          <w:szCs w:val="24"/>
          <w:lang w:val="en-GB"/>
        </w:rPr>
        <w:t xml:space="preserve"> types has </w:t>
      </w:r>
      <w:r w:rsidR="28E9B994" w:rsidRPr="00002888">
        <w:rPr>
          <w:rFonts w:ascii="Times New Roman" w:hAnsi="Times New Roman" w:cs="Times New Roman"/>
          <w:sz w:val="24"/>
          <w:szCs w:val="24"/>
          <w:lang w:val="en-GB"/>
        </w:rPr>
        <w:t>deepened</w:t>
      </w:r>
      <w:r w:rsidRPr="00002888">
        <w:rPr>
          <w:rFonts w:ascii="Times New Roman" w:hAnsi="Times New Roman" w:cs="Times New Roman"/>
          <w:sz w:val="24"/>
          <w:szCs w:val="24"/>
          <w:lang w:val="en-GB"/>
        </w:rPr>
        <w:t xml:space="preserve"> over recent decades, principally through the systematic application of novel technologies with ever increasing resolution and throughput. </w:t>
      </w:r>
      <w:r w:rsidR="00B909DD" w:rsidRPr="00002888">
        <w:rPr>
          <w:rFonts w:ascii="Times New Roman" w:hAnsi="Times New Roman" w:cs="Times New Roman"/>
          <w:sz w:val="24"/>
          <w:szCs w:val="24"/>
          <w:lang w:val="en-GB"/>
        </w:rPr>
        <w:t>This</w:t>
      </w:r>
      <w:r w:rsidR="006D5FC2" w:rsidRPr="00002888">
        <w:rPr>
          <w:rFonts w:ascii="Times New Roman" w:hAnsi="Times New Roman" w:cs="Times New Roman"/>
          <w:sz w:val="24"/>
          <w:szCs w:val="24"/>
          <w:lang w:val="en-GB"/>
        </w:rPr>
        <w:t xml:space="preserve"> information has revolutionized our understanding </w:t>
      </w:r>
      <w:r w:rsidR="00B909DD" w:rsidRPr="00002888">
        <w:rPr>
          <w:rFonts w:ascii="Times New Roman" w:hAnsi="Times New Roman" w:cs="Times New Roman"/>
          <w:sz w:val="24"/>
          <w:szCs w:val="24"/>
          <w:lang w:val="en-GB"/>
        </w:rPr>
        <w:t xml:space="preserve">of </w:t>
      </w:r>
      <w:r w:rsidR="00F3183F" w:rsidRPr="00002888">
        <w:rPr>
          <w:rFonts w:ascii="Times New Roman" w:hAnsi="Times New Roman" w:cs="Times New Roman"/>
          <w:sz w:val="24"/>
          <w:szCs w:val="24"/>
          <w:lang w:val="en-GB"/>
        </w:rPr>
        <w:t>the most prevalent mature B-cell lymphomas</w:t>
      </w:r>
      <w:r w:rsidR="00B909DD" w:rsidRPr="00002888">
        <w:rPr>
          <w:rFonts w:ascii="Times New Roman" w:hAnsi="Times New Roman" w:cs="Times New Roman"/>
          <w:sz w:val="24"/>
          <w:szCs w:val="24"/>
          <w:lang w:val="en-GB"/>
        </w:rPr>
        <w:t xml:space="preserve">, yielding novel biological pathways and mechanisms, the ultimate result being improvements in patient stratification, </w:t>
      </w:r>
      <w:r w:rsidR="00FC4190" w:rsidRPr="00002888">
        <w:rPr>
          <w:rFonts w:ascii="Times New Roman" w:hAnsi="Times New Roman" w:cs="Times New Roman"/>
          <w:sz w:val="24"/>
          <w:szCs w:val="24"/>
          <w:lang w:val="en-GB"/>
        </w:rPr>
        <w:t>management,</w:t>
      </w:r>
      <w:r w:rsidR="00B909DD" w:rsidRPr="00002888">
        <w:rPr>
          <w:rFonts w:ascii="Times New Roman" w:hAnsi="Times New Roman" w:cs="Times New Roman"/>
          <w:sz w:val="24"/>
          <w:szCs w:val="24"/>
          <w:lang w:val="en-GB"/>
        </w:rPr>
        <w:t xml:space="preserve"> and outcomes. </w:t>
      </w:r>
      <w:r w:rsidR="00F3183F" w:rsidRPr="00002888">
        <w:rPr>
          <w:rFonts w:ascii="Times New Roman" w:hAnsi="Times New Roman" w:cs="Times New Roman"/>
          <w:sz w:val="24"/>
          <w:szCs w:val="24"/>
          <w:lang w:val="en-GB"/>
        </w:rPr>
        <w:t xml:space="preserve">In CLL and DLBCL, these studies have included several thousand patients, studies with WGS/WES, complemented with expansive transcriptomic and epigenomic datasets, and distilled with sophisticated computational approaches. </w:t>
      </w:r>
      <w:r w:rsidR="004B158B" w:rsidRPr="00002888">
        <w:rPr>
          <w:rFonts w:ascii="Times New Roman" w:hAnsi="Times New Roman" w:cs="Times New Roman"/>
          <w:sz w:val="24"/>
          <w:szCs w:val="24"/>
          <w:lang w:val="en-GB"/>
        </w:rPr>
        <w:t xml:space="preserve">Our understanding of SMZL lags far behind and will require significant investment to </w:t>
      </w:r>
      <w:r w:rsidR="3E978EA5" w:rsidRPr="00002888">
        <w:rPr>
          <w:rFonts w:ascii="Times New Roman" w:hAnsi="Times New Roman" w:cs="Times New Roman"/>
          <w:sz w:val="24"/>
          <w:szCs w:val="24"/>
          <w:lang w:val="en-GB"/>
        </w:rPr>
        <w:t>realise</w:t>
      </w:r>
      <w:r w:rsidR="004B158B" w:rsidRPr="00002888">
        <w:rPr>
          <w:rFonts w:ascii="Times New Roman" w:hAnsi="Times New Roman" w:cs="Times New Roman"/>
          <w:sz w:val="24"/>
          <w:szCs w:val="24"/>
          <w:lang w:val="en-GB"/>
        </w:rPr>
        <w:t xml:space="preserve"> the translational potential of a granular understanding of the SMZL genome and its regulation.</w:t>
      </w:r>
      <w:r w:rsidR="00EC095A" w:rsidRPr="00002888">
        <w:rPr>
          <w:rFonts w:ascii="Times New Roman" w:hAnsi="Times New Roman" w:cs="Times New Roman"/>
          <w:sz w:val="24"/>
          <w:szCs w:val="24"/>
          <w:lang w:val="en-GB"/>
        </w:rPr>
        <w:t xml:space="preserve"> The next section will outline key areas for future research focus</w:t>
      </w:r>
      <w:r w:rsidR="00FB6F78" w:rsidRPr="00002888">
        <w:rPr>
          <w:rFonts w:ascii="Times New Roman" w:hAnsi="Times New Roman" w:cs="Times New Roman"/>
          <w:sz w:val="24"/>
          <w:szCs w:val="24"/>
          <w:lang w:val="en-GB"/>
        </w:rPr>
        <w:t xml:space="preserve"> (summarised in </w:t>
      </w:r>
      <w:r w:rsidR="00FB6F78" w:rsidRPr="00002888">
        <w:rPr>
          <w:rFonts w:ascii="Times New Roman" w:hAnsi="Times New Roman" w:cs="Times New Roman"/>
          <w:b/>
          <w:bCs/>
          <w:sz w:val="24"/>
          <w:szCs w:val="24"/>
          <w:lang w:val="en-GB"/>
        </w:rPr>
        <w:t>Figure 5</w:t>
      </w:r>
      <w:r w:rsidR="00FB6F78" w:rsidRPr="00002888">
        <w:rPr>
          <w:rFonts w:ascii="Times New Roman" w:hAnsi="Times New Roman" w:cs="Times New Roman"/>
          <w:sz w:val="24"/>
          <w:szCs w:val="24"/>
          <w:lang w:val="en-GB"/>
        </w:rPr>
        <w:t>)</w:t>
      </w:r>
      <w:r w:rsidR="00EC095A" w:rsidRPr="00002888">
        <w:rPr>
          <w:rFonts w:ascii="Times New Roman" w:hAnsi="Times New Roman" w:cs="Times New Roman"/>
          <w:sz w:val="24"/>
          <w:szCs w:val="24"/>
          <w:lang w:val="en-GB"/>
        </w:rPr>
        <w:t>, culminating with an overview of two ongoing projects that hope to answer many of these questions.</w:t>
      </w:r>
    </w:p>
    <w:p w14:paraId="4388E5A2" w14:textId="31D12F4F" w:rsidR="00A65B29" w:rsidRDefault="000B2F8B" w:rsidP="00CD7031">
      <w:pPr>
        <w:rPr>
          <w:rFonts w:ascii="Times New Roman" w:hAnsi="Times New Roman" w:cs="Times New Roman"/>
          <w:sz w:val="20"/>
          <w:szCs w:val="20"/>
          <w:lang w:val="en-GB"/>
        </w:rPr>
      </w:pPr>
      <w:r>
        <w:rPr>
          <w:rFonts w:ascii="Times New Roman" w:hAnsi="Times New Roman" w:cs="Times New Roman"/>
          <w:noProof/>
          <w:sz w:val="20"/>
          <w:szCs w:val="20"/>
          <w:lang w:eastAsia="zh-CN"/>
        </w:rPr>
        <w:lastRenderedPageBreak/>
        <w:drawing>
          <wp:inline distT="0" distB="0" distL="0" distR="0" wp14:anchorId="0A06DD8F" wp14:editId="2F51B936">
            <wp:extent cx="5894363" cy="8041145"/>
            <wp:effectExtent l="0" t="0" r="0" b="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11227" cy="8064151"/>
                    </a:xfrm>
                    <a:prstGeom prst="rect">
                      <a:avLst/>
                    </a:prstGeom>
                  </pic:spPr>
                </pic:pic>
              </a:graphicData>
            </a:graphic>
          </wp:inline>
        </w:drawing>
      </w:r>
    </w:p>
    <w:p w14:paraId="4110BAB2" w14:textId="3821BE19" w:rsidR="000B2F8B" w:rsidRPr="00EA6496" w:rsidRDefault="000B2F8B" w:rsidP="00EA6496">
      <w:pPr>
        <w:spacing w:before="0" w:after="0"/>
        <w:jc w:val="left"/>
        <w:rPr>
          <w:rFonts w:ascii="Times New Roman" w:hAnsi="Times New Roman" w:cs="Times New Roman"/>
          <w:sz w:val="20"/>
          <w:szCs w:val="20"/>
          <w:lang w:val="en-GB"/>
        </w:rPr>
      </w:pPr>
      <w:r w:rsidRPr="00EA6496">
        <w:rPr>
          <w:rFonts w:ascii="Times New Roman" w:hAnsi="Times New Roman" w:cs="Times New Roman"/>
          <w:b/>
          <w:bCs/>
          <w:sz w:val="20"/>
          <w:szCs w:val="20"/>
          <w:lang w:val="en-GB"/>
        </w:rPr>
        <w:lastRenderedPageBreak/>
        <w:t>Figure 5.</w:t>
      </w:r>
      <w:r w:rsidRPr="00EA6496">
        <w:rPr>
          <w:rFonts w:ascii="Times New Roman" w:hAnsi="Times New Roman" w:cs="Times New Roman"/>
          <w:sz w:val="20"/>
          <w:szCs w:val="20"/>
          <w:lang w:val="en-GB"/>
        </w:rPr>
        <w:t xml:space="preserve"> Current state of SMZL knowledge, proposed strategies, and future perspectives. The upper orange box highlights current knowledge in SMZL. The diagram outlines key areas for future research starting with unbiased whole genome sequencing of matched germline-tumour samples across the disease history. Each time point will allow for the identification of key immunogenetic and cytogenetic subgroups, as well as mutational signatures. Whole genome sequencing is essential for the identification of non-coding mutations, and with large collaborative cohorts enabling the identification of single nucleotide polymorphism (SNPs) associated with disease risk. This unbiased approach will form the basis for more targeted studies, analysing additional contributory factors such as epigenome of SMZL and telomere attrition mechanisms. The identification and analysis of suitable control MZ-B cells will be important work that will feed into wider studies, particularly epigenetic studies and determining the cell of origin. Synthesis of new information will allow the identification of biological sub-groups and direct downstream functional analyses. The </w:t>
      </w:r>
      <w:proofErr w:type="gramStart"/>
      <w:r w:rsidRPr="00EA6496">
        <w:rPr>
          <w:rFonts w:ascii="Times New Roman" w:hAnsi="Times New Roman" w:cs="Times New Roman"/>
          <w:sz w:val="20"/>
          <w:szCs w:val="20"/>
          <w:lang w:val="en-GB"/>
        </w:rPr>
        <w:t>ultimate goal</w:t>
      </w:r>
      <w:proofErr w:type="gramEnd"/>
      <w:r w:rsidRPr="00EA6496">
        <w:rPr>
          <w:rFonts w:ascii="Times New Roman" w:hAnsi="Times New Roman" w:cs="Times New Roman"/>
          <w:sz w:val="20"/>
          <w:szCs w:val="20"/>
          <w:lang w:val="en-GB"/>
        </w:rPr>
        <w:t xml:space="preserve"> is to translate newly acquired knowledge of the underlying molecular mechanism of SMZL for direct patient benefit: to improve differential diagnosis and aid in the discovery of novel therapeutic targets.</w:t>
      </w:r>
    </w:p>
    <w:p w14:paraId="01868F31" w14:textId="77777777" w:rsidR="00002888" w:rsidRPr="00002888" w:rsidRDefault="00002888" w:rsidP="00002888">
      <w:pPr>
        <w:spacing w:before="0" w:after="0" w:line="360" w:lineRule="auto"/>
        <w:jc w:val="left"/>
        <w:rPr>
          <w:rFonts w:ascii="Times New Roman" w:hAnsi="Times New Roman" w:cs="Times New Roman"/>
          <w:sz w:val="24"/>
          <w:szCs w:val="24"/>
          <w:lang w:val="en-GB"/>
        </w:rPr>
      </w:pPr>
    </w:p>
    <w:p w14:paraId="5B1B4DC3" w14:textId="4232414A" w:rsidR="00E45303" w:rsidRPr="00002888" w:rsidRDefault="00E45303" w:rsidP="00002888">
      <w:pPr>
        <w:pStyle w:val="Heading2"/>
        <w:spacing w:before="0" w:after="0" w:line="360" w:lineRule="auto"/>
        <w:rPr>
          <w:sz w:val="24"/>
          <w:szCs w:val="24"/>
        </w:rPr>
      </w:pPr>
      <w:r w:rsidRPr="00002888">
        <w:rPr>
          <w:sz w:val="24"/>
          <w:szCs w:val="24"/>
        </w:rPr>
        <w:t>Key research questions</w:t>
      </w:r>
    </w:p>
    <w:p w14:paraId="19330AA5" w14:textId="7B66FC0F" w:rsidR="0003238B" w:rsidRDefault="00EC095A" w:rsidP="00002888">
      <w:pPr>
        <w:spacing w:before="0" w:after="0" w:line="360" w:lineRule="auto"/>
        <w:jc w:val="left"/>
        <w:rPr>
          <w:rFonts w:ascii="Times New Roman" w:hAnsi="Times New Roman" w:cs="Times New Roman"/>
          <w:sz w:val="24"/>
          <w:szCs w:val="24"/>
          <w:lang w:val="en-GB"/>
        </w:rPr>
      </w:pPr>
      <w:r w:rsidRPr="00002888">
        <w:rPr>
          <w:rFonts w:ascii="Times New Roman" w:hAnsi="Times New Roman" w:cs="Times New Roman"/>
          <w:sz w:val="24"/>
          <w:szCs w:val="24"/>
          <w:lang w:val="en-GB"/>
        </w:rPr>
        <w:t>T</w:t>
      </w:r>
      <w:r w:rsidR="00DD2EBD" w:rsidRPr="00002888">
        <w:rPr>
          <w:rFonts w:ascii="Times New Roman" w:hAnsi="Times New Roman" w:cs="Times New Roman"/>
          <w:sz w:val="24"/>
          <w:szCs w:val="24"/>
          <w:lang w:val="en-GB"/>
        </w:rPr>
        <w:t>he research community needs to continue to collaborate, creating bio</w:t>
      </w:r>
      <w:r w:rsidR="003E481C" w:rsidRPr="00002888">
        <w:rPr>
          <w:rFonts w:ascii="Times New Roman" w:hAnsi="Times New Roman" w:cs="Times New Roman"/>
          <w:sz w:val="24"/>
          <w:szCs w:val="24"/>
          <w:lang w:val="en-GB"/>
        </w:rPr>
        <w:t>-</w:t>
      </w:r>
      <w:r w:rsidR="00DD2EBD" w:rsidRPr="00002888">
        <w:rPr>
          <w:rFonts w:ascii="Times New Roman" w:hAnsi="Times New Roman" w:cs="Times New Roman"/>
          <w:sz w:val="24"/>
          <w:szCs w:val="24"/>
          <w:lang w:val="en-GB"/>
        </w:rPr>
        <w:t>banked resources, with high-quality fresh-frozen tumour material and matched normal cells.</w:t>
      </w:r>
      <w:r w:rsidR="00DD2EBD" w:rsidRPr="00002888">
        <w:rPr>
          <w:rFonts w:ascii="Times New Roman" w:hAnsi="Times New Roman" w:cs="Times New Roman"/>
          <w:b/>
          <w:sz w:val="24"/>
          <w:szCs w:val="24"/>
          <w:lang w:val="en-GB"/>
        </w:rPr>
        <w:t xml:space="preserve"> </w:t>
      </w:r>
      <w:r w:rsidR="006C02DC" w:rsidRPr="00002888">
        <w:rPr>
          <w:rFonts w:ascii="Times New Roman" w:hAnsi="Times New Roman" w:cs="Times New Roman"/>
          <w:sz w:val="24"/>
          <w:szCs w:val="24"/>
          <w:lang w:val="en-GB"/>
        </w:rPr>
        <w:t>Currently, t</w:t>
      </w:r>
      <w:r w:rsidR="00BB5127" w:rsidRPr="00002888">
        <w:rPr>
          <w:rFonts w:ascii="Times New Roman" w:hAnsi="Times New Roman" w:cs="Times New Roman"/>
          <w:sz w:val="24"/>
          <w:szCs w:val="24"/>
          <w:lang w:val="en-GB"/>
        </w:rPr>
        <w:t>he literature does not include a single patient with</w:t>
      </w:r>
      <w:r w:rsidR="00F3183F" w:rsidRPr="00002888">
        <w:rPr>
          <w:rFonts w:ascii="Times New Roman" w:hAnsi="Times New Roman" w:cs="Times New Roman"/>
          <w:sz w:val="24"/>
          <w:szCs w:val="24"/>
          <w:lang w:val="en-GB"/>
        </w:rPr>
        <w:t xml:space="preserve"> </w:t>
      </w:r>
      <w:r w:rsidR="00BB5127" w:rsidRPr="00002888">
        <w:rPr>
          <w:rFonts w:ascii="Times New Roman" w:hAnsi="Times New Roman" w:cs="Times New Roman"/>
          <w:sz w:val="24"/>
          <w:szCs w:val="24"/>
          <w:lang w:val="en-GB"/>
        </w:rPr>
        <w:t xml:space="preserve">genome-wide somatic mutational data. </w:t>
      </w:r>
      <w:r w:rsidR="00F3183F" w:rsidRPr="00002888">
        <w:rPr>
          <w:rFonts w:ascii="Times New Roman" w:hAnsi="Times New Roman" w:cs="Times New Roman"/>
          <w:sz w:val="24"/>
          <w:szCs w:val="24"/>
          <w:lang w:val="en-GB"/>
        </w:rPr>
        <w:t xml:space="preserve">Kiel and co-workers reported </w:t>
      </w:r>
      <w:r w:rsidR="00BB5127" w:rsidRPr="00002888">
        <w:rPr>
          <w:rFonts w:ascii="Times New Roman" w:hAnsi="Times New Roman" w:cs="Times New Roman"/>
          <w:sz w:val="24"/>
          <w:szCs w:val="24"/>
          <w:lang w:val="en-GB"/>
        </w:rPr>
        <w:t>WGS without the analysis of matched germ-line material</w:t>
      </w:r>
      <w:r w:rsidR="009204AC" w:rsidRPr="00002888">
        <w:rPr>
          <w:rFonts w:ascii="Times New Roman" w:hAnsi="Times New Roman" w:cs="Times New Roman"/>
          <w:sz w:val="24"/>
          <w:szCs w:val="24"/>
          <w:lang w:val="en-GB"/>
        </w:rPr>
        <w:t xml:space="preserve"> </w:t>
      </w:r>
      <w:r w:rsidR="003E481C" w:rsidRPr="00002888">
        <w:rPr>
          <w:rFonts w:ascii="Times New Roman" w:hAnsi="Times New Roman" w:cs="Times New Roman"/>
          <w:sz w:val="24"/>
          <w:szCs w:val="24"/>
          <w:lang w:val="en-GB"/>
        </w:rPr>
        <w:fldChar w:fldCharType="begin" w:fldLock="1"/>
      </w:r>
      <w:r w:rsidR="003E481C" w:rsidRPr="00002888">
        <w:rPr>
          <w:rFonts w:ascii="Times New Roman" w:hAnsi="Times New Roman" w:cs="Times New Roman"/>
          <w:sz w:val="24"/>
          <w:szCs w:val="24"/>
          <w:lang w:val="en-GB"/>
        </w:rPr>
        <w:instrText>ADDIN CSL_CITATION {"citationItems":[{"id":"ITEM-1","itemData":{"DOI":"10.1084/jem.20120910","ISSN":"0022-1007","PMID":"22891276","author":[{"dropping-particle":"","family":"Kiel","given":"Mark J.","non-dropping-particle":"","parse-names":false,"suffix":""},{"dropping-particle":"","family":"Velusamy","given":"Thirunavukkarasu","non-dropping-particle":"","parse-names":false,"suffix":""},{"dropping-particle":"","family":"Betz","given":"Bryan L.","non-dropping-particle":"","parse-names":false,"suffix":""},{"dropping-particle":"","family":"Zhao","given":"Lili","non-dropping-particle":"","parse-names":false,"suffix":""},{"dropping-particle":"","family":"Weigelin","given":"Helmut G.","non-dropping-particle":"","parse-names":false,"suffix":""},{"dropping-particle":"","family":"Chiang","given":"Mark Y.","non-dropping-particle":"","parse-names":false,"suffix":""},{"dropping-particle":"","family":"Huebner-Chan","given":"David R.","non-dropping-particle":"","parse-names":false,"suffix":""},{"dropping-particle":"","family":"Bailey","given":"Nathanael G.","non-dropping-particle":"","parse-names":false,"suffix":""},{"dropping-particle":"","family":"Yang","given":"David T.","non-dropping-particle":"","parse-names":false,"suffix":""},{"dropping-particle":"","family":"Bhagat","given":"Govind","non-dropping-particle":"","parse-names":false,"suffix":""},{"dropping-particle":"","family":"Miranda","given":"Roberto N.","non-dropping-particle":"","parse-names":false,"suffix":""},{"dropping-particle":"","family":"Bahler","given":"David W.","non-dropping-particle":"","parse-names":false,"suffix":""},{"dropping-particle":"","family":"Medeiros","given":"L. Jeffrey","non-dropping-particle":"","parse-names":false,"suffix":""},{"dropping-particle":"","family":"Lim","given":"Megan S.","non-dropping-particle":"","parse-names":false,"suffix":""},{"dropping-particle":"","family":"Elenitoba-Johnson","given":"Kojo S.J.","non-dropping-particle":"","parse-names":false,"suffix":""}],"container-title":"The Journal of Experimental Medicine","id":"ITEM-1","issue":"9","issued":{"date-parts":[["2012"]]},"page":"1553-1565","title":"Whole-genome sequencing identifies recurrent somatic &lt;i&gt;NOTCH2&lt;/i&gt; mutations in splenic marginal zone lymphoma","type":"article-journal","volume":"209"},"uris":["http://www.mendeley.com/documents/?uuid=2e230909-2ec0-4ced-b5cf-986bc3ef4467"]}],"mendeley":{"formattedCitation":"(Kiel et al., 2012)","plainTextFormattedCitation":"(Kiel et al., 2012)","previouslyFormattedCitation":"(Kiel et al., 2012)"},"properties":{"noteIndex":0},"schema":"https://github.com/citation-style-language/schema/raw/master/csl-citation.json"}</w:instrText>
      </w:r>
      <w:r w:rsidR="003E481C" w:rsidRPr="00002888">
        <w:rPr>
          <w:rFonts w:ascii="Times New Roman" w:hAnsi="Times New Roman" w:cs="Times New Roman"/>
          <w:sz w:val="24"/>
          <w:szCs w:val="24"/>
          <w:lang w:val="en-GB"/>
        </w:rPr>
        <w:fldChar w:fldCharType="separate"/>
      </w:r>
      <w:r w:rsidR="003E481C" w:rsidRPr="00002888">
        <w:rPr>
          <w:rFonts w:ascii="Times New Roman" w:hAnsi="Times New Roman" w:cs="Times New Roman"/>
          <w:noProof/>
          <w:sz w:val="24"/>
          <w:szCs w:val="24"/>
          <w:lang w:val="en-GB"/>
        </w:rPr>
        <w:t>(Kiel et al., 2012)</w:t>
      </w:r>
      <w:r w:rsidR="003E481C" w:rsidRPr="00002888">
        <w:rPr>
          <w:rFonts w:ascii="Times New Roman" w:hAnsi="Times New Roman" w:cs="Times New Roman"/>
          <w:sz w:val="24"/>
          <w:szCs w:val="24"/>
          <w:lang w:val="en-GB"/>
        </w:rPr>
        <w:fldChar w:fldCharType="end"/>
      </w:r>
      <w:r w:rsidR="00BB5127" w:rsidRPr="00002888">
        <w:rPr>
          <w:rFonts w:ascii="Times New Roman" w:hAnsi="Times New Roman" w:cs="Times New Roman"/>
          <w:sz w:val="24"/>
          <w:szCs w:val="24"/>
          <w:lang w:val="en-GB"/>
        </w:rPr>
        <w:t xml:space="preserve">, precluding a meaningful analysis of the presence of non-coding somatic variation and the documentation of underlying </w:t>
      </w:r>
      <w:r w:rsidR="001602C5" w:rsidRPr="00002888">
        <w:rPr>
          <w:rFonts w:ascii="Times New Roman" w:hAnsi="Times New Roman" w:cs="Times New Roman"/>
          <w:sz w:val="24"/>
          <w:szCs w:val="24"/>
          <w:lang w:val="en-GB"/>
        </w:rPr>
        <w:t>molecular</w:t>
      </w:r>
      <w:r w:rsidR="00BB5127" w:rsidRPr="00002888">
        <w:rPr>
          <w:rFonts w:ascii="Times New Roman" w:hAnsi="Times New Roman" w:cs="Times New Roman"/>
          <w:sz w:val="24"/>
          <w:szCs w:val="24"/>
          <w:lang w:val="en-GB"/>
        </w:rPr>
        <w:t xml:space="preserve"> mechanisms</w:t>
      </w:r>
      <w:r w:rsidR="001602C5" w:rsidRPr="00002888">
        <w:rPr>
          <w:rFonts w:ascii="Times New Roman" w:hAnsi="Times New Roman" w:cs="Times New Roman"/>
          <w:sz w:val="24"/>
          <w:szCs w:val="24"/>
          <w:lang w:val="en-GB"/>
        </w:rPr>
        <w:t xml:space="preserve">, such as the presence of key mutational signatures and regions of </w:t>
      </w:r>
      <w:proofErr w:type="spellStart"/>
      <w:r w:rsidR="001602C5" w:rsidRPr="00002888">
        <w:rPr>
          <w:rFonts w:ascii="Times New Roman" w:hAnsi="Times New Roman" w:cs="Times New Roman"/>
          <w:sz w:val="24"/>
          <w:szCs w:val="24"/>
          <w:lang w:val="en-GB"/>
        </w:rPr>
        <w:t>chromot</w:t>
      </w:r>
      <w:r w:rsidR="00DD16AB" w:rsidRPr="00002888">
        <w:rPr>
          <w:rFonts w:ascii="Times New Roman" w:hAnsi="Times New Roman" w:cs="Times New Roman"/>
          <w:sz w:val="24"/>
          <w:szCs w:val="24"/>
          <w:lang w:val="en-GB"/>
        </w:rPr>
        <w:t>h</w:t>
      </w:r>
      <w:r w:rsidR="001602C5" w:rsidRPr="00002888">
        <w:rPr>
          <w:rFonts w:ascii="Times New Roman" w:hAnsi="Times New Roman" w:cs="Times New Roman"/>
          <w:sz w:val="24"/>
          <w:szCs w:val="24"/>
          <w:lang w:val="en-GB"/>
        </w:rPr>
        <w:t>ripsis</w:t>
      </w:r>
      <w:proofErr w:type="spellEnd"/>
      <w:r w:rsidR="001602C5" w:rsidRPr="00002888">
        <w:rPr>
          <w:rFonts w:ascii="Times New Roman" w:hAnsi="Times New Roman" w:cs="Times New Roman"/>
          <w:sz w:val="24"/>
          <w:szCs w:val="24"/>
          <w:lang w:val="en-GB"/>
        </w:rPr>
        <w:t xml:space="preserve"> and </w:t>
      </w:r>
      <w:proofErr w:type="spellStart"/>
      <w:r w:rsidR="001602C5" w:rsidRPr="00002888">
        <w:rPr>
          <w:rFonts w:ascii="Times New Roman" w:hAnsi="Times New Roman" w:cs="Times New Roman"/>
          <w:sz w:val="24"/>
          <w:szCs w:val="24"/>
          <w:lang w:val="en-GB"/>
        </w:rPr>
        <w:t>kata</w:t>
      </w:r>
      <w:r w:rsidR="45079945" w:rsidRPr="00002888">
        <w:rPr>
          <w:rFonts w:ascii="Times New Roman" w:hAnsi="Times New Roman" w:cs="Times New Roman"/>
          <w:sz w:val="24"/>
          <w:szCs w:val="24"/>
          <w:lang w:val="en-GB"/>
        </w:rPr>
        <w:t>e</w:t>
      </w:r>
      <w:r w:rsidR="001602C5" w:rsidRPr="00002888">
        <w:rPr>
          <w:rFonts w:ascii="Times New Roman" w:hAnsi="Times New Roman" w:cs="Times New Roman"/>
          <w:sz w:val="24"/>
          <w:szCs w:val="24"/>
          <w:lang w:val="en-GB"/>
        </w:rPr>
        <w:t>gis</w:t>
      </w:r>
      <w:proofErr w:type="spellEnd"/>
      <w:r w:rsidR="00BB5127" w:rsidRPr="00002888">
        <w:rPr>
          <w:rFonts w:ascii="Times New Roman" w:hAnsi="Times New Roman" w:cs="Times New Roman"/>
          <w:sz w:val="24"/>
          <w:szCs w:val="24"/>
          <w:lang w:val="en-GB"/>
        </w:rPr>
        <w:t xml:space="preserve">. </w:t>
      </w:r>
      <w:r w:rsidR="00FA5593" w:rsidRPr="00002888">
        <w:rPr>
          <w:rFonts w:ascii="Times New Roman" w:hAnsi="Times New Roman" w:cs="Times New Roman"/>
          <w:sz w:val="24"/>
          <w:szCs w:val="24"/>
          <w:lang w:val="en-GB"/>
        </w:rPr>
        <w:t xml:space="preserve">There is a critical need to </w:t>
      </w:r>
      <w:r w:rsidR="003E481C" w:rsidRPr="00002888">
        <w:rPr>
          <w:rFonts w:ascii="Times New Roman" w:hAnsi="Times New Roman" w:cs="Times New Roman"/>
          <w:sz w:val="24"/>
          <w:szCs w:val="24"/>
          <w:lang w:val="en-GB"/>
        </w:rPr>
        <w:t>analyse</w:t>
      </w:r>
      <w:r w:rsidR="00FA5593" w:rsidRPr="00002888">
        <w:rPr>
          <w:rFonts w:ascii="Times New Roman" w:hAnsi="Times New Roman" w:cs="Times New Roman"/>
          <w:sz w:val="24"/>
          <w:szCs w:val="24"/>
          <w:lang w:val="en-GB"/>
        </w:rPr>
        <w:t xml:space="preserve"> </w:t>
      </w:r>
      <w:r w:rsidRPr="00002888">
        <w:rPr>
          <w:rFonts w:ascii="Times New Roman" w:hAnsi="Times New Roman" w:cs="Times New Roman"/>
          <w:sz w:val="24"/>
          <w:szCs w:val="24"/>
          <w:lang w:val="en-GB"/>
        </w:rPr>
        <w:t xml:space="preserve">germ-line material to identify SNPs associated with disease risk, and the profiling of </w:t>
      </w:r>
      <w:r w:rsidR="00FA5593" w:rsidRPr="00002888">
        <w:rPr>
          <w:rFonts w:ascii="Times New Roman" w:hAnsi="Times New Roman" w:cs="Times New Roman"/>
          <w:sz w:val="24"/>
          <w:szCs w:val="24"/>
          <w:lang w:val="en-GB"/>
        </w:rPr>
        <w:t xml:space="preserve">sequential samples from SMZL patients as their disease evolves, </w:t>
      </w:r>
      <w:r w:rsidR="00D30B12" w:rsidRPr="00002888">
        <w:rPr>
          <w:rFonts w:ascii="Times New Roman" w:hAnsi="Times New Roman" w:cs="Times New Roman"/>
          <w:sz w:val="24"/>
          <w:szCs w:val="24"/>
          <w:lang w:val="en-GB"/>
        </w:rPr>
        <w:t xml:space="preserve">at </w:t>
      </w:r>
      <w:r w:rsidR="00FA5593" w:rsidRPr="00002888">
        <w:rPr>
          <w:rFonts w:ascii="Times New Roman" w:hAnsi="Times New Roman" w:cs="Times New Roman"/>
          <w:sz w:val="24"/>
          <w:szCs w:val="24"/>
          <w:lang w:val="en-GB"/>
        </w:rPr>
        <w:t>pre-</w:t>
      </w:r>
      <w:r w:rsidR="00FA5593" w:rsidRPr="00245037">
        <w:rPr>
          <w:rFonts w:ascii="Times New Roman" w:hAnsi="Times New Roman" w:cs="Times New Roman"/>
          <w:sz w:val="24"/>
          <w:szCs w:val="24"/>
          <w:lang w:val="en-GB"/>
        </w:rPr>
        <w:t xml:space="preserve">treatment, </w:t>
      </w:r>
      <w:r w:rsidR="00D30B12" w:rsidRPr="00245037">
        <w:rPr>
          <w:rFonts w:ascii="Times New Roman" w:hAnsi="Times New Roman" w:cs="Times New Roman"/>
          <w:sz w:val="24"/>
          <w:szCs w:val="24"/>
          <w:lang w:val="en-GB"/>
        </w:rPr>
        <w:t xml:space="preserve">and </w:t>
      </w:r>
      <w:r w:rsidR="00FA5593" w:rsidRPr="00245037">
        <w:rPr>
          <w:rFonts w:ascii="Times New Roman" w:hAnsi="Times New Roman" w:cs="Times New Roman"/>
          <w:sz w:val="24"/>
          <w:szCs w:val="24"/>
          <w:lang w:val="en-GB"/>
        </w:rPr>
        <w:t>with the development of ref</w:t>
      </w:r>
      <w:r w:rsidR="00D30B12" w:rsidRPr="00245037">
        <w:rPr>
          <w:rFonts w:ascii="Times New Roman" w:hAnsi="Times New Roman" w:cs="Times New Roman"/>
          <w:sz w:val="24"/>
          <w:szCs w:val="24"/>
          <w:lang w:val="en-GB"/>
        </w:rPr>
        <w:t>r</w:t>
      </w:r>
      <w:r w:rsidR="00FA5593" w:rsidRPr="00245037">
        <w:rPr>
          <w:rFonts w:ascii="Times New Roman" w:hAnsi="Times New Roman" w:cs="Times New Roman"/>
          <w:sz w:val="24"/>
          <w:szCs w:val="24"/>
          <w:lang w:val="en-GB"/>
        </w:rPr>
        <w:t xml:space="preserve">actory disease and </w:t>
      </w:r>
      <w:r w:rsidR="00D30B12" w:rsidRPr="00245037">
        <w:rPr>
          <w:rFonts w:ascii="Times New Roman" w:hAnsi="Times New Roman" w:cs="Times New Roman"/>
          <w:sz w:val="24"/>
          <w:szCs w:val="24"/>
          <w:lang w:val="en-GB"/>
        </w:rPr>
        <w:t>ultimately</w:t>
      </w:r>
      <w:r w:rsidR="00FA5593" w:rsidRPr="00245037">
        <w:rPr>
          <w:rFonts w:ascii="Times New Roman" w:hAnsi="Times New Roman" w:cs="Times New Roman"/>
          <w:sz w:val="24"/>
          <w:szCs w:val="24"/>
          <w:lang w:val="en-GB"/>
        </w:rPr>
        <w:t xml:space="preserve"> transformation. </w:t>
      </w:r>
      <w:bookmarkStart w:id="4" w:name="_Hlk68609466"/>
      <w:r w:rsidR="00492966" w:rsidRPr="00245037">
        <w:rPr>
          <w:rFonts w:ascii="Times New Roman" w:hAnsi="Times New Roman" w:cs="Times New Roman"/>
          <w:sz w:val="24"/>
          <w:szCs w:val="24"/>
          <w:lang w:val="en-GB"/>
        </w:rPr>
        <w:t>There might also be utility in using circulating free DNA (</w:t>
      </w:r>
      <w:proofErr w:type="spellStart"/>
      <w:r w:rsidR="00492966" w:rsidRPr="00245037">
        <w:rPr>
          <w:rFonts w:ascii="Times New Roman" w:hAnsi="Times New Roman" w:cs="Times New Roman"/>
          <w:sz w:val="24"/>
          <w:szCs w:val="24"/>
          <w:lang w:val="en-GB"/>
        </w:rPr>
        <w:t>cfDNA</w:t>
      </w:r>
      <w:proofErr w:type="spellEnd"/>
      <w:r w:rsidR="00492966" w:rsidRPr="00245037">
        <w:rPr>
          <w:rFonts w:ascii="Times New Roman" w:hAnsi="Times New Roman" w:cs="Times New Roman"/>
          <w:sz w:val="24"/>
          <w:szCs w:val="24"/>
          <w:lang w:val="en-GB"/>
        </w:rPr>
        <w:t xml:space="preserve">) </w:t>
      </w:r>
      <w:r w:rsidR="00D4493D" w:rsidRPr="00245037">
        <w:rPr>
          <w:rFonts w:ascii="Times New Roman" w:hAnsi="Times New Roman" w:cs="Times New Roman"/>
          <w:sz w:val="24"/>
          <w:szCs w:val="24"/>
          <w:lang w:val="en-GB"/>
        </w:rPr>
        <w:t xml:space="preserve">as a non-invasive approach </w:t>
      </w:r>
      <w:r w:rsidR="00492966" w:rsidRPr="00245037">
        <w:rPr>
          <w:rFonts w:ascii="Times New Roman" w:hAnsi="Times New Roman" w:cs="Times New Roman"/>
          <w:sz w:val="24"/>
          <w:szCs w:val="24"/>
          <w:lang w:val="en-GB"/>
        </w:rPr>
        <w:t>in the management of patients</w:t>
      </w:r>
      <w:r w:rsidR="00D4493D" w:rsidRPr="00245037">
        <w:rPr>
          <w:rFonts w:ascii="Times New Roman" w:hAnsi="Times New Roman" w:cs="Times New Roman"/>
          <w:sz w:val="24"/>
          <w:szCs w:val="24"/>
          <w:lang w:val="en-GB"/>
        </w:rPr>
        <w:t xml:space="preserve"> and in the identification of mutations</w:t>
      </w:r>
      <w:r w:rsidR="00492966" w:rsidRPr="00245037">
        <w:rPr>
          <w:rFonts w:ascii="Times New Roman" w:hAnsi="Times New Roman" w:cs="Times New Roman"/>
          <w:sz w:val="24"/>
          <w:szCs w:val="24"/>
          <w:lang w:val="en-GB"/>
        </w:rPr>
        <w:t xml:space="preserve"> as has been done in othe</w:t>
      </w:r>
      <w:r w:rsidR="00D4493D" w:rsidRPr="00245037">
        <w:rPr>
          <w:rFonts w:ascii="Times New Roman" w:hAnsi="Times New Roman" w:cs="Times New Roman"/>
          <w:sz w:val="24"/>
          <w:szCs w:val="24"/>
          <w:lang w:val="en-GB"/>
        </w:rPr>
        <w:t xml:space="preserve">r lymphomas </w:t>
      </w:r>
      <w:r w:rsidR="00D4493D" w:rsidRPr="00245037">
        <w:rPr>
          <w:rFonts w:ascii="Times New Roman" w:hAnsi="Times New Roman" w:cs="Times New Roman"/>
          <w:sz w:val="24"/>
          <w:szCs w:val="24"/>
          <w:lang w:val="en-GB"/>
        </w:rPr>
        <w:fldChar w:fldCharType="begin" w:fldLock="1"/>
      </w:r>
      <w:r w:rsidR="00BC2FAB" w:rsidRPr="00245037">
        <w:rPr>
          <w:rFonts w:ascii="Times New Roman" w:hAnsi="Times New Roman" w:cs="Times New Roman"/>
          <w:sz w:val="24"/>
          <w:szCs w:val="24"/>
          <w:lang w:val="en-GB"/>
        </w:rPr>
        <w:instrText xml:space="preserve">ADDIN CSL_CITATION {"citationItems":[{"id":"ITEM-1","itemData":{"DOI":"10.1182/blood-2019-131081","ISSN":"0006-4971","abstract":"Background:The isolation of cell-free DNA (cfDNA) evolved the concept of liquid biopsy. Several works have analyzed the presence of cfDNA in lymphomas, especially in diffuse large B-cell lymphoma (DLBCL) and Hodgkin lymphoma (HL), however there is limited information regarding the detection of cfDNA in other types of lymphomas or the role of cfDNA detection to monitor disease outcome.Objectives:1.- To analyze the presence of cfDNA at diagnosis of patients with lymphoproliferative malignancies. 2.- To evaluate the change in concentration of cfDNA ([cfDNA]) after treatment in DLBCL patients.Material and Methods:A retrospective study in a single center was performed including 221 adult patients since January 2015 to February 2019 with: DLBCL, HL, marginal zone lymphoma (MZL), follicular lymphoma (FL), chronic lymphocytic leukemia (CLL), mantle cell lymphoma (MCL), lymphoplasmacytic lymphoma (LPL) and peripheral T-cell lymphomas (TCL). All patients had plasma samples collected at diagnosis that were stored in the institutional biobank (MarBiobank). The cfDNA were obtained from 1 mL of -80°C frozen stored plasma using the MagMax Cell Free DNA isolation kit (Thermo Fisher Scientific). The cfDNA quantification was performed using the Qubit system with the dsDNA high sensitivitykit (Thermo Fisher) and is expressed as ng/mL of plasma. In addition, patients with DLBCL who were treated with rituximab-CHOP/CHOP-like regimens were evaluated for [cfDNA] analysis, pre and post-treatment, and results were compared with PET-CT scan findings.Results: Stored plasma samples at diagnosis were available in 221 patients: DLBCL 82, HL 22, CLL/LPL 13, FL 36, MZL 37, MCL: 11, TCL 10 and others 10 (B-cell lymphoma unclassified, hairy cell leukemia, Burkitt lymphoma). Successful identification of cfDNA was obtained in 95.9% (212/221) of samples. DLBCL patients showed higher [cfDNA] globally and, DLBCL, HL and FL patients showed a higher concentration than MZL who exhibited the lower concentration of all groups (p=0.009; p=0.013 and p=0.002); see table 1.50 DLBCL patients with a median follow-up since diagnosis of 25.5 (5-51) months were analyzed. Median age was 67 (19-79) years, males 56% (28). IPI distribution: low-risk 28% (14), low-intermediate 26% (13), high-intermediate 24% (12) and high risk 22% (11) cases. Detection of cfDNA was successful in 100% at diagnosis and in 98% (49) cases post-therapy. The mean [cfDNA] at diagnosis was 2.21 (standard deviation- SD: 1.60) ng/mL wit…","author":[{"dropping-particle":"","family":"Andrade-Campos","given":"Marcio M","non-dropping-particle":"","parse-names":false,"suffix":""},{"dropping-particle":"","family":"Salar","given":"Antonio","non-dropping-particle":"","parse-names":false,"suffix":""},{"dropping-particle":"","family":"Sanchez-Gonzalez","given":"Blanca","non-dropping-particle":"","parse-names":false,"suffix":""},{"dropping-particle":"","family":"Fernández-Rodríguez","given":"Concepción","non-dropping-particle":"","parse-names":false,"suffix":""},{"dropping-particle":"","family":"Gimeno","given":"Eva","non-dropping-particle":"","parse-names":false,"suffix":""},{"dropping-particle":"","family":"Ruiz","given":"L","non-dropping-particle":"","parse-names":false,"suffix":""},{"dropping-particle":"","family":"Piquer","given":"Gabriel","non-dropping-particle":"","parse-names":false,"suffix":""},{"dropping-particle":"","family":"Garcia-Pallarols","given":"Francesc","non-dropping-particle":"","parse-names":false,"suffix":""},{"dropping-particle":"","family":"Papaleo","given":"Natalia","non-dropping-particle":"","parse-names":false,"suffix":""},{"dropping-particle":"","family":"Vazquez","given":"Ivonne","non-dropping-particle":"","parse-names":false,"suffix":""},{"dropping-particle":"","family":"Colomo","given":"Lluís","non-dropping-particle":"","parse-names":false,"suffix":""},{"dropping-particle":"","family":"Bellosillo","given":"Beatriz","non-dropping-particle":"","parse-names":false,"suffix":""}],"container-title":"Blood","id":"ITEM-1","issue":"Supplement_1","issued":{"date-parts":[["2019","11","13"]]},"page":"492-492","publisher":"American Society of Hematology","title":"Assessment of Cell-Free DNA (cfDNA) in 221 Patients with Lymphoproliferative Malignancies at Diagnosis and during Follow-up","type":"article-journal","volume":"134"},"uris":["http://www.mendeley.com/documents/?uuid=78dc590a-c770-3af1-84b3-4305cd862155"]},{"id":"ITEM-2","itemData":{"DOI":"10.1182/blood-2016-05-719641","ISSN":"15280020","PMID":"28096087","abstract":"Accessible and real-time genotyping for diagnostic, prognostic, or treatment purposes is increasingly impelling in diffuse large B-cell lymphoma (DLBCL). Cell-free DNA (cfDNA) is shed into the blood by tumor cells undergoing apoptosis and can be used as source of tumor DNA for the identification of DLBCL mutations, clonal evolution, and genetic mechanisms of resistance. In this study, we aimed at tracking the basal DLBCL genetic profile and its modification upon treatment using plasma cfDNA. Ultra-deep targeted next generation sequencing of pretreatment plasma cfDNA from DLBCL patients correctly discovered DLBCL-associated mutations that were represented in &gt;20% of the alleles of the tumor biopsy with &gt;90% sensitivity and </w:instrText>
      </w:r>
      <w:r w:rsidR="00BC2FAB" w:rsidRPr="00245037">
        <w:rPr>
          <w:rFonts w:ascii="Cambria Math" w:hAnsi="Cambria Math" w:cs="Cambria Math"/>
          <w:sz w:val="24"/>
          <w:szCs w:val="24"/>
          <w:lang w:val="en-GB"/>
        </w:rPr>
        <w:instrText>∼</w:instrText>
      </w:r>
      <w:r w:rsidR="00BC2FAB" w:rsidRPr="00245037">
        <w:rPr>
          <w:rFonts w:ascii="Times New Roman" w:hAnsi="Times New Roman" w:cs="Times New Roman"/>
          <w:sz w:val="24"/>
          <w:szCs w:val="24"/>
          <w:lang w:val="en-GB"/>
        </w:rPr>
        <w:instrText>100% specificity. Plasma cfDNA genotyping also allowed for the recovery of mutations that were undetectable in the tissue biopsy, conceivably because, due to spatial tumor heterogeneity, they were restricted to clones that were anatomically distant from the biopsy site. Longitudinal analysis of plasma samples collected under rituximab-cyclophosphamide-doxorubicin-vincristine-prednisone (R-CHOP) chemotherapy showed a rapid clearance of DLBCL mutations from cfDNA among responding patients. Conversely, among patients who were resistant to R-CHOP, basal DLBCL mutations did not disappear from cfDNA. In addition, among treatment-resistant patients, new mutations were acquired in cfDNA that marked resistant clones selected during the clonal evolution. These results demonstrate that cfDNA genotyping of DLBCL is as accurate as genotyping of the diagnostic biopsy to detect clonally represented somatic tumor mutations and is a real-time and noninvasive approach to tracking clonal evolution and the emergence of treatment-resistant clones.","author":[{"dropping-particle":"","family":"Rossi","given":"Davide","non-dropping-particle":"","parse-names":false,"suffix":""},{"dropping-particle":"","family":"Diop","given":"Fary","non-dropping-particle":"","parse-names":false,"suffix":""},{"dropping-particle":"","family":"Spaccarotella","given":"Elisa","non-dropping-particle":"","parse-names":false,"suffix":""},{"dropping-particle":"","family":"Monti","given":"Sara","non-dropping-particle":"","parse-names":false,"suffix":""},{"dropping-particle":"","family":"Zanni","given":"Manuela","non-dropping-particle":"","parse-names":false,"suffix":""},{"dropping-particle":"","family":"Rasi","given":"Silvia","non-dropping-particle":"","parse-names":false,"suffix":""},{"dropping-particle":"","family":"Deambrogi","given":"Clara","non-dropping-particle":"","parse-names":false,"suffix":""},{"dropping-particle":"","family":"Spina","given":"Valeria","non-dropping-particle":"","parse-names":false,"suffix":""},{"dropping-particle":"","family":"Bruscaggin","given":"Alessio","non-dropping-particle":"","parse-names":false,"suffix":""},{"dropping-particle":"","family":"Favini","given":"Chiara","non-dropping-particle":"","parse-names":false,"suffix":""},{"dropping-particle":"","family":"Serra","given":"Roberto","non-dropping-particle":"","parse-names":false,"suffix":""},{"dropping-particle":"","family":"Ramponi","given":"Antonio","non-dropping-particle":"","parse-names":false,"suffix":""},{"dropping-particle":"","family":"Boldorini","given":"Renzo","non-dropping-particle":"","parse-names":false,"suffix":""},{"dropping-particle":"","family":"Foà","given":"Robin","non-dropping-particle":"","parse-names":false,"suffix":""},{"dropping-particle":"","family":"Gaidano","given":"Gianluca","non-dropping-particle":"","parse-names":false,"suffix":""}],"container-title":"Blood","id":"ITEM-2","issue":"14","issued":{"date-parts":[["2017","4","6"]]},"page":"1947-1957","publisher":"American Society of Hematology","title":"Diffuse large B-cell lymphoma genotyping on the liquid biopsy","type":"article-journal","volume":"129"},"uris":["http://www.mendeley.com/documents/?uuid=e8edf2ea-1c37-3806-8193-21068faa3e82"]}],"mendeley":{"formattedCitation":"(Andrade-Campos et al., 2019; Rossi et al., 2017)","plainTextFormattedCitation":"(Andrade-Campos et al., 2019; Rossi et al., 2017)","previouslyFormattedCitation":"(Andrade-Campos et al., 2019; Rossi et al., 2017)"},"properties":{"noteIndex":0},"schema":"https://github.com/citation-style-language/schema/raw/master/csl-citation.json"}</w:instrText>
      </w:r>
      <w:r w:rsidR="00D4493D" w:rsidRPr="00245037">
        <w:rPr>
          <w:rFonts w:ascii="Times New Roman" w:hAnsi="Times New Roman" w:cs="Times New Roman"/>
          <w:sz w:val="24"/>
          <w:szCs w:val="24"/>
          <w:lang w:val="en-GB"/>
        </w:rPr>
        <w:fldChar w:fldCharType="separate"/>
      </w:r>
      <w:r w:rsidR="00D4493D" w:rsidRPr="00245037">
        <w:rPr>
          <w:rFonts w:ascii="Times New Roman" w:hAnsi="Times New Roman" w:cs="Times New Roman"/>
          <w:noProof/>
          <w:sz w:val="24"/>
          <w:szCs w:val="24"/>
          <w:lang w:val="en-GB"/>
        </w:rPr>
        <w:t>(Andrade-Campos et al., 2019; Rossi et al., 2017)</w:t>
      </w:r>
      <w:r w:rsidR="00D4493D" w:rsidRPr="00245037">
        <w:rPr>
          <w:rFonts w:ascii="Times New Roman" w:hAnsi="Times New Roman" w:cs="Times New Roman"/>
          <w:sz w:val="24"/>
          <w:szCs w:val="24"/>
          <w:lang w:val="en-GB"/>
        </w:rPr>
        <w:fldChar w:fldCharType="end"/>
      </w:r>
      <w:r w:rsidR="00D4493D" w:rsidRPr="00245037">
        <w:rPr>
          <w:rFonts w:ascii="Times New Roman" w:hAnsi="Times New Roman" w:cs="Times New Roman"/>
          <w:sz w:val="24"/>
          <w:szCs w:val="24"/>
          <w:lang w:val="en-GB"/>
        </w:rPr>
        <w:t>.</w:t>
      </w:r>
    </w:p>
    <w:bookmarkEnd w:id="4"/>
    <w:p w14:paraId="40B9A004" w14:textId="77777777" w:rsidR="00002888" w:rsidRPr="00002888" w:rsidRDefault="00002888" w:rsidP="00002888">
      <w:pPr>
        <w:spacing w:before="0" w:after="0" w:line="360" w:lineRule="auto"/>
        <w:jc w:val="left"/>
        <w:rPr>
          <w:rFonts w:ascii="Times New Roman" w:hAnsi="Times New Roman" w:cs="Times New Roman"/>
          <w:sz w:val="24"/>
          <w:szCs w:val="24"/>
          <w:lang w:val="en-GB"/>
        </w:rPr>
      </w:pPr>
    </w:p>
    <w:p w14:paraId="322DA914" w14:textId="159C4340" w:rsidR="00D85736" w:rsidRPr="00245037" w:rsidRDefault="00D85736" w:rsidP="00002888">
      <w:pPr>
        <w:spacing w:before="0" w:after="0" w:line="360" w:lineRule="auto"/>
        <w:jc w:val="left"/>
        <w:rPr>
          <w:rStyle w:val="Hyperlink"/>
          <w:rFonts w:ascii="Times New Roman" w:hAnsi="Times New Roman" w:cs="Times New Roman"/>
          <w:color w:val="auto"/>
          <w:sz w:val="24"/>
          <w:szCs w:val="24"/>
          <w:u w:val="none"/>
          <w:lang w:val="en-GB"/>
        </w:rPr>
      </w:pPr>
      <w:r w:rsidRPr="00002888">
        <w:rPr>
          <w:rFonts w:ascii="Times New Roman" w:hAnsi="Times New Roman" w:cs="Times New Roman"/>
          <w:sz w:val="24"/>
          <w:szCs w:val="24"/>
          <w:lang w:val="en-GB"/>
        </w:rPr>
        <w:t xml:space="preserve">Consequently, </w:t>
      </w:r>
      <w:r w:rsidR="00EC095A" w:rsidRPr="00002888">
        <w:rPr>
          <w:rFonts w:ascii="Times New Roman" w:hAnsi="Times New Roman" w:cs="Times New Roman"/>
          <w:sz w:val="24"/>
          <w:szCs w:val="24"/>
          <w:lang w:val="en-GB"/>
        </w:rPr>
        <w:t xml:space="preserve">we should persist in our </w:t>
      </w:r>
      <w:r w:rsidRPr="00002888">
        <w:rPr>
          <w:rFonts w:ascii="Times New Roman" w:hAnsi="Times New Roman" w:cs="Times New Roman"/>
          <w:sz w:val="24"/>
          <w:szCs w:val="24"/>
          <w:lang w:val="en-GB"/>
        </w:rPr>
        <w:t xml:space="preserve">approach to extend our DNA methylation profiling of high-quality, purified </w:t>
      </w:r>
      <w:r w:rsidR="00883A70" w:rsidRPr="00002888">
        <w:rPr>
          <w:rFonts w:ascii="Times New Roman" w:hAnsi="Times New Roman" w:cs="Times New Roman"/>
          <w:sz w:val="24"/>
          <w:szCs w:val="24"/>
          <w:lang w:val="en-GB"/>
        </w:rPr>
        <w:t xml:space="preserve">SMZL </w:t>
      </w:r>
      <w:r w:rsidRPr="00002888">
        <w:rPr>
          <w:rFonts w:ascii="Times New Roman" w:hAnsi="Times New Roman" w:cs="Times New Roman"/>
          <w:sz w:val="24"/>
          <w:szCs w:val="24"/>
          <w:lang w:val="en-GB"/>
        </w:rPr>
        <w:t>material from</w:t>
      </w:r>
      <w:r w:rsidR="00883A70" w:rsidRPr="00002888">
        <w:rPr>
          <w:rFonts w:ascii="Times New Roman" w:hAnsi="Times New Roman" w:cs="Times New Roman"/>
          <w:sz w:val="24"/>
          <w:szCs w:val="24"/>
          <w:lang w:val="en-GB"/>
        </w:rPr>
        <w:t xml:space="preserve"> large clinically annotated cohorts reflecting the clinical and biological </w:t>
      </w:r>
      <w:r w:rsidR="00BB7C13" w:rsidRPr="00002888">
        <w:rPr>
          <w:rFonts w:ascii="Times New Roman" w:hAnsi="Times New Roman" w:cs="Times New Roman"/>
          <w:sz w:val="24"/>
          <w:szCs w:val="24"/>
          <w:lang w:val="en-GB"/>
        </w:rPr>
        <w:t>heterogeneity</w:t>
      </w:r>
      <w:r w:rsidR="00883A70" w:rsidRPr="00002888">
        <w:rPr>
          <w:rFonts w:ascii="Times New Roman" w:hAnsi="Times New Roman" w:cs="Times New Roman"/>
          <w:sz w:val="24"/>
          <w:szCs w:val="24"/>
          <w:lang w:val="en-GB"/>
        </w:rPr>
        <w:t xml:space="preserve"> of the disease</w:t>
      </w:r>
      <w:r w:rsidRPr="00002888">
        <w:rPr>
          <w:rFonts w:ascii="Times New Roman" w:hAnsi="Times New Roman" w:cs="Times New Roman"/>
          <w:sz w:val="24"/>
          <w:szCs w:val="24"/>
          <w:lang w:val="en-GB"/>
        </w:rPr>
        <w:t xml:space="preserve">, using high-resolution </w:t>
      </w:r>
      <w:r w:rsidR="00883A70" w:rsidRPr="00002888">
        <w:rPr>
          <w:rFonts w:ascii="Times New Roman" w:hAnsi="Times New Roman" w:cs="Times New Roman"/>
          <w:sz w:val="24"/>
          <w:szCs w:val="24"/>
          <w:lang w:val="en-GB"/>
        </w:rPr>
        <w:t>microarrays and</w:t>
      </w:r>
      <w:r w:rsidR="00400C79" w:rsidRPr="00002888">
        <w:rPr>
          <w:rFonts w:ascii="Times New Roman" w:hAnsi="Times New Roman" w:cs="Times New Roman"/>
          <w:sz w:val="24"/>
          <w:szCs w:val="24"/>
          <w:lang w:val="en-GB"/>
        </w:rPr>
        <w:t xml:space="preserve"> reduced representation </w:t>
      </w:r>
      <w:proofErr w:type="spellStart"/>
      <w:r w:rsidR="00400C79" w:rsidRPr="00002888">
        <w:rPr>
          <w:rFonts w:ascii="Times New Roman" w:hAnsi="Times New Roman" w:cs="Times New Roman"/>
          <w:sz w:val="24"/>
          <w:szCs w:val="24"/>
          <w:lang w:val="en-GB"/>
        </w:rPr>
        <w:t>bisulfite</w:t>
      </w:r>
      <w:proofErr w:type="spellEnd"/>
      <w:r w:rsidR="00400C79" w:rsidRPr="00002888">
        <w:rPr>
          <w:rFonts w:ascii="Times New Roman" w:hAnsi="Times New Roman" w:cs="Times New Roman"/>
          <w:sz w:val="24"/>
          <w:szCs w:val="24"/>
          <w:lang w:val="en-GB"/>
        </w:rPr>
        <w:t xml:space="preserve"> sequencing (</w:t>
      </w:r>
      <w:r w:rsidR="00883A70" w:rsidRPr="00002888">
        <w:rPr>
          <w:rFonts w:ascii="Times New Roman" w:hAnsi="Times New Roman" w:cs="Times New Roman"/>
          <w:sz w:val="24"/>
          <w:szCs w:val="24"/>
          <w:lang w:val="en-GB"/>
        </w:rPr>
        <w:t>RRBS</w:t>
      </w:r>
      <w:r w:rsidR="00400C79" w:rsidRPr="00002888">
        <w:rPr>
          <w:rFonts w:ascii="Times New Roman" w:hAnsi="Times New Roman" w:cs="Times New Roman"/>
          <w:sz w:val="24"/>
          <w:szCs w:val="24"/>
          <w:lang w:val="en-GB"/>
        </w:rPr>
        <w:t>)</w:t>
      </w:r>
      <w:r w:rsidR="00883A70" w:rsidRPr="00002888">
        <w:rPr>
          <w:rFonts w:ascii="Times New Roman" w:hAnsi="Times New Roman" w:cs="Times New Roman"/>
          <w:sz w:val="24"/>
          <w:szCs w:val="24"/>
          <w:lang w:val="en-GB"/>
        </w:rPr>
        <w:t xml:space="preserve"> approach</w:t>
      </w:r>
      <w:r w:rsidR="0CA1F2A9" w:rsidRPr="00002888">
        <w:rPr>
          <w:rFonts w:ascii="Times New Roman" w:hAnsi="Times New Roman" w:cs="Times New Roman"/>
          <w:sz w:val="24"/>
          <w:szCs w:val="24"/>
          <w:lang w:val="en-GB"/>
        </w:rPr>
        <w:t>es</w:t>
      </w:r>
      <w:r w:rsidR="00883A70" w:rsidRPr="00002888">
        <w:rPr>
          <w:rFonts w:ascii="Times New Roman" w:hAnsi="Times New Roman" w:cs="Times New Roman"/>
          <w:sz w:val="24"/>
          <w:szCs w:val="24"/>
          <w:lang w:val="en-GB"/>
        </w:rPr>
        <w:t>.</w:t>
      </w:r>
      <w:r w:rsidR="00EC095A" w:rsidRPr="00002888">
        <w:rPr>
          <w:rFonts w:ascii="Times New Roman" w:hAnsi="Times New Roman" w:cs="Times New Roman"/>
          <w:sz w:val="24"/>
          <w:szCs w:val="24"/>
          <w:lang w:val="en-GB"/>
        </w:rPr>
        <w:t xml:space="preserve"> Parallel analysis of expansive published data sets and the detailed </w:t>
      </w:r>
      <w:r w:rsidR="00696DFC" w:rsidRPr="00002888">
        <w:rPr>
          <w:rFonts w:ascii="Times New Roman" w:hAnsi="Times New Roman" w:cs="Times New Roman"/>
          <w:sz w:val="24"/>
          <w:szCs w:val="24"/>
          <w:lang w:val="en-GB"/>
        </w:rPr>
        <w:t>fluorescence</w:t>
      </w:r>
      <w:r w:rsidR="004E579B" w:rsidRPr="00002888">
        <w:rPr>
          <w:rFonts w:ascii="Times New Roman" w:hAnsi="Times New Roman" w:cs="Times New Roman"/>
          <w:sz w:val="24"/>
          <w:szCs w:val="24"/>
          <w:lang w:val="en-GB"/>
        </w:rPr>
        <w:t xml:space="preserve">-activated cell sorting </w:t>
      </w:r>
      <w:r w:rsidR="00971082" w:rsidRPr="00002888">
        <w:rPr>
          <w:rFonts w:ascii="Times New Roman" w:hAnsi="Times New Roman" w:cs="Times New Roman"/>
          <w:sz w:val="24"/>
          <w:szCs w:val="24"/>
          <w:lang w:val="en-GB"/>
        </w:rPr>
        <w:t>(</w:t>
      </w:r>
      <w:r w:rsidR="00EC095A" w:rsidRPr="00002888">
        <w:rPr>
          <w:rFonts w:ascii="Times New Roman" w:hAnsi="Times New Roman" w:cs="Times New Roman"/>
          <w:sz w:val="24"/>
          <w:szCs w:val="24"/>
          <w:lang w:val="en-GB"/>
        </w:rPr>
        <w:t>FAC</w:t>
      </w:r>
      <w:r w:rsidR="00971082" w:rsidRPr="00002888">
        <w:rPr>
          <w:rFonts w:ascii="Times New Roman" w:hAnsi="Times New Roman" w:cs="Times New Roman"/>
          <w:sz w:val="24"/>
          <w:szCs w:val="24"/>
          <w:lang w:val="en-GB"/>
        </w:rPr>
        <w:t>s)</w:t>
      </w:r>
      <w:r w:rsidR="00EC095A" w:rsidRPr="00002888">
        <w:rPr>
          <w:rFonts w:ascii="Times New Roman" w:hAnsi="Times New Roman" w:cs="Times New Roman"/>
          <w:sz w:val="24"/>
          <w:szCs w:val="24"/>
          <w:lang w:val="en-GB"/>
        </w:rPr>
        <w:t xml:space="preserve"> purification of additional </w:t>
      </w:r>
      <w:r w:rsidR="7D626B83" w:rsidRPr="00002888">
        <w:rPr>
          <w:rFonts w:ascii="Times New Roman" w:hAnsi="Times New Roman" w:cs="Times New Roman"/>
          <w:sz w:val="24"/>
          <w:szCs w:val="24"/>
          <w:lang w:val="en-GB"/>
        </w:rPr>
        <w:t xml:space="preserve">normal </w:t>
      </w:r>
      <w:r w:rsidR="00EC095A" w:rsidRPr="00002888">
        <w:rPr>
          <w:rFonts w:ascii="Times New Roman" w:hAnsi="Times New Roman" w:cs="Times New Roman"/>
          <w:sz w:val="24"/>
          <w:szCs w:val="24"/>
          <w:lang w:val="en-GB"/>
        </w:rPr>
        <w:t xml:space="preserve">B-cell populations that reflect both the maturation state and the MZ origin of the disease will be critical. </w:t>
      </w:r>
      <w:r w:rsidR="00883A70" w:rsidRPr="00002888">
        <w:rPr>
          <w:rFonts w:ascii="Times New Roman" w:hAnsi="Times New Roman" w:cs="Times New Roman"/>
          <w:sz w:val="24"/>
          <w:szCs w:val="24"/>
          <w:lang w:val="en-GB"/>
        </w:rPr>
        <w:t xml:space="preserve">This </w:t>
      </w:r>
      <w:r w:rsidR="006C02DC" w:rsidRPr="00002888">
        <w:rPr>
          <w:rFonts w:ascii="Times New Roman" w:hAnsi="Times New Roman" w:cs="Times New Roman"/>
          <w:sz w:val="24"/>
          <w:szCs w:val="24"/>
          <w:lang w:val="en-GB"/>
        </w:rPr>
        <w:t xml:space="preserve">will likely identify further disease subgroups, </w:t>
      </w:r>
      <w:r w:rsidR="00400C79" w:rsidRPr="00002888">
        <w:rPr>
          <w:rFonts w:ascii="Times New Roman" w:hAnsi="Times New Roman" w:cs="Times New Roman"/>
          <w:sz w:val="24"/>
          <w:szCs w:val="24"/>
          <w:lang w:val="en-GB"/>
        </w:rPr>
        <w:t>extending</w:t>
      </w:r>
      <w:r w:rsidR="00883A70" w:rsidRPr="00002888">
        <w:rPr>
          <w:rFonts w:ascii="Times New Roman" w:hAnsi="Times New Roman" w:cs="Times New Roman"/>
          <w:sz w:val="24"/>
          <w:szCs w:val="24"/>
          <w:lang w:val="en-GB"/>
        </w:rPr>
        <w:t xml:space="preserve"> the </w:t>
      </w:r>
      <w:r w:rsidR="00883A70" w:rsidRPr="00002888">
        <w:rPr>
          <w:rFonts w:ascii="Times New Roman" w:hAnsi="Times New Roman" w:cs="Times New Roman"/>
          <w:sz w:val="24"/>
          <w:szCs w:val="24"/>
          <w:lang w:val="en-GB"/>
        </w:rPr>
        <w:lastRenderedPageBreak/>
        <w:t xml:space="preserve">important study from </w:t>
      </w:r>
      <w:proofErr w:type="spellStart"/>
      <w:r w:rsidR="00883A70" w:rsidRPr="00002888">
        <w:rPr>
          <w:rFonts w:ascii="Times New Roman" w:hAnsi="Times New Roman" w:cs="Times New Roman"/>
          <w:sz w:val="24"/>
          <w:szCs w:val="24"/>
          <w:lang w:val="en-GB"/>
        </w:rPr>
        <w:t>Arribas</w:t>
      </w:r>
      <w:proofErr w:type="spellEnd"/>
      <w:r w:rsidR="00883A70" w:rsidRPr="00002888">
        <w:rPr>
          <w:rFonts w:ascii="Times New Roman" w:hAnsi="Times New Roman" w:cs="Times New Roman"/>
          <w:sz w:val="24"/>
          <w:szCs w:val="24"/>
          <w:lang w:val="en-GB"/>
        </w:rPr>
        <w:t xml:space="preserve"> and colleagues</w:t>
      </w:r>
      <w:r w:rsidR="0095797F" w:rsidRPr="00002888">
        <w:rPr>
          <w:rFonts w:ascii="Times New Roman" w:hAnsi="Times New Roman" w:cs="Times New Roman"/>
          <w:sz w:val="24"/>
          <w:szCs w:val="24"/>
          <w:lang w:val="en-GB"/>
        </w:rPr>
        <w:t xml:space="preserve">, that identified the PRC2 </w:t>
      </w:r>
      <w:proofErr w:type="spellStart"/>
      <w:r w:rsidR="0095797F" w:rsidRPr="00002888">
        <w:rPr>
          <w:rFonts w:ascii="Times New Roman" w:hAnsi="Times New Roman" w:cs="Times New Roman"/>
          <w:sz w:val="24"/>
          <w:szCs w:val="24"/>
          <w:lang w:val="en-GB"/>
        </w:rPr>
        <w:t>epitype</w:t>
      </w:r>
      <w:proofErr w:type="spellEnd"/>
      <w:r w:rsidR="0095797F" w:rsidRPr="00002888">
        <w:rPr>
          <w:rFonts w:ascii="Times New Roman" w:hAnsi="Times New Roman" w:cs="Times New Roman"/>
          <w:sz w:val="24"/>
          <w:szCs w:val="24"/>
          <w:lang w:val="en-GB"/>
        </w:rPr>
        <w:t xml:space="preserve"> using low-resolution array-based promoter DNA methylation and expression profiling</w:t>
      </w:r>
      <w:r w:rsidR="00BB7C13" w:rsidRPr="00002888">
        <w:rPr>
          <w:rFonts w:ascii="Times New Roman" w:hAnsi="Times New Roman" w:cs="Times New Roman"/>
          <w:sz w:val="24"/>
          <w:szCs w:val="24"/>
          <w:lang w:val="en-GB"/>
        </w:rPr>
        <w:t xml:space="preserve"> </w:t>
      </w:r>
      <w:r w:rsidR="00FC4190" w:rsidRPr="00002888">
        <w:rPr>
          <w:rFonts w:ascii="Times New Roman" w:hAnsi="Times New Roman" w:cs="Times New Roman"/>
          <w:sz w:val="24"/>
          <w:szCs w:val="24"/>
          <w:lang w:val="en-GB"/>
        </w:rPr>
        <w:fldChar w:fldCharType="begin" w:fldLock="1"/>
      </w:r>
      <w:r w:rsidR="00823B40" w:rsidRPr="00002888">
        <w:rPr>
          <w:rFonts w:ascii="Times New Roman" w:hAnsi="Times New Roman" w:cs="Times New Roman"/>
          <w:sz w:val="24"/>
          <w:szCs w:val="24"/>
          <w:lang w:val="en-GB"/>
        </w:rPr>
        <w:instrText>ADDIN CSL_CITATION {"citationItems":[{"id":"ITEM-1","itemData":{"DOI":"10.1182/blood-2014-08-596247","ISSN":"0006-4971","PMID":"25612624","abstract":"Methylation profiling identifies subgroups of SMZL with distinct biological features. Demethylating agents can reverse some of the adverse epigenetic alterations.","author":[{"dropping-particle":"","family":"Arribas","given":"Alberto J.","non-dropping-particle":"","parse-names":false,"suffix":""},{"dropping-particle":"","family":"Rinaldi","given":"Andrea","non-dropping-particle":"","parse-names":false,"suffix":""},{"dropping-particle":"","family":"Mensah","given":"Afua A.","non-dropping-particle":"","parse-names":false,"suffix":""},{"dropping-particle":"","family":"Kwee","given":"Ivo","non-dropping-particle":"","parse-names":false,"suffix":""},{"dropping-particle":"","family":"Cascione","given":"Luciano","non-dropping-particle":"","parse-names":false,"suffix":""},{"dropping-particle":"","family":"Robles","given":"Eloy F.","non-dropping-particle":"","parse-names":false,"suffix":""},{"dropping-particle":"","family":"Martinez-Climent","given":"Jose A.","non-dropping-particle":"","parse-names":false,"suffix":""},{"dropping-particle":"","family":"Oscier","given":"David","non-dropping-particle":"","parse-names":false,"suffix":""},{"dropping-particle":"","family":"Arcaini","given":"Luca","non-dropping-particle":"","parse-names":false,"suffix":""},{"dropping-particle":"","family":"Baldini","given":"Luca","non-dropping-particle":"","parse-names":false,"suffix":""},{"dropping-particle":"","family":"Marasca","given":"Roberto","non-dropping-particle":"","parse-names":false,"suffix":""},{"dropping-particle":"","family":"Thieblemont","given":"Catherine","non-dropping-particle":"","parse-names":false,"suffix":""},{"dropping-particle":"","family":"Briere","given":"Josette","non-dropping-particle":"","parse-names":false,"suffix":""},{"dropping-particle":"","family":"Forconi","given":"Francesco","non-dropping-particle":"","parse-names":false,"suffix":""},{"dropping-particle":"","family":"Zamò","given":"Alberto","non-dropping-particle":"","parse-names":false,"suffix":""},{"dropping-particle":"","family":"Bonifacio","given":"Massimiliano","non-dropping-particle":"","parse-names":false,"suffix":""},{"dropping-particle":"","family":"Mollejo","given":"Manuela","non-dropping-particle":"","parse-names":false,"suffix":""},{"dropping-particle":"","family":"Facchetti","given":"Fabio","non-dropping-particle":"","parse-names":false,"suffix":""},{"dropping-particle":"","family":"Dirnhofer","given":"Stephan","non-dropping-particle":"","parse-names":false,"suffix":""},{"dropping-particle":"","family":"Ponzoni","given":"Maurilio","non-dropping-particle":"","parse-names":false,"suffix":""},{"dropping-particle":"","family":"Bhagat","given":"Govind","non-dropping-particle":"","parse-names":false,"suffix":""},{"dropping-particle":"","family":"Piris","given":"Miguel A.","non-dropping-particle":"","parse-names":false,"suffix":""},{"dropping-particle":"","family":"Gaidano","given":"Gianluca","non-dropping-particle":"","parse-names":false,"suffix":""},{"dropping-particle":"","family":"Zucca","given":"Emanuele","non-dropping-particle":"","parse-names":false,"suffix":""},{"dropping-particle":"","family":"Rossi","given":"Davide","non-dropping-particle":"","parse-names":false,"suffix":""},{"dropping-particle":"","family":"Bertoni","given":"Francesco","non-dropping-particle":"","parse-names":false,"suffix":""}],"container-title":"Blood","id":"ITEM-1","issue":"12","issued":{"date-parts":[["2015","3","19"]]},"page":"1922-1931","title":"DNA methylation profiling identifies two splenic marginal zone lymphoma subgroups with different clinical and genetic features","type":"article-journal","volume":"125"},"uris":["http://www.mendeley.com/documents/?uuid=f9d5c83f-ede8-4d1a-b946-90f6b7efba70"]}],"mendeley":{"formattedCitation":"(Arribas et al., 2015)","plainTextFormattedCitation":"(Arribas et al., 2015)","previouslyFormattedCitation":"(Arribas et al., 2015)"},"properties":{"noteIndex":0},"schema":"https://github.com/citation-style-language/schema/raw/master/csl-citation.json"}</w:instrText>
      </w:r>
      <w:r w:rsidR="00FC4190" w:rsidRPr="00002888">
        <w:rPr>
          <w:rFonts w:ascii="Times New Roman" w:hAnsi="Times New Roman" w:cs="Times New Roman"/>
          <w:sz w:val="24"/>
          <w:szCs w:val="24"/>
          <w:lang w:val="en-GB"/>
        </w:rPr>
        <w:fldChar w:fldCharType="separate"/>
      </w:r>
      <w:r w:rsidR="0022265B" w:rsidRPr="00002888">
        <w:rPr>
          <w:rFonts w:ascii="Times New Roman" w:hAnsi="Times New Roman" w:cs="Times New Roman"/>
          <w:noProof/>
          <w:sz w:val="24"/>
          <w:szCs w:val="24"/>
          <w:lang w:val="en-GB"/>
        </w:rPr>
        <w:t>(Arribas et al., 2015)</w:t>
      </w:r>
      <w:r w:rsidR="00FC4190" w:rsidRPr="00002888">
        <w:rPr>
          <w:rFonts w:ascii="Times New Roman" w:hAnsi="Times New Roman" w:cs="Times New Roman"/>
          <w:sz w:val="24"/>
          <w:szCs w:val="24"/>
          <w:lang w:val="en-GB"/>
        </w:rPr>
        <w:fldChar w:fldCharType="end"/>
      </w:r>
      <w:r w:rsidR="0095797F" w:rsidRPr="00002888">
        <w:rPr>
          <w:rFonts w:ascii="Times New Roman" w:hAnsi="Times New Roman" w:cs="Times New Roman"/>
          <w:sz w:val="24"/>
          <w:szCs w:val="24"/>
          <w:lang w:val="en-GB"/>
        </w:rPr>
        <w:t xml:space="preserve">. </w:t>
      </w:r>
      <w:r w:rsidR="00BB7C13" w:rsidRPr="00002888">
        <w:rPr>
          <w:rFonts w:ascii="Times New Roman" w:hAnsi="Times New Roman" w:cs="Times New Roman"/>
          <w:sz w:val="24"/>
          <w:szCs w:val="24"/>
          <w:lang w:val="en-GB"/>
        </w:rPr>
        <w:t xml:space="preserve">Moreover, a comparison between the methylome of SMZL and other mature B-cell neoplasms, will likely provide valuable information with utility for disease classification, particularly for patients that are currently difficult to precisely diagnose. </w:t>
      </w:r>
      <w:r w:rsidR="00C92264" w:rsidRPr="00002888">
        <w:rPr>
          <w:rFonts w:ascii="Times New Roman" w:hAnsi="Times New Roman" w:cs="Times New Roman"/>
          <w:sz w:val="24"/>
          <w:szCs w:val="24"/>
          <w:lang w:val="en-GB"/>
        </w:rPr>
        <w:t xml:space="preserve">DNA methylation also has potential in identifying the proliferative history of a tumour cell, as </w:t>
      </w:r>
      <w:r w:rsidR="3EC769E4" w:rsidRPr="00002888">
        <w:rPr>
          <w:rFonts w:ascii="Times New Roman" w:hAnsi="Times New Roman" w:cs="Times New Roman"/>
          <w:sz w:val="24"/>
          <w:szCs w:val="24"/>
          <w:lang w:val="en-GB"/>
        </w:rPr>
        <w:t>passive</w:t>
      </w:r>
      <w:r w:rsidR="00C92264" w:rsidRPr="00002888">
        <w:rPr>
          <w:rFonts w:ascii="Times New Roman" w:hAnsi="Times New Roman" w:cs="Times New Roman"/>
          <w:sz w:val="24"/>
          <w:szCs w:val="24"/>
          <w:lang w:val="en-GB"/>
        </w:rPr>
        <w:t xml:space="preserve"> accumulati</w:t>
      </w:r>
      <w:r w:rsidR="73CEAD72" w:rsidRPr="00002888">
        <w:rPr>
          <w:rFonts w:ascii="Times New Roman" w:hAnsi="Times New Roman" w:cs="Times New Roman"/>
          <w:sz w:val="24"/>
          <w:szCs w:val="24"/>
          <w:lang w:val="en-GB"/>
        </w:rPr>
        <w:t>o</w:t>
      </w:r>
      <w:r w:rsidR="38B23014" w:rsidRPr="00002888">
        <w:rPr>
          <w:rFonts w:ascii="Times New Roman" w:hAnsi="Times New Roman" w:cs="Times New Roman"/>
          <w:sz w:val="24"/>
          <w:szCs w:val="24"/>
          <w:lang w:val="en-GB"/>
        </w:rPr>
        <w:t>n</w:t>
      </w:r>
      <w:r w:rsidR="00C92264" w:rsidRPr="00002888">
        <w:rPr>
          <w:rFonts w:ascii="Times New Roman" w:hAnsi="Times New Roman" w:cs="Times New Roman"/>
          <w:sz w:val="24"/>
          <w:szCs w:val="24"/>
          <w:lang w:val="en-GB"/>
        </w:rPr>
        <w:t xml:space="preserve"> </w:t>
      </w:r>
      <w:r w:rsidR="1C13176E" w:rsidRPr="00002888">
        <w:rPr>
          <w:rFonts w:ascii="Times New Roman" w:hAnsi="Times New Roman" w:cs="Times New Roman"/>
          <w:sz w:val="24"/>
          <w:szCs w:val="24"/>
          <w:lang w:val="en-GB"/>
        </w:rPr>
        <w:t>of</w:t>
      </w:r>
      <w:r w:rsidR="00C92264" w:rsidRPr="00002888">
        <w:rPr>
          <w:rFonts w:ascii="Times New Roman" w:hAnsi="Times New Roman" w:cs="Times New Roman"/>
          <w:sz w:val="24"/>
          <w:szCs w:val="24"/>
          <w:lang w:val="en-GB"/>
        </w:rPr>
        <w:t xml:space="preserve"> DNA methylation in repressed </w:t>
      </w:r>
      <w:r w:rsidR="00C92264" w:rsidRPr="00245037">
        <w:rPr>
          <w:rFonts w:ascii="Times New Roman" w:hAnsi="Times New Roman" w:cs="Times New Roman"/>
          <w:sz w:val="24"/>
          <w:szCs w:val="24"/>
          <w:lang w:val="en-GB"/>
        </w:rPr>
        <w:t>regions without detectable function</w:t>
      </w:r>
      <w:r w:rsidR="649703E6" w:rsidRPr="00245037">
        <w:rPr>
          <w:rFonts w:ascii="Times New Roman" w:hAnsi="Times New Roman" w:cs="Times New Roman"/>
          <w:sz w:val="24"/>
          <w:szCs w:val="24"/>
          <w:lang w:val="en-GB"/>
        </w:rPr>
        <w:t xml:space="preserve"> is</w:t>
      </w:r>
      <w:r w:rsidR="00C92264" w:rsidRPr="00245037">
        <w:rPr>
          <w:rFonts w:ascii="Times New Roman" w:hAnsi="Times New Roman" w:cs="Times New Roman"/>
          <w:sz w:val="24"/>
          <w:szCs w:val="24"/>
          <w:lang w:val="en-GB"/>
        </w:rPr>
        <w:t xml:space="preserve"> a feature that can be used as a clock of cellular proliferation</w:t>
      </w:r>
      <w:r w:rsidR="00FC4190" w:rsidRPr="00245037">
        <w:rPr>
          <w:rFonts w:ascii="Times New Roman" w:hAnsi="Times New Roman" w:cs="Times New Roman"/>
          <w:sz w:val="24"/>
          <w:szCs w:val="24"/>
          <w:lang w:val="en-GB"/>
        </w:rPr>
        <w:t xml:space="preserve"> </w:t>
      </w:r>
      <w:r w:rsidR="00FC4190" w:rsidRPr="00245037">
        <w:rPr>
          <w:rFonts w:ascii="Times New Roman" w:hAnsi="Times New Roman" w:cs="Times New Roman"/>
          <w:sz w:val="24"/>
          <w:szCs w:val="24"/>
          <w:lang w:val="en-GB"/>
        </w:rPr>
        <w:fldChar w:fldCharType="begin" w:fldLock="1"/>
      </w:r>
      <w:r w:rsidR="00D42449" w:rsidRPr="00245037">
        <w:rPr>
          <w:rFonts w:ascii="Times New Roman" w:hAnsi="Times New Roman" w:cs="Times New Roman"/>
          <w:sz w:val="24"/>
          <w:szCs w:val="24"/>
          <w:lang w:val="en-GB"/>
        </w:rPr>
        <w:instrText>ADDIN CSL_CITATION {"citationItems":[{"id":"ITEM-1","itemData":{"DOI":"10.1038/s41588-018-0073-4","ISSN":"15461718","PMID":"29610480","abstract":"DNA methylation loss occurs frequently in cancer genomes, primarily within lamina-associated, late-replicating regions termed partially methylated domains (PMDs). We profiled 39 diverse primary tumors and 8 matched adjacent tissues using whole-genome bisulfite sequencing (WGBS) and analyzed them alongside 343 additional human and 206 mouse WGBS datasets. We identified a local CpG sequence context associated with preferential hypomethylation in PMDs. Analysis of CpGs in this context ('solo-WCGWs') identified previously undetected PMD hypomethylation in almost all healthy tissue types. PMD hypomethylation increased with age, beginning during fetal development, and appeared to track the accumulation of cell divisions. In cancer, PMD hypomethylation depth correlated with somatic mutation density and cell cycle gene expression, consistent with its reflection of mitotic history and suggesting its application as a mitotic clock. We propose that late replication leads to lifelong progressive methylation loss, which acts as a biomarker for cellular aging and which may contribute to oncogenesis.","author":[{"dropping-particle":"","family":"Zhou","given":"Wanding","non-dropping-particle":"","parse-names":false,"suffix":""},{"dropping-particle":"","family":"Dinh","given":"Huy Q.","non-dropping-particle":"","parse-names":false,"suffix":""},{"dropping-particle":"","family":"Ramjan","given":"Zachary","non-dropping-particle":"","parse-names":false,"suffix":""},{"dropping-particle":"","family":"Weisenberger","given":"Daniel J.","non-dropping-particle":"","parse-names":false,"suffix":""},{"dropping-particle":"","family":"Nicolet","given":"Charles M.","non-dropping-particle":"","parse-names":false,"suffix":""},{"dropping-particle":"","family":"Shen","given":"Hui","non-dropping-particle":"","parse-names":false,"suffix":""},{"dropping-particle":"","family":"Laird","given":"Peter W.","non-dropping-particle":"","parse-names":false,"suffix":""},{"dropping-particle":"","family":"Berman","given":"Benjamin P.","non-dropping-particle":"","parse-names":false,"suffix":""}],"container-title":"Nature Genetics","id":"ITEM-1","issue":"4","issued":{"date-parts":[["2018","4","1"]]},"page":"591-602","publisher":"Nature Publishing Group","title":"DNA methylation loss in late-replicating domains is linked to mitotic cell division","type":"article-journal","volume":"50"},"uris":["http://www.mendeley.com/documents/?uuid=0c128d64-33a1-32be-819c-d2e5ddaade6a"]},{"id":"ITEM-2","itemData":{"DOI":"10.1038/s43018-020-00131-2","ISSN":"26621347","abstract":"We report a systematic analysis of the DNA methylation variability in 1,595 samples of normal cell subpopulations and 14 tumor subtypes spanning the entire human B-cell lineage. Differential methylation among tumor entities relates to differences in cellular origin and to de novo epigenetic alterations, which allowed us to build an accurate machine learning-based diagnostic algorithm. We identify extensive individual-specific methylation variability in silenced chromatin associated with the proliferative history of normal and neoplastic B cells. Mitotic activity generally leaves both hyper- and hypomethylation imprints, but some B-cell neoplasms preferentially gain or lose DNA methylation. We construct a DNA-methylation-based mitotic clock, called epiCMIT, whose lapse magnitude represents a strong independent prognostic variable in B-cell tumors and is associated with particular driver genetic alterations. Our findings reveal DNA methylation as a holistic tracer of B-cell tumor developmental history, with implications in differential diagnosis and the prediction of clinical outcome.","author":[{"dropping-particle":"","family":"Duran-Ferrer","given":"Martí","non-dropping-particle":"","parse-names":false,"suffix":""},{"dropping-particle":"","family":"Clot","given":"Guillem","non-dropping-particle":"","parse-names":false,"suffix":""},{"dropping-particle":"","family":"Nadeu","given":"Ferran","non-dropping-particle":"","parse-names":false,"suffix":""},{"dropping-particle":"","family":"Beekman","given":"Renée","non-dropping-particle":"","parse-names":false,"suffix":""},{"dropping-particle":"","family":"Baumann","given":"Tycho","non-dropping-particle":"","parse-names":false,"suffix":""},{"dropping-particle":"","family":"Nordlund","given":"Jessica","non-dropping-particle":"","parse-names":false,"suffix":""},{"dropping-particle":"","family":"Marincevic-Zuniga","given":"Yanara","non-dropping-particle":"","parse-names":false,"suffix":""},{"dropping-particle":"","family":"Lönnerholm","given":"Gudmar","non-dropping-particle":"","parse-names":false,"suffix":""},{"dropping-particle":"","family":"Rivas-Delgado","given":"Alfredo","non-dropping-particle":"","parse-names":false,"suffix":""},{"dropping-particle":"","family":"Martín","given":"Silvia","non-dropping-particle":"","parse-names":false,"suffix":""},{"dropping-particle":"","family":"Ordoñez","given":"Raquel","non-dropping-particle":"","parse-names":false,"suffix":""},{"dropping-particle":"","family":"Castellano","given":"Giancarlo","non-dropping-particle":"","parse-names":false,"suffix":""},{"dropping-particle":"","family":"Kulis","given":"Marta","non-dropping-particle":"","parse-names":false,"suffix":""},{"dropping-particle":"","family":"Queirós","given":"Ana C.","non-dropping-particle":"","parse-names":false,"suffix":""},{"dropping-particle":"","family":"Lee","given":"Seung Tae","non-dropping-particle":"","parse-names":false,"suffix":""},{"dropping-particle":"","family":"Wiemels","given":"Joseph","non-dropping-particle":"","parse-names":false,"suffix":""},{"dropping-particle":"","family":"Royo","given":"Romina","non-dropping-particle":"","parse-names":false,"suffix":""},{"dropping-particle":"","family":"Puiggrós","given":"Montserrat","non-dropping-particle":"","parse-names":false,"suffix":""},{"dropping-particle":"","family":"Lu","given":"Junyan","non-dropping-particle":"","parse-names":false,"suffix":""},{"dropping-particle":"","family":"Giné","given":"Eva","non-dropping-particle":"","parse-names":false,"suffix":""},{"dropping-particle":"","family":"Beà","given":"Sílvia","non-dropping-particle":"","parse-names":false,"suffix":""},{"dropping-particle":"","family":"Jares","given":"Pedro","non-dropping-particle":"","parse-names":false,"suffix":""},{"dropping-particle":"","family":"Agirre","given":"Xabier","non-dropping-particle":"","parse-names":false,"suffix":""},{"dropping-particle":"","family":"Prosper","given":"Felipe","non-dropping-particle":"","parse-names":false,"suffix":""},{"dropping-particle":"","family":"López-Otín","given":"Carlos","non-dropping-particle":"","parse-names":false,"suffix":""},{"dropping-particle":"","family":"Puente","given":"Xosé S.","non-dropping-particle":"","parse-names":false,"suffix":""},{"dropping-particle":"","family":"Oakes","given":"Christopher C.","non-dropping-particle":"","parse-names":false,"suffix":""},{"dropping-particle":"","family":"Zenz","given":"Thorsten","non-dropping-particle":"","parse-names":false,"suffix":""},{"dropping-particle":"","family":"Delgado","given":"Julio","non-dropping-particle":"","parse-names":false,"suffix":""},{"dropping-particle":"","family":"López-Guillermo","given":"Armando","non-dropping-particle":"","parse-names":false,"suffix":""},{"dropping-particle":"","family":"Campo","given":"Elías","non-dropping-particle":"","parse-names":false,"suffix":""},{"dropping-particle":"","family":"Martín-Subero","given":"José Ignacio","non-dropping-particle":"","parse-names":false,"suffix":""}],"container-title":"Nature Cancer","id":"ITEM-2","issue":"11","issued":{"date-parts":[["2020","11","1"]]},"page":"1066-1081","publisher":"Nature Research","title":"The proliferative history shapes the DNA methylome of B-cell tumors and predicts clinical outcome","type":"article-journal","volume":"1"},"uris":["http://www.mendeley.com/documents/?uuid=bb0d24cb-2707-3346-8eda-f623489f3820"]}],"mendeley":{"formattedCitation":"(Duran-Ferrer et al., 2020; Zhou et al., 2018)","plainTextFormattedCitation":"(Duran-Ferrer et al., 2020; Zhou et al., 2018)","previouslyFormattedCitation":"(Duran-Ferrer et al., 2020; Zhou et al., 2018)"},"properties":{"noteIndex":0},"schema":"https://github.com/citation-style-language/schema/raw/master/csl-citation.json"}</w:instrText>
      </w:r>
      <w:r w:rsidR="00FC4190" w:rsidRPr="00245037">
        <w:rPr>
          <w:rFonts w:ascii="Times New Roman" w:hAnsi="Times New Roman" w:cs="Times New Roman"/>
          <w:sz w:val="24"/>
          <w:szCs w:val="24"/>
          <w:lang w:val="en-GB"/>
        </w:rPr>
        <w:fldChar w:fldCharType="separate"/>
      </w:r>
      <w:r w:rsidR="008722AE" w:rsidRPr="00245037">
        <w:rPr>
          <w:rFonts w:ascii="Times New Roman" w:hAnsi="Times New Roman" w:cs="Times New Roman"/>
          <w:noProof/>
          <w:sz w:val="24"/>
          <w:szCs w:val="24"/>
          <w:lang w:val="en-GB"/>
        </w:rPr>
        <w:t>(Duran-Ferrer et al., 2020; Zhou et al., 2018)</w:t>
      </w:r>
      <w:r w:rsidR="00FC4190" w:rsidRPr="00245037">
        <w:rPr>
          <w:rFonts w:ascii="Times New Roman" w:hAnsi="Times New Roman" w:cs="Times New Roman"/>
          <w:sz w:val="24"/>
          <w:szCs w:val="24"/>
          <w:lang w:val="en-GB"/>
        </w:rPr>
        <w:fldChar w:fldCharType="end"/>
      </w:r>
      <w:r w:rsidR="002A7025" w:rsidRPr="00245037">
        <w:rPr>
          <w:rStyle w:val="Hyperlink"/>
          <w:rFonts w:ascii="Times New Roman" w:hAnsi="Times New Roman" w:cs="Times New Roman"/>
          <w:color w:val="auto"/>
          <w:sz w:val="24"/>
          <w:szCs w:val="24"/>
          <w:u w:val="none"/>
          <w:lang w:val="en-GB"/>
        </w:rPr>
        <w:t>.</w:t>
      </w:r>
    </w:p>
    <w:p w14:paraId="7B3E4186" w14:textId="77777777" w:rsidR="00002888" w:rsidRPr="00245037" w:rsidRDefault="00002888" w:rsidP="00002888">
      <w:pPr>
        <w:spacing w:before="0" w:after="0" w:line="360" w:lineRule="auto"/>
        <w:jc w:val="left"/>
        <w:rPr>
          <w:rStyle w:val="Hyperlink"/>
          <w:rFonts w:ascii="Times New Roman" w:hAnsi="Times New Roman" w:cs="Times New Roman"/>
          <w:color w:val="auto"/>
          <w:sz w:val="24"/>
          <w:szCs w:val="24"/>
          <w:lang w:val="en-GB"/>
        </w:rPr>
      </w:pPr>
    </w:p>
    <w:p w14:paraId="5F011865" w14:textId="00790ECD" w:rsidR="004E3AD9" w:rsidRDefault="006C02DC" w:rsidP="00002888">
      <w:pPr>
        <w:spacing w:before="0" w:after="0" w:line="360" w:lineRule="auto"/>
        <w:jc w:val="left"/>
        <w:rPr>
          <w:rFonts w:ascii="Times New Roman" w:eastAsia="Times New Roman" w:hAnsi="Times New Roman" w:cs="Times New Roman"/>
          <w:color w:val="212121"/>
          <w:sz w:val="24"/>
          <w:szCs w:val="24"/>
          <w:lang w:val="en-GB" w:eastAsia="en-GB"/>
        </w:rPr>
      </w:pPr>
      <w:r w:rsidRPr="00245037">
        <w:rPr>
          <w:rFonts w:ascii="Times New Roman" w:hAnsi="Times New Roman" w:cs="Times New Roman"/>
          <w:sz w:val="24"/>
          <w:szCs w:val="24"/>
          <w:lang w:val="en-GB"/>
        </w:rPr>
        <w:t>Experiments</w:t>
      </w:r>
      <w:r w:rsidR="007239CA" w:rsidRPr="00245037">
        <w:rPr>
          <w:rFonts w:ascii="Times New Roman" w:hAnsi="Times New Roman" w:cs="Times New Roman"/>
          <w:sz w:val="24"/>
          <w:szCs w:val="24"/>
          <w:lang w:val="en-GB"/>
        </w:rPr>
        <w:t xml:space="preserve"> </w:t>
      </w:r>
      <w:r w:rsidRPr="00245037">
        <w:rPr>
          <w:rFonts w:ascii="Times New Roman" w:hAnsi="Times New Roman" w:cs="Times New Roman"/>
          <w:sz w:val="24"/>
          <w:szCs w:val="24"/>
          <w:lang w:val="en-GB"/>
        </w:rPr>
        <w:t>focusing on c</w:t>
      </w:r>
      <w:r w:rsidR="00C002CA" w:rsidRPr="00245037">
        <w:rPr>
          <w:rFonts w:ascii="Times New Roman" w:hAnsi="Times New Roman" w:cs="Times New Roman"/>
          <w:sz w:val="24"/>
          <w:szCs w:val="24"/>
          <w:lang w:val="en-GB"/>
        </w:rPr>
        <w:t xml:space="preserve">omplex karyotype </w:t>
      </w:r>
      <w:r w:rsidRPr="00245037">
        <w:rPr>
          <w:rFonts w:ascii="Times New Roman" w:hAnsi="Times New Roman" w:cs="Times New Roman"/>
          <w:sz w:val="24"/>
          <w:szCs w:val="24"/>
          <w:lang w:val="en-GB"/>
        </w:rPr>
        <w:t>SMZL cases</w:t>
      </w:r>
      <w:r w:rsidR="00C002CA" w:rsidRPr="00245037">
        <w:rPr>
          <w:rFonts w:ascii="Times New Roman" w:hAnsi="Times New Roman" w:cs="Times New Roman"/>
          <w:sz w:val="24"/>
          <w:szCs w:val="24"/>
          <w:lang w:val="en-GB"/>
        </w:rPr>
        <w:t xml:space="preserve">, </w:t>
      </w:r>
      <w:r w:rsidRPr="00245037">
        <w:rPr>
          <w:rFonts w:ascii="Times New Roman" w:hAnsi="Times New Roman" w:cs="Times New Roman"/>
          <w:sz w:val="24"/>
          <w:szCs w:val="24"/>
          <w:lang w:val="en-GB"/>
        </w:rPr>
        <w:t xml:space="preserve">particularly given their high </w:t>
      </w:r>
      <w:r w:rsidR="007239CA" w:rsidRPr="00245037">
        <w:rPr>
          <w:rFonts w:ascii="Times New Roman" w:hAnsi="Times New Roman" w:cs="Times New Roman"/>
          <w:sz w:val="24"/>
          <w:szCs w:val="24"/>
          <w:lang w:val="en-GB"/>
        </w:rPr>
        <w:t>frequency</w:t>
      </w:r>
      <w:r w:rsidRPr="00245037">
        <w:rPr>
          <w:rFonts w:ascii="Times New Roman" w:hAnsi="Times New Roman" w:cs="Times New Roman"/>
          <w:sz w:val="24"/>
          <w:szCs w:val="24"/>
          <w:lang w:val="en-GB"/>
        </w:rPr>
        <w:t>, will provide</w:t>
      </w:r>
      <w:r w:rsidR="007239CA" w:rsidRPr="00245037">
        <w:rPr>
          <w:rFonts w:ascii="Times New Roman" w:hAnsi="Times New Roman" w:cs="Times New Roman"/>
          <w:sz w:val="24"/>
          <w:szCs w:val="24"/>
          <w:lang w:val="en-GB"/>
        </w:rPr>
        <w:t xml:space="preserve"> novel </w:t>
      </w:r>
      <w:r w:rsidR="00C002CA" w:rsidRPr="00245037">
        <w:rPr>
          <w:rFonts w:ascii="Times New Roman" w:hAnsi="Times New Roman" w:cs="Times New Roman"/>
          <w:sz w:val="24"/>
          <w:szCs w:val="24"/>
          <w:lang w:val="en-GB"/>
        </w:rPr>
        <w:t>biological and clinically relevant</w:t>
      </w:r>
      <w:r w:rsidR="007239CA" w:rsidRPr="00245037">
        <w:rPr>
          <w:rFonts w:ascii="Times New Roman" w:hAnsi="Times New Roman" w:cs="Times New Roman"/>
          <w:sz w:val="24"/>
          <w:szCs w:val="24"/>
          <w:lang w:val="en-GB"/>
        </w:rPr>
        <w:t xml:space="preserve"> information</w:t>
      </w:r>
      <w:r w:rsidR="00C002CA" w:rsidRPr="00245037">
        <w:rPr>
          <w:rFonts w:ascii="Times New Roman" w:hAnsi="Times New Roman" w:cs="Times New Roman"/>
          <w:sz w:val="24"/>
          <w:szCs w:val="24"/>
          <w:lang w:val="en-GB"/>
        </w:rPr>
        <w:t xml:space="preserve">, </w:t>
      </w:r>
      <w:r w:rsidR="00D02760" w:rsidRPr="00245037">
        <w:rPr>
          <w:rFonts w:ascii="Times New Roman" w:hAnsi="Times New Roman" w:cs="Times New Roman"/>
          <w:sz w:val="24"/>
          <w:szCs w:val="24"/>
          <w:lang w:val="en-GB"/>
        </w:rPr>
        <w:t xml:space="preserve">as complexity points </w:t>
      </w:r>
      <w:r w:rsidR="009C339E" w:rsidRPr="00245037">
        <w:rPr>
          <w:rFonts w:ascii="Times New Roman" w:hAnsi="Times New Roman" w:cs="Times New Roman"/>
          <w:sz w:val="24"/>
          <w:szCs w:val="24"/>
          <w:lang w:val="en-GB"/>
        </w:rPr>
        <w:t xml:space="preserve">to </w:t>
      </w:r>
      <w:r w:rsidR="00D02760" w:rsidRPr="00245037">
        <w:rPr>
          <w:rFonts w:ascii="Times New Roman" w:hAnsi="Times New Roman" w:cs="Times New Roman"/>
          <w:sz w:val="24"/>
          <w:szCs w:val="24"/>
          <w:lang w:val="en-GB"/>
        </w:rPr>
        <w:t>a key d</w:t>
      </w:r>
      <w:r w:rsidR="00003BA5" w:rsidRPr="00245037">
        <w:rPr>
          <w:rFonts w:ascii="Times New Roman" w:hAnsi="Times New Roman" w:cs="Times New Roman"/>
          <w:sz w:val="24"/>
          <w:szCs w:val="24"/>
          <w:lang w:val="en-GB"/>
        </w:rPr>
        <w:t>ys</w:t>
      </w:r>
      <w:r w:rsidR="00D02760" w:rsidRPr="00245037">
        <w:rPr>
          <w:rFonts w:ascii="Times New Roman" w:hAnsi="Times New Roman" w:cs="Times New Roman"/>
          <w:sz w:val="24"/>
          <w:szCs w:val="24"/>
          <w:lang w:val="en-GB"/>
        </w:rPr>
        <w:t>regulation of appropriate cell cycle control or DNA damage response pathways in these patients, and has been linked to poor survival in SMZL</w:t>
      </w:r>
      <w:r w:rsidR="003E481C" w:rsidRPr="00245037">
        <w:rPr>
          <w:rFonts w:ascii="Times New Roman" w:hAnsi="Times New Roman" w:cs="Times New Roman"/>
          <w:sz w:val="24"/>
          <w:szCs w:val="24"/>
          <w:lang w:val="en-GB"/>
        </w:rPr>
        <w:t xml:space="preserve"> </w:t>
      </w:r>
      <w:r w:rsidR="003E481C" w:rsidRPr="00245037">
        <w:rPr>
          <w:rFonts w:ascii="Times New Roman" w:hAnsi="Times New Roman" w:cs="Times New Roman"/>
          <w:sz w:val="24"/>
          <w:szCs w:val="24"/>
          <w:lang w:val="en-GB"/>
        </w:rPr>
        <w:fldChar w:fldCharType="begin" w:fldLock="1"/>
      </w:r>
      <w:r w:rsidR="001254EB" w:rsidRPr="00245037">
        <w:rPr>
          <w:rFonts w:ascii="Times New Roman" w:hAnsi="Times New Roman" w:cs="Times New Roman"/>
          <w:sz w:val="24"/>
          <w:szCs w:val="24"/>
          <w:lang w:val="en-GB"/>
        </w:rPr>
        <w:instrText>ADDIN CSL_CITATION {"citationItems":[{"id":"ITEM-1","itemData":{"DOI":"10.1182/blood-2010-02-267476","ISSN":"0006-4971","abstract":"We conducted a retrospective collaborative study to cytogenetically characterize splenic marginal zone lymphoma (SMZL) and ascertain the prognostic value of chromosomal aberrations. Of 330 cases, 72% displayed an aberrant karyotype, 53% were complex, and 29% had a single aberration. The predominant aberrations were gains of 3/3q and 12q, deletions of 7q and 6q and translocations involving 8q/1q/14q. CD5 expression was detected in 39 of 158 cases (25%). The cytogenetic makeup of the CD5+ group differed significantly from that of the CD5− group. Cases with unmutated IGHV were significantly associated with deletions of 7q and TP53. A strong association was noted between usage of the IGVH1-2 and deletion 7q, 14q alterations, and abnormal karyotype. On univariate analysis, patients with more than or equal to 2 aberrations, 14q alterations, and TP53 deletions had the shortest survival; 7q deletion did not affect survival. On multivariate analysis, cytogenetic aberrations did not retain prognostic significance; the parameters negatively affecting survival were hemoglobin and age. In conclusion, the cytogenetic profile of SMZL is distinct from other B-cell lymphomas. Complexity of the karyotype, 14q aberrations, and TP53 deletions are poor prognostic indicators and may be considered together with other clinicobiologic parameters to ascertain the prognosis of SMZL.","author":[{"dropping-particle":"","family":"Salido","given":"Marta","non-dropping-particle":"","parse-names":false,"suffix":""},{"dropping-particle":"","family":"Baró","given":"Cristina","non-dropping-particle":"","parse-names":false,"suffix":""},{"dropping-particle":"","family":"Oscier","given":"David","non-dropping-particle":"","parse-names":false,"suffix":""},{"dropping-particle":"","family":"Stamatopoulos","given":"Kostas","non-dropping-particle":"","parse-names":false,"suffix":""},{"dropping-particle":"","family":"Dierlamm","given":"Judith","non-dropping-particle":"","parse-names":false,"suffix":""},{"dropping-particle":"","family":"Matutes","given":"Estela","non-dropping-particle":"","parse-names":false,"suffix":""},{"dropping-particle":"","family":"Traverse-Glehen","given":"Alexandra","non-dropping-particle":"","parse-names":false,"suffix":""},{"dropping-particle":"","family":"Berger","given":"Francoise","non-dropping-particle":"","parse-names":false,"suffix":""},{"dropping-particle":"","family":"Felman","given":"Pascale","non-dropping-particle":"","parse-names":false,"suffix":""},{"dropping-particle":"","family":"Thieblemont","given":"Catherine","non-dropping-particle":"","parse-names":false,"suffix":""},{"dropping-particle":"","family":"Gesk","given":"Stefan","non-dropping-particle":"","parse-names":false,"suffix":""},{"dropping-particle":"","family":"Athanasiadou","given":"Anastasia","non-dropping-particle":"","parse-names":false,"suffix":""},{"dropping-particle":"","family":"Davis","given":"Zadie","non-dropping-particle":"","parse-names":false,"suffix":""},{"dropping-particle":"","family":"Gardiner","given":"Anne","non-dropping-particle":"","parse-names":false,"suffix":""},{"dropping-particle":"","family":"Milla","given":"Fuensanta","non-dropping-particle":"","parse-names":false,"suffix":""},{"dropping-particle":"","family":"Ferrer","given":"Ana","non-dropping-particle":"","parse-names":false,"suffix":""},{"dropping-particle":"","family":"Mollejo","given":"Manuela","non-dropping-particle":"","parse-names":false,"suffix":""},{"dropping-particle":"","family":"Calasanz","given":"Maria José","non-dropping-particle":"","parse-names":false,"suffix":""},{"dropping-particle":"","family":"Florensa","given":"Lourdes","non-dropping-particle":"","parse-names":false,"suffix":""},{"dropping-particle":"","family":"Espinet","given":"Blanca","non-dropping-particle":"","parse-names":false,"suffix":""},{"dropping-particle":"","family":"Luño","given":"Elisa","non-dropping-particle":"","parse-names":false,"suffix":""},{"dropping-particle":"","family":"Wlodarska","given":"Iwona","non-dropping-particle":"","parse-names":false,"suffix":""},{"dropping-particle":"","family":"Verhoef","given":"Gregor","non-dropping-particle":"","parse-names":false,"suffix":""},{"dropping-particle":"","family":"García-Granero","given":"Marta","non-dropping-particle":"","parse-names":false,"suffix":""},{"dropping-particle":"","family":"Salar","given":"Antonio","non-dropping-particle":"","parse-names":false,"suffix":""},{"dropping-particle":"","family":"Papadaki","given":"Theodora","non-dropping-particle":"","parse-names":false,"suffix":""},{"dropping-particle":"","family":"Serrano","given":"Sergio","non-dropping-particle":"","parse-names":false,"suffix":""},{"dropping-particle":"","family":"Piris","given":"Miguel A.","non-dropping-particle":"","parse-names":false,"suffix":""},{"dropping-particle":"","family":"Solé","given":"Francesc","non-dropping-particle":"","parse-names":false,"suffix":""}],"container-title":"Blood","id":"ITEM-1","issue":"9","issued":{"date-parts":[["2010","9","2"]]},"page":"1479-1488","title":"Cytogenetic aberrations and their prognostic value in a series of 330 splenic marginal zone B-cell lymphomas: a multicenter study of the Splenic B-Cell Lymphoma Group","type":"article-journal","volume":"116"},"uris":["http://www.mendeley.com/documents/?uuid=00dbce41-c817-49fc-b697-553243a471a1"]}],"mendeley":{"formattedCitation":"(Salido et al., 2010)","plainTextFormattedCitation":"(Salido et al., 2010)","previouslyFormattedCitation":"(Salido et al., 2010)"},"properties":{"noteIndex":0},"schema":"https://github.com/citation-style-language/schema/raw/master/csl-citation.json"}</w:instrText>
      </w:r>
      <w:r w:rsidR="003E481C" w:rsidRPr="00245037">
        <w:rPr>
          <w:rFonts w:ascii="Times New Roman" w:hAnsi="Times New Roman" w:cs="Times New Roman"/>
          <w:sz w:val="24"/>
          <w:szCs w:val="24"/>
          <w:lang w:val="en-GB"/>
        </w:rPr>
        <w:fldChar w:fldCharType="separate"/>
      </w:r>
      <w:r w:rsidR="003E481C" w:rsidRPr="00245037">
        <w:rPr>
          <w:rFonts w:ascii="Times New Roman" w:hAnsi="Times New Roman" w:cs="Times New Roman"/>
          <w:noProof/>
          <w:sz w:val="24"/>
          <w:szCs w:val="24"/>
          <w:lang w:val="en-GB"/>
        </w:rPr>
        <w:t>(Salido et al., 2010)</w:t>
      </w:r>
      <w:r w:rsidR="003E481C" w:rsidRPr="00245037">
        <w:rPr>
          <w:rFonts w:ascii="Times New Roman" w:hAnsi="Times New Roman" w:cs="Times New Roman"/>
          <w:sz w:val="24"/>
          <w:szCs w:val="24"/>
          <w:lang w:val="en-GB"/>
        </w:rPr>
        <w:fldChar w:fldCharType="end"/>
      </w:r>
      <w:r w:rsidR="00D02760" w:rsidRPr="00245037">
        <w:rPr>
          <w:rFonts w:ascii="Times New Roman" w:hAnsi="Times New Roman" w:cs="Times New Roman"/>
          <w:sz w:val="24"/>
          <w:szCs w:val="24"/>
          <w:lang w:val="en-GB"/>
        </w:rPr>
        <w:t xml:space="preserve"> and in other mature B-cell lymphomas </w:t>
      </w:r>
      <w:r w:rsidR="00FC3E05" w:rsidRPr="00245037">
        <w:rPr>
          <w:rFonts w:ascii="Times New Roman" w:hAnsi="Times New Roman" w:cs="Times New Roman"/>
          <w:sz w:val="24"/>
          <w:szCs w:val="24"/>
          <w:lang w:val="en-GB"/>
        </w:rPr>
        <w:fldChar w:fldCharType="begin" w:fldLock="1"/>
      </w:r>
      <w:r w:rsidR="000573CE" w:rsidRPr="00245037">
        <w:rPr>
          <w:rFonts w:ascii="Times New Roman" w:hAnsi="Times New Roman" w:cs="Times New Roman"/>
          <w:sz w:val="24"/>
          <w:szCs w:val="24"/>
          <w:lang w:val="en-GB"/>
        </w:rPr>
        <w:instrText>ADDIN CSL_CITATION {"citationItems":[{"id":"ITEM-1","itemData":{"DOI":"10.1002/hon.2349","ISSN":"02780232","abstract":"Chronic lymphocytic leukemia (CLL) is a lymphoproliferative disorder of remarkable heterogeneity as demonstrated by cytogenetics and molecular analyses. Complex karyotype (CK), TP53 deletions and/or mutations (TP53 disruption), IGVH mutational status, and, more recently, recurrent somatic mutations have been identified as prognostic markers in CLL. On a cohort of 110 patients with CLL treated with first-line fludarabin, cyclophosphamide, and rituximab treatment compared with 33 untreated (watch and wait) patients with CLL, we report more frequent complex karyotypes (34 vs 15%; P =.05), unmutated IGHV (70 vs 21%; P &lt;.0001), ATM deletion (25 vs 6%, P =.02), and NOTCH mutation (3 vs 17%, P =.04). Among treated patients, 39 relapsed during the follow-up period. These patients were characterized before treatment by a higher incidence of trisomy 12 (38 vs 11%, P &lt;.001) and TP53 disruption (31 vs 4%, P =.0002). A significantly shorter 5-year overall survival was found for treated patients with CK (72.4 vs 85.8%; P =.007), unmutated IGHV (70 vs 100%; P =.04), or TP53 disruption (55.7 vs 82.7%; P &lt;.0001). Three risk groups were defined based on the status of TP53 disruption or unmutated IGVH, which differed significantly in terms of 5-year overall survival. Moreover, the presence of CK impacted pejoratively 5-year overall survival and progression-free survival in all these 3 groups. Conventional karyotyping therefore appears to be of value, CK being an additional factor, undetectable in classical FISH, in patients with CLL at the stage when therapy becomes required.","author":[{"dropping-particle":"","family":"Bris","given":"Yannick","non-dropping-particle":"Le","parse-names":false,"suffix":""},{"dropping-particle":"","family":"Struski","given":"Stéphanie","non-dropping-particle":"","parse-names":false,"suffix":""},{"dropping-particle":"","family":"Guièze","given":"Romain","non-dropping-particle":"","parse-names":false,"suffix":""},{"dropping-particle":"","family":"Rouvellat","given":"Caroline","non-dropping-particle":"","parse-names":false,"suffix":""},{"dropping-particle":"","family":"Prade","given":"Naïs","non-dropping-particle":"","parse-names":false,"suffix":""},{"dropping-particle":"","family":"Troussard","given":"Xavier","non-dropping-particle":"","parse-names":false,"suffix":""},{"dropping-particle":"","family":"Tournilhac","given":"Olivier","non-dropping-particle":"","parse-names":false,"suffix":""},{"dropping-particle":"","family":"Béné","given":"Marie C.","non-dropping-particle":"","parse-names":false,"suffix":""},{"dropping-particle":"","family":"Delabesse","given":"Eric","non-dropping-particle":"","parse-names":false,"suffix":""},{"dropping-particle":"","family":"Ysebaert","given":"Loïc","non-dropping-particle":"","parse-names":false,"suffix":""}],"container-title":"Hematological Oncology","id":"ITEM-1","issue":"4","issued":{"date-parts":[["2017","12","1"]]},"page":"664-670","publisher":"John Wiley and Sons Ltd","title":"Major prognostic value of complex karyotype in addition to &lt;i&gt;TP53&lt;/i&gt; and &lt;i&gt;IGHV&lt;/i&gt; mutational status in first-line chronic lymphocytic leukemia","type":"article-journal","volume":"35"},"uris":["http://www.mendeley.com/documents/?uuid=a1d04561-a646-3b9f-a38b-ec257b79cb14"]},{"id":"ITEM-2","itemData":{"DOI":"10.1002/cncr.29566","ISSN":"0008543X","abstract":"BACKGROUND Ibrutinib is active in patients with relapsed/refractory (R/R) chronic lymphocytic leukemia (CLL). In patients treated with ibrutinib for R/R CLL, del(17p), identified by interphase fluorescence in situ hybridization (FISH), is associated with inferior progression-free survival despite equivalent initial response rates. Del(17p) is frequently associated with a complex metaphase karyotype (CKT); the prognostic significance of CKT in ibrutinib-treated patients has not been reported. METHODS This study reviewed 88 patients treated for R/R CLL at The University of Texas MD Anderson Cancer Center with investigational ibrutinib-based regimens from 2010 to 2013. Pretreatment FISH and lipopolysaccharide-stimulated metaphase cytogenetic analysis were performed on bone marrow. RESULTS An adequate pretreatment metaphase karyotype was available for 56 of the 88 patients. The karyotype was complex in 21 of the 56 cases; 17 of the 21 had del(17p) according to FISH. The overall response rate, including partial remission with persistent lymphocytosis, was 94%; 18% had complete responses. In a multivariate analysis (MVA), only CKT was significantly associated with event-free survival (EFS; hazard ratio [HR], 6.6 [95% CI 1.7-25.6]; P = .006). Fludarabine-refractory CLL (HR, 6.9 [95% CI 1.8-27.1], P = .005) and CKT (HR 5.9 [95% CI 1.6-22.2], P = .008) were independently associated with inferior overall survival (OS) in MVA. Del(17p) by FISH was not significantly associated with EFS or OS in MVA. CONCLUSIONS CKT is a powerful predictor of outcomes for ibrutinib-treated patients with R/R CLL and may be a stronger predictor of biological behavior than del(17p) by FISH. Because of their relatively poor outcomes, patients with CKT are ideal candidates for studies of consolidative treatment strategies or novel treatment combinations.","author":[{"dropping-particle":"","family":"Thompson","given":"Philip A.","non-dropping-particle":"","parse-names":false,"suffix":""},{"dropping-particle":"","family":"O'Brien","given":"Susan M.","non-dropping-particle":"","parse-names":false,"suffix":""},{"dropping-particle":"","family":"Wierda","given":"William G.","non-dropping-particle":"","parse-names":false,"suffix":""},{"dropping-particle":"","family":"Ferrajoli","given":"Alessandra","non-dropping-particle":"","parse-names":false,"suffix":""},{"dropping-particle":"","family":"Stingo","given":"Francesco","non-dropping-particle":"","parse-names":false,"suffix":""},{"dropping-particle":"","family":"Smith","given":"Susan C.","non-dropping-particle":"","parse-names":false,"suffix":""},{"dropping-particle":"","family":"Burger","given":"Jan A.","non-dropping-particle":"","parse-names":false,"suffix":""},{"dropping-particle":"","family":"Estrov","given":"Zeev","non-dropping-particle":"","parse-names":false,"suffix":""},{"dropping-particle":"","family":"Jain","given":"Nitin","non-dropping-particle":"","parse-names":false,"suffix":""},{"dropping-particle":"","family":"Kantarjian","given":"Hagop M.","non-dropping-particle":"","parse-names":false,"suffix":""},{"dropping-particle":"","family":"Keating","given":"Michael J.","non-dropping-particle":"","parse-names":false,"suffix":""}],"container-title":"Cancer","id":"ITEM-2","issue":"20","issued":{"date-parts":[["2015","10","15"]]},"page":"3612-3621","publisher":"John Wiley and Sons Inc.","title":"Complex karyotype is a stronger predictor than del(17p) for an inferior outcome in relapsed or refractory chronic lymphocytic leukemia patients treated with ibrutinib-based regimens","type":"article-journal","volume":"121"},"uris":["http://www.mendeley.com/documents/?uuid=8a5a22dd-3c2e-33a7-99ca-022231fd40d5"]},{"id":"ITEM-3","itemData":{"DOI":"10.1002/cncr.31328","ISSN":"10970142","PMID":"29579328","abstract":"BACKGROUND: Risk stratification of newly diagnosed patients with mantle cell lymphoma (MCL) primarily is based on the MCL International Prognostic Index (MIPI) and Ki-67 proliferative index. Single-center studies have reported inferior outcomes in patients with a complex karyotype (CK), but this remains an area of controversy. METHODS: The authors retrospectively reviewed 483 patients from 5 academic centers in the United States and described the effect of a CK on survival outcomes in individuals with MCL. RESULTS: A CK was found to be associated with inferior overall survival (OS) (4.5 vs 11.6 years; P&lt;.01) and progression-free survival (PFS) (1.9 vs 4.4 years; P&lt;.01). In patients who underwent high-intensity induction followed by autologous stem cell transplantation (ASCT) in first remission, a CK was associated with poor OS (5.1 vs 11.6 years; P =.04) and PFS (3.6 vs 7.8 years; P&lt;.01). Among patients with a CK, high-intensity induction had no effect on OS (4.5 vs 3.8 years; P =.77) nor PFS (2.3 vs 1.5 years; P =.46). Similarly, ASCT in first remission did not improve PFS (3.5 vs 1.2 years; P =.12) nor OS (5.1 vs 4.0 years; P =.27). On multivariable analyses with Ki-67 and MIPI, only CK was found to be predictive of OS (hazard ratio [HR], 1.98; 95% confidence interval [95% CI], 1.12-3.49 [P =.02]), whereas both CK (HR, 1.91; 95% CI, 1.17-3.12 [P =.01]) and Ki-67 &gt;30% (HR, 1.86; 95% CI, 1.06-3.28 [P =.03]) were associated with inferior PFS. Multivariable analysis did not identify any specific cytogenetic abnormalities associated with inferior survival. CONCLUSIONS: CK appears to be independently associated with inferior outcomes in patients with MCL regardless of the intensity of induction therapy and receipt of ASCT. Cytogenetics should be incorporated into the workup of a new diagnosis of MCL and novel therapeutic approaches should be investigated for patients with CK. Cancer 2018;124:2306-15. © 2018 American Cancer Society.","author":[{"dropping-particle":"","family":"Greenwell","given":"I. Brian","non-dropping-particle":"","parse-names":false,"suffix":""},{"dropping-particle":"","family":"Staton","given":"Ashley D.","non-dropping-particle":"","parse-names":false,"suffix":""},{"dropping-particle":"","family":"Lee","given":"Michael J.","non-dropping-particle":"","parse-names":false,"suffix":""},{"dropping-particle":"","family":"Switchenko","given":"Jeffrey M.","non-dropping-particle":"","parse-names":false,"suffix":""},{"dropping-particle":"","family":"Saxe","given":"Debra F.","non-dropping-particle":"","parse-names":false,"suffix":""},{"dropping-particle":"","family":"Maly","given":"Joseph J.","non-dropping-particle":"","parse-names":false,"suffix":""},{"dropping-particle":"","family":"Blum","given":"Kristie A.","non-dropping-particle":"","parse-names":false,"suffix":""},{"dropping-particle":"","family":"Grover","given":"Natalie S.","non-dropping-particle":"","parse-names":false,"suffix":""},{"dropping-particle":"","family":"Mathews","given":"Stephanie P.","non-dropping-particle":"","parse-names":false,"suffix":""},{"dropping-particle":"","family":"Gordon","given":"Max J.","non-dropping-particle":"","parse-names":false,"suffix":""},{"dropping-particle":"V.","family":"Danilov","given":"Alexey","non-dropping-particle":"","parse-names":false,"suffix":""},{"dropping-particle":"","family":"Epperla","given":"Narendranath","non-dropping-particle":"","parse-names":false,"suffix":""},{"dropping-particle":"","family":"Fenske","given":"Timothy S.","non-dropping-particle":"","parse-names":false,"suffix":""},{"dropping-particle":"","family":"Hamadani","given":"Mehdi","non-dropping-particle":"","parse-names":false,"suffix":""},{"dropping-particle":"","family":"Park","given":"Steven I.","non-dropping-particle":"","parse-names":false,"suffix":""},{"dropping-particle":"","family":"Flowers","given":"Christopher R.","non-dropping-particle":"","parse-names":false,"suffix":""},{"dropping-particle":"","family":"Cohen","given":"Jonathon B.","non-dropping-particle":"","parse-names":false,"suffix":""}],"container-title":"Cancer","id":"ITEM-3","issue":"11","issued":{"date-parts":[["2018","6","1"]]},"page":"2306-2315","publisher":"John Wiley and Sons Inc.","title":"Complex karyotype in patients with mantle cell lymphoma predicts inferior survival and poor response to intensive induction therapy","type":"article-journal","volume":"124"},"uris":["http://www.mendeley.com/documents/?uuid=edf4a411-a5e4-3722-a63d-75ea7670a1d5"]}],"mendeley":{"formattedCitation":"(Greenwell et al., 2018; Le Bris et al., 2017; Thompson et al., 2015)","plainTextFormattedCitation":"(Greenwell et al., 2018; Le Bris et al., 2017; Thompson et al., 2015)","previouslyFormattedCitation":"(Greenwell et al., 2018; Le Bris et al., 2017; Thompson et al., 2015)"},"properties":{"noteIndex":0},"schema":"https://github.com/citation-style-language/schema/raw/master/csl-citation.json"}</w:instrText>
      </w:r>
      <w:r w:rsidR="00FC3E05" w:rsidRPr="00245037">
        <w:rPr>
          <w:rFonts w:ascii="Times New Roman" w:hAnsi="Times New Roman" w:cs="Times New Roman"/>
          <w:sz w:val="24"/>
          <w:szCs w:val="24"/>
          <w:lang w:val="en-GB"/>
        </w:rPr>
        <w:fldChar w:fldCharType="separate"/>
      </w:r>
      <w:r w:rsidR="00FC3E05" w:rsidRPr="00245037">
        <w:rPr>
          <w:rFonts w:ascii="Times New Roman" w:hAnsi="Times New Roman" w:cs="Times New Roman"/>
          <w:noProof/>
          <w:sz w:val="24"/>
          <w:szCs w:val="24"/>
          <w:lang w:val="en-GB"/>
        </w:rPr>
        <w:t>(Greenwell et al., 2018; Le Bris et al., 2017; Thompson et al., 2015)</w:t>
      </w:r>
      <w:r w:rsidR="00FC3E05" w:rsidRPr="00245037">
        <w:rPr>
          <w:rFonts w:ascii="Times New Roman" w:hAnsi="Times New Roman" w:cs="Times New Roman"/>
          <w:sz w:val="24"/>
          <w:szCs w:val="24"/>
          <w:lang w:val="en-GB"/>
        </w:rPr>
        <w:fldChar w:fldCharType="end"/>
      </w:r>
      <w:r w:rsidR="00D02760" w:rsidRPr="00245037">
        <w:rPr>
          <w:rFonts w:ascii="Times New Roman" w:hAnsi="Times New Roman" w:cs="Times New Roman"/>
          <w:sz w:val="24"/>
          <w:szCs w:val="24"/>
          <w:lang w:val="en-GB"/>
        </w:rPr>
        <w:t xml:space="preserve">, including in the context of novel targeted therapies </w:t>
      </w:r>
      <w:r w:rsidR="009C339E" w:rsidRPr="00245037">
        <w:rPr>
          <w:rFonts w:ascii="Times New Roman" w:hAnsi="Times New Roman" w:cs="Times New Roman"/>
          <w:sz w:val="24"/>
          <w:szCs w:val="24"/>
          <w:lang w:val="en-GB"/>
        </w:rPr>
        <w:fldChar w:fldCharType="begin" w:fldLock="1"/>
      </w:r>
      <w:r w:rsidR="009C339E" w:rsidRPr="00245037">
        <w:rPr>
          <w:rFonts w:ascii="Times New Roman" w:hAnsi="Times New Roman" w:cs="Times New Roman"/>
          <w:sz w:val="24"/>
          <w:szCs w:val="24"/>
          <w:lang w:val="en-GB"/>
        </w:rPr>
        <w:instrText>ADDIN CSL_CITATION {"citationItems":[{"id":"ITEM-1","itemData":{"DOI":"10.1182/blood-2017-01-763003","ISSN":"15280020","PMID":"28473407","abstract":"The BCL2 inhibitor venetoclax achieves responses in ~79% of patients with relapsed or refractory chronic lymphocytic leukemia/small lymphocytic lymphoma (RR-CLL/SLL), irrespective of risk factors associated with poor response to chemoimmunotherapy. A limitation of this targeted therapy is progressive disease (PD) in some patients. To define the risk factors for progression, the clinicopathological features of PD, and the outcomes for patients after venetoclax failure, we analyzed 67 heavily pretreated patients on 3 early phase clinical trials. Investigations at progression included positron emission tomography scan and biopsy. Twenty-five (37%) patients manifested PD on therapy: 17 with Richter transformation (RT) and 8 with progressive CLL/SLL. RT occurred significantly earlier (median 7.9 months) than progressive CLL (median 23.4 months) (P = .003). Among patients who received the recommended phase 2 dose of venetoclax or higher (≥400 mg/d), fludarabine refractoriness and complex karyotype were associated with progression (hazard ratio 7.01 [95% confidence interval 1.7-28.5]; P = .002 and 6.6 [1.5-29.8]; P = .005, respectively), whereas del(17p) and/or TP53 mutation were not (P = .75). Median postprogression survival was 13 (&lt;1-49.9) months. Bruton tyrosine kinase inhibitors were active in progressive CLL, but outcomes were mixed. Patients with disease that is fludarabine refractory or who have complex cytogenetics should have occult RT excluded before initiating venetoclax therapy.","author":[{"dropping-particle":"","family":"Anderson","given":"Mary Ann","non-dropping-particle":"","parse-names":false,"suffix":""},{"dropping-particle":"","family":"Tam","given":"Constantine","non-dropping-particle":"","parse-names":false,"suffix":""},{"dropping-particle":"","family":"Lew","given":"Thomas E.","non-dropping-particle":"","parse-names":false,"suffix":""},{"dropping-particle":"","family":"Juneja","given":"Surender","non-dropping-particle":"","parse-names":false,"suffix":""},{"dropping-particle":"","family":"Juneja","given":"Manu","non-dropping-particle":"","parse-names":false,"suffix":""},{"dropping-particle":"","family":"Westerman","given":"David","non-dropping-particle":"","parse-names":false,"suffix":""},{"dropping-particle":"","family":"Wall","given":"Meaghan","non-dropping-particle":"","parse-names":false,"suffix":""},{"dropping-particle":"","family":"Lade","given":"Stephen","non-dropping-particle":"","parse-names":false,"suffix":""},{"dropping-particle":"","family":"Gorelik","given":"Alexandra","non-dropping-particle":"","parse-names":false,"suffix":""},{"dropping-particle":"","family":"Huang","given":"David C.S.","non-dropping-particle":"","parse-names":false,"suffix":""},{"dropping-particle":"","family":"Seymour","given":"John F.","non-dropping-particle":"","parse-names":false,"suffix":""},{"dropping-particle":"","family":"Roberts","given":"Andrew W.","non-dropping-particle":"","parse-names":false,"suffix":""}],"container-title":"Blood","id":"ITEM-1","issue":"25","issued":{"date-parts":[["2017","6","22"]]},"page":"3362-3370","publisher":"American Society of Hematology","title":"Clinicopathological features and outcomes of progression of CLL on the BCL2 inhibitor venetoclax","type":"article-journal","volume":"129"},"uris":["http://www.mendeley.com/documents/?uuid=627ac1d1-79e9-37dc-bd6e-421b4f746db0"]},{"id":"ITEM-2","itemData":{"DOI":"10.1038/leu.2017.175","ISSN":"14765551","PMID":"28592889","abstract":"In the phase 3 RESONATE study, ibrutinib demonstrated superior progression-free survival (PFS), overall survival (OS) and overall response rate (ORR) compared with ofatumumab in relapsed/refractory CLL patients with high-risk prognostic factors. We report updated results from RESONATE in these traditionally chemotherapy resistant high-risk genomic subgroups at a median follow-up of 19 months. Mutations were detected by Foundation One Heme Panel. Baseline mutations in the ibrutinib arm included TP53 (51%), SF3B1 (31%), NOTCH1 (28%), ATM (19%) and BIRC3 (14%). Median PFS was not reached, with 74% of patients randomized to ibrutinib alive and progression-free at 24 months. The improved efficacy of ibrutinib vs ofatumumab continues in all prognostic subgroups including del17p and del11q. No significant difference within the ibrutinib arm was observed for PFS across most genomic subtypes, although a subset carrying both TP53 mutation and del17p had reduced PFS compared with patients with neither abnormality. Reduced PFS or OS was not evident in patients with only del17p. PFS was significantly better for ibrutinibtreated patients in second-line vs later lines of therapy. The robust clinical activity of ibrutinib continues to show ongoing efficacy and acceptable safety consistent with prior reports, independent of various known high-risk mutations.","author":[{"dropping-particle":"","family":"Brown","given":"J. R.","non-dropping-particle":"","parse-names":false,"suffix":""},{"dropping-particle":"","family":"Hillmen","given":"P.","non-dropping-particle":"","parse-names":false,"suffix":""},{"dropping-particle":"","family":"O'Brien","given":"S.","non-dropping-particle":"","parse-names":false,"suffix":""},{"dropping-particle":"","family":"Barrientos","given":"J. C.","non-dropping-particle":"","parse-names":false,"suffix":""},{"dropping-particle":"","family":"Reddy","given":"N. M.","non-dropping-particle":"","parse-names":false,"suffix":""},{"dropping-particle":"","family":"Coutre","given":"S. E.","non-dropping-particle":"","parse-names":false,"suffix":""},{"dropping-particle":"","family":"Tam","given":"C. S.","non-dropping-particle":"","parse-names":false,"suffix":""},{"dropping-particle":"","family":"Mulligan","given":"S. P.","non-dropping-particle":"","parse-names":false,"suffix":""},{"dropping-particle":"","family":"Jaeger","given":"U.","non-dropping-particle":"","parse-names":false,"suffix":""},{"dropping-particle":"","family":"Barr","given":"P. M.","non-dropping-particle":"","parse-names":false,"suffix":""},{"dropping-particle":"","family":"Furman","given":"R. R.","non-dropping-particle":"","parse-names":false,"suffix":""},{"dropping-particle":"","family":"Kipps","given":"T. J.","non-dropping-particle":"","parse-names":false,"suffix":""},{"dropping-particle":"","family":"Cymbalista","given":"F.","non-dropping-particle":"","parse-names":false,"suffix":""},{"dropping-particle":"","family":"Thornton","given":"P.","non-dropping-particle":"","parse-names":false,"suffix":""},{"dropping-particle":"","family":"Caligaris-Cappio","given":"F.","non-dropping-particle":"","parse-names":false,"suffix":""},{"dropping-particle":"","family":"Delgado","given":"J.","non-dropping-particle":"","parse-names":false,"suffix":""},{"dropping-particle":"","family":"Montillo","given":"M.","non-dropping-particle":"","parse-names":false,"suffix":""},{"dropping-particle":"","family":"DeVos","given":"S.","non-dropping-particle":"","parse-names":false,"suffix":""},{"dropping-particle":"","family":"Moreno","given":"C.","non-dropping-particle":"","parse-names":false,"suffix":""},{"dropping-particle":"","family":"Pagel","given":"J. M.","non-dropping-particle":"","parse-names":false,"suffix":""},{"dropping-particle":"","family":"Munir","given":"T.","non-dropping-particle":"","parse-names":false,"suffix":""},{"dropping-particle":"","family":"Burger","given":"J. A.","non-dropping-particle":"","parse-names":false,"suffix":""},{"dropping-particle":"","family":"Chung","given":"D.","non-dropping-particle":"","parse-names":false,"suffix":""},{"dropping-particle":"","family":"Lin","given":"J.","non-dropping-particle":"","parse-names":false,"suffix":""},{"dropping-particle":"","family":"Gau","given":"L.","non-dropping-particle":"","parse-names":false,"suffix":""},{"dropping-particle":"","family":"Chang","given":"B.","non-dropping-particle":"","parse-names":false,"suffix":""},{"dropping-particle":"","family":"Cole","given":"G.","non-dropping-particle":"","parse-names":false,"suffix":""},{"dropping-particle":"","family":"Hsu","given":"E.","non-dropping-particle":"","parse-names":false,"suffix":""},{"dropping-particle":"","family":"James","given":"D. F.","non-dropping-particle":"","parse-names":false,"suffix":""},{"dropping-particle":"","family":"Byrd","given":"J. C.","non-dropping-particle":"","parse-names":false,"suffix":""}],"container-title":"Leukemia","id":"ITEM-2","issue":"1","issued":{"date-parts":[["2018","1","1"]]},"page":"83-91","publisher":"Nature Publishing Group","title":"Extended follow-up and impact of high-risk prognostic factors from the phase 3 RESONATE study in patients with previously treated CLL/SLL","type":"article-journal","volume":"32"},"uris":["http://www.mendeley.com/documents/?uuid=16b60ad2-d00d-37c4-b348-2c045905885a"]}],"mendeley":{"formattedCitation":"(Anderson et al., 2017; Brown et al., 2018)","plainTextFormattedCitation":"(Anderson et al., 2017; Brown et al., 2018)","previouslyFormattedCitation":"(Anderson et al., 2017; Brown et al., 2018)"},"properties":{"noteIndex":0},"schema":"https://github.com/citation-style-language/schema/raw/master/csl-citation.json"}</w:instrText>
      </w:r>
      <w:r w:rsidR="009C339E" w:rsidRPr="00245037">
        <w:rPr>
          <w:rFonts w:ascii="Times New Roman" w:hAnsi="Times New Roman" w:cs="Times New Roman"/>
          <w:sz w:val="24"/>
          <w:szCs w:val="24"/>
          <w:lang w:val="en-GB"/>
        </w:rPr>
        <w:fldChar w:fldCharType="separate"/>
      </w:r>
      <w:r w:rsidR="009C339E" w:rsidRPr="00245037">
        <w:rPr>
          <w:rFonts w:ascii="Times New Roman" w:hAnsi="Times New Roman" w:cs="Times New Roman"/>
          <w:noProof/>
          <w:sz w:val="24"/>
          <w:szCs w:val="24"/>
          <w:lang w:val="en-GB"/>
        </w:rPr>
        <w:t>(Anderson et al., 2017; Brown et al., 2018)</w:t>
      </w:r>
      <w:r w:rsidR="009C339E" w:rsidRPr="00245037">
        <w:rPr>
          <w:rFonts w:ascii="Times New Roman" w:hAnsi="Times New Roman" w:cs="Times New Roman"/>
          <w:sz w:val="24"/>
          <w:szCs w:val="24"/>
          <w:lang w:val="en-GB"/>
        </w:rPr>
        <w:fldChar w:fldCharType="end"/>
      </w:r>
      <w:r w:rsidR="00A037D7" w:rsidRPr="00245037">
        <w:rPr>
          <w:rFonts w:ascii="Times New Roman" w:eastAsia="Times New Roman" w:hAnsi="Times New Roman" w:cs="Times New Roman"/>
          <w:color w:val="212121"/>
          <w:sz w:val="24"/>
          <w:szCs w:val="24"/>
          <w:lang w:val="en-GB" w:eastAsia="en-GB"/>
        </w:rPr>
        <w:t>. Sys</w:t>
      </w:r>
      <w:r w:rsidR="004E3AD9" w:rsidRPr="00245037">
        <w:rPr>
          <w:rFonts w:ascii="Times New Roman" w:eastAsia="Times New Roman" w:hAnsi="Times New Roman" w:cs="Times New Roman"/>
          <w:color w:val="212121"/>
          <w:sz w:val="24"/>
          <w:szCs w:val="24"/>
          <w:lang w:val="en-GB" w:eastAsia="en-GB"/>
        </w:rPr>
        <w:t>t</w:t>
      </w:r>
      <w:r w:rsidR="00A037D7" w:rsidRPr="00245037">
        <w:rPr>
          <w:rFonts w:ascii="Times New Roman" w:eastAsia="Times New Roman" w:hAnsi="Times New Roman" w:cs="Times New Roman"/>
          <w:color w:val="212121"/>
          <w:sz w:val="24"/>
          <w:szCs w:val="24"/>
          <w:lang w:val="en-GB" w:eastAsia="en-GB"/>
        </w:rPr>
        <w:t>ematic a</w:t>
      </w:r>
      <w:r w:rsidR="003F7ACE" w:rsidRPr="00245037">
        <w:rPr>
          <w:rFonts w:ascii="Times New Roman" w:eastAsia="Times New Roman" w:hAnsi="Times New Roman" w:cs="Times New Roman"/>
          <w:color w:val="212121"/>
          <w:sz w:val="24"/>
          <w:szCs w:val="24"/>
          <w:lang w:val="en-GB" w:eastAsia="en-GB"/>
        </w:rPr>
        <w:t>n</w:t>
      </w:r>
      <w:r w:rsidR="00A037D7" w:rsidRPr="00245037">
        <w:rPr>
          <w:rFonts w:ascii="Times New Roman" w:eastAsia="Times New Roman" w:hAnsi="Times New Roman" w:cs="Times New Roman"/>
          <w:color w:val="212121"/>
          <w:sz w:val="24"/>
          <w:szCs w:val="24"/>
          <w:lang w:val="en-GB" w:eastAsia="en-GB"/>
        </w:rPr>
        <w:t>alysis of the complex landscape</w:t>
      </w:r>
      <w:r w:rsidR="00A037D7" w:rsidRPr="00002888">
        <w:rPr>
          <w:rFonts w:ascii="Times New Roman" w:eastAsia="Times New Roman" w:hAnsi="Times New Roman" w:cs="Times New Roman"/>
          <w:color w:val="212121"/>
          <w:sz w:val="24"/>
          <w:szCs w:val="24"/>
          <w:lang w:val="en-GB" w:eastAsia="en-GB"/>
        </w:rPr>
        <w:t xml:space="preserve"> of the SMZL genome, with high-density arrays or WGS, would provide a more granular view of the levels </w:t>
      </w:r>
      <w:r w:rsidR="003F7ACE" w:rsidRPr="00002888">
        <w:rPr>
          <w:rFonts w:ascii="Times New Roman" w:eastAsia="Times New Roman" w:hAnsi="Times New Roman" w:cs="Times New Roman"/>
          <w:color w:val="212121"/>
          <w:sz w:val="24"/>
          <w:szCs w:val="24"/>
          <w:lang w:val="en-GB" w:eastAsia="en-GB"/>
        </w:rPr>
        <w:t>and</w:t>
      </w:r>
      <w:r w:rsidR="00A037D7" w:rsidRPr="00002888">
        <w:rPr>
          <w:rFonts w:ascii="Times New Roman" w:eastAsia="Times New Roman" w:hAnsi="Times New Roman" w:cs="Times New Roman"/>
          <w:color w:val="212121"/>
          <w:sz w:val="24"/>
          <w:szCs w:val="24"/>
          <w:lang w:val="en-GB" w:eastAsia="en-GB"/>
        </w:rPr>
        <w:t xml:space="preserve"> types of complexity that define these patients, and would help clarify disease-specific </w:t>
      </w:r>
      <w:r w:rsidR="003F7ACE" w:rsidRPr="00002888">
        <w:rPr>
          <w:rFonts w:ascii="Times New Roman" w:eastAsia="Times New Roman" w:hAnsi="Times New Roman" w:cs="Times New Roman"/>
          <w:color w:val="212121"/>
          <w:sz w:val="24"/>
          <w:szCs w:val="24"/>
          <w:lang w:val="en-GB" w:eastAsia="en-GB"/>
        </w:rPr>
        <w:t xml:space="preserve">definition of complexity, that would both aid in appropriate patient prognostication, but also identify key cases for functional analysis; </w:t>
      </w:r>
      <w:r w:rsidR="009C339E" w:rsidRPr="00002888">
        <w:rPr>
          <w:rFonts w:ascii="Times New Roman" w:eastAsia="Times New Roman" w:hAnsi="Times New Roman" w:cs="Times New Roman"/>
          <w:color w:val="212121"/>
          <w:sz w:val="24"/>
          <w:szCs w:val="24"/>
          <w:lang w:val="en-GB" w:eastAsia="en-GB"/>
        </w:rPr>
        <w:t xml:space="preserve">particularly </w:t>
      </w:r>
      <w:r w:rsidR="003F7ACE" w:rsidRPr="00002888">
        <w:rPr>
          <w:rFonts w:ascii="Times New Roman" w:eastAsia="Times New Roman" w:hAnsi="Times New Roman" w:cs="Times New Roman"/>
          <w:color w:val="212121"/>
          <w:sz w:val="24"/>
          <w:szCs w:val="24"/>
          <w:lang w:val="en-GB" w:eastAsia="en-GB"/>
        </w:rPr>
        <w:t>those exhibit</w:t>
      </w:r>
      <w:r w:rsidR="2B7FDE25" w:rsidRPr="00002888">
        <w:rPr>
          <w:rFonts w:ascii="Times New Roman" w:eastAsia="Times New Roman" w:hAnsi="Times New Roman" w:cs="Times New Roman"/>
          <w:color w:val="212121"/>
          <w:sz w:val="24"/>
          <w:szCs w:val="24"/>
          <w:lang w:val="en-GB" w:eastAsia="en-GB"/>
        </w:rPr>
        <w:t>ing</w:t>
      </w:r>
      <w:r w:rsidR="003F7ACE" w:rsidRPr="00002888">
        <w:rPr>
          <w:rFonts w:ascii="Times New Roman" w:eastAsia="Times New Roman" w:hAnsi="Times New Roman" w:cs="Times New Roman"/>
          <w:color w:val="212121"/>
          <w:sz w:val="24"/>
          <w:szCs w:val="24"/>
          <w:lang w:val="en-GB" w:eastAsia="en-GB"/>
        </w:rPr>
        <w:t xml:space="preserve"> genomic complexity </w:t>
      </w:r>
      <w:r w:rsidR="789B0941" w:rsidRPr="00002888">
        <w:rPr>
          <w:rFonts w:ascii="Times New Roman" w:eastAsia="Times New Roman" w:hAnsi="Times New Roman" w:cs="Times New Roman"/>
          <w:color w:val="212121"/>
          <w:sz w:val="24"/>
          <w:szCs w:val="24"/>
          <w:lang w:val="en-GB" w:eastAsia="en-GB"/>
        </w:rPr>
        <w:t>in the absence of</w:t>
      </w:r>
      <w:r w:rsidR="003F7ACE" w:rsidRPr="00002888">
        <w:rPr>
          <w:rFonts w:ascii="Times New Roman" w:eastAsia="Times New Roman" w:hAnsi="Times New Roman" w:cs="Times New Roman"/>
          <w:color w:val="212121"/>
          <w:sz w:val="24"/>
          <w:szCs w:val="24"/>
          <w:lang w:val="en-GB" w:eastAsia="en-GB"/>
        </w:rPr>
        <w:t xml:space="preserve"> established drivers, such as </w:t>
      </w:r>
      <w:r w:rsidR="003F7ACE" w:rsidRPr="00002888">
        <w:rPr>
          <w:rFonts w:ascii="Times New Roman" w:eastAsia="Times New Roman" w:hAnsi="Times New Roman" w:cs="Times New Roman"/>
          <w:i/>
          <w:color w:val="212121"/>
          <w:sz w:val="24"/>
          <w:szCs w:val="24"/>
          <w:lang w:val="en-GB" w:eastAsia="en-GB"/>
        </w:rPr>
        <w:t>TP53</w:t>
      </w:r>
      <w:r w:rsidR="003F7ACE" w:rsidRPr="00002888">
        <w:rPr>
          <w:rFonts w:ascii="Times New Roman" w:eastAsia="Times New Roman" w:hAnsi="Times New Roman" w:cs="Times New Roman"/>
          <w:color w:val="212121"/>
          <w:sz w:val="24"/>
          <w:szCs w:val="24"/>
          <w:lang w:val="en-GB" w:eastAsia="en-GB"/>
        </w:rPr>
        <w:t xml:space="preserve"> or </w:t>
      </w:r>
      <w:r w:rsidR="003F7ACE" w:rsidRPr="00002888">
        <w:rPr>
          <w:rFonts w:ascii="Times New Roman" w:eastAsia="Times New Roman" w:hAnsi="Times New Roman" w:cs="Times New Roman"/>
          <w:i/>
          <w:color w:val="212121"/>
          <w:sz w:val="24"/>
          <w:szCs w:val="24"/>
          <w:lang w:val="en-GB" w:eastAsia="en-GB"/>
        </w:rPr>
        <w:t>ATM</w:t>
      </w:r>
      <w:r w:rsidR="003F7ACE" w:rsidRPr="00002888">
        <w:rPr>
          <w:rFonts w:ascii="Times New Roman" w:eastAsia="Times New Roman" w:hAnsi="Times New Roman" w:cs="Times New Roman"/>
          <w:color w:val="212121"/>
          <w:sz w:val="24"/>
          <w:szCs w:val="24"/>
          <w:lang w:val="en-GB" w:eastAsia="en-GB"/>
        </w:rPr>
        <w:t xml:space="preserve"> disfunction. </w:t>
      </w:r>
    </w:p>
    <w:p w14:paraId="50201280" w14:textId="77777777" w:rsidR="00002888" w:rsidRPr="00002888" w:rsidRDefault="00002888" w:rsidP="00002888">
      <w:pPr>
        <w:spacing w:before="0" w:after="0" w:line="360" w:lineRule="auto"/>
        <w:jc w:val="left"/>
        <w:rPr>
          <w:rFonts w:ascii="Times New Roman" w:eastAsia="Times New Roman" w:hAnsi="Times New Roman" w:cs="Times New Roman"/>
          <w:color w:val="212121"/>
          <w:sz w:val="24"/>
          <w:szCs w:val="24"/>
          <w:lang w:val="en-GB" w:eastAsia="en-GB"/>
        </w:rPr>
      </w:pPr>
    </w:p>
    <w:p w14:paraId="60F7D3FE" w14:textId="7B668EA8" w:rsidR="00F77272" w:rsidRDefault="006C02DC" w:rsidP="00002888">
      <w:pPr>
        <w:spacing w:before="0" w:after="0" w:line="360" w:lineRule="auto"/>
        <w:jc w:val="left"/>
        <w:rPr>
          <w:rFonts w:ascii="Times New Roman" w:eastAsia="Times New Roman" w:hAnsi="Times New Roman" w:cs="Times New Roman"/>
          <w:color w:val="212121"/>
          <w:sz w:val="24"/>
          <w:szCs w:val="24"/>
          <w:lang w:val="en-GB" w:eastAsia="en-GB"/>
        </w:rPr>
      </w:pPr>
      <w:r w:rsidRPr="00002888">
        <w:rPr>
          <w:rFonts w:ascii="Times New Roman" w:eastAsia="Times New Roman" w:hAnsi="Times New Roman" w:cs="Times New Roman"/>
          <w:color w:val="212121"/>
          <w:sz w:val="24"/>
          <w:szCs w:val="24"/>
          <w:lang w:val="en-GB" w:eastAsia="en-GB"/>
        </w:rPr>
        <w:t>Given its intricate association with genomic complexity</w:t>
      </w:r>
      <w:r w:rsidR="00301FDC" w:rsidRPr="00002888">
        <w:rPr>
          <w:rFonts w:ascii="Times New Roman" w:eastAsia="Times New Roman" w:hAnsi="Times New Roman" w:cs="Times New Roman"/>
          <w:color w:val="212121"/>
          <w:sz w:val="24"/>
          <w:szCs w:val="24"/>
          <w:lang w:val="en-GB" w:eastAsia="en-GB"/>
        </w:rPr>
        <w:t xml:space="preserve"> </w:t>
      </w:r>
      <w:r w:rsidRPr="00002888">
        <w:rPr>
          <w:rFonts w:ascii="Times New Roman" w:eastAsia="Times New Roman" w:hAnsi="Times New Roman" w:cs="Times New Roman"/>
          <w:color w:val="212121"/>
          <w:sz w:val="24"/>
          <w:szCs w:val="24"/>
          <w:lang w:val="en-GB" w:eastAsia="en-GB"/>
        </w:rPr>
        <w:t>a</w:t>
      </w:r>
      <w:r w:rsidR="004E3AD9" w:rsidRPr="00002888">
        <w:rPr>
          <w:rFonts w:ascii="Times New Roman" w:eastAsia="Times New Roman" w:hAnsi="Times New Roman" w:cs="Times New Roman"/>
          <w:color w:val="212121"/>
          <w:sz w:val="24"/>
          <w:szCs w:val="24"/>
          <w:lang w:val="en-GB" w:eastAsia="en-GB"/>
        </w:rPr>
        <w:t>nother attractive approach is the analysis of telomere structure</w:t>
      </w:r>
      <w:r w:rsidRPr="00002888">
        <w:rPr>
          <w:rFonts w:ascii="Times New Roman" w:eastAsia="Times New Roman" w:hAnsi="Times New Roman" w:cs="Times New Roman"/>
          <w:color w:val="212121"/>
          <w:sz w:val="24"/>
          <w:szCs w:val="24"/>
          <w:lang w:val="en-GB" w:eastAsia="en-GB"/>
        </w:rPr>
        <w:t xml:space="preserve"> and dynamics</w:t>
      </w:r>
      <w:r w:rsidR="004E3AD9" w:rsidRPr="00002888">
        <w:rPr>
          <w:rFonts w:ascii="Times New Roman" w:eastAsia="Times New Roman" w:hAnsi="Times New Roman" w:cs="Times New Roman"/>
          <w:color w:val="212121"/>
          <w:sz w:val="24"/>
          <w:szCs w:val="24"/>
          <w:lang w:val="en-GB" w:eastAsia="en-GB"/>
        </w:rPr>
        <w:t xml:space="preserve">. </w:t>
      </w:r>
      <w:r w:rsidR="00D02760" w:rsidRPr="00002888">
        <w:rPr>
          <w:rFonts w:ascii="Times New Roman" w:hAnsi="Times New Roman" w:cs="Times New Roman"/>
          <w:sz w:val="24"/>
          <w:szCs w:val="24"/>
          <w:lang w:val="en-GB"/>
        </w:rPr>
        <w:t xml:space="preserve">Acute telomere attrition leads to the uncapping of chromatid ends, and in normal tissues results in the activation of senescence checkpoints, with a key pre-malignant tumour-suppressor function. </w:t>
      </w:r>
      <w:r w:rsidR="00552B63" w:rsidRPr="00002888">
        <w:rPr>
          <w:rFonts w:ascii="Times New Roman" w:hAnsi="Times New Roman" w:cs="Times New Roman"/>
          <w:sz w:val="24"/>
          <w:szCs w:val="24"/>
          <w:lang w:val="en-GB"/>
        </w:rPr>
        <w:t>Telomere attrition leads to intra- and inter-chromosomal end fusions, the formation of dicentric chromosomes with consequential breakage during anaphase, and genomic complexity, through the mechanisms of breakage-fusion-bridge formation</w:t>
      </w:r>
      <w:r w:rsidR="009C339E" w:rsidRPr="00002888">
        <w:rPr>
          <w:rFonts w:ascii="Times New Roman" w:hAnsi="Times New Roman" w:cs="Times New Roman"/>
          <w:sz w:val="24"/>
          <w:szCs w:val="24"/>
          <w:lang w:val="en-GB"/>
        </w:rPr>
        <w:t xml:space="preserve"> </w:t>
      </w:r>
      <w:r w:rsidR="009C339E" w:rsidRPr="00002888">
        <w:rPr>
          <w:rFonts w:ascii="Times New Roman" w:hAnsi="Times New Roman" w:cs="Times New Roman"/>
          <w:sz w:val="24"/>
          <w:szCs w:val="24"/>
          <w:lang w:val="en-GB"/>
        </w:rPr>
        <w:fldChar w:fldCharType="begin" w:fldLock="1"/>
      </w:r>
      <w:r w:rsidR="009C339E" w:rsidRPr="00002888">
        <w:rPr>
          <w:rFonts w:ascii="Times New Roman" w:hAnsi="Times New Roman" w:cs="Times New Roman"/>
          <w:sz w:val="24"/>
          <w:szCs w:val="24"/>
          <w:lang w:val="en-GB"/>
        </w:rPr>
        <w:instrText>ADDIN CSL_CITATION {"citationItems":[{"id":"ITEM-1","itemData":{"DOI":"10.1073/pnas.090013497","ISSN":"00278424","PMID":"10805796","abstract":"It has long been known that rearrangements of chromosomes through breakage-fusion-bridge (BFB) cycles may cause variability of phenotypic and genetic traits within a cell population. Because intercellular heterogeneity is often found in neoplastic tissues, we investigated the occurrence of BFB events in human solid tumors. Evidence of frequent BFB events was found in malignancies that showed unspecific chromosome aberrations, including ring chromosomes, dicentric chromosomes, and telomeric associations, as well as extensive intratumor heterogeneity in the pattern of structural changes but not in tumors with tumor-specific aberrations and low variability. Fluorescence in situ hybridization analysis demonstrated that chromosomes participating in anaphase bridge formation were involved in a significantly higher number of structural aberrations than other chromosomes. Tumors with BFB events showed a decreased elimination rate of unstable chromosome aberrations after irradiation compared with normal cells and other tumor cells. This result suggests that a combination of mitotically unstable chromosomes and an elevated tolerance to chromosomal damage leads to constant genomic reorganization in many malignancies, thereby providing a flexible genetic system for clonal evolution and progression.","author":[{"dropping-particle":"","family":"Gisselsson","given":"David","non-dropping-particle":"","parse-names":false,"suffix":""},{"dropping-particle":"","family":"Pettersson","given":"Louise","non-dropping-particle":"","parse-names":false,"suffix":""},{"dropping-particle":"","family":"Höglund","given":"Mattias","non-dropping-particle":"","parse-names":false,"suffix":""},{"dropping-particle":"","family":"Heidenblad","given":"Markus","non-dropping-particle":"","parse-names":false,"suffix":""},{"dropping-particle":"","family":"Gorunova","given":"Ludmila","non-dropping-particle":"","parse-names":false,"suffix":""},{"dropping-particle":"","family":"Wiegant","given":"Joop","non-dropping-particle":"","parse-names":false,"suffix":""},{"dropping-particle":"","family":"Mertens","given":"Fredrik","non-dropping-particle":"","parse-names":false,"suffix":""},{"dropping-particle":"","family":"Dal Cin","given":"Paola","non-dropping-particle":"","parse-names":false,"suffix":""},{"dropping-particle":"","family":"Mitelman","given":"Felix","non-dropping-particle":"","parse-names":false,"suffix":""},{"dropping-particle":"","family":"Mandahl","given":"Nils","non-dropping-particle":"","parse-names":false,"suffix":""}],"container-title":"Proceedings of the National Academy of Sciences of the United States of America","id":"ITEM-1","issue":"10","issued":{"date-parts":[["2000","5","9"]]},"page":"5357-5362","publisher":"Proc Natl Acad Sci U S A","title":"Chromosomal breakage-fusion-bridge events cause genetic intratumor heterogeneity","type":"article-journal","volume":"97"},"uris":["http://www.mendeley.com/documents/?uuid=2259e4a8-7500-3357-bb81-1bb6d107a9e9"]}],"mendeley":{"formattedCitation":"(Gisselsson et al., 2000)","plainTextFormattedCitation":"(Gisselsson et al., 2000)","previouslyFormattedCitation":"(Gisselsson et al., 2000)"},"properties":{"noteIndex":0},"schema":"https://github.com/citation-style-language/schema/raw/master/csl-citation.json"}</w:instrText>
      </w:r>
      <w:r w:rsidR="009C339E" w:rsidRPr="00002888">
        <w:rPr>
          <w:rFonts w:ascii="Times New Roman" w:hAnsi="Times New Roman" w:cs="Times New Roman"/>
          <w:sz w:val="24"/>
          <w:szCs w:val="24"/>
          <w:lang w:val="en-GB"/>
        </w:rPr>
        <w:fldChar w:fldCharType="separate"/>
      </w:r>
      <w:r w:rsidR="009C339E" w:rsidRPr="00002888">
        <w:rPr>
          <w:rFonts w:ascii="Times New Roman" w:hAnsi="Times New Roman" w:cs="Times New Roman"/>
          <w:noProof/>
          <w:sz w:val="24"/>
          <w:szCs w:val="24"/>
          <w:lang w:val="en-GB"/>
        </w:rPr>
        <w:t>(Gisselsson et al., 2000)</w:t>
      </w:r>
      <w:r w:rsidR="009C339E" w:rsidRPr="00002888">
        <w:rPr>
          <w:rFonts w:ascii="Times New Roman" w:hAnsi="Times New Roman" w:cs="Times New Roman"/>
          <w:sz w:val="24"/>
          <w:szCs w:val="24"/>
          <w:lang w:val="en-GB"/>
        </w:rPr>
        <w:fldChar w:fldCharType="end"/>
      </w:r>
      <w:r w:rsidR="00552B63" w:rsidRPr="00002888">
        <w:rPr>
          <w:rFonts w:ascii="Times New Roman" w:hAnsi="Times New Roman" w:cs="Times New Roman"/>
          <w:sz w:val="24"/>
          <w:szCs w:val="24"/>
          <w:lang w:val="en-GB"/>
        </w:rPr>
        <w:t xml:space="preserve">. </w:t>
      </w:r>
      <w:r w:rsidR="006D4DE2" w:rsidRPr="00002888">
        <w:rPr>
          <w:rFonts w:ascii="Times New Roman" w:hAnsi="Times New Roman" w:cs="Times New Roman"/>
          <w:sz w:val="24"/>
          <w:szCs w:val="24"/>
          <w:lang w:val="en-GB"/>
        </w:rPr>
        <w:t xml:space="preserve">The majority of human tumours exhibit eroded telomere length, compared to the corresponding normal tissue </w:t>
      </w:r>
      <w:r w:rsidR="009C339E" w:rsidRPr="00002888">
        <w:rPr>
          <w:rFonts w:ascii="Times New Roman" w:hAnsi="Times New Roman" w:cs="Times New Roman"/>
          <w:sz w:val="24"/>
          <w:szCs w:val="24"/>
          <w:lang w:val="en-GB"/>
        </w:rPr>
        <w:fldChar w:fldCharType="begin" w:fldLock="1"/>
      </w:r>
      <w:r w:rsidR="009C339E" w:rsidRPr="00002888">
        <w:rPr>
          <w:rFonts w:ascii="Times New Roman" w:hAnsi="Times New Roman" w:cs="Times New Roman"/>
          <w:sz w:val="24"/>
          <w:szCs w:val="24"/>
          <w:lang w:val="en-GB"/>
        </w:rPr>
        <w:instrText>ADDIN CSL_CITATION {"citationItems":[{"id":"ITEM-1","itemData":{"DOI":"10.1038/ng.3781","ISSN":"15461718","PMID":"28135248","abstract":"Cancer cells survive cellular crisis through telomere maintenance mechanisms. We report telomere lengths in 18,430 samples, including tumors and non-neoplastic samples, across 31 cancer types. Telomeres were shorter in tumors than in normal tissues and longer in sarcomas and gliomas than in other cancers. Among 6,835 cancers, 73% expressed telomerase reverse transcriptase (TERT), which was associated with TERT point mutations, rearrangements, DNA amplifications and transcript fusions and predictive of telomerase activity. TERT promoter methylation provided an additional deregulatory TERT expression mechanism. Five percent of cases, characterized by undetectable TERT expression and alterations in ATRX or DAXX, demonstrated elongated telomeres and increased telomeric repeat-containing RNA (TERRA). The remaining 22% of tumors neither expressed TERT nor harbored alterations in ATRX or DAXX. In this group, telomere length positively correlated with TP53 and RB1 mutations. Our analysis integrates TERT abnormalities, telomerase activity and genomic alterations with telomere length in cancer.","author":[{"dropping-particle":"","family":"Barthel","given":"Floris P.","non-dropping-particle":"","parse-names":false,"suffix":""},{"dropping-particle":"","family":"Wei","given":"Wei","non-dropping-particle":"","parse-names":false,"suffix":""},{"dropping-particle":"","family":"Tang","given":"Ming","non-dropping-particle":"","parse-names":false,"suffix":""},{"dropping-particle":"","family":"Martinez-Ledesma","given":"Emmanuel","non-dropping-particle":"","parse-names":false,"suffix":""},{"dropping-particle":"","family":"Hu","given":"Xin","non-dropping-particle":"","parse-names":false,"suffix":""},{"dropping-particle":"","family":"Amin","given":"Samirkumar B.","non-dropping-particle":"","parse-names":false,"suffix":""},{"dropping-particle":"","family":"Akdemir","given":"Kadir C.","non-dropping-particle":"","parse-names":false,"suffix":""},{"dropping-particle":"","family":"Seth","given":"Sahil","non-dropping-particle":"","parse-names":false,"suffix":""},{"dropping-particle":"","family":"Song","given":"Xingzhi","non-dropping-particle":"","parse-names":false,"suffix":""},{"dropping-particle":"","family":"Wang","given":"Qianghu","non-dropping-particle":"","parse-names":false,"suffix":""},{"dropping-particle":"","family":"Lichtenberg","given":"Tara","non-dropping-particle":"","parse-names":false,"suffix":""},{"dropping-particle":"","family":"Hu","given":"Jian","non-dropping-particle":"","parse-names":false,"suffix":""},{"dropping-particle":"","family":"Zhang","given":"Jianhua","non-dropping-particle":"","parse-names":false,"suffix":""},{"dropping-particle":"","family":"Zheng","given":"Siyuan","non-dropping-particle":"","parse-names":false,"suffix":""},{"dropping-particle":"","family":"Verhaak","given":"Roel G.W.","non-dropping-particle":"","parse-names":false,"suffix":""}],"container-title":"Nature Genetics","id":"ITEM-1","issue":"3","issued":{"date-parts":[["2017","3","1"]]},"page":"349-357","publisher":"Nature Publishing Group","title":"Systematic analysis of telomere length and somatic alterations in 31 cancer types","type":"article-journal","volume":"49"},"uris":["http://www.mendeley.com/documents/?uuid=34d25d12-40c8-3a21-bb3f-303877830b15"]}],"mendeley":{"formattedCitation":"(Barthel et al., 2017)","plainTextFormattedCitation":"(Barthel et al., 2017)","previouslyFormattedCitation":"(Barthel et al., 2017)"},"properties":{"noteIndex":0},"schema":"https://github.com/citation-style-language/schema/raw/master/csl-citation.json"}</w:instrText>
      </w:r>
      <w:r w:rsidR="009C339E" w:rsidRPr="00002888">
        <w:rPr>
          <w:rFonts w:ascii="Times New Roman" w:hAnsi="Times New Roman" w:cs="Times New Roman"/>
          <w:sz w:val="24"/>
          <w:szCs w:val="24"/>
          <w:lang w:val="en-GB"/>
        </w:rPr>
        <w:fldChar w:fldCharType="separate"/>
      </w:r>
      <w:r w:rsidR="009C339E" w:rsidRPr="00002888">
        <w:rPr>
          <w:rFonts w:ascii="Times New Roman" w:hAnsi="Times New Roman" w:cs="Times New Roman"/>
          <w:noProof/>
          <w:sz w:val="24"/>
          <w:szCs w:val="24"/>
          <w:lang w:val="en-GB"/>
        </w:rPr>
        <w:t>(Barthel et al., 2017)</w:t>
      </w:r>
      <w:r w:rsidR="009C339E" w:rsidRPr="00002888">
        <w:rPr>
          <w:rFonts w:ascii="Times New Roman" w:hAnsi="Times New Roman" w:cs="Times New Roman"/>
          <w:sz w:val="24"/>
          <w:szCs w:val="24"/>
          <w:lang w:val="en-GB"/>
        </w:rPr>
        <w:fldChar w:fldCharType="end"/>
      </w:r>
      <w:r w:rsidR="006D4DE2" w:rsidRPr="00002888">
        <w:rPr>
          <w:rFonts w:ascii="Times New Roman" w:hAnsi="Times New Roman" w:cs="Times New Roman"/>
          <w:sz w:val="24"/>
          <w:szCs w:val="24"/>
          <w:lang w:val="en-GB"/>
        </w:rPr>
        <w:t xml:space="preserve">. In line with this, several mature B-cell tumour cohorts, particularly CLL, have been shown to contain a proportion </w:t>
      </w:r>
      <w:r w:rsidR="006D4DE2" w:rsidRPr="00002888">
        <w:rPr>
          <w:rFonts w:ascii="Times New Roman" w:hAnsi="Times New Roman" w:cs="Times New Roman"/>
          <w:sz w:val="24"/>
          <w:szCs w:val="24"/>
          <w:lang w:val="en-GB"/>
        </w:rPr>
        <w:lastRenderedPageBreak/>
        <w:t>of patients with the shortest telomeres, th</w:t>
      </w:r>
      <w:r w:rsidR="0073356F" w:rsidRPr="00002888">
        <w:rPr>
          <w:rFonts w:ascii="Times New Roman" w:hAnsi="Times New Roman" w:cs="Times New Roman"/>
          <w:sz w:val="24"/>
          <w:szCs w:val="24"/>
          <w:lang w:val="en-GB"/>
        </w:rPr>
        <w:t>a</w:t>
      </w:r>
      <w:r w:rsidR="006D4DE2" w:rsidRPr="00002888">
        <w:rPr>
          <w:rFonts w:ascii="Times New Roman" w:hAnsi="Times New Roman" w:cs="Times New Roman"/>
          <w:sz w:val="24"/>
          <w:szCs w:val="24"/>
          <w:lang w:val="en-GB"/>
        </w:rPr>
        <w:t xml:space="preserve">t are more likely to exhibit poor risk-genomic lesions, have unmutated </w:t>
      </w:r>
      <w:r w:rsidR="006D4DE2" w:rsidRPr="00002888">
        <w:rPr>
          <w:rFonts w:ascii="Times New Roman" w:hAnsi="Times New Roman" w:cs="Times New Roman"/>
          <w:i/>
          <w:sz w:val="24"/>
          <w:szCs w:val="24"/>
          <w:lang w:val="en-GB"/>
        </w:rPr>
        <w:t>IGHV</w:t>
      </w:r>
      <w:r w:rsidR="006D4DE2" w:rsidRPr="00002888">
        <w:rPr>
          <w:rFonts w:ascii="Times New Roman" w:hAnsi="Times New Roman" w:cs="Times New Roman"/>
          <w:sz w:val="24"/>
          <w:szCs w:val="24"/>
          <w:lang w:val="en-GB"/>
        </w:rPr>
        <w:t xml:space="preserve"> genes, harbour a complex genome and  significantly </w:t>
      </w:r>
      <w:r w:rsidR="562DE9D2" w:rsidRPr="00002888">
        <w:rPr>
          <w:rFonts w:ascii="Times New Roman" w:hAnsi="Times New Roman" w:cs="Times New Roman"/>
          <w:sz w:val="24"/>
          <w:szCs w:val="24"/>
          <w:lang w:val="en-GB"/>
        </w:rPr>
        <w:t>poorer</w:t>
      </w:r>
      <w:r w:rsidR="006D4DE2" w:rsidRPr="00002888">
        <w:rPr>
          <w:rFonts w:ascii="Times New Roman" w:hAnsi="Times New Roman" w:cs="Times New Roman"/>
          <w:sz w:val="24"/>
          <w:szCs w:val="24"/>
          <w:lang w:val="en-GB"/>
        </w:rPr>
        <w:t xml:space="preserve"> clinical outcome</w:t>
      </w:r>
      <w:r w:rsidR="000573CE" w:rsidRPr="00002888">
        <w:rPr>
          <w:rFonts w:ascii="Times New Roman" w:hAnsi="Times New Roman" w:cs="Times New Roman"/>
          <w:sz w:val="24"/>
          <w:szCs w:val="24"/>
          <w:lang w:val="en-GB"/>
        </w:rPr>
        <w:t xml:space="preserve"> </w:t>
      </w:r>
      <w:r w:rsidR="000573CE" w:rsidRPr="00002888">
        <w:rPr>
          <w:rFonts w:ascii="Times New Roman" w:hAnsi="Times New Roman" w:cs="Times New Roman"/>
          <w:sz w:val="24"/>
          <w:szCs w:val="24"/>
          <w:lang w:val="en-GB"/>
        </w:rPr>
        <w:fldChar w:fldCharType="begin" w:fldLock="1"/>
      </w:r>
      <w:r w:rsidR="00EC7BD3" w:rsidRPr="00002888">
        <w:rPr>
          <w:rFonts w:ascii="Times New Roman" w:hAnsi="Times New Roman" w:cs="Times New Roman"/>
          <w:sz w:val="24"/>
          <w:szCs w:val="24"/>
          <w:lang w:val="en-GB"/>
        </w:rPr>
        <w:instrText>ADDIN CSL_CITATION {"citationItems":[{"id":"ITEM-1","itemData":{"DOI":"10.3324/haematol.2011.049874","ISSN":"03906078","PMID":"21933855","abstract":"Background B-cell chronic lymphocytic leukemia is a clinically heterogeneous disease; some patients rapidly progress and die within a few years of diagnosis, whereas others have a long life expectancy with minimal or no treatment. Telomere length and telomerase levels have been proposed as prognostic factors; however, very few cases have been characterized for both parameters and no study has analyzed the prognostic value of the telomere/telomerase profile.Design and Methods One hundred and seventy-three cases of chronic lymphocytic leukemia were characterized for telomere lengths and telomerase levels by real-time polymerase chain reaction. Data were correlated with established prognostic markers, IGVH mutational status and chromosomal aberrations, and clinical outcome.Results Telomere lengths were inversely correlated with telomerase levels (rs= -0.213; P=0.012), and most of the cases of chronic lymphocytic leukemia with high levels (above median) of telom-erase had short (below median) telomeres (P=0.0001). Telomerase levels were higher and telomeres were shorter in unmutated IGVH cases than in mutated IGVH ones (P&lt;0.0001). Chronic lymphocytic leukemias with 11q, 17p deletion or 12 trisomy had significantly higher levels of telomerase and shorter telomeres than those with no chromosomal aberration or the sole 13q deletion (P&lt;0.001). Telomere length/telomerase level profiles identified subgroups of patients with different clinical outcomes (P&lt;0.0001), even within the subsets of chronic lym-phocytic leukemia defined by IGVH mutational status or chromosomal aberrations. Short telomere/high telomerase profile was independently associated with more rapid disease progression.Conclusions Comprehensive analyses of telomeres, telomerase, chromosomal aberrations, and IGVH muta-tional status delineate groups of chronic lymphocytic leukemias with distinct biological characteristics and clinical outcomes. The telomere/telomerase profile may be particularly useful in refining the prognosis of chronic lymphocytic leukemia patients with mutated IGVH and no high-risk chromosomal aberrations.","author":[{"dropping-particle":"","family":"Rampazzo","given":"Enrica","non-dropping-particle":"","parse-names":false,"suffix":""},{"dropping-particle":"","family":"Bonaldi","given":"Laura","non-dropping-particle":"","parse-names":false,"suffix":""},{"dropping-particle":"","family":"Trentin","given":"Livio","non-dropping-particle":"","parse-names":false,"suffix":""},{"dropping-particle":"","family":"Visco","given":"Carlo","non-dropping-particle":"","parse-names":false,"suffix":""},{"dropping-particle":"","family":"Keppel","given":"Sonia","non-dropping-particle":"","parse-names":false,"suffix":""},{"dropping-particle":"","family":"Giunco","given":"Silvia","non-dropping-particle":"","parse-names":false,"suffix":""},{"dropping-particle":"","family":"Frezzato","given":"Federica","non-dropping-particle":"","parse-names":false,"suffix":""},{"dropping-particle":"","family":"Facco","given":"Monica","non-dropping-particle":"","parse-names":false,"suffix":""},{"dropping-particle":"","family":"Novella","given":"Elisabetta","non-dropping-particle":"","parse-names":false,"suffix":""},{"dropping-particle":"","family":"Giaretta","given":"Ilaria","non-dropping-particle":"","parse-names":false,"suffix":""},{"dropping-particle":"","family":"Bianco","given":"Paola","non-dropping-particle":"del","parse-names":false,"suffix":""},{"dropping-particle":"","family":"Semenzato","given":"Gianpietro","non-dropping-particle":"","parse-names":false,"suffix":""},{"dropping-particle":"","family":"Rossi","given":"Anita","non-dropping-particle":"de","parse-names":false,"suffix":""}],"container-title":"Haematologica","id":"ITEM-1","issue":"1","issued":{"date-parts":[["2012","1","1"]]},"page":"56-63","publisher":"Ferrata Storti Foundation","title":"Telomere length and telomerase levels delineate subgroups of B-cell chronic lymphocytic leukemia with different biological characteristics and clinical outcomes","type":"article-journal","volume":"97"},"uris":["http://www.mendeley.com/documents/?uuid=6bfb56de-a862-3671-b6d2-bbdb1f2bdf38"]},{"id":"ITEM-2","itemData":{"DOI":"10.1038/leu.2015.217","ISSN":"14765551","PMID":"26256637","author":[{"dropping-particle":"","family":"Strefford","given":"J. C.","non-dropping-particle":"","parse-names":false,"suffix":""},{"dropping-particle":"","family":"Kadalayil","given":"L.","non-dropping-particle":"","parse-names":false,"suffix":""},{"dropping-particle":"","family":"Forster","given":"J.","non-dropping-particle":"","parse-names":false,"suffix":""},{"dropping-particle":"","family":"Rose-Zerilli","given":"M. J.J.","non-dropping-particle":"","parse-names":false,"suffix":""},{"dropping-particle":"","family":"Parker","given":"A.","non-dropping-particle":"","parse-names":false,"suffix":""},{"dropping-particle":"","family":"Lin","given":"T. T.","non-dropping-particle":"","parse-names":false,"suffix":""},{"dropping-particle":"","family":"Heppel","given":"N.","non-dropping-particle":"","parse-names":false,"suffix":""},{"dropping-particle":"","family":"Norris","given":"K.","non-dropping-particle":"","parse-names":false,"suffix":""},{"dropping-particle":"","family":"Gardiner","given":"A.","non-dropping-particle":"","parse-names":false,"suffix":""},{"dropping-particle":"","family":"Davies","given":"Z.","non-dropping-particle":"","parse-names":false,"suffix":""},{"dropping-particle":"","family":"Gonzalez De Castro","given":"D.","non-dropping-particle":"","parse-names":false,"suffix":""},{"dropping-particle":"","family":"Else","given":"M.","non-dropping-particle":"","parse-names":false,"suffix":""},{"dropping-particle":"","family":"Steele","given":"A. J.","non-dropping-particle":"","parse-names":false,"suffix":""},{"dropping-particle":"","family":"Parker","given":"H.","non-dropping-particle":"","parse-names":false,"suffix":""},{"dropping-particle":"","family":"Stankovic","given":"T.","non-dropping-particle":"","parse-names":false,"suffix":""},{"dropping-particle":"","family":"Pepper","given":"C.","non-dropping-particle":"","parse-names":false,"suffix":""},{"dropping-particle":"","family":"Fegan","given":"C.","non-dropping-particle":"","parse-names":false,"suffix":""},{"dropping-particle":"","family":"Baird","given":"D.","non-dropping-particle":"","parse-names":false,"suffix":""},{"dropping-particle":"","family":"Collins","given":"A.","non-dropping-particle":"","parse-names":false,"suffix":""},{"dropping-particle":"","family":"Catovsky","given":"D.","non-dropping-particle":"","parse-names":false,"suffix":""},{"dropping-particle":"","family":"Oscier","given":"D. G.","non-dropping-particle":"","parse-names":false,"suffix":""}],"container-title":"Leukemia","id":"ITEM-2","issue":"12","issued":{"date-parts":[["2015","12","1"]]},"page":"2411-2414","publisher":"Nature Publishing Group","title":"Telomere length predicts progression and overall survival in chronic lymphocytic leukemia: Data from the UK LRF CLL4 trial","type":"article","volume":"29"},"uris":["http://www.mendeley.com/documents/?uuid=58db8df5-4817-3ae6-9d35-db55b2a02368"]}],"mendeley":{"formattedCitation":"(Rampazzo et al., 2012; Strefford et al., 2015)","plainTextFormattedCitation":"(Rampazzo et al., 2012; Strefford et al., 2015)","previouslyFormattedCitation":"(Rampazzo et al., 2012; Strefford et al., 2015)"},"properties":{"noteIndex":0},"schema":"https://github.com/citation-style-language/schema/raw/master/csl-citation.json"}</w:instrText>
      </w:r>
      <w:r w:rsidR="000573CE" w:rsidRPr="00002888">
        <w:rPr>
          <w:rFonts w:ascii="Times New Roman" w:hAnsi="Times New Roman" w:cs="Times New Roman"/>
          <w:sz w:val="24"/>
          <w:szCs w:val="24"/>
          <w:lang w:val="en-GB"/>
        </w:rPr>
        <w:fldChar w:fldCharType="separate"/>
      </w:r>
      <w:r w:rsidR="000573CE" w:rsidRPr="00002888">
        <w:rPr>
          <w:rFonts w:ascii="Times New Roman" w:hAnsi="Times New Roman" w:cs="Times New Roman"/>
          <w:noProof/>
          <w:sz w:val="24"/>
          <w:szCs w:val="24"/>
          <w:lang w:val="en-GB"/>
        </w:rPr>
        <w:t>(Rampazzo et al., 2012; Strefford et al., 2015)</w:t>
      </w:r>
      <w:r w:rsidR="000573CE" w:rsidRPr="00002888">
        <w:rPr>
          <w:rFonts w:ascii="Times New Roman" w:hAnsi="Times New Roman" w:cs="Times New Roman"/>
          <w:sz w:val="24"/>
          <w:szCs w:val="24"/>
          <w:lang w:val="en-GB"/>
        </w:rPr>
        <w:fldChar w:fldCharType="end"/>
      </w:r>
      <w:r w:rsidR="006D4DE2" w:rsidRPr="00002888">
        <w:rPr>
          <w:rFonts w:ascii="Times New Roman" w:hAnsi="Times New Roman" w:cs="Times New Roman"/>
          <w:sz w:val="24"/>
          <w:szCs w:val="24"/>
          <w:lang w:val="en-GB"/>
        </w:rPr>
        <w:t xml:space="preserve">. </w:t>
      </w:r>
      <w:r w:rsidR="00F77272" w:rsidRPr="00002888">
        <w:rPr>
          <w:rFonts w:ascii="Times New Roman" w:hAnsi="Times New Roman" w:cs="Times New Roman"/>
          <w:sz w:val="24"/>
          <w:szCs w:val="24"/>
          <w:lang w:val="en-GB"/>
        </w:rPr>
        <w:t>However, to date</w:t>
      </w:r>
      <w:r w:rsidR="3AF3DB8B" w:rsidRPr="00002888">
        <w:rPr>
          <w:rFonts w:ascii="Times New Roman" w:hAnsi="Times New Roman" w:cs="Times New Roman"/>
          <w:sz w:val="24"/>
          <w:szCs w:val="24"/>
          <w:lang w:val="en-GB"/>
        </w:rPr>
        <w:t>,</w:t>
      </w:r>
      <w:r w:rsidR="00F77272" w:rsidRPr="00002888">
        <w:rPr>
          <w:rFonts w:ascii="Times New Roman" w:hAnsi="Times New Roman" w:cs="Times New Roman"/>
          <w:sz w:val="24"/>
          <w:szCs w:val="24"/>
          <w:lang w:val="en-GB"/>
        </w:rPr>
        <w:t xml:space="preserve"> </w:t>
      </w:r>
      <w:r w:rsidR="00A03198" w:rsidRPr="00002888">
        <w:rPr>
          <w:rFonts w:ascii="Times New Roman" w:hAnsi="Times New Roman" w:cs="Times New Roman"/>
          <w:sz w:val="24"/>
          <w:szCs w:val="24"/>
          <w:lang w:val="en-GB"/>
        </w:rPr>
        <w:t xml:space="preserve">preliminary telomere length analysis of SMZL has only been published in abstract form </w:t>
      </w:r>
      <w:r w:rsidRPr="00002888">
        <w:rPr>
          <w:rFonts w:ascii="Times New Roman" w:hAnsi="Times New Roman" w:cs="Times New Roman"/>
          <w:sz w:val="24"/>
          <w:szCs w:val="24"/>
          <w:lang w:val="en-GB"/>
        </w:rPr>
        <w:t>showing</w:t>
      </w:r>
      <w:r w:rsidR="00A03198" w:rsidRPr="00002888">
        <w:rPr>
          <w:rFonts w:ascii="Times New Roman" w:hAnsi="Times New Roman" w:cs="Times New Roman"/>
          <w:sz w:val="24"/>
          <w:szCs w:val="24"/>
          <w:lang w:val="en-GB"/>
        </w:rPr>
        <w:t xml:space="preserve"> an enrichment of short telomeres in patients with progressive disease </w:t>
      </w:r>
      <w:r w:rsidR="00CD3F78" w:rsidRPr="00002888">
        <w:rPr>
          <w:rFonts w:ascii="Times New Roman" w:hAnsi="Times New Roman" w:cs="Times New Roman"/>
          <w:sz w:val="24"/>
          <w:szCs w:val="24"/>
          <w:lang w:val="en-GB"/>
        </w:rPr>
        <w:fldChar w:fldCharType="begin" w:fldLock="1"/>
      </w:r>
      <w:r w:rsidR="00400C79" w:rsidRPr="00002888">
        <w:rPr>
          <w:rFonts w:ascii="Times New Roman" w:hAnsi="Times New Roman" w:cs="Times New Roman"/>
          <w:sz w:val="24"/>
          <w:szCs w:val="24"/>
          <w:lang w:val="en-GB"/>
        </w:rPr>
        <w:instrText>ADDIN CSL_CITATION {"citationItems":[{"id":"ITEM-1","itemData":{"DOI":"10.1182/blood.v106.11.2955.2955","ISSN":"0006-4971","abstract":"Previous studies have shown heterogeneity of telomere length among chronic B cell malignancies and within CLL. Longer telomeres are a feature of germinal center-derived tumours and mean telomere length is shorter in unmutated than mutated CLL. The relative contributions of telomere length pre-transformation, germinal centre experience and tumour cell proliferation in determining telomere length remains uncertain. We have used a recently introduced real-time quantitative PCR method to measure the factor by which the ratio of telomere repeat copy number to single gene copy number differs between a sample and that of a reference DNA sample. We compared relative telomere length in 4 types of B cell tumour whose VH genes may be either unmutated or mutated.In 24 cases of mutated CLL mean relative length was 4.24 (range 0.16–24.13) compared to 0.81 (range 0.1–3.1) in 21 cases of unmutated CLL, p= 0.004. However, analysis of 8 mutated and 7 unmutated CLL cases using the poor prognosis Vh3-21 gene showed no significant difference between the two subsets. In non-CLL cases, the mean relative telomere length was 0.7 in 11 cases of B-PLL, 1.9 in 10 cases of MCL and 4.06 (range 0.2–22.7) in 29 cases of SMZL. In the latter 3 disorders there was again no significant difference in mean relative telomere length between mutated and unmutated cases. However, when SMZL patients were divided into 2 groups with relative telomere lengths above or below the median, 11/14 patients with stable disease had long telomeres whereas 10/15 patients with progressive disease had short telomeres, p= 0.025. We then compared 26 cases of stage A, mutated CLL, of whom 13 had stable disease for &amp;gt;10 years and 13 had progressive disease. There was no significant difference in telomere length at presentation between the 2 groups nor on follow up testing of samples from 7 patients from each group with a mean of 92 months between test samples. In contrast, 5 cases with stable, stage A, unmutated CLL for &amp;gt;8years had a longer mean relative telomere length of 2.15 (range 1.29–4.12) than the cohort of 21 unmutated cases with progressive disease described above p=0.002.These data confirm the differences in mean telomere length among different B cell tumours and between mutated and unmutated CLL, but suggest that mutational status per se does not influence telomere length, while in SMZL and unmutated CLL, rate of cell proliferation is reflected in telomere length.","author":[{"dropping-particle":"","family":"Parker","given":"Anton E.","non-dropping-particle":"","parse-names":false,"suffix":""},{"dropping-particle":"","family":"Snell","given":"Kimberley","non-dropping-particle":"","parse-names":false,"suffix":""},{"dropping-particle":"","family":"Davis","given":"Zadie","non-dropping-particle":"","parse-names":false,"suffix":""},{"dropping-particle":"","family":"Oscier","given":"David Graham","non-dropping-particle":"","parse-names":false,"suffix":""}],"container-title":"Blood","id":"ITEM-1","issue":"11","issued":{"date-parts":[["2005","11","16"]]},"page":"2955-2955","publisher":"American Society of Hematology","title":"Telomere Length by Tel-PCR in B Cell Malignancies.","type":"article-journal","volume":"106"},"uris":["http://www.mendeley.com/documents/?uuid=aae272f8-b366-3450-82d1-169fcb2ba513"]}],"mendeley":{"formattedCitation":"(Parker et al., 2005)","plainTextFormattedCitation":"(Parker et al., 2005)","previouslyFormattedCitation":"(Parker et al., 2005)"},"properties":{"noteIndex":0},"schema":"https://github.com/citation-style-language/schema/raw/master/csl-citation.json"}</w:instrText>
      </w:r>
      <w:r w:rsidR="00CD3F78" w:rsidRPr="00002888">
        <w:rPr>
          <w:rFonts w:ascii="Times New Roman" w:hAnsi="Times New Roman" w:cs="Times New Roman"/>
          <w:sz w:val="24"/>
          <w:szCs w:val="24"/>
          <w:lang w:val="en-GB"/>
        </w:rPr>
        <w:fldChar w:fldCharType="separate"/>
      </w:r>
      <w:r w:rsidR="00CD3F78" w:rsidRPr="00002888">
        <w:rPr>
          <w:rFonts w:ascii="Times New Roman" w:hAnsi="Times New Roman" w:cs="Times New Roman"/>
          <w:noProof/>
          <w:sz w:val="24"/>
          <w:szCs w:val="24"/>
          <w:lang w:val="en-GB"/>
        </w:rPr>
        <w:t>(Parker et al., 2005)</w:t>
      </w:r>
      <w:r w:rsidR="00CD3F78" w:rsidRPr="00002888">
        <w:rPr>
          <w:rFonts w:ascii="Times New Roman" w:hAnsi="Times New Roman" w:cs="Times New Roman"/>
          <w:sz w:val="24"/>
          <w:szCs w:val="24"/>
          <w:lang w:val="en-GB"/>
        </w:rPr>
        <w:fldChar w:fldCharType="end"/>
      </w:r>
      <w:r w:rsidR="00A03198" w:rsidRPr="00002888">
        <w:rPr>
          <w:rFonts w:ascii="Times New Roman" w:hAnsi="Times New Roman" w:cs="Times New Roman"/>
          <w:sz w:val="24"/>
          <w:szCs w:val="24"/>
          <w:lang w:val="en-GB"/>
        </w:rPr>
        <w:t xml:space="preserve">. This approach should be extended to large patient cohorts, </w:t>
      </w:r>
      <w:r w:rsidR="00F77272" w:rsidRPr="00002888">
        <w:rPr>
          <w:rFonts w:ascii="Times New Roman" w:hAnsi="Times New Roman" w:cs="Times New Roman"/>
          <w:sz w:val="24"/>
          <w:szCs w:val="24"/>
          <w:lang w:val="en-GB"/>
        </w:rPr>
        <w:t xml:space="preserve">and is likely to be highly informative, particularly given the </w:t>
      </w:r>
      <w:r w:rsidR="0073356F" w:rsidRPr="00002888">
        <w:rPr>
          <w:rFonts w:ascii="Times New Roman" w:hAnsi="Times New Roman" w:cs="Times New Roman"/>
          <w:sz w:val="24"/>
          <w:szCs w:val="24"/>
          <w:lang w:val="en-GB"/>
        </w:rPr>
        <w:t>aforenoted</w:t>
      </w:r>
      <w:r w:rsidR="00F77272" w:rsidRPr="00002888">
        <w:rPr>
          <w:rFonts w:ascii="Times New Roman" w:hAnsi="Times New Roman" w:cs="Times New Roman"/>
          <w:sz w:val="24"/>
          <w:szCs w:val="24"/>
          <w:lang w:val="en-GB"/>
        </w:rPr>
        <w:t xml:space="preserve"> enrichment of cases with karyotypic complexity and the significant clinical </w:t>
      </w:r>
      <w:r w:rsidR="0073356F" w:rsidRPr="00002888">
        <w:rPr>
          <w:rFonts w:ascii="Times New Roman" w:hAnsi="Times New Roman" w:cs="Times New Roman"/>
          <w:sz w:val="24"/>
          <w:szCs w:val="24"/>
          <w:lang w:val="en-GB"/>
        </w:rPr>
        <w:t>heterogeneity</w:t>
      </w:r>
      <w:r w:rsidR="00F77272" w:rsidRPr="00002888">
        <w:rPr>
          <w:rFonts w:ascii="Times New Roman" w:hAnsi="Times New Roman" w:cs="Times New Roman"/>
          <w:sz w:val="24"/>
          <w:szCs w:val="24"/>
          <w:lang w:val="en-GB"/>
        </w:rPr>
        <w:t xml:space="preserve"> that exists. There are a number of approaches to </w:t>
      </w:r>
      <w:r w:rsidR="00EF6FA2" w:rsidRPr="00002888">
        <w:rPr>
          <w:rFonts w:ascii="Times New Roman" w:hAnsi="Times New Roman" w:cs="Times New Roman"/>
          <w:sz w:val="24"/>
          <w:szCs w:val="24"/>
          <w:lang w:val="en-GB"/>
        </w:rPr>
        <w:t>quantify</w:t>
      </w:r>
      <w:r w:rsidR="00F77272" w:rsidRPr="00002888">
        <w:rPr>
          <w:rFonts w:ascii="Times New Roman" w:hAnsi="Times New Roman" w:cs="Times New Roman"/>
          <w:sz w:val="24"/>
          <w:szCs w:val="24"/>
          <w:lang w:val="en-GB"/>
        </w:rPr>
        <w:t xml:space="preserve"> telomere length, but </w:t>
      </w:r>
      <w:r w:rsidR="009C0409" w:rsidRPr="00002888">
        <w:rPr>
          <w:rFonts w:ascii="Times New Roman" w:hAnsi="Times New Roman" w:cs="Times New Roman"/>
          <w:sz w:val="24"/>
          <w:szCs w:val="24"/>
          <w:lang w:val="en-GB"/>
        </w:rPr>
        <w:t>one</w:t>
      </w:r>
      <w:r w:rsidR="00F77272" w:rsidRPr="00002888">
        <w:rPr>
          <w:rFonts w:ascii="Times New Roman" w:hAnsi="Times New Roman" w:cs="Times New Roman"/>
          <w:sz w:val="24"/>
          <w:szCs w:val="24"/>
          <w:lang w:val="en-GB"/>
        </w:rPr>
        <w:t xml:space="preserve"> likely approach would be a PCR-based approach, such as the MMQ-PCR assay </w:t>
      </w:r>
      <w:r w:rsidR="009C339E" w:rsidRPr="00002888">
        <w:rPr>
          <w:rFonts w:ascii="Times New Roman" w:hAnsi="Times New Roman" w:cs="Times New Roman"/>
          <w:sz w:val="24"/>
          <w:szCs w:val="24"/>
          <w:lang w:val="en-GB"/>
        </w:rPr>
        <w:fldChar w:fldCharType="begin" w:fldLock="1"/>
      </w:r>
      <w:r w:rsidR="00430E0A" w:rsidRPr="00002888">
        <w:rPr>
          <w:rFonts w:ascii="Times New Roman" w:hAnsi="Times New Roman" w:cs="Times New Roman"/>
          <w:sz w:val="24"/>
          <w:szCs w:val="24"/>
          <w:lang w:val="en-GB"/>
        </w:rPr>
        <w:instrText>ADDIN CSL_CITATION {"citationItems":[{"id":"ITEM-1","itemData":{"DOI":"10.1093/nar/30.10.e47","ISSN":"13624962","PMID":"12000852","abstract":"It has long been presumed impossible to measure telomeres in vertebrate DNA by PCR amplification with oligonucleotide primers designed to hybridize to the TTAGGG and CCCTAA repeats, because only primer dimer-derived products are expected. Here we present a primer pair that eliminates this problem, allowing simple and rapid measurement of telomeres in a closed tube, fluorescence-based assay. This assay will facilitate investigations of the biology of telomeres and the roles they play in the molecular pathophysiology of diseases and aging.","author":[{"dropping-particle":"","family":"Cawthon","given":"Richard M.","non-dropping-particle":"","parse-names":false,"suffix":""}],"container-title":"Nucleic acids research","id":"ITEM-1","issue":"10","issued":{"date-parts":[["2002"]]},"publisher":"Nucleic Acids Res","title":"Telomere measurement by quantitative PCR.","type":"article-journal","volume":"30"},"uris":["http://www.mendeley.com/documents/?uuid=1be42f00-00c7-30a3-a892-4fedf1dd7452"]}],"mendeley":{"formattedCitation":"(Cawthon, 2002)","plainTextFormattedCitation":"(Cawthon, 2002)","previouslyFormattedCitation":"(Cawthon, 2002)"},"properties":{"noteIndex":0},"schema":"https://github.com/citation-style-language/schema/raw/master/csl-citation.json"}</w:instrText>
      </w:r>
      <w:r w:rsidR="009C339E" w:rsidRPr="00002888">
        <w:rPr>
          <w:rFonts w:ascii="Times New Roman" w:hAnsi="Times New Roman" w:cs="Times New Roman"/>
          <w:sz w:val="24"/>
          <w:szCs w:val="24"/>
          <w:lang w:val="en-GB"/>
        </w:rPr>
        <w:fldChar w:fldCharType="separate"/>
      </w:r>
      <w:r w:rsidR="009C339E" w:rsidRPr="00002888">
        <w:rPr>
          <w:rFonts w:ascii="Times New Roman" w:hAnsi="Times New Roman" w:cs="Times New Roman"/>
          <w:noProof/>
          <w:sz w:val="24"/>
          <w:szCs w:val="24"/>
          <w:lang w:val="en-GB"/>
        </w:rPr>
        <w:t>(Cawthon, 2002)</w:t>
      </w:r>
      <w:r w:rsidR="009C339E" w:rsidRPr="00002888">
        <w:rPr>
          <w:rFonts w:ascii="Times New Roman" w:hAnsi="Times New Roman" w:cs="Times New Roman"/>
          <w:sz w:val="24"/>
          <w:szCs w:val="24"/>
          <w:lang w:val="en-GB"/>
        </w:rPr>
        <w:fldChar w:fldCharType="end"/>
      </w:r>
      <w:r w:rsidR="00F77272" w:rsidRPr="00002888">
        <w:rPr>
          <w:rFonts w:ascii="Times New Roman" w:eastAsia="Times New Roman" w:hAnsi="Times New Roman" w:cs="Times New Roman"/>
          <w:color w:val="212121"/>
          <w:sz w:val="24"/>
          <w:szCs w:val="24"/>
          <w:lang w:val="en-GB" w:eastAsia="en-GB"/>
        </w:rPr>
        <w:t>, as this is highly scalable, cost effective and requires a small amount of DNA for analysis. However, given that MMQ-PCR quantifie</w:t>
      </w:r>
      <w:r w:rsidR="00301FDC" w:rsidRPr="00002888">
        <w:rPr>
          <w:rFonts w:ascii="Times New Roman" w:eastAsia="Times New Roman" w:hAnsi="Times New Roman" w:cs="Times New Roman"/>
          <w:color w:val="212121"/>
          <w:sz w:val="24"/>
          <w:szCs w:val="24"/>
          <w:lang w:val="en-GB" w:eastAsia="en-GB"/>
        </w:rPr>
        <w:t>s</w:t>
      </w:r>
      <w:r w:rsidR="00F77272" w:rsidRPr="00002888">
        <w:rPr>
          <w:rFonts w:ascii="Times New Roman" w:eastAsia="Times New Roman" w:hAnsi="Times New Roman" w:cs="Times New Roman"/>
          <w:color w:val="212121"/>
          <w:sz w:val="24"/>
          <w:szCs w:val="24"/>
          <w:lang w:val="en-GB" w:eastAsia="en-GB"/>
        </w:rPr>
        <w:t xml:space="preserve"> </w:t>
      </w:r>
      <w:r w:rsidR="0073356F" w:rsidRPr="00002888">
        <w:rPr>
          <w:rFonts w:ascii="Times New Roman" w:eastAsia="Times New Roman" w:hAnsi="Times New Roman" w:cs="Times New Roman"/>
          <w:color w:val="212121"/>
          <w:sz w:val="24"/>
          <w:szCs w:val="24"/>
          <w:lang w:val="en-GB" w:eastAsia="en-GB"/>
        </w:rPr>
        <w:t xml:space="preserve">only a mean telomere length, the single telomere length amplification (STELA) assay would be the ideal choice, as this allows the </w:t>
      </w:r>
      <w:r w:rsidR="00413C07" w:rsidRPr="00002888">
        <w:rPr>
          <w:rFonts w:ascii="Times New Roman" w:eastAsia="Times New Roman" w:hAnsi="Times New Roman" w:cs="Times New Roman"/>
          <w:color w:val="212121"/>
          <w:sz w:val="24"/>
          <w:szCs w:val="24"/>
          <w:lang w:val="en-GB" w:eastAsia="en-GB"/>
        </w:rPr>
        <w:t>quantification</w:t>
      </w:r>
      <w:r w:rsidR="0073356F" w:rsidRPr="00002888">
        <w:rPr>
          <w:rFonts w:ascii="Times New Roman" w:eastAsia="Times New Roman" w:hAnsi="Times New Roman" w:cs="Times New Roman"/>
          <w:color w:val="212121"/>
          <w:sz w:val="24"/>
          <w:szCs w:val="24"/>
          <w:lang w:val="en-GB" w:eastAsia="en-GB"/>
        </w:rPr>
        <w:t xml:space="preserve"> of telomere length </w:t>
      </w:r>
      <w:r w:rsidR="00413C07" w:rsidRPr="00002888">
        <w:rPr>
          <w:rFonts w:ascii="Times New Roman" w:eastAsia="Times New Roman" w:hAnsi="Times New Roman" w:cs="Times New Roman"/>
          <w:color w:val="212121"/>
          <w:sz w:val="24"/>
          <w:szCs w:val="24"/>
          <w:lang w:val="en-GB" w:eastAsia="en-GB"/>
        </w:rPr>
        <w:t>for</w:t>
      </w:r>
      <w:r w:rsidR="0073356F" w:rsidRPr="00002888">
        <w:rPr>
          <w:rFonts w:ascii="Times New Roman" w:eastAsia="Times New Roman" w:hAnsi="Times New Roman" w:cs="Times New Roman"/>
          <w:color w:val="212121"/>
          <w:sz w:val="24"/>
          <w:szCs w:val="24"/>
          <w:lang w:val="en-GB" w:eastAsia="en-GB"/>
        </w:rPr>
        <w:t xml:space="preserve"> a single chromosome in a single cell </w:t>
      </w:r>
      <w:r w:rsidR="00430E0A" w:rsidRPr="00002888">
        <w:rPr>
          <w:rFonts w:ascii="Times New Roman" w:eastAsia="Times New Roman" w:hAnsi="Times New Roman" w:cs="Times New Roman"/>
          <w:color w:val="212121"/>
          <w:sz w:val="24"/>
          <w:szCs w:val="24"/>
          <w:lang w:val="en-GB" w:eastAsia="en-GB"/>
        </w:rPr>
        <w:fldChar w:fldCharType="begin" w:fldLock="1"/>
      </w:r>
      <w:r w:rsidR="00430E0A" w:rsidRPr="00002888">
        <w:rPr>
          <w:rFonts w:ascii="Times New Roman" w:eastAsia="Times New Roman" w:hAnsi="Times New Roman" w:cs="Times New Roman"/>
          <w:color w:val="212121"/>
          <w:sz w:val="24"/>
          <w:szCs w:val="24"/>
          <w:lang w:val="en-GB" w:eastAsia="en-GB"/>
        </w:rPr>
        <w:instrText>ADDIN CSL_CITATION {"citationItems":[{"id":"ITEM-1","itemData":{"DOI":"10.1038/ng1084","ISSN":"10614036","PMID":"12539050","abstract":"By imposing a limit on the proliferative lifespan of most somatic cells, telomere erosion represents an innate mechanism for tumor suppression1 and may contribute to age-related disease2. A detailed understanding of the pathways that link shortened telomeres to replicative senescence has been severely hindered by the inability of current methods to analyze telomere dynamics in detail. Here we describe single telomere length analysis (STELA), a PCR-based approach that accurately measures the full spectrum of telomere lengths from individual chromosomes. STELA analysis of human XpYp telomeres in fibroblasts identifies several features of telomere biology. We observe bimodal distributions of telomeres in normal fibroblasts; these distributions result from inter-allelic differences of up to 6.5 kb, indicating that unexpectedly large-scale differences in zygotic telomere length are maintained throughout development. Most telomeres shorten in a gradual fashion consistent with simple losses through end replication, and the rates of erosion are independent of allele size. Superimposed on this are occasional, more substantial changes in length, which may be the consequence of additional mutational mechanisms. Notably, some alleles show almost complete loss of TTAGGG repeats at senescence.","author":[{"dropping-particle":"","family":"Baird","given":"Duncan M.","non-dropping-particle":"","parse-names":false,"suffix":""},{"dropping-particle":"","family":"Rowson","given":"Jan","non-dropping-particle":"","parse-names":false,"suffix":""},{"dropping-particle":"","family":"Wynford-Thomas","given":"David","non-dropping-particle":"","parse-names":false,"suffix":""},{"dropping-particle":"","family":"Kipling","given":"David","non-dropping-particle":"","parse-names":false,"suffix":""}],"container-title":"Nature Genetics","id":"ITEM-1","issue":"2","issued":{"date-parts":[["2003","2","1"]]},"page":"203-207","publisher":"Nat Genet","title":"Extensive allelic variation and ultrashort telomeres in senescent human cells","type":"article-journal","volume":"33"},"uris":["http://www.mendeley.com/documents/?uuid=db0f61e5-f588-35dd-8a2a-82d6d58c920c"]}],"mendeley":{"formattedCitation":"(Baird et al., 2003)","plainTextFormattedCitation":"(Baird et al., 2003)","previouslyFormattedCitation":"(Baird et al., 2003)"},"properties":{"noteIndex":0},"schema":"https://github.com/citation-style-language/schema/raw/master/csl-citation.json"}</w:instrText>
      </w:r>
      <w:r w:rsidR="00430E0A" w:rsidRPr="00002888">
        <w:rPr>
          <w:rFonts w:ascii="Times New Roman" w:eastAsia="Times New Roman" w:hAnsi="Times New Roman" w:cs="Times New Roman"/>
          <w:color w:val="212121"/>
          <w:sz w:val="24"/>
          <w:szCs w:val="24"/>
          <w:lang w:val="en-GB" w:eastAsia="en-GB"/>
        </w:rPr>
        <w:fldChar w:fldCharType="separate"/>
      </w:r>
      <w:r w:rsidR="00430E0A" w:rsidRPr="00002888">
        <w:rPr>
          <w:rFonts w:ascii="Times New Roman" w:eastAsia="Times New Roman" w:hAnsi="Times New Roman" w:cs="Times New Roman"/>
          <w:noProof/>
          <w:color w:val="212121"/>
          <w:sz w:val="24"/>
          <w:szCs w:val="24"/>
          <w:lang w:val="en-GB" w:eastAsia="en-GB"/>
        </w:rPr>
        <w:t>(Baird et al., 2003)</w:t>
      </w:r>
      <w:r w:rsidR="00430E0A" w:rsidRPr="00002888">
        <w:rPr>
          <w:rFonts w:ascii="Times New Roman" w:eastAsia="Times New Roman" w:hAnsi="Times New Roman" w:cs="Times New Roman"/>
          <w:color w:val="212121"/>
          <w:sz w:val="24"/>
          <w:szCs w:val="24"/>
          <w:lang w:val="en-GB" w:eastAsia="en-GB"/>
        </w:rPr>
        <w:fldChar w:fldCharType="end"/>
      </w:r>
      <w:r w:rsidR="00413C07" w:rsidRPr="00002888">
        <w:rPr>
          <w:rFonts w:ascii="Times New Roman" w:eastAsia="Times New Roman" w:hAnsi="Times New Roman" w:cs="Times New Roman"/>
          <w:color w:val="212121"/>
          <w:sz w:val="24"/>
          <w:szCs w:val="24"/>
          <w:lang w:val="en-GB" w:eastAsia="en-GB"/>
        </w:rPr>
        <w:t>. There are also approache</w:t>
      </w:r>
      <w:r w:rsidR="00301FDC" w:rsidRPr="00002888">
        <w:rPr>
          <w:rFonts w:ascii="Times New Roman" w:eastAsia="Times New Roman" w:hAnsi="Times New Roman" w:cs="Times New Roman"/>
          <w:color w:val="212121"/>
          <w:sz w:val="24"/>
          <w:szCs w:val="24"/>
          <w:lang w:val="en-GB" w:eastAsia="en-GB"/>
        </w:rPr>
        <w:t>s</w:t>
      </w:r>
      <w:r w:rsidR="00413C07" w:rsidRPr="00002888">
        <w:rPr>
          <w:rFonts w:ascii="Times New Roman" w:eastAsia="Times New Roman" w:hAnsi="Times New Roman" w:cs="Times New Roman"/>
          <w:color w:val="212121"/>
          <w:sz w:val="24"/>
          <w:szCs w:val="24"/>
          <w:lang w:val="en-GB" w:eastAsia="en-GB"/>
        </w:rPr>
        <w:t xml:space="preserve"> being developed such as </w:t>
      </w:r>
      <w:proofErr w:type="spellStart"/>
      <w:r w:rsidR="00413C07" w:rsidRPr="00002888">
        <w:rPr>
          <w:rFonts w:ascii="Times New Roman" w:eastAsia="Times New Roman" w:hAnsi="Times New Roman" w:cs="Times New Roman"/>
          <w:color w:val="212121"/>
          <w:sz w:val="24"/>
          <w:szCs w:val="24"/>
          <w:lang w:val="en-GB" w:eastAsia="en-GB"/>
        </w:rPr>
        <w:t>TeSLA</w:t>
      </w:r>
      <w:proofErr w:type="spellEnd"/>
      <w:r w:rsidR="007239CA" w:rsidRPr="00002888">
        <w:rPr>
          <w:rFonts w:ascii="Times New Roman" w:eastAsia="Times New Roman" w:hAnsi="Times New Roman" w:cs="Times New Roman"/>
          <w:color w:val="212121"/>
          <w:sz w:val="24"/>
          <w:szCs w:val="24"/>
          <w:lang w:val="en-GB" w:eastAsia="en-GB"/>
        </w:rPr>
        <w:t xml:space="preserve"> and TCA</w:t>
      </w:r>
      <w:r w:rsidR="00413C07" w:rsidRPr="00002888">
        <w:rPr>
          <w:rFonts w:ascii="Times New Roman" w:eastAsia="Times New Roman" w:hAnsi="Times New Roman" w:cs="Times New Roman"/>
          <w:color w:val="212121"/>
          <w:sz w:val="24"/>
          <w:szCs w:val="24"/>
          <w:lang w:val="en-GB" w:eastAsia="en-GB"/>
        </w:rPr>
        <w:t xml:space="preserve">, </w:t>
      </w:r>
      <w:r w:rsidR="007239CA" w:rsidRPr="00002888">
        <w:rPr>
          <w:rFonts w:ascii="Times New Roman" w:eastAsia="Times New Roman" w:hAnsi="Times New Roman" w:cs="Times New Roman"/>
          <w:color w:val="212121"/>
          <w:sz w:val="24"/>
          <w:szCs w:val="24"/>
          <w:lang w:val="en-GB" w:eastAsia="en-GB"/>
        </w:rPr>
        <w:t xml:space="preserve">both of which employ </w:t>
      </w:r>
      <w:r w:rsidR="00413C07" w:rsidRPr="00002888">
        <w:rPr>
          <w:rFonts w:ascii="Times New Roman" w:eastAsia="Times New Roman" w:hAnsi="Times New Roman" w:cs="Times New Roman"/>
          <w:color w:val="212121"/>
          <w:sz w:val="24"/>
          <w:szCs w:val="24"/>
          <w:lang w:val="en-GB" w:eastAsia="en-GB"/>
        </w:rPr>
        <w:t>high-resolution DNA imaging technologies</w:t>
      </w:r>
      <w:r w:rsidR="00430E0A" w:rsidRPr="00002888">
        <w:rPr>
          <w:rFonts w:ascii="Times New Roman" w:eastAsia="Times New Roman" w:hAnsi="Times New Roman" w:cs="Times New Roman"/>
          <w:color w:val="212121"/>
          <w:sz w:val="24"/>
          <w:szCs w:val="24"/>
          <w:lang w:val="en-GB" w:eastAsia="en-GB"/>
        </w:rPr>
        <w:t xml:space="preserve"> </w:t>
      </w:r>
      <w:r w:rsidR="00430E0A" w:rsidRPr="00002888">
        <w:rPr>
          <w:rFonts w:ascii="Times New Roman" w:eastAsia="Times New Roman" w:hAnsi="Times New Roman" w:cs="Times New Roman"/>
          <w:color w:val="212121"/>
          <w:sz w:val="24"/>
          <w:szCs w:val="24"/>
          <w:lang w:val="en-GB" w:eastAsia="en-GB"/>
        </w:rPr>
        <w:fldChar w:fldCharType="begin" w:fldLock="1"/>
      </w:r>
      <w:r w:rsidR="00430E0A" w:rsidRPr="00002888">
        <w:rPr>
          <w:rFonts w:ascii="Times New Roman" w:eastAsia="Times New Roman" w:hAnsi="Times New Roman" w:cs="Times New Roman"/>
          <w:color w:val="212121"/>
          <w:sz w:val="24"/>
          <w:szCs w:val="24"/>
          <w:lang w:val="en-GB" w:eastAsia="en-GB"/>
        </w:rPr>
        <w:instrText>ADDIN CSL_CITATION {"citationItems":[{"id":"ITEM-1","itemData":{"DOI":"10.1038/s41467-017-01291-z","ISSN":"20411723","PMID":"29116081","abstract":"Improved methods to measure the shortest (not just average) telomere lengths (TLs) are needed. We developed Telomere Shortest Length Assay (TeSLA), a technique that detects telomeres from all chromosome ends from &lt;1 kb to 18 kb using small amounts of input DNA. TeSLA improves the specificity and efficiency of TL measurements that is facilitated by user friendly image-processing software to automatically detect and annotate band sizes, calculate average TL, as well as the percent of the shortest telomeres. Compared with other TL measurement methods, TeSLA provides more information about the shortest telomeres. The length of telomeres was measured longitudinally in peripheral blood mononuclear cells during human aging, in tissues during colon cancer progression, in telomere-related diseases such as idiopathic pulmonary fibrosis, as well as in mice and other organisms. The results indicate that TeSLA is a robust method that provides a better understanding of the shortest length of telomeres.","author":[{"dropping-particle":"","family":"Lai","given":"Tsung Po","non-dropping-particle":"","parse-names":false,"suffix":""},{"dropping-particle":"","family":"Zhang","given":"Ning","non-dropping-particle":"","parse-names":false,"suffix":""},{"dropping-particle":"","family":"Noh","given":"Jungsik","non-dropping-particle":"","parse-names":false,"suffix":""},{"dropping-particle":"","family":"Mender","given":"Ilgen","non-dropping-particle":"","parse-names":false,"suffix":""},{"dropping-particle":"","family":"Tedone","given":"Enzo","non-dropping-particle":"","parse-names":false,"suffix":""},{"dropping-particle":"","family":"Huang","given":"Ejun","non-dropping-particle":"","parse-names":false,"suffix":""},{"dropping-particle":"","family":"Wright","given":"Woodring E.","non-dropping-particle":"","parse-names":false,"suffix":""},{"dropping-particle":"","family":"Danuser","given":"Gaudenz","non-dropping-particle":"","parse-names":false,"suffix":""},{"dropping-particle":"","family":"Shay","given":"Jerry W.","non-dropping-particle":"","parse-names":false,"suffix":""}],"container-title":"Nature Communications","id":"ITEM-1","issue":"1","issued":{"date-parts":[["2017","12","1"]]},"publisher":"Nature Publishing Group","title":"A method for measuring the distribution of the shortest telomeres in cells and tissues","type":"article-journal","volume":"8"},"uris":["http://www.mendeley.com/documents/?uuid=c9c24e8c-8f6f-3916-9859-0e85693030fa"]},{"id":"ITEM-2","itemData":{"DOI":"10.3389/fcell.2020.00493","ISSN":"2296634X","abstract":"Telomeres are repetitive regions of DNA bound by specialized proteins at the termini of linear chromosomes that prevent the natural chromosome ends from being recognized as DNA double strand breaks. Telomeric DNA is gradually eroded with each round of cell division, resulting in the accumulation of critically short or dysfunctional telomeres that eventually trigger cellular senescence. Consequently, telomere length is indicative of the proliferative capacity of a cell. Multiple methods exist to measure telomere length and telomere content, but a simple and reliable technique to accurately measure individual telomere lengths is currently lacking. We have developed the Telomere length Combing Assay (TCA) to measure telomere length on stretched DNA fibers. We used TCA to measure telomere erosion in primary human fibroblasts, and to detect telomere lengthening in response to activation of telomere maintenance pathways. TCA was also used to accurately measure telomere length in healthy individuals, and to identify critically short telomeres in patients with telomere biology disorders. TCA is performed on isolated DNA, negating the need for cycling cells. TCA is amenable to semi-automated image analysis, and can be fully automated using the Genomic Vision molecular combing platform. This not only precludes sampling bias, but also provides the potential for high-throughput applications and clinical development. TCA is a simple and versatile technique to measure the distribution of individual telomere lengths in a cell population, offering improved accuracy, and more detailed biological insight for telomere length measurement applications.","author":[{"dropping-particle":"","family":"Kahl","given":"Vivian F.S.","non-dropping-particle":"","parse-names":false,"suffix":""},{"dropping-particle":"","family":"Allen","given":"Joshua A.M.","non-dropping-particle":"","parse-names":false,"suffix":""},{"dropping-particle":"","family":"Nelson","given":"Christopher B.","non-dropping-particle":"","parse-names":false,"suffix":""},{"dropping-particle":"","family":"Sobinoff","given":"Alexander P.","non-dropping-particle":"","parse-names":false,"suffix":""},{"dropping-particle":"","family":"Lee","given":"Michael","non-dropping-particle":"","parse-names":false,"suffix":""},{"dropping-particle":"","family":"Kilo","given":"Tatjana","non-dropping-particle":"","parse-names":false,"suffix":""},{"dropping-particle":"","family":"Vasireddy","given":"Raja S.","non-dropping-particle":"","parse-names":false,"suffix":""},{"dropping-particle":"","family":"Pickett","given":"Hilda A.","non-dropping-particle":"","parse-names":false,"suffix":""}],"container-title":"Frontiers in Cell and Developmental Biology","id":"ITEM-2","issued":{"date-parts":[["2020","6","16"]]},"publisher":"Frontiers Media S.A.","title":"Telomere Length Measurement by Molecular Combing","type":"article-journal","volume":"8"},"uris":["http://www.mendeley.com/documents/?uuid=66ccd728-0c60-3eb5-8f9c-a970549e1c4a"]}],"mendeley":{"formattedCitation":"(Kahl et al., 2020; Lai et al., 2017)","plainTextFormattedCitation":"(Kahl et al., 2020; Lai et al., 2017)","previouslyFormattedCitation":"(Kahl et al., 2020; Lai et al., 2017)"},"properties":{"noteIndex":0},"schema":"https://github.com/citation-style-language/schema/raw/master/csl-citation.json"}</w:instrText>
      </w:r>
      <w:r w:rsidR="00430E0A" w:rsidRPr="00002888">
        <w:rPr>
          <w:rFonts w:ascii="Times New Roman" w:eastAsia="Times New Roman" w:hAnsi="Times New Roman" w:cs="Times New Roman"/>
          <w:color w:val="212121"/>
          <w:sz w:val="24"/>
          <w:szCs w:val="24"/>
          <w:lang w:val="en-GB" w:eastAsia="en-GB"/>
        </w:rPr>
        <w:fldChar w:fldCharType="separate"/>
      </w:r>
      <w:r w:rsidR="00430E0A" w:rsidRPr="00002888">
        <w:rPr>
          <w:rFonts w:ascii="Times New Roman" w:eastAsia="Times New Roman" w:hAnsi="Times New Roman" w:cs="Times New Roman"/>
          <w:noProof/>
          <w:color w:val="212121"/>
          <w:sz w:val="24"/>
          <w:szCs w:val="24"/>
          <w:lang w:val="en-GB" w:eastAsia="en-GB"/>
        </w:rPr>
        <w:t>(Kahl et al., 2020; Lai et al., 2017)</w:t>
      </w:r>
      <w:r w:rsidR="00430E0A" w:rsidRPr="00002888">
        <w:rPr>
          <w:rFonts w:ascii="Times New Roman" w:eastAsia="Times New Roman" w:hAnsi="Times New Roman" w:cs="Times New Roman"/>
          <w:color w:val="212121"/>
          <w:sz w:val="24"/>
          <w:szCs w:val="24"/>
          <w:lang w:val="en-GB" w:eastAsia="en-GB"/>
        </w:rPr>
        <w:fldChar w:fldCharType="end"/>
      </w:r>
      <w:r w:rsidR="00413C07" w:rsidRPr="00002888">
        <w:rPr>
          <w:rFonts w:ascii="Times New Roman" w:eastAsia="Times New Roman" w:hAnsi="Times New Roman" w:cs="Times New Roman"/>
          <w:color w:val="212121"/>
          <w:sz w:val="24"/>
          <w:szCs w:val="24"/>
          <w:lang w:val="en-GB" w:eastAsia="en-GB"/>
        </w:rPr>
        <w:t>.</w:t>
      </w:r>
    </w:p>
    <w:p w14:paraId="287BB48D" w14:textId="77777777" w:rsidR="00002888" w:rsidRPr="00002888" w:rsidRDefault="00002888" w:rsidP="00002888">
      <w:pPr>
        <w:spacing w:before="0" w:after="0" w:line="360" w:lineRule="auto"/>
        <w:jc w:val="left"/>
        <w:rPr>
          <w:rFonts w:ascii="Times New Roman" w:eastAsia="Times New Roman" w:hAnsi="Times New Roman" w:cs="Times New Roman"/>
          <w:color w:val="212121"/>
          <w:sz w:val="24"/>
          <w:szCs w:val="24"/>
          <w:lang w:val="en-GB" w:eastAsia="en-GB"/>
        </w:rPr>
      </w:pPr>
    </w:p>
    <w:p w14:paraId="3E16252A" w14:textId="56448123" w:rsidR="00E45303" w:rsidRPr="00002888" w:rsidRDefault="00E45303" w:rsidP="00002888">
      <w:pPr>
        <w:pStyle w:val="Heading2"/>
        <w:spacing w:before="0" w:after="0" w:line="360" w:lineRule="auto"/>
        <w:rPr>
          <w:sz w:val="24"/>
          <w:szCs w:val="24"/>
        </w:rPr>
      </w:pPr>
      <w:r w:rsidRPr="00002888">
        <w:rPr>
          <w:sz w:val="24"/>
          <w:szCs w:val="24"/>
        </w:rPr>
        <w:t>Ongoing studies</w:t>
      </w:r>
    </w:p>
    <w:p w14:paraId="28562522" w14:textId="25703E71" w:rsidR="005464B3" w:rsidRPr="00002888" w:rsidRDefault="00E45303" w:rsidP="00002888">
      <w:pPr>
        <w:spacing w:before="0" w:after="0" w:line="360" w:lineRule="auto"/>
        <w:jc w:val="left"/>
        <w:rPr>
          <w:rFonts w:ascii="Times New Roman" w:hAnsi="Times New Roman" w:cs="Times New Roman"/>
          <w:sz w:val="24"/>
          <w:szCs w:val="24"/>
          <w:lang w:val="en-GB"/>
        </w:rPr>
      </w:pPr>
      <w:r w:rsidRPr="00002888">
        <w:rPr>
          <w:rFonts w:ascii="Times New Roman" w:hAnsi="Times New Roman" w:cs="Times New Roman"/>
          <w:sz w:val="24"/>
          <w:szCs w:val="24"/>
          <w:lang w:val="en-GB"/>
        </w:rPr>
        <w:t xml:space="preserve">Whilst </w:t>
      </w:r>
      <w:proofErr w:type="gramStart"/>
      <w:r w:rsidRPr="00002888">
        <w:rPr>
          <w:rFonts w:ascii="Times New Roman" w:hAnsi="Times New Roman" w:cs="Times New Roman"/>
          <w:sz w:val="24"/>
          <w:szCs w:val="24"/>
          <w:lang w:val="en-GB"/>
        </w:rPr>
        <w:t>it is clear that SMZL</w:t>
      </w:r>
      <w:proofErr w:type="gramEnd"/>
      <w:r w:rsidRPr="00002888">
        <w:rPr>
          <w:rFonts w:ascii="Times New Roman" w:hAnsi="Times New Roman" w:cs="Times New Roman"/>
          <w:sz w:val="24"/>
          <w:szCs w:val="24"/>
          <w:lang w:val="en-GB"/>
        </w:rPr>
        <w:t xml:space="preserve"> research remains in its infancy, a close and collaborative network of clinicians and scientists</w:t>
      </w:r>
      <w:r w:rsidR="008D74C0" w:rsidRPr="00002888">
        <w:rPr>
          <w:rFonts w:ascii="Times New Roman" w:hAnsi="Times New Roman" w:cs="Times New Roman"/>
          <w:sz w:val="24"/>
          <w:szCs w:val="24"/>
          <w:lang w:val="en-GB"/>
        </w:rPr>
        <w:t xml:space="preserve"> are </w:t>
      </w:r>
      <w:r w:rsidR="008A4210" w:rsidRPr="00002888">
        <w:rPr>
          <w:rFonts w:ascii="Times New Roman" w:hAnsi="Times New Roman" w:cs="Times New Roman"/>
          <w:sz w:val="24"/>
          <w:szCs w:val="24"/>
          <w:lang w:val="en-GB"/>
        </w:rPr>
        <w:t xml:space="preserve">continuing to study the disease. Two ongoing projects are particularly exciting and promise to significantly advance our biological understanding of the disease. Firstly, the </w:t>
      </w:r>
      <w:r w:rsidR="00205483" w:rsidRPr="00002888">
        <w:rPr>
          <w:rFonts w:ascii="Times New Roman" w:hAnsi="Times New Roman" w:cs="Times New Roman"/>
          <w:sz w:val="24"/>
          <w:szCs w:val="24"/>
          <w:lang w:val="en-GB"/>
        </w:rPr>
        <w:t xml:space="preserve">IELSG46 </w:t>
      </w:r>
      <w:r w:rsidR="00531729" w:rsidRPr="00002888">
        <w:rPr>
          <w:rFonts w:ascii="Times New Roman" w:hAnsi="Times New Roman" w:cs="Times New Roman"/>
          <w:sz w:val="24"/>
          <w:szCs w:val="24"/>
          <w:lang w:val="en-GB"/>
        </w:rPr>
        <w:t xml:space="preserve">(NCT02945319) </w:t>
      </w:r>
      <w:r w:rsidR="0030035C" w:rsidRPr="00002888">
        <w:rPr>
          <w:rFonts w:ascii="Times New Roman" w:hAnsi="Times New Roman" w:cs="Times New Roman"/>
          <w:sz w:val="24"/>
          <w:szCs w:val="24"/>
          <w:lang w:val="en-GB"/>
        </w:rPr>
        <w:t xml:space="preserve">is an observational </w:t>
      </w:r>
      <w:r w:rsidR="00205483" w:rsidRPr="00002888">
        <w:rPr>
          <w:rFonts w:ascii="Times New Roman" w:hAnsi="Times New Roman" w:cs="Times New Roman"/>
          <w:sz w:val="24"/>
          <w:szCs w:val="24"/>
          <w:lang w:val="en-GB"/>
        </w:rPr>
        <w:t>study, led by Professor Davide Rossi</w:t>
      </w:r>
      <w:r w:rsidR="0030035C" w:rsidRPr="00002888">
        <w:rPr>
          <w:rFonts w:ascii="Times New Roman" w:hAnsi="Times New Roman" w:cs="Times New Roman"/>
          <w:sz w:val="24"/>
          <w:szCs w:val="24"/>
          <w:lang w:val="en-GB"/>
        </w:rPr>
        <w:t>, that</w:t>
      </w:r>
      <w:r w:rsidR="00205483" w:rsidRPr="00002888">
        <w:rPr>
          <w:rFonts w:ascii="Times New Roman" w:hAnsi="Times New Roman" w:cs="Times New Roman"/>
          <w:sz w:val="24"/>
          <w:szCs w:val="24"/>
          <w:lang w:val="en-GB"/>
        </w:rPr>
        <w:t xml:space="preserve"> aims to </w:t>
      </w:r>
      <w:r w:rsidR="0030035C" w:rsidRPr="00002888">
        <w:rPr>
          <w:rFonts w:ascii="Times New Roman" w:hAnsi="Times New Roman" w:cs="Times New Roman"/>
          <w:sz w:val="24"/>
          <w:szCs w:val="24"/>
          <w:lang w:val="en-GB"/>
        </w:rPr>
        <w:t xml:space="preserve">develop and validate an accurate prognostication model using </w:t>
      </w:r>
      <w:r w:rsidR="00205483" w:rsidRPr="00002888">
        <w:rPr>
          <w:rFonts w:ascii="Times New Roman" w:hAnsi="Times New Roman" w:cs="Times New Roman"/>
          <w:sz w:val="24"/>
          <w:szCs w:val="24"/>
          <w:lang w:val="en-GB"/>
        </w:rPr>
        <w:t xml:space="preserve">integrated molecular profiling </w:t>
      </w:r>
      <w:r w:rsidR="0030035C" w:rsidRPr="00002888">
        <w:rPr>
          <w:rFonts w:ascii="Times New Roman" w:hAnsi="Times New Roman" w:cs="Times New Roman"/>
          <w:sz w:val="24"/>
          <w:szCs w:val="24"/>
          <w:lang w:val="en-GB"/>
        </w:rPr>
        <w:t>of &gt;300 treatment naive SMZL patients, where diagnosis is based on spleen histology</w:t>
      </w:r>
      <w:r w:rsidR="00123925" w:rsidRPr="00002888">
        <w:rPr>
          <w:rFonts w:ascii="Times New Roman" w:hAnsi="Times New Roman" w:cs="Times New Roman"/>
          <w:sz w:val="24"/>
          <w:szCs w:val="24"/>
          <w:lang w:val="en-GB"/>
        </w:rPr>
        <w:t xml:space="preserve"> and &gt;5years of follow-up is available on all patients</w:t>
      </w:r>
      <w:r w:rsidR="0030035C" w:rsidRPr="00002888">
        <w:rPr>
          <w:rFonts w:ascii="Times New Roman" w:hAnsi="Times New Roman" w:cs="Times New Roman"/>
          <w:sz w:val="24"/>
          <w:szCs w:val="24"/>
          <w:lang w:val="en-GB"/>
        </w:rPr>
        <w:t xml:space="preserve">. </w:t>
      </w:r>
      <w:r w:rsidR="00123925" w:rsidRPr="00002888">
        <w:rPr>
          <w:rFonts w:ascii="Times New Roman" w:hAnsi="Times New Roman" w:cs="Times New Roman"/>
          <w:sz w:val="24"/>
          <w:szCs w:val="24"/>
          <w:lang w:val="en-GB"/>
        </w:rPr>
        <w:t xml:space="preserve">The initial plans were to perform targeted sequencing to detect somatic gene mutations and permit </w:t>
      </w:r>
      <w:r w:rsidR="00123925" w:rsidRPr="00002888">
        <w:rPr>
          <w:rFonts w:ascii="Times New Roman" w:hAnsi="Times New Roman" w:cs="Times New Roman"/>
          <w:i/>
          <w:sz w:val="24"/>
          <w:szCs w:val="24"/>
          <w:lang w:val="en-GB"/>
        </w:rPr>
        <w:t>IGHV</w:t>
      </w:r>
      <w:r w:rsidR="00123925" w:rsidRPr="00002888">
        <w:rPr>
          <w:rFonts w:ascii="Times New Roman" w:hAnsi="Times New Roman" w:cs="Times New Roman"/>
          <w:sz w:val="24"/>
          <w:szCs w:val="24"/>
          <w:lang w:val="en-GB"/>
        </w:rPr>
        <w:t xml:space="preserve"> analysis</w:t>
      </w:r>
      <w:r w:rsidR="006F4F54" w:rsidRPr="00002888">
        <w:rPr>
          <w:rFonts w:ascii="Times New Roman" w:hAnsi="Times New Roman" w:cs="Times New Roman"/>
          <w:sz w:val="24"/>
          <w:szCs w:val="24"/>
          <w:lang w:val="en-GB"/>
        </w:rPr>
        <w:t xml:space="preserve"> and </w:t>
      </w:r>
      <w:r w:rsidR="00123925" w:rsidRPr="00002888">
        <w:rPr>
          <w:rFonts w:ascii="Times New Roman" w:hAnsi="Times New Roman" w:cs="Times New Roman"/>
          <w:sz w:val="24"/>
          <w:szCs w:val="24"/>
          <w:lang w:val="en-GB"/>
        </w:rPr>
        <w:t xml:space="preserve">FISH to define 7q deletion status, culminating with complex statistical methods to develop hierarchical models to predict overall survival. However, the project has now developed to include the genome wide analysis of mutations, </w:t>
      </w:r>
      <w:r w:rsidR="00C32E02" w:rsidRPr="00002888">
        <w:rPr>
          <w:rFonts w:ascii="Times New Roman" w:hAnsi="Times New Roman" w:cs="Times New Roman"/>
          <w:sz w:val="24"/>
          <w:szCs w:val="24"/>
          <w:lang w:val="en-GB"/>
        </w:rPr>
        <w:t>copy number alterations (</w:t>
      </w:r>
      <w:r w:rsidR="00123925" w:rsidRPr="00002888">
        <w:rPr>
          <w:rFonts w:ascii="Times New Roman" w:hAnsi="Times New Roman" w:cs="Times New Roman"/>
          <w:sz w:val="24"/>
          <w:szCs w:val="24"/>
          <w:lang w:val="en-GB"/>
        </w:rPr>
        <w:t>CNA</w:t>
      </w:r>
      <w:r w:rsidR="008C2349" w:rsidRPr="00002888">
        <w:rPr>
          <w:rFonts w:ascii="Times New Roman" w:hAnsi="Times New Roman" w:cs="Times New Roman"/>
          <w:sz w:val="24"/>
          <w:szCs w:val="24"/>
          <w:lang w:val="en-GB"/>
        </w:rPr>
        <w:t>s</w:t>
      </w:r>
      <w:r w:rsidR="00C32E02" w:rsidRPr="00002888">
        <w:rPr>
          <w:rFonts w:ascii="Times New Roman" w:hAnsi="Times New Roman" w:cs="Times New Roman"/>
          <w:sz w:val="24"/>
          <w:szCs w:val="24"/>
          <w:lang w:val="en-GB"/>
        </w:rPr>
        <w:t>)</w:t>
      </w:r>
      <w:r w:rsidR="00123925" w:rsidRPr="00002888">
        <w:rPr>
          <w:rFonts w:ascii="Times New Roman" w:hAnsi="Times New Roman" w:cs="Times New Roman"/>
          <w:sz w:val="24"/>
          <w:szCs w:val="24"/>
          <w:lang w:val="en-GB"/>
        </w:rPr>
        <w:t xml:space="preserve"> and gene expression. </w:t>
      </w:r>
      <w:r w:rsidR="00205483" w:rsidRPr="00002888">
        <w:rPr>
          <w:rFonts w:ascii="Times New Roman" w:hAnsi="Times New Roman" w:cs="Times New Roman"/>
          <w:sz w:val="24"/>
          <w:szCs w:val="24"/>
          <w:lang w:val="en-GB"/>
        </w:rPr>
        <w:t xml:space="preserve">This exciting </w:t>
      </w:r>
      <w:r w:rsidR="0030035C" w:rsidRPr="00002888">
        <w:rPr>
          <w:rFonts w:ascii="Times New Roman" w:hAnsi="Times New Roman" w:cs="Times New Roman"/>
          <w:sz w:val="24"/>
          <w:szCs w:val="24"/>
          <w:lang w:val="en-GB"/>
        </w:rPr>
        <w:t>multicentre study is</w:t>
      </w:r>
      <w:r w:rsidR="00205483" w:rsidRPr="00002888">
        <w:rPr>
          <w:rFonts w:ascii="Times New Roman" w:hAnsi="Times New Roman" w:cs="Times New Roman"/>
          <w:sz w:val="24"/>
          <w:szCs w:val="24"/>
          <w:lang w:val="en-GB"/>
        </w:rPr>
        <w:t xml:space="preserve"> ongoing </w:t>
      </w:r>
      <w:r w:rsidR="0030035C" w:rsidRPr="00002888">
        <w:rPr>
          <w:rFonts w:ascii="Times New Roman" w:hAnsi="Times New Roman" w:cs="Times New Roman"/>
          <w:sz w:val="24"/>
          <w:szCs w:val="24"/>
          <w:lang w:val="en-GB"/>
        </w:rPr>
        <w:t>and</w:t>
      </w:r>
      <w:r w:rsidR="00205483" w:rsidRPr="00002888">
        <w:rPr>
          <w:rFonts w:ascii="Times New Roman" w:hAnsi="Times New Roman" w:cs="Times New Roman"/>
          <w:sz w:val="24"/>
          <w:szCs w:val="24"/>
          <w:lang w:val="en-GB"/>
        </w:rPr>
        <w:t xml:space="preserve"> has only been presented in abstract form </w:t>
      </w:r>
      <w:r w:rsidR="006A5C21" w:rsidRPr="00002888">
        <w:rPr>
          <w:rFonts w:ascii="Times New Roman" w:hAnsi="Times New Roman" w:cs="Times New Roman"/>
          <w:sz w:val="24"/>
          <w:szCs w:val="24"/>
          <w:lang w:val="en-GB"/>
        </w:rPr>
        <w:fldChar w:fldCharType="begin" w:fldLock="1"/>
      </w:r>
      <w:r w:rsidR="001254EB" w:rsidRPr="00002888">
        <w:rPr>
          <w:rFonts w:ascii="Times New Roman" w:hAnsi="Times New Roman" w:cs="Times New Roman"/>
          <w:sz w:val="24"/>
          <w:szCs w:val="24"/>
          <w:lang w:val="en-GB"/>
        </w:rPr>
        <w:instrText>ADDIN CSL_CITATION {"citationItems":[{"id":"ITEM-1","itemData":{"DOI":"10.1002/hon.138_2629","ISSN":"02780232","abstract":"Introduction: Splenic marginal zone lymphoma (SMZL) is heterogeneous at the morphological, biological and clinical level, suggesting the existence of includes still unveiled subtypes. According to the 2016 WHO classification, discovery of new entities or subtypes within heterogeneous tumors should be based using a multiparametric approach, encompassing tumor histopathology, genetics, immunophenotype and clinical course. Methods: The IELSG46 study (NCT02945319) is the largest repository of clinical data and spleen samples from SMZL patients, and has the statistical power to resolve tumor subgroups within this lymphoma. Mutations were identified by CAPP-seq of tumor genomic DNA, copy number aberrations (CNA) by sequencing reads-based GATK4-CNV, IGHV rearrangements by LymphoTrack®, gene expression profiling (GEP) by mRNA-seq. Results: Overall, the genetic-immunogenetic profile of the study cohort (n=382) was consistent with prior unselected SMZL series, reported by us in previous findings by our and other groups. Genes recurrently mutated in &gt;10% SMZL were KLF2, NOTCH2, KMT2D, TNFAIP3 and NOTCH1. Deletion 7q occurred in 24% SMZL and IGHV1-2</w:instrText>
      </w:r>
      <w:r w:rsidR="001254EB" w:rsidRPr="00002888">
        <w:rPr>
          <w:rFonts w:ascii="Cambria Math" w:hAnsi="Cambria Math" w:cs="Cambria Math"/>
          <w:sz w:val="24"/>
          <w:szCs w:val="24"/>
          <w:lang w:val="en-GB"/>
        </w:rPr>
        <w:instrText>∗</w:instrText>
      </w:r>
      <w:r w:rsidR="001254EB" w:rsidRPr="00002888">
        <w:rPr>
          <w:rFonts w:ascii="Times New Roman" w:hAnsi="Times New Roman" w:cs="Times New Roman"/>
          <w:sz w:val="24"/>
          <w:szCs w:val="24"/>
          <w:lang w:val="en-GB"/>
        </w:rPr>
        <w:instrText>04 was used in 30% SMZL. Machine learning approaches applied to multiple layers of “big” data led to the discovery of unexpected molecular clusters (MC) in SMZL, each associated with distinct clinical outcome (Fig.1A). MC1 (NF-κB pathway) and MC2 (NOTCH pathway), driven by KLF2 and NOTCH2 mutations respectively, were enriched in IGHV1-2</w:instrText>
      </w:r>
      <w:r w:rsidR="001254EB" w:rsidRPr="00002888">
        <w:rPr>
          <w:rFonts w:ascii="Cambria Math" w:hAnsi="Cambria Math" w:cs="Cambria Math"/>
          <w:sz w:val="24"/>
          <w:szCs w:val="24"/>
          <w:lang w:val="en-GB"/>
        </w:rPr>
        <w:instrText>∗</w:instrText>
      </w:r>
      <w:r w:rsidR="001254EB" w:rsidRPr="00002888">
        <w:rPr>
          <w:rFonts w:ascii="Times New Roman" w:hAnsi="Times New Roman" w:cs="Times New Roman"/>
          <w:sz w:val="24"/>
          <w:szCs w:val="24"/>
          <w:lang w:val="en-GB"/>
        </w:rPr>
        <w:instrText>04 gene usage and 7q deletion. MC3 was defined by epigenetic mutated genes and was enriched in KMT2D mutations. MC4 was enriched in TP53 and ATM mutations, and in 17p deletions. SMZL patients showed an overall 26% decrease in survival at 15 years compared to the matched general population. Among molecular clusters, only MC1 and MC2 showed a lower relative survival compared to the general population, indicating a significant impact of the disease on MC1 and MC2 patients' life expectancy. Transcriptome profiling of 55 tumor samples led to the discovery of 3 molecular phenotypes (MP) in SMZL. MP1 showed an inflammatory response signature, MP2 a B-cell receptor signaling signature, and MP3 that lacked of both these signatures (Fig.1B). Conclusions: Genetic analysis of a large cohort of SMZLs cases identified four molecular subtypes characterized by unique deregulated genetic pathways, clinical outcome and potentially a molecular phenotype. These results can provide the basis for proposing th…","author":[{"dropping-particle":"","family":"Bruscaggin","given":"A.","non-dropping-particle":"","parse-names":false,"suffix":""},{"dropping-particle":"","family":"Mollejo","given":"M.","non-dropping-particle":"","parse-names":false,"suffix":""},{"dropping-particle":"","family":"Tapia","given":"G.","non-dropping-particle":"","parse-names":false,"suffix":""},{"dropping-particle":"","family":"Gomes da Silva","given":"M.","non-dropping-particle":"","parse-names":false,"suffix":""},{"dropping-particle":"","family":"Novak","given":"U.","non-dropping-particle":"","parse-names":false,"suffix":""},{"dropping-particle":"","family":"Dietrich","given":"S.","non-dropping-particle":"","parse-names":false,"suffix":""},{"dropping-particle":"","family":"Ponzoni","given":"M.","non-dropping-particle":"","parse-names":false,"suffix":""},{"dropping-particle":"","family":"Rambaldi","given":"A.","non-dropping-particle":"","parse-names":false,"suffix":""},{"dropping-particle":"","family":"Corradini","given":"P.","non-dropping-particle":"","parse-names":false,"suffix":""},{"dropping-particle":"","family":"Vitolo","given":"U.","non-dropping-particle":"","parse-names":false,"suffix":""},{"dropping-particle":"","family":"Merli","given":"M.","non-dropping-particle":"","parse-names":false,"suffix":""},{"dropping-particle":"","family":"Tzankov","given":"A.","non-dropping-particle":"","parse-names":false,"suffix":""},{"dropping-particle":"","family":"Cogliatti","given":"S.","non-dropping-particle":"","parse-names":false,"suffix":""},{"dropping-particle":"","family":"Montalban","given":"C.","non-dropping-particle":"","parse-names":false,"suffix":""},{"dropping-particle":"","family":"Marasca","given":"R.","non-dropping-particle":"","parse-names":false,"suffix":""},{"dropping-particle":"","family":"Leval","given":"L.","non-dropping-particle":"de","parse-names":false,"suffix":""},{"dropping-particle":"","family":"Visco","given":"C.","non-dropping-particle":"","parse-names":false,"suffix":""},{"dropping-particle":"","family":"Baptista","given":"M.J.","non-dropping-particle":"","parse-names":false,"suffix":""},{"dropping-particle":"","family":"Tousseyn","given":"T.","non-dropping-particle":"","parse-names":false,"suffix":""},{"dropping-particle":"","family":"Facchetti","given":"F.","non-dropping-particle":"","parse-names":false,"suffix":""},{"dropping-particle":"","family":"Paulli","given":"M.","non-dropping-particle":"","parse-names":false,"suffix":""},{"dropping-particle":"","family":"Mazzucchelli","given":"L.","non-dropping-particle":"","parse-names":false,"suffix":""},{"dropping-particle":"","family":"Bea","given":"S.","non-dropping-particle":"","parse-names":false,"suffix":""},{"dropping-particle":"","family":"Oscier","given":"D.","non-dropping-particle":"","parse-names":false,"suffix":""},{"dropping-particle":"","family":"Zinzani","given":"P.","non-dropping-particle":"","parse-names":false,"suffix":""},{"dropping-particle":"","family":"Bhagat","given":"G.","non-dropping-particle":"","parse-names":false,"suffix":""},{"dropping-particle":"","family":"Inghirami","given":"G.","non-dropping-particle":"","parse-names":false,"suffix":""},{"dropping-particle":"","family":"Gaidano","given":"G.","non-dropping-particle":"","parse-names":false,"suffix":""},{"dropping-particle":"","family":"Traverse-Glehen","given":"A.","non-dropping-particle":"","parse-names":false,"suffix":""},{"dropping-particle":"","family":"Thieblemont","given":"C.","non-dropping-particle":"","parse-names":false,"suffix":""},{"dropping-particle":"","family":"Piris","given":"M.A.","non-dropping-particle":"","parse-names":false,"suffix":""},{"dropping-particle":"","family":"Cavalli","given":"F.","non-dropping-particle":"","parse-names":false,"suffix":""},{"dropping-particle":"","family":"Arcaini","given":"L.","non-dropping-particle":"","parse-names":false,"suffix":""},{"dropping-particle":"","family":"Zucca","given":"E.","non-dropping-particle":"","parse-names":false,"suffix":""},{"dropping-particle":"","family":"Rossi","given":"D.","non-dropping-particle":"","parse-names":false,"suffix":""}],"container-title":"Hematological Oncology","id":"ITEM-1","issued":{"date-parts":[["2019","6"]]},"page":"181-182","publisher":"Wiley","title":"MULTI-OMICS LANDSCAPE OF SPLENIC MARGINAL ZONE LYMPHOMA (SMZL) - INTERIM ANALYSIS OF IELSG46 STUDY","type":"article-journal","volume":"37"},"uris":["http://www.mendeley.com/documents/?uuid=8d8f412e-0ce0-3838-aa62-6ebc82296926"]},{"id":"ITEM-2","itemData":{"DOI":"10.1182/blood-2018-99-115958","ISSN":"0006-4971","abstract":"Introduction. The majority of SMZLs display an indolent course, however the disease is still incurable and a significant proportion of patients (~25-30%) experience poor outcomes surviving &lt;5 years. Molecular alterations of SMZL are promising biomarkers, which might improve risk stratification of patients. The main objective of the study is to test the impact of molecular aspects on disease-specific survival prognostication in newly diagnosed SMZL. Methods. IELSG46 is a multicenter, international, retrospective, observational study in which already existing and coded health-related personal and biological material is used. The study included adults, who received a diagnosis of SMZL on spleen histology with a follow up &gt;5 years, and for whom tumor material collected before initiation of medical therapy was available. Mutation analysis was performed by CAPP-seq targeted deep next generation sequencing of tumor genomic DNA. A stringent bioinformatic pipeline was applied to suppress the background noise allowing to call variants with a sensitivity of 5x10-2 in FFPE derived DNA. Copy number variations (CNVs) were identified by using the sequencing reads-based GATK4-CNV algorithm. IGHV rearrangements were obtained by using LymphoTrack® IGH FR1 Assay Panel kit. Molecular clusters were identified by an iterative algorithm that maximizes genetic distinctiveness of subgroups by reassigning patients between clusters that are created a priori based on the co-occurrence of genetic lesions. Relative survival, defined as the ratio between actuarial survival observed in the SMZL cohort and expected survival of the general population matched to patients by geographical origin, sex, age and calendar year of diagnosis, was calculated using the Ederer II method. Results. The analysis included 303 patients with a SMZL diagnosis confirmed on spleen histology. The sample size allowed to identify 30% differences in survival for molecular subgroups comprising at least 5% of cases with a statistical power between 80-100%. Median follow-up was 9.2 years. At 10 years, 85% of patients were alive, consistent with the known indolent behavior of this lymphoma. Genes recurrently affected by non-synonymous somatic mutations in &gt;10% of SMZL included KLF2 (24%), NOTCH2 (19%), KMT2D (15%), TNFAIP3 (13%), EP300 and TP53 (10%). Deletion 7q was documented in 25% of cases and IGHV1-2*04 usage in 32%. By cluster analysis, three major molecular subgroups were identified, each of them characteriz…","author":[{"dropping-particle":"","family":"Guidetti","given":"Francesca","non-dropping-particle":"","parse-names":false,"suffix":""},{"dropping-particle":"","family":"Bruscaggin","given":"Alessio","non-dropping-particle":"","parse-names":false,"suffix":""},{"dropping-particle":"","family":"Frigeni","given":"Marco","non-dropping-particle":"","parse-names":false,"suffix":""},{"dropping-particle":"","family":"Spina","given":"Valeria","non-dropping-particle":"","parse-names":false,"suffix":""},{"dropping-particle":"","family":"Terzi di Bergamo","given":"Lodovico","non-dropping-particle":"","parse-names":false,"suffix":""},{"dropping-particle":"","family":"Condoluci","given":"Adalgisa","non-dropping-particle":"","parse-names":false,"suffix":""},{"dropping-particle":"","family":"Forestieri","given":"Gabriela","non-dropping-particle":"","parse-names":false,"suffix":""},{"dropping-particle":"","family":"Bertoni","given":"Francesco","non-dropping-particle":"","parse-names":false,"suffix":""},{"dropping-particle":"","family":"Cascione","given":"Luciano","non-dropping-particle":"","parse-names":false,"suffix":""},{"dropping-particle":"","family":"Mollejo","given":"Manuela","non-dropping-particle":"","parse-names":false,"suffix":""},{"dropping-particle":"","family":"Meignin","given":"Véronique","non-dropping-particle":"","parse-names":false,"suffix":""},{"dropping-particle":"","family":"Traverse-Glehen","given":"Alexandra","non-dropping-particle":"","parse-names":false,"suffix":""},{"dropping-particle":"","family":"Geyer","given":"Julia T","non-dropping-particle":"","parse-names":false,"suffix":""},{"dropping-particle":"","family":"Broccoli","given":"Alessandro","non-dropping-particle":"","parse-names":false,"suffix":""},{"dropping-particle":"","family":"Tucci","given":"Alessandra","non-dropping-particle":"","parse-names":false,"suffix":""},{"dropping-particle":"","family":"Bea","given":"Silvia","non-dropping-particle":"","parse-names":false,"suffix":""},{"dropping-particle":"","family":"Boldorini","given":"Renzo","non-dropping-particle":"","parse-names":false,"suffix":""},{"dropping-particle":"","family":"Tapia","given":"Gustavo","non-dropping-particle":"","parse-names":false,"suffix":""},{"dropping-particle":"","family":"Maiorana","given":"Antonino","non-dropping-particle":"","parse-names":false,"suffix":""},{"dropping-particle":"","family":"Gomes da Silva","given":"Maria","non-dropping-particle":"","parse-names":false,"suffix":""},{"dropping-particle":"","family":"Garcia","given":"Juan F.","non-dropping-particle":"","parse-names":false,"suffix":""},{"dropping-particle":"","family":"Hitz","given":"Felicitas","non-dropping-particle":"","parse-names":false,"suffix":""},{"dropping-particle":"","family":"Merli","given":"Michele","non-dropping-particle":"","parse-names":false,"suffix":""},{"dropping-particle":"","family":"Vanini","given":"Giorgio A.","non-dropping-particle":"","parse-names":false,"suffix":""},{"dropping-particle":"","family":"Novak","given":"Urban","non-dropping-particle":"","parse-names":false,"suffix":""},{"dropping-particle":"","family":"Piazza","given":"Francesco","non-dropping-particle":"","parse-names":false,"suffix":""},{"dropping-particle":"","family":"Pizzolitto","given":"Stefano","non-dropping-particle":"","parse-names":false,"suffix":""},{"dropping-particle":"","family":"Dietrich","given":"Sascha","non-dropping-particle":"","parse-names":false,"suffix":""},{"dropping-particle":"","family":"Devizzi","given":"Liliana","non-dropping-particle":"","parse-names":false,"suffix":""},{"dropping-particle":"","family":"Ladetto","given":"Marco","non-dropping-particle":"","parse-names":false,"suffix":""},{"dropping-particle":"","family":"Ponzoni","given":"Maurilio","non-dropping-particle":"","parse-names":false,"suffix":""},{"dropping-particle":"","family":"Rambaldi","given":"Alessandro","non-dropping-particle":"","parse-names":false,"suffix":""},{"dropping-particle":"","family":"Corradini","given":"Paolo","non-dropping-particle":"","parse-names":false,"suffix":""},{"dropping-particle":"","family":"Tarella","given":"Corrado","non-dropping-particle":"","parse-names":false,"suffix":""},{"dropping-particle":"","family":"Santambrogio","given":"Elisa","non-dropping-particle":"","parse-names":false,"suffix":""},{"dropping-particle":"","family":"Vitolo","given":"Umberto","non-dropping-particle":"","parse-names":false,"suffix":""},{"dropping-particle":"","family":"Zaja","given":"Francesco","non-dropping-particle":"","parse-names":false,"suffix":""},{"dropping-particle":"","family":"Passamonti","given":"Francesco","non-dropping-particle":"","parse-names":false,"suffix":""},{"dropping-particle":"","family":"Tzankov","given":"Alexandar","non-dropping-particle":"","parse-names":false,"suffix":""},{"dropping-particle":"","family":"Cogliatti","given":"Sergio","non-dropping-particle":"","parse-names":false,"suffix":""},{"dropping-particle":"","family":"Montalban","given":"Carlos","non-dropping-particle":"","parse-names":false,"suffix":""},{"dropping-particle":"","family":"Marasca","given":"Roberto","non-dropping-particle":"","parse-names":false,"suffix":""},{"dropping-particle":"","family":"Leval","given":"Laurence","non-dropping-particle":"de","parse-names":false,"suffix":""},{"dropping-particle":"","family":"Visco","given":"Carlo","non-dropping-particle":"","parse-names":false,"suffix":""},{"dropping-particle":"","family":"Baptista","given":"Maria Joao","non-dropping-particle":"","parse-names":false,"suffix":""},{"dropping-particle":"","family":"Canzonieri","given":"Vincenzo","non-dropping-particle":"","parse-names":false,"suffix":""},{"dropping-particle":"","family":"Matutes","given":"Estella","non-dropping-particle":"","parse-names":false,"suffix":""},{"dropping-particle":"","family":"Facchetti","given":"Fabio","non-dropping-particle":"","parse-names":false,"suffix":""},{"dropping-particle":"","family":"Paulli","given":"Marco","non-dropping-particle":"","parse-names":false,"suffix":""},{"dropping-particle":"","family":"Campo","given":"Elias","non-dropping-particle":"","parse-names":false,"suffix":""},{"dropping-particle":"","family":"Oscier","given":"David","non-dropping-particle":"","parse-names":false,"suffix":""},{"dropping-particle":"","family":"Sabattini","given":"Elena","non-dropping-particle":"","parse-names":false,"suffix":""},{"dropping-particle":"","family":"Zinzani","given":"Pier Luigi","non-dropping-particle":"","parse-names":false,"suffix":""},{"dropping-particle":"","family":"Bhagat","given":"Govind","non-dropping-particle":"","parse-names":false,"suffix":""},{"dropping-particle":"","family":"Pileri","given":"Stefano A.","non-dropping-particle":"","parse-names":false,"suffix":""},{"dropping-particle":"","family":"Inghirami","given":"Giorgio","non-dropping-particle":"","parse-names":false,"suffix":""},{"dropping-particle":"","family":"Gaidano","given":"Gianluca","non-dropping-particle":"","parse-names":false,"suffix":""},{"dropping-particle":"","family":"Salles","given":"Gilles","non-dropping-particle":"","parse-names":false,"suffix":""},{"dropping-particle":"","family":"Thieblemont","given":"Catherine","non-dropping-particle":"","parse-names":false,"suffix":""},{"dropping-particle":"","family":"Piris","given":"Miguel A.","non-dropping-particle":"","parse-names":false,"suffix":""},{"dropping-particle":"","family":"Cavalli","given":"Franco","non-dropping-particle":"","parse-names":false,"suffix":""},{"dropping-particle":"","family":"Zucca","given":"Emanuele","non-dropping-particle":"","parse-names":false,"suffix":""},{"dropping-particle":"","family":"Arcaini","given":"Luca","non-dropping-particle":"","parse-names":false,"suffix":""},{"dropping-particle":"","family":"Rossi","given":"Davide","non-dropping-particle":"","parse-names":false,"suffix":""}],"container-title":"Blood","id":"ITEM-2","issue":"Supplement 1","issued":{"date-parts":[["2018","11","29"]]},"page":"922-922","title":"Molecular Subtypes of Splenic Marginal Zone Lymphoma (SMZL) Are Associated with Distinct Pathogenic Mechanisms and Outcomes - Interim Analysis of the IELSG46 Study","type":"article-journal","volume":"132"},"uris":["http://www.mendeley.com/documents/?uuid=f298aca8-5260-4251-9bb6-0cc254d016e1"]}],"mendeley":{"formattedCitation":"(Bruscaggin et al., 2019; Guidetti et al., 2018)","plainTextFormattedCitation":"(Bruscaggin et al., 2019; Guidetti et al., 2018)","previouslyFormattedCitation":"(Bruscaggin et al., 2019; Guidetti et al., 2018)"},"properties":{"noteIndex":0},"schema":"https://github.com/citation-style-language/schema/raw/master/csl-citation.json"}</w:instrText>
      </w:r>
      <w:r w:rsidR="006A5C21" w:rsidRPr="00002888">
        <w:rPr>
          <w:rFonts w:ascii="Times New Roman" w:hAnsi="Times New Roman" w:cs="Times New Roman"/>
          <w:sz w:val="24"/>
          <w:szCs w:val="24"/>
          <w:lang w:val="en-GB"/>
        </w:rPr>
        <w:fldChar w:fldCharType="separate"/>
      </w:r>
      <w:r w:rsidR="006A5C21" w:rsidRPr="00002888">
        <w:rPr>
          <w:rFonts w:ascii="Times New Roman" w:hAnsi="Times New Roman" w:cs="Times New Roman"/>
          <w:noProof/>
          <w:sz w:val="24"/>
          <w:szCs w:val="24"/>
          <w:lang w:val="en-GB"/>
        </w:rPr>
        <w:t>(Bruscaggin et al., 2019; Guidetti et al., 2018)</w:t>
      </w:r>
      <w:r w:rsidR="006A5C21" w:rsidRPr="00002888">
        <w:rPr>
          <w:rFonts w:ascii="Times New Roman" w:hAnsi="Times New Roman" w:cs="Times New Roman"/>
          <w:sz w:val="24"/>
          <w:szCs w:val="24"/>
          <w:lang w:val="en-GB"/>
        </w:rPr>
        <w:fldChar w:fldCharType="end"/>
      </w:r>
      <w:r w:rsidR="00301FDC" w:rsidRPr="00002888">
        <w:rPr>
          <w:rFonts w:ascii="Times New Roman" w:hAnsi="Times New Roman" w:cs="Times New Roman"/>
          <w:sz w:val="24"/>
          <w:szCs w:val="24"/>
          <w:lang w:val="en-GB"/>
        </w:rPr>
        <w:t>.</w:t>
      </w:r>
      <w:r w:rsidR="00205483" w:rsidRPr="00002888">
        <w:rPr>
          <w:rFonts w:ascii="Times New Roman" w:hAnsi="Times New Roman" w:cs="Times New Roman"/>
          <w:sz w:val="24"/>
          <w:szCs w:val="24"/>
          <w:lang w:val="en-GB"/>
        </w:rPr>
        <w:t xml:space="preserve"> </w:t>
      </w:r>
      <w:r w:rsidR="00123925" w:rsidRPr="00002888">
        <w:rPr>
          <w:rFonts w:ascii="Times New Roman" w:hAnsi="Times New Roman" w:cs="Times New Roman"/>
          <w:sz w:val="24"/>
          <w:szCs w:val="24"/>
          <w:lang w:val="en-GB"/>
        </w:rPr>
        <w:t xml:space="preserve">In 2019, the </w:t>
      </w:r>
      <w:r w:rsidR="005970D0" w:rsidRPr="00002888">
        <w:rPr>
          <w:rFonts w:ascii="Times New Roman" w:hAnsi="Times New Roman" w:cs="Times New Roman"/>
          <w:sz w:val="24"/>
          <w:szCs w:val="24"/>
          <w:lang w:val="en-GB"/>
        </w:rPr>
        <w:t xml:space="preserve">consortium presented their early work. Profiling a cohort of 382 SMZL patient the authors define four molecular clusters </w:t>
      </w:r>
      <w:r w:rsidR="005970D0" w:rsidRPr="00002888">
        <w:rPr>
          <w:rFonts w:ascii="Times New Roman" w:hAnsi="Times New Roman" w:cs="Times New Roman"/>
          <w:sz w:val="24"/>
          <w:szCs w:val="24"/>
          <w:lang w:val="en-GB"/>
        </w:rPr>
        <w:lastRenderedPageBreak/>
        <w:t xml:space="preserve">(MC) with distinct outcomes, employing machine learning approaches. MC1 and 2 were driven by </w:t>
      </w:r>
      <w:r w:rsidR="005970D0" w:rsidRPr="00002888">
        <w:rPr>
          <w:rFonts w:ascii="Times New Roman" w:hAnsi="Times New Roman" w:cs="Times New Roman"/>
          <w:i/>
          <w:sz w:val="24"/>
          <w:szCs w:val="24"/>
          <w:lang w:val="en-GB"/>
        </w:rPr>
        <w:t>KLF2</w:t>
      </w:r>
      <w:r w:rsidR="005970D0" w:rsidRPr="00002888">
        <w:rPr>
          <w:rFonts w:ascii="Times New Roman" w:hAnsi="Times New Roman" w:cs="Times New Roman"/>
          <w:sz w:val="24"/>
          <w:szCs w:val="24"/>
          <w:lang w:val="en-GB"/>
        </w:rPr>
        <w:t xml:space="preserve"> and </w:t>
      </w:r>
      <w:r w:rsidR="005970D0" w:rsidRPr="00002888">
        <w:rPr>
          <w:rFonts w:ascii="Times New Roman" w:hAnsi="Times New Roman" w:cs="Times New Roman"/>
          <w:i/>
          <w:sz w:val="24"/>
          <w:szCs w:val="24"/>
          <w:lang w:val="en-GB"/>
        </w:rPr>
        <w:t>NOTCH2</w:t>
      </w:r>
      <w:r w:rsidR="005970D0" w:rsidRPr="00002888">
        <w:rPr>
          <w:rFonts w:ascii="Times New Roman" w:hAnsi="Times New Roman" w:cs="Times New Roman"/>
          <w:sz w:val="24"/>
          <w:szCs w:val="24"/>
          <w:lang w:val="en-GB"/>
        </w:rPr>
        <w:t xml:space="preserve"> mutations, respectively, and enriched for </w:t>
      </w:r>
      <w:r w:rsidR="005970D0" w:rsidRPr="00002888">
        <w:rPr>
          <w:rFonts w:ascii="Times New Roman" w:hAnsi="Times New Roman" w:cs="Times New Roman"/>
          <w:i/>
          <w:sz w:val="24"/>
          <w:szCs w:val="24"/>
          <w:lang w:val="en-GB"/>
        </w:rPr>
        <w:t>IGHV1-2*04</w:t>
      </w:r>
      <w:r w:rsidR="005970D0" w:rsidRPr="00002888">
        <w:rPr>
          <w:rFonts w:ascii="Times New Roman" w:hAnsi="Times New Roman" w:cs="Times New Roman"/>
          <w:sz w:val="24"/>
          <w:szCs w:val="24"/>
          <w:lang w:val="en-GB"/>
        </w:rPr>
        <w:t xml:space="preserve"> and del</w:t>
      </w:r>
      <w:r w:rsidR="000B6FDA" w:rsidRPr="00002888">
        <w:rPr>
          <w:rFonts w:ascii="Times New Roman" w:hAnsi="Times New Roman" w:cs="Times New Roman"/>
          <w:sz w:val="24"/>
          <w:szCs w:val="24"/>
          <w:lang w:val="en-GB"/>
        </w:rPr>
        <w:t>etion of 7q</w:t>
      </w:r>
      <w:r w:rsidR="005970D0" w:rsidRPr="00002888">
        <w:rPr>
          <w:rFonts w:ascii="Times New Roman" w:hAnsi="Times New Roman" w:cs="Times New Roman"/>
          <w:sz w:val="24"/>
          <w:szCs w:val="24"/>
          <w:lang w:val="en-GB"/>
        </w:rPr>
        <w:t xml:space="preserve">. MC3 and 4 were defined by </w:t>
      </w:r>
      <w:r w:rsidR="005970D0" w:rsidRPr="00002888">
        <w:rPr>
          <w:rFonts w:ascii="Times New Roman" w:hAnsi="Times New Roman" w:cs="Times New Roman"/>
          <w:i/>
          <w:sz w:val="24"/>
          <w:szCs w:val="24"/>
          <w:lang w:val="en-GB"/>
        </w:rPr>
        <w:t>KMT2D</w:t>
      </w:r>
      <w:r w:rsidR="005970D0" w:rsidRPr="00002888">
        <w:rPr>
          <w:rFonts w:ascii="Times New Roman" w:hAnsi="Times New Roman" w:cs="Times New Roman"/>
          <w:sz w:val="24"/>
          <w:szCs w:val="24"/>
          <w:lang w:val="en-GB"/>
        </w:rPr>
        <w:t xml:space="preserve"> and </w:t>
      </w:r>
      <w:r w:rsidR="005970D0" w:rsidRPr="00002888">
        <w:rPr>
          <w:rFonts w:ascii="Times New Roman" w:hAnsi="Times New Roman" w:cs="Times New Roman"/>
          <w:i/>
          <w:sz w:val="24"/>
          <w:szCs w:val="24"/>
          <w:lang w:val="en-GB"/>
        </w:rPr>
        <w:t>TP53/ATM</w:t>
      </w:r>
      <w:r w:rsidR="005970D0" w:rsidRPr="00002888">
        <w:rPr>
          <w:rFonts w:ascii="Times New Roman" w:hAnsi="Times New Roman" w:cs="Times New Roman"/>
          <w:sz w:val="24"/>
          <w:szCs w:val="24"/>
          <w:lang w:val="en-GB"/>
        </w:rPr>
        <w:t xml:space="preserve"> mutations, respectively. Clinical correlations demonstrated that MC1 and MC2 were those that exhibited inferior survival. The authors also report</w:t>
      </w:r>
      <w:r w:rsidR="00301FDC" w:rsidRPr="00002888">
        <w:rPr>
          <w:rFonts w:ascii="Times New Roman" w:hAnsi="Times New Roman" w:cs="Times New Roman"/>
          <w:sz w:val="24"/>
          <w:szCs w:val="24"/>
          <w:lang w:val="en-GB"/>
        </w:rPr>
        <w:t>ed</w:t>
      </w:r>
      <w:r w:rsidR="005970D0" w:rsidRPr="00002888">
        <w:rPr>
          <w:rFonts w:ascii="Times New Roman" w:hAnsi="Times New Roman" w:cs="Times New Roman"/>
          <w:sz w:val="24"/>
          <w:szCs w:val="24"/>
          <w:lang w:val="en-GB"/>
        </w:rPr>
        <w:t xml:space="preserve"> a more restricted analysis of gene expression data suggesting that patient</w:t>
      </w:r>
      <w:r w:rsidR="00301FDC" w:rsidRPr="00002888">
        <w:rPr>
          <w:rFonts w:ascii="Times New Roman" w:hAnsi="Times New Roman" w:cs="Times New Roman"/>
          <w:sz w:val="24"/>
          <w:szCs w:val="24"/>
          <w:lang w:val="en-GB"/>
        </w:rPr>
        <w:t>s</w:t>
      </w:r>
      <w:r w:rsidR="005970D0" w:rsidRPr="00002888">
        <w:rPr>
          <w:rFonts w:ascii="Times New Roman" w:hAnsi="Times New Roman" w:cs="Times New Roman"/>
          <w:sz w:val="24"/>
          <w:szCs w:val="24"/>
          <w:lang w:val="en-GB"/>
        </w:rPr>
        <w:t xml:space="preserve"> can be cluster</w:t>
      </w:r>
      <w:r w:rsidR="00301FDC" w:rsidRPr="00002888">
        <w:rPr>
          <w:rFonts w:ascii="Times New Roman" w:hAnsi="Times New Roman" w:cs="Times New Roman"/>
          <w:sz w:val="24"/>
          <w:szCs w:val="24"/>
          <w:lang w:val="en-GB"/>
        </w:rPr>
        <w:t>ed</w:t>
      </w:r>
      <w:r w:rsidR="005970D0" w:rsidRPr="00002888">
        <w:rPr>
          <w:rFonts w:ascii="Times New Roman" w:hAnsi="Times New Roman" w:cs="Times New Roman"/>
          <w:sz w:val="24"/>
          <w:szCs w:val="24"/>
          <w:lang w:val="en-GB"/>
        </w:rPr>
        <w:t xml:space="preserve"> based on transcriptomic signatures. This study, and a host of consequent manuscripts, will be truly important in defining the prognostic landscape of the disease, and will be an important step towards identifying patients for precision medicine approaches.</w:t>
      </w:r>
      <w:r w:rsidR="001C622A" w:rsidRPr="00002888">
        <w:rPr>
          <w:rFonts w:ascii="Times New Roman" w:hAnsi="Times New Roman" w:cs="Times New Roman"/>
          <w:sz w:val="24"/>
          <w:szCs w:val="24"/>
          <w:lang w:val="en-GB"/>
        </w:rPr>
        <w:t xml:space="preserve"> </w:t>
      </w:r>
    </w:p>
    <w:p w14:paraId="77DCC810" w14:textId="2B22AA6C" w:rsidR="005970D0" w:rsidRDefault="00082F06" w:rsidP="00002888">
      <w:pPr>
        <w:spacing w:before="0" w:after="0" w:line="360" w:lineRule="auto"/>
        <w:jc w:val="left"/>
        <w:rPr>
          <w:rFonts w:ascii="Times New Roman" w:hAnsi="Times New Roman" w:cs="Times New Roman"/>
          <w:sz w:val="24"/>
          <w:szCs w:val="24"/>
          <w:lang w:val="en-GB"/>
        </w:rPr>
      </w:pPr>
      <w:bookmarkStart w:id="5" w:name="_Hlk68606054"/>
      <w:r w:rsidRPr="00002888">
        <w:rPr>
          <w:rFonts w:ascii="Times New Roman" w:hAnsi="Times New Roman" w:cs="Times New Roman"/>
          <w:sz w:val="24"/>
          <w:szCs w:val="24"/>
          <w:lang w:val="en-GB"/>
        </w:rPr>
        <w:t xml:space="preserve">Our group is also coordinating a large </w:t>
      </w:r>
      <w:r w:rsidR="007A73AF" w:rsidRPr="00002888">
        <w:rPr>
          <w:rFonts w:ascii="Times New Roman" w:hAnsi="Times New Roman" w:cs="Times New Roman"/>
          <w:sz w:val="24"/>
          <w:szCs w:val="24"/>
          <w:lang w:val="en-GB"/>
        </w:rPr>
        <w:t>international</w:t>
      </w:r>
      <w:r w:rsidRPr="00002888">
        <w:rPr>
          <w:rFonts w:ascii="Times New Roman" w:hAnsi="Times New Roman" w:cs="Times New Roman"/>
          <w:sz w:val="24"/>
          <w:szCs w:val="24"/>
          <w:lang w:val="en-GB"/>
        </w:rPr>
        <w:t xml:space="preserve"> study</w:t>
      </w:r>
      <w:r w:rsidR="00990135" w:rsidRPr="00002888">
        <w:rPr>
          <w:rFonts w:ascii="Times New Roman" w:hAnsi="Times New Roman" w:cs="Times New Roman"/>
          <w:sz w:val="24"/>
          <w:szCs w:val="24"/>
          <w:lang w:val="en-GB"/>
        </w:rPr>
        <w:t>,</w:t>
      </w:r>
      <w:r w:rsidRPr="00002888">
        <w:rPr>
          <w:rFonts w:ascii="Times New Roman" w:hAnsi="Times New Roman" w:cs="Times New Roman"/>
          <w:sz w:val="24"/>
          <w:szCs w:val="24"/>
          <w:lang w:val="en-GB"/>
        </w:rPr>
        <w:t xml:space="preserve"> distinct from IELSG46, focusing </w:t>
      </w:r>
      <w:r w:rsidR="00990135" w:rsidRPr="00002888">
        <w:rPr>
          <w:rFonts w:ascii="Times New Roman" w:hAnsi="Times New Roman" w:cs="Times New Roman"/>
          <w:sz w:val="24"/>
          <w:szCs w:val="24"/>
          <w:lang w:val="en-GB"/>
        </w:rPr>
        <w:t xml:space="preserve">on detailed DNA methylation profiling of SMZL cases and positioning these cases within a framework including a spectrum of normal B-cell sub-sets and a myriad of other mature B-cell tumours. These data </w:t>
      </w:r>
      <w:r w:rsidR="00C96CD4" w:rsidRPr="00002888">
        <w:rPr>
          <w:rFonts w:ascii="Times New Roman" w:hAnsi="Times New Roman" w:cs="Times New Roman"/>
          <w:sz w:val="24"/>
          <w:szCs w:val="24"/>
          <w:lang w:val="en-GB"/>
        </w:rPr>
        <w:t>will</w:t>
      </w:r>
      <w:r w:rsidR="00990135" w:rsidRPr="00002888">
        <w:rPr>
          <w:rFonts w:ascii="Times New Roman" w:hAnsi="Times New Roman" w:cs="Times New Roman"/>
          <w:sz w:val="24"/>
          <w:szCs w:val="24"/>
          <w:lang w:val="en-GB"/>
        </w:rPr>
        <w:t xml:space="preserve"> </w:t>
      </w:r>
      <w:r w:rsidR="00C96CD4" w:rsidRPr="00002888">
        <w:rPr>
          <w:rFonts w:ascii="Times New Roman" w:hAnsi="Times New Roman" w:cs="Times New Roman"/>
          <w:sz w:val="24"/>
          <w:szCs w:val="24"/>
          <w:lang w:val="en-GB"/>
        </w:rPr>
        <w:t>then</w:t>
      </w:r>
      <w:r w:rsidR="00990135" w:rsidRPr="00002888">
        <w:rPr>
          <w:rFonts w:ascii="Times New Roman" w:hAnsi="Times New Roman" w:cs="Times New Roman"/>
          <w:sz w:val="24"/>
          <w:szCs w:val="24"/>
          <w:lang w:val="en-GB"/>
        </w:rPr>
        <w:t xml:space="preserve"> </w:t>
      </w:r>
      <w:r w:rsidR="00C96CD4" w:rsidRPr="00002888">
        <w:rPr>
          <w:rFonts w:ascii="Times New Roman" w:hAnsi="Times New Roman" w:cs="Times New Roman"/>
          <w:sz w:val="24"/>
          <w:szCs w:val="24"/>
          <w:lang w:val="en-GB"/>
        </w:rPr>
        <w:t xml:space="preserve">be </w:t>
      </w:r>
      <w:r w:rsidR="00990135" w:rsidRPr="00002888">
        <w:rPr>
          <w:rFonts w:ascii="Times New Roman" w:hAnsi="Times New Roman" w:cs="Times New Roman"/>
          <w:sz w:val="24"/>
          <w:szCs w:val="24"/>
          <w:lang w:val="en-GB"/>
        </w:rPr>
        <w:t xml:space="preserve">integrated with </w:t>
      </w:r>
      <w:r w:rsidR="00990135" w:rsidRPr="00245037">
        <w:rPr>
          <w:rFonts w:ascii="Times New Roman" w:hAnsi="Times New Roman" w:cs="Times New Roman"/>
          <w:sz w:val="24"/>
          <w:szCs w:val="24"/>
          <w:lang w:val="en-GB"/>
        </w:rPr>
        <w:t xml:space="preserve">genome-wide mutational </w:t>
      </w:r>
      <w:r w:rsidR="00C96CD4" w:rsidRPr="00245037">
        <w:rPr>
          <w:rFonts w:ascii="Times New Roman" w:hAnsi="Times New Roman" w:cs="Times New Roman"/>
          <w:sz w:val="24"/>
          <w:szCs w:val="24"/>
          <w:lang w:val="en-GB"/>
        </w:rPr>
        <w:t>and CNA data</w:t>
      </w:r>
      <w:r w:rsidR="00990135" w:rsidRPr="00245037">
        <w:rPr>
          <w:rFonts w:ascii="Times New Roman" w:hAnsi="Times New Roman" w:cs="Times New Roman"/>
          <w:sz w:val="24"/>
          <w:szCs w:val="24"/>
          <w:lang w:val="en-GB"/>
        </w:rPr>
        <w:t>, telomere dynamics</w:t>
      </w:r>
      <w:r w:rsidR="00C96CD4" w:rsidRPr="00245037">
        <w:rPr>
          <w:rFonts w:ascii="Times New Roman" w:hAnsi="Times New Roman" w:cs="Times New Roman"/>
          <w:sz w:val="24"/>
          <w:szCs w:val="24"/>
          <w:lang w:val="en-GB"/>
        </w:rPr>
        <w:t>, and for key biological subgroups,</w:t>
      </w:r>
      <w:r w:rsidR="006D7CF4" w:rsidRPr="00245037">
        <w:rPr>
          <w:rFonts w:ascii="Times New Roman" w:hAnsi="Times New Roman" w:cs="Times New Roman"/>
          <w:sz w:val="24"/>
          <w:szCs w:val="24"/>
          <w:lang w:val="en-GB"/>
        </w:rPr>
        <w:t xml:space="preserve"> the proliferative history based </w:t>
      </w:r>
      <w:r w:rsidR="00957AD5" w:rsidRPr="00245037">
        <w:rPr>
          <w:rFonts w:ascii="Times New Roman" w:hAnsi="Times New Roman" w:cs="Times New Roman"/>
          <w:sz w:val="24"/>
          <w:szCs w:val="24"/>
          <w:lang w:val="en-GB"/>
        </w:rPr>
        <w:t>o</w:t>
      </w:r>
      <w:r w:rsidR="006D7CF4" w:rsidRPr="00245037">
        <w:rPr>
          <w:rFonts w:ascii="Times New Roman" w:hAnsi="Times New Roman" w:cs="Times New Roman"/>
          <w:sz w:val="24"/>
          <w:szCs w:val="24"/>
          <w:lang w:val="en-GB"/>
        </w:rPr>
        <w:t>n methylation arrays,</w:t>
      </w:r>
      <w:r w:rsidR="00C96CD4" w:rsidRPr="00245037">
        <w:rPr>
          <w:rFonts w:ascii="Times New Roman" w:hAnsi="Times New Roman" w:cs="Times New Roman"/>
          <w:sz w:val="24"/>
          <w:szCs w:val="24"/>
          <w:lang w:val="en-GB"/>
        </w:rPr>
        <w:t xml:space="preserve"> transcriptomic and chromatin accessibility maps. </w:t>
      </w:r>
      <w:bookmarkEnd w:id="5"/>
      <w:r w:rsidR="00990135" w:rsidRPr="00245037">
        <w:rPr>
          <w:rFonts w:ascii="Times New Roman" w:hAnsi="Times New Roman" w:cs="Times New Roman"/>
          <w:sz w:val="24"/>
          <w:szCs w:val="24"/>
          <w:lang w:val="en-GB"/>
        </w:rPr>
        <w:t>The aims are to</w:t>
      </w:r>
      <w:r w:rsidR="1F57D583" w:rsidRPr="00245037">
        <w:rPr>
          <w:rFonts w:ascii="Times New Roman" w:hAnsi="Times New Roman" w:cs="Times New Roman"/>
          <w:sz w:val="24"/>
          <w:szCs w:val="24"/>
          <w:lang w:val="en-GB"/>
        </w:rPr>
        <w:t>:</w:t>
      </w:r>
      <w:r w:rsidR="00990135" w:rsidRPr="00245037">
        <w:rPr>
          <w:rFonts w:ascii="Times New Roman" w:hAnsi="Times New Roman" w:cs="Times New Roman"/>
          <w:sz w:val="24"/>
          <w:szCs w:val="24"/>
          <w:lang w:val="en-GB"/>
        </w:rPr>
        <w:t xml:space="preserve"> 1) </w:t>
      </w:r>
      <w:r w:rsidR="00C96CD4" w:rsidRPr="00245037">
        <w:rPr>
          <w:rFonts w:ascii="Times New Roman" w:hAnsi="Times New Roman" w:cs="Times New Roman"/>
          <w:sz w:val="24"/>
          <w:szCs w:val="24"/>
          <w:lang w:val="en-GB"/>
        </w:rPr>
        <w:t>further characterize the epigenetic landscape of SMZL</w:t>
      </w:r>
      <w:r w:rsidR="00AA7EC4" w:rsidRPr="00245037">
        <w:rPr>
          <w:rFonts w:ascii="Times New Roman" w:hAnsi="Times New Roman" w:cs="Times New Roman"/>
          <w:sz w:val="24"/>
          <w:szCs w:val="24"/>
          <w:lang w:val="en-GB"/>
        </w:rPr>
        <w:t>, define new patient subgroups based on state-of-the-art approaches</w:t>
      </w:r>
      <w:r w:rsidR="770C4606" w:rsidRPr="00245037">
        <w:rPr>
          <w:rFonts w:ascii="Times New Roman" w:hAnsi="Times New Roman" w:cs="Times New Roman"/>
          <w:sz w:val="24"/>
          <w:szCs w:val="24"/>
          <w:lang w:val="en-GB"/>
        </w:rPr>
        <w:t>;</w:t>
      </w:r>
      <w:r w:rsidR="00C96CD4" w:rsidRPr="00245037">
        <w:rPr>
          <w:rFonts w:ascii="Times New Roman" w:hAnsi="Times New Roman" w:cs="Times New Roman"/>
          <w:sz w:val="24"/>
          <w:szCs w:val="24"/>
          <w:lang w:val="en-GB"/>
        </w:rPr>
        <w:t xml:space="preserve"> 2)</w:t>
      </w:r>
      <w:r w:rsidR="00301FDC" w:rsidRPr="00245037">
        <w:rPr>
          <w:rFonts w:ascii="Times New Roman" w:hAnsi="Times New Roman" w:cs="Times New Roman"/>
          <w:sz w:val="24"/>
          <w:szCs w:val="24"/>
          <w:lang w:val="en-GB"/>
        </w:rPr>
        <w:t xml:space="preserve"> </w:t>
      </w:r>
      <w:r w:rsidR="00C96CD4" w:rsidRPr="00245037">
        <w:rPr>
          <w:rFonts w:ascii="Times New Roman" w:hAnsi="Times New Roman" w:cs="Times New Roman"/>
          <w:sz w:val="24"/>
          <w:szCs w:val="24"/>
          <w:lang w:val="en-GB"/>
        </w:rPr>
        <w:t>define patient subgroups based on their relationship</w:t>
      </w:r>
      <w:r w:rsidR="00C96CD4" w:rsidRPr="00002888">
        <w:rPr>
          <w:rFonts w:ascii="Times New Roman" w:hAnsi="Times New Roman" w:cs="Times New Roman"/>
          <w:sz w:val="24"/>
          <w:szCs w:val="24"/>
          <w:lang w:val="en-GB"/>
        </w:rPr>
        <w:t xml:space="preserve"> to normal B-cell populations,</w:t>
      </w:r>
      <w:r w:rsidR="00AA7EC4" w:rsidRPr="00002888">
        <w:rPr>
          <w:rFonts w:ascii="Times New Roman" w:hAnsi="Times New Roman" w:cs="Times New Roman"/>
          <w:sz w:val="24"/>
          <w:szCs w:val="24"/>
          <w:lang w:val="en-GB"/>
        </w:rPr>
        <w:t xml:space="preserve"> providing insights into the potential cell-of-origin of key patient subgroups</w:t>
      </w:r>
      <w:r w:rsidR="620A1A5D" w:rsidRPr="00002888">
        <w:rPr>
          <w:rFonts w:ascii="Times New Roman" w:hAnsi="Times New Roman" w:cs="Times New Roman"/>
          <w:sz w:val="24"/>
          <w:szCs w:val="24"/>
          <w:lang w:val="en-GB"/>
        </w:rPr>
        <w:t>;</w:t>
      </w:r>
      <w:r w:rsidR="00C96CD4" w:rsidRPr="00002888">
        <w:rPr>
          <w:rFonts w:ascii="Times New Roman" w:hAnsi="Times New Roman" w:cs="Times New Roman"/>
          <w:sz w:val="24"/>
          <w:szCs w:val="24"/>
          <w:lang w:val="en-GB"/>
        </w:rPr>
        <w:t xml:space="preserve"> 3) compare SMZL to the DNA methylation patterns of other mature B-cell tumours, </w:t>
      </w:r>
      <w:r w:rsidR="00AA7EC4" w:rsidRPr="00002888">
        <w:rPr>
          <w:rFonts w:ascii="Times New Roman" w:hAnsi="Times New Roman" w:cs="Times New Roman"/>
          <w:sz w:val="24"/>
          <w:szCs w:val="24"/>
          <w:lang w:val="en-GB"/>
        </w:rPr>
        <w:t xml:space="preserve">detailing approaches that might aid in differential diagnosis </w:t>
      </w:r>
      <w:r w:rsidR="00C96CD4" w:rsidRPr="00002888">
        <w:rPr>
          <w:rFonts w:ascii="Times New Roman" w:hAnsi="Times New Roman" w:cs="Times New Roman"/>
          <w:sz w:val="24"/>
          <w:szCs w:val="24"/>
          <w:lang w:val="en-GB"/>
        </w:rPr>
        <w:t>and</w:t>
      </w:r>
      <w:r w:rsidR="43FB32A4" w:rsidRPr="00002888">
        <w:rPr>
          <w:rFonts w:ascii="Times New Roman" w:hAnsi="Times New Roman" w:cs="Times New Roman"/>
          <w:sz w:val="24"/>
          <w:szCs w:val="24"/>
          <w:lang w:val="en-GB"/>
        </w:rPr>
        <w:t>;</w:t>
      </w:r>
      <w:r w:rsidR="00C96CD4" w:rsidRPr="00002888">
        <w:rPr>
          <w:rFonts w:ascii="Times New Roman" w:hAnsi="Times New Roman" w:cs="Times New Roman"/>
          <w:sz w:val="24"/>
          <w:szCs w:val="24"/>
          <w:lang w:val="en-GB"/>
        </w:rPr>
        <w:t xml:space="preserve"> 4) compare CBL-MZ to SMZL and aligned conditions</w:t>
      </w:r>
      <w:r w:rsidR="00AA7EC4" w:rsidRPr="00002888">
        <w:rPr>
          <w:rFonts w:ascii="Times New Roman" w:hAnsi="Times New Roman" w:cs="Times New Roman"/>
          <w:sz w:val="24"/>
          <w:szCs w:val="24"/>
          <w:lang w:val="en-GB"/>
        </w:rPr>
        <w:t>, allowing more accurate disease classification and improved prediction of those CBL-MZ cases destined to progress to over</w:t>
      </w:r>
      <w:r w:rsidR="00D52404" w:rsidRPr="00002888">
        <w:rPr>
          <w:rFonts w:ascii="Times New Roman" w:hAnsi="Times New Roman" w:cs="Times New Roman"/>
          <w:sz w:val="24"/>
          <w:szCs w:val="24"/>
          <w:lang w:val="en-GB"/>
        </w:rPr>
        <w:t>t</w:t>
      </w:r>
      <w:r w:rsidR="00AA7EC4" w:rsidRPr="00002888">
        <w:rPr>
          <w:rFonts w:ascii="Times New Roman" w:hAnsi="Times New Roman" w:cs="Times New Roman"/>
          <w:sz w:val="24"/>
          <w:szCs w:val="24"/>
          <w:lang w:val="en-GB"/>
        </w:rPr>
        <w:t xml:space="preserve"> lymphoma</w:t>
      </w:r>
      <w:r w:rsidR="00C96CD4" w:rsidRPr="00002888">
        <w:rPr>
          <w:rFonts w:ascii="Times New Roman" w:hAnsi="Times New Roman" w:cs="Times New Roman"/>
          <w:sz w:val="24"/>
          <w:szCs w:val="24"/>
          <w:lang w:val="en-GB"/>
        </w:rPr>
        <w:t>.</w:t>
      </w:r>
      <w:r w:rsidR="001C622A" w:rsidRPr="00002888">
        <w:rPr>
          <w:rFonts w:ascii="Times New Roman" w:hAnsi="Times New Roman" w:cs="Times New Roman"/>
          <w:sz w:val="24"/>
          <w:szCs w:val="24"/>
          <w:lang w:val="en-GB"/>
        </w:rPr>
        <w:t xml:space="preserve"> These are two examples of key data sets that will emerge in the literature in the coming months and should advance our understanding of the molecular lesions that define the disease and provide further support of their clinical utility.</w:t>
      </w:r>
    </w:p>
    <w:p w14:paraId="22FB7B8E" w14:textId="77777777" w:rsidR="00002888" w:rsidRPr="00002888" w:rsidRDefault="00002888" w:rsidP="00002888">
      <w:pPr>
        <w:spacing w:before="0" w:after="0" w:line="360" w:lineRule="auto"/>
        <w:jc w:val="left"/>
        <w:rPr>
          <w:rFonts w:ascii="Times New Roman" w:hAnsi="Times New Roman" w:cs="Times New Roman"/>
          <w:sz w:val="24"/>
          <w:szCs w:val="24"/>
          <w:lang w:val="en-GB"/>
        </w:rPr>
      </w:pPr>
    </w:p>
    <w:p w14:paraId="13BFFB94" w14:textId="2FF43864" w:rsidR="006446CB" w:rsidRPr="00002888" w:rsidRDefault="008425E7" w:rsidP="00002888">
      <w:pPr>
        <w:pStyle w:val="Heading1"/>
        <w:spacing w:before="0" w:line="360" w:lineRule="auto"/>
        <w:jc w:val="left"/>
        <w:rPr>
          <w:rFonts w:ascii="Times New Roman" w:hAnsi="Times New Roman" w:cs="Times New Roman"/>
          <w:b/>
          <w:bCs/>
          <w:sz w:val="24"/>
          <w:szCs w:val="24"/>
          <w:lang w:val="en-GB"/>
        </w:rPr>
      </w:pPr>
      <w:r w:rsidRPr="00002888">
        <w:rPr>
          <w:rFonts w:ascii="Times New Roman" w:hAnsi="Times New Roman" w:cs="Times New Roman"/>
          <w:b/>
          <w:bCs/>
          <w:sz w:val="24"/>
          <w:szCs w:val="24"/>
          <w:lang w:val="en-GB"/>
        </w:rPr>
        <w:t>CONCLUSIONS</w:t>
      </w:r>
    </w:p>
    <w:p w14:paraId="6916F417" w14:textId="25566EB0" w:rsidR="00046346" w:rsidRDefault="007C79B0" w:rsidP="00002888">
      <w:pPr>
        <w:spacing w:before="0" w:after="0" w:line="360" w:lineRule="auto"/>
        <w:jc w:val="left"/>
        <w:rPr>
          <w:rFonts w:ascii="Times New Roman" w:hAnsi="Times New Roman" w:cs="Times New Roman"/>
          <w:sz w:val="24"/>
          <w:szCs w:val="24"/>
          <w:lang w:val="en-GB"/>
        </w:rPr>
      </w:pPr>
      <w:r w:rsidRPr="00002888">
        <w:rPr>
          <w:rFonts w:ascii="Times New Roman" w:hAnsi="Times New Roman" w:cs="Times New Roman"/>
          <w:sz w:val="24"/>
          <w:szCs w:val="24"/>
          <w:lang w:val="en-GB"/>
        </w:rPr>
        <w:t>Over recent years, technological advances have provided exponential increases in sensitivity and specificity, thereby transforming our understand</w:t>
      </w:r>
      <w:r w:rsidR="00090057" w:rsidRPr="00002888">
        <w:rPr>
          <w:rFonts w:ascii="Times New Roman" w:hAnsi="Times New Roman" w:cs="Times New Roman"/>
          <w:sz w:val="24"/>
          <w:szCs w:val="24"/>
          <w:lang w:val="en-GB"/>
        </w:rPr>
        <w:t>ing</w:t>
      </w:r>
      <w:r w:rsidRPr="00002888">
        <w:rPr>
          <w:rFonts w:ascii="Times New Roman" w:hAnsi="Times New Roman" w:cs="Times New Roman"/>
          <w:sz w:val="24"/>
          <w:szCs w:val="24"/>
          <w:lang w:val="en-GB"/>
        </w:rPr>
        <w:t xml:space="preserve"> of many of the more prevalent mature B-cell tumours, providing compelling evidence of </w:t>
      </w:r>
      <w:r w:rsidR="00046346" w:rsidRPr="00002888">
        <w:rPr>
          <w:rFonts w:ascii="Times New Roman" w:hAnsi="Times New Roman" w:cs="Times New Roman"/>
          <w:sz w:val="24"/>
          <w:szCs w:val="24"/>
          <w:lang w:val="en-GB"/>
        </w:rPr>
        <w:t xml:space="preserve">their </w:t>
      </w:r>
      <w:r w:rsidRPr="00002888">
        <w:rPr>
          <w:rFonts w:ascii="Times New Roman" w:hAnsi="Times New Roman" w:cs="Times New Roman"/>
          <w:sz w:val="24"/>
          <w:szCs w:val="24"/>
          <w:lang w:val="en-GB"/>
        </w:rPr>
        <w:t>clin</w:t>
      </w:r>
      <w:r w:rsidR="00046346" w:rsidRPr="00002888">
        <w:rPr>
          <w:rFonts w:ascii="Times New Roman" w:hAnsi="Times New Roman" w:cs="Times New Roman"/>
          <w:sz w:val="24"/>
          <w:szCs w:val="24"/>
          <w:lang w:val="en-GB"/>
        </w:rPr>
        <w:t>i</w:t>
      </w:r>
      <w:r w:rsidRPr="00002888">
        <w:rPr>
          <w:rFonts w:ascii="Times New Roman" w:hAnsi="Times New Roman" w:cs="Times New Roman"/>
          <w:sz w:val="24"/>
          <w:szCs w:val="24"/>
          <w:lang w:val="en-GB"/>
        </w:rPr>
        <w:t xml:space="preserve">cal utility and facilitating the development of </w:t>
      </w:r>
      <w:r w:rsidR="00046346" w:rsidRPr="00002888">
        <w:rPr>
          <w:rFonts w:ascii="Times New Roman" w:hAnsi="Times New Roman" w:cs="Times New Roman"/>
          <w:sz w:val="24"/>
          <w:szCs w:val="24"/>
          <w:lang w:val="en-GB"/>
        </w:rPr>
        <w:t xml:space="preserve">cost effective </w:t>
      </w:r>
      <w:r w:rsidRPr="00002888">
        <w:rPr>
          <w:rFonts w:ascii="Times New Roman" w:hAnsi="Times New Roman" w:cs="Times New Roman"/>
          <w:sz w:val="24"/>
          <w:szCs w:val="24"/>
          <w:lang w:val="en-GB"/>
        </w:rPr>
        <w:t xml:space="preserve">diagnostic procedures </w:t>
      </w:r>
      <w:r w:rsidR="00046346" w:rsidRPr="00002888">
        <w:rPr>
          <w:rFonts w:ascii="Times New Roman" w:hAnsi="Times New Roman" w:cs="Times New Roman"/>
          <w:sz w:val="24"/>
          <w:szCs w:val="24"/>
          <w:lang w:val="en-GB"/>
        </w:rPr>
        <w:t>with high accuracy</w:t>
      </w:r>
      <w:r w:rsidRPr="00002888">
        <w:rPr>
          <w:rFonts w:ascii="Times New Roman" w:hAnsi="Times New Roman" w:cs="Times New Roman"/>
          <w:sz w:val="24"/>
          <w:szCs w:val="24"/>
          <w:lang w:val="en-GB"/>
        </w:rPr>
        <w:t xml:space="preserve">. In SMZL, the </w:t>
      </w:r>
      <w:r w:rsidR="0017394D" w:rsidRPr="00002888">
        <w:rPr>
          <w:rFonts w:ascii="Times New Roman" w:hAnsi="Times New Roman" w:cs="Times New Roman"/>
          <w:sz w:val="24"/>
          <w:szCs w:val="24"/>
          <w:lang w:val="en-GB"/>
        </w:rPr>
        <w:t>picture is less clear. M</w:t>
      </w:r>
      <w:r w:rsidR="000B4A69" w:rsidRPr="00002888">
        <w:rPr>
          <w:rFonts w:ascii="Times New Roman" w:hAnsi="Times New Roman" w:cs="Times New Roman"/>
          <w:sz w:val="24"/>
          <w:szCs w:val="24"/>
          <w:lang w:val="en-GB"/>
        </w:rPr>
        <w:t xml:space="preserve">ost cases </w:t>
      </w:r>
      <w:r w:rsidR="0017394D" w:rsidRPr="00002888">
        <w:rPr>
          <w:rFonts w:ascii="Times New Roman" w:hAnsi="Times New Roman" w:cs="Times New Roman"/>
          <w:sz w:val="24"/>
          <w:szCs w:val="24"/>
          <w:lang w:val="en-GB"/>
        </w:rPr>
        <w:t xml:space="preserve">of </w:t>
      </w:r>
      <w:r w:rsidR="000B4A69" w:rsidRPr="00002888">
        <w:rPr>
          <w:rFonts w:ascii="Times New Roman" w:hAnsi="Times New Roman" w:cs="Times New Roman"/>
          <w:sz w:val="24"/>
          <w:szCs w:val="24"/>
          <w:lang w:val="en-GB"/>
        </w:rPr>
        <w:t xml:space="preserve">SMZL remain indolent with protracted overall survival, </w:t>
      </w:r>
      <w:r w:rsidR="0017394D" w:rsidRPr="00002888">
        <w:rPr>
          <w:rFonts w:ascii="Times New Roman" w:hAnsi="Times New Roman" w:cs="Times New Roman"/>
          <w:sz w:val="24"/>
          <w:szCs w:val="24"/>
          <w:lang w:val="en-GB"/>
        </w:rPr>
        <w:t xml:space="preserve">but </w:t>
      </w:r>
      <w:r w:rsidR="001C622A" w:rsidRPr="00002888">
        <w:rPr>
          <w:rFonts w:ascii="Times New Roman" w:hAnsi="Times New Roman" w:cs="Times New Roman"/>
          <w:sz w:val="24"/>
          <w:szCs w:val="24"/>
          <w:lang w:val="en-GB"/>
        </w:rPr>
        <w:t xml:space="preserve">biomarkers are needed </w:t>
      </w:r>
      <w:r w:rsidR="001C622A" w:rsidRPr="00002888">
        <w:rPr>
          <w:rFonts w:ascii="Times New Roman" w:hAnsi="Times New Roman" w:cs="Times New Roman"/>
          <w:sz w:val="24"/>
          <w:szCs w:val="24"/>
          <w:lang w:val="en-GB"/>
        </w:rPr>
        <w:lastRenderedPageBreak/>
        <w:t>to help define the</w:t>
      </w:r>
      <w:r w:rsidR="000B4A69" w:rsidRPr="00002888">
        <w:rPr>
          <w:rFonts w:ascii="Times New Roman" w:hAnsi="Times New Roman" w:cs="Times New Roman"/>
          <w:sz w:val="24"/>
          <w:szCs w:val="24"/>
          <w:lang w:val="en-GB"/>
        </w:rPr>
        <w:t xml:space="preserve"> third of patients </w:t>
      </w:r>
      <w:r w:rsidR="00D52404" w:rsidRPr="00002888">
        <w:rPr>
          <w:rFonts w:ascii="Times New Roman" w:hAnsi="Times New Roman" w:cs="Times New Roman"/>
          <w:sz w:val="24"/>
          <w:szCs w:val="24"/>
          <w:lang w:val="en-GB"/>
        </w:rPr>
        <w:t xml:space="preserve">that </w:t>
      </w:r>
      <w:r w:rsidR="000B4A69" w:rsidRPr="00002888">
        <w:rPr>
          <w:rFonts w:ascii="Times New Roman" w:hAnsi="Times New Roman" w:cs="Times New Roman"/>
          <w:sz w:val="24"/>
          <w:szCs w:val="24"/>
          <w:lang w:val="en-GB"/>
        </w:rPr>
        <w:t xml:space="preserve">exhibit aggressive disease with the possibility of transformation to a more lethal lymphoma. </w:t>
      </w:r>
      <w:r w:rsidR="0017394D" w:rsidRPr="00002888">
        <w:rPr>
          <w:rFonts w:ascii="Times New Roman" w:hAnsi="Times New Roman" w:cs="Times New Roman"/>
          <w:sz w:val="24"/>
          <w:szCs w:val="24"/>
          <w:lang w:val="en-GB"/>
        </w:rPr>
        <w:t>T</w:t>
      </w:r>
      <w:r w:rsidR="00B467EB" w:rsidRPr="00002888">
        <w:rPr>
          <w:rFonts w:ascii="Times New Roman" w:hAnsi="Times New Roman" w:cs="Times New Roman"/>
          <w:sz w:val="24"/>
          <w:szCs w:val="24"/>
          <w:lang w:val="en-GB"/>
        </w:rPr>
        <w:t>he work</w:t>
      </w:r>
      <w:r w:rsidR="007641E6" w:rsidRPr="00002888">
        <w:rPr>
          <w:rFonts w:ascii="Times New Roman" w:hAnsi="Times New Roman" w:cs="Times New Roman"/>
          <w:sz w:val="24"/>
          <w:szCs w:val="24"/>
          <w:lang w:val="en-GB"/>
        </w:rPr>
        <w:t xml:space="preserve"> outlined herein </w:t>
      </w:r>
      <w:r w:rsidR="00B467EB" w:rsidRPr="00002888">
        <w:rPr>
          <w:rFonts w:ascii="Times New Roman" w:hAnsi="Times New Roman" w:cs="Times New Roman"/>
          <w:sz w:val="24"/>
          <w:szCs w:val="24"/>
          <w:lang w:val="en-GB"/>
        </w:rPr>
        <w:t>has</w:t>
      </w:r>
      <w:r w:rsidR="007641E6" w:rsidRPr="00002888">
        <w:rPr>
          <w:rFonts w:ascii="Times New Roman" w:hAnsi="Times New Roman" w:cs="Times New Roman"/>
          <w:sz w:val="24"/>
          <w:szCs w:val="24"/>
          <w:lang w:val="en-GB"/>
        </w:rPr>
        <w:t xml:space="preserve"> improved ou</w:t>
      </w:r>
      <w:r w:rsidR="00B467EB" w:rsidRPr="00002888">
        <w:rPr>
          <w:rFonts w:ascii="Times New Roman" w:hAnsi="Times New Roman" w:cs="Times New Roman"/>
          <w:sz w:val="24"/>
          <w:szCs w:val="24"/>
          <w:lang w:val="en-GB"/>
        </w:rPr>
        <w:t>r</w:t>
      </w:r>
      <w:r w:rsidR="007641E6" w:rsidRPr="00002888">
        <w:rPr>
          <w:rFonts w:ascii="Times New Roman" w:hAnsi="Times New Roman" w:cs="Times New Roman"/>
          <w:sz w:val="24"/>
          <w:szCs w:val="24"/>
          <w:lang w:val="en-GB"/>
        </w:rPr>
        <w:t xml:space="preserve"> understanding of the biological basis of SMZL, </w:t>
      </w:r>
      <w:r w:rsidR="0017394D" w:rsidRPr="00002888">
        <w:rPr>
          <w:rFonts w:ascii="Times New Roman" w:hAnsi="Times New Roman" w:cs="Times New Roman"/>
          <w:sz w:val="24"/>
          <w:szCs w:val="24"/>
          <w:lang w:val="en-GB"/>
        </w:rPr>
        <w:t>with key discoveries being</w:t>
      </w:r>
      <w:r w:rsidR="3A3758B3" w:rsidRPr="00002888">
        <w:rPr>
          <w:rFonts w:ascii="Times New Roman" w:hAnsi="Times New Roman" w:cs="Times New Roman"/>
          <w:sz w:val="24"/>
          <w:szCs w:val="24"/>
          <w:lang w:val="en-GB"/>
        </w:rPr>
        <w:t>:</w:t>
      </w:r>
      <w:r w:rsidR="007641E6" w:rsidRPr="00002888">
        <w:rPr>
          <w:rFonts w:ascii="Times New Roman" w:hAnsi="Times New Roman" w:cs="Times New Roman"/>
          <w:sz w:val="24"/>
          <w:szCs w:val="24"/>
          <w:lang w:val="en-GB"/>
        </w:rPr>
        <w:t xml:space="preserve"> 1) a highly restricted </w:t>
      </w:r>
      <w:r w:rsidR="007641E6" w:rsidRPr="00002888">
        <w:rPr>
          <w:rFonts w:ascii="Times New Roman" w:hAnsi="Times New Roman" w:cs="Times New Roman"/>
          <w:i/>
          <w:iCs/>
          <w:sz w:val="24"/>
          <w:szCs w:val="24"/>
          <w:lang w:val="en-GB"/>
        </w:rPr>
        <w:t xml:space="preserve">IGHV </w:t>
      </w:r>
      <w:r w:rsidR="007641E6" w:rsidRPr="00002888">
        <w:rPr>
          <w:rFonts w:ascii="Times New Roman" w:hAnsi="Times New Roman" w:cs="Times New Roman"/>
          <w:sz w:val="24"/>
          <w:szCs w:val="24"/>
          <w:lang w:val="en-GB"/>
        </w:rPr>
        <w:t xml:space="preserve">gene repertoire, including selective usage of the </w:t>
      </w:r>
      <w:r w:rsidR="007641E6" w:rsidRPr="00002888">
        <w:rPr>
          <w:rFonts w:ascii="Times New Roman" w:hAnsi="Times New Roman" w:cs="Times New Roman"/>
          <w:i/>
          <w:iCs/>
          <w:sz w:val="24"/>
          <w:szCs w:val="24"/>
          <w:lang w:val="en-GB"/>
        </w:rPr>
        <w:t>IGHV1-2*04</w:t>
      </w:r>
      <w:r w:rsidR="007641E6" w:rsidRPr="00002888">
        <w:rPr>
          <w:rFonts w:ascii="Times New Roman" w:hAnsi="Times New Roman" w:cs="Times New Roman"/>
          <w:sz w:val="24"/>
          <w:szCs w:val="24"/>
          <w:lang w:val="en-GB"/>
        </w:rPr>
        <w:t xml:space="preserve"> allele in 30% of cases</w:t>
      </w:r>
      <w:r w:rsidR="16769558" w:rsidRPr="00002888">
        <w:rPr>
          <w:rFonts w:ascii="Times New Roman" w:hAnsi="Times New Roman" w:cs="Times New Roman"/>
          <w:sz w:val="24"/>
          <w:szCs w:val="24"/>
          <w:lang w:val="en-GB"/>
        </w:rPr>
        <w:t>;</w:t>
      </w:r>
      <w:r w:rsidR="007641E6" w:rsidRPr="00002888">
        <w:rPr>
          <w:rFonts w:ascii="Times New Roman" w:hAnsi="Times New Roman" w:cs="Times New Roman"/>
          <w:sz w:val="24"/>
          <w:szCs w:val="24"/>
          <w:lang w:val="en-GB"/>
        </w:rPr>
        <w:t xml:space="preserve"> 2) recurrent CNAs </w:t>
      </w:r>
      <w:r w:rsidR="00B467EB" w:rsidRPr="00002888">
        <w:rPr>
          <w:rFonts w:ascii="Times New Roman" w:hAnsi="Times New Roman" w:cs="Times New Roman"/>
          <w:sz w:val="24"/>
          <w:szCs w:val="24"/>
          <w:lang w:val="en-GB"/>
        </w:rPr>
        <w:t xml:space="preserve">(deletion of 7q being the most frequent) </w:t>
      </w:r>
      <w:r w:rsidR="007641E6" w:rsidRPr="00002888">
        <w:rPr>
          <w:rFonts w:ascii="Times New Roman" w:hAnsi="Times New Roman" w:cs="Times New Roman"/>
          <w:sz w:val="24"/>
          <w:szCs w:val="24"/>
          <w:lang w:val="en-GB"/>
        </w:rPr>
        <w:t>and somatic mutations, th</w:t>
      </w:r>
      <w:r w:rsidR="00D52404" w:rsidRPr="00002888">
        <w:rPr>
          <w:rFonts w:ascii="Times New Roman" w:hAnsi="Times New Roman" w:cs="Times New Roman"/>
          <w:sz w:val="24"/>
          <w:szCs w:val="24"/>
          <w:lang w:val="en-GB"/>
        </w:rPr>
        <w:t>e</w:t>
      </w:r>
      <w:r w:rsidR="007641E6" w:rsidRPr="00002888">
        <w:rPr>
          <w:rFonts w:ascii="Times New Roman" w:hAnsi="Times New Roman" w:cs="Times New Roman"/>
          <w:sz w:val="24"/>
          <w:szCs w:val="24"/>
          <w:lang w:val="en-GB"/>
        </w:rPr>
        <w:t xml:space="preserve"> latter of which appear to cluster within biologically relevant pathways, such as Notch, </w:t>
      </w:r>
      <w:r w:rsidR="00D52404" w:rsidRPr="00002888">
        <w:rPr>
          <w:rFonts w:ascii="Times New Roman" w:hAnsi="Times New Roman" w:cs="Times New Roman"/>
          <w:sz w:val="24"/>
          <w:szCs w:val="24"/>
          <w:shd w:val="clear" w:color="auto" w:fill="FFFFFF"/>
          <w:lang w:val="en-GB"/>
        </w:rPr>
        <w:t>NF-</w:t>
      </w:r>
      <w:proofErr w:type="spellStart"/>
      <w:r w:rsidR="00A44284" w:rsidRPr="00002888">
        <w:rPr>
          <w:rFonts w:ascii="Times New Roman" w:hAnsi="Times New Roman" w:cs="Times New Roman"/>
          <w:sz w:val="24"/>
          <w:szCs w:val="24"/>
          <w:lang w:val="en-GB"/>
        </w:rPr>
        <w:t>κ</w:t>
      </w:r>
      <w:r w:rsidR="00D52404" w:rsidRPr="00002888">
        <w:rPr>
          <w:rFonts w:ascii="Times New Roman" w:hAnsi="Times New Roman" w:cs="Times New Roman"/>
          <w:sz w:val="24"/>
          <w:szCs w:val="24"/>
          <w:shd w:val="clear" w:color="auto" w:fill="FFFFFF"/>
          <w:lang w:val="en-GB"/>
        </w:rPr>
        <w:t>B</w:t>
      </w:r>
      <w:proofErr w:type="spellEnd"/>
      <w:r w:rsidR="007641E6" w:rsidRPr="00002888">
        <w:rPr>
          <w:rFonts w:ascii="Times New Roman" w:hAnsi="Times New Roman" w:cs="Times New Roman"/>
          <w:sz w:val="24"/>
          <w:szCs w:val="24"/>
          <w:lang w:val="en-GB"/>
        </w:rPr>
        <w:t>, BCR and TLR signalling</w:t>
      </w:r>
      <w:r w:rsidR="622D02E1" w:rsidRPr="00002888">
        <w:rPr>
          <w:rFonts w:ascii="Times New Roman" w:hAnsi="Times New Roman" w:cs="Times New Roman"/>
          <w:sz w:val="24"/>
          <w:szCs w:val="24"/>
          <w:lang w:val="en-GB"/>
        </w:rPr>
        <w:t>;</w:t>
      </w:r>
      <w:r w:rsidR="007641E6" w:rsidRPr="00002888">
        <w:rPr>
          <w:rFonts w:ascii="Times New Roman" w:hAnsi="Times New Roman" w:cs="Times New Roman"/>
          <w:sz w:val="24"/>
          <w:szCs w:val="24"/>
          <w:lang w:val="en-GB"/>
        </w:rPr>
        <w:t xml:space="preserve"> 3) </w:t>
      </w:r>
      <w:r w:rsidR="00B86446" w:rsidRPr="00002888">
        <w:rPr>
          <w:rFonts w:ascii="Times New Roman" w:hAnsi="Times New Roman" w:cs="Times New Roman"/>
          <w:sz w:val="24"/>
          <w:szCs w:val="24"/>
          <w:lang w:val="en-GB"/>
        </w:rPr>
        <w:t>a epigenetically-defined disease sub-group with PRC2 activation</w:t>
      </w:r>
      <w:r w:rsidR="007641E6" w:rsidRPr="00002888">
        <w:rPr>
          <w:rFonts w:ascii="Times New Roman" w:hAnsi="Times New Roman" w:cs="Times New Roman"/>
          <w:sz w:val="24"/>
          <w:szCs w:val="24"/>
          <w:lang w:val="en-GB"/>
        </w:rPr>
        <w:t xml:space="preserve">. </w:t>
      </w:r>
    </w:p>
    <w:p w14:paraId="7FE10A3C" w14:textId="77777777" w:rsidR="00002888" w:rsidRPr="00002888" w:rsidRDefault="00002888" w:rsidP="00002888">
      <w:pPr>
        <w:spacing w:before="0" w:after="0" w:line="360" w:lineRule="auto"/>
        <w:jc w:val="left"/>
        <w:rPr>
          <w:rFonts w:ascii="Times New Roman" w:hAnsi="Times New Roman" w:cs="Times New Roman"/>
          <w:sz w:val="24"/>
          <w:szCs w:val="24"/>
          <w:lang w:val="en-GB"/>
        </w:rPr>
      </w:pPr>
    </w:p>
    <w:p w14:paraId="0255E36F" w14:textId="7EA12563" w:rsidR="00B708C4" w:rsidRDefault="0017394D" w:rsidP="00002888">
      <w:pPr>
        <w:spacing w:before="0" w:after="0" w:line="360" w:lineRule="auto"/>
        <w:jc w:val="left"/>
        <w:rPr>
          <w:rFonts w:ascii="Times New Roman" w:hAnsi="Times New Roman" w:cs="Times New Roman"/>
          <w:sz w:val="24"/>
          <w:szCs w:val="24"/>
          <w:lang w:val="en-GB"/>
        </w:rPr>
      </w:pPr>
      <w:r w:rsidRPr="00002888">
        <w:rPr>
          <w:rFonts w:ascii="Times New Roman" w:hAnsi="Times New Roman" w:cs="Times New Roman"/>
          <w:sz w:val="24"/>
          <w:szCs w:val="24"/>
          <w:lang w:val="en-GB"/>
        </w:rPr>
        <w:t>These observations are translationally important with clear clinical utility</w:t>
      </w:r>
      <w:r w:rsidR="00046346" w:rsidRPr="00002888">
        <w:rPr>
          <w:rFonts w:ascii="Times New Roman" w:hAnsi="Times New Roman" w:cs="Times New Roman"/>
          <w:sz w:val="24"/>
          <w:szCs w:val="24"/>
          <w:lang w:val="en-GB"/>
        </w:rPr>
        <w:t xml:space="preserve"> </w:t>
      </w:r>
      <w:r w:rsidRPr="00002888">
        <w:rPr>
          <w:rFonts w:ascii="Times New Roman" w:hAnsi="Times New Roman" w:cs="Times New Roman"/>
          <w:sz w:val="24"/>
          <w:szCs w:val="24"/>
          <w:lang w:val="en-GB"/>
        </w:rPr>
        <w:t>and will help with the di</w:t>
      </w:r>
      <w:r w:rsidR="00625A34" w:rsidRPr="00002888">
        <w:rPr>
          <w:rFonts w:ascii="Times New Roman" w:hAnsi="Times New Roman" w:cs="Times New Roman"/>
          <w:sz w:val="24"/>
          <w:szCs w:val="24"/>
          <w:lang w:val="en-GB"/>
        </w:rPr>
        <w:t xml:space="preserve">agnosis and risk-adapted patient stratification in the coming </w:t>
      </w:r>
      <w:r w:rsidR="00D52404" w:rsidRPr="00002888">
        <w:rPr>
          <w:rFonts w:ascii="Times New Roman" w:hAnsi="Times New Roman" w:cs="Times New Roman"/>
          <w:sz w:val="24"/>
          <w:szCs w:val="24"/>
          <w:lang w:val="en-GB"/>
        </w:rPr>
        <w:t>years if</w:t>
      </w:r>
      <w:r w:rsidR="00625A34" w:rsidRPr="00002888">
        <w:rPr>
          <w:rFonts w:ascii="Times New Roman" w:hAnsi="Times New Roman" w:cs="Times New Roman"/>
          <w:sz w:val="24"/>
          <w:szCs w:val="24"/>
          <w:lang w:val="en-GB"/>
        </w:rPr>
        <w:t xml:space="preserve"> the appropriate testing procedures can be </w:t>
      </w:r>
      <w:r w:rsidR="00234A17" w:rsidRPr="00002888">
        <w:rPr>
          <w:rFonts w:ascii="Times New Roman" w:hAnsi="Times New Roman" w:cs="Times New Roman"/>
          <w:sz w:val="24"/>
          <w:szCs w:val="24"/>
          <w:lang w:val="en-GB"/>
        </w:rPr>
        <w:t>agreed upon</w:t>
      </w:r>
      <w:r w:rsidRPr="00002888">
        <w:rPr>
          <w:rFonts w:ascii="Times New Roman" w:hAnsi="Times New Roman" w:cs="Times New Roman"/>
          <w:sz w:val="24"/>
          <w:szCs w:val="24"/>
          <w:lang w:val="en-GB"/>
        </w:rPr>
        <w:t xml:space="preserve">. </w:t>
      </w:r>
      <w:r w:rsidR="00046346" w:rsidRPr="00002888">
        <w:rPr>
          <w:rFonts w:ascii="Times New Roman" w:hAnsi="Times New Roman" w:cs="Times New Roman"/>
          <w:sz w:val="24"/>
          <w:szCs w:val="24"/>
          <w:lang w:val="en-GB"/>
        </w:rPr>
        <w:t>This is a challenging aim, needing the most appropriate assay</w:t>
      </w:r>
      <w:r w:rsidR="00D52404" w:rsidRPr="00002888">
        <w:rPr>
          <w:rFonts w:ascii="Times New Roman" w:hAnsi="Times New Roman" w:cs="Times New Roman"/>
          <w:sz w:val="24"/>
          <w:szCs w:val="24"/>
          <w:lang w:val="en-GB"/>
        </w:rPr>
        <w:t>s</w:t>
      </w:r>
      <w:r w:rsidR="00046346" w:rsidRPr="00002888">
        <w:rPr>
          <w:rFonts w:ascii="Times New Roman" w:hAnsi="Times New Roman" w:cs="Times New Roman"/>
          <w:sz w:val="24"/>
          <w:szCs w:val="24"/>
          <w:lang w:val="en-GB"/>
        </w:rPr>
        <w:t xml:space="preserve"> that identif</w:t>
      </w:r>
      <w:r w:rsidR="00D52404" w:rsidRPr="00002888">
        <w:rPr>
          <w:rFonts w:ascii="Times New Roman" w:hAnsi="Times New Roman" w:cs="Times New Roman"/>
          <w:sz w:val="24"/>
          <w:szCs w:val="24"/>
          <w:lang w:val="en-GB"/>
        </w:rPr>
        <w:t>y</w:t>
      </w:r>
      <w:r w:rsidR="00046346" w:rsidRPr="00002888">
        <w:rPr>
          <w:rFonts w:ascii="Times New Roman" w:hAnsi="Times New Roman" w:cs="Times New Roman"/>
          <w:sz w:val="24"/>
          <w:szCs w:val="24"/>
          <w:lang w:val="en-GB"/>
        </w:rPr>
        <w:t xml:space="preserve"> the most clinically</w:t>
      </w:r>
      <w:r w:rsidR="00D52404" w:rsidRPr="00002888">
        <w:rPr>
          <w:rFonts w:ascii="Times New Roman" w:hAnsi="Times New Roman" w:cs="Times New Roman"/>
          <w:sz w:val="24"/>
          <w:szCs w:val="24"/>
          <w:lang w:val="en-GB"/>
        </w:rPr>
        <w:t xml:space="preserve"> </w:t>
      </w:r>
      <w:r w:rsidR="00046346" w:rsidRPr="00002888">
        <w:rPr>
          <w:rFonts w:ascii="Times New Roman" w:hAnsi="Times New Roman" w:cs="Times New Roman"/>
          <w:sz w:val="24"/>
          <w:szCs w:val="24"/>
          <w:lang w:val="en-GB"/>
        </w:rPr>
        <w:t xml:space="preserve">informative immunogenetic and (epi)genomic information. In our lab, we employ two resequencing panels, one for </w:t>
      </w:r>
      <w:r w:rsidR="00046346" w:rsidRPr="00002888">
        <w:rPr>
          <w:rFonts w:ascii="Times New Roman" w:hAnsi="Times New Roman" w:cs="Times New Roman"/>
          <w:i/>
          <w:sz w:val="24"/>
          <w:szCs w:val="24"/>
          <w:lang w:val="en-GB"/>
        </w:rPr>
        <w:t>IGHV</w:t>
      </w:r>
      <w:r w:rsidR="00046346" w:rsidRPr="00002888">
        <w:rPr>
          <w:rFonts w:ascii="Times New Roman" w:hAnsi="Times New Roman" w:cs="Times New Roman"/>
          <w:sz w:val="24"/>
          <w:szCs w:val="24"/>
          <w:lang w:val="en-GB"/>
        </w:rPr>
        <w:t xml:space="preserve"> analysis and another to identify gene mutations associated with survival (</w:t>
      </w:r>
      <w:r w:rsidR="00046346" w:rsidRPr="00002888">
        <w:rPr>
          <w:rFonts w:ascii="Times New Roman" w:hAnsi="Times New Roman" w:cs="Times New Roman"/>
          <w:i/>
          <w:sz w:val="24"/>
          <w:szCs w:val="24"/>
          <w:lang w:val="en-GB"/>
        </w:rPr>
        <w:t>KLF2, NOTCH2, TP53, TNFAIP3</w:t>
      </w:r>
      <w:r w:rsidR="00046346" w:rsidRPr="00002888">
        <w:rPr>
          <w:rFonts w:ascii="Times New Roman" w:hAnsi="Times New Roman" w:cs="Times New Roman"/>
          <w:sz w:val="24"/>
          <w:szCs w:val="24"/>
          <w:lang w:val="en-GB"/>
        </w:rPr>
        <w:t>) and those that might provide information on differential diagnosis (WM [</w:t>
      </w:r>
      <w:r w:rsidR="00046346" w:rsidRPr="00002888">
        <w:rPr>
          <w:rFonts w:ascii="Times New Roman" w:hAnsi="Times New Roman" w:cs="Times New Roman"/>
          <w:i/>
          <w:sz w:val="24"/>
          <w:szCs w:val="24"/>
          <w:lang w:val="en-GB"/>
        </w:rPr>
        <w:t>MYD88</w:t>
      </w:r>
      <w:r w:rsidR="00046346" w:rsidRPr="00002888">
        <w:rPr>
          <w:rFonts w:ascii="Times New Roman" w:hAnsi="Times New Roman" w:cs="Times New Roman"/>
          <w:sz w:val="24"/>
          <w:szCs w:val="24"/>
          <w:lang w:val="en-GB"/>
        </w:rPr>
        <w:t>], HCL [</w:t>
      </w:r>
      <w:r w:rsidR="00046346" w:rsidRPr="00002888">
        <w:rPr>
          <w:rFonts w:ascii="Times New Roman" w:hAnsi="Times New Roman" w:cs="Times New Roman"/>
          <w:i/>
          <w:sz w:val="24"/>
          <w:szCs w:val="24"/>
          <w:lang w:val="en-GB"/>
        </w:rPr>
        <w:t>BRAF</w:t>
      </w:r>
      <w:r w:rsidR="00046346" w:rsidRPr="00002888">
        <w:rPr>
          <w:rFonts w:ascii="Times New Roman" w:hAnsi="Times New Roman" w:cs="Times New Roman"/>
          <w:sz w:val="24"/>
          <w:szCs w:val="24"/>
          <w:lang w:val="en-GB"/>
        </w:rPr>
        <w:t>], CLL [</w:t>
      </w:r>
      <w:r w:rsidR="00046346" w:rsidRPr="00002888">
        <w:rPr>
          <w:rFonts w:ascii="Times New Roman" w:hAnsi="Times New Roman" w:cs="Times New Roman"/>
          <w:i/>
          <w:sz w:val="24"/>
          <w:szCs w:val="24"/>
          <w:lang w:val="en-GB"/>
        </w:rPr>
        <w:t>NOTCH1, SF3B1</w:t>
      </w:r>
      <w:r w:rsidR="00046346" w:rsidRPr="00002888">
        <w:rPr>
          <w:rFonts w:ascii="Times New Roman" w:hAnsi="Times New Roman" w:cs="Times New Roman"/>
          <w:sz w:val="24"/>
          <w:szCs w:val="24"/>
          <w:lang w:val="en-GB"/>
        </w:rPr>
        <w:t>], NMZL [</w:t>
      </w:r>
      <w:r w:rsidR="00046346" w:rsidRPr="00245037">
        <w:rPr>
          <w:rFonts w:ascii="Times New Roman" w:hAnsi="Times New Roman" w:cs="Times New Roman"/>
          <w:i/>
          <w:sz w:val="24"/>
          <w:szCs w:val="24"/>
          <w:lang w:val="en-GB"/>
        </w:rPr>
        <w:t>PTPRD</w:t>
      </w:r>
      <w:r w:rsidR="00046346" w:rsidRPr="00245037">
        <w:rPr>
          <w:rFonts w:ascii="Times New Roman" w:hAnsi="Times New Roman" w:cs="Times New Roman"/>
          <w:sz w:val="24"/>
          <w:szCs w:val="24"/>
          <w:lang w:val="en-GB"/>
        </w:rPr>
        <w:t xml:space="preserve">], </w:t>
      </w:r>
      <w:proofErr w:type="spellStart"/>
      <w:r w:rsidR="00046346" w:rsidRPr="00245037">
        <w:rPr>
          <w:rFonts w:ascii="Times New Roman" w:hAnsi="Times New Roman" w:cs="Times New Roman"/>
          <w:sz w:val="24"/>
          <w:szCs w:val="24"/>
          <w:lang w:val="en-GB"/>
        </w:rPr>
        <w:t>HCLv</w:t>
      </w:r>
      <w:proofErr w:type="spellEnd"/>
      <w:r w:rsidR="00046346" w:rsidRPr="00245037">
        <w:rPr>
          <w:rFonts w:ascii="Times New Roman" w:hAnsi="Times New Roman" w:cs="Times New Roman"/>
          <w:sz w:val="24"/>
          <w:szCs w:val="24"/>
          <w:lang w:val="en-GB"/>
        </w:rPr>
        <w:t xml:space="preserve"> [</w:t>
      </w:r>
      <w:r w:rsidR="00046346" w:rsidRPr="00245037">
        <w:rPr>
          <w:rFonts w:ascii="Times New Roman" w:hAnsi="Times New Roman" w:cs="Times New Roman"/>
          <w:i/>
          <w:sz w:val="24"/>
          <w:szCs w:val="24"/>
          <w:lang w:val="en-GB"/>
        </w:rPr>
        <w:t>MAP2K1</w:t>
      </w:r>
      <w:r w:rsidR="00046346" w:rsidRPr="00245037">
        <w:rPr>
          <w:rFonts w:ascii="Times New Roman" w:hAnsi="Times New Roman" w:cs="Times New Roman"/>
          <w:sz w:val="24"/>
          <w:szCs w:val="24"/>
          <w:lang w:val="en-GB"/>
        </w:rPr>
        <w:t>]). We spike our panel design with a backbone of genome-wide probes (200</w:t>
      </w:r>
      <w:r w:rsidR="008722AE" w:rsidRPr="00245037">
        <w:rPr>
          <w:rFonts w:ascii="Times New Roman" w:hAnsi="Times New Roman" w:cs="Times New Roman"/>
          <w:sz w:val="24"/>
          <w:szCs w:val="24"/>
          <w:lang w:val="en-GB"/>
        </w:rPr>
        <w:t xml:space="preserve"> k</w:t>
      </w:r>
      <w:r w:rsidR="00046346" w:rsidRPr="00245037">
        <w:rPr>
          <w:rFonts w:ascii="Times New Roman" w:hAnsi="Times New Roman" w:cs="Times New Roman"/>
          <w:sz w:val="24"/>
          <w:szCs w:val="24"/>
          <w:lang w:val="en-GB"/>
        </w:rPr>
        <w:t>b resolution) for CNA identification. Our view is that this approach is a suitable balance between genome coverage and the sequencing depth to identify sub-clonal mutations, with appropriate reagent and sequencing costs, and the time and computational resources required for analysis. As our understanding</w:t>
      </w:r>
      <w:r w:rsidR="00046346" w:rsidRPr="00002888">
        <w:rPr>
          <w:rFonts w:ascii="Times New Roman" w:hAnsi="Times New Roman" w:cs="Times New Roman"/>
          <w:sz w:val="24"/>
          <w:szCs w:val="24"/>
          <w:lang w:val="en-GB"/>
        </w:rPr>
        <w:t xml:space="preserve"> of the genome increases, these gene panels could be expanded with further prognostically relevant lesions, those that might be therapeutic targets, and those that might help monitor response. </w:t>
      </w:r>
      <w:r w:rsidR="00B708C4" w:rsidRPr="00002888">
        <w:rPr>
          <w:rFonts w:ascii="Times New Roman" w:hAnsi="Times New Roman" w:cs="Times New Roman"/>
          <w:sz w:val="24"/>
          <w:szCs w:val="24"/>
          <w:lang w:val="en-GB"/>
        </w:rPr>
        <w:t xml:space="preserve">Ultimately, it might be that comprehensive multi-omics analysis (including epigenetic profiling) will most accurately identify patients for precision medicine, but it will need to be offset by financial savings through selection of the most appropriate treatment choice. Independent of the technical approach, each molecular marker would need to be validated across multiple discovery and validation cohorts, in retrospective historical studies and in prospective clinical trials, resulting in a robust and reproducible association with a disease outcome. Assays would then need to be analytically and clinically validated, before international harmonization, regulatory approval, and ongoing assessment through accreditation. Guidelines for interpretation and reporting would be required, </w:t>
      </w:r>
      <w:r w:rsidR="00B708C4" w:rsidRPr="00002888">
        <w:rPr>
          <w:rFonts w:ascii="Times New Roman" w:hAnsi="Times New Roman" w:cs="Times New Roman"/>
          <w:sz w:val="24"/>
          <w:szCs w:val="24"/>
          <w:lang w:val="en-GB"/>
        </w:rPr>
        <w:lastRenderedPageBreak/>
        <w:t>and training would be needed to facilitate appropriate clinical referral and accurate communication with patients.</w:t>
      </w:r>
    </w:p>
    <w:p w14:paraId="3476B21E" w14:textId="77777777" w:rsidR="00002888" w:rsidRPr="00002888" w:rsidRDefault="00002888" w:rsidP="00002888">
      <w:pPr>
        <w:spacing w:before="0" w:after="0" w:line="360" w:lineRule="auto"/>
        <w:jc w:val="left"/>
        <w:rPr>
          <w:rFonts w:ascii="Times New Roman" w:hAnsi="Times New Roman" w:cs="Times New Roman"/>
          <w:sz w:val="24"/>
          <w:szCs w:val="24"/>
          <w:lang w:val="en-GB"/>
        </w:rPr>
      </w:pPr>
    </w:p>
    <w:p w14:paraId="6C1F2C35" w14:textId="77777777" w:rsidR="00C06952" w:rsidRPr="00002888" w:rsidRDefault="00C06952" w:rsidP="00002888">
      <w:pPr>
        <w:pStyle w:val="Heading1"/>
        <w:spacing w:before="0" w:line="360" w:lineRule="auto"/>
        <w:jc w:val="left"/>
        <w:rPr>
          <w:rFonts w:ascii="Times New Roman" w:eastAsia="SimSun" w:hAnsi="Times New Roman" w:cs="Times New Roman"/>
          <w:b/>
          <w:bCs/>
          <w:sz w:val="24"/>
          <w:szCs w:val="24"/>
          <w:lang w:val="en-GB"/>
        </w:rPr>
      </w:pPr>
      <w:r w:rsidRPr="00002888">
        <w:rPr>
          <w:rFonts w:ascii="Times New Roman" w:eastAsia="SimSun" w:hAnsi="Times New Roman" w:cs="Times New Roman"/>
          <w:b/>
          <w:bCs/>
          <w:sz w:val="24"/>
          <w:szCs w:val="24"/>
          <w:lang w:val="en-GB"/>
        </w:rPr>
        <w:t>Authors’ contributions</w:t>
      </w:r>
    </w:p>
    <w:p w14:paraId="603E4A10" w14:textId="620F38B1" w:rsidR="00C06952" w:rsidRDefault="00480DD9" w:rsidP="00002888">
      <w:pPr>
        <w:spacing w:before="0" w:after="0" w:line="360" w:lineRule="auto"/>
        <w:jc w:val="left"/>
        <w:rPr>
          <w:rFonts w:ascii="Times New Roman" w:hAnsi="Times New Roman" w:cs="Times New Roman"/>
          <w:sz w:val="24"/>
          <w:szCs w:val="24"/>
          <w:lang w:val="en-GB"/>
        </w:rPr>
      </w:pPr>
      <w:r w:rsidRPr="00002888">
        <w:rPr>
          <w:rFonts w:ascii="Times New Roman" w:hAnsi="Times New Roman" w:cs="Times New Roman"/>
          <w:sz w:val="24"/>
          <w:szCs w:val="24"/>
          <w:lang w:val="en-GB"/>
        </w:rPr>
        <w:t>C.J.O. and JCS prepared the first draft of the manuscript</w:t>
      </w:r>
      <w:r w:rsidR="004A46F0" w:rsidRPr="00002888">
        <w:rPr>
          <w:rFonts w:ascii="Times New Roman" w:hAnsi="Times New Roman" w:cs="Times New Roman"/>
          <w:sz w:val="24"/>
          <w:szCs w:val="24"/>
          <w:lang w:val="en-GB"/>
        </w:rPr>
        <w:t>, with the assistance of D.O</w:t>
      </w:r>
      <w:r w:rsidRPr="00002888">
        <w:rPr>
          <w:rFonts w:ascii="Times New Roman" w:hAnsi="Times New Roman" w:cs="Times New Roman"/>
          <w:sz w:val="24"/>
          <w:szCs w:val="24"/>
          <w:lang w:val="en-GB"/>
        </w:rPr>
        <w:t>. All authors critically appraised the manuscript and contributed to the</w:t>
      </w:r>
      <w:r w:rsidR="00814224" w:rsidRPr="00002888">
        <w:rPr>
          <w:rFonts w:ascii="Times New Roman" w:hAnsi="Times New Roman" w:cs="Times New Roman"/>
          <w:sz w:val="24"/>
          <w:szCs w:val="24"/>
          <w:lang w:val="en-GB"/>
        </w:rPr>
        <w:t xml:space="preserve"> </w:t>
      </w:r>
      <w:r w:rsidRPr="00002888">
        <w:rPr>
          <w:rFonts w:ascii="Times New Roman" w:hAnsi="Times New Roman" w:cs="Times New Roman"/>
          <w:sz w:val="24"/>
          <w:szCs w:val="24"/>
          <w:lang w:val="en-GB"/>
        </w:rPr>
        <w:t>final draft.</w:t>
      </w:r>
      <w:r w:rsidR="00814224" w:rsidRPr="00002888">
        <w:rPr>
          <w:rFonts w:ascii="Times New Roman" w:hAnsi="Times New Roman" w:cs="Times New Roman"/>
          <w:sz w:val="24"/>
          <w:szCs w:val="24"/>
          <w:lang w:val="en-GB"/>
        </w:rPr>
        <w:t xml:space="preserve"> </w:t>
      </w:r>
    </w:p>
    <w:p w14:paraId="7CFECB8B" w14:textId="77777777" w:rsidR="00002888" w:rsidRPr="00002888" w:rsidRDefault="00002888" w:rsidP="00002888">
      <w:pPr>
        <w:spacing w:before="0" w:after="0" w:line="360" w:lineRule="auto"/>
        <w:jc w:val="left"/>
        <w:rPr>
          <w:rFonts w:ascii="Times New Roman" w:hAnsi="Times New Roman" w:cs="Times New Roman"/>
          <w:sz w:val="24"/>
          <w:szCs w:val="24"/>
          <w:lang w:val="en-GB"/>
        </w:rPr>
      </w:pPr>
    </w:p>
    <w:p w14:paraId="50AC3D39" w14:textId="77777777" w:rsidR="00C06952" w:rsidRPr="00002888" w:rsidRDefault="00C06952" w:rsidP="00002888">
      <w:pPr>
        <w:pStyle w:val="Heading1"/>
        <w:spacing w:before="0" w:line="360" w:lineRule="auto"/>
        <w:jc w:val="left"/>
        <w:rPr>
          <w:rFonts w:ascii="Times New Roman" w:eastAsia="SimSun" w:hAnsi="Times New Roman" w:cs="Times New Roman"/>
          <w:b/>
          <w:bCs/>
          <w:sz w:val="24"/>
          <w:szCs w:val="24"/>
          <w:lang w:val="en-GB"/>
        </w:rPr>
      </w:pPr>
      <w:r w:rsidRPr="00002888">
        <w:rPr>
          <w:rFonts w:ascii="Times New Roman" w:eastAsia="SimSun" w:hAnsi="Times New Roman" w:cs="Times New Roman"/>
          <w:b/>
          <w:bCs/>
          <w:sz w:val="24"/>
          <w:szCs w:val="24"/>
          <w:lang w:val="en-GB"/>
        </w:rPr>
        <w:t xml:space="preserve">Availability of data and materials </w:t>
      </w:r>
    </w:p>
    <w:p w14:paraId="7AB5A5BF" w14:textId="2E58695C" w:rsidR="00C06952" w:rsidRDefault="00C06952" w:rsidP="00002888">
      <w:pPr>
        <w:spacing w:before="0" w:after="0" w:line="360" w:lineRule="auto"/>
        <w:jc w:val="left"/>
        <w:rPr>
          <w:rFonts w:ascii="Times New Roman" w:hAnsi="Times New Roman" w:cs="Times New Roman"/>
          <w:sz w:val="24"/>
          <w:szCs w:val="24"/>
          <w:lang w:val="en-GB"/>
        </w:rPr>
      </w:pPr>
      <w:r w:rsidRPr="00002888">
        <w:rPr>
          <w:rFonts w:ascii="Times New Roman" w:hAnsi="Times New Roman" w:cs="Times New Roman"/>
          <w:sz w:val="24"/>
          <w:szCs w:val="24"/>
          <w:lang w:val="en-GB"/>
        </w:rPr>
        <w:t>Not applicable.</w:t>
      </w:r>
    </w:p>
    <w:p w14:paraId="10CEB2C3" w14:textId="77777777" w:rsidR="00002888" w:rsidRPr="00002888" w:rsidRDefault="00002888" w:rsidP="00002888">
      <w:pPr>
        <w:spacing w:before="0" w:after="0" w:line="360" w:lineRule="auto"/>
        <w:jc w:val="left"/>
        <w:rPr>
          <w:rFonts w:ascii="Times New Roman" w:hAnsi="Times New Roman" w:cs="Times New Roman"/>
          <w:sz w:val="24"/>
          <w:szCs w:val="24"/>
          <w:lang w:val="en-GB"/>
        </w:rPr>
      </w:pPr>
    </w:p>
    <w:p w14:paraId="25A47BC3" w14:textId="77777777" w:rsidR="00C06952" w:rsidRPr="00002888" w:rsidRDefault="00C06952" w:rsidP="00002888">
      <w:pPr>
        <w:pStyle w:val="Heading1"/>
        <w:spacing w:before="0" w:line="360" w:lineRule="auto"/>
        <w:jc w:val="left"/>
        <w:rPr>
          <w:rFonts w:ascii="Times New Roman" w:eastAsia="SimSun" w:hAnsi="Times New Roman" w:cs="Times New Roman"/>
          <w:b/>
          <w:bCs/>
          <w:sz w:val="24"/>
          <w:szCs w:val="24"/>
          <w:lang w:val="en-GB"/>
        </w:rPr>
      </w:pPr>
      <w:r w:rsidRPr="00002888">
        <w:rPr>
          <w:rFonts w:ascii="Times New Roman" w:eastAsia="SimSun" w:hAnsi="Times New Roman" w:cs="Times New Roman"/>
          <w:b/>
          <w:bCs/>
          <w:sz w:val="24"/>
          <w:szCs w:val="24"/>
          <w:lang w:val="en-GB"/>
        </w:rPr>
        <w:t>Financial support and sponsorship</w:t>
      </w:r>
    </w:p>
    <w:p w14:paraId="128898F0" w14:textId="3F992521" w:rsidR="00480DD9" w:rsidRDefault="00480DD9" w:rsidP="00002888">
      <w:pPr>
        <w:spacing w:before="0" w:after="0" w:line="360" w:lineRule="auto"/>
        <w:jc w:val="left"/>
        <w:rPr>
          <w:rFonts w:ascii="Times New Roman" w:hAnsi="Times New Roman" w:cs="Times New Roman"/>
          <w:sz w:val="24"/>
          <w:szCs w:val="24"/>
          <w:lang w:val="en-GB"/>
        </w:rPr>
      </w:pPr>
      <w:r w:rsidRPr="00002888">
        <w:rPr>
          <w:rFonts w:ascii="Times New Roman" w:hAnsi="Times New Roman" w:cs="Times New Roman"/>
          <w:sz w:val="24"/>
          <w:szCs w:val="24"/>
          <w:lang w:val="en-GB"/>
        </w:rPr>
        <w:t>C.J.O. funded by COLCIENCAS. H.P. is funded by the Kay Kendall Leukaemia Fund (873). J.C.S. received</w:t>
      </w:r>
      <w:r w:rsidR="00814224" w:rsidRPr="00002888">
        <w:rPr>
          <w:rFonts w:ascii="Times New Roman" w:hAnsi="Times New Roman" w:cs="Times New Roman"/>
          <w:sz w:val="24"/>
          <w:szCs w:val="24"/>
          <w:lang w:val="en-GB"/>
        </w:rPr>
        <w:t xml:space="preserve"> </w:t>
      </w:r>
      <w:r w:rsidRPr="00002888">
        <w:rPr>
          <w:rFonts w:ascii="Times New Roman" w:hAnsi="Times New Roman" w:cs="Times New Roman"/>
          <w:sz w:val="24"/>
          <w:szCs w:val="24"/>
          <w:lang w:val="en-GB"/>
        </w:rPr>
        <w:t>funding from Cancer Research UK.</w:t>
      </w:r>
    </w:p>
    <w:p w14:paraId="71323ABA" w14:textId="77777777" w:rsidR="00002888" w:rsidRPr="00002888" w:rsidRDefault="00002888" w:rsidP="00002888">
      <w:pPr>
        <w:spacing w:before="0" w:after="0" w:line="360" w:lineRule="auto"/>
        <w:jc w:val="left"/>
        <w:rPr>
          <w:rFonts w:ascii="Times New Roman" w:hAnsi="Times New Roman" w:cs="Times New Roman"/>
          <w:sz w:val="24"/>
          <w:szCs w:val="24"/>
          <w:lang w:val="en-GB"/>
        </w:rPr>
      </w:pPr>
    </w:p>
    <w:p w14:paraId="161DC40D" w14:textId="77777777" w:rsidR="00C06952" w:rsidRPr="00002888" w:rsidRDefault="00C06952" w:rsidP="00002888">
      <w:pPr>
        <w:pStyle w:val="Heading1"/>
        <w:spacing w:before="0" w:line="360" w:lineRule="auto"/>
        <w:jc w:val="left"/>
        <w:rPr>
          <w:rFonts w:ascii="Times New Roman" w:eastAsia="SimSun" w:hAnsi="Times New Roman" w:cs="Times New Roman"/>
          <w:b/>
          <w:bCs/>
          <w:sz w:val="24"/>
          <w:szCs w:val="24"/>
          <w:lang w:val="en-GB"/>
        </w:rPr>
      </w:pPr>
      <w:r w:rsidRPr="00002888">
        <w:rPr>
          <w:rFonts w:ascii="Times New Roman" w:eastAsia="SimSun" w:hAnsi="Times New Roman" w:cs="Times New Roman"/>
          <w:b/>
          <w:bCs/>
          <w:sz w:val="24"/>
          <w:szCs w:val="24"/>
          <w:lang w:val="en-GB"/>
        </w:rPr>
        <w:t>Conflicts of interest</w:t>
      </w:r>
    </w:p>
    <w:p w14:paraId="2EE9EA87" w14:textId="224F5253" w:rsidR="00C06952" w:rsidRDefault="00C06952" w:rsidP="00002888">
      <w:pPr>
        <w:spacing w:before="0" w:after="0" w:line="360" w:lineRule="auto"/>
        <w:jc w:val="left"/>
        <w:rPr>
          <w:rFonts w:ascii="Times New Roman" w:hAnsi="Times New Roman" w:cs="Times New Roman"/>
          <w:sz w:val="24"/>
          <w:szCs w:val="24"/>
          <w:lang w:val="en-GB"/>
        </w:rPr>
      </w:pPr>
      <w:r w:rsidRPr="00002888">
        <w:rPr>
          <w:rFonts w:ascii="Times New Roman" w:hAnsi="Times New Roman" w:cs="Times New Roman"/>
          <w:sz w:val="24"/>
          <w:szCs w:val="24"/>
          <w:lang w:val="en-GB"/>
        </w:rPr>
        <w:t>All authors declared that there are no conflicts of interest.</w:t>
      </w:r>
    </w:p>
    <w:p w14:paraId="5815FC8A" w14:textId="77777777" w:rsidR="00002888" w:rsidRPr="00002888" w:rsidRDefault="00002888" w:rsidP="00002888">
      <w:pPr>
        <w:spacing w:before="0" w:after="0" w:line="360" w:lineRule="auto"/>
        <w:jc w:val="left"/>
        <w:rPr>
          <w:rFonts w:ascii="Times New Roman" w:hAnsi="Times New Roman" w:cs="Times New Roman"/>
          <w:sz w:val="24"/>
          <w:szCs w:val="24"/>
          <w:lang w:val="en-GB"/>
        </w:rPr>
      </w:pPr>
    </w:p>
    <w:p w14:paraId="5A37D2B1" w14:textId="77777777" w:rsidR="00C06952" w:rsidRPr="00002888" w:rsidRDefault="00C06952" w:rsidP="00002888">
      <w:pPr>
        <w:pStyle w:val="Heading1"/>
        <w:spacing w:before="0" w:line="360" w:lineRule="auto"/>
        <w:jc w:val="left"/>
        <w:rPr>
          <w:rFonts w:ascii="Times New Roman" w:eastAsia="SimSun" w:hAnsi="Times New Roman" w:cs="Times New Roman"/>
          <w:b/>
          <w:bCs/>
          <w:sz w:val="24"/>
          <w:szCs w:val="24"/>
          <w:lang w:val="en-GB"/>
        </w:rPr>
      </w:pPr>
      <w:r w:rsidRPr="00002888">
        <w:rPr>
          <w:rFonts w:ascii="Times New Roman" w:eastAsia="SimSun" w:hAnsi="Times New Roman" w:cs="Times New Roman"/>
          <w:b/>
          <w:bCs/>
          <w:sz w:val="24"/>
          <w:szCs w:val="24"/>
          <w:lang w:val="en-GB"/>
        </w:rPr>
        <w:t>Ethical approval and consent to participate</w:t>
      </w:r>
    </w:p>
    <w:p w14:paraId="2A9AB5FB" w14:textId="078B738C" w:rsidR="00C06952" w:rsidRDefault="00C06952" w:rsidP="00002888">
      <w:pPr>
        <w:spacing w:before="0" w:after="0" w:line="360" w:lineRule="auto"/>
        <w:jc w:val="left"/>
        <w:rPr>
          <w:rFonts w:ascii="Times New Roman" w:hAnsi="Times New Roman" w:cs="Times New Roman"/>
          <w:sz w:val="24"/>
          <w:szCs w:val="24"/>
          <w:lang w:val="en-GB"/>
        </w:rPr>
      </w:pPr>
      <w:r w:rsidRPr="00002888">
        <w:rPr>
          <w:rFonts w:ascii="Times New Roman" w:hAnsi="Times New Roman" w:cs="Times New Roman"/>
          <w:sz w:val="24"/>
          <w:szCs w:val="24"/>
          <w:lang w:val="en-GB"/>
        </w:rPr>
        <w:t>Not applicable.</w:t>
      </w:r>
    </w:p>
    <w:p w14:paraId="0BDC744A" w14:textId="77777777" w:rsidR="00002888" w:rsidRPr="00002888" w:rsidRDefault="00002888" w:rsidP="00002888">
      <w:pPr>
        <w:spacing w:before="0" w:after="0" w:line="360" w:lineRule="auto"/>
        <w:jc w:val="left"/>
        <w:rPr>
          <w:rFonts w:ascii="Times New Roman" w:hAnsi="Times New Roman" w:cs="Times New Roman"/>
          <w:sz w:val="24"/>
          <w:szCs w:val="24"/>
          <w:lang w:val="en-GB"/>
        </w:rPr>
      </w:pPr>
    </w:p>
    <w:p w14:paraId="0C442452" w14:textId="77777777" w:rsidR="00C06952" w:rsidRPr="00002888" w:rsidRDefault="00C06952" w:rsidP="00002888">
      <w:pPr>
        <w:pStyle w:val="Heading1"/>
        <w:spacing w:before="0" w:line="360" w:lineRule="auto"/>
        <w:jc w:val="left"/>
        <w:rPr>
          <w:rFonts w:ascii="Times New Roman" w:eastAsia="SimSun" w:hAnsi="Times New Roman" w:cs="Times New Roman"/>
          <w:b/>
          <w:bCs/>
          <w:sz w:val="24"/>
          <w:szCs w:val="24"/>
          <w:lang w:val="en-GB"/>
        </w:rPr>
      </w:pPr>
      <w:r w:rsidRPr="00002888">
        <w:rPr>
          <w:rFonts w:ascii="Times New Roman" w:eastAsia="SimSun" w:hAnsi="Times New Roman" w:cs="Times New Roman"/>
          <w:b/>
          <w:bCs/>
          <w:sz w:val="24"/>
          <w:szCs w:val="24"/>
          <w:lang w:val="en-GB"/>
        </w:rPr>
        <w:t>Consent for publication</w:t>
      </w:r>
    </w:p>
    <w:p w14:paraId="2D3211DE" w14:textId="550A2E4B" w:rsidR="00C06952" w:rsidRDefault="00C06952" w:rsidP="00002888">
      <w:pPr>
        <w:spacing w:before="0" w:after="0" w:line="360" w:lineRule="auto"/>
        <w:jc w:val="left"/>
        <w:rPr>
          <w:rFonts w:ascii="Times New Roman" w:hAnsi="Times New Roman" w:cs="Times New Roman"/>
          <w:sz w:val="24"/>
          <w:szCs w:val="24"/>
          <w:lang w:val="en-GB"/>
        </w:rPr>
      </w:pPr>
      <w:r w:rsidRPr="00002888">
        <w:rPr>
          <w:rFonts w:ascii="Times New Roman" w:hAnsi="Times New Roman" w:cs="Times New Roman"/>
          <w:sz w:val="24"/>
          <w:szCs w:val="24"/>
          <w:lang w:val="en-GB"/>
        </w:rPr>
        <w:t>Not applicable.</w:t>
      </w:r>
    </w:p>
    <w:p w14:paraId="029EE750" w14:textId="77777777" w:rsidR="00002888" w:rsidRPr="00002888" w:rsidRDefault="00002888" w:rsidP="00002888">
      <w:pPr>
        <w:spacing w:before="0" w:after="0" w:line="360" w:lineRule="auto"/>
        <w:jc w:val="left"/>
        <w:rPr>
          <w:rFonts w:ascii="Times New Roman" w:hAnsi="Times New Roman" w:cs="Times New Roman"/>
          <w:sz w:val="24"/>
          <w:szCs w:val="24"/>
          <w:lang w:val="en-GB"/>
        </w:rPr>
      </w:pPr>
    </w:p>
    <w:p w14:paraId="74E42E56" w14:textId="77777777" w:rsidR="00C06952" w:rsidRPr="00002888" w:rsidRDefault="00C06952" w:rsidP="00002888">
      <w:pPr>
        <w:pStyle w:val="Heading1"/>
        <w:spacing w:before="0" w:line="360" w:lineRule="auto"/>
        <w:jc w:val="left"/>
        <w:rPr>
          <w:rFonts w:ascii="Times New Roman" w:eastAsia="SimSun" w:hAnsi="Times New Roman" w:cs="Times New Roman"/>
          <w:b/>
          <w:bCs/>
          <w:sz w:val="24"/>
          <w:szCs w:val="24"/>
          <w:lang w:val="en-GB"/>
        </w:rPr>
      </w:pPr>
      <w:r w:rsidRPr="00002888">
        <w:rPr>
          <w:rFonts w:ascii="Times New Roman" w:eastAsia="SimSun" w:hAnsi="Times New Roman" w:cs="Times New Roman"/>
          <w:b/>
          <w:bCs/>
          <w:sz w:val="24"/>
          <w:szCs w:val="24"/>
          <w:lang w:val="en-GB"/>
        </w:rPr>
        <w:t>Copyright</w:t>
      </w:r>
    </w:p>
    <w:p w14:paraId="2D7AFE36" w14:textId="654F6A79" w:rsidR="00480DD9" w:rsidRDefault="00C06952" w:rsidP="00002888">
      <w:pPr>
        <w:spacing w:before="0" w:after="0" w:line="360" w:lineRule="auto"/>
        <w:jc w:val="left"/>
        <w:rPr>
          <w:rFonts w:ascii="Times New Roman" w:hAnsi="Times New Roman" w:cs="Times New Roman"/>
          <w:color w:val="000000"/>
          <w:sz w:val="24"/>
          <w:szCs w:val="24"/>
          <w:lang w:val="en-GB"/>
        </w:rPr>
      </w:pPr>
      <w:r w:rsidRPr="00002888">
        <w:rPr>
          <w:rFonts w:ascii="Times New Roman" w:hAnsi="Times New Roman" w:cs="Times New Roman"/>
          <w:color w:val="000000"/>
          <w:sz w:val="24"/>
          <w:szCs w:val="24"/>
          <w:lang w:val="en-GB"/>
        </w:rPr>
        <w:t>© The Author(s) 20</w:t>
      </w:r>
      <w:r w:rsidR="00EA4BA3" w:rsidRPr="00002888">
        <w:rPr>
          <w:rFonts w:ascii="Times New Roman" w:hAnsi="Times New Roman" w:cs="Times New Roman"/>
          <w:color w:val="000000"/>
          <w:sz w:val="24"/>
          <w:szCs w:val="24"/>
          <w:lang w:val="en-GB"/>
        </w:rPr>
        <w:t>21</w:t>
      </w:r>
    </w:p>
    <w:p w14:paraId="32B48930" w14:textId="04E58C7F" w:rsidR="00002888" w:rsidRDefault="00002888" w:rsidP="00002888">
      <w:pPr>
        <w:spacing w:before="0" w:after="0" w:line="360" w:lineRule="auto"/>
        <w:jc w:val="left"/>
        <w:rPr>
          <w:rFonts w:ascii="Times New Roman" w:hAnsi="Times New Roman" w:cs="Times New Roman"/>
          <w:color w:val="000000"/>
          <w:sz w:val="24"/>
          <w:szCs w:val="24"/>
          <w:lang w:val="en-GB"/>
        </w:rPr>
      </w:pPr>
    </w:p>
    <w:p w14:paraId="7E6EE5BB" w14:textId="7CE844C3"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color w:val="000000"/>
          <w:sz w:val="20"/>
          <w:szCs w:val="20"/>
          <w:lang w:val="en-GB"/>
        </w:rPr>
        <w:fldChar w:fldCharType="begin" w:fldLock="1"/>
      </w:r>
      <w:r w:rsidRPr="000359B3">
        <w:rPr>
          <w:rFonts w:ascii="Times New Roman" w:hAnsi="Times New Roman" w:cs="Times New Roman"/>
          <w:color w:val="000000"/>
          <w:sz w:val="20"/>
          <w:szCs w:val="20"/>
          <w:lang w:val="en-GB"/>
        </w:rPr>
        <w:instrText xml:space="preserve">ADDIN Mendeley Bibliography CSL_BIBLIOGRAPHY </w:instrText>
      </w:r>
      <w:r w:rsidRPr="000359B3">
        <w:rPr>
          <w:rFonts w:ascii="Times New Roman" w:hAnsi="Times New Roman" w:cs="Times New Roman"/>
          <w:color w:val="000000"/>
          <w:sz w:val="20"/>
          <w:szCs w:val="20"/>
          <w:lang w:val="en-GB"/>
        </w:rPr>
        <w:fldChar w:fldCharType="separate"/>
      </w:r>
      <w:r w:rsidRPr="000359B3">
        <w:rPr>
          <w:rFonts w:ascii="Times New Roman" w:hAnsi="Times New Roman" w:cs="Times New Roman"/>
          <w:noProof/>
          <w:sz w:val="20"/>
          <w:szCs w:val="20"/>
        </w:rPr>
        <w:t>Akasaka, T., Tsuji, K.I., Kawahira, H., Kanno, M., Harigaya, K.I., Hu, L., Ebihara, Y., Nakahata, T., Tetsu, O., Taniguchi, M., Koseki, H., 1997. The role of mel-18, a mammalian polycomb group gene, during IL-7- dependent proliferation of lymphocyte precursors. Immunity 7, 135–146. https://doi.org/10.1016/S1074-7613(00)80516-6</w:t>
      </w:r>
    </w:p>
    <w:p w14:paraId="7F703569"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Algara, P., Mateo, M.S., Sanchez-Beato, M., Mollejo, M., Navas, I.C., Romero, L., Solé, F., Salido, M., Florensa, L., Martı́nez, P., Campo, E., Piris, M.A., 2002. Analysis of the IgVH somatic mutations in splenic marginal zone lymphoma defines a group of unmutated cases with frequent 7q deletion and adverse clinical course. Blood 99, 1299–1304. https://doi.org/10.1182/blood.V99.4.1299</w:t>
      </w:r>
    </w:p>
    <w:p w14:paraId="0EBDEE5D"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 xml:space="preserve">Anderson, M.A., Tam, C., Lew, T.E., Juneja, S., Juneja, M., Westerman, D., Wall, M., Lade, S., Gorelik, A., Huang, </w:t>
      </w:r>
      <w:r w:rsidRPr="000359B3">
        <w:rPr>
          <w:rFonts w:ascii="Times New Roman" w:hAnsi="Times New Roman" w:cs="Times New Roman"/>
          <w:noProof/>
          <w:sz w:val="20"/>
          <w:szCs w:val="20"/>
        </w:rPr>
        <w:lastRenderedPageBreak/>
        <w:t>D.C.S., Seymour, J.F., Roberts, A.W., 2017. Clinicopathological features and outcomes of progression of CLL on the BCL2 inhibitor venetoclax. Blood 129, 3362–3370. https://doi.org/10.1182/blood-2017-01-763003</w:t>
      </w:r>
    </w:p>
    <w:p w14:paraId="276E2AF2"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Andrade-Campos, M.M., Salar, A., Sanchez-Gonzalez, B., Fernández-Rodríguez, C., Gimeno, E., Ruiz, L., Piquer, G., Garcia-Pallarols, F., Papaleo, N., Vazquez, I., Colomo, L., Bellosillo, B., 2019. Assessment of Cell-Free DNA (cfDNA) in 221 Patients with Lymphoproliferative Malignancies at Diagnosis and during Follow-up. Blood 134, 492–492. https://doi.org/10.1182/blood-2019-131081</w:t>
      </w:r>
    </w:p>
    <w:p w14:paraId="4872527E"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Arcaini, L., Zibellini, S., Passamonti, F., Rattotti, S., Lucioni, M., Invernizzi, R., Merli, M., Rizzi, S., Boveri, E., Rumi, E., Astori, C., Picone, C., Varettoni, M., Pascutto, C., Paulli, M., Lazzarino, M., 2009. Splenic marginal zone lymphoma: Clinical clustering of immunoglobulin heavy chain repertoires. Blood Cells, Mol. Dis. 42, 286–291. https://doi.org/10.1016/j.bcmd.2009.01.004</w:t>
      </w:r>
    </w:p>
    <w:p w14:paraId="64D377AD"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Arribas, A.J., Bertoni, F., 2017. Methylation patterns in marginal zone lymphoma. Best Pract. Res. Clin. Haematol. 30, 24–31. https://doi.org/10.1016/j.beha.2016.09.003</w:t>
      </w:r>
    </w:p>
    <w:p w14:paraId="1FA301C4"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Arribas, A.J., Napoli, S., Cascione, L., Gaudio, E., Bordone-Pittau, R., Barreca, M., Sartori, G., Tarantelli, C., Spriano, F., Rinaldi, A., Stathis, A., Stussi, G., Rossi, D., Zucca, E., Bertoni, F., 2020. Abstract PO-46: Mechanisms of resistance to the PI3K inhibitor copanlisib in marginal zone lymphoma, in: Blood Cancer Discovery. American Association for Cancer Research (AACR), p. PO-46-PO-46. https://doi.org/10.1158/2643-3249.lymphoma20-po-46</w:t>
      </w:r>
    </w:p>
    <w:p w14:paraId="4B876E7B"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Arribas, A.J., Rinaldi, A., Mensah, A.A., Kwee, I., Cascione, L., Robles, E.F., Martinez-Climent, J.A., Oscier, D., Arcaini, L., Baldini, L., Marasca, R., Thieblemont, C., Briere, J., Forconi, F., Zamò, A., Bonifacio, M., Mollejo, M., Facchetti, F., Dirnhofer, S., Ponzoni, M., Bhagat, G., Piris, M.A., Gaidano, G., Zucca, E., Rossi, D., Bertoni, F., 2015. DNA methylation profiling identifies two splenic marginal zone lymphoma subgroups with different clinical and genetic features. Blood 125, 1922–1931. https://doi.org/10.1182/blood-2014-08-596247</w:t>
      </w:r>
    </w:p>
    <w:p w14:paraId="25A639F4"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Arruga, F., Vaisitti, T., Deaglio, S., 2018. The NOTCH Pathway and Its Mutations in Mature B Cell Malignancies. Front. Oncol. 8, 1–18. https://doi.org/10.3389/fonc.2018.00550</w:t>
      </w:r>
    </w:p>
    <w:p w14:paraId="750A143D"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Arthur, S.E., Jiang, A., Grande, B.M., Alcaide, M., Cojocaru, R., Rushton, C.K., Mottok, A., Hilton, L.K., Lat, P.K., Zhao, E.Y., Culibrk, L., Ennishi, D., Jessa, S., Chong, L., Thomas, N., Pararajalingam, P., Meissner, B., Boyle, M., Davidson, J., Bushell, K.R., Lai, D., Farinha, P., Slack, G.W., Morin, G.B., Shah, S., Sen, D., Jones, S.J.M., Mungall, A.J., Gascoyne, R.D., Audas, T.E., Unrau, P., Marra, M.A., Connors, J.M., Steidl, C., Scott, D.W., Morin, R.D., 2018. Genome-wide discovery of somatic regulatory variants in diffuse large B-cell lymphoma. Nat. Commun. 9, 1–14. https://doi.org/10.1038/s41467-018-06354-3</w:t>
      </w:r>
    </w:p>
    <w:p w14:paraId="1EB756C2"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Baird, D.M., Rowson, J., Wynford-Thomas, D., Kipling, D., 2003. Extensive allelic variation and ultrashort telomeres in senescent human cells. Nat. Genet. 33, 203–207. https://doi.org/10.1038/ng1084</w:t>
      </w:r>
    </w:p>
    <w:p w14:paraId="7A8807D8"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Baldini, L., Fracchiolla, N.S., Cro, L.M., Trecca, D., Romitti, L., Polli, E., Maiolo, A.T., Neri, A., 1994. Frequent p53 gene involvement in splenic B-cell leukemia/lymphomas of possible marginal zone origin. Blood 84, 270–278. https://doi.org/10.1182/blood.v84.1.270.270</w:t>
      </w:r>
    </w:p>
    <w:p w14:paraId="4FA1F296"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Barthel, F.P., Wei, W., Tang, M., Martinez-Ledesma, E., Hu, X., Amin, S.B., Akdemir, K.C., Seth, S., Song, X., Wang, Q., Lichtenberg, T., Hu, J., Zhang, J., Zheng, S., Verhaak, R.G.W., 2017. Systematic analysis of telomere length and somatic alterations in 31 cancer types. Nat. Genet. 49, 349–357. https://doi.org/10.1038/ng.3781</w:t>
      </w:r>
    </w:p>
    <w:p w14:paraId="12E44DEB"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Bikos, V., Darzentas, N., Hadzidimitriou, A., Davis, Z., Hockley, S., Traverse-Glehen, A., Algara, P., Santoro, A., Gonzalez, D., Mollejo, M., Dagklis, A., Gangemi, F., Bosler, D.S., Bourikas, G., Anagnostopoulos, A., Tsaftaris, A., Iannitto, E., Ponzoni, M., Felman, P., Berger, F., Belessi, C., Ghia, P., Papadaki, T., Dogan, A., Degano, M., Matutes, E., Piris, M.A., Oscier, D., Stamatopoulos, K., 2012. Over 30% of patients with splenic marginal zone lymphoma express the same immunoglobulin heavy variable gene: ontogenetic implications. Leukemia 26, 1638–46. https://doi.org/10.1038/leu.2012.3</w:t>
      </w:r>
    </w:p>
    <w:p w14:paraId="5B8DF9A6"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Bikos, V., Karypidou, M., Stalika, E., Baliakas, P., Xochelli, A., Sutton, L.-A., Papadopoulos, G., Agathangelidis, A., Papadopoulou, E., Davis, Z., Algara, P., Kanellis, G., Traverse-Glehen, A., Mollejo, M., Anagnostopoulos, A., Ponzoni, M., Gonzalez, D., Pospisilova, S., Matutes, E., Piris, M.A., Papadaki, T., Ghia, P., Rosenquist, R., Oscier, D., Darzentas, N., Tzovaras, D., Belessi, C., Hadzidimitriou, A., Stamatopoulos, K., 2016. An Immunogenetic Signature of Ongoing Antigen Interactions in Splenic Marginal Zone Lymphoma Expressing IGHV1-2*04 Receptors. Clin. Cancer Res. 22, 2032–2040. https://doi.org/10.1158/1078-0432.CCR-15-1170</w:t>
      </w:r>
    </w:p>
    <w:p w14:paraId="70AF47DE"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Bouteloup, M., Verney, A., Rachinel, N., Callet-Bauchu, E., Ffrench, M., Coiffier, B., Magaud, J.-P., Berger, F., Salles, G.A., Traverse-Glehen, A., 2012. MicroRNA expression profile in splenic marginal zone lymphoma. Br. J. Haematol. 156, 279–281. https://doi.org/10.1111/j.1365-2141.2011.08848.x</w:t>
      </w:r>
    </w:p>
    <w:p w14:paraId="0F650570"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 xml:space="preserve">Brown, J.R., Hillmen, P., O’Brien, S., Barrientos, J.C., Reddy, N.M., Coutre, S.E., Tam, C.S., Mulligan, S.P., Jaeger, U., Barr, P.M., Furman, R.R., Kipps, T.J., Cymbalista, F., Thornton, P., Caligaris-Cappio, F., Delgado, J., Montillo, M., DeVos, S., Moreno, C., Pagel, J.M., Munir, T., Burger, J.A., Chung, D., Lin, J., Gau, L., Chang, </w:t>
      </w:r>
      <w:r w:rsidRPr="000359B3">
        <w:rPr>
          <w:rFonts w:ascii="Times New Roman" w:hAnsi="Times New Roman" w:cs="Times New Roman"/>
          <w:noProof/>
          <w:sz w:val="20"/>
          <w:szCs w:val="20"/>
        </w:rPr>
        <w:lastRenderedPageBreak/>
        <w:t>B., Cole, G., Hsu, E., James, D.F., Byrd, J.C., 2018. Extended follow-up and impact of high-risk prognostic factors from the phase 3 RESONATE study in patients with previously treated CLL/SLL. Leukemia 32, 83–91. https://doi.org/10.1038/leu.2017.175</w:t>
      </w:r>
    </w:p>
    <w:p w14:paraId="318E61D8"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Bruscaggin, A., Mollejo, M., Tapia, G., Gomes da Silva, M., Novak, U., Dietrich, S., Ponzoni, M., Rambaldi, A., Corradini, P., Vitolo, U., Merli, M., Tzankov, A., Cogliatti, S., Montalban, C., Marasca, R., de Leval, L., Visco, C., Baptista, M.J., Tousseyn, T., Facchetti, F., Paulli, M., Mazzucchelli, L., Bea, S., Oscier, D., Zinzani, P., Bhagat, G., Inghirami, G., Gaidano, G., Traverse-Glehen, A., Thieblemont, C., Piris, M.A., Cavalli, F., Arcaini, L., Zucca, E., Rossi, D., 2019. MULTI-OMICS LANDSCAPE OF SPLENIC MARGINAL ZONE LYMPHOMA (SMZL) - INTERIM ANALYSIS OF IELSG46 STUDY. Hematol. Oncol. 37, 181–182. https://doi.org/10.1002/hon.138_2629</w:t>
      </w:r>
    </w:p>
    <w:p w14:paraId="3E4C723C"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Burns, A., Alsolami, R., Becq, J., Stamatopoulos, B., Timbs, A., Bruce, D., Robbe, P., Vavoulis, D., Clifford, R., Cabes, M., Dreau, H., Taylor, J., Knight, S.J.L., Mansson, R., Bentley, D., Beekman, R., Martín-Subero, J.I., Campo, E., Houlston, R.S., Ridout, K.E., Schuh, A., 2018. Whole-genome sequencing of chronic lymphocytic leukaemia reveals distinct differences in the mutational landscape between IgHVmut and IgHVunmut subgroups. Leukemia 32, 332–342. https://doi.org/10.1038/leu.2017.177</w:t>
      </w:r>
    </w:p>
    <w:p w14:paraId="15C74EAD"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Campos-Martín, Y., Martínez, N., Martínez-López, A., Cereceda, L., Casado, F., Algara, P., Oscier, D., Menarguez, F.J., García, J.F., Piris, M.A., Mollejo, M., 2017. Clinical and diagnostic relevance of NOTCH2 and KLF2 mutations in splenic marginal zone lymphoma. Haematologica 102, e310–e312. https://doi.org/10.3324/haematol.2016.161711</w:t>
      </w:r>
    </w:p>
    <w:p w14:paraId="1A220563"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Cawthon, R.M., 2002. Telomere measurement by quantitative PCR. Nucleic Acids Res. 30. https://doi.org/10.1093/nar/30.10.e47</w:t>
      </w:r>
    </w:p>
    <w:p w14:paraId="263565D5"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Cerutti, A., Cols, M., Puga, I., 2013. Marginal zone B cells: Virtues of innate-like antibody-producing lymphocytes. Nat. Rev. Immunol. 13, 118–132. https://doi.org/10.1038/nri3383</w:t>
      </w:r>
    </w:p>
    <w:p w14:paraId="69905F10"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Cervetti, G., Galimberti, S., Sordi, E., Buda, G., Orciuolo, E., Cecconi, N., Petrini, M., 2010. Significant efficacy of 2-CdA with or without rituximab in the treatment of splenic marginal zone lymphoma (SMZL). Ann. Oncol. 21, 851–854. https://doi.org/10.1093/annonc/mdp395</w:t>
      </w:r>
    </w:p>
    <w:p w14:paraId="629BDBFA"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Chacón, J.I., Mollejo, M., Muñoz, E., Algara, P., Mateo, M., Lopez, L., Andrade, J., Carbonero, I.G., Martínez, B., Piris, M.A., Cruz, M.A., 2002. Splenic marginal zone lymphoma: clinical characteristics and prognostic factors in a  series of 60 patients. Blood 100, 1648–1654.</w:t>
      </w:r>
    </w:p>
    <w:p w14:paraId="1052E6A2"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Clipson, A., Wang, M., De Leval, L., Ashton-Key, M., Wotherspoon, A., Vassiliou, G., Bolli, N., Grove, C., Moody, S., Escudero-Ibarz, L., Gundem, G., Brugger, K., Xue, X., Mi, E., Bench, A., Scott, M., Liu, H., Follows, G., Robles, E.F., Martinez-Climent, J.A., Oscier, D., Watkins, A.J., Du, M.Q., 2015. KLF2 mutation is the most frequent somatic change in splenic marginal zone lymphoma and identifies a subset with distinct genotype. Leukemia 29, 1177–1185. https://doi.org/10.1038/leu.2014.330</w:t>
      </w:r>
    </w:p>
    <w:p w14:paraId="57667C0A"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Damle, R.N., Wasil, T., Fais, F., Ghiotto, F., Valetto, A., Allen, S.L., Buchbinder, A., Budman, D., Dittmar, K., Kolitz, J., Lichtman, S.M., Schulman, P., Vinciguerra, V.P., Rai, K.R., Ferrarini, M., Chiorazzi, N., 1999. Ig V Gene Mutation Status and CD38 Expression As Novel Prognostic Indicators in Chronic Lymphocytic Leukemia. Blood 94, 1840–1847. https://doi.org/10.1182/blood.v94.6.1840</w:t>
      </w:r>
    </w:p>
    <w:p w14:paraId="11B16566"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Dang, D.T., Pevsner, J., Yang, V.W., 2000. The biology of the mammalian Krüppel-like family of transcription factors. Int. J. Biochem. Cell Biol. 32, 1103–1121. https://doi.org/10.1016/S1357-2725(00)00059-5</w:t>
      </w:r>
    </w:p>
    <w:p w14:paraId="5D8BC4C2"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Davoli, T., Xu, A.W., Mengwasser, K.E., Sack, L.M., Yoon, J.C., Park, P.J., Elledge, S.J., 2013. XCumulative haploinsufficiency and triplosensitivity drive aneuploidy patterns and shape the cancer genome. Cell 155, 948. https://doi.org/10.1016/j.cell.2013.10.011</w:t>
      </w:r>
    </w:p>
    <w:p w14:paraId="560823FC"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Di Lisio, L., Sánchez-Beato, M., Gómez-López, G., Rodríguez, M.E., Montes-Moreno, S., Mollejo, M., Menárguez, J., Martínez, M.A., Alves, F.J., Pisano, D.G., Piris, M.A., Martínez, N., 2012. MicroRNA signatures in B-cell lymphomas. Blood Cancer J. 2, e57–e57. https://doi.org/10.1038/bcj.2012.1</w:t>
      </w:r>
    </w:p>
    <w:p w14:paraId="11596EC4"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Dierlamm, J., Michaux, L., Wlodarska, I., Pittaluga, S., Zeller, W., Stul, M., Criel, A., Thomas, J., Boogaerts, M., Delaere, P., Cassiman, J.J., de Wolf-Peeters, C., Mecucci, C., Van den Berghe, H., 1996. Trisomy 3 in marginal zone B-cell lymphoma: a study based on cytogenetic analysis  and fluorescence in situ hybridization. Br. J. Haematol. 93, 242–249. https://doi.org/10.1046/j.1365-2141.1996.522522.x</w:t>
      </w:r>
    </w:p>
    <w:p w14:paraId="2EFAFE1E"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Dierlamm, J., Rosenberg, C., Stul, M., Pittaluga, S., Wlodarska, I., Michaux, L., Dehaen, M., Verhoef, G., Thomas, J., De Kelver, W., Bakker-Schut, T., Cassiman, J.J., Raap, A.K., De Wolf-Peeters, C., Van Den Berghe, H., Hagemeijer, A., 1997. Characteristic pattern of chromosomal gains and losses in marginal zone B cell lymphoma detected by comparative genomic hybridization. Leukemia 11, 747–758. https://doi.org/10.1038/sj.leu.2400635</w:t>
      </w:r>
    </w:p>
    <w:p w14:paraId="6DF37F1E"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 xml:space="preserve">Duran-Ferrer, M., Clot, G., Nadeu, F., Beekman, R., Baumann, T., Nordlund, J., Marincevic-Zuniga, Y., Lönnerholm, G., Rivas-Delgado, A., Martín, S., Ordoñez, R., Castellano, G., Kulis, M., Queirós, A.C., Lee, S.T., Wiemels, </w:t>
      </w:r>
      <w:r w:rsidRPr="000359B3">
        <w:rPr>
          <w:rFonts w:ascii="Times New Roman" w:hAnsi="Times New Roman" w:cs="Times New Roman"/>
          <w:noProof/>
          <w:sz w:val="20"/>
          <w:szCs w:val="20"/>
        </w:rPr>
        <w:lastRenderedPageBreak/>
        <w:t>J., Royo, R., Puiggrós, M., Lu, J., Giné, E., Beà, S., Jares, P., Agirre, X., Prosper, F., López-Otín, C., Puente, X.S., Oakes, C.C., Zenz, T., Delgado, J., López-Guillermo, A., Campo, E., Martín-Subero, J.I., 2020. The proliferative history shapes the DNA methylome of B-cell tumors and predicts clinical outcome. Nat. Cancer 1, 1066–1081. https://doi.org/10.1038/s43018-020-00131-2</w:t>
      </w:r>
    </w:p>
    <w:p w14:paraId="316080E9"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Fabbri, G., Holmes, A.B., Viganotti, M., Scuoppo, C., Belver, L., Herranz, D., Yan, X.J., Kieso, Y., Rossi, D., Gaidano, G., Chiorazzi, N., Ferrando, A.A., Dalla-Favera, R., 2017. Common nonmutational NOTCH1 activation in chronic lymphocytic leukemia. Proc. Natl. Acad. Sci. U. S. A. 114, E2911–E2919. https://doi.org/10.1073/pnas.1702564114</w:t>
      </w:r>
    </w:p>
    <w:p w14:paraId="5E3E2A68"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Feinberg, M.W., Lin, Z., Fisch, S., Jain, M.K., 2004. An emerging role for Krüppel-like factors in vascular biology. Trends Cardiovasc. Med. 14, 241–6. https://doi.org/10.1016/j.tcm.2004.06.005</w:t>
      </w:r>
    </w:p>
    <w:p w14:paraId="11EDC7BA"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Fresquet, V., Robles, E.F., Parker, A., Martinez-Useros, J., Mena, M., Malumbres, R., Agirre, X., Catarino, S., Arteta, D., Osaba, L., Mollejo, M., Hernandez-Rivas, J.M., Calasanz, M.J., Daibata, M., Dyer, M.J.S., Prosper, F., Vizcarra, E., Piris, M.Á., Oscier, D., Martinez-Climent, J.A., 2012. High-throughput sequencing analysis of the chromosome 7q32 deletion reveals IRF5 as a potential tumour suppressor in splenic marginal-zone lymphoma. Br. J. Haematol. 158, 712–726. https://doi.org/10.1111/j.1365-2141.2012.09226.x</w:t>
      </w:r>
    </w:p>
    <w:p w14:paraId="6A13EC48"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Froimchuk, E., Jang, Y., Ge, K., 2017. Histone H3 lysine 4 methyltransferase KMT2D. Gene 627, 337–342. https://doi.org/10.1016/j.gene.2017.06.056</w:t>
      </w:r>
    </w:p>
    <w:p w14:paraId="195C6B76"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Gailllard, B., Cornillet-Lefebvre, P., Le, Q.H., Maloum, K., Pannetier, M., Lecoq-Lafon, C., Grange, B., Jondreville, L., Michaux, L., Nadal, N., Ittel, A., Luquet, I., Struski, S., Lefebvre, C., Gaillard, J.B., Lafage-Pochitaloff, M., Balducci, E., Penther, D., Barin, C., Collonge-Rame, M.A., Jimenez-Poquet, M., Richebourg, S., Lemaire, P., Defasque, S., Radford-Weiss, I., Bidet, A., Susin, S.A., Nguyen-Khac, F., Chapiro, E., 2020. Clinical and biological features of B-cell neoplasms with CDK6 translocations: an association with a subgroup of splenic marginal zone lymphomas displaying frequent CD5 expression, prolymphocytic cells, and TP53 abnormalities. Br. J. Haematol. https://doi.org/10.1111/bjh.17141</w:t>
      </w:r>
    </w:p>
    <w:p w14:paraId="09935786"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Gisselsson, D., Pettersson, L., Höglund, M., Heidenblad, M., Gorunova, L., Wiegant, J., Mertens, F., Dal Cin, P., Mitelman, F., Mandahl, N., 2000. Chromosomal breakage-fusion-bridge events cause genetic intratumor heterogeneity. Proc. Natl. Acad. Sci. U. S. A. 97, 5357–5362. https://doi.org/10.1073/pnas.090013497</w:t>
      </w:r>
    </w:p>
    <w:p w14:paraId="7491785B"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Green, M.R., Kihira, S., Liu, C.L., Nair, R. V., Salari, R., Gentles, A.J., Irish, J., Stehr, H., Vicente-Dueñas, C., Romero-Camarero, I., Sanchez-Garcia, I., Plevritis, S.K., Arber, D.A., Batzoglou, S., Levy, R., Alizadeh, A.A., 2015. Mutations in early follicular lymphoma progenitors are associated with suppressed antigen presentation. Proc. Natl. Acad. Sci. U. S. A. 112, E1116–E1125. https://doi.org/10.1073/pnas.1501199112</w:t>
      </w:r>
    </w:p>
    <w:p w14:paraId="0BC3429B"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Greenwell, I.B., Staton, A.D., Lee, M.J., Switchenko, J.M., Saxe, D.F., Maly, J.J., Blum, K.A., Grover, N.S., Mathews, S.P., Gordon, M.J., Danilov, A. V., Epperla, N., Fenske, T.S., Hamadani, M., Park, S.I., Flowers, C.R., Cohen, J.B., 2018. Complex karyotype in patients with mantle cell lymphoma predicts inferior survival and poor response to intensive induction therapy. Cancer 124, 2306–2315. https://doi.org/10.1002/cncr.31328</w:t>
      </w:r>
    </w:p>
    <w:p w14:paraId="5CDEFE69"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Guidetti, F., Bruscaggin, A., Frigeni, M., Spina, V., Terzi di Bergamo, L., Condoluci, A., Forestieri, G., Bertoni, F., Cascione, L., Mollejo, M., Meignin, V., Traverse-Glehen, A., Geyer, J.T., Broccoli, A., Tucci, A., Bea, S., Boldorini, R., Tapia, G., Maiorana, A., Gomes da Silva, M., Garcia, J.F., Hitz, F., Merli, M., Vanini, G.A., Novak, U., Piazza, F., Pizzolitto, S., Dietrich, S., Devizzi, L., Ladetto, M., Ponzoni, M., Rambaldi, A., Corradini, P., Tarella, C., Santambrogio, E., Vitolo, U., Zaja, F., Passamonti, F., Tzankov, A., Cogliatti, S., Montalban, C., Marasca, R., de Leval, L., Visco, C., Baptista, M.J., Canzonieri, V., Matutes, E., Facchetti, F., Paulli, M., Campo, E., Oscier, D., Sabattini, E., Zinzani, P.L., Bhagat, G., Pileri, S.A., Inghirami, G., Gaidano, G., Salles, G., Thieblemont, C., Piris, M.A., Cavalli, F., Zucca, E., Arcaini, L., Rossi, D., 2018. Molecular Subtypes of Splenic Marginal Zone Lymphoma (SMZL) Are Associated with Distinct Pathogenic Mechanisms and Outcomes - Interim Analysis of the IELSG46 Study. Blood 132, 922–922. https://doi.org/10.1182/blood-2018-99-115958</w:t>
      </w:r>
    </w:p>
    <w:p w14:paraId="71D2F4A2"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Hamblin, T.J., Davis, Z., Gardiner, A., Oscier, D.G., Stevenson, F.K., 1999. Unmutated Ig V(H) genes are associated with a more aggressive form of chronic lymphocytic leukemia. Blood 94, 1848–1854. https://doi.org/10.1182/blood.v94.6.1848</w:t>
      </w:r>
    </w:p>
    <w:p w14:paraId="44FFD9AC"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Hampel, F., Ehrenberg, S., Hojer, C., Draeseke, A., Marschall-Schröter, G., Kühn, R., Mack, B., Gires, O., Vahl, C.J., Schmidt-Supprian, M., Strobl, L.J., Zimber-Strobl, U., 2011. CD19-independent instruction of murine marginal zone B-cell development by constitutive Notch2 signaling. Blood 118, 6321–31. https://doi.org/10.1182/blood-2010-12-325944</w:t>
      </w:r>
    </w:p>
    <w:p w14:paraId="264E67D7"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Han, L., Madan, V., Mayakonda, A., Dakle, P., Woon, T.W., Shyamsunder, P., Nordin, H.B.M., Cao, Z., Sundaresan, J., Lei, I., Wang, Z., Koeffler, H.P., 2019. Chromatin remodeling mediated by ARID1A is indispensable for normal hematopoiesis in mice. Leukemia 33, 2291–2305. https://doi.org/10.1038/s41375-019-0438-4</w:t>
      </w:r>
    </w:p>
    <w:p w14:paraId="28F25A1B"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lastRenderedPageBreak/>
        <w:t>Hart, G.T., Wang, X., Hogquist, K.A., Jameson, S.C., 2011. Krüppel-like factor 2 (KLF2) regulates B-cell reactivity, subset differentiation, and trafficking molecule expression. Proc. Natl. Acad. Sci. U. S. A. 108, 716–21. https://doi.org/10.1073/pnas.1013168108</w:t>
      </w:r>
    </w:p>
    <w:p w14:paraId="74777DB8"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Hermine, O., Lefrère, F., Bronowicki, J.-P., Mariette, X., Jondeau, K., Eclache-Saudreau, V., Delmas, B., Valensi, F., Cacoub, P., Brechot, C., Varet, B., Troussard, X., 2002. Regression of Splenic Lymphoma with Villous Lymphocytes after Treatment of Hepatitis C Virus Infection. N. Engl. J. Med. 347, 89–94. https://doi.org/10.1056/nejmoa013376</w:t>
      </w:r>
    </w:p>
    <w:p w14:paraId="271EF9BA"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Hernández, J.M., García, J.L., Gutiérrez, N.C., Mollejo, M., Martínez-Climent, J.A., Flores, T., González, M.B., Piris, M.A., San Miguel, J.F., 2001. Novel Genomic Imbalances in B-Cell Splenic Marginal Zone Lymphomas Revealed by Comparative Genomic Hybridization and Cytogenetics. Am. J. Pathol. 158, 1843–1850. https://doi.org/10.1016/S0002-9440(10)64140-5</w:t>
      </w:r>
    </w:p>
    <w:p w14:paraId="6A5F0E0A"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Hoang, P.H., Dobbins, S.E., Cornish, A.J., Chubb, D., Law, P.J., Kaiser, M., Houlston, R.S., 2018. Whole-genome sequencing of multiple myeloma reveals oncogenic pathways are targeted somatically through multiple mechanisms. Leukemia 32, 2459–2470. https://doi.org/10.1038/s41375-018-0103-3</w:t>
      </w:r>
    </w:p>
    <w:p w14:paraId="5BAA7BAF"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Hoek, K.L., Gordy, L.E., Collins, P.L., Parekh, V. V., Aune, T.M., Joyce, S., Thomas, J.W., Van Kaer, L., Sebzda, E., 2010. Follicular B Cell Trafficking within the Spleen Actively Restricts Humoral Immune Responses. Immunity 33, 254–265. https://doi.org/10.1016/j.immuni.2010.07.016</w:t>
      </w:r>
    </w:p>
    <w:p w14:paraId="3657D18D"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Hosono, N., Makishima, H., Mahfouz, R., Przychodzen, B., Yoshida, K., Jerez, A., LaFramboise, T., Polprasert, C., Clemente, M.J., Shiraishi, Y., Chiba, K., Tanaka, H., Miyano, S., Sanada, M., Cui, E., Verma, A.K., McDevitt, M.A., List, A.F., Saunthararajah, Y., Sekeres, M.A., Boultwood, J., Ogawa, S., Maciejewski, J.P., 2017. Recurrent genetic defects on chromosome 5q in myeloid neoplasms. Oncotarget 8, 6483–6495. https://doi.org/10.18632/oncotarget.14130</w:t>
      </w:r>
    </w:p>
    <w:p w14:paraId="620ED40E"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Jallades, L., Baseggio, L., Sujobert, P., Huet, S., Chabane, K., Callet-Bauchu, E., Verney, A., Hayette, S., Desvignes, J.P., Salgado, D., Levy, N., Béroud, C., Felman, P., Berger, F., Magaud, J.P., Genestier, L., Salles, G., Traverse-Glehen, A., 2017. Exome sequencing identifies recurrent BCOR alterations and the absence of KLF2, TNFAIP3 and MYD88 mutations in splenic diffuse red pulp small B-cell lymphoma. Haematologica 102, 1758–1766. https://doi.org/10.3324/haematol.2016.160192</w:t>
      </w:r>
    </w:p>
    <w:p w14:paraId="6DEA0203"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Jaramillo Oquendo, C., Parker, H., Oscier, D., Ennis, S., Gibson, J., Strefford, J.C., 2019. Systematic Review of Somatic Mutations in Splenic Marginal Zone Lymphoma. Sci. Rep. 9, 1–9. https://doi.org/10.1038/s41598-019-46906-1</w:t>
      </w:r>
    </w:p>
    <w:p w14:paraId="455C20A1"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Jiang, Y., Hatzi, K., Shaknovich, R., 2013. Mechanisms of epigenetic deregulation in lymphoid neoplasms. Blood. https://doi.org/10.1182/blood-2012-12-451799</w:t>
      </w:r>
    </w:p>
    <w:p w14:paraId="7A5C9DEC"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Kahl, V.F.S., Allen, J.A.M., Nelson, C.B., Sobinoff, A.P., Lee, M., Kilo, T., Vasireddy, R.S., Pickett, H.A., 2020. Telomere Length Measurement by Molecular Combing. Front. Cell Dev. Biol. 8. https://doi.org/10.3389/fcell.2020.00493</w:t>
      </w:r>
    </w:p>
    <w:p w14:paraId="4E2353FB"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Kanellis, G., Mollejo, M., Montes-Moreno, S., Rodriguez-Pinilla, S.-M., Cigudosa, J.C., Algara, P., Montalban, C., Matutes, E., Wotherspoon, A., Piris, M.A., 2010. Splenic diffuse red pulp small B-cell lymphoma: revision of a series of cases  reveals characteristic clinico-pathological features. Haematologica 95, 1122–1129. https://doi.org/10.3324/haematol.2009.013714</w:t>
      </w:r>
    </w:p>
    <w:p w14:paraId="3C5997BB"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Karaayvaz, M., Zhai, H., Ju, J., 2013. MiR-129 promotes apoptosis and enhances chemosensitivity to 5-fluorouracil in colorectal cancer. Cell Death Dis. 4, e659–e659. https://doi.org/10.1038/cddis.2013.193</w:t>
      </w:r>
    </w:p>
    <w:p w14:paraId="541EA8B7"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 xml:space="preserve">Kiel, M.J., Velusamy, T., Betz, B.L., Zhao, L., Weigelin, H.G., Chiang, M.Y., Huebner-Chan, D.R., Bailey, N.G., Yang, D.T., Bhagat, G., Miranda, R.N., Bahler, D.W., Medeiros, L.J., Lim, M.S., Elenitoba-Johnson, K.S.J., 2012. Whole-genome sequencing identifies recurrent somatic </w:t>
      </w:r>
      <w:r w:rsidRPr="000359B3">
        <w:rPr>
          <w:rFonts w:ascii="Times New Roman" w:hAnsi="Times New Roman" w:cs="Times New Roman"/>
          <w:i/>
          <w:iCs/>
          <w:noProof/>
          <w:sz w:val="20"/>
          <w:szCs w:val="20"/>
        </w:rPr>
        <w:t>NOTCH2</w:t>
      </w:r>
      <w:r w:rsidRPr="000359B3">
        <w:rPr>
          <w:rFonts w:ascii="Times New Roman" w:hAnsi="Times New Roman" w:cs="Times New Roman"/>
          <w:noProof/>
          <w:sz w:val="20"/>
          <w:szCs w:val="20"/>
        </w:rPr>
        <w:t xml:space="preserve"> mutations in splenic marginal zone lymphoma. J. Exp. Med. 209, 1553–1565. https://doi.org/10.1084/jem.20120910</w:t>
      </w:r>
    </w:p>
    <w:p w14:paraId="373B4EC5"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Kim, M.P., Lozano, G., 2018. Mutant p53 partners in crime. Cell Death Differ. 25, 161–168. https://doi.org/10.1038/cdd.2017.185</w:t>
      </w:r>
    </w:p>
    <w:p w14:paraId="7949B0AF"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Kopan, R., 2012. Notch Signaling. Cold Spring Harb. Perspect. Biol. 4, a011213–a011213. https://doi.org/10.1101/cshperspect.a011213</w:t>
      </w:r>
    </w:p>
    <w:p w14:paraId="1B0C109A"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Kulis, M., Heath, S., Bibikova, M., Queirós, A.C., Navarro, A., Clot, G., Martínez-Trillos, A., Castellano, G., Brun-Heath, I., Pinyol, M., Barberán-Soler, S., Papasaikas, P., Jares, P., Beà, S., Rico, D., Ecker, S., Rubio, M., Royo, R., Ho, V., Klotzle, B., Hernández, L., Conde, L., López-Guerra, M., Colomer, D., Villamor, N., Aymerich, M., Rozman, M., Bayes, M., Gut, M., Gelpí, J.L., Orozco, M., Fan, J.-B., Quesada, V., Puente, X.S., Pisano, D.G., Valencia, A., López-Guillermo, A., Gut, I., López-Otín, C., Campo, E., Martín-Subero, J.I., 2012. Epigenomic analysis detects widespread gene-body DNA hypomethylation in chronic lymphocytic leukemia. Nat. Genet. 44, 1236–1242. https://doi.org/10.1038/ng.2443</w:t>
      </w:r>
    </w:p>
    <w:p w14:paraId="38E5B47E"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lastRenderedPageBreak/>
        <w:t>Kulis, M., Merkel, A., Heath, S., Queirós, A.C., Schuyler, R.P., Castellano, G., Beekman, R., Raineri, E., Esteve, A., Clot, G., Verdaguer-Dot, N., Duran-Ferrer, M., Russiñol, N., Vilarrasa-Blasi, R., Ecker, S., Pancaldi, V., Rico, D., Agueda, L., Blanc, J., Richardson, D., Clarke, L., Datta, A., Pascual, M., Agirre, X., Prosper, F., Alignani, D., Paiva, B., Caron, G., Fest, T., Muench, M.O., Fomin, M.E., Lee, S.T., Wiemels, J.L., Valencia, A., Gut, M., Flicek, P., Stunnenberg, H.G., Siebert, R., Küppers, R., Gut, I.G., Campo, E., Martín-Subero, J.I., 2015. Whole-genome fingerprint of the DNA methylome during human B cell differentiation. Nat. Genet. 47, 746–756. https://doi.org/10.1038/ng.3291</w:t>
      </w:r>
    </w:p>
    <w:p w14:paraId="5F4A29BA"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Lai, T.P., Zhang, N., Noh, J., Mender, I., Tedone, E., Huang, E., Wright, W.E., Danuser, G., Shay, J.W., 2017. A method for measuring the distribution of the shortest telomeres in cells and tissues. Nat. Commun. 8. https://doi.org/10.1038/s41467-017-01291-z</w:t>
      </w:r>
    </w:p>
    <w:p w14:paraId="3B2FAA40"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 xml:space="preserve">Le Bris, Y., Struski, S., Guièze, R., Rouvellat, C., Prade, N., Troussard, X., Tournilhac, O., Béné, M.C., Delabesse, E., Ysebaert, L., 2017. Major prognostic value of complex karyotype in addition to </w:t>
      </w:r>
      <w:r w:rsidRPr="000359B3">
        <w:rPr>
          <w:rFonts w:ascii="Times New Roman" w:hAnsi="Times New Roman" w:cs="Times New Roman"/>
          <w:i/>
          <w:iCs/>
          <w:noProof/>
          <w:sz w:val="20"/>
          <w:szCs w:val="20"/>
        </w:rPr>
        <w:t>TP53</w:t>
      </w:r>
      <w:r w:rsidRPr="000359B3">
        <w:rPr>
          <w:rFonts w:ascii="Times New Roman" w:hAnsi="Times New Roman" w:cs="Times New Roman"/>
          <w:noProof/>
          <w:sz w:val="20"/>
          <w:szCs w:val="20"/>
        </w:rPr>
        <w:t xml:space="preserve"> and </w:t>
      </w:r>
      <w:r w:rsidRPr="000359B3">
        <w:rPr>
          <w:rFonts w:ascii="Times New Roman" w:hAnsi="Times New Roman" w:cs="Times New Roman"/>
          <w:i/>
          <w:iCs/>
          <w:noProof/>
          <w:sz w:val="20"/>
          <w:szCs w:val="20"/>
        </w:rPr>
        <w:t>IGHV</w:t>
      </w:r>
      <w:r w:rsidRPr="000359B3">
        <w:rPr>
          <w:rFonts w:ascii="Times New Roman" w:hAnsi="Times New Roman" w:cs="Times New Roman"/>
          <w:noProof/>
          <w:sz w:val="20"/>
          <w:szCs w:val="20"/>
        </w:rPr>
        <w:t xml:space="preserve"> mutational status in first-line chronic lymphocytic leukemia. Hematol. Oncol. 35, 664–670. https://doi.org/10.1002/hon.2349</w:t>
      </w:r>
    </w:p>
    <w:p w14:paraId="2EA31F62"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Lee, S.T., Muench, M.O., Fomin, M.E., Xiao, J., Zhou, M., De Smith, A., Martín-Subero, J.I., Heath, S., Houseman, E.A., Roy, R., Wrensch, M., Wiencke, J., Metayer, C., Wiemels, J.L., 2015. Epigenetic remodeling in B-cell acute lymphoblastic leukemia occurs in two tracks and employs embryonic stem cell-like signatures. Nucleic Acids Res. 43, 2590–2602. https://doi.org/10.1093/nar/gkv103</w:t>
      </w:r>
    </w:p>
    <w:p w14:paraId="42F7CD0A"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Lim, K.-H., Yang, Y., Staudt, L.M., 2012. Pathogenetic importance and therapeutic implications of NF-κB in lymphoid malignancies. Immunol. Rev. 246, 359–78. https://doi.org/10.1111/j.1600-065X.2012.01105.x</w:t>
      </w:r>
    </w:p>
    <w:p w14:paraId="3781DBB0"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Luijten, M.N.H., Lee, J.X.T., Crasta, K.C., 2018. Mutational game changer: Chromothripsis and its emerging relevance to cancer. Mutat. Res. - Rev. Mutat. Res. https://doi.org/10.1016/j.mrrev.2018.06.004</w:t>
      </w:r>
    </w:p>
    <w:p w14:paraId="0BD5CDBA"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Lumish, M., Falchi, L., Imber, B.S., Scordo, M., von Keudell, G., Joffe, E., 2021. How we treat mature B-cell neoplasms (indolent B-cell lymphomas). J. Hematol. Oncol. 14, 5. https://doi.org/10.1186/s13045-020-01018-6</w:t>
      </w:r>
    </w:p>
    <w:p w14:paraId="2442036E"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Lunning, M.A., Green, M.R., 2015. Mutation of chromatin modifiers; an emerging hallmark of germinal center B-cell lymphomas. Blood Cancer J. 5, e361. https://doi.org/10.1038/bcj.2015.89</w:t>
      </w:r>
    </w:p>
    <w:p w14:paraId="138A68E8"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Martínez, N., Almaraz, C., Vaqué, J.P., Varela, I., Derdak, S., Beltran, S., Mollejo, M., Campos-Martin, Y., Agueda, L., Rinaldi, A., Kwee, I., Gut, M., Blanc, J., Oscier, D., Strefford, J.C., Martinez-Lopez, J., Salar, A., Sole, F., Rodriguez-Peralto, J.L., Diez-Tascón, C., García, J.F., Fraga, M., Sebastián, E., Alvés, J., Menárguez, J., González-Carreró, J., Casado, L.F., Bayes, M., Bertoni, F., Gut, I., Piris, M.A., 2014. Whole-exome sequencing in splenic marginal zone lymphoma reveals mutations in genes involved in marginal zone differentiation. Leukemia 28, 1334–1340. https://doi.org/10.1038/leu.2013.365</w:t>
      </w:r>
    </w:p>
    <w:p w14:paraId="3FE74CDF"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Matutes, E., Oscier, D., Montalban, C., Berger, F., Callet-Bauchu, E., Dogan, A., Felman, P., Franco, V., Iannitto, E., Mollejo, M., Papadaki, T., Remstein, E.D., Salar, A., Solé, F., Stamatopoulos, K., Thieblemont, C., Traverse-Glehen, A., Wotherspoon, A., Coiffier, B., Piris, M.A., 2008. Splenic marginal zone lymphoma proposals for a revision of diagnostic, staging and therapeutic criteria. Leukemia 22, 487–495. https://doi.org/10.1038/sj.leu.2405068</w:t>
      </w:r>
    </w:p>
    <w:p w14:paraId="277CD085"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Melo, J. V., Hegde, U., Parreira, A., Thompson, I., Lampert, I.A., Catovsky, D., 1987. Splenic B cell lymphoma with circulating villous lymphocytes: Differential diagnosis of B cell leukaemias with large spleens. J. Clin. Pathol. 40, 642–651. https://doi.org/10.1136/jcp.40.6.642</w:t>
      </w:r>
    </w:p>
    <w:p w14:paraId="7A58390F"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Merli, M., Bianchi, B., Bertù, L., Ferrario, A., Mora, B., Uccella, S., Furlan, D., Tibiletti, M.G., Cattaneo, S., Sessa, F., Passamonti, F., 2019. Clonal B-Cell Lymphocytosis with Mariginal-Zone Features: Comparison with Overt Splenic Marginal-Zone Lymphomas in 77 Patients from a Monocentric Series. Blood 134, 4017–4017. https://doi.org/10.1182/blood-2019-130288</w:t>
      </w:r>
    </w:p>
    <w:p w14:paraId="2591DDE0"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Mollejo, M., Menarguez, J., Lloret, E., Sanchez, A., Campo, E., Algara, P., Cristobal, E., Sanchez, E., Piris, M.A., 1995. Splenic marginal zone lymphoma: A distinctive type of low-grade B-cell lymphoma: A clinicopathological study of 13 cases. Am. J. Surg. Pathol. 19, 1146–1157. https://doi.org/10.1097/00000478-199510000-00005</w:t>
      </w:r>
    </w:p>
    <w:p w14:paraId="67F9A3BA"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Moran, S.T., Cariappa, A., Liu, H., Muir, B., Sgroi, D., Boboila, C., Pillai, S., 2007. Synergism between NF-κB1/p50 and Notch2 during the Development of Marginal Zone B Lymphocytes. J. Immunol. 179, 195–200. https://doi.org/10.4049/jimmunol.179.1.195</w:t>
      </w:r>
    </w:p>
    <w:p w14:paraId="6F0B101A"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Mulligan, S.P., Matutes, E., Dearden, C., Catovsky, D., 1991. Splenic lymphoma with villous lymphocytes: natural history and response to therapy in 50 cases. Br. J. Haematol. 78, 206–209. https://doi.org/10.1111/j.1365-2141.1991.tb04417.x</w:t>
      </w:r>
    </w:p>
    <w:p w14:paraId="1675A71D"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 xml:space="preserve">Navarro, A., Clot, G., Martínez-Trillos, A., Pinyol, M., Jares, P., González-Farré, B., Martínez, D., Trim, N., </w:t>
      </w:r>
      <w:r w:rsidRPr="000359B3">
        <w:rPr>
          <w:rFonts w:ascii="Times New Roman" w:hAnsi="Times New Roman" w:cs="Times New Roman"/>
          <w:noProof/>
          <w:sz w:val="20"/>
          <w:szCs w:val="20"/>
        </w:rPr>
        <w:lastRenderedPageBreak/>
        <w:t>Fernández, V., Villamor, N., Colomer, D., Costa, D., Salaverria, I., Martín-Garcia, D., Erber, W., López, C., Jayne, S., Siebert, R., Dyer, M.J.S., Wiestner, A., Wilson, W.H., Aymerich, M., López-Guillermo, A., Sánchez, À., Campo, E., Matutes, E., Beà, S., 2017. Improved classification of leukemic B-cell lymphoproliferative disorders using a transcriptional and genetic classifier. Haematologica. https://doi.org/10.3324/haematol.2016.160374</w:t>
      </w:r>
    </w:p>
    <w:p w14:paraId="3A98CC24"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Ngo, V.N., Young, R.M., Schmitz, R., Jhavar, S., Xiao, W., Lim, K., Kohlhammer, H., Xu, W., Yang, Y., Zhao, H., Shaffer, A.L., Romesser, P., Wright, G., Powell, J., Rosenwald, A., Muller-Hermelink, H.K., Ott, G., Gascoyne, R.D., Connors, J.M., Rimsza, L.M., Campo, E., Jaffe, E.S., Delabie, J., Smeland, E.B., Fisher, R.I., Braziel, R.M., Tubbs, R.R., Cook, J.R., Weisenburger, D.D., Chan, W.C., Staudt, L.M., 2011. Oncogenically active MYD88 mutations in human lymphoma. Nature 470, 115–119. https://doi.org/10.1038/nature09671</w:t>
      </w:r>
    </w:p>
    <w:p w14:paraId="12DC5B4B"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Novak, U., Rinaldi, A., Kwee, I., Nandula, S. V., Rancoita, P.M.V., Compagno, M., Cerri, M., Rossi, D., Murty, V. V., Zucca, E., Gaidano, G., Dalla-Favera, R., Pasqualucci, L., Bhagat, G., Bertoni, F., 2009. The NF-κB negative regulator TNFAIP3 (A20) is inactivated by somatic mutations and genomic deletions in marginal zone lymphomas. Blood 113, 4918–4921. https://doi.org/10.1182/blood-2008-08-174110</w:t>
      </w:r>
    </w:p>
    <w:p w14:paraId="2AA71A66"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Noy, A., de Vos, S., Coleman, M., Martin, P., Flowers, C.R., Thieblemont, C., Morschhauser, F., Collins, G.P., Ma, S., Peles, S., Smith, S.D., Barrientos, J.C., Chong, E., Wu, S., Cheung, L.W.K., Kwei, K., Hauns, B., Arango-Hisijara, I., Chen, R., 2020. Durable ibrutinib responses in relapsed/refractory marginal zone lymphoma: long-term follow-up and biomarker analysis. Blood Adv. 4, 5773–5784. https://doi.org/10.1182/bloodadvances.2020003121</w:t>
      </w:r>
    </w:p>
    <w:p w14:paraId="67AC7FD6"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Oakes, C.C., Seifert, M., Assenov, Y., Gu, L., Przekopowitz, M., Ruppert, A.S., Wang, Q., Imbusch, C.D., Serva, A., Koser, S.D., Brocks, D., Lipka, D.B., Bogatyrova, O., Weichenhan, D., Brors, B., Rassenti, L., Kipps, T.J., Mertens, D., Zapatka, M., Lichter, P., Döhner, H., Küppers, R., Zenz, T., Stilgenbauer, S., Byrd, J.C., Plass, C., 2016. DNA methylation dynamics during B cell maturation underlie a continuum of disease phenotypes in chronic lymphocytic leukemia. Nat. Genet. 48, 253–264. https://doi.org/10.1038/ng.3488</w:t>
      </w:r>
    </w:p>
    <w:p w14:paraId="5FB12B34"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Okosun, J., Bödör, C., Wang, J., Araf, S., Yang, C.Y., Pan, C., Boller, S., Cittaro, D., Bozek, M., Iqbal, S., Matthews, J., Wrench, D., Marzec, J., Tawana, K., Popov, N., O’riain, C., O’shea, D., Carlotti, E., Davies, A., Lawrie, C.H., Matolcsy, A., Calaminici, M., Norton, A., Byers, R.J., Mein, C., Stupka, E., Lister, T.A., Lenz, G., Montoto, S., Gribben, J.G., Fan, Y., Grosschedl, R., Chelala, C., Fitzgibbon, J., 2014. Integrated genomic analysis identifies recurrent mutations and evolution patterns driving the initiation and progression of follicular lymphoma. Nat. Genet. 46, 176–181. https://doi.org/10.1038/ng.2856</w:t>
      </w:r>
    </w:p>
    <w:p w14:paraId="2AD34A66"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Opat, S., Tedeschi, A., Linton, K., McKay, P., Hu, B., Chan, H., Jin, J., Zinzani, P.L., Browett, P., Coleman, M., Sobieraj-Teague, M., Ke, X., Sun, M., Marcus, R., Portell, C.A., Zhou, K., Thieblemont, C., Co, M., Wang, W., Tankersley, C., Zhou, W., Cappellini, M., Huang, J., Trotman, J., 2020. Efficacy and Safety of Zanubrutinib in Patients with Relapsed/Refractory Marginal Zone Lymphoma: Initial Results of the MAGNOLIA (BGB-3111-214) Trial. Blood 136, 28–30. https://doi.org/10.1182/blood-2020-134611</w:t>
      </w:r>
    </w:p>
    <w:p w14:paraId="06DA0319"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Oscier, D.G., Matutes, E., Gardiner, A., Glide, S., Mould, S., Brito-Babapulle, V., Ellis, J., Catovsky, D., 1993. Cytogenetic studies in splenic lymphoma with villous lymphocytes. Br. J. Haematol. 85, 487–491. https://doi.org/10.1111/j.1365-2141.1993.tb03337.x</w:t>
      </w:r>
    </w:p>
    <w:p w14:paraId="74B599F7"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Panayiotidis, P., Follows, G.A., Mollica, L., Nagler, A., Özcan, M., Santoro, A., Stevens, D., Trevarthen, D., Hiemeyer, F., Garcia-Vargas, J., Childs, B.H., Zinzani, P.L., Dreyling, M., 2021. Efficacy and safety of copanlisib in patients with relapsed or refractory marginal zone lymphoma. Blood Adv. 5, 823–828. https://doi.org/10.1182/bloodadvances.2020002910</w:t>
      </w:r>
    </w:p>
    <w:p w14:paraId="75E0884C"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Parker, A.E., Snell, K., Davis, Z., Oscier, D.G., 2005. Telomere Length by Tel-PCR in B Cell Malignancies. Blood 106, 2955–2955. https://doi.org/10.1182/blood.v106.11.2955.2955</w:t>
      </w:r>
    </w:p>
    <w:p w14:paraId="41D9B748"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Parry, M., Rose-Zerilli, M.J.J., Gibson, J., Ennis, S., Walewska, R., Forster, J., Parker, H., Davis, Z., Gardiner, A., Collins, A., Oscier, D.G., Strefford, J.C., 2013. Whole Exome Sequencing Identifies Novel Recurrently Mutated Genes in Patients with Splenic Marginal Zone Lymphoma. PLoS One 8, e83244. https://doi.org/10.1371/journal.pone.0083244</w:t>
      </w:r>
    </w:p>
    <w:p w14:paraId="58591FBE"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Parry, M., Rose-Zerilli, M.J.J., Ljungström, V., Gibson, J., Wang, J., Walewska, R., Parker, H., Parker, A., Davis, Z., Gardiner, A., McIver-Brown, N., Kalpadakis, C., Xochelli, A., Anagnostopoulos, A., Fazi, C., De Castro, D.G., Dearden, C., Pratt, G., Rosenquist, R., Ashton-Key, M., Forconi, F., Collins, A., Ghia, P., Matutes, E., Pangalis, G., Stamatopoulos, K., Oscier, D., Strefford, J.C., 2015. Genetics and prognostication in splenic marginal zone lymphoma: Revelations from deep sequencing. Clin. Cancer Res. 21, 4174–4183. https://doi.org/10.1158/1078-0432.CCR-14-2759</w:t>
      </w:r>
    </w:p>
    <w:p w14:paraId="6E23AD03"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 xml:space="preserve">Peveling-Oberhag, J., Crisman, G., Schmidt, A., Döring, C., Lucioni, M., Arcaini, L., Rattotti, S., Hartmann, S., Piiper, A., Hofmann, W.-P., Paulli, M., Küppers, R., Zeuzem, S., Hansmann, M.-L., 2012. Dysregulation of global </w:t>
      </w:r>
      <w:r w:rsidRPr="000359B3">
        <w:rPr>
          <w:rFonts w:ascii="Times New Roman" w:hAnsi="Times New Roman" w:cs="Times New Roman"/>
          <w:noProof/>
          <w:sz w:val="20"/>
          <w:szCs w:val="20"/>
        </w:rPr>
        <w:lastRenderedPageBreak/>
        <w:t>microRNA expression in splenic marginal zone lymphoma and influence of chronic hepatitis C virus infection. Leukemia 26, 1654–1662. https://doi.org/10.1038/leu.2012.29</w:t>
      </w:r>
    </w:p>
    <w:p w14:paraId="69B148FE"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Phan, R.T., Dalla-Favera, R., 2004. The BCL6 proto-oncogene suppresses p53 expression in germinal-centre B cells. Nature 432, 635–639. https://doi.org/10.1038/nature03147</w:t>
      </w:r>
    </w:p>
    <w:p w14:paraId="514A30AF"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Phillips, T.J., Corradini, P., Gurion, R., Patti, C., Tani, M., Avigdor, A., Jurczak, W., Mehta, A., Zinzani, P.L., Lossos, I.S., Thieblemont, C., Zheng, F., Rappold, E., Zhao, W., Johnson, P., 2020. Phase 2 Study Evaluating the Efficacy and Safety of Parsaclisib in Patients with Relapsed or Refractory Marginal Zone Lymphoma (CITADEL-204). Blood 136, 27–28. https://doi.org/10.1182/blood-2020-134451</w:t>
      </w:r>
    </w:p>
    <w:p w14:paraId="263A7F72"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Pillai, S., Cariappa, A., 2009. The follicular versus marginal zone B lymphocyte cell fate decision. Nat. Rev. Immunol. 9, 767–77. https://doi.org/10.1038/nri2656</w:t>
      </w:r>
    </w:p>
    <w:p w14:paraId="2D37F209"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Pillonel, V., Juskevicius, D., Ng, C.K.Y., Bodmer, A., Zettl, A., Jucker, D., Dirnhofer, S., Tzankov, A., 2018. High-throughput sequencing of nodal marginal zone lymphomas identifies recurrent BRAF mutations. Leukemia 32, 2412–2426. https://doi.org/10.1038/s41375-018-0082-4</w:t>
      </w:r>
    </w:p>
    <w:p w14:paraId="564D10E5"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Piva, R., Deaglio, S., Famà, R., Buonincontri, R., Scarfò, I., Bruscaggin, A., Mereu, E., Serra, S., Spina, V., Brusa, D., Garaffo, G., Monti, S., Dal Bo, M., Marasca, R., Arcaini, L., Neri, A., Gattei, V., Paulli, M., Tiacci, E., Bertoni, F., Pileri, S.A., Foà, R., Inghirami, G., Gaidano, G., Rossi, D., 2015. The Krüppel-like factor 2 transcription factor gene is recurrently mutated in splenic marginal zone lymphoma. Leukemia 29, 503–507. https://doi.org/10.1038/leu.2014.294</w:t>
      </w:r>
    </w:p>
    <w:p w14:paraId="658E01EC"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Puente, X.S., Pinyol, M., Quesada, V., Conde, L., Ordóñez, G.R., Villamor, N., Escaramis, G., Jares, P., Beà, S., González-Díaz, M., Bassaganyas, L., Baumann, T., Juan, M., López-Guerra, M., Colomer, D., Tubío, J.M.C., López, C., Navarro, A., Tornador, C., Aymerich, M., Rozman, M., Hernández, J.M., Puente, D.A., Freije, J.M.P., Velasco, G., Gutiérrez-Fernández, A., Costa, D., Carrió, A., Guijarro, S., Enjuanes, A., Hernández, L., Yagüe, J., Nicolás, P., Romeo-Casabona, C.M., Himmelbauer, H., Castillo, E., Dohm, J.C., de Sanjosé, S., Piris, M.A., de Alava, E., Miguel, J.S., Royo, R., Gelpí, J.L., Torrents, D., Orozco, M., Pisano, D.G., Valencia, A., Guigó, R., Bayés, M., Heath, S., Gut, M., Klatt, P., Marshall, J., Raine, K., Stebbings, L.A., Futreal, P.A., Stratton, M.R., Campbell, P.J., Gut, I., López-Guillermo, A., Estivill, X., Montserrat, E., López-Otín, C., Campo, E., 2011. Whole-genome sequencing identifies recurrent mutations in chronic lymphocytic leukaemia. Nature 475, 101–105. https://doi.org/10.1038/nature10113</w:t>
      </w:r>
    </w:p>
    <w:p w14:paraId="13ECA7AF"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Queirós, A.C., Beekman, R., Vilarrasa-Blasi, R., Duran-Ferrer, M., Clot, G., Merkel, A., Raineri, E., Russiñol, N., Castellano, G., Beà, S., Navarro, A., Kulis, M., Verdaguer-Dot, N., Jares, P., Enjuanes, A., Calasanz, M.J., Bergmann, A., Vater, I., Salaverría, I., van de Werken, H.J.G., Wilson, W.H., Datta, A., Flicek, P., Royo, R., Martens, J., Giné, E., Lopez-Guillermo, A., Stunnenberg, H.G., Klapper, W., Pott, C., Heath, S., Gut, I.G., Siebert, R., Campo, E., Martín-Subero, J.I., 2016. Decoding the DNA Methylome of Mantle Cell Lymphoma in the Light of the Entire B Cell Lineage. Cancer Cell 30, 806–821. https://doi.org/10.1016/j.ccell.2016.09.014</w:t>
      </w:r>
    </w:p>
    <w:p w14:paraId="78E99C18"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Quesada, V., Conde, L., Villamor, N., Ordóñez, G.R., Jares, P., Bassaganyas, L., Ramsay, A.J., Beà, S., Pinyol, M., Martínez-Trillos, A., López-Guerra, M., Colomer, D., Navarro, A., Baumann, T., Aymerich, M., Rozman, M., Delgado, J., Giné, E., Hernández, J.M., González-Díaz, M., Puente, D.A., Velasco, G., Freije, J.M.P., Tubío, J.M.C., Royo, R., Gelpí, J.L., Orozco, M., Pisano, D.G., Zamora, J., Vázquez, M., Valencia, A., Himmelbauer, H., Bayés, M., Heath, S., Gut, M., Gut, I., Estivill, X., López-Guillermo, A., Puente, X.S., Campo, E., López-Otín, C., 2011. Exome sequencing identifies recurrent mutations of the splicing factor SF3B1 gene in chronic lymphocytic leukemia. Nat. Genet. 44, 47–52. https://doi.org/10.1038/ng.1032</w:t>
      </w:r>
    </w:p>
    <w:p w14:paraId="35163569"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Radtke, F., Wilson, A., MacDonald, H.R., 2004. Notch signaling in T- and B-cell development. Curr. Opin. Immunol. 16, 174–179. https://doi.org/10.1016/j.coi.2004.01.002</w:t>
      </w:r>
    </w:p>
    <w:p w14:paraId="300BDE2E"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Rampazzo, E., Bonaldi, L., Trentin, L., Visco, C., Keppel, S., Giunco, S., Frezzato, F., Facco, M., Novella, E., Giaretta, I., del Bianco, P., Semenzato, G., de Rossi, A., 2012. Telomere length and telomerase levels delineate subgroups of B-cell chronic lymphocytic leukemia with different biological characteristics and clinical outcomes. Haematologica 97, 56–63. https://doi.org/10.3324/haematol.2011.049874</w:t>
      </w:r>
    </w:p>
    <w:p w14:paraId="525746CD"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Rinaldi, A., Mian, M., Chigrinova, E., Arcaini, L., Bhagat, G., Novak, U., Rancoita, P.M. V., De Campos, C.P., Forconi, F., Gascoyne, R.D., Facchetti, F., Ponzoni, M., Govi, S., Ferreri, A.J.M., Mollejo, M., Piris, M.A., Baldini, L., Soulier, J., Thieblemont, C., Canzonieri, V., Gattei, V., Marasca, R., Franceschetti, S., Gaidano, G., Tucci, A., Uccella, S., Tibiletti, M.G., Dirnhofer, S., Tripodo, C., Doglioni, C., Dalla Favera, R., Cavalli, F., Zucca, E., Kwee, I., Bertoni, F., 2011. Genome-wide DNA profiling of marginal zone lymphomas identifies subtype-specific lesions with an impact on the clinical outcome. Blood 117, 1595–1604. https://doi.org/10.1182/blood-2010-01-264275</w:t>
      </w:r>
    </w:p>
    <w:p w14:paraId="79441A3C"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 xml:space="preserve">Robinson, J.E., Greiner, T.C., Bouska, A.C., Iqbal, J., Cutucache, C.E., 2020. Identification of a Splenic Marginal Zone Lymphoma Signature: Preliminary Findings With Diagnostic Potential. Front. Oncol. 10. </w:t>
      </w:r>
      <w:r w:rsidRPr="000359B3">
        <w:rPr>
          <w:rFonts w:ascii="Times New Roman" w:hAnsi="Times New Roman" w:cs="Times New Roman"/>
          <w:noProof/>
          <w:sz w:val="20"/>
          <w:szCs w:val="20"/>
        </w:rPr>
        <w:lastRenderedPageBreak/>
        <w:t>https://doi.org/10.3389/fonc.2020.00640</w:t>
      </w:r>
    </w:p>
    <w:p w14:paraId="44AF61FD"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Robledo, C., García, J.L., Benito, R., Flores, T., Mollejo, M., Martínez-Climent, J.Á., García, E., Gutiérrez, N.C., Piris, M.A., Hernández, J.M., 2011. Molecular Characterization of the Region 7q22.1 in Splenic Marginal Zone Lymphomas. PLoS One 6, e24939. https://doi.org/10.1371/journal.pone.0024939</w:t>
      </w:r>
    </w:p>
    <w:p w14:paraId="174EF9DC"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Rossi, D., Deaglio, S., Dominguez-Sola, D., Rasi, S., Vaisitti, T., Agostinelli, C., Spina, V., Bruscaggin, A., Monti, S., Cerri, M., Cresta, S., Fangazio, M., Arcaini, L., Lucioni, M., Marasca, R., Thieblemont, C., Capello, D., Facchetti, F., Kwee, I., Pileri, S. a, Foà, R., Bertoni, F., Dalla-Favera, R., Pasqualucci, L., Gaidano, G., 2011. Alteration of BIRC3 and multiple other NF-κB pathway genes in splenic marginal zone lymphoma. Blood 118, 4930–4934. https://doi.org/10.1182/blood-2011-06-359166</w:t>
      </w:r>
    </w:p>
    <w:p w14:paraId="4BD42352"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Rossi, D., Diop, F., Spaccarotella, E., Monti, S., Zanni, M., Rasi, S., Deambrogi, C., Spina, V., Bruscaggin, A., Favini, C., Serra, R., Ramponi, A., Boldorini, R., Foà, R., Gaidano, G., 2017. Diffuse large B-cell lymphoma genotyping on the liquid biopsy. Blood 129, 1947–1957. https://doi.org/10.1182/blood-2016-05-719641</w:t>
      </w:r>
    </w:p>
    <w:p w14:paraId="245BD5AF"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 xml:space="preserve">Rossi, D., Trifonov, V., Fangazio, M., Bruscaggin, A., Rasi, S., Spina, V., Monti, S., Vaisitti, T., Arruga, F., Famà, R., Ciardullo, C., Greco, M., Cresta, S., Piranda, D., Holmes, A., Fabbri, G., Messina, M., Rinaldi, A., Wang, J., Agostinelli, C., Piccaluga, P.P., Lucioni, M., Tabbò, F., Serra, R., Franceschetti, S., Deambrogi, C., Daniele, G., Gattei, V., Marasca, R., Facchetti, F., Arcaini, L., Inghirami, G., Bertoni, F., Pileri, S.A., Deaglio, S., Foà, R., Dalla-Favera, R., Pasqualucci, L., Rabadan, R., Gaidano, G., 2012. The coding genome of splenic marginal zone lymphoma: activation of </w:t>
      </w:r>
      <w:r w:rsidRPr="000359B3">
        <w:rPr>
          <w:rFonts w:ascii="Times New Roman" w:hAnsi="Times New Roman" w:cs="Times New Roman"/>
          <w:i/>
          <w:iCs/>
          <w:noProof/>
          <w:sz w:val="20"/>
          <w:szCs w:val="20"/>
        </w:rPr>
        <w:t>NOTCH2</w:t>
      </w:r>
      <w:r w:rsidRPr="000359B3">
        <w:rPr>
          <w:rFonts w:ascii="Times New Roman" w:hAnsi="Times New Roman" w:cs="Times New Roman"/>
          <w:noProof/>
          <w:sz w:val="20"/>
          <w:szCs w:val="20"/>
        </w:rPr>
        <w:t xml:space="preserve"> and other pathways regulating marginal zone development. J. Exp. Med. 209, 1537–1551. https://doi.org/10.1084/jem.20120904</w:t>
      </w:r>
    </w:p>
    <w:p w14:paraId="72216CB1"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Ruiz-Ballesteros, E., Mollejo, M., Mateo, M., Algara, P., Martínez, P., Piris, M.A., 2007. MicroRNA losses in the frequently deleted region of 7q in SMZL. Leukemia 21, 2547–9. https://doi.org/10.1038/sj.leu.2404853</w:t>
      </w:r>
    </w:p>
    <w:p w14:paraId="0753C581"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Ruiz-Ballesteros, E., Mollejo, M., Rodriguez, A., Camacho, F.I., Algara, P., Martinez, N., Pollán, M., Sanchez-Aguilera, A., Menarguez, J., Campo, E., Martinez, P., Mateo, M., Piris, M.A., 2005. Splenic marginal zone lymphoma: proposal of new diagnostic and prognostic markers identified after tissue and cDNA microarray analysis. Blood 106, 1831–1838. https://doi.org/10.1182/blood-2004-10-3898</w:t>
      </w:r>
    </w:p>
    <w:p w14:paraId="33CC9B70"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Sack, L.M., Davoli, T., Li, M.Z., Li, Y., Xu, Q., Naxerova, K., Wooten, E.C., Bernardi, R.J., Martin, T.D., Chen, T., Leng, Y., Liang, A.C., Scorsone, K.A., Westbrook, T.F., Wong, K.K., Elledge, S.J., 2018. Profound Tissue Specificity in Proliferation Control Underlies Cancer Drivers and Aneuploidy Patterns. Cell 173, 499-514.e23. https://doi.org/10.1016/j.cell.2018.02.037</w:t>
      </w:r>
    </w:p>
    <w:p w14:paraId="4B73ECA8"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Saito, T., Chiba, S., Ichikawa, M., Kunisato, A., Asai, T., Shimizu, K., Yamaguchi, T., Yamamoto, G., Seo, S., Kumano, K., Nakagami-Yamaguchi, E., Hamada, Y., Aizawa, S., Hirai, H., 2003. Notch2 is preferentially expressed in mature B cells and indispensable for marginal zone B lineage development. Immunity 18, 675–85. https://doi.org/10.1016/s1074-7613(03)00111-0</w:t>
      </w:r>
    </w:p>
    <w:p w14:paraId="394AC21F"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Salido, M., Baró, C., Oscier, D., Stamatopoulos, K., Dierlamm, J., Matutes, E., Traverse-Glehen, A., Berger, F., Felman, P., Thieblemont, C., Gesk, S., Athanasiadou, A., Davis, Z., Gardiner, A., Milla, F., Ferrer, A., Mollejo, M., Calasanz, M.J., Florensa, L., Espinet, B., Luño, E., Wlodarska, I., Verhoef, G., García-Granero, M., Salar, A., Papadaki, T., Serrano, S., Piris, M.A., Solé, F., 2010. Cytogenetic aberrations and their prognostic value in a series of 330 splenic marginal zone B-cell lymphomas: a multicenter study of the Splenic B-Cell Lymphoma Group. Blood 116, 1479–1488. https://doi.org/10.1182/blood-2010-02-267476</w:t>
      </w:r>
    </w:p>
    <w:p w14:paraId="0405F7FB"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Scarola, M., Schoeftner, S., Schneider, C., Benetti, R., 2010. miR-335 directly targets Rb1 (pRb/p105) in a proximal connection to p53-dependent stress response. Cancer Res. 70, 6925–6933. https://doi.org/10.1158/0008-5472.CAN-10-0141</w:t>
      </w:r>
    </w:p>
    <w:p w14:paraId="74070E0E"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Schmid, C., Kirkham, N., Diss, T., Isaacson, P.G., 1992. Splenic marginal zone cell lymphoma. Am. J. Surg. Pathol. 16, 455–466. https://doi.org/10.1097/00000478-199205000-00004</w:t>
      </w:r>
    </w:p>
    <w:p w14:paraId="4DB31FED"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Shanmugam, V., Craig, J.W., Hilton, L.K., Nguyen, M.H., Rushton, C.K., Fahimdanesh, K., Lovitch, S., Ferland, B., Scott, D.W., Aster, J.C., 2021. Notch activation is pervasive in SMZL and uncommon in DLBCL: implications for Notch signaling in B-cell tumors. Blood Adv. 5, 71–83. https://doi.org/10.1182/bloodadvances.2020002995</w:t>
      </w:r>
    </w:p>
    <w:p w14:paraId="6BDCB637"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Solé, C., Arnaiz, E., Lawrie, C.H., 2018. MicroRNAs as Biomarkers of B-cell Lymphoma. Biomark. Insights. https://doi.org/10.1177/1177271918806840</w:t>
      </w:r>
    </w:p>
    <w:p w14:paraId="0D474422"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Solé, F., Woessner, S., Florensa, L., Espinet, B., Mollejo, M., Martín, P., Piris, M.A., 1997. Frequent involvement of chromosomes 1, 3, 7 and 8 in splenic marginal zone B-cell lymphoma. Br. J. Haematol. 98, 446–449. https://doi.org/10.1046/j.1365-2141.1997.2163033.x</w:t>
      </w:r>
    </w:p>
    <w:p w14:paraId="020D926A"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 xml:space="preserve">Spina, V., Khiabanian, H., Messina, M., Monti, S., Cascione, L., Bruscaggin, A., Spaccarotella, E., Holmes, A.B., Arcaini, L., Lucioni, M., Tabbò, F., Zairis, S., Diop, F., Cerri, M., Chiaretti, S., Marasca, R., Ponzoni, M., Deaglio, S., Ramponi, A., Tiacci, E., Pasqualucci, L., Paulli, M., Falini, B., Bertoni, F., Foà, R., Rabadan, R., Gaidano, G., Rossi, D., 2016. The Genetics of Nodal Marginal Zone Lymphoma. Blood 128, 1362–1374. </w:t>
      </w:r>
      <w:r w:rsidRPr="000359B3">
        <w:rPr>
          <w:rFonts w:ascii="Times New Roman" w:hAnsi="Times New Roman" w:cs="Times New Roman"/>
          <w:noProof/>
          <w:sz w:val="20"/>
          <w:szCs w:val="20"/>
        </w:rPr>
        <w:lastRenderedPageBreak/>
        <w:t>https://doi.org/10.1182/blood-2016-02-696757.</w:t>
      </w:r>
    </w:p>
    <w:p w14:paraId="5DB6999D"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Spina, V., Rossi, D., 2016. NF-κB deregulation in splenic marginal zone lymphoma. Semin. Cancer Biol. 39, 61–67. https://doi.org/10.1016/j.semcancer.2016.08.002</w:t>
      </w:r>
    </w:p>
    <w:p w14:paraId="41300337"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Strefford, J.C., Kadalayil, L., Forster, J., Rose-Zerilli, M.J.J., Parker, A., Lin, T.T., Heppel, N., Norris, K., Gardiner, A., Davies, Z., Gonzalez De Castro, D., Else, M., Steele, A.J., Parker, H., Stankovic, T., Pepper, C., Fegan, C., Baird, D., Collins, A., Catovsky, D., Oscier, D.G., 2015. Telomere length predicts progression and overall survival in chronic lymphocytic leukemia: Data from the UK LRF CLL4 trial. Leukemia. https://doi.org/10.1038/leu.2015.217</w:t>
      </w:r>
    </w:p>
    <w:p w14:paraId="69F82407"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Su, I.H., Basavaraj, A., Krutchinsky, A.N., Hobert, O., Ullrich, A., Chait, B.T., Tarakhovsky, A., 2003. Ezh2 controls B cell development through histone H3 methylation and Igh rearrangement. Nat. Immunol. 4, 124–131. https://doi.org/10.1038/ni876</w:t>
      </w:r>
    </w:p>
    <w:p w14:paraId="6F8B1295"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Swerdlow, S.H., Campo, E., Harris, N.L., Jaffe, E.S., Pileri, S.A., Stein, H., Thiele, J., Vardiman, J.W., 2008. WHO Classification of Tumours of Haematopoietic and Lymphoid Tissues, Rev. 4th e. ed. International Agency for Research on Cancer, Lyon.</w:t>
      </w:r>
    </w:p>
    <w:p w14:paraId="4554C980"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Swerdlow, S.H., Campo, E., Pileri, S.A., Harris, N.L., Stein, H., Siebert, R., Advani, R., Ghielmini, M., Salles, G.A., Zelenetz, A.D., Jaffe, E.S., 2016. The 2016 revision of the World Health Organization classification of lymphoid neoplasms. Blood 127, 2375–2390. https://doi.org/10.1182/blood-2016-01-643569</w:t>
      </w:r>
    </w:p>
    <w:p w14:paraId="60C31894"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Tanigaki, K., Han, H., Yamamoto, N., Tashiro, K., Ikegawa, M., Kuroda, K., Suzuki, A., Nakano, T., Honjo, T., 2002. Notch-RBP-J signaling is involved in cell fate determination of marginal zone B cells. Nat. Immunol. 3, 443–50. https://doi.org/10.1038/ni793</w:t>
      </w:r>
    </w:p>
    <w:p w14:paraId="3792C0E1"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Tarantelli, C., Lange, M., Gaudio, E., Cascione, L., Spriano, F., Kwee, I., Arribas, A.J., Rinaldi, A., Jourdan, T., Berthold, M., Sturz, A., Sperl, C., Margheriti, F., Scalise, L., Gritti, G., Rossi, D., Stathis, A., Liu, N., Zucca, E., Politz, O., Bertoni, F., 2020. Copanlisib synergizes with conventional and targeted agents including venetoclax in B- And T-cell lymphoma models. Blood Adv. 4, 819–829. https://doi.org/10.1182/bloodadvances.2019000844</w:t>
      </w:r>
    </w:p>
    <w:p w14:paraId="13FE4CC9"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Thompson, P.A., O’Brien, S.M., Wierda, W.G., Ferrajoli, A., Stingo, F., Smith, S.C., Burger, J.A., Estrov, Z., Jain, N., Kantarjian, H.M., Keating, M.J., 2015. Complex karyotype is a stronger predictor than del(17p) for an inferior outcome in relapsed or refractory chronic lymphocytic leukemia patients treated with ibrutinib-based regimens. Cancer 121, 3612–3621. https://doi.org/10.1002/cncr.29566</w:t>
      </w:r>
    </w:p>
    <w:p w14:paraId="1DD474B7"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Traverse-Glehen, A., Baseggio, L., Salles, G., Coiffier, B., Felman, P., Berger, F., 2012. Splenic diffuse red pulp small-B cell lymphoma: toward the emergence of a new  lymphoma entity. Discov. Med. 13, 253–265.</w:t>
      </w:r>
    </w:p>
    <w:p w14:paraId="7A8E6512"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Trøen, G., Nygaard, V., Jenssen, T.K., Ikonomou, I.M., Tierens, A., Matutes, E., Gruszka-Westwood, A., Catovsky, D., Myklebost, O., Lauritzsen, G., Hovig, E., Delabie, J., 2004. Constitutive expression of the AP-1 transcription factors c-jun, junD, junB, and c-fos and the marginal zone B-cell transcription factor notch2 in splenic marginal zone lymphoma. J. Mol. Diagnostics 6, 297–307. https://doi.org/10.1016/S1525-1578(10)60525-9</w:t>
      </w:r>
    </w:p>
    <w:p w14:paraId="43C86684"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Troussard, X., Mauvieux, L., Radford-Weiss, I., Rack, K., Valensi, F., Garand, R., Vekemans, M., Flandrin, G., Macintyre, E.A., 1998. Genetic analysis of splenic lymphoma with villous lymphocytes: A Groupe Francais d’Hematologie Cellulaire (GFHC) study. Br. J. Haematol. 101, 712–721. https://doi.org/10.1046/j.1365-2141.1998.00764.x</w:t>
      </w:r>
    </w:p>
    <w:p w14:paraId="7A119CE8"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Venugopal, S., Mascarenhas, J., Steensma, D.P., 2020. Loss of 5q in myeloid malignancies – A gain in understanding of biological and clinical consequences. Blood Rev. https://doi.org/10.1016/j.blre.2020.100735</w:t>
      </w:r>
    </w:p>
    <w:p w14:paraId="10BD7103"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Watkins, A.J., Hamoudi, R.A., Zeng, N., Yan, Q., Huang, Y., Liu, H., Zhang, J., Braggio, E., Fonseca, R., de Leval, L., Isaacson, P.G., Wotherspoon, A., McPhail, E.D., Dogan, A., Du, M.-Q., 2012. An integrated genomic and expression analysis of 7q deletion in splenic marginal zone lymphoma. PLoS One 7, e44997. https://doi.org/10.1371/journal.pone.0044997</w:t>
      </w:r>
    </w:p>
    <w:p w14:paraId="4EA535F6"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Watkins, J., Huang, Y., Ye, H., Chanudet, E., Johnson, N., Hamoudi, R., Liu, H., Dong, G., Attygalle, A., McPhail, E.D., Law, M.E., Isaacson, P.G., de Leval, L., Wotherspoon, A., Du, M.-Q., 2010. Splenic marginal zone lymphoma: characterization of 7q deletion and its value in diagnosis. J. Pathol. 220, 114–125. https://doi.org/10.1002/path</w:t>
      </w:r>
    </w:p>
    <w:p w14:paraId="33140F36"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Winkelmann, R., Sandrock, L., Porstner, M., Roth, E., Mathews, M., Hobeika, E., Reth, M., Kahn, M.L., Schuh, W., Jäck, H.-M., 2011. B cell homeostasis and plasma cell homing controlled by Krüppel-like factor 2. Proc. Natl. Acad. Sci. U. S. A. 108, 710–5. https://doi.org/10.1073/pnas.1012858108</w:t>
      </w:r>
    </w:p>
    <w:p w14:paraId="2398533A"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 xml:space="preserve">Xochelli, A., Bikos, V., Polychronidou, E., Galigalidou, C., Agathangelidis, A., Charlotte, F., Moschonas, P., Davis, Z., Colombo, M., Roumelioti, M., Sutton, L.-A., Groenen, P., van den Brand, M., Boudjoghra, M., Algara, P., Traverse-Glehen, A., Ferrer, A., Stalika, E., Karypidou, M., Kanellis, G., Kalpadakis, C., Mollejo, M., Pangalis, G., Vlamos, P., Amini, R.-M., Pospisilova, S., Gonzalez, D., Ponzoni, M., Anagnostopoulos, A., Giudicelli, V., </w:t>
      </w:r>
      <w:r w:rsidRPr="000359B3">
        <w:rPr>
          <w:rFonts w:ascii="Times New Roman" w:hAnsi="Times New Roman" w:cs="Times New Roman"/>
          <w:noProof/>
          <w:sz w:val="20"/>
          <w:szCs w:val="20"/>
        </w:rPr>
        <w:lastRenderedPageBreak/>
        <w:t>Lefranc, M.-P., Espinet, B., Panagiotidis, P., Piris, M.A., Du, M.-Q., Rosenquist, R., Papadaki, T., Belessi, C., Ferrarini, M., Oscier, D., Tzovaras, D., Ghia, P., Davi, F., Hadzidimitriou, A., Stamatopoulos, K., 2019. Disease-biased and shared characteristics of the immunoglobulin gene repertoires in marginal zone B cell lymphoproliferations. J. Pathol. 247, 416–421. https://doi.org/10.1002/path.5209</w:t>
      </w:r>
    </w:p>
    <w:p w14:paraId="25BD8BEC"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Xochelli, A., Kalpadakis, C., Gardiner, A., Baliakas, P., Vassilakopoulos, T.P., Mould, S., Davis, Z., Stalika, E., Kanellis, G., Angelopoulou, M.K., McIver-Brown, N., Ibbotson, R., Sachanas, S., Korkolopoulou, P., Athanasiadou, A., Anagnostopoulos, A., Papadaki, H.A., Papadaki, T., Stamatopoulos, K., Pangalis, G.A., Oscier, D., 2014. Clonal B-cell lymphocytosis exhibiting immunophenotypic features consistent with a marginal-zone origin: is this a distinct entity? Blood 123, 1199–1206. https://doi.org/10.1182/blood-2013-07-515155</w:t>
      </w:r>
    </w:p>
    <w:p w14:paraId="73ADAAE2"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Yan, Q., Huang, Y., James Watkins, A., Kocialkowski, S., Zeng, N., Hamoudi, R.A., Isaacson, P.G., de Leval, L., Wotherspoon, A., Du, M.Q., 2012. BCR and TLR signaling pathways are recurrently targeted by genetic changes in splenic marginal zone lymphomas. Haematologica 97, 595–598. https://doi.org/10.3324/haematol.2011.054080</w:t>
      </w:r>
    </w:p>
    <w:p w14:paraId="68818B3F"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Zhang, J., Dominguez-Sola, D., Hussein, S., Lee, J.-E., Holmes, A.B., Bansal, M., Vlasevska, S., Mo, T., Tang, H., Basso, K., Ge, K., Dalla-Favera, R., Pasqualucci, L., 2015. Disruption of KMT2D perturbs germinal center B cell development and promotes lymphomagenesis. Nat. Med. 21, 1190–1198. https://doi.org/10.1038/nm.3940</w:t>
      </w:r>
    </w:p>
    <w:p w14:paraId="4CC7E67F"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Zhou, W., Dinh, H.Q., Ramjan, Z., Weisenberger, D.J., Nicolet, C.M., Shen, H., Laird, P.W., Berman, B.P., 2018. DNA methylation loss in late-replicating domains is linked to mitotic cell division. Nat. Genet. 50, 591–602. https://doi.org/10.1038/s41588-018-0073-4</w:t>
      </w:r>
    </w:p>
    <w:p w14:paraId="2BE28495"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Zhu, D., Oscier, D.G., Stevenson, F.K., 1995. Splenic lymphoma with villous lymphocytes involves B cells with extensively mutated  Ig heavy chain variable region genes. Blood 85, 1603–1607.</w:t>
      </w:r>
    </w:p>
    <w:p w14:paraId="2C0517EE"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Ziller, M.J., Gu, H., Müller, F., Donaghey, J., Tsai, L.T.Y., Kohlbacher, O., De Jager, P.L., Rosen, E.D., Bennett, D.A., Bernstein, B.E., Gnirke, A., Meissner, A., 2013. Charting a dynamic DNA methylation landscape of the human genome. Nature 500, 477–481. https://doi.org/10.1038/nature12433</w:t>
      </w:r>
    </w:p>
    <w:p w14:paraId="5A73CA18"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Zinzani, P., Samaniego, F., Jurczak, W., Lech-Maranda, E., Ghosh, N., Anz, B., Patten, P., Reeves, J., Leslie, L.A., Smolewski, P., Chavez, J.C., Scarfo, L., Derenzini, E., Burke, J.M., Sharman, J., Kolibaba, K., O’Connor, O.A., Cheah, C.Y., Miskin, H.P., Sportelli, P., Weiss, M.S., Fowler, N.H., 2019. UMBRALISIB MONOTHERAPY DEMONSTRATES EFFICACY AND SAFETY IN PATIENTS WITH RELAPSED/REFRACTORY MARGINAL ZONE LYMPHOMA: A MULTICENTER, OPEN-LABEL, REGISTRATION DIRECTED PHASE 2 STUDY. Hematol. Oncol. 37, 182–183. https://doi.org/10.1002/hon.139_2629</w:t>
      </w:r>
    </w:p>
    <w:p w14:paraId="271CE33F" w14:textId="77777777" w:rsidR="000359B3" w:rsidRPr="000359B3" w:rsidRDefault="000359B3" w:rsidP="000359B3">
      <w:pPr>
        <w:widowControl w:val="0"/>
        <w:autoSpaceDE w:val="0"/>
        <w:autoSpaceDN w:val="0"/>
        <w:adjustRightInd w:val="0"/>
        <w:spacing w:before="0" w:after="0" w:line="240" w:lineRule="auto"/>
        <w:ind w:left="480" w:hanging="480"/>
        <w:rPr>
          <w:rFonts w:ascii="Times New Roman" w:hAnsi="Times New Roman" w:cs="Times New Roman"/>
          <w:noProof/>
          <w:sz w:val="20"/>
          <w:szCs w:val="20"/>
        </w:rPr>
      </w:pPr>
      <w:r w:rsidRPr="000359B3">
        <w:rPr>
          <w:rFonts w:ascii="Times New Roman" w:hAnsi="Times New Roman" w:cs="Times New Roman"/>
          <w:noProof/>
          <w:sz w:val="20"/>
          <w:szCs w:val="20"/>
        </w:rPr>
        <w:t>Zucca, E., Arcaini, L., Buske, C., Johnson, P.W., Ponzoni, M., Raderer, M., Ricardi, U., Salar, A., Stamatopoulos, K., Thieblemont, C., Wotherspoon, A., Ladetto, M., ESMO Guidelines Committee. Electronic address: clinicalguidelines@esmo.org, 2020. Marginal zone lymphomas: ESMO Clinical Practice Guidelines for diagnosis, treatment and follow-up. Ann. Oncol.  Off. J. Eur. Soc. Med. Oncol. 31, 17–29. https://doi.org/10.1016/j.annonc.2019.10.010</w:t>
      </w:r>
    </w:p>
    <w:p w14:paraId="754BA4CC" w14:textId="0C178224" w:rsidR="000359B3" w:rsidRPr="00002888" w:rsidRDefault="000359B3" w:rsidP="000359B3">
      <w:pPr>
        <w:spacing w:before="0" w:after="0" w:line="240" w:lineRule="auto"/>
        <w:jc w:val="left"/>
        <w:rPr>
          <w:rFonts w:ascii="Times New Roman" w:hAnsi="Times New Roman" w:cs="Times New Roman"/>
          <w:color w:val="000000"/>
          <w:sz w:val="24"/>
          <w:szCs w:val="24"/>
          <w:lang w:val="en-GB"/>
        </w:rPr>
      </w:pPr>
      <w:r w:rsidRPr="000359B3">
        <w:rPr>
          <w:rFonts w:ascii="Times New Roman" w:hAnsi="Times New Roman" w:cs="Times New Roman"/>
          <w:color w:val="000000"/>
          <w:sz w:val="20"/>
          <w:szCs w:val="20"/>
          <w:lang w:val="en-GB"/>
        </w:rPr>
        <w:fldChar w:fldCharType="end"/>
      </w:r>
    </w:p>
    <w:sectPr w:rsidR="000359B3" w:rsidRPr="00002888" w:rsidSect="002959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roman"/>
    <w:pitch w:val="variable"/>
    <w:sig w:usb0="E0002EFF" w:usb1="C000785B" w:usb2="00000009" w:usb3="00000000" w:csb0="000001FF" w:csb1="00000000"/>
  </w:font>
</w:fonts>
</file>

<file path=word/intelligence.xml><?xml version="1.0" encoding="utf-8"?>
<int:Intelligence xmlns:oel="http://schemas.microsoft.com/office/2019/extlst" xmlns:int="http://schemas.microsoft.com/office/intelligence/2019/intelligence">
  <int:IntelligenceSettings>
    <int:extLst>
      <oel:ext uri="74B372B9-2EFF-4315-9A3F-32BA87CA82B1">
        <int:Goals Version="1" Formality="1"/>
      </oel:ext>
    </int:extLst>
  </int:IntelligenceSettings>
  <int:Manifest>
    <int:WordHash hashCode="0lXQ0GySJQ8tJA" id="HBCJ5oD6"/>
  </int:Manifest>
  <int:Observations>
    <int:Content id="HBCJ5oD6">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B4F12"/>
    <w:multiLevelType w:val="multilevel"/>
    <w:tmpl w:val="5C688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7029E5"/>
    <w:multiLevelType w:val="hybridMultilevel"/>
    <w:tmpl w:val="E410EC6A"/>
    <w:lvl w:ilvl="0" w:tplc="59B04B82">
      <w:start w:val="1"/>
      <w:numFmt w:val="bullet"/>
      <w:lvlText w:val=""/>
      <w:lvlJc w:val="left"/>
      <w:pPr>
        <w:tabs>
          <w:tab w:val="num" w:pos="720"/>
        </w:tabs>
        <w:ind w:left="720" w:hanging="360"/>
      </w:pPr>
      <w:rPr>
        <w:rFonts w:ascii="Symbol" w:hAnsi="Symbol" w:hint="default"/>
        <w:sz w:val="20"/>
      </w:rPr>
    </w:lvl>
    <w:lvl w:ilvl="1" w:tplc="09B02416" w:tentative="1">
      <w:start w:val="1"/>
      <w:numFmt w:val="bullet"/>
      <w:lvlText w:val="o"/>
      <w:lvlJc w:val="left"/>
      <w:pPr>
        <w:tabs>
          <w:tab w:val="num" w:pos="1440"/>
        </w:tabs>
        <w:ind w:left="1440" w:hanging="360"/>
      </w:pPr>
      <w:rPr>
        <w:rFonts w:ascii="Courier New" w:hAnsi="Courier New" w:hint="default"/>
        <w:sz w:val="20"/>
      </w:rPr>
    </w:lvl>
    <w:lvl w:ilvl="2" w:tplc="BD82A0E6" w:tentative="1">
      <w:start w:val="1"/>
      <w:numFmt w:val="bullet"/>
      <w:lvlText w:val=""/>
      <w:lvlJc w:val="left"/>
      <w:pPr>
        <w:tabs>
          <w:tab w:val="num" w:pos="2160"/>
        </w:tabs>
        <w:ind w:left="2160" w:hanging="360"/>
      </w:pPr>
      <w:rPr>
        <w:rFonts w:ascii="Wingdings" w:hAnsi="Wingdings" w:hint="default"/>
        <w:sz w:val="20"/>
      </w:rPr>
    </w:lvl>
    <w:lvl w:ilvl="3" w:tplc="2DDA6332" w:tentative="1">
      <w:start w:val="1"/>
      <w:numFmt w:val="bullet"/>
      <w:lvlText w:val=""/>
      <w:lvlJc w:val="left"/>
      <w:pPr>
        <w:tabs>
          <w:tab w:val="num" w:pos="2880"/>
        </w:tabs>
        <w:ind w:left="2880" w:hanging="360"/>
      </w:pPr>
      <w:rPr>
        <w:rFonts w:ascii="Wingdings" w:hAnsi="Wingdings" w:hint="default"/>
        <w:sz w:val="20"/>
      </w:rPr>
    </w:lvl>
    <w:lvl w:ilvl="4" w:tplc="02864342" w:tentative="1">
      <w:start w:val="1"/>
      <w:numFmt w:val="bullet"/>
      <w:lvlText w:val=""/>
      <w:lvlJc w:val="left"/>
      <w:pPr>
        <w:tabs>
          <w:tab w:val="num" w:pos="3600"/>
        </w:tabs>
        <w:ind w:left="3600" w:hanging="360"/>
      </w:pPr>
      <w:rPr>
        <w:rFonts w:ascii="Wingdings" w:hAnsi="Wingdings" w:hint="default"/>
        <w:sz w:val="20"/>
      </w:rPr>
    </w:lvl>
    <w:lvl w:ilvl="5" w:tplc="B93CEBB2" w:tentative="1">
      <w:start w:val="1"/>
      <w:numFmt w:val="bullet"/>
      <w:lvlText w:val=""/>
      <w:lvlJc w:val="left"/>
      <w:pPr>
        <w:tabs>
          <w:tab w:val="num" w:pos="4320"/>
        </w:tabs>
        <w:ind w:left="4320" w:hanging="360"/>
      </w:pPr>
      <w:rPr>
        <w:rFonts w:ascii="Wingdings" w:hAnsi="Wingdings" w:hint="default"/>
        <w:sz w:val="20"/>
      </w:rPr>
    </w:lvl>
    <w:lvl w:ilvl="6" w:tplc="B87E343C" w:tentative="1">
      <w:start w:val="1"/>
      <w:numFmt w:val="bullet"/>
      <w:lvlText w:val=""/>
      <w:lvlJc w:val="left"/>
      <w:pPr>
        <w:tabs>
          <w:tab w:val="num" w:pos="5040"/>
        </w:tabs>
        <w:ind w:left="5040" w:hanging="360"/>
      </w:pPr>
      <w:rPr>
        <w:rFonts w:ascii="Wingdings" w:hAnsi="Wingdings" w:hint="default"/>
        <w:sz w:val="20"/>
      </w:rPr>
    </w:lvl>
    <w:lvl w:ilvl="7" w:tplc="3E32770C" w:tentative="1">
      <w:start w:val="1"/>
      <w:numFmt w:val="bullet"/>
      <w:lvlText w:val=""/>
      <w:lvlJc w:val="left"/>
      <w:pPr>
        <w:tabs>
          <w:tab w:val="num" w:pos="5760"/>
        </w:tabs>
        <w:ind w:left="5760" w:hanging="360"/>
      </w:pPr>
      <w:rPr>
        <w:rFonts w:ascii="Wingdings" w:hAnsi="Wingdings" w:hint="default"/>
        <w:sz w:val="20"/>
      </w:rPr>
    </w:lvl>
    <w:lvl w:ilvl="8" w:tplc="6700D5A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851A64"/>
    <w:multiLevelType w:val="hybridMultilevel"/>
    <w:tmpl w:val="37144806"/>
    <w:lvl w:ilvl="0" w:tplc="0EFEA23C">
      <w:start w:val="1"/>
      <w:numFmt w:val="bullet"/>
      <w:lvlText w:val=""/>
      <w:lvlJc w:val="left"/>
      <w:pPr>
        <w:tabs>
          <w:tab w:val="num" w:pos="720"/>
        </w:tabs>
        <w:ind w:left="720" w:hanging="360"/>
      </w:pPr>
      <w:rPr>
        <w:rFonts w:ascii="Symbol" w:hAnsi="Symbol" w:hint="default"/>
        <w:sz w:val="20"/>
      </w:rPr>
    </w:lvl>
    <w:lvl w:ilvl="1" w:tplc="7B7EF0DC" w:tentative="1">
      <w:start w:val="1"/>
      <w:numFmt w:val="bullet"/>
      <w:lvlText w:val="o"/>
      <w:lvlJc w:val="left"/>
      <w:pPr>
        <w:tabs>
          <w:tab w:val="num" w:pos="1440"/>
        </w:tabs>
        <w:ind w:left="1440" w:hanging="360"/>
      </w:pPr>
      <w:rPr>
        <w:rFonts w:ascii="Courier New" w:hAnsi="Courier New" w:hint="default"/>
        <w:sz w:val="20"/>
      </w:rPr>
    </w:lvl>
    <w:lvl w:ilvl="2" w:tplc="C04C9F00" w:tentative="1">
      <w:start w:val="1"/>
      <w:numFmt w:val="bullet"/>
      <w:lvlText w:val=""/>
      <w:lvlJc w:val="left"/>
      <w:pPr>
        <w:tabs>
          <w:tab w:val="num" w:pos="2160"/>
        </w:tabs>
        <w:ind w:left="2160" w:hanging="360"/>
      </w:pPr>
      <w:rPr>
        <w:rFonts w:ascii="Wingdings" w:hAnsi="Wingdings" w:hint="default"/>
        <w:sz w:val="20"/>
      </w:rPr>
    </w:lvl>
    <w:lvl w:ilvl="3" w:tplc="6352B9B2" w:tentative="1">
      <w:start w:val="1"/>
      <w:numFmt w:val="bullet"/>
      <w:lvlText w:val=""/>
      <w:lvlJc w:val="left"/>
      <w:pPr>
        <w:tabs>
          <w:tab w:val="num" w:pos="2880"/>
        </w:tabs>
        <w:ind w:left="2880" w:hanging="360"/>
      </w:pPr>
      <w:rPr>
        <w:rFonts w:ascii="Wingdings" w:hAnsi="Wingdings" w:hint="default"/>
        <w:sz w:val="20"/>
      </w:rPr>
    </w:lvl>
    <w:lvl w:ilvl="4" w:tplc="92B6DB74" w:tentative="1">
      <w:start w:val="1"/>
      <w:numFmt w:val="bullet"/>
      <w:lvlText w:val=""/>
      <w:lvlJc w:val="left"/>
      <w:pPr>
        <w:tabs>
          <w:tab w:val="num" w:pos="3600"/>
        </w:tabs>
        <w:ind w:left="3600" w:hanging="360"/>
      </w:pPr>
      <w:rPr>
        <w:rFonts w:ascii="Wingdings" w:hAnsi="Wingdings" w:hint="default"/>
        <w:sz w:val="20"/>
      </w:rPr>
    </w:lvl>
    <w:lvl w:ilvl="5" w:tplc="A09C187C" w:tentative="1">
      <w:start w:val="1"/>
      <w:numFmt w:val="bullet"/>
      <w:lvlText w:val=""/>
      <w:lvlJc w:val="left"/>
      <w:pPr>
        <w:tabs>
          <w:tab w:val="num" w:pos="4320"/>
        </w:tabs>
        <w:ind w:left="4320" w:hanging="360"/>
      </w:pPr>
      <w:rPr>
        <w:rFonts w:ascii="Wingdings" w:hAnsi="Wingdings" w:hint="default"/>
        <w:sz w:val="20"/>
      </w:rPr>
    </w:lvl>
    <w:lvl w:ilvl="6" w:tplc="B916FA4A" w:tentative="1">
      <w:start w:val="1"/>
      <w:numFmt w:val="bullet"/>
      <w:lvlText w:val=""/>
      <w:lvlJc w:val="left"/>
      <w:pPr>
        <w:tabs>
          <w:tab w:val="num" w:pos="5040"/>
        </w:tabs>
        <w:ind w:left="5040" w:hanging="360"/>
      </w:pPr>
      <w:rPr>
        <w:rFonts w:ascii="Wingdings" w:hAnsi="Wingdings" w:hint="default"/>
        <w:sz w:val="20"/>
      </w:rPr>
    </w:lvl>
    <w:lvl w:ilvl="7" w:tplc="B4EC5436" w:tentative="1">
      <w:start w:val="1"/>
      <w:numFmt w:val="bullet"/>
      <w:lvlText w:val=""/>
      <w:lvlJc w:val="left"/>
      <w:pPr>
        <w:tabs>
          <w:tab w:val="num" w:pos="5760"/>
        </w:tabs>
        <w:ind w:left="5760" w:hanging="360"/>
      </w:pPr>
      <w:rPr>
        <w:rFonts w:ascii="Wingdings" w:hAnsi="Wingdings" w:hint="default"/>
        <w:sz w:val="20"/>
      </w:rPr>
    </w:lvl>
    <w:lvl w:ilvl="8" w:tplc="26B2D99E"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D34A7B"/>
    <w:multiLevelType w:val="hybridMultilevel"/>
    <w:tmpl w:val="433CD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601048"/>
    <w:multiLevelType w:val="hybridMultilevel"/>
    <w:tmpl w:val="78967A12"/>
    <w:lvl w:ilvl="0" w:tplc="9E967E40">
      <w:start w:val="1"/>
      <w:numFmt w:val="bullet"/>
      <w:lvlText w:val=""/>
      <w:lvlJc w:val="left"/>
      <w:pPr>
        <w:tabs>
          <w:tab w:val="num" w:pos="720"/>
        </w:tabs>
        <w:ind w:left="720" w:hanging="360"/>
      </w:pPr>
      <w:rPr>
        <w:rFonts w:ascii="Symbol" w:hAnsi="Symbol" w:hint="default"/>
        <w:sz w:val="20"/>
      </w:rPr>
    </w:lvl>
    <w:lvl w:ilvl="1" w:tplc="03369206" w:tentative="1">
      <w:start w:val="1"/>
      <w:numFmt w:val="bullet"/>
      <w:lvlText w:val="o"/>
      <w:lvlJc w:val="left"/>
      <w:pPr>
        <w:tabs>
          <w:tab w:val="num" w:pos="1440"/>
        </w:tabs>
        <w:ind w:left="1440" w:hanging="360"/>
      </w:pPr>
      <w:rPr>
        <w:rFonts w:ascii="Courier New" w:hAnsi="Courier New" w:hint="default"/>
        <w:sz w:val="20"/>
      </w:rPr>
    </w:lvl>
    <w:lvl w:ilvl="2" w:tplc="930A5F6E" w:tentative="1">
      <w:start w:val="1"/>
      <w:numFmt w:val="bullet"/>
      <w:lvlText w:val=""/>
      <w:lvlJc w:val="left"/>
      <w:pPr>
        <w:tabs>
          <w:tab w:val="num" w:pos="2160"/>
        </w:tabs>
        <w:ind w:left="2160" w:hanging="360"/>
      </w:pPr>
      <w:rPr>
        <w:rFonts w:ascii="Wingdings" w:hAnsi="Wingdings" w:hint="default"/>
        <w:sz w:val="20"/>
      </w:rPr>
    </w:lvl>
    <w:lvl w:ilvl="3" w:tplc="7E0E3D5E" w:tentative="1">
      <w:start w:val="1"/>
      <w:numFmt w:val="bullet"/>
      <w:lvlText w:val=""/>
      <w:lvlJc w:val="left"/>
      <w:pPr>
        <w:tabs>
          <w:tab w:val="num" w:pos="2880"/>
        </w:tabs>
        <w:ind w:left="2880" w:hanging="360"/>
      </w:pPr>
      <w:rPr>
        <w:rFonts w:ascii="Wingdings" w:hAnsi="Wingdings" w:hint="default"/>
        <w:sz w:val="20"/>
      </w:rPr>
    </w:lvl>
    <w:lvl w:ilvl="4" w:tplc="D3F64594" w:tentative="1">
      <w:start w:val="1"/>
      <w:numFmt w:val="bullet"/>
      <w:lvlText w:val=""/>
      <w:lvlJc w:val="left"/>
      <w:pPr>
        <w:tabs>
          <w:tab w:val="num" w:pos="3600"/>
        </w:tabs>
        <w:ind w:left="3600" w:hanging="360"/>
      </w:pPr>
      <w:rPr>
        <w:rFonts w:ascii="Wingdings" w:hAnsi="Wingdings" w:hint="default"/>
        <w:sz w:val="20"/>
      </w:rPr>
    </w:lvl>
    <w:lvl w:ilvl="5" w:tplc="9AA09A58" w:tentative="1">
      <w:start w:val="1"/>
      <w:numFmt w:val="bullet"/>
      <w:lvlText w:val=""/>
      <w:lvlJc w:val="left"/>
      <w:pPr>
        <w:tabs>
          <w:tab w:val="num" w:pos="4320"/>
        </w:tabs>
        <w:ind w:left="4320" w:hanging="360"/>
      </w:pPr>
      <w:rPr>
        <w:rFonts w:ascii="Wingdings" w:hAnsi="Wingdings" w:hint="default"/>
        <w:sz w:val="20"/>
      </w:rPr>
    </w:lvl>
    <w:lvl w:ilvl="6" w:tplc="B23C2D08" w:tentative="1">
      <w:start w:val="1"/>
      <w:numFmt w:val="bullet"/>
      <w:lvlText w:val=""/>
      <w:lvlJc w:val="left"/>
      <w:pPr>
        <w:tabs>
          <w:tab w:val="num" w:pos="5040"/>
        </w:tabs>
        <w:ind w:left="5040" w:hanging="360"/>
      </w:pPr>
      <w:rPr>
        <w:rFonts w:ascii="Wingdings" w:hAnsi="Wingdings" w:hint="default"/>
        <w:sz w:val="20"/>
      </w:rPr>
    </w:lvl>
    <w:lvl w:ilvl="7" w:tplc="04CECC56" w:tentative="1">
      <w:start w:val="1"/>
      <w:numFmt w:val="bullet"/>
      <w:lvlText w:val=""/>
      <w:lvlJc w:val="left"/>
      <w:pPr>
        <w:tabs>
          <w:tab w:val="num" w:pos="5760"/>
        </w:tabs>
        <w:ind w:left="5760" w:hanging="360"/>
      </w:pPr>
      <w:rPr>
        <w:rFonts w:ascii="Wingdings" w:hAnsi="Wingdings" w:hint="default"/>
        <w:sz w:val="20"/>
      </w:rPr>
    </w:lvl>
    <w:lvl w:ilvl="8" w:tplc="9BE2C49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2876A7"/>
    <w:multiLevelType w:val="hybridMultilevel"/>
    <w:tmpl w:val="6DE20C34"/>
    <w:lvl w:ilvl="0" w:tplc="3950FBA4">
      <w:start w:val="1"/>
      <w:numFmt w:val="bullet"/>
      <w:lvlText w:val=""/>
      <w:lvlJc w:val="left"/>
      <w:pPr>
        <w:tabs>
          <w:tab w:val="num" w:pos="720"/>
        </w:tabs>
        <w:ind w:left="720" w:hanging="360"/>
      </w:pPr>
      <w:rPr>
        <w:rFonts w:ascii="Symbol" w:hAnsi="Symbol" w:hint="default"/>
        <w:sz w:val="20"/>
      </w:rPr>
    </w:lvl>
    <w:lvl w:ilvl="1" w:tplc="5A18A856" w:tentative="1">
      <w:start w:val="1"/>
      <w:numFmt w:val="bullet"/>
      <w:lvlText w:val="o"/>
      <w:lvlJc w:val="left"/>
      <w:pPr>
        <w:tabs>
          <w:tab w:val="num" w:pos="1440"/>
        </w:tabs>
        <w:ind w:left="1440" w:hanging="360"/>
      </w:pPr>
      <w:rPr>
        <w:rFonts w:ascii="Courier New" w:hAnsi="Courier New" w:hint="default"/>
        <w:sz w:val="20"/>
      </w:rPr>
    </w:lvl>
    <w:lvl w:ilvl="2" w:tplc="677425DE" w:tentative="1">
      <w:start w:val="1"/>
      <w:numFmt w:val="bullet"/>
      <w:lvlText w:val=""/>
      <w:lvlJc w:val="left"/>
      <w:pPr>
        <w:tabs>
          <w:tab w:val="num" w:pos="2160"/>
        </w:tabs>
        <w:ind w:left="2160" w:hanging="360"/>
      </w:pPr>
      <w:rPr>
        <w:rFonts w:ascii="Wingdings" w:hAnsi="Wingdings" w:hint="default"/>
        <w:sz w:val="20"/>
      </w:rPr>
    </w:lvl>
    <w:lvl w:ilvl="3" w:tplc="2F0667EA" w:tentative="1">
      <w:start w:val="1"/>
      <w:numFmt w:val="bullet"/>
      <w:lvlText w:val=""/>
      <w:lvlJc w:val="left"/>
      <w:pPr>
        <w:tabs>
          <w:tab w:val="num" w:pos="2880"/>
        </w:tabs>
        <w:ind w:left="2880" w:hanging="360"/>
      </w:pPr>
      <w:rPr>
        <w:rFonts w:ascii="Wingdings" w:hAnsi="Wingdings" w:hint="default"/>
        <w:sz w:val="20"/>
      </w:rPr>
    </w:lvl>
    <w:lvl w:ilvl="4" w:tplc="E55CB476" w:tentative="1">
      <w:start w:val="1"/>
      <w:numFmt w:val="bullet"/>
      <w:lvlText w:val=""/>
      <w:lvlJc w:val="left"/>
      <w:pPr>
        <w:tabs>
          <w:tab w:val="num" w:pos="3600"/>
        </w:tabs>
        <w:ind w:left="3600" w:hanging="360"/>
      </w:pPr>
      <w:rPr>
        <w:rFonts w:ascii="Wingdings" w:hAnsi="Wingdings" w:hint="default"/>
        <w:sz w:val="20"/>
      </w:rPr>
    </w:lvl>
    <w:lvl w:ilvl="5" w:tplc="81C6304A" w:tentative="1">
      <w:start w:val="1"/>
      <w:numFmt w:val="bullet"/>
      <w:lvlText w:val=""/>
      <w:lvlJc w:val="left"/>
      <w:pPr>
        <w:tabs>
          <w:tab w:val="num" w:pos="4320"/>
        </w:tabs>
        <w:ind w:left="4320" w:hanging="360"/>
      </w:pPr>
      <w:rPr>
        <w:rFonts w:ascii="Wingdings" w:hAnsi="Wingdings" w:hint="default"/>
        <w:sz w:val="20"/>
      </w:rPr>
    </w:lvl>
    <w:lvl w:ilvl="6" w:tplc="EB3E6182" w:tentative="1">
      <w:start w:val="1"/>
      <w:numFmt w:val="bullet"/>
      <w:lvlText w:val=""/>
      <w:lvlJc w:val="left"/>
      <w:pPr>
        <w:tabs>
          <w:tab w:val="num" w:pos="5040"/>
        </w:tabs>
        <w:ind w:left="5040" w:hanging="360"/>
      </w:pPr>
      <w:rPr>
        <w:rFonts w:ascii="Wingdings" w:hAnsi="Wingdings" w:hint="default"/>
        <w:sz w:val="20"/>
      </w:rPr>
    </w:lvl>
    <w:lvl w:ilvl="7" w:tplc="40A0A712" w:tentative="1">
      <w:start w:val="1"/>
      <w:numFmt w:val="bullet"/>
      <w:lvlText w:val=""/>
      <w:lvlJc w:val="left"/>
      <w:pPr>
        <w:tabs>
          <w:tab w:val="num" w:pos="5760"/>
        </w:tabs>
        <w:ind w:left="5760" w:hanging="360"/>
      </w:pPr>
      <w:rPr>
        <w:rFonts w:ascii="Wingdings" w:hAnsi="Wingdings" w:hint="default"/>
        <w:sz w:val="20"/>
      </w:rPr>
    </w:lvl>
    <w:lvl w:ilvl="8" w:tplc="F31AB72E"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2D33F2"/>
    <w:multiLevelType w:val="hybridMultilevel"/>
    <w:tmpl w:val="07EC6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B460C9"/>
    <w:multiLevelType w:val="hybridMultilevel"/>
    <w:tmpl w:val="B1EE9B38"/>
    <w:lvl w:ilvl="0" w:tplc="FDAC474A">
      <w:start w:val="1"/>
      <w:numFmt w:val="bullet"/>
      <w:lvlText w:val=""/>
      <w:lvlJc w:val="left"/>
      <w:pPr>
        <w:tabs>
          <w:tab w:val="num" w:pos="720"/>
        </w:tabs>
        <w:ind w:left="720" w:hanging="360"/>
      </w:pPr>
      <w:rPr>
        <w:rFonts w:ascii="Symbol" w:hAnsi="Symbol" w:hint="default"/>
        <w:sz w:val="20"/>
      </w:rPr>
    </w:lvl>
    <w:lvl w:ilvl="1" w:tplc="680E4844" w:tentative="1">
      <w:start w:val="1"/>
      <w:numFmt w:val="bullet"/>
      <w:lvlText w:val="o"/>
      <w:lvlJc w:val="left"/>
      <w:pPr>
        <w:tabs>
          <w:tab w:val="num" w:pos="1440"/>
        </w:tabs>
        <w:ind w:left="1440" w:hanging="360"/>
      </w:pPr>
      <w:rPr>
        <w:rFonts w:ascii="Courier New" w:hAnsi="Courier New" w:hint="default"/>
        <w:sz w:val="20"/>
      </w:rPr>
    </w:lvl>
    <w:lvl w:ilvl="2" w:tplc="CADA9E28" w:tentative="1">
      <w:start w:val="1"/>
      <w:numFmt w:val="bullet"/>
      <w:lvlText w:val=""/>
      <w:lvlJc w:val="left"/>
      <w:pPr>
        <w:tabs>
          <w:tab w:val="num" w:pos="2160"/>
        </w:tabs>
        <w:ind w:left="2160" w:hanging="360"/>
      </w:pPr>
      <w:rPr>
        <w:rFonts w:ascii="Wingdings" w:hAnsi="Wingdings" w:hint="default"/>
        <w:sz w:val="20"/>
      </w:rPr>
    </w:lvl>
    <w:lvl w:ilvl="3" w:tplc="FFCE224A" w:tentative="1">
      <w:start w:val="1"/>
      <w:numFmt w:val="bullet"/>
      <w:lvlText w:val=""/>
      <w:lvlJc w:val="left"/>
      <w:pPr>
        <w:tabs>
          <w:tab w:val="num" w:pos="2880"/>
        </w:tabs>
        <w:ind w:left="2880" w:hanging="360"/>
      </w:pPr>
      <w:rPr>
        <w:rFonts w:ascii="Wingdings" w:hAnsi="Wingdings" w:hint="default"/>
        <w:sz w:val="20"/>
      </w:rPr>
    </w:lvl>
    <w:lvl w:ilvl="4" w:tplc="F9E8010C" w:tentative="1">
      <w:start w:val="1"/>
      <w:numFmt w:val="bullet"/>
      <w:lvlText w:val=""/>
      <w:lvlJc w:val="left"/>
      <w:pPr>
        <w:tabs>
          <w:tab w:val="num" w:pos="3600"/>
        </w:tabs>
        <w:ind w:left="3600" w:hanging="360"/>
      </w:pPr>
      <w:rPr>
        <w:rFonts w:ascii="Wingdings" w:hAnsi="Wingdings" w:hint="default"/>
        <w:sz w:val="20"/>
      </w:rPr>
    </w:lvl>
    <w:lvl w:ilvl="5" w:tplc="8F287306" w:tentative="1">
      <w:start w:val="1"/>
      <w:numFmt w:val="bullet"/>
      <w:lvlText w:val=""/>
      <w:lvlJc w:val="left"/>
      <w:pPr>
        <w:tabs>
          <w:tab w:val="num" w:pos="4320"/>
        </w:tabs>
        <w:ind w:left="4320" w:hanging="360"/>
      </w:pPr>
      <w:rPr>
        <w:rFonts w:ascii="Wingdings" w:hAnsi="Wingdings" w:hint="default"/>
        <w:sz w:val="20"/>
      </w:rPr>
    </w:lvl>
    <w:lvl w:ilvl="6" w:tplc="4086CA78" w:tentative="1">
      <w:start w:val="1"/>
      <w:numFmt w:val="bullet"/>
      <w:lvlText w:val=""/>
      <w:lvlJc w:val="left"/>
      <w:pPr>
        <w:tabs>
          <w:tab w:val="num" w:pos="5040"/>
        </w:tabs>
        <w:ind w:left="5040" w:hanging="360"/>
      </w:pPr>
      <w:rPr>
        <w:rFonts w:ascii="Wingdings" w:hAnsi="Wingdings" w:hint="default"/>
        <w:sz w:val="20"/>
      </w:rPr>
    </w:lvl>
    <w:lvl w:ilvl="7" w:tplc="0AAE2E3C" w:tentative="1">
      <w:start w:val="1"/>
      <w:numFmt w:val="bullet"/>
      <w:lvlText w:val=""/>
      <w:lvlJc w:val="left"/>
      <w:pPr>
        <w:tabs>
          <w:tab w:val="num" w:pos="5760"/>
        </w:tabs>
        <w:ind w:left="5760" w:hanging="360"/>
      </w:pPr>
      <w:rPr>
        <w:rFonts w:ascii="Wingdings" w:hAnsi="Wingdings" w:hint="default"/>
        <w:sz w:val="20"/>
      </w:rPr>
    </w:lvl>
    <w:lvl w:ilvl="8" w:tplc="3C4476A0"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E56044"/>
    <w:multiLevelType w:val="hybridMultilevel"/>
    <w:tmpl w:val="81E6C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1E4105"/>
    <w:multiLevelType w:val="hybridMultilevel"/>
    <w:tmpl w:val="392A7380"/>
    <w:lvl w:ilvl="0" w:tplc="3BBC2796">
      <w:start w:val="1"/>
      <w:numFmt w:val="bullet"/>
      <w:lvlText w:val=""/>
      <w:lvlJc w:val="left"/>
      <w:pPr>
        <w:tabs>
          <w:tab w:val="num" w:pos="720"/>
        </w:tabs>
        <w:ind w:left="720" w:hanging="360"/>
      </w:pPr>
      <w:rPr>
        <w:rFonts w:ascii="Symbol" w:hAnsi="Symbol" w:hint="default"/>
        <w:sz w:val="20"/>
      </w:rPr>
    </w:lvl>
    <w:lvl w:ilvl="1" w:tplc="1D28E0BC" w:tentative="1">
      <w:start w:val="1"/>
      <w:numFmt w:val="bullet"/>
      <w:lvlText w:val="o"/>
      <w:lvlJc w:val="left"/>
      <w:pPr>
        <w:tabs>
          <w:tab w:val="num" w:pos="1440"/>
        </w:tabs>
        <w:ind w:left="1440" w:hanging="360"/>
      </w:pPr>
      <w:rPr>
        <w:rFonts w:ascii="Courier New" w:hAnsi="Courier New" w:hint="default"/>
        <w:sz w:val="20"/>
      </w:rPr>
    </w:lvl>
    <w:lvl w:ilvl="2" w:tplc="2D741C06" w:tentative="1">
      <w:start w:val="1"/>
      <w:numFmt w:val="bullet"/>
      <w:lvlText w:val=""/>
      <w:lvlJc w:val="left"/>
      <w:pPr>
        <w:tabs>
          <w:tab w:val="num" w:pos="2160"/>
        </w:tabs>
        <w:ind w:left="2160" w:hanging="360"/>
      </w:pPr>
      <w:rPr>
        <w:rFonts w:ascii="Wingdings" w:hAnsi="Wingdings" w:hint="default"/>
        <w:sz w:val="20"/>
      </w:rPr>
    </w:lvl>
    <w:lvl w:ilvl="3" w:tplc="58842B8C" w:tentative="1">
      <w:start w:val="1"/>
      <w:numFmt w:val="bullet"/>
      <w:lvlText w:val=""/>
      <w:lvlJc w:val="left"/>
      <w:pPr>
        <w:tabs>
          <w:tab w:val="num" w:pos="2880"/>
        </w:tabs>
        <w:ind w:left="2880" w:hanging="360"/>
      </w:pPr>
      <w:rPr>
        <w:rFonts w:ascii="Wingdings" w:hAnsi="Wingdings" w:hint="default"/>
        <w:sz w:val="20"/>
      </w:rPr>
    </w:lvl>
    <w:lvl w:ilvl="4" w:tplc="EFE26DD2" w:tentative="1">
      <w:start w:val="1"/>
      <w:numFmt w:val="bullet"/>
      <w:lvlText w:val=""/>
      <w:lvlJc w:val="left"/>
      <w:pPr>
        <w:tabs>
          <w:tab w:val="num" w:pos="3600"/>
        </w:tabs>
        <w:ind w:left="3600" w:hanging="360"/>
      </w:pPr>
      <w:rPr>
        <w:rFonts w:ascii="Wingdings" w:hAnsi="Wingdings" w:hint="default"/>
        <w:sz w:val="20"/>
      </w:rPr>
    </w:lvl>
    <w:lvl w:ilvl="5" w:tplc="71065392" w:tentative="1">
      <w:start w:val="1"/>
      <w:numFmt w:val="bullet"/>
      <w:lvlText w:val=""/>
      <w:lvlJc w:val="left"/>
      <w:pPr>
        <w:tabs>
          <w:tab w:val="num" w:pos="4320"/>
        </w:tabs>
        <w:ind w:left="4320" w:hanging="360"/>
      </w:pPr>
      <w:rPr>
        <w:rFonts w:ascii="Wingdings" w:hAnsi="Wingdings" w:hint="default"/>
        <w:sz w:val="20"/>
      </w:rPr>
    </w:lvl>
    <w:lvl w:ilvl="6" w:tplc="7E0047F2" w:tentative="1">
      <w:start w:val="1"/>
      <w:numFmt w:val="bullet"/>
      <w:lvlText w:val=""/>
      <w:lvlJc w:val="left"/>
      <w:pPr>
        <w:tabs>
          <w:tab w:val="num" w:pos="5040"/>
        </w:tabs>
        <w:ind w:left="5040" w:hanging="360"/>
      </w:pPr>
      <w:rPr>
        <w:rFonts w:ascii="Wingdings" w:hAnsi="Wingdings" w:hint="default"/>
        <w:sz w:val="20"/>
      </w:rPr>
    </w:lvl>
    <w:lvl w:ilvl="7" w:tplc="617AD8F4" w:tentative="1">
      <w:start w:val="1"/>
      <w:numFmt w:val="bullet"/>
      <w:lvlText w:val=""/>
      <w:lvlJc w:val="left"/>
      <w:pPr>
        <w:tabs>
          <w:tab w:val="num" w:pos="5760"/>
        </w:tabs>
        <w:ind w:left="5760" w:hanging="360"/>
      </w:pPr>
      <w:rPr>
        <w:rFonts w:ascii="Wingdings" w:hAnsi="Wingdings" w:hint="default"/>
        <w:sz w:val="20"/>
      </w:rPr>
    </w:lvl>
    <w:lvl w:ilvl="8" w:tplc="BD2027F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2D0943"/>
    <w:multiLevelType w:val="hybridMultilevel"/>
    <w:tmpl w:val="FE26B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7614D6"/>
    <w:multiLevelType w:val="hybridMultilevel"/>
    <w:tmpl w:val="73AC1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7C022C"/>
    <w:multiLevelType w:val="hybridMultilevel"/>
    <w:tmpl w:val="DF86D3C4"/>
    <w:lvl w:ilvl="0" w:tplc="629C7FEE">
      <w:start w:val="1"/>
      <w:numFmt w:val="bullet"/>
      <w:lvlText w:val=""/>
      <w:lvlJc w:val="left"/>
      <w:pPr>
        <w:tabs>
          <w:tab w:val="num" w:pos="720"/>
        </w:tabs>
        <w:ind w:left="720" w:hanging="360"/>
      </w:pPr>
      <w:rPr>
        <w:rFonts w:ascii="Symbol" w:hAnsi="Symbol" w:hint="default"/>
        <w:sz w:val="20"/>
      </w:rPr>
    </w:lvl>
    <w:lvl w:ilvl="1" w:tplc="374CC7AE" w:tentative="1">
      <w:start w:val="1"/>
      <w:numFmt w:val="bullet"/>
      <w:lvlText w:val="o"/>
      <w:lvlJc w:val="left"/>
      <w:pPr>
        <w:tabs>
          <w:tab w:val="num" w:pos="1440"/>
        </w:tabs>
        <w:ind w:left="1440" w:hanging="360"/>
      </w:pPr>
      <w:rPr>
        <w:rFonts w:ascii="Courier New" w:hAnsi="Courier New" w:hint="default"/>
        <w:sz w:val="20"/>
      </w:rPr>
    </w:lvl>
    <w:lvl w:ilvl="2" w:tplc="0B3E962E" w:tentative="1">
      <w:start w:val="1"/>
      <w:numFmt w:val="bullet"/>
      <w:lvlText w:val=""/>
      <w:lvlJc w:val="left"/>
      <w:pPr>
        <w:tabs>
          <w:tab w:val="num" w:pos="2160"/>
        </w:tabs>
        <w:ind w:left="2160" w:hanging="360"/>
      </w:pPr>
      <w:rPr>
        <w:rFonts w:ascii="Wingdings" w:hAnsi="Wingdings" w:hint="default"/>
        <w:sz w:val="20"/>
      </w:rPr>
    </w:lvl>
    <w:lvl w:ilvl="3" w:tplc="CAF6C4F6" w:tentative="1">
      <w:start w:val="1"/>
      <w:numFmt w:val="bullet"/>
      <w:lvlText w:val=""/>
      <w:lvlJc w:val="left"/>
      <w:pPr>
        <w:tabs>
          <w:tab w:val="num" w:pos="2880"/>
        </w:tabs>
        <w:ind w:left="2880" w:hanging="360"/>
      </w:pPr>
      <w:rPr>
        <w:rFonts w:ascii="Wingdings" w:hAnsi="Wingdings" w:hint="default"/>
        <w:sz w:val="20"/>
      </w:rPr>
    </w:lvl>
    <w:lvl w:ilvl="4" w:tplc="83BC6CD6" w:tentative="1">
      <w:start w:val="1"/>
      <w:numFmt w:val="bullet"/>
      <w:lvlText w:val=""/>
      <w:lvlJc w:val="left"/>
      <w:pPr>
        <w:tabs>
          <w:tab w:val="num" w:pos="3600"/>
        </w:tabs>
        <w:ind w:left="3600" w:hanging="360"/>
      </w:pPr>
      <w:rPr>
        <w:rFonts w:ascii="Wingdings" w:hAnsi="Wingdings" w:hint="default"/>
        <w:sz w:val="20"/>
      </w:rPr>
    </w:lvl>
    <w:lvl w:ilvl="5" w:tplc="AF0AAF18" w:tentative="1">
      <w:start w:val="1"/>
      <w:numFmt w:val="bullet"/>
      <w:lvlText w:val=""/>
      <w:lvlJc w:val="left"/>
      <w:pPr>
        <w:tabs>
          <w:tab w:val="num" w:pos="4320"/>
        </w:tabs>
        <w:ind w:left="4320" w:hanging="360"/>
      </w:pPr>
      <w:rPr>
        <w:rFonts w:ascii="Wingdings" w:hAnsi="Wingdings" w:hint="default"/>
        <w:sz w:val="20"/>
      </w:rPr>
    </w:lvl>
    <w:lvl w:ilvl="6" w:tplc="A768B4C6" w:tentative="1">
      <w:start w:val="1"/>
      <w:numFmt w:val="bullet"/>
      <w:lvlText w:val=""/>
      <w:lvlJc w:val="left"/>
      <w:pPr>
        <w:tabs>
          <w:tab w:val="num" w:pos="5040"/>
        </w:tabs>
        <w:ind w:left="5040" w:hanging="360"/>
      </w:pPr>
      <w:rPr>
        <w:rFonts w:ascii="Wingdings" w:hAnsi="Wingdings" w:hint="default"/>
        <w:sz w:val="20"/>
      </w:rPr>
    </w:lvl>
    <w:lvl w:ilvl="7" w:tplc="9EA8054C" w:tentative="1">
      <w:start w:val="1"/>
      <w:numFmt w:val="bullet"/>
      <w:lvlText w:val=""/>
      <w:lvlJc w:val="left"/>
      <w:pPr>
        <w:tabs>
          <w:tab w:val="num" w:pos="5760"/>
        </w:tabs>
        <w:ind w:left="5760" w:hanging="360"/>
      </w:pPr>
      <w:rPr>
        <w:rFonts w:ascii="Wingdings" w:hAnsi="Wingdings" w:hint="default"/>
        <w:sz w:val="20"/>
      </w:rPr>
    </w:lvl>
    <w:lvl w:ilvl="8" w:tplc="9FEA45A4"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41275A"/>
    <w:multiLevelType w:val="hybridMultilevel"/>
    <w:tmpl w:val="BFE2CF26"/>
    <w:lvl w:ilvl="0" w:tplc="2F9248F0">
      <w:start w:val="1"/>
      <w:numFmt w:val="bullet"/>
      <w:lvlText w:val=""/>
      <w:lvlJc w:val="left"/>
      <w:pPr>
        <w:tabs>
          <w:tab w:val="num" w:pos="720"/>
        </w:tabs>
        <w:ind w:left="720" w:hanging="360"/>
      </w:pPr>
      <w:rPr>
        <w:rFonts w:ascii="Symbol" w:hAnsi="Symbol" w:hint="default"/>
        <w:sz w:val="20"/>
      </w:rPr>
    </w:lvl>
    <w:lvl w:ilvl="1" w:tplc="73F617CA" w:tentative="1">
      <w:start w:val="1"/>
      <w:numFmt w:val="bullet"/>
      <w:lvlText w:val="o"/>
      <w:lvlJc w:val="left"/>
      <w:pPr>
        <w:tabs>
          <w:tab w:val="num" w:pos="1440"/>
        </w:tabs>
        <w:ind w:left="1440" w:hanging="360"/>
      </w:pPr>
      <w:rPr>
        <w:rFonts w:ascii="Courier New" w:hAnsi="Courier New" w:hint="default"/>
        <w:sz w:val="20"/>
      </w:rPr>
    </w:lvl>
    <w:lvl w:ilvl="2" w:tplc="F1641936" w:tentative="1">
      <w:start w:val="1"/>
      <w:numFmt w:val="bullet"/>
      <w:lvlText w:val=""/>
      <w:lvlJc w:val="left"/>
      <w:pPr>
        <w:tabs>
          <w:tab w:val="num" w:pos="2160"/>
        </w:tabs>
        <w:ind w:left="2160" w:hanging="360"/>
      </w:pPr>
      <w:rPr>
        <w:rFonts w:ascii="Wingdings" w:hAnsi="Wingdings" w:hint="default"/>
        <w:sz w:val="20"/>
      </w:rPr>
    </w:lvl>
    <w:lvl w:ilvl="3" w:tplc="80A833CC" w:tentative="1">
      <w:start w:val="1"/>
      <w:numFmt w:val="bullet"/>
      <w:lvlText w:val=""/>
      <w:lvlJc w:val="left"/>
      <w:pPr>
        <w:tabs>
          <w:tab w:val="num" w:pos="2880"/>
        </w:tabs>
        <w:ind w:left="2880" w:hanging="360"/>
      </w:pPr>
      <w:rPr>
        <w:rFonts w:ascii="Wingdings" w:hAnsi="Wingdings" w:hint="default"/>
        <w:sz w:val="20"/>
      </w:rPr>
    </w:lvl>
    <w:lvl w:ilvl="4" w:tplc="783058DC" w:tentative="1">
      <w:start w:val="1"/>
      <w:numFmt w:val="bullet"/>
      <w:lvlText w:val=""/>
      <w:lvlJc w:val="left"/>
      <w:pPr>
        <w:tabs>
          <w:tab w:val="num" w:pos="3600"/>
        </w:tabs>
        <w:ind w:left="3600" w:hanging="360"/>
      </w:pPr>
      <w:rPr>
        <w:rFonts w:ascii="Wingdings" w:hAnsi="Wingdings" w:hint="default"/>
        <w:sz w:val="20"/>
      </w:rPr>
    </w:lvl>
    <w:lvl w:ilvl="5" w:tplc="8688A658" w:tentative="1">
      <w:start w:val="1"/>
      <w:numFmt w:val="bullet"/>
      <w:lvlText w:val=""/>
      <w:lvlJc w:val="left"/>
      <w:pPr>
        <w:tabs>
          <w:tab w:val="num" w:pos="4320"/>
        </w:tabs>
        <w:ind w:left="4320" w:hanging="360"/>
      </w:pPr>
      <w:rPr>
        <w:rFonts w:ascii="Wingdings" w:hAnsi="Wingdings" w:hint="default"/>
        <w:sz w:val="20"/>
      </w:rPr>
    </w:lvl>
    <w:lvl w:ilvl="6" w:tplc="2468F2F8" w:tentative="1">
      <w:start w:val="1"/>
      <w:numFmt w:val="bullet"/>
      <w:lvlText w:val=""/>
      <w:lvlJc w:val="left"/>
      <w:pPr>
        <w:tabs>
          <w:tab w:val="num" w:pos="5040"/>
        </w:tabs>
        <w:ind w:left="5040" w:hanging="360"/>
      </w:pPr>
      <w:rPr>
        <w:rFonts w:ascii="Wingdings" w:hAnsi="Wingdings" w:hint="default"/>
        <w:sz w:val="20"/>
      </w:rPr>
    </w:lvl>
    <w:lvl w:ilvl="7" w:tplc="9E56B7FE" w:tentative="1">
      <w:start w:val="1"/>
      <w:numFmt w:val="bullet"/>
      <w:lvlText w:val=""/>
      <w:lvlJc w:val="left"/>
      <w:pPr>
        <w:tabs>
          <w:tab w:val="num" w:pos="5760"/>
        </w:tabs>
        <w:ind w:left="5760" w:hanging="360"/>
      </w:pPr>
      <w:rPr>
        <w:rFonts w:ascii="Wingdings" w:hAnsi="Wingdings" w:hint="default"/>
        <w:sz w:val="20"/>
      </w:rPr>
    </w:lvl>
    <w:lvl w:ilvl="8" w:tplc="173CC79C"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8A5BDF"/>
    <w:multiLevelType w:val="hybridMultilevel"/>
    <w:tmpl w:val="31F61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C85B1D"/>
    <w:multiLevelType w:val="hybridMultilevel"/>
    <w:tmpl w:val="60260C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D42D93"/>
    <w:multiLevelType w:val="hybridMultilevel"/>
    <w:tmpl w:val="52ECBFE4"/>
    <w:lvl w:ilvl="0" w:tplc="776CC980">
      <w:start w:val="1"/>
      <w:numFmt w:val="bullet"/>
      <w:lvlText w:val=""/>
      <w:lvlJc w:val="left"/>
      <w:pPr>
        <w:tabs>
          <w:tab w:val="num" w:pos="720"/>
        </w:tabs>
        <w:ind w:left="720" w:hanging="360"/>
      </w:pPr>
      <w:rPr>
        <w:rFonts w:ascii="Symbol" w:hAnsi="Symbol" w:hint="default"/>
        <w:sz w:val="20"/>
      </w:rPr>
    </w:lvl>
    <w:lvl w:ilvl="1" w:tplc="C90669EC" w:tentative="1">
      <w:start w:val="1"/>
      <w:numFmt w:val="bullet"/>
      <w:lvlText w:val="o"/>
      <w:lvlJc w:val="left"/>
      <w:pPr>
        <w:tabs>
          <w:tab w:val="num" w:pos="1440"/>
        </w:tabs>
        <w:ind w:left="1440" w:hanging="360"/>
      </w:pPr>
      <w:rPr>
        <w:rFonts w:ascii="Courier New" w:hAnsi="Courier New" w:hint="default"/>
        <w:sz w:val="20"/>
      </w:rPr>
    </w:lvl>
    <w:lvl w:ilvl="2" w:tplc="092679C0" w:tentative="1">
      <w:start w:val="1"/>
      <w:numFmt w:val="bullet"/>
      <w:lvlText w:val=""/>
      <w:lvlJc w:val="left"/>
      <w:pPr>
        <w:tabs>
          <w:tab w:val="num" w:pos="2160"/>
        </w:tabs>
        <w:ind w:left="2160" w:hanging="360"/>
      </w:pPr>
      <w:rPr>
        <w:rFonts w:ascii="Wingdings" w:hAnsi="Wingdings" w:hint="default"/>
        <w:sz w:val="20"/>
      </w:rPr>
    </w:lvl>
    <w:lvl w:ilvl="3" w:tplc="2C7CF794" w:tentative="1">
      <w:start w:val="1"/>
      <w:numFmt w:val="bullet"/>
      <w:lvlText w:val=""/>
      <w:lvlJc w:val="left"/>
      <w:pPr>
        <w:tabs>
          <w:tab w:val="num" w:pos="2880"/>
        </w:tabs>
        <w:ind w:left="2880" w:hanging="360"/>
      </w:pPr>
      <w:rPr>
        <w:rFonts w:ascii="Wingdings" w:hAnsi="Wingdings" w:hint="default"/>
        <w:sz w:val="20"/>
      </w:rPr>
    </w:lvl>
    <w:lvl w:ilvl="4" w:tplc="AECAF8D8" w:tentative="1">
      <w:start w:val="1"/>
      <w:numFmt w:val="bullet"/>
      <w:lvlText w:val=""/>
      <w:lvlJc w:val="left"/>
      <w:pPr>
        <w:tabs>
          <w:tab w:val="num" w:pos="3600"/>
        </w:tabs>
        <w:ind w:left="3600" w:hanging="360"/>
      </w:pPr>
      <w:rPr>
        <w:rFonts w:ascii="Wingdings" w:hAnsi="Wingdings" w:hint="default"/>
        <w:sz w:val="20"/>
      </w:rPr>
    </w:lvl>
    <w:lvl w:ilvl="5" w:tplc="13F03E32" w:tentative="1">
      <w:start w:val="1"/>
      <w:numFmt w:val="bullet"/>
      <w:lvlText w:val=""/>
      <w:lvlJc w:val="left"/>
      <w:pPr>
        <w:tabs>
          <w:tab w:val="num" w:pos="4320"/>
        </w:tabs>
        <w:ind w:left="4320" w:hanging="360"/>
      </w:pPr>
      <w:rPr>
        <w:rFonts w:ascii="Wingdings" w:hAnsi="Wingdings" w:hint="default"/>
        <w:sz w:val="20"/>
      </w:rPr>
    </w:lvl>
    <w:lvl w:ilvl="6" w:tplc="929C0B26" w:tentative="1">
      <w:start w:val="1"/>
      <w:numFmt w:val="bullet"/>
      <w:lvlText w:val=""/>
      <w:lvlJc w:val="left"/>
      <w:pPr>
        <w:tabs>
          <w:tab w:val="num" w:pos="5040"/>
        </w:tabs>
        <w:ind w:left="5040" w:hanging="360"/>
      </w:pPr>
      <w:rPr>
        <w:rFonts w:ascii="Wingdings" w:hAnsi="Wingdings" w:hint="default"/>
        <w:sz w:val="20"/>
      </w:rPr>
    </w:lvl>
    <w:lvl w:ilvl="7" w:tplc="FD22BAAC" w:tentative="1">
      <w:start w:val="1"/>
      <w:numFmt w:val="bullet"/>
      <w:lvlText w:val=""/>
      <w:lvlJc w:val="left"/>
      <w:pPr>
        <w:tabs>
          <w:tab w:val="num" w:pos="5760"/>
        </w:tabs>
        <w:ind w:left="5760" w:hanging="360"/>
      </w:pPr>
      <w:rPr>
        <w:rFonts w:ascii="Wingdings" w:hAnsi="Wingdings" w:hint="default"/>
        <w:sz w:val="20"/>
      </w:rPr>
    </w:lvl>
    <w:lvl w:ilvl="8" w:tplc="07BE65E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D93806"/>
    <w:multiLevelType w:val="hybridMultilevel"/>
    <w:tmpl w:val="86F4C1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6856E3"/>
    <w:multiLevelType w:val="hybridMultilevel"/>
    <w:tmpl w:val="FFFFFFFF"/>
    <w:lvl w:ilvl="0" w:tplc="02385DF2">
      <w:start w:val="1"/>
      <w:numFmt w:val="decimal"/>
      <w:lvlText w:val="%1."/>
      <w:lvlJc w:val="left"/>
      <w:pPr>
        <w:ind w:left="720" w:hanging="360"/>
      </w:pPr>
    </w:lvl>
    <w:lvl w:ilvl="1" w:tplc="7CEAB300">
      <w:start w:val="1"/>
      <w:numFmt w:val="lowerLetter"/>
      <w:lvlText w:val="%2."/>
      <w:lvlJc w:val="left"/>
      <w:pPr>
        <w:ind w:left="1440" w:hanging="360"/>
      </w:pPr>
    </w:lvl>
    <w:lvl w:ilvl="2" w:tplc="B20AA6F4">
      <w:start w:val="1"/>
      <w:numFmt w:val="lowerRoman"/>
      <w:lvlText w:val="%3."/>
      <w:lvlJc w:val="right"/>
      <w:pPr>
        <w:ind w:left="2160" w:hanging="180"/>
      </w:pPr>
    </w:lvl>
    <w:lvl w:ilvl="3" w:tplc="5CB02DDA">
      <w:start w:val="1"/>
      <w:numFmt w:val="decimal"/>
      <w:lvlText w:val="%4."/>
      <w:lvlJc w:val="left"/>
      <w:pPr>
        <w:ind w:left="2880" w:hanging="360"/>
      </w:pPr>
    </w:lvl>
    <w:lvl w:ilvl="4" w:tplc="522E4066">
      <w:start w:val="1"/>
      <w:numFmt w:val="lowerLetter"/>
      <w:lvlText w:val="%5."/>
      <w:lvlJc w:val="left"/>
      <w:pPr>
        <w:ind w:left="3600" w:hanging="360"/>
      </w:pPr>
    </w:lvl>
    <w:lvl w:ilvl="5" w:tplc="D6ECC3C2">
      <w:start w:val="1"/>
      <w:numFmt w:val="lowerRoman"/>
      <w:lvlText w:val="%6."/>
      <w:lvlJc w:val="right"/>
      <w:pPr>
        <w:ind w:left="4320" w:hanging="180"/>
      </w:pPr>
    </w:lvl>
    <w:lvl w:ilvl="6" w:tplc="8E9C5EC4">
      <w:start w:val="1"/>
      <w:numFmt w:val="decimal"/>
      <w:lvlText w:val="%7."/>
      <w:lvlJc w:val="left"/>
      <w:pPr>
        <w:ind w:left="5040" w:hanging="360"/>
      </w:pPr>
    </w:lvl>
    <w:lvl w:ilvl="7" w:tplc="12FA4040">
      <w:start w:val="1"/>
      <w:numFmt w:val="lowerLetter"/>
      <w:lvlText w:val="%8."/>
      <w:lvlJc w:val="left"/>
      <w:pPr>
        <w:ind w:left="5760" w:hanging="360"/>
      </w:pPr>
    </w:lvl>
    <w:lvl w:ilvl="8" w:tplc="3648D628">
      <w:start w:val="1"/>
      <w:numFmt w:val="lowerRoman"/>
      <w:lvlText w:val="%9."/>
      <w:lvlJc w:val="right"/>
      <w:pPr>
        <w:ind w:left="6480" w:hanging="180"/>
      </w:pPr>
    </w:lvl>
  </w:abstractNum>
  <w:abstractNum w:abstractNumId="19" w15:restartNumberingAfterBreak="0">
    <w:nsid w:val="576F7DCD"/>
    <w:multiLevelType w:val="hybridMultilevel"/>
    <w:tmpl w:val="E10E5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D55D24"/>
    <w:multiLevelType w:val="hybridMultilevel"/>
    <w:tmpl w:val="E38E8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0B25E0"/>
    <w:multiLevelType w:val="hybridMultilevel"/>
    <w:tmpl w:val="529E0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AF56D9"/>
    <w:multiLevelType w:val="hybridMultilevel"/>
    <w:tmpl w:val="F1D8B6AE"/>
    <w:lvl w:ilvl="0" w:tplc="9A588F02">
      <w:start w:val="1"/>
      <w:numFmt w:val="bullet"/>
      <w:lvlText w:val=""/>
      <w:lvlJc w:val="left"/>
      <w:pPr>
        <w:tabs>
          <w:tab w:val="num" w:pos="720"/>
        </w:tabs>
        <w:ind w:left="720" w:hanging="360"/>
      </w:pPr>
      <w:rPr>
        <w:rFonts w:ascii="Symbol" w:hAnsi="Symbol" w:hint="default"/>
        <w:sz w:val="20"/>
      </w:rPr>
    </w:lvl>
    <w:lvl w:ilvl="1" w:tplc="A9A6E4BC" w:tentative="1">
      <w:start w:val="1"/>
      <w:numFmt w:val="bullet"/>
      <w:lvlText w:val="o"/>
      <w:lvlJc w:val="left"/>
      <w:pPr>
        <w:tabs>
          <w:tab w:val="num" w:pos="1440"/>
        </w:tabs>
        <w:ind w:left="1440" w:hanging="360"/>
      </w:pPr>
      <w:rPr>
        <w:rFonts w:ascii="Courier New" w:hAnsi="Courier New" w:hint="default"/>
        <w:sz w:val="20"/>
      </w:rPr>
    </w:lvl>
    <w:lvl w:ilvl="2" w:tplc="808AAD32" w:tentative="1">
      <w:start w:val="1"/>
      <w:numFmt w:val="bullet"/>
      <w:lvlText w:val=""/>
      <w:lvlJc w:val="left"/>
      <w:pPr>
        <w:tabs>
          <w:tab w:val="num" w:pos="2160"/>
        </w:tabs>
        <w:ind w:left="2160" w:hanging="360"/>
      </w:pPr>
      <w:rPr>
        <w:rFonts w:ascii="Wingdings" w:hAnsi="Wingdings" w:hint="default"/>
        <w:sz w:val="20"/>
      </w:rPr>
    </w:lvl>
    <w:lvl w:ilvl="3" w:tplc="EF2AE188" w:tentative="1">
      <w:start w:val="1"/>
      <w:numFmt w:val="bullet"/>
      <w:lvlText w:val=""/>
      <w:lvlJc w:val="left"/>
      <w:pPr>
        <w:tabs>
          <w:tab w:val="num" w:pos="2880"/>
        </w:tabs>
        <w:ind w:left="2880" w:hanging="360"/>
      </w:pPr>
      <w:rPr>
        <w:rFonts w:ascii="Wingdings" w:hAnsi="Wingdings" w:hint="default"/>
        <w:sz w:val="20"/>
      </w:rPr>
    </w:lvl>
    <w:lvl w:ilvl="4" w:tplc="AA063AA6" w:tentative="1">
      <w:start w:val="1"/>
      <w:numFmt w:val="bullet"/>
      <w:lvlText w:val=""/>
      <w:lvlJc w:val="left"/>
      <w:pPr>
        <w:tabs>
          <w:tab w:val="num" w:pos="3600"/>
        </w:tabs>
        <w:ind w:left="3600" w:hanging="360"/>
      </w:pPr>
      <w:rPr>
        <w:rFonts w:ascii="Wingdings" w:hAnsi="Wingdings" w:hint="default"/>
        <w:sz w:val="20"/>
      </w:rPr>
    </w:lvl>
    <w:lvl w:ilvl="5" w:tplc="51E059DC" w:tentative="1">
      <w:start w:val="1"/>
      <w:numFmt w:val="bullet"/>
      <w:lvlText w:val=""/>
      <w:lvlJc w:val="left"/>
      <w:pPr>
        <w:tabs>
          <w:tab w:val="num" w:pos="4320"/>
        </w:tabs>
        <w:ind w:left="4320" w:hanging="360"/>
      </w:pPr>
      <w:rPr>
        <w:rFonts w:ascii="Wingdings" w:hAnsi="Wingdings" w:hint="default"/>
        <w:sz w:val="20"/>
      </w:rPr>
    </w:lvl>
    <w:lvl w:ilvl="6" w:tplc="D4A07878" w:tentative="1">
      <w:start w:val="1"/>
      <w:numFmt w:val="bullet"/>
      <w:lvlText w:val=""/>
      <w:lvlJc w:val="left"/>
      <w:pPr>
        <w:tabs>
          <w:tab w:val="num" w:pos="5040"/>
        </w:tabs>
        <w:ind w:left="5040" w:hanging="360"/>
      </w:pPr>
      <w:rPr>
        <w:rFonts w:ascii="Wingdings" w:hAnsi="Wingdings" w:hint="default"/>
        <w:sz w:val="20"/>
      </w:rPr>
    </w:lvl>
    <w:lvl w:ilvl="7" w:tplc="FDFA1204" w:tentative="1">
      <w:start w:val="1"/>
      <w:numFmt w:val="bullet"/>
      <w:lvlText w:val=""/>
      <w:lvlJc w:val="left"/>
      <w:pPr>
        <w:tabs>
          <w:tab w:val="num" w:pos="5760"/>
        </w:tabs>
        <w:ind w:left="5760" w:hanging="360"/>
      </w:pPr>
      <w:rPr>
        <w:rFonts w:ascii="Wingdings" w:hAnsi="Wingdings" w:hint="default"/>
        <w:sz w:val="20"/>
      </w:rPr>
    </w:lvl>
    <w:lvl w:ilvl="8" w:tplc="99A841E4"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2B4CDF"/>
    <w:multiLevelType w:val="hybridMultilevel"/>
    <w:tmpl w:val="D4320054"/>
    <w:lvl w:ilvl="0" w:tplc="5CE2B40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D21586"/>
    <w:multiLevelType w:val="hybridMultilevel"/>
    <w:tmpl w:val="FA0091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196467"/>
    <w:multiLevelType w:val="hybridMultilevel"/>
    <w:tmpl w:val="0FACA102"/>
    <w:lvl w:ilvl="0" w:tplc="36584670">
      <w:start w:val="1"/>
      <w:numFmt w:val="decimal"/>
      <w:lvlText w:val="%1."/>
      <w:lvlJc w:val="left"/>
      <w:pPr>
        <w:ind w:left="720" w:hanging="360"/>
      </w:pPr>
    </w:lvl>
    <w:lvl w:ilvl="1" w:tplc="89843700">
      <w:start w:val="1"/>
      <w:numFmt w:val="lowerLetter"/>
      <w:lvlText w:val="%2."/>
      <w:lvlJc w:val="left"/>
      <w:pPr>
        <w:ind w:left="1440" w:hanging="360"/>
      </w:pPr>
    </w:lvl>
    <w:lvl w:ilvl="2" w:tplc="58FAE5B0">
      <w:start w:val="1"/>
      <w:numFmt w:val="lowerRoman"/>
      <w:lvlText w:val="%3."/>
      <w:lvlJc w:val="right"/>
      <w:pPr>
        <w:ind w:left="2160" w:hanging="180"/>
      </w:pPr>
    </w:lvl>
    <w:lvl w:ilvl="3" w:tplc="346A4B56">
      <w:start w:val="1"/>
      <w:numFmt w:val="decimal"/>
      <w:lvlText w:val="%4."/>
      <w:lvlJc w:val="left"/>
      <w:pPr>
        <w:ind w:left="2880" w:hanging="360"/>
      </w:pPr>
    </w:lvl>
    <w:lvl w:ilvl="4" w:tplc="779E6F64">
      <w:start w:val="1"/>
      <w:numFmt w:val="lowerLetter"/>
      <w:lvlText w:val="%5."/>
      <w:lvlJc w:val="left"/>
      <w:pPr>
        <w:ind w:left="3600" w:hanging="360"/>
      </w:pPr>
    </w:lvl>
    <w:lvl w:ilvl="5" w:tplc="E60022D6">
      <w:start w:val="1"/>
      <w:numFmt w:val="lowerRoman"/>
      <w:lvlText w:val="%6."/>
      <w:lvlJc w:val="right"/>
      <w:pPr>
        <w:ind w:left="4320" w:hanging="180"/>
      </w:pPr>
    </w:lvl>
    <w:lvl w:ilvl="6" w:tplc="E168E9D8">
      <w:start w:val="1"/>
      <w:numFmt w:val="decimal"/>
      <w:lvlText w:val="%7."/>
      <w:lvlJc w:val="left"/>
      <w:pPr>
        <w:ind w:left="5040" w:hanging="360"/>
      </w:pPr>
    </w:lvl>
    <w:lvl w:ilvl="7" w:tplc="BE92639C">
      <w:start w:val="1"/>
      <w:numFmt w:val="lowerLetter"/>
      <w:lvlText w:val="%8."/>
      <w:lvlJc w:val="left"/>
      <w:pPr>
        <w:ind w:left="5760" w:hanging="360"/>
      </w:pPr>
    </w:lvl>
    <w:lvl w:ilvl="8" w:tplc="E892B2F4">
      <w:start w:val="1"/>
      <w:numFmt w:val="lowerRoman"/>
      <w:lvlText w:val="%9."/>
      <w:lvlJc w:val="right"/>
      <w:pPr>
        <w:ind w:left="6480" w:hanging="180"/>
      </w:pPr>
    </w:lvl>
  </w:abstractNum>
  <w:abstractNum w:abstractNumId="26" w15:restartNumberingAfterBreak="0">
    <w:nsid w:val="6FA55723"/>
    <w:multiLevelType w:val="hybridMultilevel"/>
    <w:tmpl w:val="631C96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C81980"/>
    <w:multiLevelType w:val="hybridMultilevel"/>
    <w:tmpl w:val="F9DC1F6C"/>
    <w:lvl w:ilvl="0" w:tplc="1724253E">
      <w:start w:val="1"/>
      <w:numFmt w:val="bullet"/>
      <w:lvlText w:val=""/>
      <w:lvlJc w:val="left"/>
      <w:pPr>
        <w:tabs>
          <w:tab w:val="num" w:pos="720"/>
        </w:tabs>
        <w:ind w:left="720" w:hanging="360"/>
      </w:pPr>
      <w:rPr>
        <w:rFonts w:ascii="Symbol" w:hAnsi="Symbol" w:hint="default"/>
        <w:sz w:val="20"/>
      </w:rPr>
    </w:lvl>
    <w:lvl w:ilvl="1" w:tplc="135AE350" w:tentative="1">
      <w:start w:val="1"/>
      <w:numFmt w:val="bullet"/>
      <w:lvlText w:val="o"/>
      <w:lvlJc w:val="left"/>
      <w:pPr>
        <w:tabs>
          <w:tab w:val="num" w:pos="1440"/>
        </w:tabs>
        <w:ind w:left="1440" w:hanging="360"/>
      </w:pPr>
      <w:rPr>
        <w:rFonts w:ascii="Courier New" w:hAnsi="Courier New" w:hint="default"/>
        <w:sz w:val="20"/>
      </w:rPr>
    </w:lvl>
    <w:lvl w:ilvl="2" w:tplc="F3FA6DA0" w:tentative="1">
      <w:start w:val="1"/>
      <w:numFmt w:val="bullet"/>
      <w:lvlText w:val=""/>
      <w:lvlJc w:val="left"/>
      <w:pPr>
        <w:tabs>
          <w:tab w:val="num" w:pos="2160"/>
        </w:tabs>
        <w:ind w:left="2160" w:hanging="360"/>
      </w:pPr>
      <w:rPr>
        <w:rFonts w:ascii="Wingdings" w:hAnsi="Wingdings" w:hint="default"/>
        <w:sz w:val="20"/>
      </w:rPr>
    </w:lvl>
    <w:lvl w:ilvl="3" w:tplc="F322EB04" w:tentative="1">
      <w:start w:val="1"/>
      <w:numFmt w:val="bullet"/>
      <w:lvlText w:val=""/>
      <w:lvlJc w:val="left"/>
      <w:pPr>
        <w:tabs>
          <w:tab w:val="num" w:pos="2880"/>
        </w:tabs>
        <w:ind w:left="2880" w:hanging="360"/>
      </w:pPr>
      <w:rPr>
        <w:rFonts w:ascii="Wingdings" w:hAnsi="Wingdings" w:hint="default"/>
        <w:sz w:val="20"/>
      </w:rPr>
    </w:lvl>
    <w:lvl w:ilvl="4" w:tplc="775ED3F0" w:tentative="1">
      <w:start w:val="1"/>
      <w:numFmt w:val="bullet"/>
      <w:lvlText w:val=""/>
      <w:lvlJc w:val="left"/>
      <w:pPr>
        <w:tabs>
          <w:tab w:val="num" w:pos="3600"/>
        </w:tabs>
        <w:ind w:left="3600" w:hanging="360"/>
      </w:pPr>
      <w:rPr>
        <w:rFonts w:ascii="Wingdings" w:hAnsi="Wingdings" w:hint="default"/>
        <w:sz w:val="20"/>
      </w:rPr>
    </w:lvl>
    <w:lvl w:ilvl="5" w:tplc="4FEC909A" w:tentative="1">
      <w:start w:val="1"/>
      <w:numFmt w:val="bullet"/>
      <w:lvlText w:val=""/>
      <w:lvlJc w:val="left"/>
      <w:pPr>
        <w:tabs>
          <w:tab w:val="num" w:pos="4320"/>
        </w:tabs>
        <w:ind w:left="4320" w:hanging="360"/>
      </w:pPr>
      <w:rPr>
        <w:rFonts w:ascii="Wingdings" w:hAnsi="Wingdings" w:hint="default"/>
        <w:sz w:val="20"/>
      </w:rPr>
    </w:lvl>
    <w:lvl w:ilvl="6" w:tplc="F64A3FD0" w:tentative="1">
      <w:start w:val="1"/>
      <w:numFmt w:val="bullet"/>
      <w:lvlText w:val=""/>
      <w:lvlJc w:val="left"/>
      <w:pPr>
        <w:tabs>
          <w:tab w:val="num" w:pos="5040"/>
        </w:tabs>
        <w:ind w:left="5040" w:hanging="360"/>
      </w:pPr>
      <w:rPr>
        <w:rFonts w:ascii="Wingdings" w:hAnsi="Wingdings" w:hint="default"/>
        <w:sz w:val="20"/>
      </w:rPr>
    </w:lvl>
    <w:lvl w:ilvl="7" w:tplc="5CB04428" w:tentative="1">
      <w:start w:val="1"/>
      <w:numFmt w:val="bullet"/>
      <w:lvlText w:val=""/>
      <w:lvlJc w:val="left"/>
      <w:pPr>
        <w:tabs>
          <w:tab w:val="num" w:pos="5760"/>
        </w:tabs>
        <w:ind w:left="5760" w:hanging="360"/>
      </w:pPr>
      <w:rPr>
        <w:rFonts w:ascii="Wingdings" w:hAnsi="Wingdings" w:hint="default"/>
        <w:sz w:val="20"/>
      </w:rPr>
    </w:lvl>
    <w:lvl w:ilvl="8" w:tplc="43EACB10"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074FD6"/>
    <w:multiLevelType w:val="hybridMultilevel"/>
    <w:tmpl w:val="FB92B2AC"/>
    <w:lvl w:ilvl="0" w:tplc="7F02DC8E">
      <w:start w:val="1"/>
      <w:numFmt w:val="bullet"/>
      <w:lvlText w:val=""/>
      <w:lvlJc w:val="left"/>
      <w:pPr>
        <w:tabs>
          <w:tab w:val="num" w:pos="720"/>
        </w:tabs>
        <w:ind w:left="720" w:hanging="360"/>
      </w:pPr>
      <w:rPr>
        <w:rFonts w:ascii="Symbol" w:hAnsi="Symbol" w:hint="default"/>
        <w:sz w:val="20"/>
      </w:rPr>
    </w:lvl>
    <w:lvl w:ilvl="1" w:tplc="DCBA8260" w:tentative="1">
      <w:start w:val="1"/>
      <w:numFmt w:val="bullet"/>
      <w:lvlText w:val="o"/>
      <w:lvlJc w:val="left"/>
      <w:pPr>
        <w:tabs>
          <w:tab w:val="num" w:pos="1440"/>
        </w:tabs>
        <w:ind w:left="1440" w:hanging="360"/>
      </w:pPr>
      <w:rPr>
        <w:rFonts w:ascii="Courier New" w:hAnsi="Courier New" w:hint="default"/>
        <w:sz w:val="20"/>
      </w:rPr>
    </w:lvl>
    <w:lvl w:ilvl="2" w:tplc="37980F8E" w:tentative="1">
      <w:start w:val="1"/>
      <w:numFmt w:val="bullet"/>
      <w:lvlText w:val=""/>
      <w:lvlJc w:val="left"/>
      <w:pPr>
        <w:tabs>
          <w:tab w:val="num" w:pos="2160"/>
        </w:tabs>
        <w:ind w:left="2160" w:hanging="360"/>
      </w:pPr>
      <w:rPr>
        <w:rFonts w:ascii="Wingdings" w:hAnsi="Wingdings" w:hint="default"/>
        <w:sz w:val="20"/>
      </w:rPr>
    </w:lvl>
    <w:lvl w:ilvl="3" w:tplc="16C61B2E" w:tentative="1">
      <w:start w:val="1"/>
      <w:numFmt w:val="bullet"/>
      <w:lvlText w:val=""/>
      <w:lvlJc w:val="left"/>
      <w:pPr>
        <w:tabs>
          <w:tab w:val="num" w:pos="2880"/>
        </w:tabs>
        <w:ind w:left="2880" w:hanging="360"/>
      </w:pPr>
      <w:rPr>
        <w:rFonts w:ascii="Wingdings" w:hAnsi="Wingdings" w:hint="default"/>
        <w:sz w:val="20"/>
      </w:rPr>
    </w:lvl>
    <w:lvl w:ilvl="4" w:tplc="01381A06" w:tentative="1">
      <w:start w:val="1"/>
      <w:numFmt w:val="bullet"/>
      <w:lvlText w:val=""/>
      <w:lvlJc w:val="left"/>
      <w:pPr>
        <w:tabs>
          <w:tab w:val="num" w:pos="3600"/>
        </w:tabs>
        <w:ind w:left="3600" w:hanging="360"/>
      </w:pPr>
      <w:rPr>
        <w:rFonts w:ascii="Wingdings" w:hAnsi="Wingdings" w:hint="default"/>
        <w:sz w:val="20"/>
      </w:rPr>
    </w:lvl>
    <w:lvl w:ilvl="5" w:tplc="C80ADEDC" w:tentative="1">
      <w:start w:val="1"/>
      <w:numFmt w:val="bullet"/>
      <w:lvlText w:val=""/>
      <w:lvlJc w:val="left"/>
      <w:pPr>
        <w:tabs>
          <w:tab w:val="num" w:pos="4320"/>
        </w:tabs>
        <w:ind w:left="4320" w:hanging="360"/>
      </w:pPr>
      <w:rPr>
        <w:rFonts w:ascii="Wingdings" w:hAnsi="Wingdings" w:hint="default"/>
        <w:sz w:val="20"/>
      </w:rPr>
    </w:lvl>
    <w:lvl w:ilvl="6" w:tplc="3196C612" w:tentative="1">
      <w:start w:val="1"/>
      <w:numFmt w:val="bullet"/>
      <w:lvlText w:val=""/>
      <w:lvlJc w:val="left"/>
      <w:pPr>
        <w:tabs>
          <w:tab w:val="num" w:pos="5040"/>
        </w:tabs>
        <w:ind w:left="5040" w:hanging="360"/>
      </w:pPr>
      <w:rPr>
        <w:rFonts w:ascii="Wingdings" w:hAnsi="Wingdings" w:hint="default"/>
        <w:sz w:val="20"/>
      </w:rPr>
    </w:lvl>
    <w:lvl w:ilvl="7" w:tplc="5078801E" w:tentative="1">
      <w:start w:val="1"/>
      <w:numFmt w:val="bullet"/>
      <w:lvlText w:val=""/>
      <w:lvlJc w:val="left"/>
      <w:pPr>
        <w:tabs>
          <w:tab w:val="num" w:pos="5760"/>
        </w:tabs>
        <w:ind w:left="5760" w:hanging="360"/>
      </w:pPr>
      <w:rPr>
        <w:rFonts w:ascii="Wingdings" w:hAnsi="Wingdings" w:hint="default"/>
        <w:sz w:val="20"/>
      </w:rPr>
    </w:lvl>
    <w:lvl w:ilvl="8" w:tplc="67D6DA7A"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8"/>
  </w:num>
  <w:num w:numId="3">
    <w:abstractNumId w:val="11"/>
  </w:num>
  <w:num w:numId="4">
    <w:abstractNumId w:val="19"/>
  </w:num>
  <w:num w:numId="5">
    <w:abstractNumId w:val="21"/>
  </w:num>
  <w:num w:numId="6">
    <w:abstractNumId w:val="10"/>
  </w:num>
  <w:num w:numId="7">
    <w:abstractNumId w:val="8"/>
  </w:num>
  <w:num w:numId="8">
    <w:abstractNumId w:val="14"/>
  </w:num>
  <w:num w:numId="9">
    <w:abstractNumId w:val="6"/>
  </w:num>
  <w:num w:numId="10">
    <w:abstractNumId w:val="20"/>
  </w:num>
  <w:num w:numId="11">
    <w:abstractNumId w:val="3"/>
  </w:num>
  <w:num w:numId="12">
    <w:abstractNumId w:val="28"/>
  </w:num>
  <w:num w:numId="13">
    <w:abstractNumId w:val="17"/>
  </w:num>
  <w:num w:numId="14">
    <w:abstractNumId w:val="24"/>
  </w:num>
  <w:num w:numId="15">
    <w:abstractNumId w:val="26"/>
  </w:num>
  <w:num w:numId="16">
    <w:abstractNumId w:val="23"/>
  </w:num>
  <w:num w:numId="17">
    <w:abstractNumId w:val="15"/>
  </w:num>
  <w:num w:numId="18">
    <w:abstractNumId w:val="5"/>
  </w:num>
  <w:num w:numId="19">
    <w:abstractNumId w:val="13"/>
  </w:num>
  <w:num w:numId="20">
    <w:abstractNumId w:val="2"/>
  </w:num>
  <w:num w:numId="21">
    <w:abstractNumId w:val="27"/>
  </w:num>
  <w:num w:numId="22">
    <w:abstractNumId w:val="4"/>
  </w:num>
  <w:num w:numId="23">
    <w:abstractNumId w:val="22"/>
  </w:num>
  <w:num w:numId="24">
    <w:abstractNumId w:val="1"/>
  </w:num>
  <w:num w:numId="25">
    <w:abstractNumId w:val="0"/>
  </w:num>
  <w:num w:numId="26">
    <w:abstractNumId w:val="16"/>
  </w:num>
  <w:num w:numId="27">
    <w:abstractNumId w:val="9"/>
  </w:num>
  <w:num w:numId="28">
    <w:abstractNumId w:val="7"/>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O2NDQ1Mbc0MDexNDFW0lEKTi0uzszPAykwNq4FAMCj+M0tAAAA"/>
  </w:docVars>
  <w:rsids>
    <w:rsidRoot w:val="0E577077"/>
    <w:rsid w:val="00000033"/>
    <w:rsid w:val="00000EEC"/>
    <w:rsid w:val="00002730"/>
    <w:rsid w:val="00002888"/>
    <w:rsid w:val="00003B58"/>
    <w:rsid w:val="00003BA5"/>
    <w:rsid w:val="00003BAF"/>
    <w:rsid w:val="00004CB0"/>
    <w:rsid w:val="00004CCA"/>
    <w:rsid w:val="00006C2A"/>
    <w:rsid w:val="00007354"/>
    <w:rsid w:val="0001011A"/>
    <w:rsid w:val="000104B5"/>
    <w:rsid w:val="000107D2"/>
    <w:rsid w:val="00011105"/>
    <w:rsid w:val="0001143A"/>
    <w:rsid w:val="000117E2"/>
    <w:rsid w:val="000121D2"/>
    <w:rsid w:val="0001338C"/>
    <w:rsid w:val="00013C19"/>
    <w:rsid w:val="00014D0E"/>
    <w:rsid w:val="00014D44"/>
    <w:rsid w:val="00015674"/>
    <w:rsid w:val="0001721E"/>
    <w:rsid w:val="00017367"/>
    <w:rsid w:val="00017434"/>
    <w:rsid w:val="00017FFD"/>
    <w:rsid w:val="00021EE3"/>
    <w:rsid w:val="00023C0A"/>
    <w:rsid w:val="00023DBF"/>
    <w:rsid w:val="00023EA9"/>
    <w:rsid w:val="00026EB9"/>
    <w:rsid w:val="00027E0E"/>
    <w:rsid w:val="00027E51"/>
    <w:rsid w:val="0003238B"/>
    <w:rsid w:val="000343F4"/>
    <w:rsid w:val="0003486C"/>
    <w:rsid w:val="00034D2C"/>
    <w:rsid w:val="000359B3"/>
    <w:rsid w:val="00037691"/>
    <w:rsid w:val="0004246B"/>
    <w:rsid w:val="000425F2"/>
    <w:rsid w:val="0004284C"/>
    <w:rsid w:val="00043BD9"/>
    <w:rsid w:val="00046346"/>
    <w:rsid w:val="000466C0"/>
    <w:rsid w:val="00046BF5"/>
    <w:rsid w:val="00047482"/>
    <w:rsid w:val="00052322"/>
    <w:rsid w:val="00052D32"/>
    <w:rsid w:val="0005303F"/>
    <w:rsid w:val="000530EC"/>
    <w:rsid w:val="000534F2"/>
    <w:rsid w:val="00054EDC"/>
    <w:rsid w:val="0005624C"/>
    <w:rsid w:val="000572D7"/>
    <w:rsid w:val="000573CE"/>
    <w:rsid w:val="000578EB"/>
    <w:rsid w:val="0006012D"/>
    <w:rsid w:val="000617FC"/>
    <w:rsid w:val="000624E9"/>
    <w:rsid w:val="00062B5F"/>
    <w:rsid w:val="00063681"/>
    <w:rsid w:val="000642B1"/>
    <w:rsid w:val="00064404"/>
    <w:rsid w:val="000644A7"/>
    <w:rsid w:val="00065A4F"/>
    <w:rsid w:val="000661B2"/>
    <w:rsid w:val="00066928"/>
    <w:rsid w:val="00066B39"/>
    <w:rsid w:val="0007267A"/>
    <w:rsid w:val="0007698B"/>
    <w:rsid w:val="00076B83"/>
    <w:rsid w:val="000809B4"/>
    <w:rsid w:val="00081D94"/>
    <w:rsid w:val="00082F06"/>
    <w:rsid w:val="00084F57"/>
    <w:rsid w:val="0008595F"/>
    <w:rsid w:val="00086069"/>
    <w:rsid w:val="000866A8"/>
    <w:rsid w:val="000869D0"/>
    <w:rsid w:val="00086B58"/>
    <w:rsid w:val="00087366"/>
    <w:rsid w:val="00087FBB"/>
    <w:rsid w:val="00090057"/>
    <w:rsid w:val="000906D3"/>
    <w:rsid w:val="00090863"/>
    <w:rsid w:val="0009095F"/>
    <w:rsid w:val="0009201A"/>
    <w:rsid w:val="00092E7A"/>
    <w:rsid w:val="00092EE0"/>
    <w:rsid w:val="00093471"/>
    <w:rsid w:val="00094595"/>
    <w:rsid w:val="000961B3"/>
    <w:rsid w:val="000961BE"/>
    <w:rsid w:val="000A1357"/>
    <w:rsid w:val="000A2DCE"/>
    <w:rsid w:val="000A3762"/>
    <w:rsid w:val="000A4E1C"/>
    <w:rsid w:val="000A54B7"/>
    <w:rsid w:val="000A5E00"/>
    <w:rsid w:val="000A715E"/>
    <w:rsid w:val="000B01C7"/>
    <w:rsid w:val="000B0252"/>
    <w:rsid w:val="000B0524"/>
    <w:rsid w:val="000B0945"/>
    <w:rsid w:val="000B0BD7"/>
    <w:rsid w:val="000B12C0"/>
    <w:rsid w:val="000B1386"/>
    <w:rsid w:val="000B13AC"/>
    <w:rsid w:val="000B15D5"/>
    <w:rsid w:val="000B2F8B"/>
    <w:rsid w:val="000B3FE8"/>
    <w:rsid w:val="000B4A69"/>
    <w:rsid w:val="000B5717"/>
    <w:rsid w:val="000B6FDA"/>
    <w:rsid w:val="000B7360"/>
    <w:rsid w:val="000B79E5"/>
    <w:rsid w:val="000C0406"/>
    <w:rsid w:val="000C1DE8"/>
    <w:rsid w:val="000C1E9D"/>
    <w:rsid w:val="000C20AB"/>
    <w:rsid w:val="000C39D4"/>
    <w:rsid w:val="000C468A"/>
    <w:rsid w:val="000C52A0"/>
    <w:rsid w:val="000C591F"/>
    <w:rsid w:val="000C6BDA"/>
    <w:rsid w:val="000C76EE"/>
    <w:rsid w:val="000D0F7C"/>
    <w:rsid w:val="000D2CEA"/>
    <w:rsid w:val="000D3DC2"/>
    <w:rsid w:val="000D430D"/>
    <w:rsid w:val="000D45E6"/>
    <w:rsid w:val="000D52BE"/>
    <w:rsid w:val="000D69D3"/>
    <w:rsid w:val="000D7A8C"/>
    <w:rsid w:val="000D7F0E"/>
    <w:rsid w:val="000E02C5"/>
    <w:rsid w:val="000E0AA9"/>
    <w:rsid w:val="000E110F"/>
    <w:rsid w:val="000E28F8"/>
    <w:rsid w:val="000E29E4"/>
    <w:rsid w:val="000E31F7"/>
    <w:rsid w:val="000E5FE3"/>
    <w:rsid w:val="000E63B1"/>
    <w:rsid w:val="000F0833"/>
    <w:rsid w:val="000F2A07"/>
    <w:rsid w:val="000F3947"/>
    <w:rsid w:val="000F3BA2"/>
    <w:rsid w:val="000F4FF8"/>
    <w:rsid w:val="000F55F6"/>
    <w:rsid w:val="000F6769"/>
    <w:rsid w:val="000F71CC"/>
    <w:rsid w:val="000F76A3"/>
    <w:rsid w:val="001015C0"/>
    <w:rsid w:val="00101A23"/>
    <w:rsid w:val="00101D31"/>
    <w:rsid w:val="00102354"/>
    <w:rsid w:val="00105822"/>
    <w:rsid w:val="001065C3"/>
    <w:rsid w:val="0010676E"/>
    <w:rsid w:val="00106C07"/>
    <w:rsid w:val="001075FB"/>
    <w:rsid w:val="0011100C"/>
    <w:rsid w:val="00113150"/>
    <w:rsid w:val="001133A2"/>
    <w:rsid w:val="00113756"/>
    <w:rsid w:val="001144D5"/>
    <w:rsid w:val="00116327"/>
    <w:rsid w:val="0011672D"/>
    <w:rsid w:val="00116E34"/>
    <w:rsid w:val="0011732D"/>
    <w:rsid w:val="001175F9"/>
    <w:rsid w:val="00121296"/>
    <w:rsid w:val="001219CB"/>
    <w:rsid w:val="00121D89"/>
    <w:rsid w:val="00121DE0"/>
    <w:rsid w:val="00121F56"/>
    <w:rsid w:val="00122F1E"/>
    <w:rsid w:val="00123898"/>
    <w:rsid w:val="00123925"/>
    <w:rsid w:val="00123A4B"/>
    <w:rsid w:val="00124760"/>
    <w:rsid w:val="001250EF"/>
    <w:rsid w:val="001252CB"/>
    <w:rsid w:val="001254EB"/>
    <w:rsid w:val="0012666A"/>
    <w:rsid w:val="0012722A"/>
    <w:rsid w:val="001272C9"/>
    <w:rsid w:val="001301FF"/>
    <w:rsid w:val="00130E1F"/>
    <w:rsid w:val="00131706"/>
    <w:rsid w:val="00131860"/>
    <w:rsid w:val="00131C7E"/>
    <w:rsid w:val="0013438B"/>
    <w:rsid w:val="0013491B"/>
    <w:rsid w:val="00134B6B"/>
    <w:rsid w:val="00134CC1"/>
    <w:rsid w:val="001356DE"/>
    <w:rsid w:val="00136A9A"/>
    <w:rsid w:val="00136D9F"/>
    <w:rsid w:val="00137698"/>
    <w:rsid w:val="00141B74"/>
    <w:rsid w:val="00142459"/>
    <w:rsid w:val="0014331E"/>
    <w:rsid w:val="00143DF1"/>
    <w:rsid w:val="00144C15"/>
    <w:rsid w:val="001452B6"/>
    <w:rsid w:val="0014603E"/>
    <w:rsid w:val="00146D5D"/>
    <w:rsid w:val="00146FBD"/>
    <w:rsid w:val="001470F3"/>
    <w:rsid w:val="00147241"/>
    <w:rsid w:val="00147577"/>
    <w:rsid w:val="00147835"/>
    <w:rsid w:val="00147A74"/>
    <w:rsid w:val="00147FE3"/>
    <w:rsid w:val="001500F0"/>
    <w:rsid w:val="00151864"/>
    <w:rsid w:val="0015187E"/>
    <w:rsid w:val="00154437"/>
    <w:rsid w:val="00154791"/>
    <w:rsid w:val="00155921"/>
    <w:rsid w:val="001562B3"/>
    <w:rsid w:val="001568E1"/>
    <w:rsid w:val="001602C5"/>
    <w:rsid w:val="001603F8"/>
    <w:rsid w:val="00161B02"/>
    <w:rsid w:val="00161FC1"/>
    <w:rsid w:val="00162E5C"/>
    <w:rsid w:val="00162EAB"/>
    <w:rsid w:val="0016335B"/>
    <w:rsid w:val="00163A4A"/>
    <w:rsid w:val="00164A5C"/>
    <w:rsid w:val="00167339"/>
    <w:rsid w:val="00170185"/>
    <w:rsid w:val="0017215C"/>
    <w:rsid w:val="0017353C"/>
    <w:rsid w:val="0017394D"/>
    <w:rsid w:val="00174FD5"/>
    <w:rsid w:val="0017521C"/>
    <w:rsid w:val="00175738"/>
    <w:rsid w:val="00175F0C"/>
    <w:rsid w:val="0017603E"/>
    <w:rsid w:val="00176B7A"/>
    <w:rsid w:val="001774DD"/>
    <w:rsid w:val="001778A0"/>
    <w:rsid w:val="00177CAC"/>
    <w:rsid w:val="00180601"/>
    <w:rsid w:val="00180A72"/>
    <w:rsid w:val="001810C1"/>
    <w:rsid w:val="00181460"/>
    <w:rsid w:val="00181908"/>
    <w:rsid w:val="00181A9D"/>
    <w:rsid w:val="00182581"/>
    <w:rsid w:val="00182C6F"/>
    <w:rsid w:val="00183BCA"/>
    <w:rsid w:val="00184D70"/>
    <w:rsid w:val="00184F1A"/>
    <w:rsid w:val="00185E98"/>
    <w:rsid w:val="001867F4"/>
    <w:rsid w:val="001871BC"/>
    <w:rsid w:val="001902B5"/>
    <w:rsid w:val="00190C1D"/>
    <w:rsid w:val="001911D3"/>
    <w:rsid w:val="0019297E"/>
    <w:rsid w:val="00192EEB"/>
    <w:rsid w:val="00192FB2"/>
    <w:rsid w:val="0019495B"/>
    <w:rsid w:val="001959CB"/>
    <w:rsid w:val="001A04D9"/>
    <w:rsid w:val="001A0AF7"/>
    <w:rsid w:val="001A1515"/>
    <w:rsid w:val="001A2325"/>
    <w:rsid w:val="001A30C2"/>
    <w:rsid w:val="001A33EC"/>
    <w:rsid w:val="001A3C19"/>
    <w:rsid w:val="001A41A8"/>
    <w:rsid w:val="001A44CF"/>
    <w:rsid w:val="001A5879"/>
    <w:rsid w:val="001A5F09"/>
    <w:rsid w:val="001A659C"/>
    <w:rsid w:val="001A6CA0"/>
    <w:rsid w:val="001A72D1"/>
    <w:rsid w:val="001A74FD"/>
    <w:rsid w:val="001B030A"/>
    <w:rsid w:val="001B1413"/>
    <w:rsid w:val="001B1858"/>
    <w:rsid w:val="001B1935"/>
    <w:rsid w:val="001B1D48"/>
    <w:rsid w:val="001B267B"/>
    <w:rsid w:val="001B3938"/>
    <w:rsid w:val="001B3964"/>
    <w:rsid w:val="001B4B46"/>
    <w:rsid w:val="001B506A"/>
    <w:rsid w:val="001B535D"/>
    <w:rsid w:val="001B6C1E"/>
    <w:rsid w:val="001C06AD"/>
    <w:rsid w:val="001C0CEA"/>
    <w:rsid w:val="001C17D2"/>
    <w:rsid w:val="001C1C53"/>
    <w:rsid w:val="001C3D05"/>
    <w:rsid w:val="001C425A"/>
    <w:rsid w:val="001C4CE6"/>
    <w:rsid w:val="001C5526"/>
    <w:rsid w:val="001C622A"/>
    <w:rsid w:val="001C69DE"/>
    <w:rsid w:val="001C6D17"/>
    <w:rsid w:val="001C6F7C"/>
    <w:rsid w:val="001C7AA5"/>
    <w:rsid w:val="001C7ABB"/>
    <w:rsid w:val="001D0A11"/>
    <w:rsid w:val="001D1D7A"/>
    <w:rsid w:val="001D30B1"/>
    <w:rsid w:val="001D447A"/>
    <w:rsid w:val="001D4BD5"/>
    <w:rsid w:val="001D52B9"/>
    <w:rsid w:val="001D5482"/>
    <w:rsid w:val="001D54E9"/>
    <w:rsid w:val="001D7B44"/>
    <w:rsid w:val="001E0101"/>
    <w:rsid w:val="001E03C2"/>
    <w:rsid w:val="001E0F11"/>
    <w:rsid w:val="001E0FAC"/>
    <w:rsid w:val="001E20E9"/>
    <w:rsid w:val="001E28FD"/>
    <w:rsid w:val="001E326C"/>
    <w:rsid w:val="001E488A"/>
    <w:rsid w:val="001E54D9"/>
    <w:rsid w:val="001E554D"/>
    <w:rsid w:val="001E6D90"/>
    <w:rsid w:val="001E6FA6"/>
    <w:rsid w:val="001F101A"/>
    <w:rsid w:val="001F1A2E"/>
    <w:rsid w:val="001F2520"/>
    <w:rsid w:val="001F453F"/>
    <w:rsid w:val="001F4DFD"/>
    <w:rsid w:val="001F5093"/>
    <w:rsid w:val="001F5398"/>
    <w:rsid w:val="001F70C9"/>
    <w:rsid w:val="0020025E"/>
    <w:rsid w:val="002005AA"/>
    <w:rsid w:val="0020140C"/>
    <w:rsid w:val="002014AA"/>
    <w:rsid w:val="002017EB"/>
    <w:rsid w:val="0020385B"/>
    <w:rsid w:val="002048D2"/>
    <w:rsid w:val="00204C75"/>
    <w:rsid w:val="00204DCD"/>
    <w:rsid w:val="002052AB"/>
    <w:rsid w:val="00205483"/>
    <w:rsid w:val="002061BD"/>
    <w:rsid w:val="0020779C"/>
    <w:rsid w:val="002079E0"/>
    <w:rsid w:val="00207D38"/>
    <w:rsid w:val="002123E7"/>
    <w:rsid w:val="00212F13"/>
    <w:rsid w:val="002139CA"/>
    <w:rsid w:val="00215222"/>
    <w:rsid w:val="002154F1"/>
    <w:rsid w:val="00216F8C"/>
    <w:rsid w:val="002171BD"/>
    <w:rsid w:val="002209E3"/>
    <w:rsid w:val="00220F98"/>
    <w:rsid w:val="00222022"/>
    <w:rsid w:val="0022265B"/>
    <w:rsid w:val="00222CF5"/>
    <w:rsid w:val="0022349C"/>
    <w:rsid w:val="002234ED"/>
    <w:rsid w:val="00224254"/>
    <w:rsid w:val="00224577"/>
    <w:rsid w:val="00226D90"/>
    <w:rsid w:val="0022726B"/>
    <w:rsid w:val="00227C56"/>
    <w:rsid w:val="00230975"/>
    <w:rsid w:val="00231977"/>
    <w:rsid w:val="0023226D"/>
    <w:rsid w:val="0023497C"/>
    <w:rsid w:val="00234A17"/>
    <w:rsid w:val="00235855"/>
    <w:rsid w:val="00236878"/>
    <w:rsid w:val="00236899"/>
    <w:rsid w:val="00237C65"/>
    <w:rsid w:val="00240054"/>
    <w:rsid w:val="00240409"/>
    <w:rsid w:val="002406E8"/>
    <w:rsid w:val="002407E7"/>
    <w:rsid w:val="002426BF"/>
    <w:rsid w:val="0024273E"/>
    <w:rsid w:val="002428E7"/>
    <w:rsid w:val="00243103"/>
    <w:rsid w:val="002436C4"/>
    <w:rsid w:val="00244C30"/>
    <w:rsid w:val="00245037"/>
    <w:rsid w:val="00246B05"/>
    <w:rsid w:val="00246C70"/>
    <w:rsid w:val="00246E18"/>
    <w:rsid w:val="00246FA8"/>
    <w:rsid w:val="0024719A"/>
    <w:rsid w:val="00247260"/>
    <w:rsid w:val="002476D0"/>
    <w:rsid w:val="0025012C"/>
    <w:rsid w:val="002503D8"/>
    <w:rsid w:val="00250E20"/>
    <w:rsid w:val="002545D9"/>
    <w:rsid w:val="00254CE6"/>
    <w:rsid w:val="00255771"/>
    <w:rsid w:val="0025668B"/>
    <w:rsid w:val="002569A2"/>
    <w:rsid w:val="0025783C"/>
    <w:rsid w:val="0026000A"/>
    <w:rsid w:val="0026163D"/>
    <w:rsid w:val="002621A0"/>
    <w:rsid w:val="00262EE1"/>
    <w:rsid w:val="0026335C"/>
    <w:rsid w:val="00263451"/>
    <w:rsid w:val="00263CE7"/>
    <w:rsid w:val="00264552"/>
    <w:rsid w:val="0026595C"/>
    <w:rsid w:val="0026634D"/>
    <w:rsid w:val="00266530"/>
    <w:rsid w:val="00266A14"/>
    <w:rsid w:val="0026780F"/>
    <w:rsid w:val="002702C9"/>
    <w:rsid w:val="00271122"/>
    <w:rsid w:val="00271C38"/>
    <w:rsid w:val="0027391D"/>
    <w:rsid w:val="00275CAC"/>
    <w:rsid w:val="00276AE0"/>
    <w:rsid w:val="0027716E"/>
    <w:rsid w:val="002802B3"/>
    <w:rsid w:val="00281BC2"/>
    <w:rsid w:val="00281EBE"/>
    <w:rsid w:val="00282039"/>
    <w:rsid w:val="00282068"/>
    <w:rsid w:val="00282F1C"/>
    <w:rsid w:val="00283DCC"/>
    <w:rsid w:val="00284279"/>
    <w:rsid w:val="00290319"/>
    <w:rsid w:val="00290AA3"/>
    <w:rsid w:val="00291A79"/>
    <w:rsid w:val="0029385F"/>
    <w:rsid w:val="002959D4"/>
    <w:rsid w:val="00295A73"/>
    <w:rsid w:val="00295F81"/>
    <w:rsid w:val="00296F78"/>
    <w:rsid w:val="002A0D14"/>
    <w:rsid w:val="002A153C"/>
    <w:rsid w:val="002A1627"/>
    <w:rsid w:val="002A2D8F"/>
    <w:rsid w:val="002A3C16"/>
    <w:rsid w:val="002A3FA5"/>
    <w:rsid w:val="002A43DC"/>
    <w:rsid w:val="002A4ACF"/>
    <w:rsid w:val="002A55C1"/>
    <w:rsid w:val="002A5DD3"/>
    <w:rsid w:val="002A7025"/>
    <w:rsid w:val="002A747D"/>
    <w:rsid w:val="002A764A"/>
    <w:rsid w:val="002A7A6F"/>
    <w:rsid w:val="002B1032"/>
    <w:rsid w:val="002B207D"/>
    <w:rsid w:val="002B485E"/>
    <w:rsid w:val="002B509E"/>
    <w:rsid w:val="002B52AB"/>
    <w:rsid w:val="002C04A3"/>
    <w:rsid w:val="002C0CB3"/>
    <w:rsid w:val="002C1852"/>
    <w:rsid w:val="002C2057"/>
    <w:rsid w:val="002C2114"/>
    <w:rsid w:val="002C2242"/>
    <w:rsid w:val="002C30AE"/>
    <w:rsid w:val="002C63B3"/>
    <w:rsid w:val="002C65E6"/>
    <w:rsid w:val="002C6DB2"/>
    <w:rsid w:val="002C7A4E"/>
    <w:rsid w:val="002C7C1D"/>
    <w:rsid w:val="002D01C6"/>
    <w:rsid w:val="002D0214"/>
    <w:rsid w:val="002D09F0"/>
    <w:rsid w:val="002D150F"/>
    <w:rsid w:val="002D2432"/>
    <w:rsid w:val="002D2746"/>
    <w:rsid w:val="002D2AB4"/>
    <w:rsid w:val="002D30D8"/>
    <w:rsid w:val="002D39CB"/>
    <w:rsid w:val="002D49EC"/>
    <w:rsid w:val="002D4FA3"/>
    <w:rsid w:val="002D571A"/>
    <w:rsid w:val="002D656A"/>
    <w:rsid w:val="002D6830"/>
    <w:rsid w:val="002E0D71"/>
    <w:rsid w:val="002E1545"/>
    <w:rsid w:val="002E1E6B"/>
    <w:rsid w:val="002E39DE"/>
    <w:rsid w:val="002E421F"/>
    <w:rsid w:val="002E5B31"/>
    <w:rsid w:val="002E6F34"/>
    <w:rsid w:val="002F0F77"/>
    <w:rsid w:val="002F19A2"/>
    <w:rsid w:val="002F2011"/>
    <w:rsid w:val="002F3CA5"/>
    <w:rsid w:val="002F3E7A"/>
    <w:rsid w:val="002F4B7E"/>
    <w:rsid w:val="002F52CD"/>
    <w:rsid w:val="002F6F11"/>
    <w:rsid w:val="002F74CE"/>
    <w:rsid w:val="002F7BCA"/>
    <w:rsid w:val="0030035C"/>
    <w:rsid w:val="00300B28"/>
    <w:rsid w:val="00300CB5"/>
    <w:rsid w:val="003018D9"/>
    <w:rsid w:val="00301FDC"/>
    <w:rsid w:val="00302A0C"/>
    <w:rsid w:val="00302DD4"/>
    <w:rsid w:val="00302EF5"/>
    <w:rsid w:val="003032BE"/>
    <w:rsid w:val="0030387B"/>
    <w:rsid w:val="0030471B"/>
    <w:rsid w:val="00304D71"/>
    <w:rsid w:val="0030600E"/>
    <w:rsid w:val="003070D7"/>
    <w:rsid w:val="003072EC"/>
    <w:rsid w:val="003100D7"/>
    <w:rsid w:val="00310A86"/>
    <w:rsid w:val="00310E6F"/>
    <w:rsid w:val="003111C3"/>
    <w:rsid w:val="00311699"/>
    <w:rsid w:val="003119DF"/>
    <w:rsid w:val="00312155"/>
    <w:rsid w:val="00315F17"/>
    <w:rsid w:val="00315F9F"/>
    <w:rsid w:val="003160E0"/>
    <w:rsid w:val="00316411"/>
    <w:rsid w:val="00316C12"/>
    <w:rsid w:val="00317AC9"/>
    <w:rsid w:val="00317BB3"/>
    <w:rsid w:val="0032044F"/>
    <w:rsid w:val="00320B5B"/>
    <w:rsid w:val="003221A7"/>
    <w:rsid w:val="00322569"/>
    <w:rsid w:val="003235C0"/>
    <w:rsid w:val="0032455F"/>
    <w:rsid w:val="00324FB3"/>
    <w:rsid w:val="00324FB5"/>
    <w:rsid w:val="00325670"/>
    <w:rsid w:val="00330136"/>
    <w:rsid w:val="00330D69"/>
    <w:rsid w:val="00331D2E"/>
    <w:rsid w:val="00332E7C"/>
    <w:rsid w:val="00333EDC"/>
    <w:rsid w:val="003351CB"/>
    <w:rsid w:val="00335EBA"/>
    <w:rsid w:val="00336AB3"/>
    <w:rsid w:val="0033777C"/>
    <w:rsid w:val="00337A1C"/>
    <w:rsid w:val="00337A56"/>
    <w:rsid w:val="003401F3"/>
    <w:rsid w:val="00341BF2"/>
    <w:rsid w:val="00341D88"/>
    <w:rsid w:val="00341E4D"/>
    <w:rsid w:val="0034325C"/>
    <w:rsid w:val="00344406"/>
    <w:rsid w:val="0034542F"/>
    <w:rsid w:val="00346F88"/>
    <w:rsid w:val="0034704D"/>
    <w:rsid w:val="003479F8"/>
    <w:rsid w:val="003502DA"/>
    <w:rsid w:val="00350F60"/>
    <w:rsid w:val="003511D3"/>
    <w:rsid w:val="00351A5D"/>
    <w:rsid w:val="00352573"/>
    <w:rsid w:val="00355096"/>
    <w:rsid w:val="003558A4"/>
    <w:rsid w:val="00355A32"/>
    <w:rsid w:val="003564E3"/>
    <w:rsid w:val="0035729E"/>
    <w:rsid w:val="003572E5"/>
    <w:rsid w:val="0036124D"/>
    <w:rsid w:val="0036193B"/>
    <w:rsid w:val="00361E86"/>
    <w:rsid w:val="003626EA"/>
    <w:rsid w:val="00363CD4"/>
    <w:rsid w:val="00365411"/>
    <w:rsid w:val="003706EE"/>
    <w:rsid w:val="003716EB"/>
    <w:rsid w:val="003730FA"/>
    <w:rsid w:val="00374F88"/>
    <w:rsid w:val="003752FF"/>
    <w:rsid w:val="00376783"/>
    <w:rsid w:val="00376E30"/>
    <w:rsid w:val="0037735A"/>
    <w:rsid w:val="0037B8FC"/>
    <w:rsid w:val="003817C3"/>
    <w:rsid w:val="00381C8D"/>
    <w:rsid w:val="003835B5"/>
    <w:rsid w:val="003839F9"/>
    <w:rsid w:val="00384C6D"/>
    <w:rsid w:val="003860B2"/>
    <w:rsid w:val="00386DB9"/>
    <w:rsid w:val="00386F59"/>
    <w:rsid w:val="00387143"/>
    <w:rsid w:val="003877CC"/>
    <w:rsid w:val="00387CFA"/>
    <w:rsid w:val="0039024F"/>
    <w:rsid w:val="00390F18"/>
    <w:rsid w:val="003911E0"/>
    <w:rsid w:val="0039138C"/>
    <w:rsid w:val="00391E02"/>
    <w:rsid w:val="0039302C"/>
    <w:rsid w:val="003930B3"/>
    <w:rsid w:val="003930BD"/>
    <w:rsid w:val="0039334E"/>
    <w:rsid w:val="0039447B"/>
    <w:rsid w:val="00395934"/>
    <w:rsid w:val="00396965"/>
    <w:rsid w:val="0039705F"/>
    <w:rsid w:val="003A024D"/>
    <w:rsid w:val="003A06E2"/>
    <w:rsid w:val="003A1094"/>
    <w:rsid w:val="003A2844"/>
    <w:rsid w:val="003A2D3F"/>
    <w:rsid w:val="003A2FEC"/>
    <w:rsid w:val="003A329E"/>
    <w:rsid w:val="003A389D"/>
    <w:rsid w:val="003A46A0"/>
    <w:rsid w:val="003A56A6"/>
    <w:rsid w:val="003A57B4"/>
    <w:rsid w:val="003A5B40"/>
    <w:rsid w:val="003A6860"/>
    <w:rsid w:val="003A7BC5"/>
    <w:rsid w:val="003A7EA0"/>
    <w:rsid w:val="003A7F3F"/>
    <w:rsid w:val="003B0CCD"/>
    <w:rsid w:val="003B11CC"/>
    <w:rsid w:val="003B1C7E"/>
    <w:rsid w:val="003B1D6A"/>
    <w:rsid w:val="003B2B9B"/>
    <w:rsid w:val="003B3071"/>
    <w:rsid w:val="003B3BF9"/>
    <w:rsid w:val="003B3D2A"/>
    <w:rsid w:val="003B4CD7"/>
    <w:rsid w:val="003B4E8E"/>
    <w:rsid w:val="003B50BF"/>
    <w:rsid w:val="003B57A4"/>
    <w:rsid w:val="003B6080"/>
    <w:rsid w:val="003B699A"/>
    <w:rsid w:val="003C0CE3"/>
    <w:rsid w:val="003C1184"/>
    <w:rsid w:val="003C1F1A"/>
    <w:rsid w:val="003C24A8"/>
    <w:rsid w:val="003C3C80"/>
    <w:rsid w:val="003C3F61"/>
    <w:rsid w:val="003C4F12"/>
    <w:rsid w:val="003C5513"/>
    <w:rsid w:val="003C5659"/>
    <w:rsid w:val="003C5AC2"/>
    <w:rsid w:val="003D3C72"/>
    <w:rsid w:val="003D44F1"/>
    <w:rsid w:val="003D47F2"/>
    <w:rsid w:val="003D53E4"/>
    <w:rsid w:val="003D5AD0"/>
    <w:rsid w:val="003D61BB"/>
    <w:rsid w:val="003D7283"/>
    <w:rsid w:val="003D7E86"/>
    <w:rsid w:val="003D7F64"/>
    <w:rsid w:val="003E0166"/>
    <w:rsid w:val="003E017A"/>
    <w:rsid w:val="003E01E5"/>
    <w:rsid w:val="003E235B"/>
    <w:rsid w:val="003E25BE"/>
    <w:rsid w:val="003E296D"/>
    <w:rsid w:val="003E43E0"/>
    <w:rsid w:val="003E481C"/>
    <w:rsid w:val="003E4DC1"/>
    <w:rsid w:val="003E588C"/>
    <w:rsid w:val="003E6023"/>
    <w:rsid w:val="003F0CA2"/>
    <w:rsid w:val="003F0EE3"/>
    <w:rsid w:val="003F1D55"/>
    <w:rsid w:val="003F2807"/>
    <w:rsid w:val="003F3835"/>
    <w:rsid w:val="003F3E78"/>
    <w:rsid w:val="003F3EEB"/>
    <w:rsid w:val="003F6355"/>
    <w:rsid w:val="003F6D3E"/>
    <w:rsid w:val="003F7ACE"/>
    <w:rsid w:val="00400C79"/>
    <w:rsid w:val="00402623"/>
    <w:rsid w:val="00403101"/>
    <w:rsid w:val="004031F7"/>
    <w:rsid w:val="004034B2"/>
    <w:rsid w:val="0040379E"/>
    <w:rsid w:val="00404B34"/>
    <w:rsid w:val="00405744"/>
    <w:rsid w:val="00406075"/>
    <w:rsid w:val="0040711E"/>
    <w:rsid w:val="0040762C"/>
    <w:rsid w:val="00413C07"/>
    <w:rsid w:val="00413C8A"/>
    <w:rsid w:val="004148CB"/>
    <w:rsid w:val="0041562F"/>
    <w:rsid w:val="00415805"/>
    <w:rsid w:val="00415F8F"/>
    <w:rsid w:val="00416220"/>
    <w:rsid w:val="004168C0"/>
    <w:rsid w:val="004175B6"/>
    <w:rsid w:val="00417E45"/>
    <w:rsid w:val="004203B5"/>
    <w:rsid w:val="0042092D"/>
    <w:rsid w:val="0042115B"/>
    <w:rsid w:val="00422CF1"/>
    <w:rsid w:val="00423A21"/>
    <w:rsid w:val="00424227"/>
    <w:rsid w:val="004244EA"/>
    <w:rsid w:val="004245E1"/>
    <w:rsid w:val="00426404"/>
    <w:rsid w:val="004279D5"/>
    <w:rsid w:val="00430517"/>
    <w:rsid w:val="00430E0A"/>
    <w:rsid w:val="004312C4"/>
    <w:rsid w:val="00432099"/>
    <w:rsid w:val="004325DD"/>
    <w:rsid w:val="004352D2"/>
    <w:rsid w:val="0043755F"/>
    <w:rsid w:val="00437D92"/>
    <w:rsid w:val="004405AC"/>
    <w:rsid w:val="00440600"/>
    <w:rsid w:val="0044134F"/>
    <w:rsid w:val="00441773"/>
    <w:rsid w:val="0044289D"/>
    <w:rsid w:val="004447FD"/>
    <w:rsid w:val="00445F83"/>
    <w:rsid w:val="00447C20"/>
    <w:rsid w:val="0045126C"/>
    <w:rsid w:val="004512A2"/>
    <w:rsid w:val="00451D37"/>
    <w:rsid w:val="004523E2"/>
    <w:rsid w:val="00453675"/>
    <w:rsid w:val="00454E44"/>
    <w:rsid w:val="004552C1"/>
    <w:rsid w:val="00455625"/>
    <w:rsid w:val="00455975"/>
    <w:rsid w:val="00455E9A"/>
    <w:rsid w:val="0045684B"/>
    <w:rsid w:val="00456F6B"/>
    <w:rsid w:val="00457379"/>
    <w:rsid w:val="00457BC9"/>
    <w:rsid w:val="00460099"/>
    <w:rsid w:val="00461518"/>
    <w:rsid w:val="00461F51"/>
    <w:rsid w:val="00463434"/>
    <w:rsid w:val="0046761C"/>
    <w:rsid w:val="0047088B"/>
    <w:rsid w:val="004712DE"/>
    <w:rsid w:val="004714B8"/>
    <w:rsid w:val="004714FC"/>
    <w:rsid w:val="0047217C"/>
    <w:rsid w:val="00472195"/>
    <w:rsid w:val="00472926"/>
    <w:rsid w:val="00474468"/>
    <w:rsid w:val="0047490B"/>
    <w:rsid w:val="004761A2"/>
    <w:rsid w:val="0047632E"/>
    <w:rsid w:val="004772C2"/>
    <w:rsid w:val="00480043"/>
    <w:rsid w:val="00480A5A"/>
    <w:rsid w:val="00480DD9"/>
    <w:rsid w:val="00480E6E"/>
    <w:rsid w:val="004817FA"/>
    <w:rsid w:val="004828BD"/>
    <w:rsid w:val="00483031"/>
    <w:rsid w:val="0048476F"/>
    <w:rsid w:val="00484A81"/>
    <w:rsid w:val="00484F61"/>
    <w:rsid w:val="00485701"/>
    <w:rsid w:val="0048617C"/>
    <w:rsid w:val="00486B4B"/>
    <w:rsid w:val="004871E9"/>
    <w:rsid w:val="00490CE8"/>
    <w:rsid w:val="00491573"/>
    <w:rsid w:val="004922B1"/>
    <w:rsid w:val="0049275D"/>
    <w:rsid w:val="00492966"/>
    <w:rsid w:val="00493060"/>
    <w:rsid w:val="0049318E"/>
    <w:rsid w:val="00493427"/>
    <w:rsid w:val="004943B0"/>
    <w:rsid w:val="004968AA"/>
    <w:rsid w:val="00496DF4"/>
    <w:rsid w:val="004A072A"/>
    <w:rsid w:val="004A0D07"/>
    <w:rsid w:val="004A2850"/>
    <w:rsid w:val="004A2A50"/>
    <w:rsid w:val="004A46F0"/>
    <w:rsid w:val="004A47B2"/>
    <w:rsid w:val="004A50BD"/>
    <w:rsid w:val="004A559E"/>
    <w:rsid w:val="004A5897"/>
    <w:rsid w:val="004B158B"/>
    <w:rsid w:val="004B19C2"/>
    <w:rsid w:val="004B1CC1"/>
    <w:rsid w:val="004B2464"/>
    <w:rsid w:val="004B2A1C"/>
    <w:rsid w:val="004B30C0"/>
    <w:rsid w:val="004B3CA2"/>
    <w:rsid w:val="004B490E"/>
    <w:rsid w:val="004B50F4"/>
    <w:rsid w:val="004B5B6F"/>
    <w:rsid w:val="004B64AE"/>
    <w:rsid w:val="004B7BCF"/>
    <w:rsid w:val="004C0836"/>
    <w:rsid w:val="004C0B06"/>
    <w:rsid w:val="004C0CF5"/>
    <w:rsid w:val="004C1291"/>
    <w:rsid w:val="004C151C"/>
    <w:rsid w:val="004C1C55"/>
    <w:rsid w:val="004C1CAA"/>
    <w:rsid w:val="004C238F"/>
    <w:rsid w:val="004C2601"/>
    <w:rsid w:val="004C3264"/>
    <w:rsid w:val="004C3B22"/>
    <w:rsid w:val="004C49AC"/>
    <w:rsid w:val="004C67DC"/>
    <w:rsid w:val="004C71B1"/>
    <w:rsid w:val="004D132C"/>
    <w:rsid w:val="004D1D6F"/>
    <w:rsid w:val="004D25D9"/>
    <w:rsid w:val="004D34DE"/>
    <w:rsid w:val="004D35E8"/>
    <w:rsid w:val="004D3F40"/>
    <w:rsid w:val="004D429D"/>
    <w:rsid w:val="004D506B"/>
    <w:rsid w:val="004D50FC"/>
    <w:rsid w:val="004D61A6"/>
    <w:rsid w:val="004D668B"/>
    <w:rsid w:val="004D76A3"/>
    <w:rsid w:val="004E0863"/>
    <w:rsid w:val="004E1239"/>
    <w:rsid w:val="004E17C6"/>
    <w:rsid w:val="004E190B"/>
    <w:rsid w:val="004E3AD9"/>
    <w:rsid w:val="004E4B96"/>
    <w:rsid w:val="004E5035"/>
    <w:rsid w:val="004E579B"/>
    <w:rsid w:val="004E6364"/>
    <w:rsid w:val="004E651D"/>
    <w:rsid w:val="004F0655"/>
    <w:rsid w:val="004F0FB4"/>
    <w:rsid w:val="004F113E"/>
    <w:rsid w:val="004F122C"/>
    <w:rsid w:val="004F1B16"/>
    <w:rsid w:val="004F28BA"/>
    <w:rsid w:val="004F50B9"/>
    <w:rsid w:val="004F6A4F"/>
    <w:rsid w:val="004F6BC5"/>
    <w:rsid w:val="004F7F9A"/>
    <w:rsid w:val="00500780"/>
    <w:rsid w:val="00500CAE"/>
    <w:rsid w:val="00503E31"/>
    <w:rsid w:val="00510494"/>
    <w:rsid w:val="00511BE2"/>
    <w:rsid w:val="00511F5B"/>
    <w:rsid w:val="005123F2"/>
    <w:rsid w:val="0051330D"/>
    <w:rsid w:val="00513BAA"/>
    <w:rsid w:val="00513C07"/>
    <w:rsid w:val="00515173"/>
    <w:rsid w:val="00515D08"/>
    <w:rsid w:val="00515DCC"/>
    <w:rsid w:val="00516509"/>
    <w:rsid w:val="005168C6"/>
    <w:rsid w:val="005179C0"/>
    <w:rsid w:val="00517AB9"/>
    <w:rsid w:val="005203CC"/>
    <w:rsid w:val="00521875"/>
    <w:rsid w:val="0052259A"/>
    <w:rsid w:val="005234A2"/>
    <w:rsid w:val="00523717"/>
    <w:rsid w:val="0052408A"/>
    <w:rsid w:val="00524B79"/>
    <w:rsid w:val="005254E5"/>
    <w:rsid w:val="00525A3A"/>
    <w:rsid w:val="005261A6"/>
    <w:rsid w:val="0053026C"/>
    <w:rsid w:val="00530DBB"/>
    <w:rsid w:val="00530E78"/>
    <w:rsid w:val="00531729"/>
    <w:rsid w:val="005319BB"/>
    <w:rsid w:val="00532F4E"/>
    <w:rsid w:val="005359E5"/>
    <w:rsid w:val="0053694E"/>
    <w:rsid w:val="005375AA"/>
    <w:rsid w:val="00537F60"/>
    <w:rsid w:val="00540787"/>
    <w:rsid w:val="005421D1"/>
    <w:rsid w:val="00542595"/>
    <w:rsid w:val="00542C8D"/>
    <w:rsid w:val="005464B3"/>
    <w:rsid w:val="005464B8"/>
    <w:rsid w:val="00546DE1"/>
    <w:rsid w:val="00546E59"/>
    <w:rsid w:val="00547097"/>
    <w:rsid w:val="00547564"/>
    <w:rsid w:val="00547700"/>
    <w:rsid w:val="00547FFA"/>
    <w:rsid w:val="00551998"/>
    <w:rsid w:val="00551EB7"/>
    <w:rsid w:val="005528DB"/>
    <w:rsid w:val="00552B63"/>
    <w:rsid w:val="00553861"/>
    <w:rsid w:val="00553D28"/>
    <w:rsid w:val="00557CB8"/>
    <w:rsid w:val="00557ECF"/>
    <w:rsid w:val="00557F5F"/>
    <w:rsid w:val="00560829"/>
    <w:rsid w:val="005619ED"/>
    <w:rsid w:val="00562813"/>
    <w:rsid w:val="0056281B"/>
    <w:rsid w:val="00562C9A"/>
    <w:rsid w:val="00562E74"/>
    <w:rsid w:val="005633FD"/>
    <w:rsid w:val="00566571"/>
    <w:rsid w:val="005677A8"/>
    <w:rsid w:val="00567D3B"/>
    <w:rsid w:val="005709EB"/>
    <w:rsid w:val="0057629B"/>
    <w:rsid w:val="00576753"/>
    <w:rsid w:val="00576B74"/>
    <w:rsid w:val="00576F5E"/>
    <w:rsid w:val="005779EF"/>
    <w:rsid w:val="00577FD4"/>
    <w:rsid w:val="00580CEA"/>
    <w:rsid w:val="00581D56"/>
    <w:rsid w:val="0058203E"/>
    <w:rsid w:val="00582EE9"/>
    <w:rsid w:val="0058305C"/>
    <w:rsid w:val="00585417"/>
    <w:rsid w:val="005868F4"/>
    <w:rsid w:val="00587AC3"/>
    <w:rsid w:val="00587F8D"/>
    <w:rsid w:val="005904DC"/>
    <w:rsid w:val="00590D92"/>
    <w:rsid w:val="00591DA6"/>
    <w:rsid w:val="0059276B"/>
    <w:rsid w:val="00592B0F"/>
    <w:rsid w:val="00593178"/>
    <w:rsid w:val="005938BE"/>
    <w:rsid w:val="00593D05"/>
    <w:rsid w:val="00593D4C"/>
    <w:rsid w:val="00593E52"/>
    <w:rsid w:val="0059483C"/>
    <w:rsid w:val="00594853"/>
    <w:rsid w:val="00594FAB"/>
    <w:rsid w:val="005954EF"/>
    <w:rsid w:val="00596E02"/>
    <w:rsid w:val="005970D0"/>
    <w:rsid w:val="00597F92"/>
    <w:rsid w:val="005A0151"/>
    <w:rsid w:val="005A0A7E"/>
    <w:rsid w:val="005A18F7"/>
    <w:rsid w:val="005A3A85"/>
    <w:rsid w:val="005A405E"/>
    <w:rsid w:val="005A4243"/>
    <w:rsid w:val="005A604A"/>
    <w:rsid w:val="005A60FF"/>
    <w:rsid w:val="005A6669"/>
    <w:rsid w:val="005A6A05"/>
    <w:rsid w:val="005A7BD5"/>
    <w:rsid w:val="005B08A7"/>
    <w:rsid w:val="005B0A5F"/>
    <w:rsid w:val="005B0AEB"/>
    <w:rsid w:val="005B0C7A"/>
    <w:rsid w:val="005B1905"/>
    <w:rsid w:val="005B2738"/>
    <w:rsid w:val="005B27FB"/>
    <w:rsid w:val="005B4F5B"/>
    <w:rsid w:val="005B5B5E"/>
    <w:rsid w:val="005B7B32"/>
    <w:rsid w:val="005C0A2F"/>
    <w:rsid w:val="005C194A"/>
    <w:rsid w:val="005C392F"/>
    <w:rsid w:val="005C3FD1"/>
    <w:rsid w:val="005C4FDF"/>
    <w:rsid w:val="005C58BB"/>
    <w:rsid w:val="005C6953"/>
    <w:rsid w:val="005C7883"/>
    <w:rsid w:val="005D00F2"/>
    <w:rsid w:val="005D0D2C"/>
    <w:rsid w:val="005D151A"/>
    <w:rsid w:val="005D1AD3"/>
    <w:rsid w:val="005D2089"/>
    <w:rsid w:val="005D24B4"/>
    <w:rsid w:val="005D2B88"/>
    <w:rsid w:val="005D4732"/>
    <w:rsid w:val="005D4FF0"/>
    <w:rsid w:val="005D593A"/>
    <w:rsid w:val="005D5D90"/>
    <w:rsid w:val="005D5EC9"/>
    <w:rsid w:val="005D7ADF"/>
    <w:rsid w:val="005E00CE"/>
    <w:rsid w:val="005E1957"/>
    <w:rsid w:val="005E1B74"/>
    <w:rsid w:val="005E1E70"/>
    <w:rsid w:val="005E29F8"/>
    <w:rsid w:val="005E2B57"/>
    <w:rsid w:val="005E2D8A"/>
    <w:rsid w:val="005E458E"/>
    <w:rsid w:val="005E4E3E"/>
    <w:rsid w:val="005E52BB"/>
    <w:rsid w:val="005E5487"/>
    <w:rsid w:val="005E664D"/>
    <w:rsid w:val="005E7766"/>
    <w:rsid w:val="005E7839"/>
    <w:rsid w:val="005E78AA"/>
    <w:rsid w:val="005E7B40"/>
    <w:rsid w:val="005F4AC5"/>
    <w:rsid w:val="005F4E68"/>
    <w:rsid w:val="005F509A"/>
    <w:rsid w:val="005F5E61"/>
    <w:rsid w:val="006021ED"/>
    <w:rsid w:val="0060383D"/>
    <w:rsid w:val="00603D83"/>
    <w:rsid w:val="00604EEB"/>
    <w:rsid w:val="00605895"/>
    <w:rsid w:val="00605EFC"/>
    <w:rsid w:val="00606125"/>
    <w:rsid w:val="00606460"/>
    <w:rsid w:val="006076F0"/>
    <w:rsid w:val="00610615"/>
    <w:rsid w:val="0061069A"/>
    <w:rsid w:val="00610CCC"/>
    <w:rsid w:val="006121D6"/>
    <w:rsid w:val="00612249"/>
    <w:rsid w:val="00612CF8"/>
    <w:rsid w:val="006149CA"/>
    <w:rsid w:val="00614F71"/>
    <w:rsid w:val="00615D33"/>
    <w:rsid w:val="00615FFD"/>
    <w:rsid w:val="006162FD"/>
    <w:rsid w:val="0061781D"/>
    <w:rsid w:val="00617F7A"/>
    <w:rsid w:val="00620623"/>
    <w:rsid w:val="0062064E"/>
    <w:rsid w:val="006206CA"/>
    <w:rsid w:val="006214CF"/>
    <w:rsid w:val="0062197A"/>
    <w:rsid w:val="006222E6"/>
    <w:rsid w:val="00622595"/>
    <w:rsid w:val="006226F1"/>
    <w:rsid w:val="0062274B"/>
    <w:rsid w:val="00623D62"/>
    <w:rsid w:val="00623DA4"/>
    <w:rsid w:val="006257EF"/>
    <w:rsid w:val="00625A34"/>
    <w:rsid w:val="00625B6F"/>
    <w:rsid w:val="00626AEB"/>
    <w:rsid w:val="00631399"/>
    <w:rsid w:val="006313BE"/>
    <w:rsid w:val="0063192B"/>
    <w:rsid w:val="00632341"/>
    <w:rsid w:val="00632A1B"/>
    <w:rsid w:val="00632DD4"/>
    <w:rsid w:val="0063315A"/>
    <w:rsid w:val="0063340B"/>
    <w:rsid w:val="0063431E"/>
    <w:rsid w:val="0063431F"/>
    <w:rsid w:val="006343B4"/>
    <w:rsid w:val="0063441A"/>
    <w:rsid w:val="006345F4"/>
    <w:rsid w:val="0063472F"/>
    <w:rsid w:val="00634D3B"/>
    <w:rsid w:val="006352BC"/>
    <w:rsid w:val="00640546"/>
    <w:rsid w:val="0064222C"/>
    <w:rsid w:val="006425CF"/>
    <w:rsid w:val="0064441E"/>
    <w:rsid w:val="006446CB"/>
    <w:rsid w:val="006467F9"/>
    <w:rsid w:val="00646D1F"/>
    <w:rsid w:val="00647AC4"/>
    <w:rsid w:val="00650B24"/>
    <w:rsid w:val="00651901"/>
    <w:rsid w:val="0065222A"/>
    <w:rsid w:val="006523CA"/>
    <w:rsid w:val="006525EE"/>
    <w:rsid w:val="00652658"/>
    <w:rsid w:val="00654528"/>
    <w:rsid w:val="00654862"/>
    <w:rsid w:val="0065532D"/>
    <w:rsid w:val="006555EC"/>
    <w:rsid w:val="00656770"/>
    <w:rsid w:val="0065689B"/>
    <w:rsid w:val="00657380"/>
    <w:rsid w:val="00661524"/>
    <w:rsid w:val="00661A4A"/>
    <w:rsid w:val="00661ED4"/>
    <w:rsid w:val="00663ABB"/>
    <w:rsid w:val="00665BC3"/>
    <w:rsid w:val="006665AC"/>
    <w:rsid w:val="006670C7"/>
    <w:rsid w:val="006677FD"/>
    <w:rsid w:val="00667CFB"/>
    <w:rsid w:val="00670076"/>
    <w:rsid w:val="00670585"/>
    <w:rsid w:val="006706F1"/>
    <w:rsid w:val="00671176"/>
    <w:rsid w:val="00672714"/>
    <w:rsid w:val="00672CC7"/>
    <w:rsid w:val="00673A37"/>
    <w:rsid w:val="0067467F"/>
    <w:rsid w:val="00676E07"/>
    <w:rsid w:val="0068050A"/>
    <w:rsid w:val="006805C9"/>
    <w:rsid w:val="00680EBA"/>
    <w:rsid w:val="00682476"/>
    <w:rsid w:val="00682664"/>
    <w:rsid w:val="00684DB6"/>
    <w:rsid w:val="00685436"/>
    <w:rsid w:val="00685550"/>
    <w:rsid w:val="006862BC"/>
    <w:rsid w:val="00686CAB"/>
    <w:rsid w:val="006905CA"/>
    <w:rsid w:val="00690610"/>
    <w:rsid w:val="006911C5"/>
    <w:rsid w:val="006921B8"/>
    <w:rsid w:val="0069230C"/>
    <w:rsid w:val="00692EEE"/>
    <w:rsid w:val="006941B6"/>
    <w:rsid w:val="0069506C"/>
    <w:rsid w:val="006957C1"/>
    <w:rsid w:val="00695C67"/>
    <w:rsid w:val="00696741"/>
    <w:rsid w:val="00696DFC"/>
    <w:rsid w:val="00696E89"/>
    <w:rsid w:val="00697871"/>
    <w:rsid w:val="00697912"/>
    <w:rsid w:val="006A087A"/>
    <w:rsid w:val="006A36D7"/>
    <w:rsid w:val="006A4164"/>
    <w:rsid w:val="006A5843"/>
    <w:rsid w:val="006A5C21"/>
    <w:rsid w:val="006A5EAF"/>
    <w:rsid w:val="006A6AD2"/>
    <w:rsid w:val="006A730D"/>
    <w:rsid w:val="006A9C87"/>
    <w:rsid w:val="006B039C"/>
    <w:rsid w:val="006B051A"/>
    <w:rsid w:val="006B149B"/>
    <w:rsid w:val="006B14C8"/>
    <w:rsid w:val="006B2458"/>
    <w:rsid w:val="006B388F"/>
    <w:rsid w:val="006B39AE"/>
    <w:rsid w:val="006B3D5B"/>
    <w:rsid w:val="006B40C2"/>
    <w:rsid w:val="006B7C64"/>
    <w:rsid w:val="006C0198"/>
    <w:rsid w:val="006C02DC"/>
    <w:rsid w:val="006C156B"/>
    <w:rsid w:val="006C3088"/>
    <w:rsid w:val="006C5049"/>
    <w:rsid w:val="006C638F"/>
    <w:rsid w:val="006D0FAF"/>
    <w:rsid w:val="006D18B9"/>
    <w:rsid w:val="006D202E"/>
    <w:rsid w:val="006D305D"/>
    <w:rsid w:val="006D37F3"/>
    <w:rsid w:val="006D3CB4"/>
    <w:rsid w:val="006D4B25"/>
    <w:rsid w:val="006D4DE2"/>
    <w:rsid w:val="006D5B2B"/>
    <w:rsid w:val="006D5FC2"/>
    <w:rsid w:val="006D6068"/>
    <w:rsid w:val="006D609F"/>
    <w:rsid w:val="006D60AD"/>
    <w:rsid w:val="006D69F4"/>
    <w:rsid w:val="006D77FF"/>
    <w:rsid w:val="006D7CF4"/>
    <w:rsid w:val="006E098A"/>
    <w:rsid w:val="006E2651"/>
    <w:rsid w:val="006E4A8C"/>
    <w:rsid w:val="006E5594"/>
    <w:rsid w:val="006E582D"/>
    <w:rsid w:val="006E5E1E"/>
    <w:rsid w:val="006E602F"/>
    <w:rsid w:val="006E6094"/>
    <w:rsid w:val="006E65AE"/>
    <w:rsid w:val="006F0156"/>
    <w:rsid w:val="006F113D"/>
    <w:rsid w:val="006F12C8"/>
    <w:rsid w:val="006F176C"/>
    <w:rsid w:val="006F44D4"/>
    <w:rsid w:val="006F4F54"/>
    <w:rsid w:val="006F64E1"/>
    <w:rsid w:val="006F660F"/>
    <w:rsid w:val="006F680C"/>
    <w:rsid w:val="006F6C51"/>
    <w:rsid w:val="0070062C"/>
    <w:rsid w:val="0070093C"/>
    <w:rsid w:val="0070209C"/>
    <w:rsid w:val="00702223"/>
    <w:rsid w:val="007022D6"/>
    <w:rsid w:val="00702AC6"/>
    <w:rsid w:val="007031EE"/>
    <w:rsid w:val="00703861"/>
    <w:rsid w:val="0070441D"/>
    <w:rsid w:val="00706294"/>
    <w:rsid w:val="00706792"/>
    <w:rsid w:val="00706830"/>
    <w:rsid w:val="00711CF6"/>
    <w:rsid w:val="00712433"/>
    <w:rsid w:val="0071272D"/>
    <w:rsid w:val="007127B0"/>
    <w:rsid w:val="00713E2C"/>
    <w:rsid w:val="007158C4"/>
    <w:rsid w:val="007160BA"/>
    <w:rsid w:val="007162CA"/>
    <w:rsid w:val="0071686E"/>
    <w:rsid w:val="00717260"/>
    <w:rsid w:val="00717309"/>
    <w:rsid w:val="0071777A"/>
    <w:rsid w:val="00721F03"/>
    <w:rsid w:val="00721F2F"/>
    <w:rsid w:val="00722A63"/>
    <w:rsid w:val="00723968"/>
    <w:rsid w:val="007239CA"/>
    <w:rsid w:val="00723EB6"/>
    <w:rsid w:val="0072435A"/>
    <w:rsid w:val="0072456A"/>
    <w:rsid w:val="00724E2E"/>
    <w:rsid w:val="007258C8"/>
    <w:rsid w:val="00725BD8"/>
    <w:rsid w:val="007271ED"/>
    <w:rsid w:val="007276C1"/>
    <w:rsid w:val="00727B95"/>
    <w:rsid w:val="00727CD5"/>
    <w:rsid w:val="007305FD"/>
    <w:rsid w:val="00730A19"/>
    <w:rsid w:val="00730BCD"/>
    <w:rsid w:val="007321C0"/>
    <w:rsid w:val="0073266F"/>
    <w:rsid w:val="0073356F"/>
    <w:rsid w:val="00734E30"/>
    <w:rsid w:val="007375EE"/>
    <w:rsid w:val="00737715"/>
    <w:rsid w:val="007400EB"/>
    <w:rsid w:val="00740765"/>
    <w:rsid w:val="00740F86"/>
    <w:rsid w:val="007415A9"/>
    <w:rsid w:val="007427E9"/>
    <w:rsid w:val="007429B8"/>
    <w:rsid w:val="00744B5B"/>
    <w:rsid w:val="00744F35"/>
    <w:rsid w:val="0074521E"/>
    <w:rsid w:val="007453F2"/>
    <w:rsid w:val="007462C1"/>
    <w:rsid w:val="00746D9A"/>
    <w:rsid w:val="007472A6"/>
    <w:rsid w:val="00747509"/>
    <w:rsid w:val="00751356"/>
    <w:rsid w:val="0075243A"/>
    <w:rsid w:val="007524C3"/>
    <w:rsid w:val="00752E6F"/>
    <w:rsid w:val="0075426E"/>
    <w:rsid w:val="007552C9"/>
    <w:rsid w:val="0075607A"/>
    <w:rsid w:val="00756396"/>
    <w:rsid w:val="00756A09"/>
    <w:rsid w:val="00756B57"/>
    <w:rsid w:val="0075718B"/>
    <w:rsid w:val="00757D25"/>
    <w:rsid w:val="00757E31"/>
    <w:rsid w:val="007605D6"/>
    <w:rsid w:val="00761041"/>
    <w:rsid w:val="00762590"/>
    <w:rsid w:val="0076290E"/>
    <w:rsid w:val="00762F36"/>
    <w:rsid w:val="00762F72"/>
    <w:rsid w:val="007639DC"/>
    <w:rsid w:val="007641E6"/>
    <w:rsid w:val="0076489F"/>
    <w:rsid w:val="007652B8"/>
    <w:rsid w:val="0076658E"/>
    <w:rsid w:val="00767AC2"/>
    <w:rsid w:val="00767BF7"/>
    <w:rsid w:val="007703DD"/>
    <w:rsid w:val="0077051D"/>
    <w:rsid w:val="0077087A"/>
    <w:rsid w:val="00770E32"/>
    <w:rsid w:val="00771308"/>
    <w:rsid w:val="0077226C"/>
    <w:rsid w:val="00772956"/>
    <w:rsid w:val="00773801"/>
    <w:rsid w:val="00775380"/>
    <w:rsid w:val="00776483"/>
    <w:rsid w:val="00776873"/>
    <w:rsid w:val="007779AC"/>
    <w:rsid w:val="00777C22"/>
    <w:rsid w:val="00777CDF"/>
    <w:rsid w:val="00780030"/>
    <w:rsid w:val="00781414"/>
    <w:rsid w:val="0078180D"/>
    <w:rsid w:val="00781D43"/>
    <w:rsid w:val="00781FAC"/>
    <w:rsid w:val="00782E59"/>
    <w:rsid w:val="007851F1"/>
    <w:rsid w:val="007852D7"/>
    <w:rsid w:val="0078716B"/>
    <w:rsid w:val="00787689"/>
    <w:rsid w:val="00787FC1"/>
    <w:rsid w:val="007905F8"/>
    <w:rsid w:val="007908A1"/>
    <w:rsid w:val="00792B70"/>
    <w:rsid w:val="007931DF"/>
    <w:rsid w:val="00793274"/>
    <w:rsid w:val="007936BA"/>
    <w:rsid w:val="00796421"/>
    <w:rsid w:val="00796C5D"/>
    <w:rsid w:val="00797C63"/>
    <w:rsid w:val="007A020D"/>
    <w:rsid w:val="007A1865"/>
    <w:rsid w:val="007A1FCF"/>
    <w:rsid w:val="007A2A89"/>
    <w:rsid w:val="007A4425"/>
    <w:rsid w:val="007A44C4"/>
    <w:rsid w:val="007A5E7E"/>
    <w:rsid w:val="007A662E"/>
    <w:rsid w:val="007A73AF"/>
    <w:rsid w:val="007A7CE6"/>
    <w:rsid w:val="007B0821"/>
    <w:rsid w:val="007B1B91"/>
    <w:rsid w:val="007B1C90"/>
    <w:rsid w:val="007B1E12"/>
    <w:rsid w:val="007B2E0C"/>
    <w:rsid w:val="007B2F11"/>
    <w:rsid w:val="007B32DA"/>
    <w:rsid w:val="007B34C9"/>
    <w:rsid w:val="007B39B6"/>
    <w:rsid w:val="007B3A1F"/>
    <w:rsid w:val="007B3CE4"/>
    <w:rsid w:val="007B5B16"/>
    <w:rsid w:val="007B64D8"/>
    <w:rsid w:val="007B6837"/>
    <w:rsid w:val="007B738D"/>
    <w:rsid w:val="007B786E"/>
    <w:rsid w:val="007C0BCE"/>
    <w:rsid w:val="007C0BFC"/>
    <w:rsid w:val="007C202B"/>
    <w:rsid w:val="007C224A"/>
    <w:rsid w:val="007C2333"/>
    <w:rsid w:val="007C3774"/>
    <w:rsid w:val="007C3B7E"/>
    <w:rsid w:val="007C425B"/>
    <w:rsid w:val="007C4870"/>
    <w:rsid w:val="007C5ECB"/>
    <w:rsid w:val="007C6512"/>
    <w:rsid w:val="007C6938"/>
    <w:rsid w:val="007C708F"/>
    <w:rsid w:val="007C79B0"/>
    <w:rsid w:val="007C7DD6"/>
    <w:rsid w:val="007D1E23"/>
    <w:rsid w:val="007D1E68"/>
    <w:rsid w:val="007D1F64"/>
    <w:rsid w:val="007D2D4B"/>
    <w:rsid w:val="007D3140"/>
    <w:rsid w:val="007D4223"/>
    <w:rsid w:val="007D426A"/>
    <w:rsid w:val="007D5452"/>
    <w:rsid w:val="007D686F"/>
    <w:rsid w:val="007E130B"/>
    <w:rsid w:val="007E225E"/>
    <w:rsid w:val="007E2690"/>
    <w:rsid w:val="007E2AED"/>
    <w:rsid w:val="007E4727"/>
    <w:rsid w:val="007E480C"/>
    <w:rsid w:val="007E4AC9"/>
    <w:rsid w:val="007E5847"/>
    <w:rsid w:val="007E5ADD"/>
    <w:rsid w:val="007E6A22"/>
    <w:rsid w:val="007F01B2"/>
    <w:rsid w:val="007F08FD"/>
    <w:rsid w:val="007F0E0A"/>
    <w:rsid w:val="007F15FF"/>
    <w:rsid w:val="007F16FA"/>
    <w:rsid w:val="007F1BDE"/>
    <w:rsid w:val="007F22B9"/>
    <w:rsid w:val="007F2621"/>
    <w:rsid w:val="007F2804"/>
    <w:rsid w:val="007F380F"/>
    <w:rsid w:val="007F3E1C"/>
    <w:rsid w:val="007F42ED"/>
    <w:rsid w:val="007F50D5"/>
    <w:rsid w:val="007F595F"/>
    <w:rsid w:val="007F6C34"/>
    <w:rsid w:val="00800AFB"/>
    <w:rsid w:val="00801DA5"/>
    <w:rsid w:val="00802CE9"/>
    <w:rsid w:val="00803BD2"/>
    <w:rsid w:val="00803D59"/>
    <w:rsid w:val="0080781F"/>
    <w:rsid w:val="00807B9D"/>
    <w:rsid w:val="008109A1"/>
    <w:rsid w:val="00811504"/>
    <w:rsid w:val="00811A89"/>
    <w:rsid w:val="00811B0E"/>
    <w:rsid w:val="00811C99"/>
    <w:rsid w:val="00812824"/>
    <w:rsid w:val="00813DD5"/>
    <w:rsid w:val="00814224"/>
    <w:rsid w:val="00814253"/>
    <w:rsid w:val="008148FD"/>
    <w:rsid w:val="00814F5B"/>
    <w:rsid w:val="00816879"/>
    <w:rsid w:val="00816C53"/>
    <w:rsid w:val="00816D04"/>
    <w:rsid w:val="00817664"/>
    <w:rsid w:val="00817AF5"/>
    <w:rsid w:val="00817C78"/>
    <w:rsid w:val="00817DD1"/>
    <w:rsid w:val="00817F4F"/>
    <w:rsid w:val="00820201"/>
    <w:rsid w:val="00823B40"/>
    <w:rsid w:val="00824C08"/>
    <w:rsid w:val="00824C34"/>
    <w:rsid w:val="0082552D"/>
    <w:rsid w:val="0082562A"/>
    <w:rsid w:val="00825A86"/>
    <w:rsid w:val="00830E8A"/>
    <w:rsid w:val="0083204E"/>
    <w:rsid w:val="0083456D"/>
    <w:rsid w:val="00835A59"/>
    <w:rsid w:val="00835F67"/>
    <w:rsid w:val="008361B9"/>
    <w:rsid w:val="00836353"/>
    <w:rsid w:val="008378D8"/>
    <w:rsid w:val="00840D47"/>
    <w:rsid w:val="00841409"/>
    <w:rsid w:val="00841863"/>
    <w:rsid w:val="00841E53"/>
    <w:rsid w:val="008425E7"/>
    <w:rsid w:val="0084268C"/>
    <w:rsid w:val="00842EC1"/>
    <w:rsid w:val="0084341F"/>
    <w:rsid w:val="008457A6"/>
    <w:rsid w:val="00845E70"/>
    <w:rsid w:val="00847493"/>
    <w:rsid w:val="00850A96"/>
    <w:rsid w:val="008514F3"/>
    <w:rsid w:val="00852D77"/>
    <w:rsid w:val="008534D6"/>
    <w:rsid w:val="0085369D"/>
    <w:rsid w:val="00853C71"/>
    <w:rsid w:val="0085496A"/>
    <w:rsid w:val="0085497D"/>
    <w:rsid w:val="00857B65"/>
    <w:rsid w:val="00857C02"/>
    <w:rsid w:val="008602FE"/>
    <w:rsid w:val="008603E2"/>
    <w:rsid w:val="00860830"/>
    <w:rsid w:val="0086193D"/>
    <w:rsid w:val="00861B05"/>
    <w:rsid w:val="00862611"/>
    <w:rsid w:val="00863612"/>
    <w:rsid w:val="00863814"/>
    <w:rsid w:val="00864AD4"/>
    <w:rsid w:val="0086533E"/>
    <w:rsid w:val="008655DF"/>
    <w:rsid w:val="008659FD"/>
    <w:rsid w:val="00865FC1"/>
    <w:rsid w:val="0086745D"/>
    <w:rsid w:val="00867BEC"/>
    <w:rsid w:val="00870A08"/>
    <w:rsid w:val="00872203"/>
    <w:rsid w:val="008722AE"/>
    <w:rsid w:val="0087257F"/>
    <w:rsid w:val="008749E3"/>
    <w:rsid w:val="00874A4B"/>
    <w:rsid w:val="00875841"/>
    <w:rsid w:val="0087616B"/>
    <w:rsid w:val="008764F8"/>
    <w:rsid w:val="0087764F"/>
    <w:rsid w:val="00877758"/>
    <w:rsid w:val="00877A8D"/>
    <w:rsid w:val="00877D9F"/>
    <w:rsid w:val="00880538"/>
    <w:rsid w:val="00881261"/>
    <w:rsid w:val="0088189E"/>
    <w:rsid w:val="00881F30"/>
    <w:rsid w:val="00882999"/>
    <w:rsid w:val="00883257"/>
    <w:rsid w:val="00883A70"/>
    <w:rsid w:val="00884658"/>
    <w:rsid w:val="00884B8F"/>
    <w:rsid w:val="00884F66"/>
    <w:rsid w:val="00885240"/>
    <w:rsid w:val="00885300"/>
    <w:rsid w:val="00886804"/>
    <w:rsid w:val="0088703C"/>
    <w:rsid w:val="008877ED"/>
    <w:rsid w:val="00890FF6"/>
    <w:rsid w:val="0089131D"/>
    <w:rsid w:val="008915A4"/>
    <w:rsid w:val="00892881"/>
    <w:rsid w:val="00892A4C"/>
    <w:rsid w:val="00892B99"/>
    <w:rsid w:val="00896AE5"/>
    <w:rsid w:val="00897FDB"/>
    <w:rsid w:val="008A03E0"/>
    <w:rsid w:val="008A04CC"/>
    <w:rsid w:val="008A085D"/>
    <w:rsid w:val="008A1972"/>
    <w:rsid w:val="008A1A60"/>
    <w:rsid w:val="008A2540"/>
    <w:rsid w:val="008A4210"/>
    <w:rsid w:val="008A4A6C"/>
    <w:rsid w:val="008A4BEF"/>
    <w:rsid w:val="008A52C8"/>
    <w:rsid w:val="008A5D70"/>
    <w:rsid w:val="008A6198"/>
    <w:rsid w:val="008A62D8"/>
    <w:rsid w:val="008A7904"/>
    <w:rsid w:val="008B0230"/>
    <w:rsid w:val="008B0912"/>
    <w:rsid w:val="008B25AB"/>
    <w:rsid w:val="008B464B"/>
    <w:rsid w:val="008B690D"/>
    <w:rsid w:val="008B75F5"/>
    <w:rsid w:val="008B7C71"/>
    <w:rsid w:val="008B7D8E"/>
    <w:rsid w:val="008C2349"/>
    <w:rsid w:val="008C3169"/>
    <w:rsid w:val="008C31BE"/>
    <w:rsid w:val="008C396C"/>
    <w:rsid w:val="008C3C85"/>
    <w:rsid w:val="008C63C1"/>
    <w:rsid w:val="008C7DED"/>
    <w:rsid w:val="008D0028"/>
    <w:rsid w:val="008D0059"/>
    <w:rsid w:val="008D06CC"/>
    <w:rsid w:val="008D0D23"/>
    <w:rsid w:val="008D0EA4"/>
    <w:rsid w:val="008D2473"/>
    <w:rsid w:val="008D3DC7"/>
    <w:rsid w:val="008D43EE"/>
    <w:rsid w:val="008D5C8D"/>
    <w:rsid w:val="008D611C"/>
    <w:rsid w:val="008D6332"/>
    <w:rsid w:val="008D6D4E"/>
    <w:rsid w:val="008D74C0"/>
    <w:rsid w:val="008E02EC"/>
    <w:rsid w:val="008E1828"/>
    <w:rsid w:val="008E1931"/>
    <w:rsid w:val="008E1DDD"/>
    <w:rsid w:val="008E1E98"/>
    <w:rsid w:val="008E2481"/>
    <w:rsid w:val="008E2572"/>
    <w:rsid w:val="008E2639"/>
    <w:rsid w:val="008E2E5F"/>
    <w:rsid w:val="008E3702"/>
    <w:rsid w:val="008E4341"/>
    <w:rsid w:val="008E4CA9"/>
    <w:rsid w:val="008E503E"/>
    <w:rsid w:val="008E63B1"/>
    <w:rsid w:val="008E6572"/>
    <w:rsid w:val="008E6DA7"/>
    <w:rsid w:val="008E733D"/>
    <w:rsid w:val="008E743B"/>
    <w:rsid w:val="008E7C3F"/>
    <w:rsid w:val="008F10DD"/>
    <w:rsid w:val="008F20CD"/>
    <w:rsid w:val="008F43A1"/>
    <w:rsid w:val="008F51E0"/>
    <w:rsid w:val="008F5DB9"/>
    <w:rsid w:val="008F5DC6"/>
    <w:rsid w:val="008F627E"/>
    <w:rsid w:val="008F76E0"/>
    <w:rsid w:val="008F77F8"/>
    <w:rsid w:val="008F7DD3"/>
    <w:rsid w:val="00900351"/>
    <w:rsid w:val="00900FE1"/>
    <w:rsid w:val="009018DC"/>
    <w:rsid w:val="00902576"/>
    <w:rsid w:val="009026AE"/>
    <w:rsid w:val="0090353C"/>
    <w:rsid w:val="0090370D"/>
    <w:rsid w:val="009039A4"/>
    <w:rsid w:val="00903D66"/>
    <w:rsid w:val="009041C3"/>
    <w:rsid w:val="00905396"/>
    <w:rsid w:val="0090610E"/>
    <w:rsid w:val="00906548"/>
    <w:rsid w:val="0090726F"/>
    <w:rsid w:val="009073AF"/>
    <w:rsid w:val="009105D7"/>
    <w:rsid w:val="00910887"/>
    <w:rsid w:val="00910E5D"/>
    <w:rsid w:val="009115E3"/>
    <w:rsid w:val="00913726"/>
    <w:rsid w:val="00913E17"/>
    <w:rsid w:val="0091408A"/>
    <w:rsid w:val="009147E0"/>
    <w:rsid w:val="00914B76"/>
    <w:rsid w:val="00914F8A"/>
    <w:rsid w:val="00915E58"/>
    <w:rsid w:val="00916E7E"/>
    <w:rsid w:val="00917453"/>
    <w:rsid w:val="009203BB"/>
    <w:rsid w:val="00920473"/>
    <w:rsid w:val="009204AC"/>
    <w:rsid w:val="009211C1"/>
    <w:rsid w:val="00921F86"/>
    <w:rsid w:val="009220AA"/>
    <w:rsid w:val="00922499"/>
    <w:rsid w:val="00922509"/>
    <w:rsid w:val="00922C8F"/>
    <w:rsid w:val="0092388F"/>
    <w:rsid w:val="00924B3F"/>
    <w:rsid w:val="00924C2B"/>
    <w:rsid w:val="009266DE"/>
    <w:rsid w:val="0092701D"/>
    <w:rsid w:val="00927C34"/>
    <w:rsid w:val="00930427"/>
    <w:rsid w:val="009314DA"/>
    <w:rsid w:val="00932E8E"/>
    <w:rsid w:val="009340E9"/>
    <w:rsid w:val="00934E50"/>
    <w:rsid w:val="0093554B"/>
    <w:rsid w:val="00936886"/>
    <w:rsid w:val="00940AC4"/>
    <w:rsid w:val="00943534"/>
    <w:rsid w:val="00943FFE"/>
    <w:rsid w:val="009444EC"/>
    <w:rsid w:val="0094501E"/>
    <w:rsid w:val="00945459"/>
    <w:rsid w:val="009469F8"/>
    <w:rsid w:val="00950F94"/>
    <w:rsid w:val="00952986"/>
    <w:rsid w:val="00952F78"/>
    <w:rsid w:val="00953369"/>
    <w:rsid w:val="00954602"/>
    <w:rsid w:val="009550E6"/>
    <w:rsid w:val="00956450"/>
    <w:rsid w:val="0095797F"/>
    <w:rsid w:val="00957AD5"/>
    <w:rsid w:val="00957DCC"/>
    <w:rsid w:val="009600ED"/>
    <w:rsid w:val="009609F0"/>
    <w:rsid w:val="00961147"/>
    <w:rsid w:val="009627CF"/>
    <w:rsid w:val="00962A4F"/>
    <w:rsid w:val="00962CFD"/>
    <w:rsid w:val="00963BE0"/>
    <w:rsid w:val="00963E60"/>
    <w:rsid w:val="00964AC1"/>
    <w:rsid w:val="00965044"/>
    <w:rsid w:val="00967C51"/>
    <w:rsid w:val="00971082"/>
    <w:rsid w:val="00971ED3"/>
    <w:rsid w:val="00971F50"/>
    <w:rsid w:val="00972690"/>
    <w:rsid w:val="00972FBD"/>
    <w:rsid w:val="00973C32"/>
    <w:rsid w:val="00974313"/>
    <w:rsid w:val="009743F2"/>
    <w:rsid w:val="00974535"/>
    <w:rsid w:val="00974A79"/>
    <w:rsid w:val="00975320"/>
    <w:rsid w:val="00975A56"/>
    <w:rsid w:val="00976259"/>
    <w:rsid w:val="009773A4"/>
    <w:rsid w:val="00977890"/>
    <w:rsid w:val="00980550"/>
    <w:rsid w:val="00980CC6"/>
    <w:rsid w:val="00980DA3"/>
    <w:rsid w:val="00980DB8"/>
    <w:rsid w:val="009815D0"/>
    <w:rsid w:val="00983521"/>
    <w:rsid w:val="00983B95"/>
    <w:rsid w:val="0098400F"/>
    <w:rsid w:val="0098416C"/>
    <w:rsid w:val="009844B4"/>
    <w:rsid w:val="00984738"/>
    <w:rsid w:val="00984771"/>
    <w:rsid w:val="00984E54"/>
    <w:rsid w:val="00984EFE"/>
    <w:rsid w:val="00985CCF"/>
    <w:rsid w:val="00987002"/>
    <w:rsid w:val="00987A04"/>
    <w:rsid w:val="00987BFC"/>
    <w:rsid w:val="00990135"/>
    <w:rsid w:val="00991283"/>
    <w:rsid w:val="00991392"/>
    <w:rsid w:val="00991986"/>
    <w:rsid w:val="009935B0"/>
    <w:rsid w:val="00993813"/>
    <w:rsid w:val="00995558"/>
    <w:rsid w:val="00995E20"/>
    <w:rsid w:val="0099600B"/>
    <w:rsid w:val="0099770B"/>
    <w:rsid w:val="00997730"/>
    <w:rsid w:val="009A0C53"/>
    <w:rsid w:val="009A13B4"/>
    <w:rsid w:val="009A1B19"/>
    <w:rsid w:val="009A211F"/>
    <w:rsid w:val="009A3B0D"/>
    <w:rsid w:val="009A49E8"/>
    <w:rsid w:val="009A4A0B"/>
    <w:rsid w:val="009A58E7"/>
    <w:rsid w:val="009A726D"/>
    <w:rsid w:val="009A76EB"/>
    <w:rsid w:val="009B0502"/>
    <w:rsid w:val="009B07CA"/>
    <w:rsid w:val="009B22FF"/>
    <w:rsid w:val="009B28CF"/>
    <w:rsid w:val="009B2CBC"/>
    <w:rsid w:val="009B35EB"/>
    <w:rsid w:val="009B37AC"/>
    <w:rsid w:val="009B3DDE"/>
    <w:rsid w:val="009B40A8"/>
    <w:rsid w:val="009B423D"/>
    <w:rsid w:val="009B4647"/>
    <w:rsid w:val="009B782D"/>
    <w:rsid w:val="009C0409"/>
    <w:rsid w:val="009C0CF3"/>
    <w:rsid w:val="009C0FD3"/>
    <w:rsid w:val="009C20CE"/>
    <w:rsid w:val="009C2340"/>
    <w:rsid w:val="009C339E"/>
    <w:rsid w:val="009C3A5D"/>
    <w:rsid w:val="009C4337"/>
    <w:rsid w:val="009C54A2"/>
    <w:rsid w:val="009C55C7"/>
    <w:rsid w:val="009C70A7"/>
    <w:rsid w:val="009C71DA"/>
    <w:rsid w:val="009D0081"/>
    <w:rsid w:val="009D0185"/>
    <w:rsid w:val="009D16EE"/>
    <w:rsid w:val="009D20D1"/>
    <w:rsid w:val="009D423D"/>
    <w:rsid w:val="009D6DA3"/>
    <w:rsid w:val="009D7A98"/>
    <w:rsid w:val="009E0CD0"/>
    <w:rsid w:val="009E0F9F"/>
    <w:rsid w:val="009E131E"/>
    <w:rsid w:val="009E1E53"/>
    <w:rsid w:val="009E1EC4"/>
    <w:rsid w:val="009E2DC6"/>
    <w:rsid w:val="009E3D85"/>
    <w:rsid w:val="009E3E59"/>
    <w:rsid w:val="009E5D7D"/>
    <w:rsid w:val="009E7F67"/>
    <w:rsid w:val="009F002B"/>
    <w:rsid w:val="009F0299"/>
    <w:rsid w:val="009F0DF4"/>
    <w:rsid w:val="009F18F0"/>
    <w:rsid w:val="009F1DFC"/>
    <w:rsid w:val="009F2329"/>
    <w:rsid w:val="009F23FB"/>
    <w:rsid w:val="009F3433"/>
    <w:rsid w:val="009F462D"/>
    <w:rsid w:val="009F53FC"/>
    <w:rsid w:val="009F5A48"/>
    <w:rsid w:val="009F5AAA"/>
    <w:rsid w:val="009F5DB7"/>
    <w:rsid w:val="009F7356"/>
    <w:rsid w:val="009F7FEB"/>
    <w:rsid w:val="00A00146"/>
    <w:rsid w:val="00A00461"/>
    <w:rsid w:val="00A01A54"/>
    <w:rsid w:val="00A02635"/>
    <w:rsid w:val="00A02B1B"/>
    <w:rsid w:val="00A03198"/>
    <w:rsid w:val="00A03620"/>
    <w:rsid w:val="00A037D7"/>
    <w:rsid w:val="00A041A3"/>
    <w:rsid w:val="00A04875"/>
    <w:rsid w:val="00A04EF0"/>
    <w:rsid w:val="00A05532"/>
    <w:rsid w:val="00A0592D"/>
    <w:rsid w:val="00A06E72"/>
    <w:rsid w:val="00A1023A"/>
    <w:rsid w:val="00A11246"/>
    <w:rsid w:val="00A11C24"/>
    <w:rsid w:val="00A13208"/>
    <w:rsid w:val="00A13220"/>
    <w:rsid w:val="00A14A87"/>
    <w:rsid w:val="00A14D93"/>
    <w:rsid w:val="00A151D0"/>
    <w:rsid w:val="00A15967"/>
    <w:rsid w:val="00A175FA"/>
    <w:rsid w:val="00A17C3C"/>
    <w:rsid w:val="00A17DF7"/>
    <w:rsid w:val="00A20A91"/>
    <w:rsid w:val="00A2452A"/>
    <w:rsid w:val="00A256E4"/>
    <w:rsid w:val="00A25E2A"/>
    <w:rsid w:val="00A25E4B"/>
    <w:rsid w:val="00A26404"/>
    <w:rsid w:val="00A26F96"/>
    <w:rsid w:val="00A2738F"/>
    <w:rsid w:val="00A277B6"/>
    <w:rsid w:val="00A346B6"/>
    <w:rsid w:val="00A3486B"/>
    <w:rsid w:val="00A402D3"/>
    <w:rsid w:val="00A409FD"/>
    <w:rsid w:val="00A4136E"/>
    <w:rsid w:val="00A41E7D"/>
    <w:rsid w:val="00A437F5"/>
    <w:rsid w:val="00A44284"/>
    <w:rsid w:val="00A444B4"/>
    <w:rsid w:val="00A446CE"/>
    <w:rsid w:val="00A451A6"/>
    <w:rsid w:val="00A45230"/>
    <w:rsid w:val="00A46D58"/>
    <w:rsid w:val="00A47CF7"/>
    <w:rsid w:val="00A47D2B"/>
    <w:rsid w:val="00A47E28"/>
    <w:rsid w:val="00A50C79"/>
    <w:rsid w:val="00A517D7"/>
    <w:rsid w:val="00A51A9D"/>
    <w:rsid w:val="00A51AEF"/>
    <w:rsid w:val="00A52616"/>
    <w:rsid w:val="00A52A17"/>
    <w:rsid w:val="00A54720"/>
    <w:rsid w:val="00A55828"/>
    <w:rsid w:val="00A5698A"/>
    <w:rsid w:val="00A5727C"/>
    <w:rsid w:val="00A5765D"/>
    <w:rsid w:val="00A57951"/>
    <w:rsid w:val="00A600E3"/>
    <w:rsid w:val="00A613C3"/>
    <w:rsid w:val="00A6185D"/>
    <w:rsid w:val="00A61ACA"/>
    <w:rsid w:val="00A621C1"/>
    <w:rsid w:val="00A65B29"/>
    <w:rsid w:val="00A66662"/>
    <w:rsid w:val="00A66D72"/>
    <w:rsid w:val="00A67828"/>
    <w:rsid w:val="00A67EAA"/>
    <w:rsid w:val="00A7024D"/>
    <w:rsid w:val="00A71A15"/>
    <w:rsid w:val="00A71A7A"/>
    <w:rsid w:val="00A71D7F"/>
    <w:rsid w:val="00A74624"/>
    <w:rsid w:val="00A74F45"/>
    <w:rsid w:val="00A75495"/>
    <w:rsid w:val="00A76F22"/>
    <w:rsid w:val="00A8059F"/>
    <w:rsid w:val="00A8259F"/>
    <w:rsid w:val="00A83045"/>
    <w:rsid w:val="00A83C98"/>
    <w:rsid w:val="00A845AA"/>
    <w:rsid w:val="00A8521B"/>
    <w:rsid w:val="00A8548E"/>
    <w:rsid w:val="00A8671D"/>
    <w:rsid w:val="00A869B7"/>
    <w:rsid w:val="00A87E72"/>
    <w:rsid w:val="00A92FB5"/>
    <w:rsid w:val="00A93E67"/>
    <w:rsid w:val="00A94C27"/>
    <w:rsid w:val="00A95148"/>
    <w:rsid w:val="00A9762D"/>
    <w:rsid w:val="00AA1050"/>
    <w:rsid w:val="00AA1EA1"/>
    <w:rsid w:val="00AA206D"/>
    <w:rsid w:val="00AA2B12"/>
    <w:rsid w:val="00AA401B"/>
    <w:rsid w:val="00AA4C70"/>
    <w:rsid w:val="00AA545D"/>
    <w:rsid w:val="00AA5E1C"/>
    <w:rsid w:val="00AA6596"/>
    <w:rsid w:val="00AA7EC4"/>
    <w:rsid w:val="00AB04A9"/>
    <w:rsid w:val="00AB061E"/>
    <w:rsid w:val="00AB06F0"/>
    <w:rsid w:val="00AB0FE0"/>
    <w:rsid w:val="00AB1109"/>
    <w:rsid w:val="00AB13E3"/>
    <w:rsid w:val="00AB140C"/>
    <w:rsid w:val="00AB15AE"/>
    <w:rsid w:val="00AB2527"/>
    <w:rsid w:val="00AB289A"/>
    <w:rsid w:val="00AB37BB"/>
    <w:rsid w:val="00AB3DF9"/>
    <w:rsid w:val="00AB3FC6"/>
    <w:rsid w:val="00AB4730"/>
    <w:rsid w:val="00AB630C"/>
    <w:rsid w:val="00AB7E3E"/>
    <w:rsid w:val="00AC0D7C"/>
    <w:rsid w:val="00AC101B"/>
    <w:rsid w:val="00AC2600"/>
    <w:rsid w:val="00AC26C0"/>
    <w:rsid w:val="00AC64F0"/>
    <w:rsid w:val="00AC678B"/>
    <w:rsid w:val="00AC6F1A"/>
    <w:rsid w:val="00AC7456"/>
    <w:rsid w:val="00AC764F"/>
    <w:rsid w:val="00AC7B23"/>
    <w:rsid w:val="00AD08DD"/>
    <w:rsid w:val="00AD16C7"/>
    <w:rsid w:val="00AD23CF"/>
    <w:rsid w:val="00AD2C62"/>
    <w:rsid w:val="00AD2F58"/>
    <w:rsid w:val="00AD30F2"/>
    <w:rsid w:val="00AD4AB9"/>
    <w:rsid w:val="00AE060E"/>
    <w:rsid w:val="00AE094A"/>
    <w:rsid w:val="00AE1A8A"/>
    <w:rsid w:val="00AE2C8F"/>
    <w:rsid w:val="00AE3069"/>
    <w:rsid w:val="00AE3190"/>
    <w:rsid w:val="00AE3BB8"/>
    <w:rsid w:val="00AE4C4C"/>
    <w:rsid w:val="00AE5A5C"/>
    <w:rsid w:val="00AE73D3"/>
    <w:rsid w:val="00AF2EA6"/>
    <w:rsid w:val="00AF40DC"/>
    <w:rsid w:val="00AF441B"/>
    <w:rsid w:val="00AF4EC2"/>
    <w:rsid w:val="00AF5983"/>
    <w:rsid w:val="00AF5A31"/>
    <w:rsid w:val="00AF5F86"/>
    <w:rsid w:val="00AF678C"/>
    <w:rsid w:val="00AF6BB8"/>
    <w:rsid w:val="00AF722C"/>
    <w:rsid w:val="00AF74CB"/>
    <w:rsid w:val="00AF7DA6"/>
    <w:rsid w:val="00B0100E"/>
    <w:rsid w:val="00B0138E"/>
    <w:rsid w:val="00B02562"/>
    <w:rsid w:val="00B02705"/>
    <w:rsid w:val="00B0295A"/>
    <w:rsid w:val="00B02E57"/>
    <w:rsid w:val="00B05550"/>
    <w:rsid w:val="00B05FDE"/>
    <w:rsid w:val="00B06E60"/>
    <w:rsid w:val="00B10347"/>
    <w:rsid w:val="00B10BF6"/>
    <w:rsid w:val="00B10D7B"/>
    <w:rsid w:val="00B12440"/>
    <w:rsid w:val="00B12746"/>
    <w:rsid w:val="00B13DE2"/>
    <w:rsid w:val="00B14348"/>
    <w:rsid w:val="00B14AD3"/>
    <w:rsid w:val="00B15282"/>
    <w:rsid w:val="00B167BE"/>
    <w:rsid w:val="00B208CB"/>
    <w:rsid w:val="00B20B50"/>
    <w:rsid w:val="00B20D3E"/>
    <w:rsid w:val="00B21490"/>
    <w:rsid w:val="00B21841"/>
    <w:rsid w:val="00B218F3"/>
    <w:rsid w:val="00B238A9"/>
    <w:rsid w:val="00B23A65"/>
    <w:rsid w:val="00B23B21"/>
    <w:rsid w:val="00B2412B"/>
    <w:rsid w:val="00B24BEC"/>
    <w:rsid w:val="00B2561B"/>
    <w:rsid w:val="00B2710C"/>
    <w:rsid w:val="00B27A92"/>
    <w:rsid w:val="00B27C81"/>
    <w:rsid w:val="00B30172"/>
    <w:rsid w:val="00B301B4"/>
    <w:rsid w:val="00B30411"/>
    <w:rsid w:val="00B330E8"/>
    <w:rsid w:val="00B3344B"/>
    <w:rsid w:val="00B33B95"/>
    <w:rsid w:val="00B34242"/>
    <w:rsid w:val="00B347EA"/>
    <w:rsid w:val="00B34989"/>
    <w:rsid w:val="00B365BD"/>
    <w:rsid w:val="00B36FE3"/>
    <w:rsid w:val="00B374BF"/>
    <w:rsid w:val="00B40B14"/>
    <w:rsid w:val="00B40BA6"/>
    <w:rsid w:val="00B41930"/>
    <w:rsid w:val="00B43BE6"/>
    <w:rsid w:val="00B45702"/>
    <w:rsid w:val="00B45B20"/>
    <w:rsid w:val="00B45C32"/>
    <w:rsid w:val="00B467EB"/>
    <w:rsid w:val="00B46893"/>
    <w:rsid w:val="00B4744F"/>
    <w:rsid w:val="00B47757"/>
    <w:rsid w:val="00B47BE1"/>
    <w:rsid w:val="00B47C25"/>
    <w:rsid w:val="00B50C9D"/>
    <w:rsid w:val="00B511B4"/>
    <w:rsid w:val="00B514D1"/>
    <w:rsid w:val="00B526DB"/>
    <w:rsid w:val="00B53983"/>
    <w:rsid w:val="00B53CA8"/>
    <w:rsid w:val="00B53F2F"/>
    <w:rsid w:val="00B54772"/>
    <w:rsid w:val="00B54DC5"/>
    <w:rsid w:val="00B55A6A"/>
    <w:rsid w:val="00B55D3C"/>
    <w:rsid w:val="00B621E1"/>
    <w:rsid w:val="00B62907"/>
    <w:rsid w:val="00B62E2E"/>
    <w:rsid w:val="00B637A3"/>
    <w:rsid w:val="00B638BF"/>
    <w:rsid w:val="00B63B9A"/>
    <w:rsid w:val="00B647E9"/>
    <w:rsid w:val="00B64959"/>
    <w:rsid w:val="00B6567A"/>
    <w:rsid w:val="00B65AF3"/>
    <w:rsid w:val="00B70015"/>
    <w:rsid w:val="00B708C4"/>
    <w:rsid w:val="00B7171F"/>
    <w:rsid w:val="00B71B35"/>
    <w:rsid w:val="00B72B6B"/>
    <w:rsid w:val="00B73FEE"/>
    <w:rsid w:val="00B74F26"/>
    <w:rsid w:val="00B76459"/>
    <w:rsid w:val="00B76AEA"/>
    <w:rsid w:val="00B772A6"/>
    <w:rsid w:val="00B77574"/>
    <w:rsid w:val="00B776A1"/>
    <w:rsid w:val="00B80515"/>
    <w:rsid w:val="00B80B26"/>
    <w:rsid w:val="00B826E7"/>
    <w:rsid w:val="00B838B3"/>
    <w:rsid w:val="00B854A6"/>
    <w:rsid w:val="00B85D19"/>
    <w:rsid w:val="00B86446"/>
    <w:rsid w:val="00B866EB"/>
    <w:rsid w:val="00B866F6"/>
    <w:rsid w:val="00B9065B"/>
    <w:rsid w:val="00B909DD"/>
    <w:rsid w:val="00B91B96"/>
    <w:rsid w:val="00B929FF"/>
    <w:rsid w:val="00B92E35"/>
    <w:rsid w:val="00B92FC4"/>
    <w:rsid w:val="00B94B52"/>
    <w:rsid w:val="00B9536B"/>
    <w:rsid w:val="00B97C63"/>
    <w:rsid w:val="00BA0DFB"/>
    <w:rsid w:val="00BA113E"/>
    <w:rsid w:val="00BA1435"/>
    <w:rsid w:val="00BA1A40"/>
    <w:rsid w:val="00BA2DD0"/>
    <w:rsid w:val="00BA3A0B"/>
    <w:rsid w:val="00BA5D4D"/>
    <w:rsid w:val="00BA63E6"/>
    <w:rsid w:val="00BA64BA"/>
    <w:rsid w:val="00BA64BE"/>
    <w:rsid w:val="00BA6CC9"/>
    <w:rsid w:val="00BA70DB"/>
    <w:rsid w:val="00BA74B5"/>
    <w:rsid w:val="00BA7BE9"/>
    <w:rsid w:val="00BB070C"/>
    <w:rsid w:val="00BB3F44"/>
    <w:rsid w:val="00BB4060"/>
    <w:rsid w:val="00BB5127"/>
    <w:rsid w:val="00BB516E"/>
    <w:rsid w:val="00BB59D1"/>
    <w:rsid w:val="00BB66F4"/>
    <w:rsid w:val="00BB7604"/>
    <w:rsid w:val="00BB7C13"/>
    <w:rsid w:val="00BC0D14"/>
    <w:rsid w:val="00BC215C"/>
    <w:rsid w:val="00BC2786"/>
    <w:rsid w:val="00BC278B"/>
    <w:rsid w:val="00BC2FAB"/>
    <w:rsid w:val="00BC472C"/>
    <w:rsid w:val="00BC5217"/>
    <w:rsid w:val="00BC59A8"/>
    <w:rsid w:val="00BC7B1E"/>
    <w:rsid w:val="00BD0D1D"/>
    <w:rsid w:val="00BD38C3"/>
    <w:rsid w:val="00BD4124"/>
    <w:rsid w:val="00BD415F"/>
    <w:rsid w:val="00BD5670"/>
    <w:rsid w:val="00BD5FF3"/>
    <w:rsid w:val="00BD6EC4"/>
    <w:rsid w:val="00BD7F0E"/>
    <w:rsid w:val="00BD7F5C"/>
    <w:rsid w:val="00BE0B90"/>
    <w:rsid w:val="00BE2D1A"/>
    <w:rsid w:val="00BE379B"/>
    <w:rsid w:val="00BE4054"/>
    <w:rsid w:val="00BE436C"/>
    <w:rsid w:val="00BE554C"/>
    <w:rsid w:val="00BE5A96"/>
    <w:rsid w:val="00BE625E"/>
    <w:rsid w:val="00BE784C"/>
    <w:rsid w:val="00BF0115"/>
    <w:rsid w:val="00BF1F6A"/>
    <w:rsid w:val="00BF27F5"/>
    <w:rsid w:val="00BF2C32"/>
    <w:rsid w:val="00BF2D3B"/>
    <w:rsid w:val="00BF31DA"/>
    <w:rsid w:val="00BF3323"/>
    <w:rsid w:val="00BF5237"/>
    <w:rsid w:val="00BF5CF4"/>
    <w:rsid w:val="00BF605E"/>
    <w:rsid w:val="00BF6DE5"/>
    <w:rsid w:val="00BF779B"/>
    <w:rsid w:val="00C002CA"/>
    <w:rsid w:val="00C00689"/>
    <w:rsid w:val="00C03876"/>
    <w:rsid w:val="00C03BE2"/>
    <w:rsid w:val="00C0400E"/>
    <w:rsid w:val="00C065C1"/>
    <w:rsid w:val="00C06727"/>
    <w:rsid w:val="00C06952"/>
    <w:rsid w:val="00C07D00"/>
    <w:rsid w:val="00C10455"/>
    <w:rsid w:val="00C10519"/>
    <w:rsid w:val="00C10DE5"/>
    <w:rsid w:val="00C11811"/>
    <w:rsid w:val="00C14B10"/>
    <w:rsid w:val="00C153CE"/>
    <w:rsid w:val="00C16201"/>
    <w:rsid w:val="00C169F2"/>
    <w:rsid w:val="00C173B1"/>
    <w:rsid w:val="00C175E9"/>
    <w:rsid w:val="00C17786"/>
    <w:rsid w:val="00C17D90"/>
    <w:rsid w:val="00C21201"/>
    <w:rsid w:val="00C23347"/>
    <w:rsid w:val="00C239F5"/>
    <w:rsid w:val="00C2594C"/>
    <w:rsid w:val="00C25975"/>
    <w:rsid w:val="00C268E5"/>
    <w:rsid w:val="00C27A82"/>
    <w:rsid w:val="00C27C65"/>
    <w:rsid w:val="00C30577"/>
    <w:rsid w:val="00C32E02"/>
    <w:rsid w:val="00C34902"/>
    <w:rsid w:val="00C34CD9"/>
    <w:rsid w:val="00C35845"/>
    <w:rsid w:val="00C36CE4"/>
    <w:rsid w:val="00C379F8"/>
    <w:rsid w:val="00C405B1"/>
    <w:rsid w:val="00C40F84"/>
    <w:rsid w:val="00C41173"/>
    <w:rsid w:val="00C414A2"/>
    <w:rsid w:val="00C41751"/>
    <w:rsid w:val="00C42C02"/>
    <w:rsid w:val="00C4323B"/>
    <w:rsid w:val="00C43279"/>
    <w:rsid w:val="00C45EEC"/>
    <w:rsid w:val="00C47553"/>
    <w:rsid w:val="00C508D1"/>
    <w:rsid w:val="00C50E5A"/>
    <w:rsid w:val="00C51394"/>
    <w:rsid w:val="00C5162A"/>
    <w:rsid w:val="00C5186B"/>
    <w:rsid w:val="00C52FE1"/>
    <w:rsid w:val="00C53F7D"/>
    <w:rsid w:val="00C548B9"/>
    <w:rsid w:val="00C557A3"/>
    <w:rsid w:val="00C563DE"/>
    <w:rsid w:val="00C57582"/>
    <w:rsid w:val="00C57D59"/>
    <w:rsid w:val="00C61862"/>
    <w:rsid w:val="00C61E17"/>
    <w:rsid w:val="00C64157"/>
    <w:rsid w:val="00C65196"/>
    <w:rsid w:val="00C65C38"/>
    <w:rsid w:val="00C661BD"/>
    <w:rsid w:val="00C674A2"/>
    <w:rsid w:val="00C67C2D"/>
    <w:rsid w:val="00C705FA"/>
    <w:rsid w:val="00C7177E"/>
    <w:rsid w:val="00C71DE3"/>
    <w:rsid w:val="00C720F6"/>
    <w:rsid w:val="00C723BF"/>
    <w:rsid w:val="00C72CC8"/>
    <w:rsid w:val="00C748F8"/>
    <w:rsid w:val="00C74FBC"/>
    <w:rsid w:val="00C80551"/>
    <w:rsid w:val="00C80CC1"/>
    <w:rsid w:val="00C810EB"/>
    <w:rsid w:val="00C8118B"/>
    <w:rsid w:val="00C82A55"/>
    <w:rsid w:val="00C831AF"/>
    <w:rsid w:val="00C8339F"/>
    <w:rsid w:val="00C83802"/>
    <w:rsid w:val="00C848AB"/>
    <w:rsid w:val="00C86574"/>
    <w:rsid w:val="00C86707"/>
    <w:rsid w:val="00C8683B"/>
    <w:rsid w:val="00C87BF3"/>
    <w:rsid w:val="00C906AD"/>
    <w:rsid w:val="00C92264"/>
    <w:rsid w:val="00C92522"/>
    <w:rsid w:val="00C92D3F"/>
    <w:rsid w:val="00C92F25"/>
    <w:rsid w:val="00C948EF"/>
    <w:rsid w:val="00C94DEF"/>
    <w:rsid w:val="00C96CD4"/>
    <w:rsid w:val="00CA0F14"/>
    <w:rsid w:val="00CA0FC2"/>
    <w:rsid w:val="00CA1355"/>
    <w:rsid w:val="00CA15FD"/>
    <w:rsid w:val="00CA181A"/>
    <w:rsid w:val="00CA20D6"/>
    <w:rsid w:val="00CA2D4C"/>
    <w:rsid w:val="00CA3050"/>
    <w:rsid w:val="00CA434D"/>
    <w:rsid w:val="00CA545D"/>
    <w:rsid w:val="00CA5D1F"/>
    <w:rsid w:val="00CA6729"/>
    <w:rsid w:val="00CA7521"/>
    <w:rsid w:val="00CA77AA"/>
    <w:rsid w:val="00CA77E8"/>
    <w:rsid w:val="00CA7ABB"/>
    <w:rsid w:val="00CB07AB"/>
    <w:rsid w:val="00CB0FA3"/>
    <w:rsid w:val="00CB10A3"/>
    <w:rsid w:val="00CB1A85"/>
    <w:rsid w:val="00CB1DA8"/>
    <w:rsid w:val="00CB2C87"/>
    <w:rsid w:val="00CB2E9B"/>
    <w:rsid w:val="00CB3D47"/>
    <w:rsid w:val="00CB5119"/>
    <w:rsid w:val="00CB5682"/>
    <w:rsid w:val="00CB6450"/>
    <w:rsid w:val="00CB7C8E"/>
    <w:rsid w:val="00CC07CD"/>
    <w:rsid w:val="00CC09A0"/>
    <w:rsid w:val="00CC2A49"/>
    <w:rsid w:val="00CC39BD"/>
    <w:rsid w:val="00CC3B7C"/>
    <w:rsid w:val="00CC3D1A"/>
    <w:rsid w:val="00CC6540"/>
    <w:rsid w:val="00CC7D96"/>
    <w:rsid w:val="00CD05B5"/>
    <w:rsid w:val="00CD15D8"/>
    <w:rsid w:val="00CD2ABA"/>
    <w:rsid w:val="00CD3A57"/>
    <w:rsid w:val="00CD3BF5"/>
    <w:rsid w:val="00CD3F78"/>
    <w:rsid w:val="00CD4F4D"/>
    <w:rsid w:val="00CD5C5B"/>
    <w:rsid w:val="00CD7031"/>
    <w:rsid w:val="00CD70D5"/>
    <w:rsid w:val="00CD7159"/>
    <w:rsid w:val="00CD7F3D"/>
    <w:rsid w:val="00CE061D"/>
    <w:rsid w:val="00CE1433"/>
    <w:rsid w:val="00CE2497"/>
    <w:rsid w:val="00CE2AAF"/>
    <w:rsid w:val="00CE2C30"/>
    <w:rsid w:val="00CE3F82"/>
    <w:rsid w:val="00CE41B2"/>
    <w:rsid w:val="00CE4644"/>
    <w:rsid w:val="00CE5449"/>
    <w:rsid w:val="00CE670A"/>
    <w:rsid w:val="00CE6824"/>
    <w:rsid w:val="00CF0B1C"/>
    <w:rsid w:val="00CF166A"/>
    <w:rsid w:val="00CF1DDE"/>
    <w:rsid w:val="00CF247D"/>
    <w:rsid w:val="00CF3AAF"/>
    <w:rsid w:val="00CF521C"/>
    <w:rsid w:val="00CF5BBB"/>
    <w:rsid w:val="00CF5F51"/>
    <w:rsid w:val="00D00511"/>
    <w:rsid w:val="00D00717"/>
    <w:rsid w:val="00D020CF"/>
    <w:rsid w:val="00D02760"/>
    <w:rsid w:val="00D045A1"/>
    <w:rsid w:val="00D0504F"/>
    <w:rsid w:val="00D054DE"/>
    <w:rsid w:val="00D0592D"/>
    <w:rsid w:val="00D05A56"/>
    <w:rsid w:val="00D0608B"/>
    <w:rsid w:val="00D0613F"/>
    <w:rsid w:val="00D06335"/>
    <w:rsid w:val="00D0758D"/>
    <w:rsid w:val="00D07778"/>
    <w:rsid w:val="00D07A7E"/>
    <w:rsid w:val="00D10414"/>
    <w:rsid w:val="00D113D4"/>
    <w:rsid w:val="00D11704"/>
    <w:rsid w:val="00D1204A"/>
    <w:rsid w:val="00D13540"/>
    <w:rsid w:val="00D1411D"/>
    <w:rsid w:val="00D1471A"/>
    <w:rsid w:val="00D14FED"/>
    <w:rsid w:val="00D152C5"/>
    <w:rsid w:val="00D15458"/>
    <w:rsid w:val="00D15DED"/>
    <w:rsid w:val="00D16321"/>
    <w:rsid w:val="00D17B00"/>
    <w:rsid w:val="00D17F6F"/>
    <w:rsid w:val="00D2229A"/>
    <w:rsid w:val="00D228FB"/>
    <w:rsid w:val="00D231F7"/>
    <w:rsid w:val="00D23DA3"/>
    <w:rsid w:val="00D26B49"/>
    <w:rsid w:val="00D27392"/>
    <w:rsid w:val="00D3042D"/>
    <w:rsid w:val="00D30B12"/>
    <w:rsid w:val="00D316BF"/>
    <w:rsid w:val="00D31788"/>
    <w:rsid w:val="00D321E9"/>
    <w:rsid w:val="00D347AD"/>
    <w:rsid w:val="00D35215"/>
    <w:rsid w:val="00D36B85"/>
    <w:rsid w:val="00D36BDE"/>
    <w:rsid w:val="00D40D40"/>
    <w:rsid w:val="00D412D2"/>
    <w:rsid w:val="00D41DB8"/>
    <w:rsid w:val="00D42449"/>
    <w:rsid w:val="00D4493D"/>
    <w:rsid w:val="00D44E7C"/>
    <w:rsid w:val="00D458C1"/>
    <w:rsid w:val="00D45E5E"/>
    <w:rsid w:val="00D472FF"/>
    <w:rsid w:val="00D5092D"/>
    <w:rsid w:val="00D5123F"/>
    <w:rsid w:val="00D519B2"/>
    <w:rsid w:val="00D52404"/>
    <w:rsid w:val="00D53B8A"/>
    <w:rsid w:val="00D55C06"/>
    <w:rsid w:val="00D57793"/>
    <w:rsid w:val="00D57851"/>
    <w:rsid w:val="00D57AE6"/>
    <w:rsid w:val="00D60481"/>
    <w:rsid w:val="00D605E5"/>
    <w:rsid w:val="00D622D0"/>
    <w:rsid w:val="00D655B3"/>
    <w:rsid w:val="00D662D5"/>
    <w:rsid w:val="00D66D72"/>
    <w:rsid w:val="00D66E2C"/>
    <w:rsid w:val="00D6731C"/>
    <w:rsid w:val="00D67363"/>
    <w:rsid w:val="00D673EB"/>
    <w:rsid w:val="00D673F6"/>
    <w:rsid w:val="00D678FB"/>
    <w:rsid w:val="00D67ADA"/>
    <w:rsid w:val="00D7020E"/>
    <w:rsid w:val="00D70750"/>
    <w:rsid w:val="00D71D04"/>
    <w:rsid w:val="00D73EBE"/>
    <w:rsid w:val="00D75103"/>
    <w:rsid w:val="00D75638"/>
    <w:rsid w:val="00D7675A"/>
    <w:rsid w:val="00D76D30"/>
    <w:rsid w:val="00D76DDD"/>
    <w:rsid w:val="00D772D7"/>
    <w:rsid w:val="00D77881"/>
    <w:rsid w:val="00D8066B"/>
    <w:rsid w:val="00D8386F"/>
    <w:rsid w:val="00D83C34"/>
    <w:rsid w:val="00D8485E"/>
    <w:rsid w:val="00D85736"/>
    <w:rsid w:val="00D85C97"/>
    <w:rsid w:val="00D8600E"/>
    <w:rsid w:val="00D86610"/>
    <w:rsid w:val="00D8662D"/>
    <w:rsid w:val="00D86D7B"/>
    <w:rsid w:val="00D86EDA"/>
    <w:rsid w:val="00D9119E"/>
    <w:rsid w:val="00D91FEE"/>
    <w:rsid w:val="00D9313C"/>
    <w:rsid w:val="00D93742"/>
    <w:rsid w:val="00D93837"/>
    <w:rsid w:val="00D94F47"/>
    <w:rsid w:val="00D95258"/>
    <w:rsid w:val="00D95F4A"/>
    <w:rsid w:val="00D9731A"/>
    <w:rsid w:val="00DA08B9"/>
    <w:rsid w:val="00DA1393"/>
    <w:rsid w:val="00DA18C0"/>
    <w:rsid w:val="00DA28EF"/>
    <w:rsid w:val="00DA56F1"/>
    <w:rsid w:val="00DA5FB4"/>
    <w:rsid w:val="00DA619C"/>
    <w:rsid w:val="00DA6429"/>
    <w:rsid w:val="00DA74BA"/>
    <w:rsid w:val="00DA7D5A"/>
    <w:rsid w:val="00DB0ADC"/>
    <w:rsid w:val="00DB1194"/>
    <w:rsid w:val="00DB2107"/>
    <w:rsid w:val="00DB2DF6"/>
    <w:rsid w:val="00DB41DB"/>
    <w:rsid w:val="00DB501B"/>
    <w:rsid w:val="00DB5CDB"/>
    <w:rsid w:val="00DB5DEB"/>
    <w:rsid w:val="00DB613F"/>
    <w:rsid w:val="00DB723A"/>
    <w:rsid w:val="00DB7E59"/>
    <w:rsid w:val="00DC0EAD"/>
    <w:rsid w:val="00DC1669"/>
    <w:rsid w:val="00DC1C8A"/>
    <w:rsid w:val="00DC27F3"/>
    <w:rsid w:val="00DC361E"/>
    <w:rsid w:val="00DC47DD"/>
    <w:rsid w:val="00DC5890"/>
    <w:rsid w:val="00DC788A"/>
    <w:rsid w:val="00DD0637"/>
    <w:rsid w:val="00DD0E09"/>
    <w:rsid w:val="00DD1590"/>
    <w:rsid w:val="00DD16AB"/>
    <w:rsid w:val="00DD2000"/>
    <w:rsid w:val="00DD208E"/>
    <w:rsid w:val="00DD2EBD"/>
    <w:rsid w:val="00DD3663"/>
    <w:rsid w:val="00DD469D"/>
    <w:rsid w:val="00DD46FF"/>
    <w:rsid w:val="00DD4E19"/>
    <w:rsid w:val="00DD60A9"/>
    <w:rsid w:val="00DD6D54"/>
    <w:rsid w:val="00DD732A"/>
    <w:rsid w:val="00DD7459"/>
    <w:rsid w:val="00DE017F"/>
    <w:rsid w:val="00DE08E5"/>
    <w:rsid w:val="00DE149F"/>
    <w:rsid w:val="00DE25C2"/>
    <w:rsid w:val="00DE28CE"/>
    <w:rsid w:val="00DE555F"/>
    <w:rsid w:val="00DE731B"/>
    <w:rsid w:val="00DE7AD6"/>
    <w:rsid w:val="00DF0DA3"/>
    <w:rsid w:val="00DF11EE"/>
    <w:rsid w:val="00DF1EE6"/>
    <w:rsid w:val="00DF2066"/>
    <w:rsid w:val="00DF2951"/>
    <w:rsid w:val="00DF3F09"/>
    <w:rsid w:val="00DF5CCF"/>
    <w:rsid w:val="00DF64C3"/>
    <w:rsid w:val="00DF77F3"/>
    <w:rsid w:val="00E00A69"/>
    <w:rsid w:val="00E01FBB"/>
    <w:rsid w:val="00E03689"/>
    <w:rsid w:val="00E04E75"/>
    <w:rsid w:val="00E050EE"/>
    <w:rsid w:val="00E05FB7"/>
    <w:rsid w:val="00E0672D"/>
    <w:rsid w:val="00E07FD1"/>
    <w:rsid w:val="00E10303"/>
    <w:rsid w:val="00E10344"/>
    <w:rsid w:val="00E1052B"/>
    <w:rsid w:val="00E10A3E"/>
    <w:rsid w:val="00E11010"/>
    <w:rsid w:val="00E113CA"/>
    <w:rsid w:val="00E1180C"/>
    <w:rsid w:val="00E144CA"/>
    <w:rsid w:val="00E1515F"/>
    <w:rsid w:val="00E155AB"/>
    <w:rsid w:val="00E161C1"/>
    <w:rsid w:val="00E1661E"/>
    <w:rsid w:val="00E17908"/>
    <w:rsid w:val="00E21317"/>
    <w:rsid w:val="00E21D81"/>
    <w:rsid w:val="00E22B2A"/>
    <w:rsid w:val="00E22C84"/>
    <w:rsid w:val="00E24749"/>
    <w:rsid w:val="00E25C38"/>
    <w:rsid w:val="00E2736E"/>
    <w:rsid w:val="00E3036F"/>
    <w:rsid w:val="00E31134"/>
    <w:rsid w:val="00E31F64"/>
    <w:rsid w:val="00E32A52"/>
    <w:rsid w:val="00E336CD"/>
    <w:rsid w:val="00E337A7"/>
    <w:rsid w:val="00E33BF0"/>
    <w:rsid w:val="00E34282"/>
    <w:rsid w:val="00E35012"/>
    <w:rsid w:val="00E4033F"/>
    <w:rsid w:val="00E42F2B"/>
    <w:rsid w:val="00E42FA1"/>
    <w:rsid w:val="00E43A2C"/>
    <w:rsid w:val="00E43BB5"/>
    <w:rsid w:val="00E44025"/>
    <w:rsid w:val="00E447C3"/>
    <w:rsid w:val="00E44D04"/>
    <w:rsid w:val="00E45303"/>
    <w:rsid w:val="00E45322"/>
    <w:rsid w:val="00E464D1"/>
    <w:rsid w:val="00E47AAA"/>
    <w:rsid w:val="00E52500"/>
    <w:rsid w:val="00E536AE"/>
    <w:rsid w:val="00E54149"/>
    <w:rsid w:val="00E54F59"/>
    <w:rsid w:val="00E5599D"/>
    <w:rsid w:val="00E56241"/>
    <w:rsid w:val="00E609A1"/>
    <w:rsid w:val="00E61186"/>
    <w:rsid w:val="00E61951"/>
    <w:rsid w:val="00E62F67"/>
    <w:rsid w:val="00E671B1"/>
    <w:rsid w:val="00E67C73"/>
    <w:rsid w:val="00E70E73"/>
    <w:rsid w:val="00E73050"/>
    <w:rsid w:val="00E74161"/>
    <w:rsid w:val="00E7422F"/>
    <w:rsid w:val="00E7427A"/>
    <w:rsid w:val="00E74470"/>
    <w:rsid w:val="00E75D6E"/>
    <w:rsid w:val="00E76898"/>
    <w:rsid w:val="00E811DD"/>
    <w:rsid w:val="00E81911"/>
    <w:rsid w:val="00E81BB5"/>
    <w:rsid w:val="00E82DC0"/>
    <w:rsid w:val="00E83A04"/>
    <w:rsid w:val="00E84C32"/>
    <w:rsid w:val="00E8528E"/>
    <w:rsid w:val="00E85379"/>
    <w:rsid w:val="00E87613"/>
    <w:rsid w:val="00E87EB9"/>
    <w:rsid w:val="00E905F8"/>
    <w:rsid w:val="00E90DDB"/>
    <w:rsid w:val="00E913E0"/>
    <w:rsid w:val="00E91714"/>
    <w:rsid w:val="00E91805"/>
    <w:rsid w:val="00E92A6D"/>
    <w:rsid w:val="00E93C86"/>
    <w:rsid w:val="00E97158"/>
    <w:rsid w:val="00E976C0"/>
    <w:rsid w:val="00EA09DB"/>
    <w:rsid w:val="00EA2909"/>
    <w:rsid w:val="00EA2EFE"/>
    <w:rsid w:val="00EA2FB2"/>
    <w:rsid w:val="00EA3E4C"/>
    <w:rsid w:val="00EA4B1C"/>
    <w:rsid w:val="00EA4BA3"/>
    <w:rsid w:val="00EA4F56"/>
    <w:rsid w:val="00EA6496"/>
    <w:rsid w:val="00EA7188"/>
    <w:rsid w:val="00EA752B"/>
    <w:rsid w:val="00EB0C5D"/>
    <w:rsid w:val="00EB19EF"/>
    <w:rsid w:val="00EB1D69"/>
    <w:rsid w:val="00EB22A3"/>
    <w:rsid w:val="00EB283E"/>
    <w:rsid w:val="00EB29CE"/>
    <w:rsid w:val="00EB2C0F"/>
    <w:rsid w:val="00EB3E44"/>
    <w:rsid w:val="00EB45EC"/>
    <w:rsid w:val="00EB4C9A"/>
    <w:rsid w:val="00EB4D78"/>
    <w:rsid w:val="00EB548E"/>
    <w:rsid w:val="00EB6090"/>
    <w:rsid w:val="00EB7494"/>
    <w:rsid w:val="00EC095A"/>
    <w:rsid w:val="00EC0EC5"/>
    <w:rsid w:val="00EC171F"/>
    <w:rsid w:val="00EC172D"/>
    <w:rsid w:val="00EC19ED"/>
    <w:rsid w:val="00EC2BE9"/>
    <w:rsid w:val="00EC2DC7"/>
    <w:rsid w:val="00EC3B83"/>
    <w:rsid w:val="00EC3DF8"/>
    <w:rsid w:val="00EC516F"/>
    <w:rsid w:val="00EC5770"/>
    <w:rsid w:val="00EC5D35"/>
    <w:rsid w:val="00EC6BF3"/>
    <w:rsid w:val="00EC6F78"/>
    <w:rsid w:val="00EC79B0"/>
    <w:rsid w:val="00EC7BAA"/>
    <w:rsid w:val="00EC7BD3"/>
    <w:rsid w:val="00ED0988"/>
    <w:rsid w:val="00ED1BE1"/>
    <w:rsid w:val="00ED3120"/>
    <w:rsid w:val="00ED3E66"/>
    <w:rsid w:val="00ED425D"/>
    <w:rsid w:val="00ED5E7B"/>
    <w:rsid w:val="00ED66C7"/>
    <w:rsid w:val="00ED73A0"/>
    <w:rsid w:val="00EE2B1D"/>
    <w:rsid w:val="00EE3513"/>
    <w:rsid w:val="00EE373E"/>
    <w:rsid w:val="00EE37EE"/>
    <w:rsid w:val="00EE386A"/>
    <w:rsid w:val="00EE61E1"/>
    <w:rsid w:val="00EE62AE"/>
    <w:rsid w:val="00EE62F7"/>
    <w:rsid w:val="00EE6884"/>
    <w:rsid w:val="00EE6E8B"/>
    <w:rsid w:val="00EE7396"/>
    <w:rsid w:val="00EE75A8"/>
    <w:rsid w:val="00EF0653"/>
    <w:rsid w:val="00EF06BA"/>
    <w:rsid w:val="00EF147B"/>
    <w:rsid w:val="00EF15A6"/>
    <w:rsid w:val="00EF213B"/>
    <w:rsid w:val="00EF262B"/>
    <w:rsid w:val="00EF3161"/>
    <w:rsid w:val="00EF3D73"/>
    <w:rsid w:val="00EF489B"/>
    <w:rsid w:val="00EF529D"/>
    <w:rsid w:val="00EF63EE"/>
    <w:rsid w:val="00EF69DD"/>
    <w:rsid w:val="00EF6FA2"/>
    <w:rsid w:val="00EF7547"/>
    <w:rsid w:val="00EF784A"/>
    <w:rsid w:val="00F00312"/>
    <w:rsid w:val="00F004D1"/>
    <w:rsid w:val="00F01646"/>
    <w:rsid w:val="00F020A6"/>
    <w:rsid w:val="00F0245C"/>
    <w:rsid w:val="00F02CBC"/>
    <w:rsid w:val="00F03220"/>
    <w:rsid w:val="00F04250"/>
    <w:rsid w:val="00F05097"/>
    <w:rsid w:val="00F07758"/>
    <w:rsid w:val="00F113E1"/>
    <w:rsid w:val="00F11CA7"/>
    <w:rsid w:val="00F138EA"/>
    <w:rsid w:val="00F14553"/>
    <w:rsid w:val="00F14FAC"/>
    <w:rsid w:val="00F15290"/>
    <w:rsid w:val="00F153A3"/>
    <w:rsid w:val="00F17D86"/>
    <w:rsid w:val="00F2051A"/>
    <w:rsid w:val="00F22C31"/>
    <w:rsid w:val="00F22EF6"/>
    <w:rsid w:val="00F2310C"/>
    <w:rsid w:val="00F24A7E"/>
    <w:rsid w:val="00F25D41"/>
    <w:rsid w:val="00F26055"/>
    <w:rsid w:val="00F26C20"/>
    <w:rsid w:val="00F278EE"/>
    <w:rsid w:val="00F3078A"/>
    <w:rsid w:val="00F30A3C"/>
    <w:rsid w:val="00F3183F"/>
    <w:rsid w:val="00F324E7"/>
    <w:rsid w:val="00F330EE"/>
    <w:rsid w:val="00F35D23"/>
    <w:rsid w:val="00F35E91"/>
    <w:rsid w:val="00F4085A"/>
    <w:rsid w:val="00F41C0E"/>
    <w:rsid w:val="00F4464B"/>
    <w:rsid w:val="00F453AF"/>
    <w:rsid w:val="00F453B4"/>
    <w:rsid w:val="00F4541B"/>
    <w:rsid w:val="00F456C2"/>
    <w:rsid w:val="00F470FC"/>
    <w:rsid w:val="00F476DE"/>
    <w:rsid w:val="00F47E74"/>
    <w:rsid w:val="00F51008"/>
    <w:rsid w:val="00F51200"/>
    <w:rsid w:val="00F51D3F"/>
    <w:rsid w:val="00F5245C"/>
    <w:rsid w:val="00F52866"/>
    <w:rsid w:val="00F52B39"/>
    <w:rsid w:val="00F53D5E"/>
    <w:rsid w:val="00F54ABD"/>
    <w:rsid w:val="00F54D32"/>
    <w:rsid w:val="00F54F87"/>
    <w:rsid w:val="00F55D77"/>
    <w:rsid w:val="00F5636B"/>
    <w:rsid w:val="00F56DD0"/>
    <w:rsid w:val="00F56E7C"/>
    <w:rsid w:val="00F5708D"/>
    <w:rsid w:val="00F6089F"/>
    <w:rsid w:val="00F610F9"/>
    <w:rsid w:val="00F625BA"/>
    <w:rsid w:val="00F63B99"/>
    <w:rsid w:val="00F63E69"/>
    <w:rsid w:val="00F64B7F"/>
    <w:rsid w:val="00F66433"/>
    <w:rsid w:val="00F671AF"/>
    <w:rsid w:val="00F677FA"/>
    <w:rsid w:val="00F67864"/>
    <w:rsid w:val="00F67D6A"/>
    <w:rsid w:val="00F70239"/>
    <w:rsid w:val="00F714B0"/>
    <w:rsid w:val="00F7331B"/>
    <w:rsid w:val="00F74611"/>
    <w:rsid w:val="00F7499F"/>
    <w:rsid w:val="00F75B67"/>
    <w:rsid w:val="00F75D04"/>
    <w:rsid w:val="00F77148"/>
    <w:rsid w:val="00F77272"/>
    <w:rsid w:val="00F7748F"/>
    <w:rsid w:val="00F800A9"/>
    <w:rsid w:val="00F80B65"/>
    <w:rsid w:val="00F815BD"/>
    <w:rsid w:val="00F82556"/>
    <w:rsid w:val="00F82BAA"/>
    <w:rsid w:val="00F83291"/>
    <w:rsid w:val="00F83CB7"/>
    <w:rsid w:val="00F850D9"/>
    <w:rsid w:val="00F85951"/>
    <w:rsid w:val="00F85C86"/>
    <w:rsid w:val="00F87279"/>
    <w:rsid w:val="00F878EF"/>
    <w:rsid w:val="00F903AF"/>
    <w:rsid w:val="00F9097F"/>
    <w:rsid w:val="00F911D2"/>
    <w:rsid w:val="00F91A0F"/>
    <w:rsid w:val="00F94121"/>
    <w:rsid w:val="00F94439"/>
    <w:rsid w:val="00F950F9"/>
    <w:rsid w:val="00F9558D"/>
    <w:rsid w:val="00F95D5A"/>
    <w:rsid w:val="00F9626F"/>
    <w:rsid w:val="00F967E6"/>
    <w:rsid w:val="00F97ABC"/>
    <w:rsid w:val="00F97AF3"/>
    <w:rsid w:val="00FA08FB"/>
    <w:rsid w:val="00FA255F"/>
    <w:rsid w:val="00FA2C4C"/>
    <w:rsid w:val="00FA2E14"/>
    <w:rsid w:val="00FA3A69"/>
    <w:rsid w:val="00FA5593"/>
    <w:rsid w:val="00FA58BB"/>
    <w:rsid w:val="00FA656A"/>
    <w:rsid w:val="00FA6A2D"/>
    <w:rsid w:val="00FA735B"/>
    <w:rsid w:val="00FA7C08"/>
    <w:rsid w:val="00FB1814"/>
    <w:rsid w:val="00FB1F7E"/>
    <w:rsid w:val="00FB333E"/>
    <w:rsid w:val="00FB39C0"/>
    <w:rsid w:val="00FB3C0C"/>
    <w:rsid w:val="00FB41D5"/>
    <w:rsid w:val="00FB4611"/>
    <w:rsid w:val="00FB4C32"/>
    <w:rsid w:val="00FB5983"/>
    <w:rsid w:val="00FB6491"/>
    <w:rsid w:val="00FB6F78"/>
    <w:rsid w:val="00FC060C"/>
    <w:rsid w:val="00FC1043"/>
    <w:rsid w:val="00FC1960"/>
    <w:rsid w:val="00FC19B3"/>
    <w:rsid w:val="00FC1DB8"/>
    <w:rsid w:val="00FC2092"/>
    <w:rsid w:val="00FC263E"/>
    <w:rsid w:val="00FC2A08"/>
    <w:rsid w:val="00FC2CE3"/>
    <w:rsid w:val="00FC3E05"/>
    <w:rsid w:val="00FC4190"/>
    <w:rsid w:val="00FC477D"/>
    <w:rsid w:val="00FC5008"/>
    <w:rsid w:val="00FC524B"/>
    <w:rsid w:val="00FC614A"/>
    <w:rsid w:val="00FC6BFC"/>
    <w:rsid w:val="00FC6C0B"/>
    <w:rsid w:val="00FC798A"/>
    <w:rsid w:val="00FD0947"/>
    <w:rsid w:val="00FD0FA5"/>
    <w:rsid w:val="00FD1E96"/>
    <w:rsid w:val="00FD2568"/>
    <w:rsid w:val="00FD2AE1"/>
    <w:rsid w:val="00FD2C68"/>
    <w:rsid w:val="00FD3128"/>
    <w:rsid w:val="00FD3822"/>
    <w:rsid w:val="00FD3F0D"/>
    <w:rsid w:val="00FD5DED"/>
    <w:rsid w:val="00FD6731"/>
    <w:rsid w:val="00FD75B0"/>
    <w:rsid w:val="00FE067E"/>
    <w:rsid w:val="00FE0AE8"/>
    <w:rsid w:val="00FE0C02"/>
    <w:rsid w:val="00FE19B4"/>
    <w:rsid w:val="00FE3759"/>
    <w:rsid w:val="00FE41C5"/>
    <w:rsid w:val="00FE4446"/>
    <w:rsid w:val="00FE4AB7"/>
    <w:rsid w:val="00FE4FF9"/>
    <w:rsid w:val="00FE5D5C"/>
    <w:rsid w:val="00FE7F06"/>
    <w:rsid w:val="00FF03D7"/>
    <w:rsid w:val="00FF0E86"/>
    <w:rsid w:val="00FF248B"/>
    <w:rsid w:val="00FF34B2"/>
    <w:rsid w:val="00FF4834"/>
    <w:rsid w:val="00FF4AD5"/>
    <w:rsid w:val="00FF4BA0"/>
    <w:rsid w:val="00FF5540"/>
    <w:rsid w:val="00FF65A9"/>
    <w:rsid w:val="00FF6C40"/>
    <w:rsid w:val="01273B46"/>
    <w:rsid w:val="01384A9F"/>
    <w:rsid w:val="015C1DAD"/>
    <w:rsid w:val="01C7F8C4"/>
    <w:rsid w:val="0203DD70"/>
    <w:rsid w:val="024CB6F0"/>
    <w:rsid w:val="02784C29"/>
    <w:rsid w:val="02857DA1"/>
    <w:rsid w:val="02A9C219"/>
    <w:rsid w:val="032288CF"/>
    <w:rsid w:val="034A2053"/>
    <w:rsid w:val="036063CE"/>
    <w:rsid w:val="03854667"/>
    <w:rsid w:val="03ADC2B5"/>
    <w:rsid w:val="042CB284"/>
    <w:rsid w:val="04349E28"/>
    <w:rsid w:val="043B910D"/>
    <w:rsid w:val="045098BE"/>
    <w:rsid w:val="047E44D2"/>
    <w:rsid w:val="04977319"/>
    <w:rsid w:val="04E9D0FC"/>
    <w:rsid w:val="051039CF"/>
    <w:rsid w:val="0525A21D"/>
    <w:rsid w:val="052DEA4F"/>
    <w:rsid w:val="05532832"/>
    <w:rsid w:val="0570F72A"/>
    <w:rsid w:val="057241E3"/>
    <w:rsid w:val="05D26B49"/>
    <w:rsid w:val="05D68AFB"/>
    <w:rsid w:val="05E4B852"/>
    <w:rsid w:val="05ED1EE4"/>
    <w:rsid w:val="060C23C9"/>
    <w:rsid w:val="061D0293"/>
    <w:rsid w:val="061F7500"/>
    <w:rsid w:val="067DAD2B"/>
    <w:rsid w:val="06AB39F3"/>
    <w:rsid w:val="06BEAFBF"/>
    <w:rsid w:val="06D474EC"/>
    <w:rsid w:val="0731A806"/>
    <w:rsid w:val="075185E4"/>
    <w:rsid w:val="0753DFD7"/>
    <w:rsid w:val="076043EB"/>
    <w:rsid w:val="0761065E"/>
    <w:rsid w:val="07C43A03"/>
    <w:rsid w:val="07D0067B"/>
    <w:rsid w:val="080227C2"/>
    <w:rsid w:val="0806BD1C"/>
    <w:rsid w:val="080952E9"/>
    <w:rsid w:val="08285630"/>
    <w:rsid w:val="085EBA19"/>
    <w:rsid w:val="0881F022"/>
    <w:rsid w:val="08A4BFDB"/>
    <w:rsid w:val="08C074C7"/>
    <w:rsid w:val="093ECBF3"/>
    <w:rsid w:val="0948C66E"/>
    <w:rsid w:val="09D378F7"/>
    <w:rsid w:val="09D3B7EC"/>
    <w:rsid w:val="09E0C41F"/>
    <w:rsid w:val="09EB4E01"/>
    <w:rsid w:val="0A19171A"/>
    <w:rsid w:val="0A19547B"/>
    <w:rsid w:val="0A22E26C"/>
    <w:rsid w:val="0A2680E2"/>
    <w:rsid w:val="0A362144"/>
    <w:rsid w:val="0A6A07AE"/>
    <w:rsid w:val="0A85BDD7"/>
    <w:rsid w:val="0A90D491"/>
    <w:rsid w:val="0AA26B29"/>
    <w:rsid w:val="0ACA5DE3"/>
    <w:rsid w:val="0B10950A"/>
    <w:rsid w:val="0B4169A8"/>
    <w:rsid w:val="0B5389E1"/>
    <w:rsid w:val="0B7BDECE"/>
    <w:rsid w:val="0BD5BB15"/>
    <w:rsid w:val="0BEA4116"/>
    <w:rsid w:val="0C0B26F6"/>
    <w:rsid w:val="0C1D31EB"/>
    <w:rsid w:val="0C383D60"/>
    <w:rsid w:val="0C456CEC"/>
    <w:rsid w:val="0C748198"/>
    <w:rsid w:val="0C8AB163"/>
    <w:rsid w:val="0C8E75AF"/>
    <w:rsid w:val="0CA1F2A9"/>
    <w:rsid w:val="0CC2DC95"/>
    <w:rsid w:val="0CFA42B8"/>
    <w:rsid w:val="0D1CB835"/>
    <w:rsid w:val="0D214A11"/>
    <w:rsid w:val="0D5D49A5"/>
    <w:rsid w:val="0D7C8B61"/>
    <w:rsid w:val="0D8BAE74"/>
    <w:rsid w:val="0D8BC9FA"/>
    <w:rsid w:val="0DFE1E78"/>
    <w:rsid w:val="0E34A60D"/>
    <w:rsid w:val="0E4AFCC9"/>
    <w:rsid w:val="0E577077"/>
    <w:rsid w:val="0EA213F5"/>
    <w:rsid w:val="0EB05990"/>
    <w:rsid w:val="0F003246"/>
    <w:rsid w:val="0F0B8B08"/>
    <w:rsid w:val="0F8194E0"/>
    <w:rsid w:val="0FE0EA67"/>
    <w:rsid w:val="10055410"/>
    <w:rsid w:val="1016457D"/>
    <w:rsid w:val="102487E4"/>
    <w:rsid w:val="108D1B69"/>
    <w:rsid w:val="10A1D907"/>
    <w:rsid w:val="10EE92A5"/>
    <w:rsid w:val="11635D5F"/>
    <w:rsid w:val="118F2E4A"/>
    <w:rsid w:val="11B5D7C2"/>
    <w:rsid w:val="11B8403C"/>
    <w:rsid w:val="120F079E"/>
    <w:rsid w:val="12245A46"/>
    <w:rsid w:val="1228CAAD"/>
    <w:rsid w:val="124275AF"/>
    <w:rsid w:val="1250D6C5"/>
    <w:rsid w:val="12BEB26B"/>
    <w:rsid w:val="12DC3837"/>
    <w:rsid w:val="12DD8542"/>
    <w:rsid w:val="130E5137"/>
    <w:rsid w:val="1341BCFA"/>
    <w:rsid w:val="134599A5"/>
    <w:rsid w:val="1360810F"/>
    <w:rsid w:val="13763543"/>
    <w:rsid w:val="13D9DDD1"/>
    <w:rsid w:val="13E7C375"/>
    <w:rsid w:val="13EAB942"/>
    <w:rsid w:val="1401D42A"/>
    <w:rsid w:val="14354F53"/>
    <w:rsid w:val="14510729"/>
    <w:rsid w:val="1466226F"/>
    <w:rsid w:val="147CEB5A"/>
    <w:rsid w:val="147DBD1F"/>
    <w:rsid w:val="14944EE6"/>
    <w:rsid w:val="14B6BE53"/>
    <w:rsid w:val="14B6E04B"/>
    <w:rsid w:val="15163236"/>
    <w:rsid w:val="151B2B4D"/>
    <w:rsid w:val="158B7FB2"/>
    <w:rsid w:val="15B375D6"/>
    <w:rsid w:val="15BC8115"/>
    <w:rsid w:val="160B411C"/>
    <w:rsid w:val="164394CC"/>
    <w:rsid w:val="16769558"/>
    <w:rsid w:val="16793493"/>
    <w:rsid w:val="167FA9DF"/>
    <w:rsid w:val="16FB2964"/>
    <w:rsid w:val="170ED48C"/>
    <w:rsid w:val="171E7DE6"/>
    <w:rsid w:val="17290C39"/>
    <w:rsid w:val="175951ED"/>
    <w:rsid w:val="176BFAB8"/>
    <w:rsid w:val="1777055D"/>
    <w:rsid w:val="17DF3103"/>
    <w:rsid w:val="17F52E7B"/>
    <w:rsid w:val="18383892"/>
    <w:rsid w:val="183AA529"/>
    <w:rsid w:val="1843A736"/>
    <w:rsid w:val="1869E1F4"/>
    <w:rsid w:val="1882F3A8"/>
    <w:rsid w:val="189EBEBF"/>
    <w:rsid w:val="18ABE2FD"/>
    <w:rsid w:val="191FFB2F"/>
    <w:rsid w:val="1925D493"/>
    <w:rsid w:val="192C3812"/>
    <w:rsid w:val="196769C8"/>
    <w:rsid w:val="1992E26F"/>
    <w:rsid w:val="19AEF8DD"/>
    <w:rsid w:val="19FAE038"/>
    <w:rsid w:val="1A287FBB"/>
    <w:rsid w:val="1A724C79"/>
    <w:rsid w:val="1AEC005B"/>
    <w:rsid w:val="1AFE266B"/>
    <w:rsid w:val="1B0E7B4E"/>
    <w:rsid w:val="1B69C4FD"/>
    <w:rsid w:val="1B903428"/>
    <w:rsid w:val="1BB46644"/>
    <w:rsid w:val="1BDDF698"/>
    <w:rsid w:val="1BEA1E5E"/>
    <w:rsid w:val="1BF5CB4F"/>
    <w:rsid w:val="1C13176E"/>
    <w:rsid w:val="1C6BB76C"/>
    <w:rsid w:val="1C6F1144"/>
    <w:rsid w:val="1C92F6B9"/>
    <w:rsid w:val="1D117BF0"/>
    <w:rsid w:val="1D37C336"/>
    <w:rsid w:val="1D40A6C8"/>
    <w:rsid w:val="1D478AD7"/>
    <w:rsid w:val="1D7AA2AD"/>
    <w:rsid w:val="1D843B12"/>
    <w:rsid w:val="1D85ACDC"/>
    <w:rsid w:val="1D9D59DC"/>
    <w:rsid w:val="1DAA8035"/>
    <w:rsid w:val="1DBCB4C2"/>
    <w:rsid w:val="1DC2B798"/>
    <w:rsid w:val="1DE8F6B2"/>
    <w:rsid w:val="1DE92BB4"/>
    <w:rsid w:val="1DF5AF49"/>
    <w:rsid w:val="1E10FF4C"/>
    <w:rsid w:val="1E11EA3B"/>
    <w:rsid w:val="1E2AFA20"/>
    <w:rsid w:val="1E3682A5"/>
    <w:rsid w:val="1E4D668B"/>
    <w:rsid w:val="1E826D97"/>
    <w:rsid w:val="1ECC1EAE"/>
    <w:rsid w:val="1F252349"/>
    <w:rsid w:val="1F57D583"/>
    <w:rsid w:val="1F6ED0DF"/>
    <w:rsid w:val="1FC15E96"/>
    <w:rsid w:val="1FE3F902"/>
    <w:rsid w:val="1FE712DA"/>
    <w:rsid w:val="2017176A"/>
    <w:rsid w:val="202C4E0A"/>
    <w:rsid w:val="203DCA83"/>
    <w:rsid w:val="207F3A3A"/>
    <w:rsid w:val="20890BDB"/>
    <w:rsid w:val="2090B9C1"/>
    <w:rsid w:val="209B08C0"/>
    <w:rsid w:val="20A19084"/>
    <w:rsid w:val="20E39E11"/>
    <w:rsid w:val="2144E27E"/>
    <w:rsid w:val="21924FD1"/>
    <w:rsid w:val="219613E2"/>
    <w:rsid w:val="21B415C0"/>
    <w:rsid w:val="220BC3A8"/>
    <w:rsid w:val="223A5C09"/>
    <w:rsid w:val="22474277"/>
    <w:rsid w:val="2253CE97"/>
    <w:rsid w:val="22880C15"/>
    <w:rsid w:val="2297B419"/>
    <w:rsid w:val="22B8AB5A"/>
    <w:rsid w:val="22E41CD2"/>
    <w:rsid w:val="22F8E975"/>
    <w:rsid w:val="22FD4C05"/>
    <w:rsid w:val="2328AB16"/>
    <w:rsid w:val="2330CC04"/>
    <w:rsid w:val="238BA8E2"/>
    <w:rsid w:val="2417040F"/>
    <w:rsid w:val="244C67B0"/>
    <w:rsid w:val="2475B0B6"/>
    <w:rsid w:val="247F42E7"/>
    <w:rsid w:val="249E2FCE"/>
    <w:rsid w:val="2509CA84"/>
    <w:rsid w:val="25C9771C"/>
    <w:rsid w:val="25C9960A"/>
    <w:rsid w:val="25F2B7D7"/>
    <w:rsid w:val="260B3320"/>
    <w:rsid w:val="260DA6F1"/>
    <w:rsid w:val="263D923B"/>
    <w:rsid w:val="26771655"/>
    <w:rsid w:val="26A6807B"/>
    <w:rsid w:val="26A75AAD"/>
    <w:rsid w:val="26D01C73"/>
    <w:rsid w:val="271FAEB0"/>
    <w:rsid w:val="27BA585C"/>
    <w:rsid w:val="27D2C3AF"/>
    <w:rsid w:val="27D4B41A"/>
    <w:rsid w:val="27E4052D"/>
    <w:rsid w:val="28048AB5"/>
    <w:rsid w:val="28075647"/>
    <w:rsid w:val="2809D30F"/>
    <w:rsid w:val="280E4C8B"/>
    <w:rsid w:val="282AD0E3"/>
    <w:rsid w:val="287B6990"/>
    <w:rsid w:val="28A245D3"/>
    <w:rsid w:val="28A546E5"/>
    <w:rsid w:val="28E9B994"/>
    <w:rsid w:val="28F99268"/>
    <w:rsid w:val="29522732"/>
    <w:rsid w:val="29AF8F3E"/>
    <w:rsid w:val="2A20664A"/>
    <w:rsid w:val="2A26014E"/>
    <w:rsid w:val="2A40DC36"/>
    <w:rsid w:val="2A488378"/>
    <w:rsid w:val="2A82A29D"/>
    <w:rsid w:val="2A8AD673"/>
    <w:rsid w:val="2AE5F8B8"/>
    <w:rsid w:val="2AECC67C"/>
    <w:rsid w:val="2AF1DA87"/>
    <w:rsid w:val="2AFFAD69"/>
    <w:rsid w:val="2B16275F"/>
    <w:rsid w:val="2B275A77"/>
    <w:rsid w:val="2B568608"/>
    <w:rsid w:val="2B7EE96A"/>
    <w:rsid w:val="2B7FDE25"/>
    <w:rsid w:val="2BE980FD"/>
    <w:rsid w:val="2C0F8681"/>
    <w:rsid w:val="2C1A7F02"/>
    <w:rsid w:val="2C258DD8"/>
    <w:rsid w:val="2C2E55AB"/>
    <w:rsid w:val="2C9F3178"/>
    <w:rsid w:val="2D0344FA"/>
    <w:rsid w:val="2D19B142"/>
    <w:rsid w:val="2D31451B"/>
    <w:rsid w:val="2D358829"/>
    <w:rsid w:val="2DE313B0"/>
    <w:rsid w:val="2DFDB625"/>
    <w:rsid w:val="2E31899F"/>
    <w:rsid w:val="2E5190C8"/>
    <w:rsid w:val="2E598D70"/>
    <w:rsid w:val="2E7D1759"/>
    <w:rsid w:val="2EAD3828"/>
    <w:rsid w:val="2ED65994"/>
    <w:rsid w:val="2EE2BD8E"/>
    <w:rsid w:val="2EE53230"/>
    <w:rsid w:val="2F0A0FBF"/>
    <w:rsid w:val="2F2C31CF"/>
    <w:rsid w:val="2F2D671E"/>
    <w:rsid w:val="2F51CCDD"/>
    <w:rsid w:val="2FC9D9A2"/>
    <w:rsid w:val="2FF04C35"/>
    <w:rsid w:val="3008512E"/>
    <w:rsid w:val="308C41AB"/>
    <w:rsid w:val="309EA81F"/>
    <w:rsid w:val="30D644C1"/>
    <w:rsid w:val="30FA83A7"/>
    <w:rsid w:val="314041B8"/>
    <w:rsid w:val="3161F65C"/>
    <w:rsid w:val="317A089C"/>
    <w:rsid w:val="3189D622"/>
    <w:rsid w:val="3209F159"/>
    <w:rsid w:val="3219FA72"/>
    <w:rsid w:val="32474D47"/>
    <w:rsid w:val="326E84EA"/>
    <w:rsid w:val="32823C68"/>
    <w:rsid w:val="32AFE7A7"/>
    <w:rsid w:val="32DE504F"/>
    <w:rsid w:val="32F27EA2"/>
    <w:rsid w:val="33214C02"/>
    <w:rsid w:val="3325A683"/>
    <w:rsid w:val="3329513C"/>
    <w:rsid w:val="336EDADD"/>
    <w:rsid w:val="33EB78EF"/>
    <w:rsid w:val="33FF79B1"/>
    <w:rsid w:val="34094BA0"/>
    <w:rsid w:val="340BE4DE"/>
    <w:rsid w:val="3423B81F"/>
    <w:rsid w:val="343FC28F"/>
    <w:rsid w:val="346D2053"/>
    <w:rsid w:val="3494F572"/>
    <w:rsid w:val="34E6BA66"/>
    <w:rsid w:val="3515B06C"/>
    <w:rsid w:val="3517213B"/>
    <w:rsid w:val="351E1124"/>
    <w:rsid w:val="351FAD59"/>
    <w:rsid w:val="35517384"/>
    <w:rsid w:val="355F29D9"/>
    <w:rsid w:val="358F2DC5"/>
    <w:rsid w:val="35B36F0C"/>
    <w:rsid w:val="3605AA21"/>
    <w:rsid w:val="362838F2"/>
    <w:rsid w:val="3680D75D"/>
    <w:rsid w:val="36919F2F"/>
    <w:rsid w:val="36A80446"/>
    <w:rsid w:val="36C49F44"/>
    <w:rsid w:val="37152EC4"/>
    <w:rsid w:val="371EBD6F"/>
    <w:rsid w:val="37317898"/>
    <w:rsid w:val="373B5938"/>
    <w:rsid w:val="37EC8596"/>
    <w:rsid w:val="37F92B51"/>
    <w:rsid w:val="38157D9E"/>
    <w:rsid w:val="381E8D44"/>
    <w:rsid w:val="384F54B9"/>
    <w:rsid w:val="386EEC46"/>
    <w:rsid w:val="3874A51A"/>
    <w:rsid w:val="38A86E69"/>
    <w:rsid w:val="38B23014"/>
    <w:rsid w:val="3917D545"/>
    <w:rsid w:val="393297B8"/>
    <w:rsid w:val="397E5846"/>
    <w:rsid w:val="39938943"/>
    <w:rsid w:val="39985B29"/>
    <w:rsid w:val="399F7451"/>
    <w:rsid w:val="39A6F8C2"/>
    <w:rsid w:val="3A031BB8"/>
    <w:rsid w:val="3A0DE6AA"/>
    <w:rsid w:val="3A2D5FA8"/>
    <w:rsid w:val="3A36ABA1"/>
    <w:rsid w:val="3A3758B3"/>
    <w:rsid w:val="3A82DCD7"/>
    <w:rsid w:val="3A8FC76D"/>
    <w:rsid w:val="3AA4D206"/>
    <w:rsid w:val="3AF3DB8B"/>
    <w:rsid w:val="3B019613"/>
    <w:rsid w:val="3B0535CA"/>
    <w:rsid w:val="3B079D5F"/>
    <w:rsid w:val="3B15D398"/>
    <w:rsid w:val="3B36BE67"/>
    <w:rsid w:val="3B7EA80A"/>
    <w:rsid w:val="3B835B14"/>
    <w:rsid w:val="3C4FD2A8"/>
    <w:rsid w:val="3C67C164"/>
    <w:rsid w:val="3CABE66B"/>
    <w:rsid w:val="3CFC94C6"/>
    <w:rsid w:val="3D35DACF"/>
    <w:rsid w:val="3D54AE29"/>
    <w:rsid w:val="3D8F99BF"/>
    <w:rsid w:val="3D95CB43"/>
    <w:rsid w:val="3DB34A4E"/>
    <w:rsid w:val="3E408E11"/>
    <w:rsid w:val="3E6502ED"/>
    <w:rsid w:val="3E9620F5"/>
    <w:rsid w:val="3E96B86D"/>
    <w:rsid w:val="3E978EA5"/>
    <w:rsid w:val="3E9A4EDA"/>
    <w:rsid w:val="3EAC4284"/>
    <w:rsid w:val="3EB27126"/>
    <w:rsid w:val="3EBDF378"/>
    <w:rsid w:val="3EC769E4"/>
    <w:rsid w:val="3EF3DF59"/>
    <w:rsid w:val="3F0AD7ED"/>
    <w:rsid w:val="3F25EC7E"/>
    <w:rsid w:val="3F26E65A"/>
    <w:rsid w:val="3F3F221D"/>
    <w:rsid w:val="40269109"/>
    <w:rsid w:val="4045B9CC"/>
    <w:rsid w:val="40B82B0B"/>
    <w:rsid w:val="40EDC3FD"/>
    <w:rsid w:val="40EE06BA"/>
    <w:rsid w:val="412E3CF6"/>
    <w:rsid w:val="415A44CD"/>
    <w:rsid w:val="4178A456"/>
    <w:rsid w:val="4183E8C6"/>
    <w:rsid w:val="41C136AF"/>
    <w:rsid w:val="41CC5990"/>
    <w:rsid w:val="4212DDD1"/>
    <w:rsid w:val="4292BB8B"/>
    <w:rsid w:val="42BCC89E"/>
    <w:rsid w:val="42CD8B16"/>
    <w:rsid w:val="430ACC5F"/>
    <w:rsid w:val="430F833E"/>
    <w:rsid w:val="43556492"/>
    <w:rsid w:val="437140F7"/>
    <w:rsid w:val="4387FEF8"/>
    <w:rsid w:val="438AA50A"/>
    <w:rsid w:val="439C068D"/>
    <w:rsid w:val="439E1379"/>
    <w:rsid w:val="43E6FE17"/>
    <w:rsid w:val="43F0A198"/>
    <w:rsid w:val="43FB32A4"/>
    <w:rsid w:val="43FDAE87"/>
    <w:rsid w:val="440A5DA8"/>
    <w:rsid w:val="441F3253"/>
    <w:rsid w:val="442EDBBD"/>
    <w:rsid w:val="44378E13"/>
    <w:rsid w:val="448C2780"/>
    <w:rsid w:val="449389E5"/>
    <w:rsid w:val="44E57B76"/>
    <w:rsid w:val="45079945"/>
    <w:rsid w:val="45091FCE"/>
    <w:rsid w:val="450FACE4"/>
    <w:rsid w:val="4532091D"/>
    <w:rsid w:val="4537D6EE"/>
    <w:rsid w:val="454039C6"/>
    <w:rsid w:val="455D433A"/>
    <w:rsid w:val="456BAD95"/>
    <w:rsid w:val="45736C92"/>
    <w:rsid w:val="45966E2A"/>
    <w:rsid w:val="45971060"/>
    <w:rsid w:val="45AB00EC"/>
    <w:rsid w:val="45B7AC37"/>
    <w:rsid w:val="45C0888C"/>
    <w:rsid w:val="45D99FB8"/>
    <w:rsid w:val="465E0CA5"/>
    <w:rsid w:val="4670DB9D"/>
    <w:rsid w:val="467AE569"/>
    <w:rsid w:val="46882F40"/>
    <w:rsid w:val="46D7F60B"/>
    <w:rsid w:val="4709CCC5"/>
    <w:rsid w:val="470BB56D"/>
    <w:rsid w:val="4731AEE0"/>
    <w:rsid w:val="474F4ECA"/>
    <w:rsid w:val="4762824B"/>
    <w:rsid w:val="478CF000"/>
    <w:rsid w:val="47E510DD"/>
    <w:rsid w:val="48300A83"/>
    <w:rsid w:val="4837212D"/>
    <w:rsid w:val="483B3CD3"/>
    <w:rsid w:val="4869A881"/>
    <w:rsid w:val="490304C6"/>
    <w:rsid w:val="491AB73B"/>
    <w:rsid w:val="494A6FEE"/>
    <w:rsid w:val="49745B5C"/>
    <w:rsid w:val="498C550B"/>
    <w:rsid w:val="49A46339"/>
    <w:rsid w:val="49BC1072"/>
    <w:rsid w:val="4A372F56"/>
    <w:rsid w:val="4A8EFD96"/>
    <w:rsid w:val="4ACFA5EE"/>
    <w:rsid w:val="4B23A897"/>
    <w:rsid w:val="4B2BBEC9"/>
    <w:rsid w:val="4B38DCDA"/>
    <w:rsid w:val="4B56A1B9"/>
    <w:rsid w:val="4B7374AE"/>
    <w:rsid w:val="4B758807"/>
    <w:rsid w:val="4BDCC2B3"/>
    <w:rsid w:val="4C59C7D2"/>
    <w:rsid w:val="4C6E52E5"/>
    <w:rsid w:val="4C90A46A"/>
    <w:rsid w:val="4CA5F9B6"/>
    <w:rsid w:val="4CB88123"/>
    <w:rsid w:val="4CCD9381"/>
    <w:rsid w:val="4CD4AD88"/>
    <w:rsid w:val="4CDC95C4"/>
    <w:rsid w:val="4CEE338C"/>
    <w:rsid w:val="4CF4DCCD"/>
    <w:rsid w:val="4D428675"/>
    <w:rsid w:val="4D69D7EA"/>
    <w:rsid w:val="4D7F556F"/>
    <w:rsid w:val="4DCD5035"/>
    <w:rsid w:val="4E263B62"/>
    <w:rsid w:val="4E540638"/>
    <w:rsid w:val="4E60A958"/>
    <w:rsid w:val="4E7FEDC3"/>
    <w:rsid w:val="4E8D4CCB"/>
    <w:rsid w:val="4EC8D16D"/>
    <w:rsid w:val="4ED81937"/>
    <w:rsid w:val="4EEF268C"/>
    <w:rsid w:val="4F7FDDAC"/>
    <w:rsid w:val="4FA27DF4"/>
    <w:rsid w:val="4FE613E3"/>
    <w:rsid w:val="4FE98F98"/>
    <w:rsid w:val="50871B3D"/>
    <w:rsid w:val="50930F6A"/>
    <w:rsid w:val="50C02C4C"/>
    <w:rsid w:val="511877F3"/>
    <w:rsid w:val="5127E546"/>
    <w:rsid w:val="513DD2CE"/>
    <w:rsid w:val="514AFEB0"/>
    <w:rsid w:val="516A3E95"/>
    <w:rsid w:val="51704F5E"/>
    <w:rsid w:val="51BFB81D"/>
    <w:rsid w:val="51D6D39A"/>
    <w:rsid w:val="51EFB53A"/>
    <w:rsid w:val="51F62421"/>
    <w:rsid w:val="51FDE004"/>
    <w:rsid w:val="52382E4B"/>
    <w:rsid w:val="525F537D"/>
    <w:rsid w:val="528F5740"/>
    <w:rsid w:val="52BD83F8"/>
    <w:rsid w:val="52C85639"/>
    <w:rsid w:val="52CFF35D"/>
    <w:rsid w:val="52D05739"/>
    <w:rsid w:val="52DCB116"/>
    <w:rsid w:val="532B4A84"/>
    <w:rsid w:val="533028BD"/>
    <w:rsid w:val="5352C2B2"/>
    <w:rsid w:val="53594BD1"/>
    <w:rsid w:val="53882BCA"/>
    <w:rsid w:val="53A38AAC"/>
    <w:rsid w:val="53C161A0"/>
    <w:rsid w:val="54316F12"/>
    <w:rsid w:val="543B0377"/>
    <w:rsid w:val="5475880F"/>
    <w:rsid w:val="547E92C3"/>
    <w:rsid w:val="55168A55"/>
    <w:rsid w:val="554A18B0"/>
    <w:rsid w:val="556440A7"/>
    <w:rsid w:val="55794B4D"/>
    <w:rsid w:val="557DAAA1"/>
    <w:rsid w:val="55D4D0DA"/>
    <w:rsid w:val="55E4AE78"/>
    <w:rsid w:val="55E4C33A"/>
    <w:rsid w:val="5615D313"/>
    <w:rsid w:val="5628C9B1"/>
    <w:rsid w:val="562DE9D2"/>
    <w:rsid w:val="5688E7EA"/>
    <w:rsid w:val="56DE6EE7"/>
    <w:rsid w:val="57122643"/>
    <w:rsid w:val="572A9631"/>
    <w:rsid w:val="5740CC25"/>
    <w:rsid w:val="57528EBA"/>
    <w:rsid w:val="5776C607"/>
    <w:rsid w:val="57B140DF"/>
    <w:rsid w:val="57B1DC18"/>
    <w:rsid w:val="57C109FF"/>
    <w:rsid w:val="57C1CDD4"/>
    <w:rsid w:val="57D2CAA5"/>
    <w:rsid w:val="57E10171"/>
    <w:rsid w:val="57F3214C"/>
    <w:rsid w:val="58258B7C"/>
    <w:rsid w:val="582F8372"/>
    <w:rsid w:val="58B03107"/>
    <w:rsid w:val="58B9C8C9"/>
    <w:rsid w:val="58BD6802"/>
    <w:rsid w:val="594220E5"/>
    <w:rsid w:val="59A68DC5"/>
    <w:rsid w:val="59C5E4DB"/>
    <w:rsid w:val="59F08E8F"/>
    <w:rsid w:val="5AD1B270"/>
    <w:rsid w:val="5AD8AD9B"/>
    <w:rsid w:val="5AF02D7D"/>
    <w:rsid w:val="5AFC0671"/>
    <w:rsid w:val="5B32D3D0"/>
    <w:rsid w:val="5B9520FD"/>
    <w:rsid w:val="5C74E8BF"/>
    <w:rsid w:val="5C7B2BE5"/>
    <w:rsid w:val="5C7DF3C7"/>
    <w:rsid w:val="5C805CA0"/>
    <w:rsid w:val="5CA43B34"/>
    <w:rsid w:val="5CAC901B"/>
    <w:rsid w:val="5CCFC46B"/>
    <w:rsid w:val="5D004B21"/>
    <w:rsid w:val="5D15F4C9"/>
    <w:rsid w:val="5D19F7B7"/>
    <w:rsid w:val="5D3F7C9C"/>
    <w:rsid w:val="5D5EAB8E"/>
    <w:rsid w:val="5D7D207A"/>
    <w:rsid w:val="5DC50C04"/>
    <w:rsid w:val="5DD83A36"/>
    <w:rsid w:val="5DFE2AB6"/>
    <w:rsid w:val="5E1F4F09"/>
    <w:rsid w:val="5E768E93"/>
    <w:rsid w:val="5EA0BC29"/>
    <w:rsid w:val="5EA76AF0"/>
    <w:rsid w:val="5EF18F9D"/>
    <w:rsid w:val="5F054ED6"/>
    <w:rsid w:val="5F2DF73B"/>
    <w:rsid w:val="5F408E55"/>
    <w:rsid w:val="5F64117C"/>
    <w:rsid w:val="5F832F45"/>
    <w:rsid w:val="5FA5CA80"/>
    <w:rsid w:val="602E975C"/>
    <w:rsid w:val="60545289"/>
    <w:rsid w:val="6056D290"/>
    <w:rsid w:val="60570E15"/>
    <w:rsid w:val="6061948E"/>
    <w:rsid w:val="606F660F"/>
    <w:rsid w:val="607B0C36"/>
    <w:rsid w:val="608333A8"/>
    <w:rsid w:val="60A393F8"/>
    <w:rsid w:val="60A40B6B"/>
    <w:rsid w:val="60A96582"/>
    <w:rsid w:val="60CB6E33"/>
    <w:rsid w:val="60CD34F1"/>
    <w:rsid w:val="60DC34F1"/>
    <w:rsid w:val="60EA124D"/>
    <w:rsid w:val="615F25A1"/>
    <w:rsid w:val="6187031F"/>
    <w:rsid w:val="619E8502"/>
    <w:rsid w:val="61C1AC8C"/>
    <w:rsid w:val="61C69F4F"/>
    <w:rsid w:val="61CAF332"/>
    <w:rsid w:val="61E3F0D1"/>
    <w:rsid w:val="62045DB5"/>
    <w:rsid w:val="620A1A5D"/>
    <w:rsid w:val="622D02E1"/>
    <w:rsid w:val="62341D60"/>
    <w:rsid w:val="62674D93"/>
    <w:rsid w:val="62A522BE"/>
    <w:rsid w:val="62A5C192"/>
    <w:rsid w:val="62AA1DE5"/>
    <w:rsid w:val="62CE5CFD"/>
    <w:rsid w:val="630DCB52"/>
    <w:rsid w:val="631DEA5C"/>
    <w:rsid w:val="632CF4DC"/>
    <w:rsid w:val="6331EC5B"/>
    <w:rsid w:val="635AEB55"/>
    <w:rsid w:val="637B8929"/>
    <w:rsid w:val="637C5BC5"/>
    <w:rsid w:val="63A5F020"/>
    <w:rsid w:val="63AF6D62"/>
    <w:rsid w:val="63C1514D"/>
    <w:rsid w:val="63CF174A"/>
    <w:rsid w:val="63DE6708"/>
    <w:rsid w:val="63F4073A"/>
    <w:rsid w:val="64080A3D"/>
    <w:rsid w:val="6417E551"/>
    <w:rsid w:val="649703E6"/>
    <w:rsid w:val="64A7ECFF"/>
    <w:rsid w:val="64F825BC"/>
    <w:rsid w:val="651FA988"/>
    <w:rsid w:val="6537BCF3"/>
    <w:rsid w:val="659930C8"/>
    <w:rsid w:val="65A01BD0"/>
    <w:rsid w:val="65A6AD7C"/>
    <w:rsid w:val="65F170F7"/>
    <w:rsid w:val="65F61F20"/>
    <w:rsid w:val="6625A1B4"/>
    <w:rsid w:val="66A1D6E0"/>
    <w:rsid w:val="66CB22C4"/>
    <w:rsid w:val="67109A1F"/>
    <w:rsid w:val="6742B69F"/>
    <w:rsid w:val="67A13E8B"/>
    <w:rsid w:val="67A31CD6"/>
    <w:rsid w:val="67F7168A"/>
    <w:rsid w:val="68079F68"/>
    <w:rsid w:val="680E38E4"/>
    <w:rsid w:val="684573A2"/>
    <w:rsid w:val="684FE67A"/>
    <w:rsid w:val="68A1ED20"/>
    <w:rsid w:val="68BE408A"/>
    <w:rsid w:val="696C920B"/>
    <w:rsid w:val="6992A100"/>
    <w:rsid w:val="69D01F59"/>
    <w:rsid w:val="69D735F3"/>
    <w:rsid w:val="6A17155E"/>
    <w:rsid w:val="6A17E76E"/>
    <w:rsid w:val="6A42891F"/>
    <w:rsid w:val="6A42FC27"/>
    <w:rsid w:val="6A5A5593"/>
    <w:rsid w:val="6A811CD1"/>
    <w:rsid w:val="6AB683F1"/>
    <w:rsid w:val="6AD179C2"/>
    <w:rsid w:val="6AD19AF5"/>
    <w:rsid w:val="6B188929"/>
    <w:rsid w:val="6B245DBB"/>
    <w:rsid w:val="6B41FD47"/>
    <w:rsid w:val="6B45E9AF"/>
    <w:rsid w:val="6B582253"/>
    <w:rsid w:val="6BB36413"/>
    <w:rsid w:val="6BC655E8"/>
    <w:rsid w:val="6BCADD06"/>
    <w:rsid w:val="6C0249C8"/>
    <w:rsid w:val="6C085535"/>
    <w:rsid w:val="6C2E2FEB"/>
    <w:rsid w:val="6C339BF7"/>
    <w:rsid w:val="6CB23BE0"/>
    <w:rsid w:val="6CB23F8B"/>
    <w:rsid w:val="6CD58551"/>
    <w:rsid w:val="6CD8CEA1"/>
    <w:rsid w:val="6D1B1C2B"/>
    <w:rsid w:val="6D2E706C"/>
    <w:rsid w:val="6D5C2DD4"/>
    <w:rsid w:val="6DB3FCD6"/>
    <w:rsid w:val="6DC9D6C2"/>
    <w:rsid w:val="6E07E219"/>
    <w:rsid w:val="6E145025"/>
    <w:rsid w:val="6E2A7071"/>
    <w:rsid w:val="6E6CBBB9"/>
    <w:rsid w:val="6E9B41FE"/>
    <w:rsid w:val="6EBB928C"/>
    <w:rsid w:val="6EE1B266"/>
    <w:rsid w:val="6F086F5B"/>
    <w:rsid w:val="6F4973BB"/>
    <w:rsid w:val="6F4B9CD5"/>
    <w:rsid w:val="6F7FD073"/>
    <w:rsid w:val="6F8D56F6"/>
    <w:rsid w:val="6F9C09F8"/>
    <w:rsid w:val="6FAAA2E6"/>
    <w:rsid w:val="6FC106FD"/>
    <w:rsid w:val="6FCE4DB9"/>
    <w:rsid w:val="6FE7F3B2"/>
    <w:rsid w:val="6FF9D6D9"/>
    <w:rsid w:val="70120A9C"/>
    <w:rsid w:val="702070F6"/>
    <w:rsid w:val="70375D07"/>
    <w:rsid w:val="703B843B"/>
    <w:rsid w:val="70487474"/>
    <w:rsid w:val="706379FB"/>
    <w:rsid w:val="70A3E50B"/>
    <w:rsid w:val="70CB95E6"/>
    <w:rsid w:val="70D2D28C"/>
    <w:rsid w:val="70F816F6"/>
    <w:rsid w:val="710B0397"/>
    <w:rsid w:val="711C1D5F"/>
    <w:rsid w:val="71240EEA"/>
    <w:rsid w:val="71A6CC7E"/>
    <w:rsid w:val="71F4DAA4"/>
    <w:rsid w:val="7201FDCB"/>
    <w:rsid w:val="7237E7AE"/>
    <w:rsid w:val="7249396C"/>
    <w:rsid w:val="72524142"/>
    <w:rsid w:val="72576FED"/>
    <w:rsid w:val="725C3AB8"/>
    <w:rsid w:val="725F46EB"/>
    <w:rsid w:val="726626A4"/>
    <w:rsid w:val="726EA86B"/>
    <w:rsid w:val="7284C210"/>
    <w:rsid w:val="72CE6613"/>
    <w:rsid w:val="730DD819"/>
    <w:rsid w:val="7319500A"/>
    <w:rsid w:val="73504E50"/>
    <w:rsid w:val="7353B79F"/>
    <w:rsid w:val="73A2EF85"/>
    <w:rsid w:val="73CEAD72"/>
    <w:rsid w:val="73F4BEA0"/>
    <w:rsid w:val="741CCB0A"/>
    <w:rsid w:val="7489FC5D"/>
    <w:rsid w:val="7494A101"/>
    <w:rsid w:val="74B0147E"/>
    <w:rsid w:val="74B12188"/>
    <w:rsid w:val="74CD18AF"/>
    <w:rsid w:val="7534DE97"/>
    <w:rsid w:val="7585B9EE"/>
    <w:rsid w:val="7595CF0A"/>
    <w:rsid w:val="75AE9A29"/>
    <w:rsid w:val="75BEBBA8"/>
    <w:rsid w:val="75EB7807"/>
    <w:rsid w:val="760168AC"/>
    <w:rsid w:val="761CB400"/>
    <w:rsid w:val="7657E9AE"/>
    <w:rsid w:val="765A2FA2"/>
    <w:rsid w:val="7664055D"/>
    <w:rsid w:val="767F726F"/>
    <w:rsid w:val="76A80DD4"/>
    <w:rsid w:val="76CBFDE4"/>
    <w:rsid w:val="770C4606"/>
    <w:rsid w:val="777373DA"/>
    <w:rsid w:val="778558E7"/>
    <w:rsid w:val="778923BD"/>
    <w:rsid w:val="77B22BDC"/>
    <w:rsid w:val="77CAD223"/>
    <w:rsid w:val="77DBFBFA"/>
    <w:rsid w:val="77DF0D95"/>
    <w:rsid w:val="77DFF442"/>
    <w:rsid w:val="77E6FA8F"/>
    <w:rsid w:val="77E9EB3F"/>
    <w:rsid w:val="7883A748"/>
    <w:rsid w:val="789B0941"/>
    <w:rsid w:val="78CDB586"/>
    <w:rsid w:val="78E05930"/>
    <w:rsid w:val="78EB5F47"/>
    <w:rsid w:val="78FE3A4F"/>
    <w:rsid w:val="79616E13"/>
    <w:rsid w:val="7967EFB3"/>
    <w:rsid w:val="7987701D"/>
    <w:rsid w:val="79A38F42"/>
    <w:rsid w:val="79AE399D"/>
    <w:rsid w:val="79DB8187"/>
    <w:rsid w:val="7A174D83"/>
    <w:rsid w:val="7A27FFA3"/>
    <w:rsid w:val="7AC24D4D"/>
    <w:rsid w:val="7B6477F8"/>
    <w:rsid w:val="7BD1B364"/>
    <w:rsid w:val="7BF54670"/>
    <w:rsid w:val="7C182D54"/>
    <w:rsid w:val="7C1D8AFF"/>
    <w:rsid w:val="7CE68CAC"/>
    <w:rsid w:val="7D08ACB1"/>
    <w:rsid w:val="7D0F4F00"/>
    <w:rsid w:val="7D626B83"/>
    <w:rsid w:val="7DA37D36"/>
    <w:rsid w:val="7DD95C66"/>
    <w:rsid w:val="7DF2DA4B"/>
    <w:rsid w:val="7DF4C82B"/>
    <w:rsid w:val="7E27C98C"/>
    <w:rsid w:val="7E2C9590"/>
    <w:rsid w:val="7E2CBF8F"/>
    <w:rsid w:val="7E8D178A"/>
    <w:rsid w:val="7ECD4C75"/>
    <w:rsid w:val="7ED951F9"/>
    <w:rsid w:val="7F3C6415"/>
    <w:rsid w:val="7F553D31"/>
    <w:rsid w:val="7F61799A"/>
    <w:rsid w:val="7F7F867B"/>
    <w:rsid w:val="7FDE1CF2"/>
    <w:rsid w:val="7FE65571"/>
    <w:rsid w:val="7FEC3F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BEA15"/>
  <w15:chartTrackingRefBased/>
  <w15:docId w15:val="{A692BA4F-CF0A-421B-97AB-F93BD4B1F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224"/>
    <w:pPr>
      <w:spacing w:before="120" w:after="120"/>
      <w:jc w:val="both"/>
    </w:pPr>
  </w:style>
  <w:style w:type="paragraph" w:styleId="Heading1">
    <w:name w:val="heading 1"/>
    <w:basedOn w:val="Normal"/>
    <w:next w:val="Normal"/>
    <w:link w:val="Heading1Char"/>
    <w:uiPriority w:val="9"/>
    <w:qFormat/>
    <w:rsid w:val="00814224"/>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autoRedefine/>
    <w:uiPriority w:val="9"/>
    <w:unhideWhenUsed/>
    <w:qFormat/>
    <w:rsid w:val="00D0608B"/>
    <w:pPr>
      <w:keepNext/>
      <w:keepLines/>
      <w:spacing w:before="40"/>
      <w:jc w:val="left"/>
      <w:outlineLvl w:val="1"/>
    </w:pPr>
    <w:rPr>
      <w:rFonts w:ascii="Times New Roman" w:eastAsiaTheme="majorEastAsia" w:hAnsi="Times New Roman" w:cs="Times New Roman"/>
      <w:b/>
      <w:bCs/>
      <w:color w:val="000000" w:themeColor="text1"/>
      <w:lang w:val="en-GB"/>
    </w:rPr>
  </w:style>
  <w:style w:type="paragraph" w:styleId="Heading3">
    <w:name w:val="heading 3"/>
    <w:basedOn w:val="Normal"/>
    <w:next w:val="Normal"/>
    <w:link w:val="Heading3Char"/>
    <w:uiPriority w:val="9"/>
    <w:unhideWhenUsed/>
    <w:qFormat/>
    <w:rsid w:val="00814224"/>
    <w:pPr>
      <w:keepNext/>
      <w:keepLines/>
      <w:spacing w:before="40"/>
      <w:outlineLvl w:val="2"/>
    </w:pPr>
    <w:rPr>
      <w:rFonts w:asciiTheme="majorHAnsi" w:eastAsiaTheme="majorEastAsia" w:hAnsiTheme="majorHAnsi" w:cstheme="majorBidi"/>
      <w:b/>
      <w:sz w:val="24"/>
      <w:szCs w:val="24"/>
    </w:rPr>
  </w:style>
  <w:style w:type="paragraph" w:styleId="Heading4">
    <w:name w:val="heading 4"/>
    <w:basedOn w:val="Normal"/>
    <w:link w:val="Heading4Char"/>
    <w:uiPriority w:val="9"/>
    <w:qFormat/>
    <w:rsid w:val="00814224"/>
    <w:pPr>
      <w:spacing w:before="100" w:beforeAutospacing="1" w:after="100" w:afterAutospacing="1" w:line="240" w:lineRule="auto"/>
      <w:outlineLvl w:val="3"/>
    </w:pPr>
    <w:rPr>
      <w:rFonts w:eastAsia="Times New Roman" w:cs="Times New Roman"/>
      <w:bCs/>
      <w:i/>
      <w:sz w:val="20"/>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910E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E5D"/>
    <w:rPr>
      <w:rFonts w:ascii="Segoe UI" w:hAnsi="Segoe UI" w:cs="Segoe UI"/>
      <w:sz w:val="18"/>
      <w:szCs w:val="18"/>
    </w:rPr>
  </w:style>
  <w:style w:type="character" w:customStyle="1" w:styleId="Heading1Char">
    <w:name w:val="Heading 1 Char"/>
    <w:basedOn w:val="DefaultParagraphFont"/>
    <w:link w:val="Heading1"/>
    <w:uiPriority w:val="9"/>
    <w:rsid w:val="00814224"/>
    <w:rPr>
      <w:rFonts w:asciiTheme="majorHAnsi" w:eastAsiaTheme="majorEastAsia" w:hAnsiTheme="majorHAnsi" w:cstheme="majorBidi"/>
      <w:color w:val="000000" w:themeColor="text1"/>
      <w:sz w:val="32"/>
      <w:szCs w:val="32"/>
    </w:rPr>
  </w:style>
  <w:style w:type="paragraph" w:styleId="BodyText">
    <w:name w:val="Body Text"/>
    <w:basedOn w:val="Normal"/>
    <w:link w:val="BodyTextChar"/>
    <w:uiPriority w:val="99"/>
    <w:qFormat/>
    <w:rsid w:val="00246FA8"/>
    <w:pPr>
      <w:spacing w:before="200" w:after="0" w:line="420" w:lineRule="auto"/>
    </w:pPr>
    <w:rPr>
      <w:rFonts w:ascii="Calibri Light" w:eastAsia="Times New Roman" w:hAnsi="Calibri Light" w:cs="Times New Roman"/>
      <w:lang w:val="en-GB" w:eastAsia="en-GB"/>
    </w:rPr>
  </w:style>
  <w:style w:type="character" w:customStyle="1" w:styleId="BodyTextChar">
    <w:name w:val="Body Text Char"/>
    <w:basedOn w:val="DefaultParagraphFont"/>
    <w:link w:val="BodyText"/>
    <w:uiPriority w:val="99"/>
    <w:rsid w:val="00246FA8"/>
    <w:rPr>
      <w:rFonts w:ascii="Calibri Light" w:eastAsia="Times New Roman" w:hAnsi="Calibri Light" w:cs="Times New Roman"/>
      <w:lang w:val="en-GB" w:eastAsia="en-GB"/>
    </w:rPr>
  </w:style>
  <w:style w:type="paragraph" w:styleId="CommentText">
    <w:name w:val="annotation text"/>
    <w:basedOn w:val="Normal"/>
    <w:link w:val="CommentTextChar"/>
    <w:uiPriority w:val="99"/>
    <w:semiHidden/>
    <w:unhideWhenUsed/>
    <w:rsid w:val="00246FA8"/>
    <w:pPr>
      <w:spacing w:before="200" w:after="0" w:line="240" w:lineRule="auto"/>
    </w:pPr>
    <w:rPr>
      <w:rFonts w:ascii="Calibri Light" w:eastAsia="Times New Roman" w:hAnsi="Calibri Light" w:cs="Times New Roman"/>
      <w:sz w:val="20"/>
      <w:szCs w:val="20"/>
      <w:lang w:val="en-GB" w:eastAsia="zh-CN"/>
    </w:rPr>
  </w:style>
  <w:style w:type="character" w:customStyle="1" w:styleId="CommentTextChar">
    <w:name w:val="Comment Text Char"/>
    <w:basedOn w:val="DefaultParagraphFont"/>
    <w:link w:val="CommentText"/>
    <w:uiPriority w:val="99"/>
    <w:semiHidden/>
    <w:rsid w:val="00246FA8"/>
    <w:rPr>
      <w:rFonts w:ascii="Calibri Light" w:eastAsia="Times New Roman" w:hAnsi="Calibri Light" w:cs="Times New Roman"/>
      <w:sz w:val="20"/>
      <w:szCs w:val="20"/>
      <w:lang w:val="en-GB" w:eastAsia="zh-CN"/>
    </w:rPr>
  </w:style>
  <w:style w:type="character" w:styleId="CommentReference">
    <w:name w:val="annotation reference"/>
    <w:basedOn w:val="DefaultParagraphFont"/>
    <w:uiPriority w:val="99"/>
    <w:semiHidden/>
    <w:unhideWhenUsed/>
    <w:rsid w:val="00246FA8"/>
    <w:rPr>
      <w:sz w:val="16"/>
      <w:szCs w:val="16"/>
    </w:rPr>
  </w:style>
  <w:style w:type="character" w:styleId="LineNumber">
    <w:name w:val="line number"/>
    <w:basedOn w:val="DefaultParagraphFont"/>
    <w:uiPriority w:val="99"/>
    <w:semiHidden/>
    <w:unhideWhenUsed/>
    <w:rsid w:val="00B9536B"/>
  </w:style>
  <w:style w:type="paragraph" w:styleId="NormalWeb">
    <w:name w:val="Normal (Web)"/>
    <w:basedOn w:val="Normal"/>
    <w:uiPriority w:val="99"/>
    <w:unhideWhenUsed/>
    <w:qFormat/>
    <w:rsid w:val="003D5AD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qFormat/>
    <w:rsid w:val="00CC6540"/>
    <w:rPr>
      <w:color w:val="0000FF"/>
      <w:u w:val="single"/>
    </w:rPr>
  </w:style>
  <w:style w:type="paragraph" w:styleId="CommentSubject">
    <w:name w:val="annotation subject"/>
    <w:basedOn w:val="CommentText"/>
    <w:next w:val="CommentText"/>
    <w:link w:val="CommentSubjectChar"/>
    <w:uiPriority w:val="99"/>
    <w:semiHidden/>
    <w:unhideWhenUsed/>
    <w:rsid w:val="004C3264"/>
    <w:pPr>
      <w:spacing w:before="0" w:after="16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4C3264"/>
    <w:rPr>
      <w:rFonts w:ascii="Calibri Light" w:eastAsia="Times New Roman" w:hAnsi="Calibri Light" w:cs="Times New Roman"/>
      <w:b/>
      <w:bCs/>
      <w:sz w:val="20"/>
      <w:szCs w:val="20"/>
      <w:lang w:val="en-GB" w:eastAsia="zh-CN"/>
    </w:rPr>
  </w:style>
  <w:style w:type="character" w:styleId="Emphasis">
    <w:name w:val="Emphasis"/>
    <w:basedOn w:val="DefaultParagraphFont"/>
    <w:uiPriority w:val="20"/>
    <w:qFormat/>
    <w:rsid w:val="00E84C32"/>
    <w:rPr>
      <w:i/>
      <w:iCs/>
    </w:rPr>
  </w:style>
  <w:style w:type="character" w:customStyle="1" w:styleId="UnresolvedMention1">
    <w:name w:val="Unresolved Mention1"/>
    <w:basedOn w:val="DefaultParagraphFont"/>
    <w:uiPriority w:val="99"/>
    <w:semiHidden/>
    <w:unhideWhenUsed/>
    <w:rsid w:val="009600ED"/>
    <w:rPr>
      <w:color w:val="605E5C"/>
      <w:shd w:val="clear" w:color="auto" w:fill="E1DFDD"/>
    </w:rPr>
  </w:style>
  <w:style w:type="character" w:styleId="Strong">
    <w:name w:val="Strong"/>
    <w:basedOn w:val="DefaultParagraphFont"/>
    <w:uiPriority w:val="22"/>
    <w:qFormat/>
    <w:rsid w:val="00BD4124"/>
    <w:rPr>
      <w:b/>
      <w:bCs/>
    </w:rPr>
  </w:style>
  <w:style w:type="character" w:styleId="FollowedHyperlink">
    <w:name w:val="FollowedHyperlink"/>
    <w:basedOn w:val="DefaultParagraphFont"/>
    <w:uiPriority w:val="99"/>
    <w:semiHidden/>
    <w:unhideWhenUsed/>
    <w:rsid w:val="001A5F09"/>
    <w:rPr>
      <w:color w:val="954F72" w:themeColor="followedHyperlink"/>
      <w:u w:val="single"/>
    </w:rPr>
  </w:style>
  <w:style w:type="character" w:customStyle="1" w:styleId="stix">
    <w:name w:val="stix"/>
    <w:basedOn w:val="DefaultParagraphFont"/>
    <w:rsid w:val="00A57951"/>
  </w:style>
  <w:style w:type="character" w:customStyle="1" w:styleId="Heading4Char">
    <w:name w:val="Heading 4 Char"/>
    <w:basedOn w:val="DefaultParagraphFont"/>
    <w:link w:val="Heading4"/>
    <w:uiPriority w:val="9"/>
    <w:rsid w:val="00814224"/>
    <w:rPr>
      <w:rFonts w:eastAsia="Times New Roman" w:cs="Times New Roman"/>
      <w:bCs/>
      <w:i/>
      <w:sz w:val="20"/>
      <w:szCs w:val="24"/>
      <w:lang w:val="en-GB" w:eastAsia="en-GB"/>
    </w:rPr>
  </w:style>
  <w:style w:type="paragraph" w:customStyle="1" w:styleId="p">
    <w:name w:val="p"/>
    <w:basedOn w:val="Normal"/>
    <w:rsid w:val="003C0CE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9A211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5A3A85"/>
    <w:pPr>
      <w:spacing w:after="0" w:line="240" w:lineRule="auto"/>
    </w:pPr>
  </w:style>
  <w:style w:type="character" w:customStyle="1" w:styleId="id-label">
    <w:name w:val="id-label"/>
    <w:basedOn w:val="DefaultParagraphFont"/>
    <w:rsid w:val="00AD08DD"/>
  </w:style>
  <w:style w:type="character" w:customStyle="1" w:styleId="highwire-cite-metadata-papdate">
    <w:name w:val="highwire-cite-metadata-papdate"/>
    <w:basedOn w:val="DefaultParagraphFont"/>
    <w:rsid w:val="00AD08DD"/>
  </w:style>
  <w:style w:type="character" w:customStyle="1" w:styleId="highwire-cite-metadata-doi">
    <w:name w:val="highwire-cite-metadata-doi"/>
    <w:basedOn w:val="DefaultParagraphFont"/>
    <w:rsid w:val="00AD08DD"/>
  </w:style>
  <w:style w:type="table" w:styleId="GridTable4">
    <w:name w:val="Grid Table 4"/>
    <w:basedOn w:val="TableNormal"/>
    <w:uiPriority w:val="49"/>
    <w:rsid w:val="00480D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D0608B"/>
    <w:rPr>
      <w:rFonts w:ascii="Times New Roman" w:eastAsiaTheme="majorEastAsia" w:hAnsi="Times New Roman" w:cs="Times New Roman"/>
      <w:b/>
      <w:bCs/>
      <w:color w:val="000000" w:themeColor="text1"/>
      <w:lang w:val="en-GB"/>
    </w:rPr>
  </w:style>
  <w:style w:type="paragraph" w:styleId="Title">
    <w:name w:val="Title"/>
    <w:basedOn w:val="Normal"/>
    <w:next w:val="Normal"/>
    <w:link w:val="TitleChar"/>
    <w:uiPriority w:val="10"/>
    <w:qFormat/>
    <w:rsid w:val="00814224"/>
    <w:pPr>
      <w:spacing w:after="0" w:line="240" w:lineRule="auto"/>
      <w:contextualSpacing/>
    </w:pPr>
    <w:rPr>
      <w:rFonts w:asciiTheme="majorHAnsi" w:eastAsiaTheme="majorEastAsia" w:hAnsiTheme="majorHAnsi" w:cstheme="majorBidi"/>
      <w:spacing w:val="-10"/>
      <w:kern w:val="28"/>
      <w:sz w:val="48"/>
      <w:szCs w:val="56"/>
    </w:rPr>
  </w:style>
  <w:style w:type="character" w:customStyle="1" w:styleId="TitleChar">
    <w:name w:val="Title Char"/>
    <w:basedOn w:val="DefaultParagraphFont"/>
    <w:link w:val="Title"/>
    <w:uiPriority w:val="10"/>
    <w:rsid w:val="00814224"/>
    <w:rPr>
      <w:rFonts w:asciiTheme="majorHAnsi" w:eastAsiaTheme="majorEastAsia" w:hAnsiTheme="majorHAnsi" w:cstheme="majorBidi"/>
      <w:spacing w:val="-10"/>
      <w:kern w:val="28"/>
      <w:sz w:val="48"/>
      <w:szCs w:val="56"/>
    </w:rPr>
  </w:style>
  <w:style w:type="character" w:customStyle="1" w:styleId="Heading3Char">
    <w:name w:val="Heading 3 Char"/>
    <w:basedOn w:val="DefaultParagraphFont"/>
    <w:link w:val="Heading3"/>
    <w:uiPriority w:val="9"/>
    <w:rsid w:val="00814224"/>
    <w:rPr>
      <w:rFonts w:asciiTheme="majorHAnsi" w:eastAsiaTheme="majorEastAsia" w:hAnsiTheme="majorHAnsi" w:cstheme="majorBidi"/>
      <w:b/>
      <w:sz w:val="24"/>
      <w:szCs w:val="24"/>
    </w:rPr>
  </w:style>
  <w:style w:type="character" w:customStyle="1" w:styleId="apple-converted-space">
    <w:name w:val="apple-converted-space"/>
    <w:basedOn w:val="DefaultParagraphFont"/>
    <w:rsid w:val="00552B63"/>
  </w:style>
  <w:style w:type="paragraph" w:styleId="Caption">
    <w:name w:val="caption"/>
    <w:basedOn w:val="Normal"/>
    <w:next w:val="Normal"/>
    <w:uiPriority w:val="35"/>
    <w:unhideWhenUsed/>
    <w:qFormat/>
    <w:rsid w:val="003E481C"/>
    <w:pPr>
      <w:spacing w:before="0" w:after="200" w:line="240" w:lineRule="auto"/>
    </w:pPr>
    <w:rPr>
      <w:i/>
      <w:iCs/>
      <w:color w:val="44546A" w:themeColor="text2"/>
      <w:sz w:val="18"/>
      <w:szCs w:val="18"/>
    </w:rPr>
  </w:style>
  <w:style w:type="table" w:styleId="GridTable1Light">
    <w:name w:val="Grid Table 1 Light"/>
    <w:basedOn w:val="TableNormal"/>
    <w:uiPriority w:val="46"/>
    <w:rsid w:val="001B193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eriod">
    <w:name w:val="period"/>
    <w:basedOn w:val="DefaultParagraphFont"/>
    <w:rsid w:val="00086069"/>
  </w:style>
  <w:style w:type="character" w:customStyle="1" w:styleId="cit">
    <w:name w:val="cit"/>
    <w:basedOn w:val="DefaultParagraphFont"/>
    <w:rsid w:val="00086069"/>
  </w:style>
  <w:style w:type="character" w:customStyle="1" w:styleId="citation-doi">
    <w:name w:val="citation-doi"/>
    <w:basedOn w:val="DefaultParagraphFont"/>
    <w:rsid w:val="00086069"/>
  </w:style>
  <w:style w:type="character" w:customStyle="1" w:styleId="authors-list-item">
    <w:name w:val="authors-list-item"/>
    <w:basedOn w:val="DefaultParagraphFont"/>
    <w:rsid w:val="00086069"/>
  </w:style>
  <w:style w:type="character" w:customStyle="1" w:styleId="author-sup-separator">
    <w:name w:val="author-sup-separator"/>
    <w:basedOn w:val="DefaultParagraphFont"/>
    <w:rsid w:val="00086069"/>
  </w:style>
  <w:style w:type="character" w:customStyle="1" w:styleId="comma">
    <w:name w:val="comma"/>
    <w:basedOn w:val="DefaultParagraphFont"/>
    <w:rsid w:val="00086069"/>
  </w:style>
  <w:style w:type="character" w:customStyle="1" w:styleId="identifier">
    <w:name w:val="identifier"/>
    <w:basedOn w:val="DefaultParagraphFont"/>
    <w:rsid w:val="00086069"/>
  </w:style>
  <w:style w:type="character" w:customStyle="1" w:styleId="wi-fullname">
    <w:name w:val="wi-fullname"/>
    <w:basedOn w:val="DefaultParagraphFont"/>
    <w:rsid w:val="00493060"/>
  </w:style>
  <w:style w:type="character" w:customStyle="1" w:styleId="sri-label">
    <w:name w:val="sri-label"/>
    <w:basedOn w:val="DefaultParagraphFont"/>
    <w:rsid w:val="00493060"/>
  </w:style>
  <w:style w:type="character" w:customStyle="1" w:styleId="citation-doi-label">
    <w:name w:val="citation-doi-label"/>
    <w:basedOn w:val="DefaultParagraphFont"/>
    <w:rsid w:val="00493060"/>
  </w:style>
  <w:style w:type="character" w:customStyle="1" w:styleId="sri-date-label">
    <w:name w:val="sri-date-label"/>
    <w:basedOn w:val="DefaultParagraphFont"/>
    <w:rsid w:val="00493060"/>
  </w:style>
  <w:style w:type="character" w:customStyle="1" w:styleId="ahead-of-print">
    <w:name w:val="ahead-of-print"/>
    <w:basedOn w:val="DefaultParagraphFont"/>
    <w:rsid w:val="00E97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340587">
      <w:bodyDiv w:val="1"/>
      <w:marLeft w:val="0"/>
      <w:marRight w:val="0"/>
      <w:marTop w:val="0"/>
      <w:marBottom w:val="0"/>
      <w:divBdr>
        <w:top w:val="none" w:sz="0" w:space="0" w:color="auto"/>
        <w:left w:val="none" w:sz="0" w:space="0" w:color="auto"/>
        <w:bottom w:val="none" w:sz="0" w:space="0" w:color="auto"/>
        <w:right w:val="none" w:sz="0" w:space="0" w:color="auto"/>
      </w:divBdr>
    </w:div>
    <w:div w:id="75519184">
      <w:bodyDiv w:val="1"/>
      <w:marLeft w:val="0"/>
      <w:marRight w:val="0"/>
      <w:marTop w:val="0"/>
      <w:marBottom w:val="0"/>
      <w:divBdr>
        <w:top w:val="none" w:sz="0" w:space="0" w:color="auto"/>
        <w:left w:val="none" w:sz="0" w:space="0" w:color="auto"/>
        <w:bottom w:val="none" w:sz="0" w:space="0" w:color="auto"/>
        <w:right w:val="none" w:sz="0" w:space="0" w:color="auto"/>
      </w:divBdr>
      <w:divsChild>
        <w:div w:id="628634908">
          <w:marLeft w:val="0"/>
          <w:marRight w:val="0"/>
          <w:marTop w:val="0"/>
          <w:marBottom w:val="0"/>
          <w:divBdr>
            <w:top w:val="none" w:sz="0" w:space="0" w:color="auto"/>
            <w:left w:val="none" w:sz="0" w:space="0" w:color="auto"/>
            <w:bottom w:val="none" w:sz="0" w:space="0" w:color="auto"/>
            <w:right w:val="none" w:sz="0" w:space="0" w:color="auto"/>
          </w:divBdr>
          <w:divsChild>
            <w:div w:id="805272295">
              <w:marLeft w:val="0"/>
              <w:marRight w:val="0"/>
              <w:marTop w:val="0"/>
              <w:marBottom w:val="0"/>
              <w:divBdr>
                <w:top w:val="none" w:sz="0" w:space="0" w:color="auto"/>
                <w:left w:val="none" w:sz="0" w:space="0" w:color="auto"/>
                <w:bottom w:val="none" w:sz="0" w:space="0" w:color="auto"/>
                <w:right w:val="none" w:sz="0" w:space="0" w:color="auto"/>
              </w:divBdr>
            </w:div>
          </w:divsChild>
        </w:div>
        <w:div w:id="988753099">
          <w:marLeft w:val="0"/>
          <w:marRight w:val="0"/>
          <w:marTop w:val="0"/>
          <w:marBottom w:val="0"/>
          <w:divBdr>
            <w:top w:val="none" w:sz="0" w:space="0" w:color="auto"/>
            <w:left w:val="none" w:sz="0" w:space="0" w:color="auto"/>
            <w:bottom w:val="none" w:sz="0" w:space="0" w:color="auto"/>
            <w:right w:val="none" w:sz="0" w:space="0" w:color="auto"/>
          </w:divBdr>
          <w:divsChild>
            <w:div w:id="1150708792">
              <w:marLeft w:val="0"/>
              <w:marRight w:val="0"/>
              <w:marTop w:val="0"/>
              <w:marBottom w:val="0"/>
              <w:divBdr>
                <w:top w:val="none" w:sz="0" w:space="0" w:color="auto"/>
                <w:left w:val="none" w:sz="0" w:space="0" w:color="auto"/>
                <w:bottom w:val="none" w:sz="0" w:space="0" w:color="auto"/>
                <w:right w:val="none" w:sz="0" w:space="0" w:color="auto"/>
              </w:divBdr>
              <w:divsChild>
                <w:div w:id="394739625">
                  <w:marLeft w:val="0"/>
                  <w:marRight w:val="0"/>
                  <w:marTop w:val="0"/>
                  <w:marBottom w:val="0"/>
                  <w:divBdr>
                    <w:top w:val="none" w:sz="0" w:space="0" w:color="auto"/>
                    <w:left w:val="none" w:sz="0" w:space="0" w:color="auto"/>
                    <w:bottom w:val="none" w:sz="0" w:space="0" w:color="auto"/>
                    <w:right w:val="none" w:sz="0" w:space="0" w:color="auto"/>
                  </w:divBdr>
                </w:div>
                <w:div w:id="491725912">
                  <w:marLeft w:val="0"/>
                  <w:marRight w:val="0"/>
                  <w:marTop w:val="0"/>
                  <w:marBottom w:val="0"/>
                  <w:divBdr>
                    <w:top w:val="none" w:sz="0" w:space="0" w:color="auto"/>
                    <w:left w:val="none" w:sz="0" w:space="0" w:color="auto"/>
                    <w:bottom w:val="none" w:sz="0" w:space="0" w:color="auto"/>
                    <w:right w:val="none" w:sz="0" w:space="0" w:color="auto"/>
                  </w:divBdr>
                </w:div>
                <w:div w:id="529731482">
                  <w:marLeft w:val="0"/>
                  <w:marRight w:val="0"/>
                  <w:marTop w:val="0"/>
                  <w:marBottom w:val="0"/>
                  <w:divBdr>
                    <w:top w:val="none" w:sz="0" w:space="0" w:color="auto"/>
                    <w:left w:val="none" w:sz="0" w:space="0" w:color="auto"/>
                    <w:bottom w:val="none" w:sz="0" w:space="0" w:color="auto"/>
                    <w:right w:val="none" w:sz="0" w:space="0" w:color="auto"/>
                  </w:divBdr>
                  <w:divsChild>
                    <w:div w:id="1568803471">
                      <w:marLeft w:val="0"/>
                      <w:marRight w:val="0"/>
                      <w:marTop w:val="0"/>
                      <w:marBottom w:val="0"/>
                      <w:divBdr>
                        <w:top w:val="none" w:sz="0" w:space="0" w:color="auto"/>
                        <w:left w:val="none" w:sz="0" w:space="0" w:color="auto"/>
                        <w:bottom w:val="none" w:sz="0" w:space="0" w:color="auto"/>
                        <w:right w:val="none" w:sz="0" w:space="0" w:color="auto"/>
                      </w:divBdr>
                    </w:div>
                  </w:divsChild>
                </w:div>
                <w:div w:id="926231200">
                  <w:marLeft w:val="0"/>
                  <w:marRight w:val="0"/>
                  <w:marTop w:val="0"/>
                  <w:marBottom w:val="0"/>
                  <w:divBdr>
                    <w:top w:val="none" w:sz="0" w:space="0" w:color="auto"/>
                    <w:left w:val="none" w:sz="0" w:space="0" w:color="auto"/>
                    <w:bottom w:val="none" w:sz="0" w:space="0" w:color="auto"/>
                    <w:right w:val="none" w:sz="0" w:space="0" w:color="auto"/>
                  </w:divBdr>
                </w:div>
                <w:div w:id="1661348725">
                  <w:marLeft w:val="0"/>
                  <w:marRight w:val="0"/>
                  <w:marTop w:val="0"/>
                  <w:marBottom w:val="0"/>
                  <w:divBdr>
                    <w:top w:val="none" w:sz="0" w:space="0" w:color="auto"/>
                    <w:left w:val="none" w:sz="0" w:space="0" w:color="auto"/>
                    <w:bottom w:val="none" w:sz="0" w:space="0" w:color="auto"/>
                    <w:right w:val="none" w:sz="0" w:space="0" w:color="auto"/>
                  </w:divBdr>
                </w:div>
                <w:div w:id="209049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15995">
      <w:bodyDiv w:val="1"/>
      <w:marLeft w:val="0"/>
      <w:marRight w:val="0"/>
      <w:marTop w:val="0"/>
      <w:marBottom w:val="0"/>
      <w:divBdr>
        <w:top w:val="none" w:sz="0" w:space="0" w:color="auto"/>
        <w:left w:val="none" w:sz="0" w:space="0" w:color="auto"/>
        <w:bottom w:val="none" w:sz="0" w:space="0" w:color="auto"/>
        <w:right w:val="none" w:sz="0" w:space="0" w:color="auto"/>
      </w:divBdr>
    </w:div>
    <w:div w:id="306470474">
      <w:bodyDiv w:val="1"/>
      <w:marLeft w:val="0"/>
      <w:marRight w:val="0"/>
      <w:marTop w:val="0"/>
      <w:marBottom w:val="0"/>
      <w:divBdr>
        <w:top w:val="none" w:sz="0" w:space="0" w:color="auto"/>
        <w:left w:val="none" w:sz="0" w:space="0" w:color="auto"/>
        <w:bottom w:val="none" w:sz="0" w:space="0" w:color="auto"/>
        <w:right w:val="none" w:sz="0" w:space="0" w:color="auto"/>
      </w:divBdr>
      <w:divsChild>
        <w:div w:id="540216950">
          <w:marLeft w:val="0"/>
          <w:marRight w:val="0"/>
          <w:marTop w:val="0"/>
          <w:marBottom w:val="0"/>
          <w:divBdr>
            <w:top w:val="none" w:sz="0" w:space="0" w:color="auto"/>
            <w:left w:val="none" w:sz="0" w:space="0" w:color="auto"/>
            <w:bottom w:val="none" w:sz="0" w:space="0" w:color="auto"/>
            <w:right w:val="none" w:sz="0" w:space="0" w:color="auto"/>
          </w:divBdr>
        </w:div>
        <w:div w:id="1535462121">
          <w:marLeft w:val="0"/>
          <w:marRight w:val="0"/>
          <w:marTop w:val="0"/>
          <w:marBottom w:val="0"/>
          <w:divBdr>
            <w:top w:val="none" w:sz="0" w:space="0" w:color="auto"/>
            <w:left w:val="none" w:sz="0" w:space="0" w:color="auto"/>
            <w:bottom w:val="none" w:sz="0" w:space="0" w:color="auto"/>
            <w:right w:val="none" w:sz="0" w:space="0" w:color="auto"/>
          </w:divBdr>
          <w:divsChild>
            <w:div w:id="2110856923">
              <w:marLeft w:val="0"/>
              <w:marRight w:val="0"/>
              <w:marTop w:val="0"/>
              <w:marBottom w:val="0"/>
              <w:divBdr>
                <w:top w:val="none" w:sz="0" w:space="0" w:color="auto"/>
                <w:left w:val="none" w:sz="0" w:space="0" w:color="auto"/>
                <w:bottom w:val="none" w:sz="0" w:space="0" w:color="auto"/>
                <w:right w:val="none" w:sz="0" w:space="0" w:color="auto"/>
              </w:divBdr>
              <w:divsChild>
                <w:div w:id="212692112">
                  <w:marLeft w:val="0"/>
                  <w:marRight w:val="0"/>
                  <w:marTop w:val="0"/>
                  <w:marBottom w:val="0"/>
                  <w:divBdr>
                    <w:top w:val="none" w:sz="0" w:space="0" w:color="auto"/>
                    <w:left w:val="none" w:sz="0" w:space="0" w:color="auto"/>
                    <w:bottom w:val="none" w:sz="0" w:space="0" w:color="auto"/>
                    <w:right w:val="none" w:sz="0" w:space="0" w:color="auto"/>
                  </w:divBdr>
                  <w:divsChild>
                    <w:div w:id="8232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041">
          <w:marLeft w:val="0"/>
          <w:marRight w:val="0"/>
          <w:marTop w:val="0"/>
          <w:marBottom w:val="0"/>
          <w:divBdr>
            <w:top w:val="none" w:sz="0" w:space="0" w:color="auto"/>
            <w:left w:val="none" w:sz="0" w:space="0" w:color="auto"/>
            <w:bottom w:val="none" w:sz="0" w:space="0" w:color="auto"/>
            <w:right w:val="none" w:sz="0" w:space="0" w:color="auto"/>
          </w:divBdr>
          <w:divsChild>
            <w:div w:id="173302193">
              <w:marLeft w:val="0"/>
              <w:marRight w:val="0"/>
              <w:marTop w:val="0"/>
              <w:marBottom w:val="0"/>
              <w:divBdr>
                <w:top w:val="none" w:sz="0" w:space="0" w:color="auto"/>
                <w:left w:val="none" w:sz="0" w:space="0" w:color="auto"/>
                <w:bottom w:val="none" w:sz="0" w:space="0" w:color="auto"/>
                <w:right w:val="none" w:sz="0" w:space="0" w:color="auto"/>
              </w:divBdr>
              <w:divsChild>
                <w:div w:id="16389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42784">
      <w:bodyDiv w:val="1"/>
      <w:marLeft w:val="0"/>
      <w:marRight w:val="0"/>
      <w:marTop w:val="0"/>
      <w:marBottom w:val="0"/>
      <w:divBdr>
        <w:top w:val="none" w:sz="0" w:space="0" w:color="auto"/>
        <w:left w:val="none" w:sz="0" w:space="0" w:color="auto"/>
        <w:bottom w:val="none" w:sz="0" w:space="0" w:color="auto"/>
        <w:right w:val="none" w:sz="0" w:space="0" w:color="auto"/>
      </w:divBdr>
    </w:div>
    <w:div w:id="347222316">
      <w:bodyDiv w:val="1"/>
      <w:marLeft w:val="0"/>
      <w:marRight w:val="0"/>
      <w:marTop w:val="0"/>
      <w:marBottom w:val="0"/>
      <w:divBdr>
        <w:top w:val="none" w:sz="0" w:space="0" w:color="auto"/>
        <w:left w:val="none" w:sz="0" w:space="0" w:color="auto"/>
        <w:bottom w:val="none" w:sz="0" w:space="0" w:color="auto"/>
        <w:right w:val="none" w:sz="0" w:space="0" w:color="auto"/>
      </w:divBdr>
    </w:div>
    <w:div w:id="396976356">
      <w:bodyDiv w:val="1"/>
      <w:marLeft w:val="0"/>
      <w:marRight w:val="0"/>
      <w:marTop w:val="0"/>
      <w:marBottom w:val="0"/>
      <w:divBdr>
        <w:top w:val="none" w:sz="0" w:space="0" w:color="auto"/>
        <w:left w:val="none" w:sz="0" w:space="0" w:color="auto"/>
        <w:bottom w:val="none" w:sz="0" w:space="0" w:color="auto"/>
        <w:right w:val="none" w:sz="0" w:space="0" w:color="auto"/>
      </w:divBdr>
    </w:div>
    <w:div w:id="431558881">
      <w:bodyDiv w:val="1"/>
      <w:marLeft w:val="0"/>
      <w:marRight w:val="0"/>
      <w:marTop w:val="0"/>
      <w:marBottom w:val="0"/>
      <w:divBdr>
        <w:top w:val="none" w:sz="0" w:space="0" w:color="auto"/>
        <w:left w:val="none" w:sz="0" w:space="0" w:color="auto"/>
        <w:bottom w:val="none" w:sz="0" w:space="0" w:color="auto"/>
        <w:right w:val="none" w:sz="0" w:space="0" w:color="auto"/>
      </w:divBdr>
      <w:divsChild>
        <w:div w:id="115805439">
          <w:marLeft w:val="0"/>
          <w:marRight w:val="0"/>
          <w:marTop w:val="0"/>
          <w:marBottom w:val="0"/>
          <w:divBdr>
            <w:top w:val="none" w:sz="0" w:space="0" w:color="auto"/>
            <w:left w:val="none" w:sz="0" w:space="0" w:color="auto"/>
            <w:bottom w:val="none" w:sz="0" w:space="0" w:color="auto"/>
            <w:right w:val="none" w:sz="0" w:space="0" w:color="auto"/>
          </w:divBdr>
        </w:div>
        <w:div w:id="313679352">
          <w:marLeft w:val="0"/>
          <w:marRight w:val="0"/>
          <w:marTop w:val="0"/>
          <w:marBottom w:val="0"/>
          <w:divBdr>
            <w:top w:val="none" w:sz="0" w:space="0" w:color="auto"/>
            <w:left w:val="none" w:sz="0" w:space="0" w:color="auto"/>
            <w:bottom w:val="none" w:sz="0" w:space="0" w:color="auto"/>
            <w:right w:val="none" w:sz="0" w:space="0" w:color="auto"/>
          </w:divBdr>
        </w:div>
        <w:div w:id="505637043">
          <w:marLeft w:val="0"/>
          <w:marRight w:val="0"/>
          <w:marTop w:val="0"/>
          <w:marBottom w:val="0"/>
          <w:divBdr>
            <w:top w:val="none" w:sz="0" w:space="0" w:color="auto"/>
            <w:left w:val="none" w:sz="0" w:space="0" w:color="auto"/>
            <w:bottom w:val="none" w:sz="0" w:space="0" w:color="auto"/>
            <w:right w:val="none" w:sz="0" w:space="0" w:color="auto"/>
          </w:divBdr>
          <w:divsChild>
            <w:div w:id="780808069">
              <w:marLeft w:val="0"/>
              <w:marRight w:val="0"/>
              <w:marTop w:val="0"/>
              <w:marBottom w:val="0"/>
              <w:divBdr>
                <w:top w:val="none" w:sz="0" w:space="0" w:color="auto"/>
                <w:left w:val="none" w:sz="0" w:space="0" w:color="auto"/>
                <w:bottom w:val="none" w:sz="0" w:space="0" w:color="auto"/>
                <w:right w:val="none" w:sz="0" w:space="0" w:color="auto"/>
              </w:divBdr>
            </w:div>
          </w:divsChild>
        </w:div>
        <w:div w:id="771321891">
          <w:marLeft w:val="0"/>
          <w:marRight w:val="0"/>
          <w:marTop w:val="0"/>
          <w:marBottom w:val="0"/>
          <w:divBdr>
            <w:top w:val="none" w:sz="0" w:space="0" w:color="auto"/>
            <w:left w:val="none" w:sz="0" w:space="0" w:color="auto"/>
            <w:bottom w:val="none" w:sz="0" w:space="0" w:color="auto"/>
            <w:right w:val="none" w:sz="0" w:space="0" w:color="auto"/>
          </w:divBdr>
        </w:div>
        <w:div w:id="884829466">
          <w:marLeft w:val="0"/>
          <w:marRight w:val="0"/>
          <w:marTop w:val="0"/>
          <w:marBottom w:val="0"/>
          <w:divBdr>
            <w:top w:val="none" w:sz="0" w:space="0" w:color="auto"/>
            <w:left w:val="none" w:sz="0" w:space="0" w:color="auto"/>
            <w:bottom w:val="none" w:sz="0" w:space="0" w:color="auto"/>
            <w:right w:val="none" w:sz="0" w:space="0" w:color="auto"/>
          </w:divBdr>
        </w:div>
        <w:div w:id="1242133369">
          <w:marLeft w:val="0"/>
          <w:marRight w:val="0"/>
          <w:marTop w:val="0"/>
          <w:marBottom w:val="0"/>
          <w:divBdr>
            <w:top w:val="none" w:sz="0" w:space="0" w:color="auto"/>
            <w:left w:val="none" w:sz="0" w:space="0" w:color="auto"/>
            <w:bottom w:val="none" w:sz="0" w:space="0" w:color="auto"/>
            <w:right w:val="none" w:sz="0" w:space="0" w:color="auto"/>
          </w:divBdr>
        </w:div>
      </w:divsChild>
    </w:div>
    <w:div w:id="511574291">
      <w:bodyDiv w:val="1"/>
      <w:marLeft w:val="0"/>
      <w:marRight w:val="0"/>
      <w:marTop w:val="0"/>
      <w:marBottom w:val="0"/>
      <w:divBdr>
        <w:top w:val="none" w:sz="0" w:space="0" w:color="auto"/>
        <w:left w:val="none" w:sz="0" w:space="0" w:color="auto"/>
        <w:bottom w:val="none" w:sz="0" w:space="0" w:color="auto"/>
        <w:right w:val="none" w:sz="0" w:space="0" w:color="auto"/>
      </w:divBdr>
      <w:divsChild>
        <w:div w:id="840238214">
          <w:marLeft w:val="0"/>
          <w:marRight w:val="0"/>
          <w:marTop w:val="0"/>
          <w:marBottom w:val="0"/>
          <w:divBdr>
            <w:top w:val="none" w:sz="0" w:space="0" w:color="auto"/>
            <w:left w:val="none" w:sz="0" w:space="0" w:color="auto"/>
            <w:bottom w:val="none" w:sz="0" w:space="0" w:color="auto"/>
            <w:right w:val="none" w:sz="0" w:space="0" w:color="auto"/>
          </w:divBdr>
          <w:divsChild>
            <w:div w:id="1370497845">
              <w:marLeft w:val="0"/>
              <w:marRight w:val="0"/>
              <w:marTop w:val="0"/>
              <w:marBottom w:val="0"/>
              <w:divBdr>
                <w:top w:val="none" w:sz="0" w:space="0" w:color="auto"/>
                <w:left w:val="none" w:sz="0" w:space="0" w:color="auto"/>
                <w:bottom w:val="none" w:sz="0" w:space="0" w:color="auto"/>
                <w:right w:val="none" w:sz="0" w:space="0" w:color="auto"/>
              </w:divBdr>
              <w:divsChild>
                <w:div w:id="150097076">
                  <w:marLeft w:val="0"/>
                  <w:marRight w:val="0"/>
                  <w:marTop w:val="0"/>
                  <w:marBottom w:val="0"/>
                  <w:divBdr>
                    <w:top w:val="none" w:sz="0" w:space="0" w:color="auto"/>
                    <w:left w:val="none" w:sz="0" w:space="0" w:color="auto"/>
                    <w:bottom w:val="none" w:sz="0" w:space="0" w:color="auto"/>
                    <w:right w:val="none" w:sz="0" w:space="0" w:color="auto"/>
                  </w:divBdr>
                </w:div>
                <w:div w:id="374626840">
                  <w:marLeft w:val="0"/>
                  <w:marRight w:val="0"/>
                  <w:marTop w:val="0"/>
                  <w:marBottom w:val="0"/>
                  <w:divBdr>
                    <w:top w:val="none" w:sz="0" w:space="0" w:color="auto"/>
                    <w:left w:val="none" w:sz="0" w:space="0" w:color="auto"/>
                    <w:bottom w:val="none" w:sz="0" w:space="0" w:color="auto"/>
                    <w:right w:val="none" w:sz="0" w:space="0" w:color="auto"/>
                  </w:divBdr>
                </w:div>
                <w:div w:id="608700725">
                  <w:marLeft w:val="0"/>
                  <w:marRight w:val="0"/>
                  <w:marTop w:val="0"/>
                  <w:marBottom w:val="0"/>
                  <w:divBdr>
                    <w:top w:val="none" w:sz="0" w:space="0" w:color="auto"/>
                    <w:left w:val="none" w:sz="0" w:space="0" w:color="auto"/>
                    <w:bottom w:val="none" w:sz="0" w:space="0" w:color="auto"/>
                    <w:right w:val="none" w:sz="0" w:space="0" w:color="auto"/>
                  </w:divBdr>
                </w:div>
                <w:div w:id="1137794075">
                  <w:marLeft w:val="0"/>
                  <w:marRight w:val="0"/>
                  <w:marTop w:val="0"/>
                  <w:marBottom w:val="0"/>
                  <w:divBdr>
                    <w:top w:val="none" w:sz="0" w:space="0" w:color="auto"/>
                    <w:left w:val="none" w:sz="0" w:space="0" w:color="auto"/>
                    <w:bottom w:val="none" w:sz="0" w:space="0" w:color="auto"/>
                    <w:right w:val="none" w:sz="0" w:space="0" w:color="auto"/>
                  </w:divBdr>
                </w:div>
                <w:div w:id="1780490173">
                  <w:marLeft w:val="0"/>
                  <w:marRight w:val="0"/>
                  <w:marTop w:val="0"/>
                  <w:marBottom w:val="0"/>
                  <w:divBdr>
                    <w:top w:val="none" w:sz="0" w:space="0" w:color="auto"/>
                    <w:left w:val="none" w:sz="0" w:space="0" w:color="auto"/>
                    <w:bottom w:val="none" w:sz="0" w:space="0" w:color="auto"/>
                    <w:right w:val="none" w:sz="0" w:space="0" w:color="auto"/>
                  </w:divBdr>
                  <w:divsChild>
                    <w:div w:id="269430720">
                      <w:marLeft w:val="0"/>
                      <w:marRight w:val="0"/>
                      <w:marTop w:val="0"/>
                      <w:marBottom w:val="0"/>
                      <w:divBdr>
                        <w:top w:val="none" w:sz="0" w:space="0" w:color="auto"/>
                        <w:left w:val="none" w:sz="0" w:space="0" w:color="auto"/>
                        <w:bottom w:val="none" w:sz="0" w:space="0" w:color="auto"/>
                        <w:right w:val="none" w:sz="0" w:space="0" w:color="auto"/>
                      </w:divBdr>
                    </w:div>
                  </w:divsChild>
                </w:div>
                <w:div w:id="187834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58489">
          <w:marLeft w:val="0"/>
          <w:marRight w:val="0"/>
          <w:marTop w:val="0"/>
          <w:marBottom w:val="0"/>
          <w:divBdr>
            <w:top w:val="none" w:sz="0" w:space="0" w:color="auto"/>
            <w:left w:val="none" w:sz="0" w:space="0" w:color="auto"/>
            <w:bottom w:val="none" w:sz="0" w:space="0" w:color="auto"/>
            <w:right w:val="none" w:sz="0" w:space="0" w:color="auto"/>
          </w:divBdr>
          <w:divsChild>
            <w:div w:id="86849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9338">
      <w:bodyDiv w:val="1"/>
      <w:marLeft w:val="0"/>
      <w:marRight w:val="0"/>
      <w:marTop w:val="0"/>
      <w:marBottom w:val="0"/>
      <w:divBdr>
        <w:top w:val="none" w:sz="0" w:space="0" w:color="auto"/>
        <w:left w:val="none" w:sz="0" w:space="0" w:color="auto"/>
        <w:bottom w:val="none" w:sz="0" w:space="0" w:color="auto"/>
        <w:right w:val="none" w:sz="0" w:space="0" w:color="auto"/>
      </w:divBdr>
      <w:divsChild>
        <w:div w:id="456148331">
          <w:marLeft w:val="0"/>
          <w:marRight w:val="0"/>
          <w:marTop w:val="0"/>
          <w:marBottom w:val="0"/>
          <w:divBdr>
            <w:top w:val="none" w:sz="0" w:space="0" w:color="auto"/>
            <w:left w:val="none" w:sz="0" w:space="0" w:color="auto"/>
            <w:bottom w:val="none" w:sz="0" w:space="0" w:color="auto"/>
            <w:right w:val="none" w:sz="0" w:space="0" w:color="auto"/>
          </w:divBdr>
        </w:div>
        <w:div w:id="648292754">
          <w:marLeft w:val="0"/>
          <w:marRight w:val="0"/>
          <w:marTop w:val="0"/>
          <w:marBottom w:val="0"/>
          <w:divBdr>
            <w:top w:val="none" w:sz="0" w:space="0" w:color="auto"/>
            <w:left w:val="none" w:sz="0" w:space="0" w:color="auto"/>
            <w:bottom w:val="none" w:sz="0" w:space="0" w:color="auto"/>
            <w:right w:val="none" w:sz="0" w:space="0" w:color="auto"/>
          </w:divBdr>
        </w:div>
        <w:div w:id="1454979790">
          <w:marLeft w:val="0"/>
          <w:marRight w:val="0"/>
          <w:marTop w:val="0"/>
          <w:marBottom w:val="0"/>
          <w:divBdr>
            <w:top w:val="none" w:sz="0" w:space="0" w:color="auto"/>
            <w:left w:val="none" w:sz="0" w:space="0" w:color="auto"/>
            <w:bottom w:val="none" w:sz="0" w:space="0" w:color="auto"/>
            <w:right w:val="none" w:sz="0" w:space="0" w:color="auto"/>
          </w:divBdr>
        </w:div>
        <w:div w:id="1515994232">
          <w:marLeft w:val="0"/>
          <w:marRight w:val="0"/>
          <w:marTop w:val="0"/>
          <w:marBottom w:val="0"/>
          <w:divBdr>
            <w:top w:val="none" w:sz="0" w:space="0" w:color="auto"/>
            <w:left w:val="none" w:sz="0" w:space="0" w:color="auto"/>
            <w:bottom w:val="none" w:sz="0" w:space="0" w:color="auto"/>
            <w:right w:val="none" w:sz="0" w:space="0" w:color="auto"/>
          </w:divBdr>
          <w:divsChild>
            <w:div w:id="1002439119">
              <w:marLeft w:val="0"/>
              <w:marRight w:val="0"/>
              <w:marTop w:val="0"/>
              <w:marBottom w:val="0"/>
              <w:divBdr>
                <w:top w:val="none" w:sz="0" w:space="0" w:color="auto"/>
                <w:left w:val="none" w:sz="0" w:space="0" w:color="auto"/>
                <w:bottom w:val="none" w:sz="0" w:space="0" w:color="auto"/>
                <w:right w:val="none" w:sz="0" w:space="0" w:color="auto"/>
              </w:divBdr>
            </w:div>
          </w:divsChild>
        </w:div>
        <w:div w:id="1731227830">
          <w:marLeft w:val="0"/>
          <w:marRight w:val="0"/>
          <w:marTop w:val="0"/>
          <w:marBottom w:val="0"/>
          <w:divBdr>
            <w:top w:val="none" w:sz="0" w:space="0" w:color="auto"/>
            <w:left w:val="none" w:sz="0" w:space="0" w:color="auto"/>
            <w:bottom w:val="none" w:sz="0" w:space="0" w:color="auto"/>
            <w:right w:val="none" w:sz="0" w:space="0" w:color="auto"/>
          </w:divBdr>
        </w:div>
        <w:div w:id="1760636416">
          <w:marLeft w:val="0"/>
          <w:marRight w:val="0"/>
          <w:marTop w:val="0"/>
          <w:marBottom w:val="0"/>
          <w:divBdr>
            <w:top w:val="none" w:sz="0" w:space="0" w:color="auto"/>
            <w:left w:val="none" w:sz="0" w:space="0" w:color="auto"/>
            <w:bottom w:val="none" w:sz="0" w:space="0" w:color="auto"/>
            <w:right w:val="none" w:sz="0" w:space="0" w:color="auto"/>
          </w:divBdr>
        </w:div>
      </w:divsChild>
    </w:div>
    <w:div w:id="862208125">
      <w:bodyDiv w:val="1"/>
      <w:marLeft w:val="0"/>
      <w:marRight w:val="0"/>
      <w:marTop w:val="0"/>
      <w:marBottom w:val="0"/>
      <w:divBdr>
        <w:top w:val="none" w:sz="0" w:space="0" w:color="auto"/>
        <w:left w:val="none" w:sz="0" w:space="0" w:color="auto"/>
        <w:bottom w:val="none" w:sz="0" w:space="0" w:color="auto"/>
        <w:right w:val="none" w:sz="0" w:space="0" w:color="auto"/>
      </w:divBdr>
    </w:div>
    <w:div w:id="982660445">
      <w:bodyDiv w:val="1"/>
      <w:marLeft w:val="0"/>
      <w:marRight w:val="0"/>
      <w:marTop w:val="0"/>
      <w:marBottom w:val="0"/>
      <w:divBdr>
        <w:top w:val="none" w:sz="0" w:space="0" w:color="auto"/>
        <w:left w:val="none" w:sz="0" w:space="0" w:color="auto"/>
        <w:bottom w:val="none" w:sz="0" w:space="0" w:color="auto"/>
        <w:right w:val="none" w:sz="0" w:space="0" w:color="auto"/>
      </w:divBdr>
    </w:div>
    <w:div w:id="1009403293">
      <w:bodyDiv w:val="1"/>
      <w:marLeft w:val="0"/>
      <w:marRight w:val="0"/>
      <w:marTop w:val="0"/>
      <w:marBottom w:val="0"/>
      <w:divBdr>
        <w:top w:val="none" w:sz="0" w:space="0" w:color="auto"/>
        <w:left w:val="none" w:sz="0" w:space="0" w:color="auto"/>
        <w:bottom w:val="none" w:sz="0" w:space="0" w:color="auto"/>
        <w:right w:val="none" w:sz="0" w:space="0" w:color="auto"/>
      </w:divBdr>
    </w:div>
    <w:div w:id="1135878865">
      <w:bodyDiv w:val="1"/>
      <w:marLeft w:val="0"/>
      <w:marRight w:val="0"/>
      <w:marTop w:val="0"/>
      <w:marBottom w:val="0"/>
      <w:divBdr>
        <w:top w:val="none" w:sz="0" w:space="0" w:color="auto"/>
        <w:left w:val="none" w:sz="0" w:space="0" w:color="auto"/>
        <w:bottom w:val="none" w:sz="0" w:space="0" w:color="auto"/>
        <w:right w:val="none" w:sz="0" w:space="0" w:color="auto"/>
      </w:divBdr>
      <w:divsChild>
        <w:div w:id="1023674849">
          <w:marLeft w:val="0"/>
          <w:marRight w:val="0"/>
          <w:marTop w:val="0"/>
          <w:marBottom w:val="0"/>
          <w:divBdr>
            <w:top w:val="none" w:sz="0" w:space="0" w:color="auto"/>
            <w:left w:val="none" w:sz="0" w:space="0" w:color="auto"/>
            <w:bottom w:val="none" w:sz="0" w:space="0" w:color="auto"/>
            <w:right w:val="none" w:sz="0" w:space="0" w:color="auto"/>
          </w:divBdr>
          <w:divsChild>
            <w:div w:id="850799384">
              <w:marLeft w:val="0"/>
              <w:marRight w:val="0"/>
              <w:marTop w:val="0"/>
              <w:marBottom w:val="0"/>
              <w:divBdr>
                <w:top w:val="none" w:sz="0" w:space="0" w:color="auto"/>
                <w:left w:val="none" w:sz="0" w:space="0" w:color="auto"/>
                <w:bottom w:val="none" w:sz="0" w:space="0" w:color="auto"/>
                <w:right w:val="none" w:sz="0" w:space="0" w:color="auto"/>
              </w:divBdr>
              <w:divsChild>
                <w:div w:id="2088375529">
                  <w:marLeft w:val="0"/>
                  <w:marRight w:val="0"/>
                  <w:marTop w:val="0"/>
                  <w:marBottom w:val="0"/>
                  <w:divBdr>
                    <w:top w:val="none" w:sz="0" w:space="0" w:color="auto"/>
                    <w:left w:val="none" w:sz="0" w:space="0" w:color="auto"/>
                    <w:bottom w:val="none" w:sz="0" w:space="0" w:color="auto"/>
                    <w:right w:val="none" w:sz="0" w:space="0" w:color="auto"/>
                  </w:divBdr>
                  <w:divsChild>
                    <w:div w:id="7892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606364">
          <w:marLeft w:val="0"/>
          <w:marRight w:val="0"/>
          <w:marTop w:val="0"/>
          <w:marBottom w:val="0"/>
          <w:divBdr>
            <w:top w:val="none" w:sz="0" w:space="0" w:color="auto"/>
            <w:left w:val="none" w:sz="0" w:space="0" w:color="auto"/>
            <w:bottom w:val="none" w:sz="0" w:space="0" w:color="auto"/>
            <w:right w:val="none" w:sz="0" w:space="0" w:color="auto"/>
          </w:divBdr>
        </w:div>
        <w:div w:id="2049180217">
          <w:marLeft w:val="0"/>
          <w:marRight w:val="0"/>
          <w:marTop w:val="0"/>
          <w:marBottom w:val="0"/>
          <w:divBdr>
            <w:top w:val="none" w:sz="0" w:space="0" w:color="auto"/>
            <w:left w:val="none" w:sz="0" w:space="0" w:color="auto"/>
            <w:bottom w:val="none" w:sz="0" w:space="0" w:color="auto"/>
            <w:right w:val="none" w:sz="0" w:space="0" w:color="auto"/>
          </w:divBdr>
          <w:divsChild>
            <w:div w:id="1265916090">
              <w:marLeft w:val="0"/>
              <w:marRight w:val="0"/>
              <w:marTop w:val="0"/>
              <w:marBottom w:val="0"/>
              <w:divBdr>
                <w:top w:val="none" w:sz="0" w:space="0" w:color="auto"/>
                <w:left w:val="none" w:sz="0" w:space="0" w:color="auto"/>
                <w:bottom w:val="none" w:sz="0" w:space="0" w:color="auto"/>
                <w:right w:val="none" w:sz="0" w:space="0" w:color="auto"/>
              </w:divBdr>
              <w:divsChild>
                <w:div w:id="35685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02494">
      <w:bodyDiv w:val="1"/>
      <w:marLeft w:val="0"/>
      <w:marRight w:val="0"/>
      <w:marTop w:val="0"/>
      <w:marBottom w:val="0"/>
      <w:divBdr>
        <w:top w:val="none" w:sz="0" w:space="0" w:color="auto"/>
        <w:left w:val="none" w:sz="0" w:space="0" w:color="auto"/>
        <w:bottom w:val="none" w:sz="0" w:space="0" w:color="auto"/>
        <w:right w:val="none" w:sz="0" w:space="0" w:color="auto"/>
      </w:divBdr>
    </w:div>
    <w:div w:id="1158880215">
      <w:bodyDiv w:val="1"/>
      <w:marLeft w:val="0"/>
      <w:marRight w:val="0"/>
      <w:marTop w:val="0"/>
      <w:marBottom w:val="0"/>
      <w:divBdr>
        <w:top w:val="none" w:sz="0" w:space="0" w:color="auto"/>
        <w:left w:val="none" w:sz="0" w:space="0" w:color="auto"/>
        <w:bottom w:val="none" w:sz="0" w:space="0" w:color="auto"/>
        <w:right w:val="none" w:sz="0" w:space="0" w:color="auto"/>
      </w:divBdr>
    </w:div>
    <w:div w:id="1234119780">
      <w:bodyDiv w:val="1"/>
      <w:marLeft w:val="0"/>
      <w:marRight w:val="0"/>
      <w:marTop w:val="0"/>
      <w:marBottom w:val="0"/>
      <w:divBdr>
        <w:top w:val="none" w:sz="0" w:space="0" w:color="auto"/>
        <w:left w:val="none" w:sz="0" w:space="0" w:color="auto"/>
        <w:bottom w:val="none" w:sz="0" w:space="0" w:color="auto"/>
        <w:right w:val="none" w:sz="0" w:space="0" w:color="auto"/>
      </w:divBdr>
    </w:div>
    <w:div w:id="1324817443">
      <w:bodyDiv w:val="1"/>
      <w:marLeft w:val="0"/>
      <w:marRight w:val="0"/>
      <w:marTop w:val="0"/>
      <w:marBottom w:val="0"/>
      <w:divBdr>
        <w:top w:val="none" w:sz="0" w:space="0" w:color="auto"/>
        <w:left w:val="none" w:sz="0" w:space="0" w:color="auto"/>
        <w:bottom w:val="none" w:sz="0" w:space="0" w:color="auto"/>
        <w:right w:val="none" w:sz="0" w:space="0" w:color="auto"/>
      </w:divBdr>
    </w:div>
    <w:div w:id="1377581468">
      <w:bodyDiv w:val="1"/>
      <w:marLeft w:val="0"/>
      <w:marRight w:val="0"/>
      <w:marTop w:val="0"/>
      <w:marBottom w:val="0"/>
      <w:divBdr>
        <w:top w:val="none" w:sz="0" w:space="0" w:color="auto"/>
        <w:left w:val="none" w:sz="0" w:space="0" w:color="auto"/>
        <w:bottom w:val="none" w:sz="0" w:space="0" w:color="auto"/>
        <w:right w:val="none" w:sz="0" w:space="0" w:color="auto"/>
      </w:divBdr>
    </w:div>
    <w:div w:id="1405491421">
      <w:bodyDiv w:val="1"/>
      <w:marLeft w:val="0"/>
      <w:marRight w:val="0"/>
      <w:marTop w:val="0"/>
      <w:marBottom w:val="0"/>
      <w:divBdr>
        <w:top w:val="none" w:sz="0" w:space="0" w:color="auto"/>
        <w:left w:val="none" w:sz="0" w:space="0" w:color="auto"/>
        <w:bottom w:val="none" w:sz="0" w:space="0" w:color="auto"/>
        <w:right w:val="none" w:sz="0" w:space="0" w:color="auto"/>
      </w:divBdr>
    </w:div>
    <w:div w:id="1431119035">
      <w:bodyDiv w:val="1"/>
      <w:marLeft w:val="0"/>
      <w:marRight w:val="0"/>
      <w:marTop w:val="0"/>
      <w:marBottom w:val="0"/>
      <w:divBdr>
        <w:top w:val="none" w:sz="0" w:space="0" w:color="auto"/>
        <w:left w:val="none" w:sz="0" w:space="0" w:color="auto"/>
        <w:bottom w:val="none" w:sz="0" w:space="0" w:color="auto"/>
        <w:right w:val="none" w:sz="0" w:space="0" w:color="auto"/>
      </w:divBdr>
    </w:div>
    <w:div w:id="1432629234">
      <w:bodyDiv w:val="1"/>
      <w:marLeft w:val="0"/>
      <w:marRight w:val="0"/>
      <w:marTop w:val="0"/>
      <w:marBottom w:val="0"/>
      <w:divBdr>
        <w:top w:val="none" w:sz="0" w:space="0" w:color="auto"/>
        <w:left w:val="none" w:sz="0" w:space="0" w:color="auto"/>
        <w:bottom w:val="none" w:sz="0" w:space="0" w:color="auto"/>
        <w:right w:val="none" w:sz="0" w:space="0" w:color="auto"/>
      </w:divBdr>
    </w:div>
    <w:div w:id="1492256796">
      <w:bodyDiv w:val="1"/>
      <w:marLeft w:val="0"/>
      <w:marRight w:val="0"/>
      <w:marTop w:val="0"/>
      <w:marBottom w:val="0"/>
      <w:divBdr>
        <w:top w:val="none" w:sz="0" w:space="0" w:color="auto"/>
        <w:left w:val="none" w:sz="0" w:space="0" w:color="auto"/>
        <w:bottom w:val="none" w:sz="0" w:space="0" w:color="auto"/>
        <w:right w:val="none" w:sz="0" w:space="0" w:color="auto"/>
      </w:divBdr>
      <w:divsChild>
        <w:div w:id="1324235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1368435">
              <w:marLeft w:val="0"/>
              <w:marRight w:val="0"/>
              <w:marTop w:val="0"/>
              <w:marBottom w:val="0"/>
              <w:divBdr>
                <w:top w:val="none" w:sz="0" w:space="0" w:color="auto"/>
                <w:left w:val="none" w:sz="0" w:space="0" w:color="auto"/>
                <w:bottom w:val="none" w:sz="0" w:space="0" w:color="auto"/>
                <w:right w:val="none" w:sz="0" w:space="0" w:color="auto"/>
              </w:divBdr>
              <w:divsChild>
                <w:div w:id="572548241">
                  <w:marLeft w:val="0"/>
                  <w:marRight w:val="0"/>
                  <w:marTop w:val="0"/>
                  <w:marBottom w:val="0"/>
                  <w:divBdr>
                    <w:top w:val="none" w:sz="0" w:space="0" w:color="auto"/>
                    <w:left w:val="none" w:sz="0" w:space="0" w:color="auto"/>
                    <w:bottom w:val="none" w:sz="0" w:space="0" w:color="auto"/>
                    <w:right w:val="none" w:sz="0" w:space="0" w:color="auto"/>
                  </w:divBdr>
                  <w:divsChild>
                    <w:div w:id="627123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7884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102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780612">
      <w:bodyDiv w:val="1"/>
      <w:marLeft w:val="0"/>
      <w:marRight w:val="0"/>
      <w:marTop w:val="0"/>
      <w:marBottom w:val="0"/>
      <w:divBdr>
        <w:top w:val="none" w:sz="0" w:space="0" w:color="auto"/>
        <w:left w:val="none" w:sz="0" w:space="0" w:color="auto"/>
        <w:bottom w:val="none" w:sz="0" w:space="0" w:color="auto"/>
        <w:right w:val="none" w:sz="0" w:space="0" w:color="auto"/>
      </w:divBdr>
    </w:div>
    <w:div w:id="1675766757">
      <w:bodyDiv w:val="1"/>
      <w:marLeft w:val="0"/>
      <w:marRight w:val="0"/>
      <w:marTop w:val="0"/>
      <w:marBottom w:val="0"/>
      <w:divBdr>
        <w:top w:val="none" w:sz="0" w:space="0" w:color="auto"/>
        <w:left w:val="none" w:sz="0" w:space="0" w:color="auto"/>
        <w:bottom w:val="none" w:sz="0" w:space="0" w:color="auto"/>
        <w:right w:val="none" w:sz="0" w:space="0" w:color="auto"/>
      </w:divBdr>
    </w:div>
    <w:div w:id="1789082428">
      <w:bodyDiv w:val="1"/>
      <w:marLeft w:val="0"/>
      <w:marRight w:val="0"/>
      <w:marTop w:val="0"/>
      <w:marBottom w:val="0"/>
      <w:divBdr>
        <w:top w:val="none" w:sz="0" w:space="0" w:color="auto"/>
        <w:left w:val="none" w:sz="0" w:space="0" w:color="auto"/>
        <w:bottom w:val="none" w:sz="0" w:space="0" w:color="auto"/>
        <w:right w:val="none" w:sz="0" w:space="0" w:color="auto"/>
      </w:divBdr>
    </w:div>
    <w:div w:id="2027629515">
      <w:bodyDiv w:val="1"/>
      <w:marLeft w:val="0"/>
      <w:marRight w:val="0"/>
      <w:marTop w:val="0"/>
      <w:marBottom w:val="0"/>
      <w:divBdr>
        <w:top w:val="none" w:sz="0" w:space="0" w:color="auto"/>
        <w:left w:val="none" w:sz="0" w:space="0" w:color="auto"/>
        <w:bottom w:val="none" w:sz="0" w:space="0" w:color="auto"/>
        <w:right w:val="none" w:sz="0" w:space="0" w:color="auto"/>
      </w:divBdr>
    </w:div>
    <w:div w:id="2045010777">
      <w:bodyDiv w:val="1"/>
      <w:marLeft w:val="0"/>
      <w:marRight w:val="0"/>
      <w:marTop w:val="0"/>
      <w:marBottom w:val="0"/>
      <w:divBdr>
        <w:top w:val="none" w:sz="0" w:space="0" w:color="auto"/>
        <w:left w:val="none" w:sz="0" w:space="0" w:color="auto"/>
        <w:bottom w:val="none" w:sz="0" w:space="0" w:color="auto"/>
        <w:right w:val="none" w:sz="0" w:space="0" w:color="auto"/>
      </w:divBdr>
    </w:div>
    <w:div w:id="2054846501">
      <w:bodyDiv w:val="1"/>
      <w:marLeft w:val="0"/>
      <w:marRight w:val="0"/>
      <w:marTop w:val="0"/>
      <w:marBottom w:val="0"/>
      <w:divBdr>
        <w:top w:val="none" w:sz="0" w:space="0" w:color="auto"/>
        <w:left w:val="none" w:sz="0" w:space="0" w:color="auto"/>
        <w:bottom w:val="none" w:sz="0" w:space="0" w:color="auto"/>
        <w:right w:val="none" w:sz="0" w:space="0" w:color="auto"/>
      </w:divBdr>
    </w:div>
    <w:div w:id="2103605165">
      <w:bodyDiv w:val="1"/>
      <w:marLeft w:val="0"/>
      <w:marRight w:val="0"/>
      <w:marTop w:val="0"/>
      <w:marBottom w:val="0"/>
      <w:divBdr>
        <w:top w:val="none" w:sz="0" w:space="0" w:color="auto"/>
        <w:left w:val="none" w:sz="0" w:space="0" w:color="auto"/>
        <w:bottom w:val="none" w:sz="0" w:space="0" w:color="auto"/>
        <w:right w:val="none" w:sz="0" w:space="0" w:color="auto"/>
      </w:divBdr>
      <w:divsChild>
        <w:div w:id="8996462">
          <w:marLeft w:val="0"/>
          <w:marRight w:val="0"/>
          <w:marTop w:val="0"/>
          <w:marBottom w:val="0"/>
          <w:divBdr>
            <w:top w:val="none" w:sz="0" w:space="0" w:color="auto"/>
            <w:left w:val="none" w:sz="0" w:space="0" w:color="auto"/>
            <w:bottom w:val="none" w:sz="0" w:space="0" w:color="auto"/>
            <w:right w:val="none" w:sz="0" w:space="0" w:color="auto"/>
          </w:divBdr>
          <w:divsChild>
            <w:div w:id="1931619227">
              <w:marLeft w:val="0"/>
              <w:marRight w:val="0"/>
              <w:marTop w:val="0"/>
              <w:marBottom w:val="0"/>
              <w:divBdr>
                <w:top w:val="none" w:sz="0" w:space="0" w:color="auto"/>
                <w:left w:val="none" w:sz="0" w:space="0" w:color="auto"/>
                <w:bottom w:val="none" w:sz="0" w:space="0" w:color="auto"/>
                <w:right w:val="none" w:sz="0" w:space="0" w:color="auto"/>
              </w:divBdr>
            </w:div>
          </w:divsChild>
        </w:div>
        <w:div w:id="1501121981">
          <w:marLeft w:val="0"/>
          <w:marRight w:val="0"/>
          <w:marTop w:val="0"/>
          <w:marBottom w:val="0"/>
          <w:divBdr>
            <w:top w:val="none" w:sz="0" w:space="0" w:color="auto"/>
            <w:left w:val="none" w:sz="0" w:space="0" w:color="auto"/>
            <w:bottom w:val="none" w:sz="0" w:space="0" w:color="auto"/>
            <w:right w:val="none" w:sz="0" w:space="0" w:color="auto"/>
          </w:divBdr>
          <w:divsChild>
            <w:div w:id="666328843">
              <w:marLeft w:val="0"/>
              <w:marRight w:val="0"/>
              <w:marTop w:val="0"/>
              <w:marBottom w:val="0"/>
              <w:divBdr>
                <w:top w:val="none" w:sz="0" w:space="0" w:color="auto"/>
                <w:left w:val="none" w:sz="0" w:space="0" w:color="auto"/>
                <w:bottom w:val="none" w:sz="0" w:space="0" w:color="auto"/>
                <w:right w:val="none" w:sz="0" w:space="0" w:color="auto"/>
              </w:divBdr>
              <w:divsChild>
                <w:div w:id="137697184">
                  <w:marLeft w:val="0"/>
                  <w:marRight w:val="0"/>
                  <w:marTop w:val="0"/>
                  <w:marBottom w:val="0"/>
                  <w:divBdr>
                    <w:top w:val="none" w:sz="0" w:space="0" w:color="auto"/>
                    <w:left w:val="none" w:sz="0" w:space="0" w:color="auto"/>
                    <w:bottom w:val="none" w:sz="0" w:space="0" w:color="auto"/>
                    <w:right w:val="none" w:sz="0" w:space="0" w:color="auto"/>
                  </w:divBdr>
                </w:div>
                <w:div w:id="1425805457">
                  <w:marLeft w:val="0"/>
                  <w:marRight w:val="0"/>
                  <w:marTop w:val="0"/>
                  <w:marBottom w:val="0"/>
                  <w:divBdr>
                    <w:top w:val="none" w:sz="0" w:space="0" w:color="auto"/>
                    <w:left w:val="none" w:sz="0" w:space="0" w:color="auto"/>
                    <w:bottom w:val="none" w:sz="0" w:space="0" w:color="auto"/>
                    <w:right w:val="none" w:sz="0" w:space="0" w:color="auto"/>
                  </w:divBdr>
                </w:div>
                <w:div w:id="1675374572">
                  <w:marLeft w:val="0"/>
                  <w:marRight w:val="0"/>
                  <w:marTop w:val="0"/>
                  <w:marBottom w:val="0"/>
                  <w:divBdr>
                    <w:top w:val="none" w:sz="0" w:space="0" w:color="auto"/>
                    <w:left w:val="none" w:sz="0" w:space="0" w:color="auto"/>
                    <w:bottom w:val="none" w:sz="0" w:space="0" w:color="auto"/>
                    <w:right w:val="none" w:sz="0" w:space="0" w:color="auto"/>
                  </w:divBdr>
                  <w:divsChild>
                    <w:div w:id="296961605">
                      <w:marLeft w:val="0"/>
                      <w:marRight w:val="0"/>
                      <w:marTop w:val="0"/>
                      <w:marBottom w:val="0"/>
                      <w:divBdr>
                        <w:top w:val="none" w:sz="0" w:space="0" w:color="auto"/>
                        <w:left w:val="none" w:sz="0" w:space="0" w:color="auto"/>
                        <w:bottom w:val="none" w:sz="0" w:space="0" w:color="auto"/>
                        <w:right w:val="none" w:sz="0" w:space="0" w:color="auto"/>
                      </w:divBdr>
                    </w:div>
                  </w:divsChild>
                </w:div>
                <w:div w:id="1852602756">
                  <w:marLeft w:val="0"/>
                  <w:marRight w:val="0"/>
                  <w:marTop w:val="0"/>
                  <w:marBottom w:val="0"/>
                  <w:divBdr>
                    <w:top w:val="none" w:sz="0" w:space="0" w:color="auto"/>
                    <w:left w:val="none" w:sz="0" w:space="0" w:color="auto"/>
                    <w:bottom w:val="none" w:sz="0" w:space="0" w:color="auto"/>
                    <w:right w:val="none" w:sz="0" w:space="0" w:color="auto"/>
                  </w:divBdr>
                </w:div>
                <w:div w:id="1925990943">
                  <w:marLeft w:val="0"/>
                  <w:marRight w:val="0"/>
                  <w:marTop w:val="0"/>
                  <w:marBottom w:val="0"/>
                  <w:divBdr>
                    <w:top w:val="none" w:sz="0" w:space="0" w:color="auto"/>
                    <w:left w:val="none" w:sz="0" w:space="0" w:color="auto"/>
                    <w:bottom w:val="none" w:sz="0" w:space="0" w:color="auto"/>
                    <w:right w:val="none" w:sz="0" w:space="0" w:color="auto"/>
                  </w:divBdr>
                </w:div>
                <w:div w:id="1960332423">
                  <w:marLeft w:val="0"/>
                  <w:marRight w:val="0"/>
                  <w:marTop w:val="0"/>
                  <w:marBottom w:val="0"/>
                  <w:divBdr>
                    <w:top w:val="none" w:sz="0" w:space="0" w:color="auto"/>
                    <w:left w:val="none" w:sz="0" w:space="0" w:color="auto"/>
                    <w:bottom w:val="none" w:sz="0" w:space="0" w:color="auto"/>
                    <w:right w:val="none" w:sz="0" w:space="0" w:color="auto"/>
                  </w:divBdr>
                </w:div>
                <w:div w:id="20458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fontTable" Target="fontTable.xml"/><Relationship Id="R30d5d34df9dd46c1" Type="http://schemas.microsoft.com/office/2019/09/relationships/intelligence" Target="intelligenc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e4ad2b6-a47a-4a39-bc4f-c5f302f0c1cd">
      <UserInfo>
        <DisplayName>Helen Parker</DisplayName>
        <AccountId>15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02E2CE46ACBA040A60D745EA16B7FF7" ma:contentTypeVersion="11" ma:contentTypeDescription="Create a new document." ma:contentTypeScope="" ma:versionID="20ce09aef2a05881b9ac046e34e73d68">
  <xsd:schema xmlns:xsd="http://www.w3.org/2001/XMLSchema" xmlns:xs="http://www.w3.org/2001/XMLSchema" xmlns:p="http://schemas.microsoft.com/office/2006/metadata/properties" xmlns:ns2="139da16a-24f3-46fb-837c-ee66a8f9e546" xmlns:ns3="be4ad2b6-a47a-4a39-bc4f-c5f302f0c1cd" targetNamespace="http://schemas.microsoft.com/office/2006/metadata/properties" ma:root="true" ma:fieldsID="fd35e734be8575c0df4d16df6bedff10" ns2:_="" ns3:_="">
    <xsd:import namespace="139da16a-24f3-46fb-837c-ee66a8f9e546"/>
    <xsd:import namespace="be4ad2b6-a47a-4a39-bc4f-c5f302f0c1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da16a-24f3-46fb-837c-ee66a8f9e5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ad2b6-a47a-4a39-bc4f-c5f302f0c1c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7654FB-9BE1-4107-9E6E-FF6695366E2B}">
  <ds:schemaRefs>
    <ds:schemaRef ds:uri="http://schemas.microsoft.com/office/2006/metadata/properties"/>
    <ds:schemaRef ds:uri="http://schemas.microsoft.com/office/infopath/2007/PartnerControls"/>
    <ds:schemaRef ds:uri="be4ad2b6-a47a-4a39-bc4f-c5f302f0c1cd"/>
  </ds:schemaRefs>
</ds:datastoreItem>
</file>

<file path=customXml/itemProps2.xml><?xml version="1.0" encoding="utf-8"?>
<ds:datastoreItem xmlns:ds="http://schemas.openxmlformats.org/officeDocument/2006/customXml" ds:itemID="{8475490A-6667-474A-8BB3-00ECBF09E35A}">
  <ds:schemaRefs>
    <ds:schemaRef ds:uri="http://schemas.openxmlformats.org/officeDocument/2006/bibliography"/>
  </ds:schemaRefs>
</ds:datastoreItem>
</file>

<file path=customXml/itemProps3.xml><?xml version="1.0" encoding="utf-8"?>
<ds:datastoreItem xmlns:ds="http://schemas.openxmlformats.org/officeDocument/2006/customXml" ds:itemID="{1F2D7E09-2E49-435C-ABB2-373AF382F96F}">
  <ds:schemaRefs>
    <ds:schemaRef ds:uri="http://schemas.microsoft.com/sharepoint/v3/contenttype/forms"/>
  </ds:schemaRefs>
</ds:datastoreItem>
</file>

<file path=customXml/itemProps4.xml><?xml version="1.0" encoding="utf-8"?>
<ds:datastoreItem xmlns:ds="http://schemas.openxmlformats.org/officeDocument/2006/customXml" ds:itemID="{F17C4CBA-8AB7-4390-9213-C94FE157D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da16a-24f3-46fb-837c-ee66a8f9e546"/>
    <ds:schemaRef ds:uri="be4ad2b6-a47a-4a39-bc4f-c5f302f0c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168558</Words>
  <Characters>960785</Characters>
  <Application>Microsoft Office Word</Application>
  <DocSecurity>4</DocSecurity>
  <Lines>8006</Lines>
  <Paragraphs>2254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Jaramillo Oquendo</dc:creator>
  <cp:keywords/>
  <dc:description/>
  <cp:lastModifiedBy>Carolyn Wallis</cp:lastModifiedBy>
  <cp:revision>2</cp:revision>
  <dcterms:created xsi:type="dcterms:W3CDTF">2021-05-21T10:37:00Z</dcterms:created>
  <dcterms:modified xsi:type="dcterms:W3CDTF">2021-05-21T10:37:00Z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0x010100902E2CE46ACBA040A60D745EA16B7FF7</vt:lpwstr>
  </property>
  <property fmtid="{D5CDD505-2E9C-101B-9397-08002B2CF9AE}" pid="3" name="Mendeley Document_1">
    <vt:lpwstr>True</vt:lpwstr>
  </property>
  <property fmtid="{D5CDD505-2E9C-101B-9397-08002B2CF9AE}" pid="4" name="Mendeley Unique User Id_1">
    <vt:lpwstr>37f0b82b-2678-34f5-b4fa-de662656a246</vt:lpwstr>
  </property>
  <property fmtid="{D5CDD505-2E9C-101B-9397-08002B2CF9AE}" pid="5" name="Mendeley Citation Style_1">
    <vt:lpwstr>http://www.zotero.org/styles/journal-of-genetics-and-genomics</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http://csl.mendeley.com/styles/500759671/american-medical-association</vt:lpwstr>
  </property>
  <property fmtid="{D5CDD505-2E9C-101B-9397-08002B2CF9AE}" pid="9" name="Mendeley Recent Style Name 1_1">
    <vt:lpwstr>American Medical Association 11th edition - Carolina Jaramillo Oquendo</vt:lpwstr>
  </property>
  <property fmtid="{D5CDD505-2E9C-101B-9397-08002B2CF9AE}" pid="10" name="Mendeley Recent Style Id 2_1">
    <vt:lpwstr>http://www.zotero.org/styles/american-political-science-association</vt:lpwstr>
  </property>
  <property fmtid="{D5CDD505-2E9C-101B-9397-08002B2CF9AE}" pid="11" name="Mendeley Recent Style Name 2_1">
    <vt:lpwstr>American Political Science Association</vt:lpwstr>
  </property>
  <property fmtid="{D5CDD505-2E9C-101B-9397-08002B2CF9AE}" pid="12" name="Mendeley Recent Style Id 3_1">
    <vt:lpwstr>http://www.zotero.org/styles/apa</vt:lpwstr>
  </property>
  <property fmtid="{D5CDD505-2E9C-101B-9397-08002B2CF9AE}" pid="13" name="Mendeley Recent Style Name 3_1">
    <vt:lpwstr>American Psychological Association 7th edition</vt:lpwstr>
  </property>
  <property fmtid="{D5CDD505-2E9C-101B-9397-08002B2CF9AE}" pid="14" name="Mendeley Recent Style Id 4_1">
    <vt:lpwstr>http://www.zotero.org/styles/american-sociological-association</vt:lpwstr>
  </property>
  <property fmtid="{D5CDD505-2E9C-101B-9397-08002B2CF9AE}" pid="15" name="Mendeley Recent Style Name 4_1">
    <vt:lpwstr>American Sociological Association 6th edition</vt:lpwstr>
  </property>
  <property fmtid="{D5CDD505-2E9C-101B-9397-08002B2CF9AE}" pid="16" name="Mendeley Recent Style Id 5_1">
    <vt:lpwstr>http://www.zotero.org/styles/chicago-author-date</vt:lpwstr>
  </property>
  <property fmtid="{D5CDD505-2E9C-101B-9397-08002B2CF9AE}" pid="17" name="Mendeley Recent Style Name 5_1">
    <vt:lpwstr>Chicago Manual of Style 17th edition (author-date)</vt:lpwstr>
  </property>
  <property fmtid="{D5CDD505-2E9C-101B-9397-08002B2CF9AE}" pid="18" name="Mendeley Recent Style Id 6_1">
    <vt:lpwstr>http://www.zotero.org/styles/journal-of-genetics-and-genomics</vt:lpwstr>
  </property>
  <property fmtid="{D5CDD505-2E9C-101B-9397-08002B2CF9AE}" pid="19" name="Mendeley Recent Style Name 6_1">
    <vt:lpwstr>Journal of Genetics and Genomics</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http://csl.mendeley.com/styles/500759671/vancouver</vt:lpwstr>
  </property>
  <property fmtid="{D5CDD505-2E9C-101B-9397-08002B2CF9AE}" pid="25" name="Mendeley Recent Style Name 9_1">
    <vt:lpwstr>Vancouver - Carolina Jaramillo Oquendo</vt:lpwstr>
  </property>
</Properties>
</file>