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47F39" w14:textId="77777777" w:rsidR="00EF7BA3" w:rsidRPr="00AB4A23" w:rsidRDefault="00EF7BA3" w:rsidP="00EF7BA3">
      <w:pPr>
        <w:spacing w:line="480" w:lineRule="auto"/>
        <w:rPr>
          <w:b/>
          <w:sz w:val="28"/>
          <w:szCs w:val="28"/>
        </w:rPr>
      </w:pPr>
      <w:r w:rsidRPr="00AB4A23">
        <w:rPr>
          <w:b/>
          <w:sz w:val="28"/>
          <w:szCs w:val="28"/>
        </w:rPr>
        <w:t>Missing marriage: changing marriage patterns amid social transition in Myanmar</w:t>
      </w:r>
    </w:p>
    <w:p w14:paraId="39C18CF1" w14:textId="77777777" w:rsidR="00EF7BA3" w:rsidRPr="00AB4A23" w:rsidRDefault="00EF7BA3" w:rsidP="00EF7BA3">
      <w:pPr>
        <w:spacing w:line="480" w:lineRule="auto"/>
        <w:jc w:val="center"/>
        <w:rPr>
          <w:b/>
          <w:szCs w:val="28"/>
        </w:rPr>
      </w:pPr>
    </w:p>
    <w:p w14:paraId="5148CE38" w14:textId="25CC4774" w:rsidR="00EF7BA3" w:rsidRPr="00AB4A23" w:rsidRDefault="00EF7BA3" w:rsidP="00EF7BA3">
      <w:pPr>
        <w:pStyle w:val="Authornames"/>
        <w:rPr>
          <w:vertAlign w:val="superscript"/>
        </w:rPr>
      </w:pPr>
      <w:r w:rsidRPr="00AB4A23">
        <w:t xml:space="preserve">Anne </w:t>
      </w:r>
      <w:proofErr w:type="spellStart"/>
      <w:r w:rsidRPr="00AB4A23">
        <w:t>Schuster</w:t>
      </w:r>
      <w:r w:rsidRPr="00AB4A23">
        <w:rPr>
          <w:vertAlign w:val="superscript"/>
        </w:rPr>
        <w:t>a</w:t>
      </w:r>
      <w:proofErr w:type="gramStart"/>
      <w:r w:rsidR="0025541C" w:rsidRPr="00AB4A23">
        <w:rPr>
          <w:vertAlign w:val="superscript"/>
        </w:rPr>
        <w:t>,</w:t>
      </w:r>
      <w:r w:rsidR="009E7CAC" w:rsidRPr="00AB4A23">
        <w:rPr>
          <w:vertAlign w:val="superscript"/>
        </w:rPr>
        <w:t>b</w:t>
      </w:r>
      <w:proofErr w:type="spellEnd"/>
      <w:proofErr w:type="gramEnd"/>
      <w:r w:rsidRPr="00AB4A23">
        <w:t xml:space="preserve">*, Andrew </w:t>
      </w:r>
      <w:proofErr w:type="spellStart"/>
      <w:r w:rsidRPr="00AB4A23">
        <w:t>Hinde</w:t>
      </w:r>
      <w:r w:rsidRPr="00AB4A23">
        <w:rPr>
          <w:vertAlign w:val="superscript"/>
        </w:rPr>
        <w:t>b</w:t>
      </w:r>
      <w:proofErr w:type="spellEnd"/>
      <w:r w:rsidRPr="00AB4A23">
        <w:t xml:space="preserve"> and Sabu S. </w:t>
      </w:r>
      <w:proofErr w:type="spellStart"/>
      <w:r w:rsidRPr="00AB4A23">
        <w:t>Padmadas</w:t>
      </w:r>
      <w:r w:rsidRPr="00AB4A23">
        <w:rPr>
          <w:vertAlign w:val="superscript"/>
        </w:rPr>
        <w:t>a,b</w:t>
      </w:r>
      <w:proofErr w:type="spellEnd"/>
    </w:p>
    <w:p w14:paraId="711C1DEC" w14:textId="77777777" w:rsidR="00EF7BA3" w:rsidRPr="00AB4A23" w:rsidRDefault="00EF7BA3" w:rsidP="00EF7BA3"/>
    <w:p w14:paraId="5EB4CFEF" w14:textId="77777777" w:rsidR="00EF7BA3" w:rsidRPr="00AB4A23" w:rsidRDefault="00EF7BA3" w:rsidP="00EF7BA3">
      <w:pPr>
        <w:pStyle w:val="Affiliation"/>
      </w:pPr>
      <w:proofErr w:type="spellStart"/>
      <w:r w:rsidRPr="00AB4A23">
        <w:rPr>
          <w:vertAlign w:val="superscript"/>
        </w:rPr>
        <w:t>a</w:t>
      </w:r>
      <w:r w:rsidRPr="00AB4A23">
        <w:t>Department</w:t>
      </w:r>
      <w:proofErr w:type="spellEnd"/>
      <w:r w:rsidRPr="00AB4A23">
        <w:t xml:space="preserve"> of Social Statistics and Demography, University of Southampton, SOUTHAMPTON SO17 1BJ, United Kingdom</w:t>
      </w:r>
    </w:p>
    <w:p w14:paraId="5999DE90" w14:textId="77777777" w:rsidR="00EF7BA3" w:rsidRPr="00AB4A23" w:rsidRDefault="00EF7BA3" w:rsidP="00EF7BA3">
      <w:pPr>
        <w:pStyle w:val="Affiliation"/>
      </w:pPr>
      <w:proofErr w:type="spellStart"/>
      <w:r w:rsidRPr="00AB4A23">
        <w:rPr>
          <w:vertAlign w:val="superscript"/>
        </w:rPr>
        <w:t>b</w:t>
      </w:r>
      <w:r w:rsidRPr="00AB4A23">
        <w:t>Southampton</w:t>
      </w:r>
      <w:proofErr w:type="spellEnd"/>
      <w:r w:rsidRPr="00AB4A23">
        <w:t xml:space="preserve"> Statistical Sciences Research Institute, University of Southampton, SOUTHAMPTON SO17 1BJ, United Kingdom</w:t>
      </w:r>
    </w:p>
    <w:p w14:paraId="7EFC12E0" w14:textId="77777777" w:rsidR="00EF7BA3" w:rsidRPr="00AB4A23" w:rsidRDefault="00EF7BA3" w:rsidP="00EF7BA3">
      <w:pPr>
        <w:spacing w:line="480" w:lineRule="auto"/>
        <w:contextualSpacing/>
        <w:rPr>
          <w:b/>
          <w:bCs/>
        </w:rPr>
      </w:pPr>
    </w:p>
    <w:p w14:paraId="276D100A" w14:textId="77777777" w:rsidR="00EF7BA3" w:rsidRPr="00AB4A23" w:rsidRDefault="00EF7BA3" w:rsidP="00EF7BA3">
      <w:pPr>
        <w:spacing w:line="480" w:lineRule="auto"/>
        <w:contextualSpacing/>
        <w:rPr>
          <w:b/>
          <w:bCs/>
        </w:rPr>
      </w:pPr>
      <w:r w:rsidRPr="00AB4A23">
        <w:rPr>
          <w:b/>
          <w:bCs/>
        </w:rPr>
        <w:t>*Corresponding author:</w:t>
      </w:r>
    </w:p>
    <w:p w14:paraId="1E0D226E" w14:textId="21DF3B17" w:rsidR="00EF7BA3" w:rsidRPr="00AB4A23" w:rsidRDefault="00EF7BA3" w:rsidP="00EF7BA3">
      <w:pPr>
        <w:spacing w:line="480" w:lineRule="auto"/>
        <w:contextualSpacing/>
      </w:pPr>
      <w:r w:rsidRPr="00AB4A23">
        <w:t>Anne Schuster, MPH</w:t>
      </w:r>
      <w:r w:rsidR="002168DF" w:rsidRPr="00AB4A23">
        <w:t>, PhD</w:t>
      </w:r>
    </w:p>
    <w:p w14:paraId="78EEA4C8" w14:textId="77777777" w:rsidR="00EF7BA3" w:rsidRPr="00AB4A23" w:rsidRDefault="00EF7BA3" w:rsidP="00EF7BA3">
      <w:pPr>
        <w:spacing w:line="480" w:lineRule="auto"/>
        <w:contextualSpacing/>
      </w:pPr>
      <w:r w:rsidRPr="00AB4A23">
        <w:t>Department of Social Statistics and Demography</w:t>
      </w:r>
    </w:p>
    <w:p w14:paraId="76349027" w14:textId="77777777" w:rsidR="00EF7BA3" w:rsidRPr="00AB4A23" w:rsidRDefault="00EF7BA3" w:rsidP="00EF7BA3">
      <w:pPr>
        <w:spacing w:line="480" w:lineRule="auto"/>
        <w:contextualSpacing/>
      </w:pPr>
      <w:r w:rsidRPr="00AB4A23">
        <w:t>University of Southampton</w:t>
      </w:r>
    </w:p>
    <w:p w14:paraId="598B1FFA" w14:textId="77777777" w:rsidR="00EF7BA3" w:rsidRPr="00AB4A23" w:rsidRDefault="00EF7BA3" w:rsidP="00EF7BA3">
      <w:pPr>
        <w:spacing w:line="480" w:lineRule="auto"/>
        <w:contextualSpacing/>
      </w:pPr>
      <w:r w:rsidRPr="00AB4A23">
        <w:t>SOUTHAMPTON SO17 1BJ</w:t>
      </w:r>
    </w:p>
    <w:p w14:paraId="4956A4BE" w14:textId="77777777" w:rsidR="00EF7BA3" w:rsidRPr="00AB4A23" w:rsidRDefault="00EF7BA3" w:rsidP="00EF7BA3">
      <w:pPr>
        <w:spacing w:line="480" w:lineRule="auto"/>
        <w:contextualSpacing/>
      </w:pPr>
      <w:r w:rsidRPr="00AB4A23">
        <w:t>United Kingdom</w:t>
      </w:r>
    </w:p>
    <w:p w14:paraId="1BFAEE95" w14:textId="77777777" w:rsidR="00EF7BA3" w:rsidRPr="00AB4A23" w:rsidRDefault="00EF7BA3" w:rsidP="00EF7BA3">
      <w:pPr>
        <w:spacing w:line="480" w:lineRule="auto"/>
        <w:contextualSpacing/>
      </w:pPr>
      <w:r w:rsidRPr="00AB4A23">
        <w:t>Tel (direct): +44 7745 929669</w:t>
      </w:r>
    </w:p>
    <w:p w14:paraId="049F90A4" w14:textId="77777777" w:rsidR="00EF7BA3" w:rsidRPr="00AB4A23" w:rsidRDefault="00EF7BA3" w:rsidP="00EF7BA3">
      <w:pPr>
        <w:spacing w:line="480" w:lineRule="auto"/>
        <w:contextualSpacing/>
        <w:rPr>
          <w:spacing w:val="-3"/>
          <w:shd w:val="clear" w:color="auto" w:fill="FFFFFF"/>
        </w:rPr>
      </w:pPr>
      <w:r w:rsidRPr="00AB4A23">
        <w:rPr>
          <w:spacing w:val="-3"/>
          <w:shd w:val="clear" w:color="auto" w:fill="FFFFFF"/>
        </w:rPr>
        <w:t>Email: as13g15@soton.ac.uk</w:t>
      </w:r>
    </w:p>
    <w:p w14:paraId="7809F5F4" w14:textId="77777777" w:rsidR="00EF7BA3" w:rsidRPr="00AB4A23" w:rsidRDefault="00EF7BA3" w:rsidP="00CD5026">
      <w:pPr>
        <w:spacing w:line="480" w:lineRule="auto"/>
        <w:rPr>
          <w:b/>
          <w:sz w:val="28"/>
          <w:szCs w:val="28"/>
        </w:rPr>
        <w:sectPr w:rsidR="00EF7BA3" w:rsidRPr="00AB4A23">
          <w:headerReference w:type="default" r:id="rId8"/>
          <w:footerReference w:type="default" r:id="rId9"/>
          <w:pgSz w:w="11906" w:h="16838"/>
          <w:pgMar w:top="1440" w:right="1440" w:bottom="1440" w:left="1440" w:header="708" w:footer="708" w:gutter="0"/>
          <w:cols w:space="708"/>
          <w:docGrid w:linePitch="360"/>
        </w:sectPr>
      </w:pPr>
    </w:p>
    <w:p w14:paraId="138A47F0" w14:textId="12DB098C" w:rsidR="007A59A8" w:rsidRPr="00AB4A23" w:rsidRDefault="007A59A8" w:rsidP="00CD5026">
      <w:pPr>
        <w:spacing w:line="480" w:lineRule="auto"/>
        <w:rPr>
          <w:b/>
          <w:sz w:val="28"/>
          <w:szCs w:val="28"/>
        </w:rPr>
      </w:pPr>
      <w:r w:rsidRPr="00AB4A23">
        <w:rPr>
          <w:b/>
          <w:sz w:val="28"/>
          <w:szCs w:val="28"/>
        </w:rPr>
        <w:lastRenderedPageBreak/>
        <w:t xml:space="preserve">Missing marriage: changing marriage patterns amid </w:t>
      </w:r>
      <w:r w:rsidR="00CD5026" w:rsidRPr="00AB4A23">
        <w:rPr>
          <w:b/>
          <w:sz w:val="28"/>
          <w:szCs w:val="28"/>
        </w:rPr>
        <w:t>social transition in Myanmar</w:t>
      </w:r>
    </w:p>
    <w:p w14:paraId="343B4566" w14:textId="495351DC" w:rsidR="007A59A8" w:rsidRPr="00AB4A23" w:rsidRDefault="007A59A8" w:rsidP="007A59A8">
      <w:pPr>
        <w:pStyle w:val="Abstract"/>
      </w:pPr>
      <w:r w:rsidRPr="00AB4A23">
        <w:t>Abstract</w:t>
      </w:r>
      <w:r w:rsidR="00CD5026" w:rsidRPr="00AB4A23">
        <w:t xml:space="preserve">: </w:t>
      </w:r>
      <w:r w:rsidR="00D20E6E" w:rsidRPr="00AB4A23">
        <w:t>Across Asia,</w:t>
      </w:r>
      <w:r w:rsidR="00CD5026" w:rsidRPr="00AB4A23">
        <w:t xml:space="preserve"> men and women </w:t>
      </w:r>
      <w:r w:rsidR="00D20E6E" w:rsidRPr="00AB4A23">
        <w:t>increasingly</w:t>
      </w:r>
      <w:r w:rsidR="00CD5026" w:rsidRPr="00AB4A23">
        <w:t xml:space="preserve"> delay or abstain from marriage</w:t>
      </w:r>
      <w:r w:rsidR="00110DC1" w:rsidRPr="00AB4A23">
        <w:t xml:space="preserve">, a change often linked to improvements in </w:t>
      </w:r>
      <w:r w:rsidR="00D20E6E" w:rsidRPr="00AB4A23">
        <w:t xml:space="preserve">female </w:t>
      </w:r>
      <w:r w:rsidR="00110DC1" w:rsidRPr="00AB4A23">
        <w:t xml:space="preserve">educational attainment and labour force </w:t>
      </w:r>
      <w:r w:rsidR="00B02135" w:rsidRPr="00AB4A23">
        <w:t>participation</w:t>
      </w:r>
      <w:r w:rsidR="00CD5026" w:rsidRPr="00AB4A23">
        <w:t xml:space="preserve">. In Myanmar, less than 90% of women aged 45-49 </w:t>
      </w:r>
      <w:r w:rsidR="005931CB" w:rsidRPr="00AB4A23">
        <w:t xml:space="preserve">years </w:t>
      </w:r>
      <w:r w:rsidR="00CD5026" w:rsidRPr="00AB4A23">
        <w:t xml:space="preserve">during the 2014 census had </w:t>
      </w:r>
      <w:r w:rsidR="00B02135" w:rsidRPr="00AB4A23">
        <w:t>ever</w:t>
      </w:r>
      <w:r w:rsidR="005931CB" w:rsidRPr="00AB4A23">
        <w:t xml:space="preserve"> </w:t>
      </w:r>
      <w:r w:rsidR="00CD5026" w:rsidRPr="00AB4A23">
        <w:t xml:space="preserve">married, </w:t>
      </w:r>
      <w:r w:rsidR="00D20E6E" w:rsidRPr="00AB4A23">
        <w:t>compared to</w:t>
      </w:r>
      <w:r w:rsidR="00CD5026" w:rsidRPr="00AB4A23">
        <w:t xml:space="preserve"> nearly all men of </w:t>
      </w:r>
      <w:r w:rsidR="00D20E6E" w:rsidRPr="00AB4A23">
        <w:t>a</w:t>
      </w:r>
      <w:r w:rsidR="00CD5026" w:rsidRPr="00AB4A23">
        <w:t xml:space="preserve"> </w:t>
      </w:r>
      <w:r w:rsidR="00D20E6E" w:rsidRPr="00AB4A23">
        <w:t>similar</w:t>
      </w:r>
      <w:r w:rsidR="00CD5026" w:rsidRPr="00AB4A23">
        <w:t xml:space="preserve"> age. This paper </w:t>
      </w:r>
      <w:r w:rsidR="00DD4540" w:rsidRPr="00AB4A23">
        <w:t xml:space="preserve">investigates the </w:t>
      </w:r>
      <w:r w:rsidR="00CD5026" w:rsidRPr="00AB4A23">
        <w:t xml:space="preserve">difference </w:t>
      </w:r>
      <w:r w:rsidR="00DD4540" w:rsidRPr="00AB4A23">
        <w:t xml:space="preserve">in marriage patterns </w:t>
      </w:r>
      <w:r w:rsidR="00CD5026" w:rsidRPr="00AB4A23">
        <w:t>between male</w:t>
      </w:r>
      <w:r w:rsidR="005931CB" w:rsidRPr="00AB4A23">
        <w:t>s</w:t>
      </w:r>
      <w:r w:rsidR="00CD5026" w:rsidRPr="00AB4A23">
        <w:t xml:space="preserve"> and female</w:t>
      </w:r>
      <w:r w:rsidR="005931CB" w:rsidRPr="00AB4A23">
        <w:t>s</w:t>
      </w:r>
      <w:r w:rsidR="00CD5026" w:rsidRPr="00AB4A23">
        <w:t xml:space="preserve"> in Myanmar. Using a Cox proportional hazards model, we </w:t>
      </w:r>
      <w:r w:rsidR="00DD4540" w:rsidRPr="00AB4A23">
        <w:t xml:space="preserve">analyse the </w:t>
      </w:r>
      <w:r w:rsidR="00D20E6E" w:rsidRPr="00AB4A23">
        <w:t>associations between</w:t>
      </w:r>
      <w:r w:rsidR="00CD5026" w:rsidRPr="00AB4A23">
        <w:t xml:space="preserve"> </w:t>
      </w:r>
      <w:r w:rsidR="00DD4540" w:rsidRPr="00AB4A23">
        <w:t>entry into marriage across age cohorts</w:t>
      </w:r>
      <w:r w:rsidR="00345186" w:rsidRPr="00AB4A23">
        <w:t>,</w:t>
      </w:r>
      <w:r w:rsidR="00DD4540" w:rsidRPr="00AB4A23">
        <w:t xml:space="preserve"> and </w:t>
      </w:r>
      <w:r w:rsidR="00CD5026" w:rsidRPr="00AB4A23">
        <w:t xml:space="preserve">male and female educational attainment and workforce participation. </w:t>
      </w:r>
      <w:r w:rsidR="00D20E6E" w:rsidRPr="00AB4A23">
        <w:t>We find that having a high level of education and current</w:t>
      </w:r>
      <w:r w:rsidR="005931CB" w:rsidRPr="00AB4A23">
        <w:t>ly</w:t>
      </w:r>
      <w:r w:rsidR="00D20E6E" w:rsidRPr="00AB4A23">
        <w:t xml:space="preserve"> working negatively affect women’s chances of marrying across all ages. While higher education similarly affects younger men, we find that higher </w:t>
      </w:r>
      <w:r w:rsidR="00345186" w:rsidRPr="00AB4A23">
        <w:t xml:space="preserve">socioeconomic </w:t>
      </w:r>
      <w:r w:rsidR="00D20E6E" w:rsidRPr="00AB4A23">
        <w:t>status substantially improves a man’s likelihood of marriage in later life, suggesting lingering gender stereotypes influencing women</w:t>
      </w:r>
      <w:r w:rsidR="00DD4540" w:rsidRPr="00AB4A23">
        <w:t xml:space="preserve"> to remain single</w:t>
      </w:r>
      <w:r w:rsidR="00D20E6E" w:rsidRPr="00AB4A23">
        <w:t xml:space="preserve"> in the country.</w:t>
      </w:r>
    </w:p>
    <w:p w14:paraId="5ED4220C" w14:textId="77777777" w:rsidR="007A59A8" w:rsidRPr="00AB4A23" w:rsidRDefault="007A59A8" w:rsidP="00467B60">
      <w:pPr>
        <w:pStyle w:val="Authornames"/>
        <w:spacing w:before="0" w:line="480" w:lineRule="auto"/>
      </w:pPr>
    </w:p>
    <w:p w14:paraId="0C239129" w14:textId="77777777" w:rsidR="007A59A8" w:rsidRPr="00AB4A23" w:rsidRDefault="007A59A8" w:rsidP="007A59A8">
      <w:pPr>
        <w:pStyle w:val="Keywords"/>
      </w:pPr>
    </w:p>
    <w:p w14:paraId="014FDA01" w14:textId="1D73FF05" w:rsidR="007A59A8" w:rsidRPr="00AB4A23" w:rsidRDefault="007A59A8" w:rsidP="007A59A8">
      <w:pPr>
        <w:pStyle w:val="Keywords"/>
      </w:pPr>
      <w:r w:rsidRPr="00AB4A23">
        <w:t>Keywords</w:t>
      </w:r>
      <w:r w:rsidR="00D20E6E" w:rsidRPr="00AB4A23">
        <w:t xml:space="preserve">: </w:t>
      </w:r>
      <w:r w:rsidR="0089548D" w:rsidRPr="00AB4A23">
        <w:t xml:space="preserve">Never </w:t>
      </w:r>
      <w:r w:rsidR="0063124F" w:rsidRPr="00AB4A23">
        <w:t>Married</w:t>
      </w:r>
      <w:r w:rsidR="0089548D" w:rsidRPr="00AB4A23">
        <w:t xml:space="preserve">, </w:t>
      </w:r>
      <w:r w:rsidR="00FC0615" w:rsidRPr="00AB4A23">
        <w:t xml:space="preserve">Single, </w:t>
      </w:r>
      <w:r w:rsidR="0089548D" w:rsidRPr="00AB4A23">
        <w:t xml:space="preserve">Myanmar, Female Education, Female Labour </w:t>
      </w:r>
      <w:r w:rsidR="0064463E" w:rsidRPr="00AB4A23">
        <w:t>Force Participation</w:t>
      </w:r>
      <w:r w:rsidR="00552AA7" w:rsidRPr="00AB4A23">
        <w:t>, Census, Cross-sectional Survey</w:t>
      </w:r>
    </w:p>
    <w:p w14:paraId="7B2A6C53" w14:textId="77777777" w:rsidR="007A59A8" w:rsidRPr="00AB4A23" w:rsidRDefault="007A59A8" w:rsidP="00467B60">
      <w:pPr>
        <w:pStyle w:val="Authornames"/>
        <w:spacing w:before="0" w:line="480" w:lineRule="auto"/>
      </w:pPr>
    </w:p>
    <w:p w14:paraId="55920833" w14:textId="02D65664" w:rsidR="00045B3C" w:rsidRPr="00AB4A23" w:rsidRDefault="00B123CD" w:rsidP="0AA2609C">
      <w:pPr>
        <w:pStyle w:val="Authornames"/>
        <w:spacing w:before="0" w:line="480" w:lineRule="auto"/>
        <w:rPr>
          <w:b/>
          <w:bCs/>
          <w:sz w:val="24"/>
        </w:rPr>
      </w:pPr>
      <w:r w:rsidRPr="00AB4A23">
        <w:br w:type="page"/>
      </w:r>
      <w:r w:rsidRPr="00AB4A23">
        <w:rPr>
          <w:b/>
          <w:bCs/>
          <w:sz w:val="24"/>
        </w:rPr>
        <w:lastRenderedPageBreak/>
        <w:t>Introduction</w:t>
      </w:r>
    </w:p>
    <w:p w14:paraId="73BCFD63" w14:textId="77777777" w:rsidR="001C4EC7" w:rsidRPr="00AB4A23" w:rsidRDefault="001C4EC7" w:rsidP="0AA2609C">
      <w:pPr>
        <w:spacing w:line="480" w:lineRule="auto"/>
      </w:pPr>
    </w:p>
    <w:p w14:paraId="0B5BF1DC" w14:textId="69C992C1" w:rsidR="00EF16C4" w:rsidRPr="00AB4A23" w:rsidRDefault="00EF16C4" w:rsidP="0AA2609C">
      <w:pPr>
        <w:spacing w:line="480" w:lineRule="auto"/>
      </w:pPr>
      <w:r w:rsidRPr="00AB4A23">
        <w:t xml:space="preserve">Since establishing its current </w:t>
      </w:r>
      <w:r w:rsidR="00B35763" w:rsidRPr="00AB4A23">
        <w:t xml:space="preserve">geographical </w:t>
      </w:r>
      <w:r w:rsidRPr="00AB4A23">
        <w:t xml:space="preserve">borders in the early 1940s, the population of Myanmar has nearly tripled. </w:t>
      </w:r>
      <w:r w:rsidR="00B35763" w:rsidRPr="00AB4A23">
        <w:t xml:space="preserve">Historical data </w:t>
      </w:r>
      <w:r w:rsidRPr="00AB4A23">
        <w:t>suggest that population growth</w:t>
      </w:r>
      <w:r w:rsidR="00B35763" w:rsidRPr="00AB4A23">
        <w:t xml:space="preserve"> in Myanmar</w:t>
      </w:r>
      <w:r w:rsidRPr="00AB4A23">
        <w:t xml:space="preserve"> </w:t>
      </w:r>
      <w:r w:rsidR="00B35763" w:rsidRPr="00AB4A23">
        <w:t xml:space="preserve">first </w:t>
      </w:r>
      <w:r w:rsidRPr="00AB4A23">
        <w:t>gained momentum following independence</w:t>
      </w:r>
      <w:r w:rsidR="00B35763" w:rsidRPr="00AB4A23">
        <w:t xml:space="preserve"> and then</w:t>
      </w:r>
      <w:r w:rsidRPr="00AB4A23">
        <w:t xml:space="preserve"> </w:t>
      </w:r>
      <w:r w:rsidR="00B35763" w:rsidRPr="00AB4A23">
        <w:t xml:space="preserve">began </w:t>
      </w:r>
      <w:r w:rsidRPr="00AB4A23">
        <w:t>to stabilize</w:t>
      </w:r>
      <w:r w:rsidR="00B35763" w:rsidRPr="00AB4A23">
        <w:t xml:space="preserve"> in recent period</w:t>
      </w:r>
      <w:r w:rsidR="00E03412" w:rsidRPr="00AB4A23">
        <w:t>s</w:t>
      </w:r>
      <w:r w:rsidRPr="00AB4A23">
        <w:t xml:space="preserve">, reaching a population of just over 50 million in 2014. Although the population increased by more than 80% between the 1983 and 2014 censuses, population growth has been slower than projected by the government </w:t>
      </w:r>
      <w:r w:rsidR="00B35763" w:rsidRPr="00AB4A23">
        <w:t xml:space="preserve">agencies </w:t>
      </w:r>
      <w:r w:rsidRPr="00AB4A23">
        <w:t>and researchers</w:t>
      </w:r>
      <w:r w:rsidR="00F760CF" w:rsidRPr="00AB4A23">
        <w:t xml:space="preserve"> </w:t>
      </w:r>
      <w:r w:rsidR="0035203F" w:rsidRPr="00AB4A23">
        <w:t>(</w:t>
      </w:r>
      <w:proofErr w:type="spellStart"/>
      <w:r w:rsidR="0035203F" w:rsidRPr="00AB4A23">
        <w:t>Myint</w:t>
      </w:r>
      <w:proofErr w:type="spellEnd"/>
      <w:r w:rsidR="0035203F" w:rsidRPr="00AB4A23">
        <w:t>, 1991; Tint, 1991</w:t>
      </w:r>
      <w:r w:rsidR="00F760CF" w:rsidRPr="00AB4A23">
        <w:t xml:space="preserve">; </w:t>
      </w:r>
      <w:proofErr w:type="spellStart"/>
      <w:r w:rsidR="0035203F" w:rsidRPr="00AB4A23">
        <w:t>Spoorenberg</w:t>
      </w:r>
      <w:proofErr w:type="spellEnd"/>
      <w:r w:rsidR="0035203F" w:rsidRPr="00AB4A23">
        <w:t>, 2013). </w:t>
      </w:r>
      <w:r w:rsidRPr="00AB4A23">
        <w:t xml:space="preserve">The reasons behind this deceleration of population growth </w:t>
      </w:r>
      <w:r w:rsidR="005931CB" w:rsidRPr="00AB4A23">
        <w:t>are</w:t>
      </w:r>
      <w:r w:rsidRPr="00AB4A23">
        <w:t xml:space="preserve"> a combination of rapidly declining fertility, persistently high mortality rates, and increasing emigration to neighbouring countries. </w:t>
      </w:r>
      <w:r w:rsidR="00220DD7" w:rsidRPr="00AB4A23">
        <w:t>In the course of these demographic changes, there has been a noticeable shift in marriage</w:t>
      </w:r>
      <w:r w:rsidR="005931CB" w:rsidRPr="00AB4A23">
        <w:t xml:space="preserve"> patterns</w:t>
      </w:r>
      <w:r w:rsidR="00E03412" w:rsidRPr="00AB4A23">
        <w:t>,</w:t>
      </w:r>
      <w:r w:rsidR="00220DD7" w:rsidRPr="00AB4A23">
        <w:t xml:space="preserve"> </w:t>
      </w:r>
      <w:r w:rsidR="00E03412" w:rsidRPr="00AB4A23">
        <w:t xml:space="preserve">with </w:t>
      </w:r>
      <w:r w:rsidR="00220DD7" w:rsidRPr="00AB4A23">
        <w:t xml:space="preserve">an increasing number of women </w:t>
      </w:r>
      <w:r w:rsidR="005931CB" w:rsidRPr="00AB4A23">
        <w:t>have remained</w:t>
      </w:r>
      <w:r w:rsidR="00E03412" w:rsidRPr="00AB4A23">
        <w:t xml:space="preserve"> </w:t>
      </w:r>
      <w:r w:rsidR="00220DD7" w:rsidRPr="00AB4A23">
        <w:t xml:space="preserve">unmarried throughout their reproductive lives. </w:t>
      </w:r>
    </w:p>
    <w:p w14:paraId="17BBA614" w14:textId="16A2BAC9" w:rsidR="00AC2077" w:rsidRPr="00AB4A23" w:rsidRDefault="00E72FBD" w:rsidP="0AA2609C">
      <w:pPr>
        <w:pStyle w:val="paragraph0"/>
        <w:spacing w:before="0" w:beforeAutospacing="0" w:after="0" w:afterAutospacing="0" w:line="480" w:lineRule="auto"/>
        <w:ind w:firstLine="720"/>
        <w:textAlignment w:val="baseline"/>
      </w:pPr>
      <w:r w:rsidRPr="00AB4A23">
        <w:t>Historically</w:t>
      </w:r>
      <w:r w:rsidR="00AC2077" w:rsidRPr="00AB4A23">
        <w:t xml:space="preserve">, women in Myanmar have held </w:t>
      </w:r>
      <w:r w:rsidR="00DC2464" w:rsidRPr="00AB4A23">
        <w:t xml:space="preserve">greater </w:t>
      </w:r>
      <w:r w:rsidR="00AC2077" w:rsidRPr="00AB4A23">
        <w:t>power in marital decision-making </w:t>
      </w:r>
      <w:r w:rsidR="00DC2464" w:rsidRPr="00AB4A23">
        <w:t xml:space="preserve">than </w:t>
      </w:r>
      <w:r w:rsidR="00E03412" w:rsidRPr="00AB4A23">
        <w:t xml:space="preserve">those </w:t>
      </w:r>
      <w:r w:rsidR="005931CB" w:rsidRPr="00AB4A23">
        <w:t>in</w:t>
      </w:r>
      <w:r w:rsidR="00DC2464" w:rsidRPr="00AB4A23">
        <w:t xml:space="preserve"> neighbouring countries</w:t>
      </w:r>
      <w:r w:rsidR="00E03412" w:rsidRPr="00AB4A23">
        <w:t>.</w:t>
      </w:r>
      <w:r w:rsidR="00DC2464" w:rsidRPr="00AB4A23">
        <w:t xml:space="preserve"> </w:t>
      </w:r>
      <w:r w:rsidR="00E03412" w:rsidRPr="00AB4A23">
        <w:t xml:space="preserve">They </w:t>
      </w:r>
      <w:r w:rsidR="00AC2077" w:rsidRPr="00AB4A23">
        <w:t xml:space="preserve">were less likely to marry in childhood or early adolescence. For example, </w:t>
      </w:r>
      <w:r w:rsidR="00E03412" w:rsidRPr="00AB4A23">
        <w:t xml:space="preserve">data from </w:t>
      </w:r>
      <w:r w:rsidR="00AC2077" w:rsidRPr="00AB4A23">
        <w:t xml:space="preserve">the 1931 Census for Burma </w:t>
      </w:r>
      <w:r w:rsidR="00E03412" w:rsidRPr="00AB4A23">
        <w:t xml:space="preserve">confirm </w:t>
      </w:r>
      <w:r w:rsidR="00AC2077" w:rsidRPr="00AB4A23">
        <w:t xml:space="preserve">that child marriage was effectively non-existent in Burma, but common amongst </w:t>
      </w:r>
      <w:r w:rsidR="00220DD7" w:rsidRPr="00AB4A23">
        <w:t>p</w:t>
      </w:r>
      <w:r w:rsidR="00AC2077" w:rsidRPr="00AB4A23">
        <w:t>opulations</w:t>
      </w:r>
      <w:r w:rsidR="00E75B25" w:rsidRPr="00AB4A23">
        <w:t xml:space="preserve"> in the Indian sub-continent</w:t>
      </w:r>
      <w:r w:rsidR="00AC2077" w:rsidRPr="00AB4A23">
        <w:t xml:space="preserve">. </w:t>
      </w:r>
      <w:r w:rsidR="00E03412" w:rsidRPr="00AB4A23">
        <w:t xml:space="preserve">The same </w:t>
      </w:r>
      <w:r w:rsidR="005931CB" w:rsidRPr="00AB4A23">
        <w:t>c</w:t>
      </w:r>
      <w:r w:rsidR="00AC2077" w:rsidRPr="00AB4A23">
        <w:t xml:space="preserve">ensus </w:t>
      </w:r>
      <w:r w:rsidR="00E03412" w:rsidRPr="00AB4A23">
        <w:t>records show </w:t>
      </w:r>
      <w:r w:rsidR="00AC2077" w:rsidRPr="00AB4A23">
        <w:t xml:space="preserve">that </w:t>
      </w:r>
      <w:r w:rsidR="00E03412" w:rsidRPr="00AB4A23">
        <w:t>among </w:t>
      </w:r>
      <w:r w:rsidR="00AC2077" w:rsidRPr="00AB4A23">
        <w:t xml:space="preserve">14-16 year old females, 84% of Hindus in Bengal, 77% of Hindus in Bihar and Orissa states of India, and nearly 90% of Muslim females in Bengal were </w:t>
      </w:r>
      <w:r w:rsidR="00474318" w:rsidRPr="00AB4A23">
        <w:t>married</w:t>
      </w:r>
      <w:r w:rsidR="00E03412" w:rsidRPr="00AB4A23">
        <w:t xml:space="preserve"> compared </w:t>
      </w:r>
      <w:r w:rsidR="00AC2077" w:rsidRPr="00AB4A23">
        <w:t>to less than 1% of Burmese females in the same age group (Bennison, 1933). </w:t>
      </w:r>
      <w:r w:rsidR="004C7B0D" w:rsidRPr="00AB4A23">
        <w:t>Later marriage has persisted; p</w:t>
      </w:r>
      <w:r w:rsidR="00AC2077" w:rsidRPr="00AB4A23">
        <w:t>opulation surveys and census data</w:t>
      </w:r>
      <w:r w:rsidR="004C7B0D" w:rsidRPr="00AB4A23">
        <w:t xml:space="preserve"> show </w:t>
      </w:r>
      <w:r w:rsidR="00AC2077" w:rsidRPr="00AB4A23">
        <w:t>that the mean age at marriage for women in Myanmar has been above 21 </w:t>
      </w:r>
      <w:r w:rsidR="16FE5FF2" w:rsidRPr="00AB4A23">
        <w:t>years for</w:t>
      </w:r>
      <w:r w:rsidR="00AC2077" w:rsidRPr="00AB4A23">
        <w:t> at least the past </w:t>
      </w:r>
      <w:r w:rsidR="00E03412" w:rsidRPr="00AB4A23">
        <w:t xml:space="preserve">five decades </w:t>
      </w:r>
      <w:r w:rsidR="00AC2077" w:rsidRPr="00AB4A23">
        <w:t>(</w:t>
      </w:r>
      <w:proofErr w:type="spellStart"/>
      <w:r w:rsidR="00AC2077" w:rsidRPr="00AB4A23">
        <w:t>Maung</w:t>
      </w:r>
      <w:proofErr w:type="spellEnd"/>
      <w:r w:rsidR="00AC2077" w:rsidRPr="00AB4A23">
        <w:t>, 1986). </w:t>
      </w:r>
      <w:r w:rsidR="004B18F7" w:rsidRPr="00AB4A23">
        <w:t>However, while marriage is still an expected life event</w:t>
      </w:r>
      <w:r w:rsidR="00E03412" w:rsidRPr="00AB4A23">
        <w:t>,</w:t>
      </w:r>
      <w:r w:rsidR="004B18F7" w:rsidRPr="00AB4A23">
        <w:t xml:space="preserve"> </w:t>
      </w:r>
      <w:r w:rsidR="00C5015A" w:rsidRPr="00AB4A23">
        <w:t>the percent</w:t>
      </w:r>
      <w:r w:rsidR="0060487E" w:rsidRPr="00AB4A23">
        <w:t>age</w:t>
      </w:r>
      <w:r w:rsidR="00C5015A" w:rsidRPr="00AB4A23">
        <w:t xml:space="preserve"> of </w:t>
      </w:r>
      <w:r w:rsidR="003C3F20" w:rsidRPr="00AB4A23">
        <w:t xml:space="preserve">never married </w:t>
      </w:r>
      <w:r w:rsidR="00C5015A" w:rsidRPr="00AB4A23">
        <w:t xml:space="preserve">women aged 45-49 years in Myanmar has doubled </w:t>
      </w:r>
      <w:r w:rsidR="008662BF" w:rsidRPr="00AB4A23">
        <w:t xml:space="preserve">from approximately 6% in 1973 to </w:t>
      </w:r>
      <w:r w:rsidR="00DB406D" w:rsidRPr="00AB4A23">
        <w:t xml:space="preserve">12.8% </w:t>
      </w:r>
      <w:r w:rsidR="008662BF" w:rsidRPr="00AB4A23">
        <w:t>in 2014</w:t>
      </w:r>
      <w:r w:rsidR="00550A3E" w:rsidRPr="00AB4A23">
        <w:t>.</w:t>
      </w:r>
      <w:r w:rsidR="00AC2077" w:rsidRPr="00AB4A23">
        <w:t> </w:t>
      </w:r>
    </w:p>
    <w:p w14:paraId="39F7FDAF" w14:textId="21EC288A" w:rsidR="00EF16C4" w:rsidRPr="00AB4A23" w:rsidRDefault="00FA5FE4" w:rsidP="0AA2609C">
      <w:pPr>
        <w:pStyle w:val="Paragraph"/>
        <w:spacing w:before="0"/>
        <w:ind w:firstLine="720"/>
      </w:pPr>
      <w:r w:rsidRPr="00AB4A23">
        <w:lastRenderedPageBreak/>
        <w:t>This is not unique to Myanmar</w:t>
      </w:r>
      <w:r w:rsidR="00CE0C11" w:rsidRPr="00AB4A23">
        <w:t xml:space="preserve">, </w:t>
      </w:r>
      <w:r w:rsidR="005E3BE5" w:rsidRPr="00AB4A23">
        <w:t xml:space="preserve">as </w:t>
      </w:r>
      <w:r w:rsidR="004B04AD" w:rsidRPr="00AB4A23">
        <w:t xml:space="preserve">other countries in Asia </w:t>
      </w:r>
      <w:r w:rsidR="0060487E" w:rsidRPr="00AB4A23">
        <w:t xml:space="preserve">have </w:t>
      </w:r>
      <w:r w:rsidR="005E3BE5" w:rsidRPr="00AB4A23">
        <w:t>also experience</w:t>
      </w:r>
      <w:r w:rsidR="0060487E" w:rsidRPr="00AB4A23">
        <w:t>d</w:t>
      </w:r>
      <w:r w:rsidR="005E3BE5" w:rsidRPr="00AB4A23">
        <w:t xml:space="preserve"> </w:t>
      </w:r>
      <w:r w:rsidR="004B04AD" w:rsidRPr="00AB4A23">
        <w:t>similar declines in female marriage rates</w:t>
      </w:r>
      <w:r w:rsidRPr="00AB4A23">
        <w:t xml:space="preserve">. </w:t>
      </w:r>
      <w:r w:rsidR="00B247EB" w:rsidRPr="00AB4A23">
        <w:t xml:space="preserve">Recent censuses and surveys conducted across several Asian countries </w:t>
      </w:r>
      <w:r w:rsidR="00847152" w:rsidRPr="00AB4A23">
        <w:t xml:space="preserve">showed </w:t>
      </w:r>
      <w:r w:rsidR="00B247EB" w:rsidRPr="00AB4A23">
        <w:t xml:space="preserve">that about 10% or more of the female population </w:t>
      </w:r>
      <w:r w:rsidR="004836DF" w:rsidRPr="00AB4A23">
        <w:t xml:space="preserve">have </w:t>
      </w:r>
      <w:r w:rsidR="00B247EB" w:rsidRPr="00AB4A23">
        <w:t>remained single or never married</w:t>
      </w:r>
      <w:r w:rsidR="00CD57AE" w:rsidRPr="00AB4A23">
        <w:t xml:space="preserve"> </w:t>
      </w:r>
      <w:r w:rsidR="005E3BE5" w:rsidRPr="00AB4A23">
        <w:t xml:space="preserve">between </w:t>
      </w:r>
      <w:r w:rsidR="00CD57AE" w:rsidRPr="00AB4A23">
        <w:t>age</w:t>
      </w:r>
      <w:r w:rsidR="005E3BE5" w:rsidRPr="00AB4A23">
        <w:t>s</w:t>
      </w:r>
      <w:r w:rsidR="00CD57AE" w:rsidRPr="00AB4A23">
        <w:t xml:space="preserve"> 45</w:t>
      </w:r>
      <w:r w:rsidR="005E3BE5" w:rsidRPr="00AB4A23">
        <w:t xml:space="preserve"> and </w:t>
      </w:r>
      <w:r w:rsidR="00CD57AE" w:rsidRPr="00AB4A23">
        <w:t>49</w:t>
      </w:r>
      <w:r w:rsidR="0060487E" w:rsidRPr="00AB4A23">
        <w:t xml:space="preserve"> years</w:t>
      </w:r>
      <w:r w:rsidR="00B247EB" w:rsidRPr="00AB4A23">
        <w:t xml:space="preserve">. </w:t>
      </w:r>
      <w:r w:rsidR="009D745D" w:rsidRPr="00AB4A23">
        <w:t xml:space="preserve">However, most </w:t>
      </w:r>
      <w:r w:rsidR="00B247EB" w:rsidRPr="00AB4A23">
        <w:t xml:space="preserve">of these countries, including Japan (15.9% in 2015), Hong Kong (15.5% in 2016) and Singapore (12.8% in 2011), have low, or very low, fertility, and relatively high levels of development </w:t>
      </w:r>
      <w:r w:rsidR="005E3BE5" w:rsidRPr="00AB4A23">
        <w:t xml:space="preserve">when compared to Myanmar </w:t>
      </w:r>
      <w:r w:rsidR="00B247EB" w:rsidRPr="00AB4A23">
        <w:t>(United Nations Statistics Division, 2018).</w:t>
      </w:r>
      <w:r w:rsidR="00ED3894">
        <w:t xml:space="preserve"> </w:t>
      </w:r>
      <w:r w:rsidR="00600D0C" w:rsidRPr="00FE2214">
        <w:rPr>
          <w:highlight w:val="yellow"/>
        </w:rPr>
        <w:t>For 2018, the World Bank estimated that Japan had a total fertility rate (TFR) of 1.4, while Singapore’s was estimated at only 1.1. Myanmar’s estimated TFR for the same time period was 2.2, higher than the estimates for neighbouring Thailand and Vietnam (World Bank, 2018).</w:t>
      </w:r>
      <w:r w:rsidR="00B247EB" w:rsidRPr="00AB4A23">
        <w:t xml:space="preserve"> </w:t>
      </w:r>
      <w:r w:rsidR="00600D0C">
        <w:t>T</w:t>
      </w:r>
      <w:r w:rsidR="00B247EB" w:rsidRPr="00AB4A23">
        <w:t>he per</w:t>
      </w:r>
      <w:r w:rsidR="0060487E" w:rsidRPr="00AB4A23">
        <w:t xml:space="preserve"> </w:t>
      </w:r>
      <w:r w:rsidR="00B247EB" w:rsidRPr="00AB4A23">
        <w:t xml:space="preserve">capita gross domestic product in Myanmar was less than 5% of Japan’s in 2017 (World Bank, 2018), and the country’s life expectancy of only 67 years </w:t>
      </w:r>
      <w:r w:rsidR="005E3BE5" w:rsidRPr="00AB4A23">
        <w:t xml:space="preserve">was </w:t>
      </w:r>
      <w:r w:rsidR="00B247EB" w:rsidRPr="00AB4A23">
        <w:t xml:space="preserve">among the lowest outside of sub-Saharan Africa, and 15 years lower than that of Japan (Wang et al., 2012). </w:t>
      </w:r>
    </w:p>
    <w:p w14:paraId="6CF8427E" w14:textId="2FBA50C6" w:rsidR="00426AC6" w:rsidRPr="00AB4A23" w:rsidRDefault="00CC3C41" w:rsidP="0AA2609C">
      <w:pPr>
        <w:spacing w:line="480" w:lineRule="auto"/>
        <w:ind w:firstLine="720"/>
      </w:pPr>
      <w:r w:rsidRPr="00AB4A23">
        <w:t xml:space="preserve">However, </w:t>
      </w:r>
      <w:r w:rsidR="0085534E" w:rsidRPr="00AB4A23">
        <w:t xml:space="preserve">Myanmar has shown social developments </w:t>
      </w:r>
      <w:r w:rsidR="00054D02" w:rsidRPr="00AB4A23">
        <w:t>that mirror those in high</w:t>
      </w:r>
      <w:r w:rsidR="00272DEA" w:rsidRPr="00AB4A23">
        <w:t xml:space="preserve"> </w:t>
      </w:r>
      <w:r w:rsidR="00054D02" w:rsidRPr="00AB4A23">
        <w:t>income, low</w:t>
      </w:r>
      <w:r w:rsidR="00272DEA" w:rsidRPr="00AB4A23">
        <w:t xml:space="preserve"> </w:t>
      </w:r>
      <w:r w:rsidR="00054D02" w:rsidRPr="00AB4A23">
        <w:t>fertility countries in Asia. O</w:t>
      </w:r>
      <w:r w:rsidR="00E834F3" w:rsidRPr="00AB4A23">
        <w:t xml:space="preserve">ver the past 30 years, </w:t>
      </w:r>
      <w:r w:rsidRPr="00AB4A23">
        <w:t>Myanmar ha</w:t>
      </w:r>
      <w:r w:rsidR="00F2252E" w:rsidRPr="00AB4A23">
        <w:t>d</w:t>
      </w:r>
      <w:r w:rsidRPr="00AB4A23">
        <w:t xml:space="preserve"> seen </w:t>
      </w:r>
      <w:r w:rsidR="00F2252E" w:rsidRPr="00AB4A23">
        <w:t>considerable</w:t>
      </w:r>
      <w:r w:rsidRPr="00AB4A23">
        <w:t xml:space="preserve"> improvements in </w:t>
      </w:r>
      <w:r w:rsidR="00416659" w:rsidRPr="00AB4A23">
        <w:t xml:space="preserve">women’s </w:t>
      </w:r>
      <w:r w:rsidR="005D1F10" w:rsidRPr="00AB4A23">
        <w:t>educational attainment and participation in the labour force</w:t>
      </w:r>
      <w:r w:rsidRPr="00AB4A23">
        <w:t>, which</w:t>
      </w:r>
      <w:r w:rsidR="005D1F10" w:rsidRPr="00AB4A23">
        <w:t xml:space="preserve"> have been identified as driving factors for changes in marriage patterns across the globe</w:t>
      </w:r>
      <w:r w:rsidR="009B05A0" w:rsidRPr="00AB4A23">
        <w:t xml:space="preserve"> (</w:t>
      </w:r>
      <w:proofErr w:type="spellStart"/>
      <w:r w:rsidR="005D1F10" w:rsidRPr="00AB4A23">
        <w:t>Choe</w:t>
      </w:r>
      <w:proofErr w:type="spellEnd"/>
      <w:r w:rsidR="005D1F10" w:rsidRPr="00AB4A23">
        <w:t xml:space="preserve"> </w:t>
      </w:r>
      <w:r w:rsidR="00D331D2" w:rsidRPr="00AB4A23">
        <w:t>&amp;</w:t>
      </w:r>
      <w:r w:rsidR="005D1F10" w:rsidRPr="00AB4A23">
        <w:t xml:space="preserve"> </w:t>
      </w:r>
      <w:proofErr w:type="spellStart"/>
      <w:r w:rsidR="005D1F10" w:rsidRPr="00AB4A23">
        <w:t>Retherford</w:t>
      </w:r>
      <w:proofErr w:type="spellEnd"/>
      <w:r w:rsidR="008B2224" w:rsidRPr="00AB4A23">
        <w:t>, 2009;</w:t>
      </w:r>
      <w:r w:rsidR="005D1F10" w:rsidRPr="00AB4A23">
        <w:t xml:space="preserve"> Jones</w:t>
      </w:r>
      <w:r w:rsidR="008B2224" w:rsidRPr="00AB4A23">
        <w:t>,</w:t>
      </w:r>
      <w:r w:rsidR="005D1F10" w:rsidRPr="00AB4A23">
        <w:t xml:space="preserve"> </w:t>
      </w:r>
      <w:r w:rsidR="00E72C65" w:rsidRPr="00AB4A23">
        <w:t>2004</w:t>
      </w:r>
      <w:r w:rsidR="009B05A0" w:rsidRPr="00AB4A23">
        <w:t>)</w:t>
      </w:r>
      <w:r w:rsidR="005D1F10" w:rsidRPr="00AB4A23">
        <w:t xml:space="preserve">. </w:t>
      </w:r>
      <w:r w:rsidR="005E3BE5" w:rsidRPr="00AB4A23">
        <w:t xml:space="preserve">For example, previous </w:t>
      </w:r>
      <w:r w:rsidRPr="00AB4A23">
        <w:t xml:space="preserve">research has </w:t>
      </w:r>
      <w:r w:rsidR="005E3BE5" w:rsidRPr="00AB4A23">
        <w:t>shown</w:t>
      </w:r>
      <w:r w:rsidR="005D1F10" w:rsidRPr="00AB4A23">
        <w:t xml:space="preserve"> </w:t>
      </w:r>
      <w:r w:rsidRPr="00AB4A23">
        <w:t xml:space="preserve">that </w:t>
      </w:r>
      <w:r w:rsidR="005D1F10" w:rsidRPr="00AB4A23">
        <w:t>school attendance, at least u</w:t>
      </w:r>
      <w:r w:rsidR="00272DEA" w:rsidRPr="00AB4A23">
        <w:t>p to</w:t>
      </w:r>
      <w:r w:rsidR="005D1F10" w:rsidRPr="00AB4A23">
        <w:t xml:space="preserve"> graduate level, </w:t>
      </w:r>
      <w:r w:rsidR="009B05A0" w:rsidRPr="00AB4A23">
        <w:t>is often</w:t>
      </w:r>
      <w:r w:rsidR="006329DA" w:rsidRPr="00AB4A23">
        <w:t xml:space="preserve"> incompatible with marriage</w:t>
      </w:r>
      <w:r w:rsidR="00416659" w:rsidRPr="00AB4A23">
        <w:t xml:space="preserve"> for women</w:t>
      </w:r>
      <w:r w:rsidR="006329DA" w:rsidRPr="00AB4A23">
        <w:t xml:space="preserve">. This may </w:t>
      </w:r>
      <w:r w:rsidR="005D1F10" w:rsidRPr="00AB4A23">
        <w:t xml:space="preserve">especially </w:t>
      </w:r>
      <w:r w:rsidR="00272DEA" w:rsidRPr="00AB4A23">
        <w:t xml:space="preserve">be </w:t>
      </w:r>
      <w:r w:rsidR="006329DA" w:rsidRPr="00AB4A23">
        <w:t>t</w:t>
      </w:r>
      <w:r w:rsidR="009B05A0" w:rsidRPr="00AB4A23">
        <w:t>he case</w:t>
      </w:r>
      <w:r w:rsidR="006329DA" w:rsidRPr="00AB4A23">
        <w:t xml:space="preserve"> </w:t>
      </w:r>
      <w:r w:rsidR="005D1F10" w:rsidRPr="00AB4A23">
        <w:t>in societies with gendered domestic roles</w:t>
      </w:r>
      <w:r w:rsidR="006329DA" w:rsidRPr="00AB4A23">
        <w:t xml:space="preserve">, where </w:t>
      </w:r>
      <w:r w:rsidR="005D1F10" w:rsidRPr="00AB4A23">
        <w:t>improvements in women’s status, either through education or economic advancement, have been linked to lower marriage rates among women</w:t>
      </w:r>
      <w:r w:rsidRPr="00AB4A23">
        <w:t>, including in high</w:t>
      </w:r>
      <w:r w:rsidR="00272DEA" w:rsidRPr="00AB4A23">
        <w:t xml:space="preserve"> </w:t>
      </w:r>
      <w:r w:rsidRPr="00AB4A23">
        <w:t xml:space="preserve">income Asian countries </w:t>
      </w:r>
      <w:r w:rsidR="00F2252E" w:rsidRPr="00AB4A23">
        <w:t>such as</w:t>
      </w:r>
      <w:r w:rsidRPr="00AB4A23">
        <w:t xml:space="preserve"> Japan</w:t>
      </w:r>
      <w:r w:rsidR="005D1F10" w:rsidRPr="00AB4A23">
        <w:t xml:space="preserve"> </w:t>
      </w:r>
      <w:r w:rsidR="009B05A0" w:rsidRPr="00AB4A23">
        <w:t>(</w:t>
      </w:r>
      <w:r w:rsidR="00E72C65" w:rsidRPr="00AB4A23">
        <w:t>Jones</w:t>
      </w:r>
      <w:r w:rsidR="008B2224" w:rsidRPr="00AB4A23">
        <w:t>,</w:t>
      </w:r>
      <w:r w:rsidR="00E72C65" w:rsidRPr="00AB4A23">
        <w:t xml:space="preserve"> 2004</w:t>
      </w:r>
      <w:r w:rsidR="008B2224" w:rsidRPr="00AB4A23">
        <w:t>;</w:t>
      </w:r>
      <w:r w:rsidR="00F3188E">
        <w:t xml:space="preserve"> </w:t>
      </w:r>
      <w:r w:rsidR="00F3188E" w:rsidRPr="00904E38">
        <w:rPr>
          <w:highlight w:val="yellow"/>
        </w:rPr>
        <w:t>Jones, 2019</w:t>
      </w:r>
      <w:r w:rsidR="00F3188E">
        <w:t>;</w:t>
      </w:r>
      <w:r w:rsidR="00E72C65" w:rsidRPr="00AB4A23">
        <w:t xml:space="preserve"> </w:t>
      </w:r>
      <w:proofErr w:type="spellStart"/>
      <w:r w:rsidR="001801EE" w:rsidRPr="001801EE">
        <w:rPr>
          <w:highlight w:val="yellow"/>
        </w:rPr>
        <w:t>Torabi</w:t>
      </w:r>
      <w:proofErr w:type="spellEnd"/>
      <w:r w:rsidR="001801EE" w:rsidRPr="001801EE">
        <w:rPr>
          <w:highlight w:val="yellow"/>
        </w:rPr>
        <w:t xml:space="preserve"> &amp; </w:t>
      </w:r>
      <w:proofErr w:type="spellStart"/>
      <w:r w:rsidR="001801EE" w:rsidRPr="001801EE">
        <w:rPr>
          <w:highlight w:val="yellow"/>
        </w:rPr>
        <w:t>Abbasi-Shavazi</w:t>
      </w:r>
      <w:proofErr w:type="spellEnd"/>
      <w:r w:rsidR="001801EE" w:rsidRPr="001801EE">
        <w:rPr>
          <w:highlight w:val="yellow"/>
        </w:rPr>
        <w:t>, 2016;</w:t>
      </w:r>
      <w:r w:rsidR="001801EE">
        <w:t xml:space="preserve"> </w:t>
      </w:r>
      <w:r w:rsidR="005D1F10" w:rsidRPr="00AB4A23">
        <w:t xml:space="preserve">Jones </w:t>
      </w:r>
      <w:r w:rsidR="00D331D2" w:rsidRPr="00AB4A23">
        <w:t>&amp;</w:t>
      </w:r>
      <w:r w:rsidR="005D1F10" w:rsidRPr="00AB4A23">
        <w:t xml:space="preserve"> </w:t>
      </w:r>
      <w:proofErr w:type="spellStart"/>
      <w:r w:rsidR="005D1F10" w:rsidRPr="00AB4A23">
        <w:t>Gubhaju</w:t>
      </w:r>
      <w:proofErr w:type="spellEnd"/>
      <w:r w:rsidR="008B2224" w:rsidRPr="00AB4A23">
        <w:t>,</w:t>
      </w:r>
      <w:r w:rsidR="005D1F10" w:rsidRPr="00AB4A23">
        <w:t xml:space="preserve"> 2009</w:t>
      </w:r>
      <w:r w:rsidR="008B2224" w:rsidRPr="00AB4A23">
        <w:t>;</w:t>
      </w:r>
      <w:r w:rsidR="0087277C" w:rsidRPr="00AB4A23">
        <w:t xml:space="preserve"> Ono</w:t>
      </w:r>
      <w:r w:rsidR="008B2224" w:rsidRPr="00AB4A23">
        <w:t>,</w:t>
      </w:r>
      <w:r w:rsidR="0087277C" w:rsidRPr="00AB4A23">
        <w:t xml:space="preserve"> 200</w:t>
      </w:r>
      <w:r w:rsidR="005D1F10" w:rsidRPr="00AB4A23">
        <w:t>3</w:t>
      </w:r>
      <w:r w:rsidR="009B05A0" w:rsidRPr="00AB4A23">
        <w:t>)</w:t>
      </w:r>
      <w:r w:rsidR="005D1F10" w:rsidRPr="00AB4A23">
        <w:t xml:space="preserve">. </w:t>
      </w:r>
    </w:p>
    <w:p w14:paraId="318D1E6A" w14:textId="384738DE" w:rsidR="005D1F10" w:rsidRPr="00AB4A23" w:rsidRDefault="005D1F10" w:rsidP="0AA2609C">
      <w:pPr>
        <w:pStyle w:val="Paragraph"/>
        <w:spacing w:before="0"/>
        <w:ind w:firstLine="720"/>
      </w:pPr>
      <w:r w:rsidRPr="00AB4A23">
        <w:t>Similar</w:t>
      </w:r>
      <w:r w:rsidR="006329DA" w:rsidRPr="00AB4A23">
        <w:t>ly,</w:t>
      </w:r>
      <w:r w:rsidRPr="00AB4A23">
        <w:t xml:space="preserve"> career advancement has been cited as a reason for </w:t>
      </w:r>
      <w:r w:rsidR="006329DA" w:rsidRPr="00AB4A23">
        <w:t>delayed marriage</w:t>
      </w:r>
      <w:r w:rsidR="005E3BE5" w:rsidRPr="00AB4A23">
        <w:t xml:space="preserve"> among </w:t>
      </w:r>
      <w:r w:rsidR="005E3BE5" w:rsidRPr="00AB4A23">
        <w:lastRenderedPageBreak/>
        <w:t>females</w:t>
      </w:r>
      <w:r w:rsidR="00000F5A" w:rsidRPr="00AB4A23">
        <w:t xml:space="preserve"> in Asia</w:t>
      </w:r>
      <w:r w:rsidR="00A211E1" w:rsidRPr="00AB4A23">
        <w:t xml:space="preserve">. </w:t>
      </w:r>
      <w:r w:rsidR="00F2252E" w:rsidRPr="00AB4A23">
        <w:t xml:space="preserve">For example, in </w:t>
      </w:r>
      <w:r w:rsidRPr="00AB4A23">
        <w:t xml:space="preserve">South Korea, where an increasingly better educated workforce </w:t>
      </w:r>
      <w:r w:rsidR="00426AC6" w:rsidRPr="00AB4A23">
        <w:t xml:space="preserve">has </w:t>
      </w:r>
      <w:r w:rsidRPr="00AB4A23">
        <w:t>found steep competition for jobs after leaving university</w:t>
      </w:r>
      <w:r w:rsidR="00A211E1" w:rsidRPr="00AB4A23">
        <w:t xml:space="preserve">, there </w:t>
      </w:r>
      <w:r w:rsidR="00426AC6" w:rsidRPr="00AB4A23">
        <w:t xml:space="preserve">has been </w:t>
      </w:r>
      <w:r w:rsidR="00A211E1" w:rsidRPr="00AB4A23">
        <w:t>a</w:t>
      </w:r>
      <w:r w:rsidRPr="00AB4A23">
        <w:t xml:space="preserve"> clear drop in female participation in the labour force </w:t>
      </w:r>
      <w:r w:rsidR="005E3BE5" w:rsidRPr="00AB4A23">
        <w:t>among the</w:t>
      </w:r>
      <w:r w:rsidRPr="00AB4A23">
        <w:t xml:space="preserve"> </w:t>
      </w:r>
      <w:r w:rsidR="00272DEA" w:rsidRPr="00AB4A23">
        <w:t>a</w:t>
      </w:r>
      <w:r w:rsidR="005E3BE5" w:rsidRPr="00AB4A23">
        <w:t>ge group</w:t>
      </w:r>
      <w:r w:rsidR="00272DEA" w:rsidRPr="00AB4A23">
        <w:t xml:space="preserve"> 25-29 years</w:t>
      </w:r>
      <w:r w:rsidR="009C3F4A" w:rsidRPr="00AB4A23">
        <w:t>,</w:t>
      </w:r>
      <w:r w:rsidRPr="00AB4A23">
        <w:t xml:space="preserve"> as women </w:t>
      </w:r>
      <w:r w:rsidR="005E3BE5" w:rsidRPr="00AB4A23">
        <w:t xml:space="preserve">tend to </w:t>
      </w:r>
      <w:r w:rsidR="00272DEA" w:rsidRPr="00AB4A23">
        <w:t>leave</w:t>
      </w:r>
      <w:r w:rsidRPr="00AB4A23">
        <w:t xml:space="preserve"> the labour market to </w:t>
      </w:r>
      <w:r w:rsidR="006329DA" w:rsidRPr="00AB4A23">
        <w:t xml:space="preserve">marry and </w:t>
      </w:r>
      <w:r w:rsidRPr="00AB4A23">
        <w:t>have childr</w:t>
      </w:r>
      <w:r w:rsidR="00416659" w:rsidRPr="00AB4A23">
        <w:t>en before re-entering the market</w:t>
      </w:r>
      <w:r w:rsidRPr="00AB4A23">
        <w:t xml:space="preserve"> </w:t>
      </w:r>
      <w:r w:rsidR="00426AC6" w:rsidRPr="00AB4A23">
        <w:t>(</w:t>
      </w:r>
      <w:proofErr w:type="spellStart"/>
      <w:r w:rsidRPr="00AB4A23">
        <w:t>Choe</w:t>
      </w:r>
      <w:proofErr w:type="spellEnd"/>
      <w:r w:rsidRPr="00AB4A23">
        <w:t xml:space="preserve"> </w:t>
      </w:r>
      <w:r w:rsidR="00D331D2" w:rsidRPr="00AB4A23">
        <w:t>&amp;</w:t>
      </w:r>
      <w:r w:rsidRPr="00AB4A23">
        <w:t xml:space="preserve"> </w:t>
      </w:r>
      <w:proofErr w:type="spellStart"/>
      <w:r w:rsidRPr="00AB4A23">
        <w:t>Retherford</w:t>
      </w:r>
      <w:proofErr w:type="spellEnd"/>
      <w:r w:rsidR="008B2224" w:rsidRPr="00AB4A23">
        <w:t>,</w:t>
      </w:r>
      <w:r w:rsidRPr="00AB4A23">
        <w:t xml:space="preserve"> 2009</w:t>
      </w:r>
      <w:r w:rsidR="00426AC6" w:rsidRPr="00AB4A23">
        <w:t>)</w:t>
      </w:r>
      <w:r w:rsidRPr="00AB4A23">
        <w:t>.</w:t>
      </w:r>
      <w:r w:rsidR="00A211E1" w:rsidRPr="00AB4A23">
        <w:t xml:space="preserve"> </w:t>
      </w:r>
      <w:r w:rsidR="00984193" w:rsidRPr="00AB4A23">
        <w:t>A similar trend in labour force engagement was seen in Japan prior to the early 2000s</w:t>
      </w:r>
      <w:r w:rsidR="00426AC6" w:rsidRPr="00AB4A23">
        <w:t xml:space="preserve">.  </w:t>
      </w:r>
      <w:r w:rsidR="005E3BE5" w:rsidRPr="00AB4A23">
        <w:t>T</w:t>
      </w:r>
      <w:r w:rsidR="00A211E1" w:rsidRPr="00AB4A23">
        <w:t>he percentage of married women who participated in the workforce</w:t>
      </w:r>
      <w:r w:rsidR="005E3BE5" w:rsidRPr="00AB4A23">
        <w:t xml:space="preserve"> in Japan</w:t>
      </w:r>
      <w:r w:rsidR="00A211E1" w:rsidRPr="00AB4A23">
        <w:t xml:space="preserve"> rose from 58% to 71%</w:t>
      </w:r>
      <w:r w:rsidR="006B7C52" w:rsidRPr="00AB4A23">
        <w:t xml:space="preserve"> between 2000 and 2006</w:t>
      </w:r>
      <w:r w:rsidR="00984193" w:rsidRPr="00AB4A23">
        <w:t xml:space="preserve">. </w:t>
      </w:r>
      <w:r w:rsidR="00426AC6" w:rsidRPr="00AB4A23">
        <w:t>However, a</w:t>
      </w:r>
      <w:r w:rsidR="00984193" w:rsidRPr="00AB4A23">
        <w:t xml:space="preserve">lthough more married women </w:t>
      </w:r>
      <w:r w:rsidR="00920F43" w:rsidRPr="00AB4A23">
        <w:t xml:space="preserve">actively participate in employment in </w:t>
      </w:r>
      <w:r w:rsidR="005E3BE5" w:rsidRPr="00AB4A23">
        <w:t>the country</w:t>
      </w:r>
      <w:r w:rsidR="00984193" w:rsidRPr="00AB4A23">
        <w:t xml:space="preserve">, </w:t>
      </w:r>
      <w:r w:rsidR="005E3BE5" w:rsidRPr="00AB4A23">
        <w:t>their wages and representation</w:t>
      </w:r>
      <w:r w:rsidR="00984193" w:rsidRPr="00AB4A23">
        <w:t xml:space="preserve"> in leadership positions remain lower than </w:t>
      </w:r>
      <w:r w:rsidR="00426AC6" w:rsidRPr="00AB4A23">
        <w:t>that of men</w:t>
      </w:r>
      <w:r w:rsidR="00A211E1" w:rsidRPr="00AB4A23">
        <w:t xml:space="preserve"> </w:t>
      </w:r>
      <w:r w:rsidR="00426AC6" w:rsidRPr="00AB4A23">
        <w:t>(</w:t>
      </w:r>
      <w:proofErr w:type="spellStart"/>
      <w:r w:rsidR="00A211E1" w:rsidRPr="00AB4A23">
        <w:t>Shambaugh</w:t>
      </w:r>
      <w:proofErr w:type="spellEnd"/>
      <w:r w:rsidR="6C7AE42D" w:rsidRPr="00AB4A23">
        <w:t xml:space="preserve"> et al., </w:t>
      </w:r>
      <w:r w:rsidR="00A211E1" w:rsidRPr="00AB4A23">
        <w:t>2017</w:t>
      </w:r>
      <w:r w:rsidR="00426AC6" w:rsidRPr="00AB4A23">
        <w:t>)</w:t>
      </w:r>
      <w:r w:rsidR="00A211E1" w:rsidRPr="00AB4A23">
        <w:t>.</w:t>
      </w:r>
      <w:r w:rsidRPr="00AB4A23">
        <w:t xml:space="preserve"> </w:t>
      </w:r>
    </w:p>
    <w:p w14:paraId="160956D4" w14:textId="6B35D75D" w:rsidR="00677643" w:rsidRPr="00AB4A23" w:rsidRDefault="00FE688B" w:rsidP="0AA2609C">
      <w:pPr>
        <w:pStyle w:val="Paragraph"/>
        <w:spacing w:before="0"/>
        <w:ind w:firstLine="720"/>
      </w:pPr>
      <w:r w:rsidRPr="00AB4A23">
        <w:t>I</w:t>
      </w:r>
      <w:r w:rsidR="005D1F10" w:rsidRPr="00AB4A23">
        <w:t xml:space="preserve">mprovements in </w:t>
      </w:r>
      <w:r w:rsidR="00920F43" w:rsidRPr="00AB4A23">
        <w:t xml:space="preserve">women’s </w:t>
      </w:r>
      <w:r w:rsidR="005D1F10" w:rsidRPr="00AB4A23">
        <w:t>education</w:t>
      </w:r>
      <w:r w:rsidR="006329DA" w:rsidRPr="00AB4A23">
        <w:t xml:space="preserve"> and professional advancement can </w:t>
      </w:r>
      <w:r w:rsidR="009C3F4A" w:rsidRPr="00AB4A23">
        <w:t xml:space="preserve">trigger </w:t>
      </w:r>
      <w:r w:rsidR="00920F43" w:rsidRPr="00AB4A23">
        <w:t xml:space="preserve">a marriage squeeze in the population </w:t>
      </w:r>
      <w:r w:rsidR="00CE58F4" w:rsidRPr="00AB4A23">
        <w:t>when</w:t>
      </w:r>
      <w:r w:rsidR="00920F43" w:rsidRPr="00AB4A23">
        <w:t xml:space="preserve"> both education and employment favour women</w:t>
      </w:r>
      <w:r w:rsidR="00426AC6" w:rsidRPr="00AB4A23">
        <w:t>, especially</w:t>
      </w:r>
      <w:r w:rsidR="00416659" w:rsidRPr="00AB4A23">
        <w:t xml:space="preserve"> in countries where there is</w:t>
      </w:r>
      <w:r w:rsidR="006329DA" w:rsidRPr="00AB4A23">
        <w:t xml:space="preserve"> a</w:t>
      </w:r>
      <w:r w:rsidR="005D1F10" w:rsidRPr="00AB4A23">
        <w:t xml:space="preserve"> strong belief that men should be </w:t>
      </w:r>
      <w:r w:rsidR="00E834F3" w:rsidRPr="00AB4A23">
        <w:t>the</w:t>
      </w:r>
      <w:r w:rsidR="00CE58F4" w:rsidRPr="00AB4A23">
        <w:t xml:space="preserve"> primary </w:t>
      </w:r>
      <w:r w:rsidR="009C3F4A" w:rsidRPr="00AB4A23">
        <w:t xml:space="preserve">breadwinners for the </w:t>
      </w:r>
      <w:r w:rsidR="00F2252E" w:rsidRPr="00AB4A23">
        <w:t>family</w:t>
      </w:r>
      <w:r w:rsidR="005D1F10" w:rsidRPr="00AB4A23">
        <w:t xml:space="preserve"> </w:t>
      </w:r>
      <w:r w:rsidR="00426AC6" w:rsidRPr="00AB4A23">
        <w:t>(</w:t>
      </w:r>
      <w:r w:rsidR="005D1F10" w:rsidRPr="00AB4A23">
        <w:t>Gender Equality Network</w:t>
      </w:r>
      <w:r w:rsidR="00D331D2" w:rsidRPr="00AB4A23">
        <w:t>,</w:t>
      </w:r>
      <w:r w:rsidR="005D1F10" w:rsidRPr="00AB4A23">
        <w:t xml:space="preserve"> 2018</w:t>
      </w:r>
      <w:r w:rsidR="00426AC6" w:rsidRPr="00AB4A23">
        <w:t>)</w:t>
      </w:r>
      <w:r w:rsidR="005D1F10" w:rsidRPr="00AB4A23">
        <w:t>. In contrast, countries that have shifted domestic roles to distribute household labour</w:t>
      </w:r>
      <w:r w:rsidR="00426AC6" w:rsidRPr="00AB4A23">
        <w:t xml:space="preserve"> more equitably</w:t>
      </w:r>
      <w:r w:rsidR="005D1F10" w:rsidRPr="00AB4A23">
        <w:t xml:space="preserve"> among men and women</w:t>
      </w:r>
      <w:r w:rsidR="00F2252E" w:rsidRPr="00AB4A23">
        <w:t>,</w:t>
      </w:r>
      <w:r w:rsidR="005D1F10" w:rsidRPr="00AB4A23">
        <w:t xml:space="preserve"> </w:t>
      </w:r>
      <w:r w:rsidR="003857E2" w:rsidRPr="00AB4A23">
        <w:t>and those where</w:t>
      </w:r>
      <w:r w:rsidR="00F2252E" w:rsidRPr="00AB4A23">
        <w:t xml:space="preserve"> </w:t>
      </w:r>
      <w:r w:rsidR="005D1F10" w:rsidRPr="00AB4A23">
        <w:t xml:space="preserve">women’s social and economic position </w:t>
      </w:r>
      <w:r w:rsidR="00A63627" w:rsidRPr="00AB4A23">
        <w:t xml:space="preserve">have </w:t>
      </w:r>
      <w:r w:rsidR="005D1F10" w:rsidRPr="00AB4A23">
        <w:t>improved</w:t>
      </w:r>
      <w:r w:rsidR="00F2252E" w:rsidRPr="00AB4A23">
        <w:t>,</w:t>
      </w:r>
      <w:r w:rsidR="005D1F10" w:rsidRPr="00AB4A23">
        <w:t xml:space="preserve"> are more likely to</w:t>
      </w:r>
      <w:r w:rsidR="00426AC6" w:rsidRPr="00AB4A23">
        <w:t xml:space="preserve"> have</w:t>
      </w:r>
      <w:r w:rsidR="005D1F10" w:rsidRPr="00AB4A23">
        <w:t xml:space="preserve"> see</w:t>
      </w:r>
      <w:r w:rsidR="00426AC6" w:rsidRPr="00AB4A23">
        <w:t>n</w:t>
      </w:r>
      <w:r w:rsidR="005D1F10" w:rsidRPr="00AB4A23">
        <w:t xml:space="preserve"> an increase in marriage among </w:t>
      </w:r>
      <w:r w:rsidR="00802DA5" w:rsidRPr="00AB4A23">
        <w:t xml:space="preserve">those with </w:t>
      </w:r>
      <w:r w:rsidR="005D1F10" w:rsidRPr="00AB4A23">
        <w:t xml:space="preserve">better </w:t>
      </w:r>
      <w:r w:rsidR="00802DA5" w:rsidRPr="00AB4A23">
        <w:t xml:space="preserve">education </w:t>
      </w:r>
      <w:r w:rsidR="00426AC6" w:rsidRPr="00AB4A23">
        <w:t>(</w:t>
      </w:r>
      <w:r w:rsidR="005D1F10" w:rsidRPr="00AB4A23">
        <w:t>Ono</w:t>
      </w:r>
      <w:r w:rsidR="00D331D2" w:rsidRPr="00AB4A23">
        <w:t>,</w:t>
      </w:r>
      <w:r w:rsidR="005D1F10" w:rsidRPr="00AB4A23">
        <w:t xml:space="preserve"> 2013</w:t>
      </w:r>
      <w:r w:rsidR="00426AC6" w:rsidRPr="00AB4A23">
        <w:t>)</w:t>
      </w:r>
      <w:r w:rsidR="005D1F10" w:rsidRPr="00AB4A23">
        <w:t xml:space="preserve">. </w:t>
      </w:r>
      <w:r w:rsidR="00426AC6" w:rsidRPr="00AB4A23">
        <w:t>This is true of the U</w:t>
      </w:r>
      <w:r w:rsidR="005D1F10" w:rsidRPr="00AB4A23">
        <w:t xml:space="preserve">nited States, </w:t>
      </w:r>
      <w:r w:rsidR="00984193" w:rsidRPr="00AB4A23">
        <w:t xml:space="preserve">and possibly Japan, </w:t>
      </w:r>
      <w:r w:rsidR="00426AC6" w:rsidRPr="00AB4A23">
        <w:t xml:space="preserve">where </w:t>
      </w:r>
      <w:r w:rsidR="005D1F10" w:rsidRPr="00AB4A23">
        <w:t>marriage among well</w:t>
      </w:r>
      <w:r w:rsidR="00426AC6" w:rsidRPr="00AB4A23">
        <w:t>-</w:t>
      </w:r>
      <w:r w:rsidR="005D1F10" w:rsidRPr="00AB4A23">
        <w:t xml:space="preserve">educated women </w:t>
      </w:r>
      <w:r w:rsidR="00426AC6" w:rsidRPr="00AB4A23">
        <w:t>has</w:t>
      </w:r>
      <w:r w:rsidR="005D1F10" w:rsidRPr="00AB4A23">
        <w:t xml:space="preserve"> increase</w:t>
      </w:r>
      <w:r w:rsidR="00920F43" w:rsidRPr="00AB4A23">
        <w:t>d</w:t>
      </w:r>
      <w:r w:rsidR="005D1F10" w:rsidRPr="00AB4A23">
        <w:t xml:space="preserve"> as female education and economic independence become more accepted </w:t>
      </w:r>
      <w:r w:rsidR="00426AC6" w:rsidRPr="00AB4A23">
        <w:t>(</w:t>
      </w:r>
      <w:r w:rsidR="005D1F10" w:rsidRPr="00AB4A23">
        <w:t xml:space="preserve">Goldstein </w:t>
      </w:r>
      <w:r w:rsidR="00D331D2" w:rsidRPr="00AB4A23">
        <w:t>&amp;</w:t>
      </w:r>
      <w:r w:rsidR="005D1F10" w:rsidRPr="00AB4A23">
        <w:t xml:space="preserve"> Kenney</w:t>
      </w:r>
      <w:r w:rsidR="00D331D2" w:rsidRPr="00AB4A23">
        <w:t>,</w:t>
      </w:r>
      <w:r w:rsidR="005D1F10" w:rsidRPr="00AB4A23">
        <w:t xml:space="preserve"> 2001</w:t>
      </w:r>
      <w:r w:rsidR="00D331D2" w:rsidRPr="00AB4A23">
        <w:t>;</w:t>
      </w:r>
      <w:r w:rsidR="00984193" w:rsidRPr="00AB4A23">
        <w:t xml:space="preserve"> </w:t>
      </w:r>
      <w:proofErr w:type="spellStart"/>
      <w:r w:rsidR="00426AC6" w:rsidRPr="00AB4A23">
        <w:t>Shambaugh</w:t>
      </w:r>
      <w:proofErr w:type="spellEnd"/>
      <w:r w:rsidR="00426AC6" w:rsidRPr="00AB4A23">
        <w:t xml:space="preserve"> et al.</w:t>
      </w:r>
      <w:r w:rsidR="00D331D2" w:rsidRPr="00AB4A23">
        <w:t>,</w:t>
      </w:r>
      <w:r w:rsidR="00426AC6" w:rsidRPr="00AB4A23">
        <w:t xml:space="preserve"> 2017</w:t>
      </w:r>
      <w:r w:rsidR="00D331D2" w:rsidRPr="00AB4A23">
        <w:t>)</w:t>
      </w:r>
      <w:r w:rsidR="005D1F10" w:rsidRPr="00AB4A23">
        <w:t xml:space="preserve">. </w:t>
      </w:r>
    </w:p>
    <w:p w14:paraId="0468C647" w14:textId="1372CD74" w:rsidR="78CFFB0C" w:rsidRPr="00AB4A23" w:rsidRDefault="78CFFB0C" w:rsidP="0AA2609C">
      <w:pPr>
        <w:pStyle w:val="Paragraph"/>
        <w:spacing w:before="0"/>
        <w:ind w:firstLine="720"/>
      </w:pPr>
      <w:r w:rsidRPr="00AB4A23">
        <w:t xml:space="preserve">Education and workforce </w:t>
      </w:r>
      <w:r w:rsidR="00802DA5" w:rsidRPr="00AB4A23">
        <w:t xml:space="preserve">participation </w:t>
      </w:r>
      <w:r w:rsidRPr="00AB4A23">
        <w:t xml:space="preserve">changes may have a </w:t>
      </w:r>
      <w:r w:rsidR="00272DEA" w:rsidRPr="00AB4A23">
        <w:t>major</w:t>
      </w:r>
      <w:r w:rsidRPr="00AB4A23">
        <w:t xml:space="preserve"> impact on entry into marriage in Myanmar because of </w:t>
      </w:r>
      <w:r w:rsidR="00272DEA" w:rsidRPr="00AB4A23">
        <w:t xml:space="preserve">a </w:t>
      </w:r>
      <w:r w:rsidR="00802DA5" w:rsidRPr="00AB4A23">
        <w:t xml:space="preserve">potential </w:t>
      </w:r>
      <w:r w:rsidRPr="00AB4A23">
        <w:t>marriage squeeze cause</w:t>
      </w:r>
      <w:r w:rsidR="627977E2" w:rsidRPr="00AB4A23">
        <w:t>d</w:t>
      </w:r>
      <w:r w:rsidRPr="00AB4A23">
        <w:t xml:space="preserve"> by </w:t>
      </w:r>
      <w:r w:rsidR="5EEE42B8" w:rsidRPr="00AB4A23">
        <w:t>excess male migration and mortality</w:t>
      </w:r>
      <w:r w:rsidRPr="00AB4A23">
        <w:t>.</w:t>
      </w:r>
      <w:r w:rsidR="3FEF8C14" w:rsidRPr="00AB4A23">
        <w:t xml:space="preserve"> </w:t>
      </w:r>
      <w:r w:rsidR="7DC96659" w:rsidRPr="00AB4A23">
        <w:t xml:space="preserve">The 2014 Census estimated that around two million Myanmar migrants lived abroad, more than 60% of whom were men (International Organisation for Migration [IOM], 2016). </w:t>
      </w:r>
      <w:r w:rsidR="001C4EC7" w:rsidRPr="00AB4A23">
        <w:t xml:space="preserve">The </w:t>
      </w:r>
      <w:r w:rsidR="7DC96659" w:rsidRPr="00AB4A23">
        <w:t>IOM estimates that</w:t>
      </w:r>
      <w:r w:rsidR="001C4EC7" w:rsidRPr="00AB4A23">
        <w:t>,</w:t>
      </w:r>
      <w:r w:rsidR="7DC96659" w:rsidRPr="00AB4A23">
        <w:t xml:space="preserve"> of these two million emigrants, 1.4 million </w:t>
      </w:r>
      <w:r w:rsidR="7DC96659" w:rsidRPr="00AB4A23">
        <w:lastRenderedPageBreak/>
        <w:t xml:space="preserve">live in Thailand, representing an 88% and 90% increase in the number of men and women, respectively, migrating to Thailand over the past twenty-five years (IOM, 2016). </w:t>
      </w:r>
    </w:p>
    <w:p w14:paraId="503AC01F" w14:textId="4649724C" w:rsidR="3FEF8C14" w:rsidRPr="00AB4A23" w:rsidRDefault="3FEF8C14" w:rsidP="0AA2609C">
      <w:pPr>
        <w:pStyle w:val="Paragraph"/>
        <w:spacing w:before="0"/>
        <w:ind w:firstLine="720"/>
      </w:pPr>
      <w:r w:rsidRPr="00AB4A23">
        <w:t>Male mortality is</w:t>
      </w:r>
      <w:r w:rsidR="526D1035" w:rsidRPr="00AB4A23">
        <w:t xml:space="preserve"> also</w:t>
      </w:r>
      <w:r w:rsidRPr="00AB4A23">
        <w:t xml:space="preserve"> much higher than female mortality</w:t>
      </w:r>
      <w:r w:rsidR="001C4EC7" w:rsidRPr="00AB4A23">
        <w:t xml:space="preserve"> in Myanmar</w:t>
      </w:r>
      <w:r w:rsidRPr="00AB4A23">
        <w:t>, especially among people of reproductive age</w:t>
      </w:r>
      <w:r w:rsidR="00802DA5" w:rsidRPr="00AB4A23">
        <w:t>s</w:t>
      </w:r>
      <w:r w:rsidRPr="00AB4A23">
        <w:t xml:space="preserve">. Analysis of 2014 Census and vital registration data found that the age-specific mortality rates (ASMRs) for men in five-year age groups between 25 and 49 were between three and five times greater than female mortality rates (Department of Population, Ministry of Labour, Immigration and Population, 2016; </w:t>
      </w:r>
      <w:proofErr w:type="spellStart"/>
      <w:r w:rsidRPr="00AB4A23">
        <w:t>Oung</w:t>
      </w:r>
      <w:proofErr w:type="spellEnd"/>
      <w:r w:rsidR="4F760CD9" w:rsidRPr="00AB4A23">
        <w:t xml:space="preserve"> et al.</w:t>
      </w:r>
      <w:r w:rsidRPr="00AB4A23">
        <w:t xml:space="preserve">, 2017). In comparison, male ASMRs are only up to twice as large as female ASMRs in </w:t>
      </w:r>
      <w:r w:rsidR="001C4EC7" w:rsidRPr="00AB4A23">
        <w:t>nearby</w:t>
      </w:r>
      <w:r w:rsidRPr="00AB4A23">
        <w:t xml:space="preserve"> Nepal (Ministry of Health, Nepal et al., 2017). </w:t>
      </w:r>
      <w:r w:rsidR="001C4EC7" w:rsidRPr="00AB4A23">
        <w:t>Moreover</w:t>
      </w:r>
      <w:r w:rsidRPr="00AB4A23">
        <w:t xml:space="preserve">, </w:t>
      </w:r>
      <w:r w:rsidR="3A5E59D5" w:rsidRPr="00AB4A23">
        <w:t xml:space="preserve">male </w:t>
      </w:r>
      <w:r w:rsidRPr="00AB4A23">
        <w:t>ASMRs in Myanmar appear to have increased over the last several decades</w:t>
      </w:r>
      <w:r w:rsidR="00312035" w:rsidRPr="00AB4A23">
        <w:t>, with</w:t>
      </w:r>
      <w:r w:rsidR="7E41A225" w:rsidRPr="00AB4A23">
        <w:t xml:space="preserve"> </w:t>
      </w:r>
      <w:r w:rsidRPr="00AB4A23">
        <w:t xml:space="preserve">a mortality rate </w:t>
      </w:r>
      <w:r w:rsidR="00312035" w:rsidRPr="00AB4A23">
        <w:t xml:space="preserve">ranging from </w:t>
      </w:r>
      <w:r w:rsidRPr="00AB4A23">
        <w:t>9.5 per 1000 men aged 25 years</w:t>
      </w:r>
      <w:r w:rsidR="45C09BBD" w:rsidRPr="00AB4A23">
        <w:t xml:space="preserve"> in 1991 to 16.7 per 1000 in </w:t>
      </w:r>
      <w:r w:rsidRPr="00AB4A23">
        <w:t xml:space="preserve">2014 (Ministry of Immigration and Population, Immigration and Population Department, 1995). In contrast, the ASMR for women aged 25 years declined from 6 per 1000 in 1991 to 5.6 per 1000 in 2014. Life expectancy in Myanmar, </w:t>
      </w:r>
      <w:r w:rsidR="00312035" w:rsidRPr="00AB4A23">
        <w:t>estimated</w:t>
      </w:r>
      <w:r w:rsidR="001C4EC7" w:rsidRPr="00AB4A23">
        <w:t xml:space="preserve"> to be</w:t>
      </w:r>
      <w:r w:rsidR="00312035" w:rsidRPr="00AB4A23">
        <w:t xml:space="preserve"> </w:t>
      </w:r>
      <w:r w:rsidRPr="00AB4A23">
        <w:t>around 60 years for men and 67 for women, is also low for South-east Asia, even compared with other countries with recent periods of prolonged conflict (Wang et al., 2012).</w:t>
      </w:r>
    </w:p>
    <w:p w14:paraId="505EC681" w14:textId="790B04C4" w:rsidR="00CC2283" w:rsidRPr="00AB4A23" w:rsidRDefault="00D31A64" w:rsidP="0AA2609C">
      <w:pPr>
        <w:pStyle w:val="Paragraph"/>
        <w:spacing w:before="0"/>
        <w:ind w:firstLine="720"/>
      </w:pPr>
      <w:r w:rsidRPr="00AB4A23">
        <w:t xml:space="preserve">Myanmar </w:t>
      </w:r>
      <w:r w:rsidR="001C4EC7" w:rsidRPr="00AB4A23">
        <w:t xml:space="preserve">thus </w:t>
      </w:r>
      <w:r w:rsidR="008A20CB" w:rsidRPr="00AB4A23">
        <w:t xml:space="preserve">presents </w:t>
      </w:r>
      <w:r w:rsidRPr="00AB4A23">
        <w:t>an interesting case for</w:t>
      </w:r>
      <w:r w:rsidR="008A20CB" w:rsidRPr="00AB4A23">
        <w:t xml:space="preserve"> the analysis of marriage</w:t>
      </w:r>
      <w:r w:rsidR="001C4EC7" w:rsidRPr="00AB4A23">
        <w:t>:</w:t>
      </w:r>
      <w:r w:rsidRPr="00AB4A23">
        <w:t xml:space="preserve"> it has evolved a marriage pattern that exhibits characteristics similar to those of much more developed and prosperous Asian countries, despite its poverty and lower levels of </w:t>
      </w:r>
      <w:r w:rsidR="00B15A24" w:rsidRPr="00AB4A23">
        <w:t xml:space="preserve">economic </w:t>
      </w:r>
      <w:r w:rsidRPr="00AB4A23">
        <w:t xml:space="preserve">development. </w:t>
      </w:r>
      <w:r w:rsidR="00B15A24" w:rsidRPr="00AB4A23">
        <w:t>Th</w:t>
      </w:r>
      <w:r w:rsidR="008A20CB" w:rsidRPr="00AB4A23">
        <w:t>e present</w:t>
      </w:r>
      <w:r w:rsidR="00B15A24" w:rsidRPr="00AB4A23">
        <w:t xml:space="preserve"> analysis seeks to determine</w:t>
      </w:r>
      <w:r w:rsidRPr="00AB4A23">
        <w:t xml:space="preserve"> </w:t>
      </w:r>
      <w:r w:rsidR="00B15A24" w:rsidRPr="00AB4A23">
        <w:t>how</w:t>
      </w:r>
      <w:r w:rsidR="00B65035" w:rsidRPr="00AB4A23">
        <w:t xml:space="preserve"> rapid social development, as </w:t>
      </w:r>
      <w:r w:rsidR="008A20CB" w:rsidRPr="00AB4A23">
        <w:t>characterised</w:t>
      </w:r>
      <w:r w:rsidR="00B65035" w:rsidRPr="00AB4A23">
        <w:t xml:space="preserve"> by female education and labour force </w:t>
      </w:r>
      <w:r w:rsidR="00041A2F" w:rsidRPr="00AB4A23">
        <w:t>participation</w:t>
      </w:r>
      <w:r w:rsidR="00B65035" w:rsidRPr="00AB4A23">
        <w:t xml:space="preserve">, may </w:t>
      </w:r>
      <w:r w:rsidR="008A20CB" w:rsidRPr="00AB4A23">
        <w:t>influence</w:t>
      </w:r>
      <w:r w:rsidR="00B65035" w:rsidRPr="00AB4A23">
        <w:t xml:space="preserve"> </w:t>
      </w:r>
      <w:r w:rsidRPr="00AB4A23">
        <w:t>marriage patterns</w:t>
      </w:r>
      <w:r w:rsidR="008A20CB" w:rsidRPr="00AB4A23">
        <w:t xml:space="preserve"> in Myanmar,</w:t>
      </w:r>
      <w:r w:rsidRPr="00AB4A23">
        <w:t xml:space="preserve"> </w:t>
      </w:r>
      <w:r w:rsidR="00DE2FC5" w:rsidRPr="00AB4A23">
        <w:t xml:space="preserve">even in the absence of </w:t>
      </w:r>
      <w:r w:rsidR="008A20CB" w:rsidRPr="00AB4A23">
        <w:t>any</w:t>
      </w:r>
      <w:r w:rsidR="00E834F3" w:rsidRPr="00AB4A23">
        <w:t xml:space="preserve"> </w:t>
      </w:r>
      <w:r w:rsidR="00B65035" w:rsidRPr="00AB4A23">
        <w:t xml:space="preserve">strong </w:t>
      </w:r>
      <w:r w:rsidRPr="00AB4A23">
        <w:t>economic development.</w:t>
      </w:r>
    </w:p>
    <w:p w14:paraId="4A3B0521" w14:textId="77777777" w:rsidR="000B3062" w:rsidRPr="00AB4A23" w:rsidRDefault="000B3062" w:rsidP="0AA2609C">
      <w:pPr>
        <w:spacing w:line="480" w:lineRule="auto"/>
      </w:pPr>
    </w:p>
    <w:p w14:paraId="659CA316" w14:textId="144F3721" w:rsidR="00BC7819" w:rsidRPr="00AB4A23" w:rsidRDefault="00B123CD" w:rsidP="000D1C47">
      <w:pPr>
        <w:spacing w:line="480" w:lineRule="auto"/>
        <w:rPr>
          <w:b/>
          <w:bCs/>
        </w:rPr>
      </w:pPr>
      <w:r w:rsidRPr="00AB4A23">
        <w:rPr>
          <w:b/>
          <w:bCs/>
        </w:rPr>
        <w:t>Methods</w:t>
      </w:r>
    </w:p>
    <w:p w14:paraId="2718AC36" w14:textId="4526FBEB" w:rsidR="007667AE" w:rsidRPr="00AB4A23" w:rsidRDefault="00EF1E21" w:rsidP="0AA2609C">
      <w:pPr>
        <w:pStyle w:val="Paragraph"/>
        <w:spacing w:before="0"/>
        <w:rPr>
          <w:b/>
          <w:bCs/>
        </w:rPr>
      </w:pPr>
      <w:r w:rsidRPr="00AB4A23">
        <w:t>We used</w:t>
      </w:r>
      <w:r w:rsidR="00041A2F" w:rsidRPr="00AB4A23">
        <w:t xml:space="preserve"> </w:t>
      </w:r>
      <w:r w:rsidR="1EB46F29" w:rsidRPr="00AB4A23">
        <w:t xml:space="preserve">recently released data from </w:t>
      </w:r>
      <w:r w:rsidR="00041A2F" w:rsidRPr="00AB4A23">
        <w:t>Myanmar</w:t>
      </w:r>
      <w:r w:rsidR="1EB46F29" w:rsidRPr="00AB4A23">
        <w:t xml:space="preserve">’s first Demographic and Health Survey </w:t>
      </w:r>
      <w:r w:rsidR="1EB46F29" w:rsidRPr="00AB4A23">
        <w:lastRenderedPageBreak/>
        <w:t xml:space="preserve">(DHS), conducted during 2015-2016, along </w:t>
      </w:r>
      <w:r w:rsidRPr="00AB4A23">
        <w:t>with aggregated</w:t>
      </w:r>
      <w:r w:rsidR="1EB46F29" w:rsidRPr="00AB4A23">
        <w:t xml:space="preserve"> data from the 1983 and 2014 censuses, to analys</w:t>
      </w:r>
      <w:r w:rsidRPr="00AB4A23">
        <w:t>e</w:t>
      </w:r>
      <w:r w:rsidR="1EB46F29" w:rsidRPr="00AB4A23">
        <w:t xml:space="preserve"> the underlying associations between entry into marriage among men and women, and educational attainment and labour force participation in Myanmar</w:t>
      </w:r>
      <w:r w:rsidR="0F5DCE4A" w:rsidRPr="00AB4A23">
        <w:t xml:space="preserve"> (Ministry of Health and Sports &amp; ICF, 2017)</w:t>
      </w:r>
      <w:r w:rsidR="1EB46F29" w:rsidRPr="00AB4A23">
        <w:t xml:space="preserve">. First, we describe the trends in marriage, education and labour force participation in Myanmar </w:t>
      </w:r>
      <w:r w:rsidRPr="00AB4A23">
        <w:t>from 1973 to</w:t>
      </w:r>
      <w:r w:rsidR="1EB46F29" w:rsidRPr="00AB4A23">
        <w:t xml:space="preserve"> 2016. We then demonstrate how education and labour force participation influence the propensity </w:t>
      </w:r>
      <w:r w:rsidR="00600D0C" w:rsidRPr="00904E38">
        <w:rPr>
          <w:highlight w:val="yellow"/>
        </w:rPr>
        <w:t>to</w:t>
      </w:r>
      <w:r w:rsidR="00600D0C" w:rsidRPr="00AB4A23">
        <w:t xml:space="preserve"> </w:t>
      </w:r>
      <w:r w:rsidR="1EB46F29" w:rsidRPr="00AB4A23">
        <w:t>marriage for men and women of different age cohorts in Myanmar.</w:t>
      </w:r>
      <w:r w:rsidR="007667AE" w:rsidRPr="00AB4A23">
        <w:t xml:space="preserve">  </w:t>
      </w:r>
    </w:p>
    <w:p w14:paraId="1C368E69" w14:textId="5A46E4DA" w:rsidR="005F1850" w:rsidRPr="00AB4A23" w:rsidRDefault="005F1850" w:rsidP="0AA2609C">
      <w:pPr>
        <w:pStyle w:val="Paragraph"/>
        <w:spacing w:before="0"/>
        <w:ind w:firstLine="720"/>
      </w:pPr>
      <w:r w:rsidRPr="00AB4A23">
        <w:t>The DHS used a stratified two-stage sample design, identifying 30 households from each of 442 clusters. All women between</w:t>
      </w:r>
      <w:r w:rsidR="00D31A64" w:rsidRPr="00AB4A23">
        <w:t xml:space="preserve"> the</w:t>
      </w:r>
      <w:r w:rsidRPr="00AB4A23">
        <w:t xml:space="preserve"> ages of 15-49 years </w:t>
      </w:r>
      <w:r w:rsidR="00FE688B" w:rsidRPr="00AB4A23">
        <w:t xml:space="preserve">who </w:t>
      </w:r>
      <w:r w:rsidRPr="00AB4A23">
        <w:t xml:space="preserve">were residing in each of these households were eligible for </w:t>
      </w:r>
      <w:r w:rsidR="00EF1E21" w:rsidRPr="00AB4A23">
        <w:t>interview</w:t>
      </w:r>
      <w:r w:rsidRPr="00AB4A23">
        <w:t xml:space="preserve">. Men between the ages of 15-49 from every second household were </w:t>
      </w:r>
      <w:r w:rsidR="00EF1E21" w:rsidRPr="00AB4A23">
        <w:t>selected for interview,</w:t>
      </w:r>
      <w:r w:rsidRPr="00AB4A23">
        <w:t xml:space="preserve"> and their participation did not depend on their residency in a household with an eligible woman </w:t>
      </w:r>
      <w:r w:rsidR="00D31A64" w:rsidRPr="00AB4A23">
        <w:t>(</w:t>
      </w:r>
      <w:r w:rsidR="00D331D2" w:rsidRPr="00AB4A23">
        <w:t xml:space="preserve">Ministry of Health and Sports &amp; ICF, </w:t>
      </w:r>
      <w:r w:rsidR="00CE58F4" w:rsidRPr="00AB4A23">
        <w:t>2017)</w:t>
      </w:r>
      <w:r w:rsidRPr="00AB4A23">
        <w:t>.</w:t>
      </w:r>
      <w:r w:rsidR="00FE688B" w:rsidRPr="00AB4A23">
        <w:t xml:space="preserve"> We use</w:t>
      </w:r>
      <w:r w:rsidR="00EF1E21" w:rsidRPr="00AB4A23">
        <w:t>d</w:t>
      </w:r>
      <w:r w:rsidR="00FE688B" w:rsidRPr="00AB4A23">
        <w:t xml:space="preserve"> data </w:t>
      </w:r>
      <w:r w:rsidR="00EF1E21" w:rsidRPr="00AB4A23">
        <w:t xml:space="preserve">on </w:t>
      </w:r>
      <w:r w:rsidR="00FE688B" w:rsidRPr="00AB4A23">
        <w:t xml:space="preserve">all individuals </w:t>
      </w:r>
      <w:r w:rsidR="21425726" w:rsidRPr="00AB4A23">
        <w:t>age</w:t>
      </w:r>
      <w:r w:rsidR="00EF1E21" w:rsidRPr="00AB4A23">
        <w:t>d</w:t>
      </w:r>
      <w:r w:rsidR="21425726" w:rsidRPr="00AB4A23">
        <w:t xml:space="preserve"> </w:t>
      </w:r>
      <w:r w:rsidR="00F61F1D" w:rsidRPr="00AB4A23">
        <w:t>20</w:t>
      </w:r>
      <w:r w:rsidR="00EF1E21" w:rsidRPr="00AB4A23">
        <w:t>-49</w:t>
      </w:r>
      <w:r w:rsidR="21425726" w:rsidRPr="00AB4A23">
        <w:t xml:space="preserve"> </w:t>
      </w:r>
      <w:r w:rsidR="00EF1E21" w:rsidRPr="00AB4A23">
        <w:t>from</w:t>
      </w:r>
      <w:r w:rsidR="00FE688B" w:rsidRPr="00AB4A23">
        <w:t xml:space="preserve"> both </w:t>
      </w:r>
      <w:r w:rsidR="00EF1E21" w:rsidRPr="00AB4A23">
        <w:t xml:space="preserve">male and female </w:t>
      </w:r>
      <w:r w:rsidR="00FE688B" w:rsidRPr="00AB4A23">
        <w:t xml:space="preserve">samples. </w:t>
      </w:r>
      <w:r w:rsidR="00EF1E21" w:rsidRPr="00AB4A23">
        <w:t>O</w:t>
      </w:r>
      <w:r w:rsidR="00D31A64" w:rsidRPr="00AB4A23">
        <w:t xml:space="preserve">ur analyses </w:t>
      </w:r>
      <w:r w:rsidR="00EF1E21" w:rsidRPr="00AB4A23">
        <w:t xml:space="preserve">accounted </w:t>
      </w:r>
      <w:r w:rsidRPr="00AB4A23">
        <w:t xml:space="preserve">for </w:t>
      </w:r>
      <w:r w:rsidR="00EF1E21" w:rsidRPr="00AB4A23">
        <w:t xml:space="preserve">the </w:t>
      </w:r>
      <w:r w:rsidRPr="00AB4A23">
        <w:t xml:space="preserve">standard complex survey </w:t>
      </w:r>
      <w:r w:rsidR="009A658A" w:rsidRPr="00AB4A23">
        <w:t xml:space="preserve">design, following the procedure in </w:t>
      </w:r>
      <w:r w:rsidRPr="00AB4A23">
        <w:t>Stata/SE 15.0.</w:t>
      </w:r>
      <w:r w:rsidR="00372EC4" w:rsidRPr="00AB4A23">
        <w:t xml:space="preserve"> </w:t>
      </w:r>
    </w:p>
    <w:p w14:paraId="74D57BD8" w14:textId="033E11E9" w:rsidR="007667AE" w:rsidRPr="00AB4A23" w:rsidRDefault="006B7C52" w:rsidP="0AA2609C">
      <w:pPr>
        <w:pStyle w:val="Paragraph"/>
        <w:spacing w:before="0"/>
        <w:ind w:firstLine="720"/>
      </w:pPr>
      <w:r w:rsidRPr="00AB4A23">
        <w:t>For t</w:t>
      </w:r>
      <w:r w:rsidR="007037ED" w:rsidRPr="00AB4A23">
        <w:t>he individual level analysis</w:t>
      </w:r>
      <w:r w:rsidRPr="00AB4A23">
        <w:t>, we</w:t>
      </w:r>
      <w:r w:rsidR="007037ED" w:rsidRPr="00AB4A23">
        <w:t xml:space="preserve"> use</w:t>
      </w:r>
      <w:r w:rsidRPr="00AB4A23">
        <w:t>d</w:t>
      </w:r>
      <w:r w:rsidR="007037ED" w:rsidRPr="00AB4A23">
        <w:t xml:space="preserve"> DHS data from 11,044 women and 3,969 men aged 20-49 years. </w:t>
      </w:r>
      <w:r w:rsidR="00D8106E" w:rsidRPr="00AB4A23">
        <w:t>Individuals aged 15-19 years in 2016 were excluded from the analysis due to problems related to censoring. Only a few women marry between ages 15 and 19 years in Myanmar</w:t>
      </w:r>
      <w:r w:rsidR="005176D1" w:rsidRPr="00AB4A23">
        <w:t xml:space="preserve">. </w:t>
      </w:r>
      <w:r w:rsidR="271EA909" w:rsidRPr="00AB4A23">
        <w:t>Most individuals</w:t>
      </w:r>
      <w:r w:rsidR="005176D1" w:rsidRPr="00AB4A23">
        <w:t xml:space="preserve"> aged 15-19 </w:t>
      </w:r>
      <w:r w:rsidR="1D96BCC3" w:rsidRPr="00AB4A23">
        <w:t xml:space="preserve">who would eventually </w:t>
      </w:r>
      <w:r w:rsidR="00D8106E" w:rsidRPr="00AB4A23">
        <w:t>pursu</w:t>
      </w:r>
      <w:r w:rsidR="360E318E" w:rsidRPr="00AB4A23">
        <w:t>e</w:t>
      </w:r>
      <w:r w:rsidR="00D8106E" w:rsidRPr="00AB4A23">
        <w:t xml:space="preserve"> higher education would </w:t>
      </w:r>
      <w:r w:rsidR="5ADCA3CF" w:rsidRPr="00AB4A23">
        <w:t xml:space="preserve">have not yet enrolled in </w:t>
      </w:r>
      <w:r w:rsidR="00E25520" w:rsidRPr="00AB4A23">
        <w:t xml:space="preserve">higher education at college or </w:t>
      </w:r>
      <w:r w:rsidR="5ADCA3CF" w:rsidRPr="00AB4A23">
        <w:t>university</w:t>
      </w:r>
      <w:r w:rsidR="00E25520" w:rsidRPr="00AB4A23">
        <w:t xml:space="preserve"> levels</w:t>
      </w:r>
      <w:r w:rsidR="5ADCA3CF" w:rsidRPr="00AB4A23">
        <w:t xml:space="preserve"> </w:t>
      </w:r>
      <w:r w:rsidR="00D8106E" w:rsidRPr="00AB4A23">
        <w:t>at the time of the survey</w:t>
      </w:r>
      <w:r w:rsidR="00E25520" w:rsidRPr="00AB4A23">
        <w:t>,</w:t>
      </w:r>
      <w:r w:rsidR="4BE242C2" w:rsidRPr="00AB4A23">
        <w:t xml:space="preserve"> and therefore could not have completed the key events </w:t>
      </w:r>
      <w:r w:rsidR="00E25520" w:rsidRPr="00AB4A23">
        <w:t xml:space="preserve">relevant </w:t>
      </w:r>
      <w:r w:rsidR="4BE242C2" w:rsidRPr="00AB4A23">
        <w:t>to this analysis</w:t>
      </w:r>
      <w:r w:rsidR="00D8106E" w:rsidRPr="00AB4A23">
        <w:t xml:space="preserve">. While </w:t>
      </w:r>
      <w:r w:rsidR="582B4DC6" w:rsidRPr="00AB4A23">
        <w:t xml:space="preserve">many of </w:t>
      </w:r>
      <w:r w:rsidR="00D8106E" w:rsidRPr="00AB4A23">
        <w:t xml:space="preserve">those aged 20-24 </w:t>
      </w:r>
      <w:r w:rsidR="001C4EC7" w:rsidRPr="00AB4A23">
        <w:t xml:space="preserve">years </w:t>
      </w:r>
      <w:r w:rsidR="66A7DE63" w:rsidRPr="00AB4A23">
        <w:t xml:space="preserve">would not have completed university, they would still be classified as individuals with university level education in the DHS. </w:t>
      </w:r>
      <w:r w:rsidR="00E25520" w:rsidRPr="00AB4A23">
        <w:t xml:space="preserve">Therefore, those </w:t>
      </w:r>
      <w:r w:rsidR="66A7DE63" w:rsidRPr="00AB4A23">
        <w:t xml:space="preserve">aged 20-24 </w:t>
      </w:r>
      <w:r w:rsidR="00E25520" w:rsidRPr="00AB4A23">
        <w:t>were</w:t>
      </w:r>
      <w:r w:rsidR="1F3BA78C" w:rsidRPr="00AB4A23">
        <w:t xml:space="preserve"> </w:t>
      </w:r>
      <w:r w:rsidR="00D8106E" w:rsidRPr="00AB4A23">
        <w:t xml:space="preserve">included in the </w:t>
      </w:r>
      <w:r w:rsidR="007D2ADD" w:rsidRPr="00AB4A23">
        <w:t xml:space="preserve">pooled </w:t>
      </w:r>
      <w:r w:rsidR="00D8106E" w:rsidRPr="00AB4A23">
        <w:t>sample</w:t>
      </w:r>
      <w:r w:rsidR="2B1A4871" w:rsidRPr="00AB4A23">
        <w:t>. W</w:t>
      </w:r>
      <w:r w:rsidR="5CD91BA6" w:rsidRPr="00AB4A23">
        <w:t>e acknowledge this may bias the results of the analysis if university educated in</w:t>
      </w:r>
      <w:r w:rsidR="7040414E" w:rsidRPr="00AB4A23">
        <w:t>dividuals delay marriage until after graduation</w:t>
      </w:r>
      <w:r w:rsidR="043532DA" w:rsidRPr="00AB4A23">
        <w:t xml:space="preserve">, but </w:t>
      </w:r>
      <w:r w:rsidR="00E25520" w:rsidRPr="00AB4A23">
        <w:t xml:space="preserve">we </w:t>
      </w:r>
      <w:r w:rsidR="7442B7E2" w:rsidRPr="00AB4A23">
        <w:lastRenderedPageBreak/>
        <w:t xml:space="preserve">expect this bias to be </w:t>
      </w:r>
      <w:r w:rsidR="00A97B52" w:rsidRPr="00AB4A23">
        <w:t>small</w:t>
      </w:r>
      <w:r w:rsidR="00E25520" w:rsidRPr="00AB4A23">
        <w:t xml:space="preserve"> </w:t>
      </w:r>
      <w:r w:rsidR="7442B7E2" w:rsidRPr="00AB4A23">
        <w:t>as only 2</w:t>
      </w:r>
      <w:r w:rsidR="24FB94E0" w:rsidRPr="00AB4A23">
        <w:t>.1</w:t>
      </w:r>
      <w:r w:rsidR="7442B7E2" w:rsidRPr="00AB4A23">
        <w:t>% of the female</w:t>
      </w:r>
      <w:r w:rsidR="00E25520" w:rsidRPr="00AB4A23">
        <w:t>s</w:t>
      </w:r>
      <w:r w:rsidR="7442B7E2" w:rsidRPr="00AB4A23">
        <w:t xml:space="preserve"> and 1.4% of the male</w:t>
      </w:r>
      <w:r w:rsidR="00E25520" w:rsidRPr="00AB4A23">
        <w:t>s</w:t>
      </w:r>
      <w:r w:rsidR="7442B7E2" w:rsidRPr="00AB4A23">
        <w:t xml:space="preserve"> </w:t>
      </w:r>
      <w:r w:rsidR="00E25520" w:rsidRPr="00AB4A23">
        <w:t>aged 20-24 had</w:t>
      </w:r>
      <w:r w:rsidR="7442B7E2" w:rsidRPr="00AB4A23">
        <w:t xml:space="preserve"> higher education</w:t>
      </w:r>
      <w:r w:rsidR="7040414E" w:rsidRPr="00AB4A23">
        <w:t>.</w:t>
      </w:r>
      <w:r w:rsidR="00A97B52" w:rsidRPr="00AB4A23">
        <w:t xml:space="preserve"> For much of the paper, </w:t>
      </w:r>
      <w:r w:rsidR="006CF11D" w:rsidRPr="00AB4A23">
        <w:t>w</w:t>
      </w:r>
      <w:r w:rsidR="00A97B52" w:rsidRPr="00AB4A23">
        <w:t xml:space="preserve">e focus attention on marriage patterns among those aged 25 years and over in order to reduce the impact of this bias. </w:t>
      </w:r>
    </w:p>
    <w:p w14:paraId="6A623F99" w14:textId="2E74820B" w:rsidR="007667AE" w:rsidRPr="00AB4A23" w:rsidRDefault="00FE688B" w:rsidP="0AA2609C">
      <w:pPr>
        <w:pStyle w:val="Paragraph"/>
        <w:spacing w:before="0"/>
        <w:ind w:firstLine="720"/>
      </w:pPr>
      <w:r w:rsidRPr="00AB4A23">
        <w:t>We show</w:t>
      </w:r>
      <w:r w:rsidR="007667AE" w:rsidRPr="00AB4A23">
        <w:t xml:space="preserve"> </w:t>
      </w:r>
      <w:r w:rsidR="00D31A64" w:rsidRPr="00AB4A23">
        <w:t xml:space="preserve">the </w:t>
      </w:r>
      <w:r w:rsidR="007667AE" w:rsidRPr="00AB4A23">
        <w:t xml:space="preserve">results of chi-squared tests to compare </w:t>
      </w:r>
      <w:r w:rsidR="00D31A64" w:rsidRPr="00AB4A23">
        <w:t xml:space="preserve">the distributions of </w:t>
      </w:r>
      <w:r w:rsidR="007667AE" w:rsidRPr="00AB4A23">
        <w:t>current</w:t>
      </w:r>
      <w:r w:rsidR="00D31A64" w:rsidRPr="00AB4A23">
        <w:t xml:space="preserve"> </w:t>
      </w:r>
      <w:r w:rsidR="007667AE" w:rsidRPr="00AB4A23">
        <w:t xml:space="preserve">status </w:t>
      </w:r>
      <w:r w:rsidR="001D3418" w:rsidRPr="00AB4A23">
        <w:t xml:space="preserve">binary </w:t>
      </w:r>
      <w:r w:rsidR="007667AE" w:rsidRPr="00AB4A23">
        <w:t>variables (never</w:t>
      </w:r>
      <w:r w:rsidR="00D31A64" w:rsidRPr="00AB4A23">
        <w:t>-</w:t>
      </w:r>
      <w:r w:rsidR="007667AE" w:rsidRPr="00AB4A23">
        <w:t>married and ever</w:t>
      </w:r>
      <w:r w:rsidR="00D31A64" w:rsidRPr="00AB4A23">
        <w:t>-</w:t>
      </w:r>
      <w:r w:rsidR="007667AE" w:rsidRPr="00AB4A23">
        <w:t xml:space="preserve">married) </w:t>
      </w:r>
      <w:r w:rsidR="00146349" w:rsidRPr="00AB4A23">
        <w:t>by</w:t>
      </w:r>
      <w:r w:rsidR="007667AE" w:rsidRPr="00AB4A23">
        <w:t xml:space="preserve"> social and economic characteristics. </w:t>
      </w:r>
      <w:r w:rsidR="00F517D1" w:rsidRPr="00AB4A23">
        <w:t xml:space="preserve">These include: </w:t>
      </w:r>
      <w:r w:rsidR="001D3418" w:rsidRPr="00AB4A23">
        <w:t>residence (</w:t>
      </w:r>
      <w:r w:rsidR="00F517D1" w:rsidRPr="00AB4A23">
        <w:t>urban/rural</w:t>
      </w:r>
      <w:r w:rsidR="001D3418" w:rsidRPr="00AB4A23">
        <w:t>)</w:t>
      </w:r>
      <w:r w:rsidR="00F517D1" w:rsidRPr="00AB4A23">
        <w:t xml:space="preserve"> status; higher education (university level or above); highest wealth quintile; whether or not the individual was currently working at the time of the survey; if working, whether they were working in a professional or managerial position; and whether they had ever </w:t>
      </w:r>
      <w:r w:rsidR="000B544F" w:rsidRPr="00AB4A23">
        <w:t>had</w:t>
      </w:r>
      <w:r w:rsidR="00F517D1" w:rsidRPr="00AB4A23">
        <w:t xml:space="preserve"> sexual </w:t>
      </w:r>
      <w:r w:rsidR="001D3418" w:rsidRPr="00AB4A23">
        <w:t>relations</w:t>
      </w:r>
      <w:r w:rsidR="00F517D1" w:rsidRPr="00AB4A23">
        <w:t xml:space="preserve">. </w:t>
      </w:r>
      <w:r w:rsidR="000B544F" w:rsidRPr="00AB4A23">
        <w:t xml:space="preserve">We conducted </w:t>
      </w:r>
      <w:r w:rsidR="001D3418" w:rsidRPr="00AB4A23">
        <w:t xml:space="preserve">chi-square </w:t>
      </w:r>
      <w:r w:rsidR="007667AE" w:rsidRPr="00AB4A23">
        <w:t xml:space="preserve">tests </w:t>
      </w:r>
      <w:r w:rsidR="000B544F" w:rsidRPr="00AB4A23">
        <w:t xml:space="preserve">separately </w:t>
      </w:r>
      <w:r w:rsidR="007667AE" w:rsidRPr="00AB4A23">
        <w:t xml:space="preserve">for men and women </w:t>
      </w:r>
      <w:r w:rsidR="000B544F" w:rsidRPr="00AB4A23">
        <w:t>aged between 20 and 49 years</w:t>
      </w:r>
      <w:r w:rsidR="00F61F1D" w:rsidRPr="00AB4A23">
        <w:t>, in five-year interval</w:t>
      </w:r>
      <w:r w:rsidR="00A97B52" w:rsidRPr="00AB4A23">
        <w:t>s</w:t>
      </w:r>
      <w:r w:rsidR="00F61F1D" w:rsidRPr="00AB4A23">
        <w:t>, at the time of the survey</w:t>
      </w:r>
      <w:r w:rsidR="00D31A64" w:rsidRPr="00AB4A23">
        <w:t xml:space="preserve">.  </w:t>
      </w:r>
      <w:r w:rsidR="007667AE" w:rsidRPr="00AB4A23">
        <w:t xml:space="preserve">For the purposes of this paper, </w:t>
      </w:r>
      <w:r w:rsidR="2005FA11" w:rsidRPr="00AB4A23">
        <w:t xml:space="preserve">descriptive </w:t>
      </w:r>
      <w:r w:rsidR="007667AE" w:rsidRPr="00AB4A23">
        <w:t xml:space="preserve">results </w:t>
      </w:r>
      <w:r w:rsidR="00A84F20" w:rsidRPr="00AB4A23">
        <w:t xml:space="preserve">are shown </w:t>
      </w:r>
      <w:r w:rsidR="007667AE" w:rsidRPr="00AB4A23">
        <w:t>for the</w:t>
      </w:r>
      <w:r w:rsidR="007163B5" w:rsidRPr="00AB4A23">
        <w:t xml:space="preserve"> </w:t>
      </w:r>
      <w:r w:rsidR="00D31A64" w:rsidRPr="00AB4A23">
        <w:t xml:space="preserve">cohorts aged </w:t>
      </w:r>
      <w:r w:rsidR="007163B5" w:rsidRPr="00AB4A23">
        <w:t>25-29, 35-39 and</w:t>
      </w:r>
      <w:r w:rsidR="007667AE" w:rsidRPr="00AB4A23">
        <w:t xml:space="preserve"> 45-49 year</w:t>
      </w:r>
      <w:r w:rsidR="00D31A64" w:rsidRPr="00AB4A23">
        <w:t>s</w:t>
      </w:r>
      <w:r w:rsidR="007667AE" w:rsidRPr="00AB4A23">
        <w:t xml:space="preserve"> </w:t>
      </w:r>
      <w:r w:rsidR="00A97B52" w:rsidRPr="00AB4A23">
        <w:t xml:space="preserve">at the time of the survey </w:t>
      </w:r>
      <w:r w:rsidR="00593E3E" w:rsidRPr="00AB4A23">
        <w:t>to</w:t>
      </w:r>
      <w:r w:rsidR="00A7700F" w:rsidRPr="00AB4A23">
        <w:t xml:space="preserve"> </w:t>
      </w:r>
      <w:r w:rsidR="007163B5" w:rsidRPr="00AB4A23">
        <w:t xml:space="preserve">demonstrate </w:t>
      </w:r>
      <w:r w:rsidR="00F61F1D" w:rsidRPr="00AB4A23">
        <w:t xml:space="preserve">the </w:t>
      </w:r>
      <w:r w:rsidR="007163B5" w:rsidRPr="00AB4A23">
        <w:t>variation across cohorts</w:t>
      </w:r>
      <w:r w:rsidR="00A7700F" w:rsidRPr="00AB4A23">
        <w:t xml:space="preserve"> who </w:t>
      </w:r>
      <w:r w:rsidR="001D3418" w:rsidRPr="00AB4A23">
        <w:t>reached</w:t>
      </w:r>
      <w:r w:rsidR="00A7700F" w:rsidRPr="00AB4A23">
        <w:t xml:space="preserve"> marriageable age in different decades</w:t>
      </w:r>
      <w:r w:rsidR="007667AE" w:rsidRPr="00AB4A23">
        <w:t>.</w:t>
      </w:r>
      <w:r w:rsidR="00A820EE" w:rsidRPr="00AB4A23">
        <w:t xml:space="preserve"> </w:t>
      </w:r>
      <w:r w:rsidR="00DF5B64" w:rsidRPr="00AB4A23">
        <w:t xml:space="preserve">Descriptive results </w:t>
      </w:r>
      <w:r w:rsidR="00A820EE" w:rsidRPr="00AB4A23">
        <w:t xml:space="preserve">for </w:t>
      </w:r>
      <w:r w:rsidR="00F61F1D" w:rsidRPr="00AB4A23">
        <w:t xml:space="preserve">those aged 20-49 </w:t>
      </w:r>
      <w:r w:rsidR="00A97B52" w:rsidRPr="00AB4A23">
        <w:t xml:space="preserve">years </w:t>
      </w:r>
      <w:r w:rsidR="001D3418" w:rsidRPr="00AB4A23">
        <w:t xml:space="preserve">are reported </w:t>
      </w:r>
      <w:r w:rsidR="00A820EE" w:rsidRPr="00AB4A23">
        <w:t>in Appendices 1a</w:t>
      </w:r>
      <w:r w:rsidR="00DF5B64" w:rsidRPr="00AB4A23">
        <w:t xml:space="preserve"> and </w:t>
      </w:r>
      <w:r w:rsidR="00A820EE" w:rsidRPr="00AB4A23">
        <w:t>1b.</w:t>
      </w:r>
      <w:r w:rsidR="007667AE" w:rsidRPr="00AB4A23">
        <w:t xml:space="preserve"> </w:t>
      </w:r>
      <w:r w:rsidR="001038E0" w:rsidRPr="00AB4A23">
        <w:t xml:space="preserve"> </w:t>
      </w:r>
    </w:p>
    <w:p w14:paraId="562EB1B0" w14:textId="1AD57034" w:rsidR="007667AE" w:rsidRPr="00AB4A23" w:rsidRDefault="007163B5" w:rsidP="0AA2609C">
      <w:pPr>
        <w:pStyle w:val="Paragraph"/>
        <w:spacing w:before="0"/>
        <w:ind w:firstLine="720"/>
      </w:pPr>
      <w:r w:rsidRPr="00AB4A23">
        <w:t xml:space="preserve">The effect of </w:t>
      </w:r>
      <w:r w:rsidR="00D31A64" w:rsidRPr="00AB4A23">
        <w:t>social and economic</w:t>
      </w:r>
      <w:r w:rsidRPr="00AB4A23">
        <w:t xml:space="preserve"> characteristics on entry into m</w:t>
      </w:r>
      <w:r w:rsidR="007667AE" w:rsidRPr="00AB4A23">
        <w:t xml:space="preserve">arriage </w:t>
      </w:r>
      <w:r w:rsidRPr="00AB4A23">
        <w:t>was assessed using</w:t>
      </w:r>
      <w:r w:rsidR="00F96554" w:rsidRPr="00AB4A23">
        <w:t xml:space="preserve"> </w:t>
      </w:r>
      <w:r w:rsidR="007667AE" w:rsidRPr="00AB4A23">
        <w:t xml:space="preserve">Cox </w:t>
      </w:r>
      <w:r w:rsidR="00192E8E" w:rsidRPr="00AB4A23">
        <w:t xml:space="preserve">proportional hazard </w:t>
      </w:r>
      <w:r w:rsidR="007667AE" w:rsidRPr="00AB4A23">
        <w:t>regression models</w:t>
      </w:r>
      <w:r w:rsidR="00E80CA7" w:rsidRPr="00AB4A23">
        <w:t>,</w:t>
      </w:r>
      <w:r w:rsidRPr="00AB4A23">
        <w:t xml:space="preserve"> </w:t>
      </w:r>
      <w:r w:rsidR="00E80CA7" w:rsidRPr="00AB4A23">
        <w:t xml:space="preserve">estimating </w:t>
      </w:r>
      <w:r w:rsidRPr="00AB4A23">
        <w:t xml:space="preserve">the hazard </w:t>
      </w:r>
      <w:r w:rsidR="00E834F3" w:rsidRPr="00AB4A23">
        <w:t xml:space="preserve">at different </w:t>
      </w:r>
      <w:r w:rsidR="00D31A64" w:rsidRPr="00AB4A23">
        <w:t>duration</w:t>
      </w:r>
      <w:r w:rsidR="00E834F3" w:rsidRPr="00AB4A23">
        <w:t>s</w:t>
      </w:r>
      <w:r w:rsidRPr="00AB4A23">
        <w:t xml:space="preserve"> of an individual changing from never</w:t>
      </w:r>
      <w:r w:rsidR="00D31A64" w:rsidRPr="00AB4A23">
        <w:t>-</w:t>
      </w:r>
      <w:r w:rsidRPr="00AB4A23">
        <w:t xml:space="preserve">married to ever-married status. </w:t>
      </w:r>
      <w:r w:rsidR="00635338" w:rsidRPr="00AB4A23">
        <w:t xml:space="preserve">The </w:t>
      </w:r>
      <w:r w:rsidR="004B59A7" w:rsidRPr="00AB4A23">
        <w:t xml:space="preserve">Myanmar </w:t>
      </w:r>
      <w:r w:rsidR="00635338" w:rsidRPr="00AB4A23">
        <w:t xml:space="preserve">DHS did not </w:t>
      </w:r>
      <w:r w:rsidR="004968EA" w:rsidRPr="00AB4A23">
        <w:t>record the</w:t>
      </w:r>
      <w:r w:rsidR="00635338" w:rsidRPr="00AB4A23">
        <w:t xml:space="preserve"> age at first marriage</w:t>
      </w:r>
      <w:r w:rsidR="36990757" w:rsidRPr="00AB4A23">
        <w:t>. Instead it asked women what age they started living with their first spouse</w:t>
      </w:r>
      <w:r w:rsidR="3B6D3A9C" w:rsidRPr="00AB4A23">
        <w:t xml:space="preserve">. This is interpreted as </w:t>
      </w:r>
      <w:r w:rsidR="00A97B52" w:rsidRPr="00AB4A23">
        <w:t xml:space="preserve">indicating </w:t>
      </w:r>
      <w:r w:rsidR="3B6D3A9C" w:rsidRPr="00AB4A23">
        <w:t>age at marriage</w:t>
      </w:r>
      <w:r w:rsidR="004968EA" w:rsidRPr="00AB4A23">
        <w:t>,</w:t>
      </w:r>
      <w:r w:rsidR="3E346D91" w:rsidRPr="00AB4A23">
        <w:t xml:space="preserve"> as cohabitation outside of marriage is generally </w:t>
      </w:r>
      <w:r w:rsidR="004968EA" w:rsidRPr="00AB4A23">
        <w:t>uncommon</w:t>
      </w:r>
      <w:r w:rsidR="00A97B52" w:rsidRPr="00AB4A23">
        <w:t xml:space="preserve"> </w:t>
      </w:r>
      <w:r w:rsidR="3E346D91" w:rsidRPr="00AB4A23">
        <w:t xml:space="preserve">in Myanmar. </w:t>
      </w:r>
      <w:r w:rsidR="004968EA" w:rsidRPr="00AB4A23">
        <w:t>W</w:t>
      </w:r>
      <w:r w:rsidR="3E346D91" w:rsidRPr="00AB4A23">
        <w:t xml:space="preserve">e </w:t>
      </w:r>
      <w:r w:rsidR="004968EA" w:rsidRPr="00AB4A23">
        <w:t xml:space="preserve">examined the 2016 DHS and </w:t>
      </w:r>
      <w:r w:rsidR="3E346D91" w:rsidRPr="00AB4A23">
        <w:t>confirmed that</w:t>
      </w:r>
      <w:r w:rsidR="00635338" w:rsidRPr="00AB4A23">
        <w:t xml:space="preserve"> </w:t>
      </w:r>
      <w:r w:rsidR="005F1850" w:rsidRPr="00AB4A23">
        <w:t>very few</w:t>
      </w:r>
      <w:r w:rsidR="00635338" w:rsidRPr="00AB4A23">
        <w:t xml:space="preserve"> wom</w:t>
      </w:r>
      <w:r w:rsidR="709A9D43" w:rsidRPr="00AB4A23">
        <w:t>e</w:t>
      </w:r>
      <w:r w:rsidR="00635338" w:rsidRPr="00AB4A23">
        <w:t>n</w:t>
      </w:r>
      <w:r w:rsidR="3D195C30" w:rsidRPr="00AB4A23">
        <w:t xml:space="preserve"> (0.4% of those never married)</w:t>
      </w:r>
      <w:r w:rsidR="00635338" w:rsidRPr="00AB4A23">
        <w:t xml:space="preserve"> reported sexual activity outside of marriage. For these reasons, we </w:t>
      </w:r>
      <w:r w:rsidR="00700337" w:rsidRPr="00AB4A23">
        <w:t xml:space="preserve">felt </w:t>
      </w:r>
      <w:r w:rsidR="00635338" w:rsidRPr="00AB4A23">
        <w:t xml:space="preserve">confident that age at first cohabitation can be used </w:t>
      </w:r>
      <w:r w:rsidR="004968EA" w:rsidRPr="00AB4A23">
        <w:t>as a proxy for</w:t>
      </w:r>
      <w:r w:rsidR="00635338" w:rsidRPr="00AB4A23">
        <w:t xml:space="preserve"> age at first marriage </w:t>
      </w:r>
      <w:r w:rsidR="004968EA" w:rsidRPr="00AB4A23">
        <w:t>in Myanmar</w:t>
      </w:r>
      <w:r w:rsidR="00635338" w:rsidRPr="00AB4A23">
        <w:t>.</w:t>
      </w:r>
      <w:r w:rsidR="00440DC3" w:rsidRPr="00AB4A23">
        <w:t xml:space="preserve"> </w:t>
      </w:r>
      <w:r w:rsidR="00733A2C" w:rsidRPr="00AB4A23">
        <w:t xml:space="preserve">The underlying time variable for the survival analysis is measured the </w:t>
      </w:r>
      <w:r w:rsidR="00EA1A2B" w:rsidRPr="00AB4A23">
        <w:t xml:space="preserve">duration </w:t>
      </w:r>
      <w:r w:rsidR="00D31A64" w:rsidRPr="00AB4A23">
        <w:t>between</w:t>
      </w:r>
      <w:r w:rsidR="004B59A7" w:rsidRPr="00AB4A23">
        <w:t xml:space="preserve"> </w:t>
      </w:r>
      <w:r w:rsidR="002A4291" w:rsidRPr="00AB4A23">
        <w:t xml:space="preserve">the person attaining the </w:t>
      </w:r>
      <w:r w:rsidR="004B59A7" w:rsidRPr="00AB4A23">
        <w:t xml:space="preserve">age </w:t>
      </w:r>
      <w:r w:rsidR="002A4291" w:rsidRPr="00AB4A23">
        <w:t xml:space="preserve">of </w:t>
      </w:r>
      <w:r w:rsidR="004B59A7" w:rsidRPr="00AB4A23">
        <w:t xml:space="preserve">10 </w:t>
      </w:r>
      <w:r w:rsidR="00D31A64" w:rsidRPr="00AB4A23">
        <w:t xml:space="preserve">years </w:t>
      </w:r>
      <w:r w:rsidR="00733A2C" w:rsidRPr="00AB4A23">
        <w:t xml:space="preserve">and </w:t>
      </w:r>
      <w:r w:rsidR="002A4291" w:rsidRPr="00AB4A23">
        <w:t xml:space="preserve">the recorded date of </w:t>
      </w:r>
      <w:r w:rsidR="004B59A7" w:rsidRPr="00AB4A23">
        <w:t>first cohabitation (</w:t>
      </w:r>
      <w:r w:rsidR="002A4291" w:rsidRPr="00AB4A23">
        <w:t xml:space="preserve">the event) </w:t>
      </w:r>
      <w:r w:rsidR="004B59A7" w:rsidRPr="00AB4A23">
        <w:t xml:space="preserve">or the </w:t>
      </w:r>
      <w:r w:rsidR="00733A2C" w:rsidRPr="00AB4A23">
        <w:t xml:space="preserve">date </w:t>
      </w:r>
      <w:r w:rsidR="002A4291" w:rsidRPr="00AB4A23">
        <w:t xml:space="preserve">of the </w:t>
      </w:r>
      <w:r w:rsidR="004B59A7" w:rsidRPr="00AB4A23">
        <w:t>survey</w:t>
      </w:r>
      <w:r w:rsidR="002A4291" w:rsidRPr="00AB4A23">
        <w:t xml:space="preserve"> </w:t>
      </w:r>
      <w:r w:rsidR="004B59A7" w:rsidRPr="00AB4A23">
        <w:t>(censor</w:t>
      </w:r>
      <w:r w:rsidR="002A4291" w:rsidRPr="00AB4A23">
        <w:t>ed cases</w:t>
      </w:r>
      <w:r w:rsidR="004B59A7" w:rsidRPr="00AB4A23">
        <w:t xml:space="preserve">). </w:t>
      </w:r>
      <w:r w:rsidR="00733A2C" w:rsidRPr="00AB4A23">
        <w:t xml:space="preserve">The </w:t>
      </w:r>
      <w:r w:rsidR="00733A2C" w:rsidRPr="00AB4A23">
        <w:lastRenderedPageBreak/>
        <w:t xml:space="preserve">minimum reported age at cohabitation in the survey was 10 years, and hence we defined the exposure from age 10 onwards. </w:t>
      </w:r>
    </w:p>
    <w:p w14:paraId="2DA66E9F" w14:textId="566B7119" w:rsidR="004755D7" w:rsidRPr="00AB4A23" w:rsidRDefault="00192E8E" w:rsidP="0AA2609C">
      <w:pPr>
        <w:pStyle w:val="Paragraph"/>
        <w:spacing w:before="0"/>
        <w:ind w:firstLine="720"/>
      </w:pPr>
      <w:r w:rsidRPr="00AB4A23">
        <w:t>T</w:t>
      </w:r>
      <w:r w:rsidR="00FC2B6F" w:rsidRPr="00AB4A23">
        <w:t xml:space="preserve">he Cox regression </w:t>
      </w:r>
      <w:r w:rsidR="002A4291" w:rsidRPr="00AB4A23">
        <w:t>model allows the underlying hazard to be determined non-parametrically by the data (</w:t>
      </w:r>
      <w:r w:rsidR="00D331D2" w:rsidRPr="00AB4A23">
        <w:t>Bradburn</w:t>
      </w:r>
      <w:r w:rsidR="6DF8842A" w:rsidRPr="00AB4A23">
        <w:t xml:space="preserve"> et al.</w:t>
      </w:r>
      <w:r w:rsidR="00D331D2" w:rsidRPr="00AB4A23">
        <w:t>, 2003;</w:t>
      </w:r>
      <w:r w:rsidR="0087277C" w:rsidRPr="00AB4A23">
        <w:t xml:space="preserve"> Cox </w:t>
      </w:r>
      <w:r w:rsidR="00D331D2" w:rsidRPr="00AB4A23">
        <w:t>&amp;</w:t>
      </w:r>
      <w:r w:rsidR="0087277C" w:rsidRPr="00AB4A23">
        <w:t xml:space="preserve"> Oakes</w:t>
      </w:r>
      <w:r w:rsidR="00D331D2" w:rsidRPr="00AB4A23">
        <w:t>,</w:t>
      </w:r>
      <w:r w:rsidR="0087277C" w:rsidRPr="00AB4A23">
        <w:t xml:space="preserve"> 1984</w:t>
      </w:r>
      <w:r w:rsidR="002A4291" w:rsidRPr="00AB4A23">
        <w:t>)</w:t>
      </w:r>
      <w:r w:rsidR="00F815E0" w:rsidRPr="00AB4A23">
        <w:t xml:space="preserve">. </w:t>
      </w:r>
      <w:r w:rsidR="00AE2B20" w:rsidRPr="00AB4A23">
        <w:t>R</w:t>
      </w:r>
      <w:r w:rsidR="005C518B" w:rsidRPr="00AB4A23">
        <w:t xml:space="preserve">egressions with parametric baseline hazards are </w:t>
      </w:r>
      <w:r w:rsidR="00275A09" w:rsidRPr="00AB4A23">
        <w:t xml:space="preserve">often </w:t>
      </w:r>
      <w:r w:rsidR="005C518B" w:rsidRPr="00AB4A23">
        <w:t xml:space="preserve">used to examine the characteristics associated with entry into marriage (Reda &amp; Lindstrom, </w:t>
      </w:r>
      <w:r w:rsidR="00AE2B20" w:rsidRPr="00AB4A23">
        <w:t>2014).</w:t>
      </w:r>
      <w:r w:rsidR="005C518B" w:rsidRPr="00AB4A23">
        <w:t xml:space="preserve"> </w:t>
      </w:r>
      <w:r w:rsidR="00A97B52" w:rsidRPr="00AB4A23">
        <w:t>A</w:t>
      </w:r>
      <w:r w:rsidR="00F815E0" w:rsidRPr="00AB4A23">
        <w:t xml:space="preserve"> </w:t>
      </w:r>
      <w:r w:rsidR="002A4291" w:rsidRPr="00AB4A23">
        <w:t xml:space="preserve">model with a </w:t>
      </w:r>
      <w:r w:rsidR="00F815E0" w:rsidRPr="00AB4A23">
        <w:t xml:space="preserve">non-parametric </w:t>
      </w:r>
      <w:r w:rsidR="002A4291" w:rsidRPr="00AB4A23">
        <w:t>underlying hazard</w:t>
      </w:r>
      <w:r w:rsidR="00A97B52" w:rsidRPr="00AB4A23">
        <w:t>, however,</w:t>
      </w:r>
      <w:r w:rsidR="00F815E0" w:rsidRPr="00AB4A23">
        <w:t xml:space="preserve"> </w:t>
      </w:r>
      <w:r w:rsidR="002A4291" w:rsidRPr="00AB4A23">
        <w:t>o</w:t>
      </w:r>
      <w:r w:rsidR="00F815E0" w:rsidRPr="00AB4A23">
        <w:t>ffer</w:t>
      </w:r>
      <w:r w:rsidR="002A4291" w:rsidRPr="00AB4A23">
        <w:t>s</w:t>
      </w:r>
      <w:r w:rsidR="00F815E0" w:rsidRPr="00AB4A23">
        <w:t xml:space="preserve"> an opportunity to explore the distribution of</w:t>
      </w:r>
      <w:r w:rsidR="00A97B52" w:rsidRPr="00AB4A23">
        <w:t xml:space="preserve"> the</w:t>
      </w:r>
      <w:r w:rsidR="00F815E0" w:rsidRPr="00AB4A23">
        <w:t xml:space="preserve"> hazard</w:t>
      </w:r>
      <w:r w:rsidR="00A97B52" w:rsidRPr="00AB4A23">
        <w:t>s</w:t>
      </w:r>
      <w:r w:rsidR="00194C09" w:rsidRPr="00AB4A23">
        <w:t xml:space="preserve"> without the </w:t>
      </w:r>
      <w:r w:rsidR="002A4291" w:rsidRPr="00AB4A23">
        <w:t xml:space="preserve">constraints </w:t>
      </w:r>
      <w:r w:rsidR="00194C09" w:rsidRPr="00AB4A23">
        <w:t xml:space="preserve">stemming from a </w:t>
      </w:r>
      <w:r w:rsidR="002A4291" w:rsidRPr="00AB4A23">
        <w:t>parametric specification</w:t>
      </w:r>
      <w:r w:rsidR="00F815E0" w:rsidRPr="00AB4A23">
        <w:t>.</w:t>
      </w:r>
      <w:r w:rsidR="00FC2B6F" w:rsidRPr="00AB4A23">
        <w:t xml:space="preserve"> Similar approaches have been used to analyse marriage trends in other countries (</w:t>
      </w:r>
      <w:r w:rsidR="00D331D2" w:rsidRPr="00AB4A23">
        <w:t>Adebowale</w:t>
      </w:r>
      <w:r w:rsidR="63F1E36E" w:rsidRPr="00AB4A23">
        <w:t xml:space="preserve"> et al.</w:t>
      </w:r>
      <w:r w:rsidR="00D331D2" w:rsidRPr="00AB4A23">
        <w:t xml:space="preserve">, </w:t>
      </w:r>
      <w:r w:rsidR="00FC2B6F" w:rsidRPr="00AB4A23">
        <w:t>2012</w:t>
      </w:r>
      <w:r w:rsidR="00D331D2" w:rsidRPr="00AB4A23">
        <w:t>;</w:t>
      </w:r>
      <w:r w:rsidR="00194C09" w:rsidRPr="00AB4A23">
        <w:t xml:space="preserve"> McGinnis</w:t>
      </w:r>
      <w:r w:rsidR="00D331D2" w:rsidRPr="00AB4A23">
        <w:t>, 2003;</w:t>
      </w:r>
      <w:r w:rsidR="00194C09" w:rsidRPr="00AB4A23">
        <w:t xml:space="preserve"> </w:t>
      </w:r>
      <w:proofErr w:type="spellStart"/>
      <w:r w:rsidR="00194C09" w:rsidRPr="00AB4A23">
        <w:t>Ikamari</w:t>
      </w:r>
      <w:proofErr w:type="spellEnd"/>
      <w:r w:rsidR="00D331D2" w:rsidRPr="00AB4A23">
        <w:t>,</w:t>
      </w:r>
      <w:r w:rsidR="00194C09" w:rsidRPr="00AB4A23">
        <w:t xml:space="preserve"> 2005</w:t>
      </w:r>
      <w:r w:rsidR="00FC2B6F" w:rsidRPr="00AB4A23">
        <w:t xml:space="preserve">). </w:t>
      </w:r>
    </w:p>
    <w:p w14:paraId="1B33FDA9" w14:textId="5E458C01" w:rsidR="004742A9" w:rsidRPr="00AB4A23" w:rsidRDefault="007163B5" w:rsidP="0AA2609C">
      <w:pPr>
        <w:pStyle w:val="Paragraph"/>
        <w:spacing w:before="0"/>
        <w:ind w:firstLine="720"/>
      </w:pPr>
      <w:r w:rsidRPr="00AB4A23">
        <w:t xml:space="preserve">We present the results of </w:t>
      </w:r>
      <w:r w:rsidR="001C0AA8" w:rsidRPr="00904E38">
        <w:rPr>
          <w:highlight w:val="yellow"/>
        </w:rPr>
        <w:t>two</w:t>
      </w:r>
      <w:r w:rsidR="001C0AA8">
        <w:t xml:space="preserve"> </w:t>
      </w:r>
      <w:r w:rsidR="00A97B52" w:rsidRPr="00AB4A23">
        <w:t xml:space="preserve">pooled models for </w:t>
      </w:r>
      <w:r w:rsidR="001255F7" w:rsidRPr="00AB4A23">
        <w:t>male</w:t>
      </w:r>
      <w:r w:rsidR="00A97B52" w:rsidRPr="00AB4A23">
        <w:t>s</w:t>
      </w:r>
      <w:r w:rsidR="001255F7" w:rsidRPr="00AB4A23">
        <w:t xml:space="preserve"> and female</w:t>
      </w:r>
      <w:r w:rsidR="001C0AA8">
        <w:t>s</w:t>
      </w:r>
      <w:r w:rsidR="006B2A6E" w:rsidRPr="00AB4A23">
        <w:t>,</w:t>
      </w:r>
      <w:r w:rsidR="001255F7" w:rsidRPr="00AB4A23">
        <w:t xml:space="preserve"> </w:t>
      </w:r>
      <w:r w:rsidR="00B36DA7" w:rsidRPr="00AB4A23">
        <w:t xml:space="preserve">with </w:t>
      </w:r>
      <w:r w:rsidR="00A97B52" w:rsidRPr="00AB4A23">
        <w:t xml:space="preserve">the </w:t>
      </w:r>
      <w:r w:rsidR="009A54E0" w:rsidRPr="00AB4A23">
        <w:t>variables</w:t>
      </w:r>
      <w:r w:rsidR="001C18D8" w:rsidRPr="00AB4A23">
        <w:t xml:space="preserve"> </w:t>
      </w:r>
      <w:r w:rsidR="002C12D5" w:rsidRPr="00AB4A23">
        <w:t xml:space="preserve">highest level of education </w:t>
      </w:r>
      <w:r w:rsidR="009A54E0" w:rsidRPr="00AB4A23">
        <w:t>attainment</w:t>
      </w:r>
      <w:r w:rsidR="002C12D5" w:rsidRPr="00AB4A23">
        <w:t xml:space="preserve"> and current work status as primary indicators of interest. </w:t>
      </w:r>
      <w:r w:rsidR="00963DD6" w:rsidRPr="00AB4A23">
        <w:t xml:space="preserve">The </w:t>
      </w:r>
      <w:r w:rsidR="009A54E0" w:rsidRPr="00AB4A23">
        <w:t xml:space="preserve">estimates </w:t>
      </w:r>
      <w:r w:rsidR="00590701" w:rsidRPr="00AB4A23">
        <w:t>are</w:t>
      </w:r>
      <w:r w:rsidR="002C12D5" w:rsidRPr="00AB4A23">
        <w:t xml:space="preserve"> </w:t>
      </w:r>
      <w:r w:rsidR="009A54E0" w:rsidRPr="00AB4A23">
        <w:t>adjusted</w:t>
      </w:r>
      <w:r w:rsidR="002C12D5" w:rsidRPr="00AB4A23">
        <w:t xml:space="preserve"> for urban/rural residence, age cohort</w:t>
      </w:r>
      <w:r w:rsidR="00817D30" w:rsidRPr="00AB4A23">
        <w:t xml:space="preserve"> </w:t>
      </w:r>
      <w:r w:rsidR="006F6D48" w:rsidRPr="00AB4A23">
        <w:t xml:space="preserve">and </w:t>
      </w:r>
      <w:r w:rsidR="002C12D5" w:rsidRPr="00AB4A23">
        <w:t>urban/rural wealth quintile</w:t>
      </w:r>
      <w:r w:rsidR="006F6D48" w:rsidRPr="00AB4A23">
        <w:t>s</w:t>
      </w:r>
      <w:r w:rsidRPr="00AB4A23">
        <w:t>.</w:t>
      </w:r>
      <w:r w:rsidR="009A54E0" w:rsidRPr="00AB4A23">
        <w:t xml:space="preserve"> We </w:t>
      </w:r>
      <w:r w:rsidR="001C18D8" w:rsidRPr="00AB4A23">
        <w:t xml:space="preserve">also </w:t>
      </w:r>
      <w:r w:rsidR="00B36DA7" w:rsidRPr="00AB4A23">
        <w:t xml:space="preserve">adjusted </w:t>
      </w:r>
      <w:r w:rsidR="009A54E0" w:rsidRPr="00AB4A23">
        <w:t xml:space="preserve">for geographic region </w:t>
      </w:r>
      <w:r w:rsidR="00463E33" w:rsidRPr="00AB4A23">
        <w:t xml:space="preserve">in both </w:t>
      </w:r>
      <w:r w:rsidR="00B36DA7" w:rsidRPr="00AB4A23">
        <w:t>male and female</w:t>
      </w:r>
      <w:r w:rsidR="00463E33" w:rsidRPr="00AB4A23">
        <w:t xml:space="preserve"> models. </w:t>
      </w:r>
      <w:r w:rsidR="004F4AB1" w:rsidRPr="00AB4A23">
        <w:t xml:space="preserve">For </w:t>
      </w:r>
      <w:r w:rsidR="00B36DA7" w:rsidRPr="00AB4A23">
        <w:t>the female model</w:t>
      </w:r>
      <w:r w:rsidR="004F4AB1" w:rsidRPr="00AB4A23">
        <w:t xml:space="preserve">, </w:t>
      </w:r>
      <w:r w:rsidR="00A97B52" w:rsidRPr="00AB4A23">
        <w:t>marriage patterns were</w:t>
      </w:r>
      <w:r w:rsidR="009A54E0" w:rsidRPr="00AB4A23">
        <w:t xml:space="preserve"> significantly different only </w:t>
      </w:r>
      <w:r w:rsidR="00A97B52" w:rsidRPr="00AB4A23">
        <w:t>i</w:t>
      </w:r>
      <w:r w:rsidR="00463E33" w:rsidRPr="00AB4A23">
        <w:t xml:space="preserve">n five regions and states </w:t>
      </w:r>
      <w:r w:rsidR="009A54E0" w:rsidRPr="00AB4A23">
        <w:t xml:space="preserve">compared to </w:t>
      </w:r>
      <w:r w:rsidR="00B36DA7" w:rsidRPr="00AB4A23">
        <w:t>Yangon (</w:t>
      </w:r>
      <w:r w:rsidR="00A97B52" w:rsidRPr="00AB4A23">
        <w:t xml:space="preserve">the </w:t>
      </w:r>
      <w:r w:rsidR="00463E33" w:rsidRPr="00AB4A23">
        <w:t>reference</w:t>
      </w:r>
      <w:r w:rsidR="00A97B52" w:rsidRPr="00AB4A23">
        <w:t xml:space="preserve"> region</w:t>
      </w:r>
      <w:r w:rsidR="00B36DA7" w:rsidRPr="00AB4A23">
        <w:t>)</w:t>
      </w:r>
      <w:r w:rsidR="004F4AB1" w:rsidRPr="00AB4A23">
        <w:t xml:space="preserve">. For </w:t>
      </w:r>
      <w:r w:rsidR="00B36DA7" w:rsidRPr="00AB4A23">
        <w:t>male</w:t>
      </w:r>
      <w:r w:rsidR="00A97B52" w:rsidRPr="00AB4A23">
        <w:t>s</w:t>
      </w:r>
      <w:r w:rsidR="004F4AB1" w:rsidRPr="00AB4A23">
        <w:t xml:space="preserve">, region had no significant effect on the marriage hazard. </w:t>
      </w:r>
      <w:r w:rsidR="00A97B52" w:rsidRPr="00AB4A23">
        <w:t>We thus</w:t>
      </w:r>
      <w:r w:rsidR="004F4AB1" w:rsidRPr="00AB4A23">
        <w:t xml:space="preserve"> simplified the </w:t>
      </w:r>
      <w:r w:rsidR="00B36DA7" w:rsidRPr="00AB4A23">
        <w:t xml:space="preserve">female </w:t>
      </w:r>
      <w:r w:rsidR="004F4AB1" w:rsidRPr="00AB4A23">
        <w:t xml:space="preserve">model to </w:t>
      </w:r>
      <w:r w:rsidR="008A57D3" w:rsidRPr="00AB4A23">
        <w:t>show the effects of residenc</w:t>
      </w:r>
      <w:r w:rsidR="00A97B52" w:rsidRPr="00AB4A23">
        <w:t>e</w:t>
      </w:r>
      <w:r w:rsidR="008A57D3" w:rsidRPr="00AB4A23">
        <w:t xml:space="preserve"> in these five regions and states only</w:t>
      </w:r>
      <w:r w:rsidR="001C0AA8">
        <w:t xml:space="preserve">. </w:t>
      </w:r>
      <w:r w:rsidR="001C0AA8" w:rsidRPr="00904E38">
        <w:rPr>
          <w:highlight w:val="yellow"/>
        </w:rPr>
        <w:t xml:space="preserve">We </w:t>
      </w:r>
      <w:r w:rsidR="00120C93">
        <w:rPr>
          <w:highlight w:val="yellow"/>
        </w:rPr>
        <w:t xml:space="preserve">have also </w:t>
      </w:r>
      <w:r w:rsidR="001C0AA8" w:rsidRPr="00904E38">
        <w:rPr>
          <w:highlight w:val="yellow"/>
        </w:rPr>
        <w:t>include</w:t>
      </w:r>
      <w:r w:rsidR="00120C93">
        <w:rPr>
          <w:highlight w:val="yellow"/>
        </w:rPr>
        <w:t>d</w:t>
      </w:r>
      <w:r w:rsidR="001C0AA8" w:rsidRPr="00904E38">
        <w:rPr>
          <w:highlight w:val="yellow"/>
        </w:rPr>
        <w:t xml:space="preserve"> </w:t>
      </w:r>
      <w:r w:rsidR="008A57D3" w:rsidRPr="00904E38">
        <w:rPr>
          <w:highlight w:val="yellow"/>
        </w:rPr>
        <w:t xml:space="preserve">region </w:t>
      </w:r>
      <w:r w:rsidR="001C0AA8" w:rsidRPr="00904E38">
        <w:rPr>
          <w:highlight w:val="yellow"/>
        </w:rPr>
        <w:t xml:space="preserve">in </w:t>
      </w:r>
      <w:r w:rsidR="008A57D3" w:rsidRPr="00904E38">
        <w:rPr>
          <w:highlight w:val="yellow"/>
        </w:rPr>
        <w:t xml:space="preserve">the </w:t>
      </w:r>
      <w:r w:rsidR="00A97B52" w:rsidRPr="00904E38">
        <w:rPr>
          <w:highlight w:val="yellow"/>
        </w:rPr>
        <w:t>final model</w:t>
      </w:r>
      <w:r w:rsidR="001C0AA8" w:rsidRPr="00904E38">
        <w:rPr>
          <w:highlight w:val="yellow"/>
        </w:rPr>
        <w:t>s</w:t>
      </w:r>
      <w:r w:rsidR="00A97B52" w:rsidRPr="00904E38">
        <w:rPr>
          <w:highlight w:val="yellow"/>
        </w:rPr>
        <w:t xml:space="preserve"> for </w:t>
      </w:r>
      <w:r w:rsidR="00B36DA7" w:rsidRPr="00904E38">
        <w:rPr>
          <w:highlight w:val="yellow"/>
        </w:rPr>
        <w:t>male</w:t>
      </w:r>
      <w:r w:rsidR="00A97B52" w:rsidRPr="00904E38">
        <w:rPr>
          <w:highlight w:val="yellow"/>
        </w:rPr>
        <w:t>s</w:t>
      </w:r>
      <w:r w:rsidR="001C0AA8" w:rsidRPr="00904E38">
        <w:rPr>
          <w:highlight w:val="yellow"/>
        </w:rPr>
        <w:t xml:space="preserve"> for comparison</w:t>
      </w:r>
      <w:r w:rsidR="008A57D3" w:rsidRPr="00904E38">
        <w:rPr>
          <w:highlight w:val="yellow"/>
        </w:rPr>
        <w:t>.</w:t>
      </w:r>
      <w:r w:rsidR="008A57D3" w:rsidRPr="00AB4A23">
        <w:t xml:space="preserve"> </w:t>
      </w:r>
      <w:r w:rsidR="004742A9" w:rsidRPr="00AB4A23">
        <w:t xml:space="preserve">This did not </w:t>
      </w:r>
      <w:r w:rsidR="00B36DA7" w:rsidRPr="00AB4A23">
        <w:t xml:space="preserve">influence </w:t>
      </w:r>
      <w:r w:rsidR="004742A9" w:rsidRPr="00AB4A23">
        <w:t xml:space="preserve">the parameter estimates for other variables included in </w:t>
      </w:r>
      <w:r w:rsidR="001C18D8" w:rsidRPr="00AB4A23">
        <w:t>the</w:t>
      </w:r>
      <w:r w:rsidR="004742A9" w:rsidRPr="00AB4A23">
        <w:t xml:space="preserve"> model</w:t>
      </w:r>
      <w:r w:rsidR="00A97B52" w:rsidRPr="00AB4A23">
        <w:t>s</w:t>
      </w:r>
      <w:r w:rsidR="004742A9" w:rsidRPr="00AB4A23">
        <w:t>.</w:t>
      </w:r>
    </w:p>
    <w:p w14:paraId="05DEEB1E" w14:textId="46A0D001" w:rsidR="001602A9" w:rsidRPr="00AB4A23" w:rsidRDefault="009423DE" w:rsidP="0AA2609C">
      <w:pPr>
        <w:pStyle w:val="Paragraph"/>
        <w:spacing w:before="0"/>
        <w:ind w:firstLine="720"/>
      </w:pPr>
      <w:r w:rsidRPr="00AB4A23">
        <w:t xml:space="preserve">Household wealth status is measured by constructing a </w:t>
      </w:r>
      <w:r w:rsidR="00B36DA7" w:rsidRPr="00AB4A23">
        <w:t xml:space="preserve">standard </w:t>
      </w:r>
      <w:r w:rsidRPr="00AB4A23">
        <w:t>wealth index</w:t>
      </w:r>
      <w:r w:rsidR="00A97B52" w:rsidRPr="00AB4A23">
        <w:t xml:space="preserve"> and</w:t>
      </w:r>
      <w:r w:rsidRPr="00AB4A23">
        <w:t xml:space="preserve"> identifying the wealth quintile within which each household falls.  When a single wealth index is computed for all households, urban households tend to fall into higher wealth quintiles and rural households into lower wealth quintiles. Therefore, recent DHSs </w:t>
      </w:r>
      <w:r w:rsidR="003545CC" w:rsidRPr="00AB4A23">
        <w:t>compute</w:t>
      </w:r>
      <w:r w:rsidRPr="00AB4A23">
        <w:t xml:space="preserve"> wealth quintile variables separately for urban and rural settings, and then scale these to </w:t>
      </w:r>
      <w:r w:rsidRPr="00AB4A23">
        <w:lastRenderedPageBreak/>
        <w:t xml:space="preserve">generate a composite index that allows </w:t>
      </w:r>
      <w:r w:rsidR="00B36DA7" w:rsidRPr="00AB4A23">
        <w:t xml:space="preserve">for </w:t>
      </w:r>
      <w:r w:rsidRPr="00AB4A23">
        <w:t>comparability between urban and rural areas (</w:t>
      </w:r>
      <w:proofErr w:type="spellStart"/>
      <w:r w:rsidRPr="00AB4A23">
        <w:t>Rutstein</w:t>
      </w:r>
      <w:proofErr w:type="spellEnd"/>
      <w:r w:rsidRPr="00AB4A23">
        <w:t xml:space="preserve">, </w:t>
      </w:r>
      <w:proofErr w:type="spellStart"/>
      <w:r w:rsidRPr="00AB4A23">
        <w:t>n.d.</w:t>
      </w:r>
      <w:proofErr w:type="spellEnd"/>
      <w:r w:rsidRPr="00AB4A23">
        <w:t xml:space="preserve">).  This helps to adjust for differences in how wealth </w:t>
      </w:r>
      <w:r w:rsidR="00BC7819" w:rsidRPr="00AB4A23">
        <w:t xml:space="preserve">is </w:t>
      </w:r>
      <w:r w:rsidRPr="00AB4A23">
        <w:t>manifest for urban and rural dwellers.</w:t>
      </w:r>
      <w:r w:rsidR="00BC7819" w:rsidRPr="00AB4A23">
        <w:t xml:space="preserve"> </w:t>
      </w:r>
      <w:r w:rsidR="0194E108" w:rsidRPr="00AB4A23">
        <w:t>Our models include wealth quintiles</w:t>
      </w:r>
      <w:r w:rsidR="0F282A4C" w:rsidRPr="00AB4A23">
        <w:t xml:space="preserve"> calculated using the scaled composite wealth index, which are available through the DHS dataset.</w:t>
      </w:r>
      <w:r w:rsidRPr="00AB4A23">
        <w:t xml:space="preserve"> </w:t>
      </w:r>
    </w:p>
    <w:p w14:paraId="2CAFE87A" w14:textId="5683423A" w:rsidR="001602A9" w:rsidRPr="00AB4A23" w:rsidRDefault="001C0AA8" w:rsidP="0AA2609C">
      <w:pPr>
        <w:pStyle w:val="Paragraph"/>
        <w:spacing w:before="0"/>
        <w:ind w:firstLine="720"/>
      </w:pPr>
      <w:r w:rsidRPr="00904E38">
        <w:rPr>
          <w:highlight w:val="yellow"/>
        </w:rPr>
        <w:t>The first models for men and women include only the previously described variables, while the second models also</w:t>
      </w:r>
      <w:r w:rsidR="006252E8" w:rsidRPr="00AB4A23">
        <w:t xml:space="preserve"> include an</w:t>
      </w:r>
      <w:r w:rsidR="00BA7ED0" w:rsidRPr="00AB4A23">
        <w:t xml:space="preserve"> interaction</w:t>
      </w:r>
      <w:r w:rsidR="004A517D" w:rsidRPr="00AB4A23">
        <w:t xml:space="preserve"> </w:t>
      </w:r>
      <w:r w:rsidR="00172D1F" w:rsidRPr="00AB4A23">
        <w:t xml:space="preserve">term </w:t>
      </w:r>
      <w:r w:rsidR="00B36DA7" w:rsidRPr="00AB4A23">
        <w:t xml:space="preserve">to account for the likely association </w:t>
      </w:r>
      <w:r w:rsidR="00172D1F" w:rsidRPr="00AB4A23">
        <w:t xml:space="preserve">between an individual’s </w:t>
      </w:r>
      <w:r w:rsidR="00A7700F" w:rsidRPr="00AB4A23">
        <w:t>highest level of</w:t>
      </w:r>
      <w:r w:rsidR="00172D1F" w:rsidRPr="00AB4A23">
        <w:t xml:space="preserve"> education and </w:t>
      </w:r>
      <w:r w:rsidR="00BC7819" w:rsidRPr="00AB4A23">
        <w:t>his or her</w:t>
      </w:r>
      <w:r w:rsidR="00172D1F" w:rsidRPr="00AB4A23">
        <w:t xml:space="preserve"> current work status</w:t>
      </w:r>
      <w:r w:rsidR="007667AE" w:rsidRPr="00AB4A23">
        <w:t>.</w:t>
      </w:r>
      <w:r w:rsidR="00BB66EB" w:rsidRPr="00AB4A23">
        <w:t xml:space="preserve"> </w:t>
      </w:r>
      <w:r w:rsidR="00B36DA7" w:rsidRPr="00AB4A23">
        <w:t xml:space="preserve">The </w:t>
      </w:r>
      <w:r w:rsidR="00A30BC0" w:rsidRPr="00AB4A23">
        <w:t xml:space="preserve">underlying </w:t>
      </w:r>
      <w:r w:rsidR="00B36DA7" w:rsidRPr="00AB4A23">
        <w:t xml:space="preserve">assumption is </w:t>
      </w:r>
      <w:r w:rsidR="00A30BC0" w:rsidRPr="00AB4A23">
        <w:t xml:space="preserve">that </w:t>
      </w:r>
      <w:r w:rsidR="00DE4CDD" w:rsidRPr="00AB4A23">
        <w:t xml:space="preserve">those who </w:t>
      </w:r>
      <w:r w:rsidR="00A30BC0" w:rsidRPr="00AB4A23">
        <w:t xml:space="preserve">reported </w:t>
      </w:r>
      <w:r w:rsidR="00BC7819" w:rsidRPr="00AB4A23">
        <w:t xml:space="preserve">to be </w:t>
      </w:r>
      <w:r w:rsidR="00A30BC0" w:rsidRPr="00AB4A23">
        <w:t xml:space="preserve">working </w:t>
      </w:r>
      <w:r w:rsidR="001D4ABD" w:rsidRPr="00AB4A23">
        <w:t>and</w:t>
      </w:r>
      <w:r w:rsidR="00DE4CDD" w:rsidRPr="00AB4A23">
        <w:t xml:space="preserve"> </w:t>
      </w:r>
      <w:r w:rsidR="001316A3" w:rsidRPr="00AB4A23">
        <w:t xml:space="preserve">have </w:t>
      </w:r>
      <w:r w:rsidR="00DE4CDD" w:rsidRPr="00AB4A23">
        <w:t xml:space="preserve">a higher level of education are employed in </w:t>
      </w:r>
      <w:r w:rsidR="001F5976" w:rsidRPr="00AB4A23">
        <w:t xml:space="preserve">higher status occupations. </w:t>
      </w:r>
      <w:r w:rsidR="00234DEC" w:rsidRPr="00AB4A23">
        <w:t xml:space="preserve">For example, among </w:t>
      </w:r>
      <w:r w:rsidR="00712AB9" w:rsidRPr="00AB4A23">
        <w:t>women aged 20-49</w:t>
      </w:r>
      <w:r w:rsidR="00BC7819" w:rsidRPr="00AB4A23">
        <w:t xml:space="preserve"> years</w:t>
      </w:r>
      <w:r w:rsidR="00712AB9" w:rsidRPr="00AB4A23">
        <w:t xml:space="preserve">, </w:t>
      </w:r>
      <w:r w:rsidR="00174BF5" w:rsidRPr="00AB4A23">
        <w:t>39</w:t>
      </w:r>
      <w:r w:rsidR="00712AB9" w:rsidRPr="00AB4A23">
        <w:t>%</w:t>
      </w:r>
      <w:r w:rsidR="00BC7819" w:rsidRPr="00AB4A23">
        <w:t xml:space="preserve"> of those</w:t>
      </w:r>
      <w:r w:rsidR="00712AB9" w:rsidRPr="00AB4A23">
        <w:t xml:space="preserve"> with higher education worked in professional</w:t>
      </w:r>
      <w:r w:rsidR="00174BF5" w:rsidRPr="00AB4A23">
        <w:t xml:space="preserve"> or </w:t>
      </w:r>
      <w:r w:rsidR="00103249" w:rsidRPr="00AB4A23">
        <w:t>technical positions</w:t>
      </w:r>
      <w:r w:rsidR="00174BF5" w:rsidRPr="00AB4A23">
        <w:t xml:space="preserve"> compared </w:t>
      </w:r>
      <w:r w:rsidR="000230F0" w:rsidRPr="00AB4A23">
        <w:t xml:space="preserve">to only </w:t>
      </w:r>
      <w:r w:rsidR="00174BF5" w:rsidRPr="00AB4A23">
        <w:t>2.7</w:t>
      </w:r>
      <w:r w:rsidR="000230F0" w:rsidRPr="00AB4A23">
        <w:t xml:space="preserve">% of </w:t>
      </w:r>
      <w:r w:rsidR="00A30BC0" w:rsidRPr="00AB4A23">
        <w:t xml:space="preserve">their counterparts </w:t>
      </w:r>
      <w:r w:rsidR="000230F0" w:rsidRPr="00AB4A23">
        <w:t xml:space="preserve">without any formal education. </w:t>
      </w:r>
      <w:r w:rsidR="00591F5B" w:rsidRPr="00AB4A23">
        <w:t xml:space="preserve">There are similar trends for men: 35% </w:t>
      </w:r>
      <w:r w:rsidR="00BC7819" w:rsidRPr="00AB4A23">
        <w:t xml:space="preserve">of those </w:t>
      </w:r>
      <w:r w:rsidR="00591F5B" w:rsidRPr="00AB4A23">
        <w:t xml:space="preserve">with higher education worked in professional or technical positions compared to 6% without any formal education. </w:t>
      </w:r>
      <w:r w:rsidR="003B34D9" w:rsidRPr="00AB4A23">
        <w:t>In c</w:t>
      </w:r>
      <w:r w:rsidR="00DB5B2A" w:rsidRPr="00AB4A23">
        <w:t xml:space="preserve">ontrast, </w:t>
      </w:r>
      <w:r w:rsidR="00C02CA9" w:rsidRPr="00AB4A23">
        <w:t>more than 80% of men and 66% of</w:t>
      </w:r>
      <w:r w:rsidR="00DB5B2A" w:rsidRPr="00AB4A23">
        <w:t xml:space="preserve"> women </w:t>
      </w:r>
      <w:r w:rsidR="00BC7819" w:rsidRPr="00AB4A23">
        <w:t xml:space="preserve">who </w:t>
      </w:r>
      <w:r w:rsidR="00A30BC0" w:rsidRPr="00AB4A23">
        <w:t xml:space="preserve">worked </w:t>
      </w:r>
      <w:r w:rsidR="00DB5B2A" w:rsidRPr="00AB4A23">
        <w:t xml:space="preserve">in unskilled </w:t>
      </w:r>
      <w:r w:rsidR="00C02CA9" w:rsidRPr="00AB4A23">
        <w:t>manual</w:t>
      </w:r>
      <w:r w:rsidR="00DB5B2A" w:rsidRPr="00AB4A23">
        <w:t xml:space="preserve"> labo</w:t>
      </w:r>
      <w:r w:rsidR="00A30BC0" w:rsidRPr="00AB4A23">
        <w:t>u</w:t>
      </w:r>
      <w:r w:rsidR="00DB5B2A" w:rsidRPr="00AB4A23">
        <w:t xml:space="preserve">r had </w:t>
      </w:r>
      <w:r w:rsidR="00C02CA9" w:rsidRPr="00AB4A23">
        <w:t xml:space="preserve">no </w:t>
      </w:r>
      <w:r w:rsidR="003545CC" w:rsidRPr="00AB4A23">
        <w:t xml:space="preserve">formal education </w:t>
      </w:r>
      <w:r w:rsidR="00C02CA9" w:rsidRPr="00AB4A23">
        <w:t xml:space="preserve">or </w:t>
      </w:r>
      <w:r w:rsidR="003545CC" w:rsidRPr="00AB4A23">
        <w:t xml:space="preserve">only </w:t>
      </w:r>
      <w:r w:rsidR="00C02CA9" w:rsidRPr="00AB4A23">
        <w:t>primary education.</w:t>
      </w:r>
      <w:r w:rsidR="00230BE4" w:rsidRPr="00AB4A23">
        <w:t xml:space="preserve"> The inclusion of the interaction term seeks to </w:t>
      </w:r>
      <w:r w:rsidR="00A30BC0" w:rsidRPr="00AB4A23">
        <w:t xml:space="preserve">ascertain </w:t>
      </w:r>
      <w:r w:rsidR="00B431C9" w:rsidRPr="00904E38">
        <w:rPr>
          <w:highlight w:val="yellow"/>
        </w:rPr>
        <w:t>if the effects of the variables of interest on entry into marriage change when this likely association is considered in addition to other socioeconomic variables</w:t>
      </w:r>
      <w:r w:rsidR="0046388E" w:rsidRPr="00904E38">
        <w:rPr>
          <w:highlight w:val="yellow"/>
        </w:rPr>
        <w:t>.</w:t>
      </w:r>
    </w:p>
    <w:p w14:paraId="6BD5170A" w14:textId="1793CF57" w:rsidR="00610F69" w:rsidRPr="00AB4A23" w:rsidRDefault="00BC7819" w:rsidP="0AA2609C">
      <w:pPr>
        <w:pStyle w:val="Paragraph"/>
        <w:spacing w:before="0"/>
        <w:ind w:firstLine="720"/>
      </w:pPr>
      <w:r w:rsidRPr="00AB4A23">
        <w:t>Ideally, we should use a model in which cu</w:t>
      </w:r>
      <w:r w:rsidR="008D6515" w:rsidRPr="00AB4A23">
        <w:t xml:space="preserve">rrent work status and education level </w:t>
      </w:r>
      <w:r w:rsidRPr="00AB4A23">
        <w:t xml:space="preserve">are allowed to vary over time, as their values </w:t>
      </w:r>
      <w:r w:rsidR="00AE2B20" w:rsidRPr="00AB4A23">
        <w:t>at the time of the survey may not</w:t>
      </w:r>
      <w:r w:rsidR="008D6515" w:rsidRPr="00AB4A23">
        <w:t xml:space="preserve"> represent the individual’s status at the time of marriage. </w:t>
      </w:r>
      <w:r w:rsidR="00700337" w:rsidRPr="00AB4A23">
        <w:t>Unfortunately</w:t>
      </w:r>
      <w:r w:rsidR="008D6515" w:rsidRPr="00AB4A23">
        <w:t>, historic</w:t>
      </w:r>
      <w:r w:rsidR="003545CC" w:rsidRPr="00AB4A23">
        <w:t>al</w:t>
      </w:r>
      <w:r w:rsidR="008D6515" w:rsidRPr="00AB4A23">
        <w:t xml:space="preserve"> data on individuals’ professional and educational experiences over time were not available in t</w:t>
      </w:r>
      <w:r w:rsidRPr="00AB4A23">
        <w:t>he Myanmar DHS</w:t>
      </w:r>
      <w:r w:rsidR="008D6515" w:rsidRPr="00AB4A23">
        <w:t xml:space="preserve">. </w:t>
      </w:r>
      <w:r w:rsidR="00BB66EB" w:rsidRPr="00AB4A23">
        <w:t xml:space="preserve">We acknowledge that this may </w:t>
      </w:r>
      <w:r w:rsidR="00700337" w:rsidRPr="00AB4A23">
        <w:t>imply</w:t>
      </w:r>
      <w:r w:rsidR="00BB66EB" w:rsidRPr="00AB4A23">
        <w:t xml:space="preserve"> that the results presented for individual age cohorts may indicate different relationships.</w:t>
      </w:r>
      <w:r w:rsidR="009423DE" w:rsidRPr="00AB4A23">
        <w:t xml:space="preserve"> Models for specific age cohorts are </w:t>
      </w:r>
      <w:r w:rsidR="00A30BC0" w:rsidRPr="00AB4A23">
        <w:t xml:space="preserve">presented separately </w:t>
      </w:r>
      <w:r w:rsidR="009423DE" w:rsidRPr="00AB4A23">
        <w:t>in Appendix 2.</w:t>
      </w:r>
    </w:p>
    <w:p w14:paraId="0584C785" w14:textId="24F6789C" w:rsidR="004A517D" w:rsidRPr="00AB4A23" w:rsidRDefault="004A517D" w:rsidP="42171E9E">
      <w:pPr>
        <w:spacing w:line="480" w:lineRule="auto"/>
        <w:ind w:firstLine="720"/>
      </w:pPr>
    </w:p>
    <w:p w14:paraId="4B330C15" w14:textId="5885F728" w:rsidR="00B123CD" w:rsidRPr="00AB4A23" w:rsidRDefault="00B123CD">
      <w:pPr>
        <w:spacing w:line="480" w:lineRule="auto"/>
        <w:rPr>
          <w:b/>
        </w:rPr>
      </w:pPr>
      <w:r w:rsidRPr="00AB4A23">
        <w:rPr>
          <w:b/>
        </w:rPr>
        <w:lastRenderedPageBreak/>
        <w:t>Results</w:t>
      </w:r>
    </w:p>
    <w:p w14:paraId="51FB0A34" w14:textId="77777777" w:rsidR="00BC7819" w:rsidRPr="00AB4A23" w:rsidRDefault="00BC7819" w:rsidP="0AA2609C">
      <w:pPr>
        <w:spacing w:line="480" w:lineRule="auto"/>
        <w:rPr>
          <w:b/>
          <w:bCs/>
          <w:i/>
          <w:iCs/>
        </w:rPr>
      </w:pPr>
    </w:p>
    <w:p w14:paraId="2D59C555" w14:textId="5A5A36F4" w:rsidR="000B3062" w:rsidRPr="00AB4A23" w:rsidRDefault="00B123CD" w:rsidP="000D1C47">
      <w:pPr>
        <w:spacing w:line="480" w:lineRule="auto"/>
      </w:pPr>
      <w:r w:rsidRPr="00AB4A23">
        <w:rPr>
          <w:b/>
          <w:i/>
        </w:rPr>
        <w:t xml:space="preserve">Changing </w:t>
      </w:r>
      <w:r w:rsidR="004A517D" w:rsidRPr="00AB4A23">
        <w:rPr>
          <w:b/>
          <w:i/>
        </w:rPr>
        <w:t>m</w:t>
      </w:r>
      <w:r w:rsidRPr="00AB4A23">
        <w:rPr>
          <w:b/>
          <w:i/>
        </w:rPr>
        <w:t xml:space="preserve">arriage </w:t>
      </w:r>
      <w:r w:rsidR="004A517D" w:rsidRPr="00AB4A23">
        <w:rPr>
          <w:b/>
          <w:i/>
        </w:rPr>
        <w:t>p</w:t>
      </w:r>
      <w:r w:rsidRPr="00AB4A23">
        <w:rPr>
          <w:b/>
          <w:i/>
        </w:rPr>
        <w:t>atterns</w:t>
      </w:r>
      <w:r w:rsidR="00B03E8C" w:rsidRPr="00AB4A23">
        <w:rPr>
          <w:b/>
        </w:rPr>
        <w:t xml:space="preserve"> </w:t>
      </w:r>
      <w:r w:rsidR="00B03E8C" w:rsidRPr="00AB4A23">
        <w:t xml:space="preserve"> </w:t>
      </w:r>
    </w:p>
    <w:p w14:paraId="09C0E5A4" w14:textId="74D1EF82" w:rsidR="001062FC" w:rsidRPr="00AB4A23" w:rsidRDefault="009B5DCB" w:rsidP="0AA2609C">
      <w:pPr>
        <w:pStyle w:val="Paragraph"/>
        <w:spacing w:before="0"/>
      </w:pPr>
      <w:r w:rsidRPr="00AB4A23">
        <w:t xml:space="preserve">As of 2014, most </w:t>
      </w:r>
      <w:r w:rsidR="007522A8" w:rsidRPr="00AB4A23">
        <w:t xml:space="preserve">women </w:t>
      </w:r>
      <w:r w:rsidR="002C5DC0" w:rsidRPr="00AB4A23">
        <w:t xml:space="preserve">in Myanmar </w:t>
      </w:r>
      <w:r w:rsidR="007522A8" w:rsidRPr="00AB4A23">
        <w:t xml:space="preserve">who marry </w:t>
      </w:r>
      <w:r w:rsidR="002C5DC0" w:rsidRPr="00AB4A23">
        <w:t xml:space="preserve">tend to </w:t>
      </w:r>
      <w:r w:rsidR="007522A8" w:rsidRPr="00AB4A23">
        <w:t xml:space="preserve">do so </w:t>
      </w:r>
      <w:r w:rsidR="002C5DC0" w:rsidRPr="00AB4A23">
        <w:t xml:space="preserve">by </w:t>
      </w:r>
      <w:r w:rsidR="00B03E8C" w:rsidRPr="00AB4A23">
        <w:t xml:space="preserve">the </w:t>
      </w:r>
      <w:r w:rsidR="002C5DC0" w:rsidRPr="00AB4A23">
        <w:t xml:space="preserve">age </w:t>
      </w:r>
      <w:r w:rsidR="00B03E8C" w:rsidRPr="00AB4A23">
        <w:t xml:space="preserve">of </w:t>
      </w:r>
      <w:r w:rsidR="002C5DC0" w:rsidRPr="00AB4A23">
        <w:t>25</w:t>
      </w:r>
      <w:r w:rsidR="00B03E8C" w:rsidRPr="00AB4A23">
        <w:t xml:space="preserve"> years</w:t>
      </w:r>
      <w:r w:rsidR="002C5DC0" w:rsidRPr="00AB4A23">
        <w:t xml:space="preserve">. After age 25, </w:t>
      </w:r>
      <w:r w:rsidR="00E834F3" w:rsidRPr="00AB4A23">
        <w:t xml:space="preserve">first </w:t>
      </w:r>
      <w:r w:rsidR="002C5DC0" w:rsidRPr="00AB4A23">
        <w:t>marriage rates tend to level off</w:t>
      </w:r>
      <w:r w:rsidR="001062FC" w:rsidRPr="00AB4A23">
        <w:t>.</w:t>
      </w:r>
      <w:r w:rsidR="00B03E8C" w:rsidRPr="00AB4A23">
        <w:t xml:space="preserve"> </w:t>
      </w:r>
      <w:r w:rsidRPr="00AB4A23">
        <w:t>This represents</w:t>
      </w:r>
      <w:r w:rsidR="001062FC" w:rsidRPr="00AB4A23">
        <w:t xml:space="preserve"> a shift in marriage patterns over the past </w:t>
      </w:r>
      <w:r w:rsidR="00B03E8C" w:rsidRPr="00AB4A23">
        <w:t>40</w:t>
      </w:r>
      <w:r w:rsidR="001062FC" w:rsidRPr="00AB4A23">
        <w:t xml:space="preserve"> years. The changes show lower percentages married for younger age groups in each su</w:t>
      </w:r>
      <w:r w:rsidR="00B03E8C" w:rsidRPr="00AB4A23">
        <w:t>ccessive</w:t>
      </w:r>
      <w:r w:rsidR="001062FC" w:rsidRPr="00AB4A23">
        <w:t xml:space="preserve"> census</w:t>
      </w:r>
      <w:r w:rsidR="008B2208" w:rsidRPr="00AB4A23">
        <w:t xml:space="preserve"> for both men and women</w:t>
      </w:r>
      <w:r w:rsidR="001062FC" w:rsidRPr="00AB4A23">
        <w:t xml:space="preserve">. </w:t>
      </w:r>
      <w:r w:rsidR="008B2208" w:rsidRPr="00AB4A23">
        <w:t xml:space="preserve">The data suggest that </w:t>
      </w:r>
      <w:r w:rsidRPr="00AB4A23">
        <w:t>during the second half of the twentieth century</w:t>
      </w:r>
      <w:r w:rsidR="00BC7819" w:rsidRPr="00AB4A23">
        <w:t xml:space="preserve"> an increasing number of women delayed marriage</w:t>
      </w:r>
      <w:r w:rsidR="001062FC" w:rsidRPr="00AB4A23">
        <w:t>,</w:t>
      </w:r>
      <w:r w:rsidR="008B2208" w:rsidRPr="00AB4A23">
        <w:t xml:space="preserve"> but </w:t>
      </w:r>
      <w:r w:rsidR="00BC7819" w:rsidRPr="00AB4A23">
        <w:t xml:space="preserve">most </w:t>
      </w:r>
      <w:r w:rsidR="008B2208" w:rsidRPr="00AB4A23">
        <w:t>eventually married</w:t>
      </w:r>
      <w:r w:rsidR="00BC7819" w:rsidRPr="00AB4A23">
        <w:t xml:space="preserve"> in the end</w:t>
      </w:r>
      <w:r w:rsidR="008B2208" w:rsidRPr="00AB4A23">
        <w:t>. However, by 2014,</w:t>
      </w:r>
      <w:r w:rsidR="001062FC" w:rsidRPr="00AB4A23">
        <w:t xml:space="preserve"> </w:t>
      </w:r>
      <w:r w:rsidR="008B2208" w:rsidRPr="00AB4A23">
        <w:t>a greater proportion of women were</w:t>
      </w:r>
      <w:r w:rsidR="001062FC" w:rsidRPr="00AB4A23">
        <w:t xml:space="preserve"> delaying marriage indefinitely</w:t>
      </w:r>
      <w:r w:rsidR="00B03E8C" w:rsidRPr="00AB4A23">
        <w:t>: in both 1973 and 1983, 9</w:t>
      </w:r>
      <w:r w:rsidR="008B2208" w:rsidRPr="00AB4A23">
        <w:t xml:space="preserve">4% of women </w:t>
      </w:r>
      <w:r w:rsidR="00B03E8C" w:rsidRPr="00AB4A23">
        <w:t xml:space="preserve">then aged between 45 and 49 years </w:t>
      </w:r>
      <w:r w:rsidR="008B2208" w:rsidRPr="00AB4A23">
        <w:t>had marrie</w:t>
      </w:r>
      <w:r w:rsidR="00B03E8C" w:rsidRPr="00AB4A23">
        <w:t xml:space="preserve">d, this percentage fell to </w:t>
      </w:r>
      <w:r w:rsidR="008B2208" w:rsidRPr="00AB4A23">
        <w:t>87% in 2014</w:t>
      </w:r>
      <w:r w:rsidR="00157346" w:rsidRPr="00AB4A23">
        <w:t xml:space="preserve"> (Table 1)</w:t>
      </w:r>
      <w:r w:rsidR="008B2208" w:rsidRPr="00AB4A23">
        <w:t>.</w:t>
      </w:r>
      <w:r w:rsidR="001062FC" w:rsidRPr="00AB4A23">
        <w:t xml:space="preserve"> Men also appear</w:t>
      </w:r>
      <w:r w:rsidR="00063756" w:rsidRPr="00AB4A23">
        <w:t xml:space="preserve"> to</w:t>
      </w:r>
      <w:r w:rsidR="001062FC" w:rsidRPr="00AB4A23">
        <w:t xml:space="preserve"> </w:t>
      </w:r>
      <w:r w:rsidR="00B03E8C" w:rsidRPr="00AB4A23">
        <w:t xml:space="preserve">have </w:t>
      </w:r>
      <w:r w:rsidR="00063756" w:rsidRPr="00AB4A23">
        <w:t>delay</w:t>
      </w:r>
      <w:r w:rsidR="00B03E8C" w:rsidRPr="00AB4A23">
        <w:t>ed</w:t>
      </w:r>
      <w:r w:rsidR="00063756" w:rsidRPr="00AB4A23">
        <w:t xml:space="preserve"> marriage </w:t>
      </w:r>
      <w:r w:rsidR="00B03E8C" w:rsidRPr="00AB4A23">
        <w:t xml:space="preserve">increasingly </w:t>
      </w:r>
      <w:r w:rsidR="00063756" w:rsidRPr="00AB4A23">
        <w:t>over time</w:t>
      </w:r>
      <w:r w:rsidR="001062FC" w:rsidRPr="00AB4A23">
        <w:t xml:space="preserve">, but </w:t>
      </w:r>
      <w:r w:rsidR="00C53BAC" w:rsidRPr="00AB4A23">
        <w:t xml:space="preserve">fewer men than women </w:t>
      </w:r>
      <w:r w:rsidR="00BC7819" w:rsidRPr="00AB4A23">
        <w:t>have</w:t>
      </w:r>
      <w:r w:rsidR="002202D7" w:rsidRPr="00AB4A23">
        <w:t xml:space="preserve"> never</w:t>
      </w:r>
      <w:r w:rsidR="008C77E4" w:rsidRPr="00AB4A23">
        <w:t xml:space="preserve"> </w:t>
      </w:r>
      <w:r w:rsidR="00C53BAC" w:rsidRPr="00AB4A23">
        <w:t>married</w:t>
      </w:r>
      <w:r w:rsidR="00063756" w:rsidRPr="00AB4A23">
        <w:t xml:space="preserve"> by ages 45-49</w:t>
      </w:r>
      <w:r w:rsidR="000230E5" w:rsidRPr="00AB4A23">
        <w:t xml:space="preserve"> </w:t>
      </w:r>
      <w:r w:rsidR="00B03E8C" w:rsidRPr="00AB4A23">
        <w:t>years.</w:t>
      </w:r>
      <w:r w:rsidR="001062FC" w:rsidRPr="00AB4A23">
        <w:t xml:space="preserve"> </w:t>
      </w:r>
      <w:r w:rsidR="00E66AA6" w:rsidRPr="00AB4A23">
        <w:t xml:space="preserve">As celibacy has increased over the last 45 years, the </w:t>
      </w:r>
      <w:proofErr w:type="spellStart"/>
      <w:r w:rsidR="00E66AA6" w:rsidRPr="00AB4A23">
        <w:t>singulate</w:t>
      </w:r>
      <w:proofErr w:type="spellEnd"/>
      <w:r w:rsidR="00E66AA6" w:rsidRPr="00AB4A23">
        <w:t xml:space="preserve"> mean age at marriage (SMAM) has risen from 23.9 years in 1973 to 25.9 years in 2014.</w:t>
      </w:r>
    </w:p>
    <w:p w14:paraId="4836701C" w14:textId="7885AE64" w:rsidR="001062FC" w:rsidRPr="00AB4A23" w:rsidRDefault="004755D7" w:rsidP="0AA2609C">
      <w:pPr>
        <w:pStyle w:val="Paragraph"/>
        <w:spacing w:before="0"/>
      </w:pPr>
      <w:r w:rsidRPr="00AB4A23">
        <w:t>[</w:t>
      </w:r>
      <w:r w:rsidR="00E66AA6" w:rsidRPr="00AB4A23">
        <w:t xml:space="preserve">Table </w:t>
      </w:r>
      <w:r w:rsidRPr="00AB4A23">
        <w:t>1 about here]</w:t>
      </w:r>
    </w:p>
    <w:p w14:paraId="0AF94E75" w14:textId="0B6C755B" w:rsidR="001062FC" w:rsidRPr="00AB4A23" w:rsidRDefault="001062FC" w:rsidP="0AA2609C">
      <w:pPr>
        <w:pStyle w:val="Paragraph"/>
        <w:spacing w:before="0"/>
        <w:ind w:firstLine="720"/>
      </w:pPr>
      <w:r w:rsidRPr="00AB4A23">
        <w:t xml:space="preserve">The changes found at the national level </w:t>
      </w:r>
      <w:r w:rsidR="00B722FD" w:rsidRPr="00AB4A23">
        <w:t xml:space="preserve">are </w:t>
      </w:r>
      <w:r w:rsidRPr="00AB4A23">
        <w:t xml:space="preserve">also </w:t>
      </w:r>
      <w:r w:rsidR="00B722FD" w:rsidRPr="00AB4A23">
        <w:t>observed</w:t>
      </w:r>
      <w:r w:rsidRPr="00AB4A23">
        <w:t xml:space="preserve"> in states and regions: the percent</w:t>
      </w:r>
      <w:r w:rsidR="00B03E8C" w:rsidRPr="00AB4A23">
        <w:t>age</w:t>
      </w:r>
      <w:r w:rsidRPr="00AB4A23">
        <w:t xml:space="preserve"> of women who </w:t>
      </w:r>
      <w:r w:rsidR="00B03E8C" w:rsidRPr="00AB4A23">
        <w:t xml:space="preserve">had </w:t>
      </w:r>
      <w:r w:rsidRPr="00AB4A23">
        <w:t>never married increased in every state</w:t>
      </w:r>
      <w:r w:rsidR="00B03E8C" w:rsidRPr="00AB4A23">
        <w:t xml:space="preserve"> and</w:t>
      </w:r>
      <w:r w:rsidR="00267A5C" w:rsidRPr="00AB4A23">
        <w:t xml:space="preserve"> </w:t>
      </w:r>
      <w:r w:rsidRPr="00AB4A23">
        <w:t xml:space="preserve">region from 1983 to 2014. Mandalay, Yangon and </w:t>
      </w:r>
      <w:proofErr w:type="spellStart"/>
      <w:r w:rsidRPr="00AB4A23">
        <w:t>Sagaing</w:t>
      </w:r>
      <w:proofErr w:type="spellEnd"/>
      <w:r w:rsidRPr="00AB4A23">
        <w:t xml:space="preserve"> show the biggest increases of 10.3, 7.9 and 9.1</w:t>
      </w:r>
      <w:r w:rsidR="00B03E8C" w:rsidRPr="00AB4A23">
        <w:t xml:space="preserve"> percentage points</w:t>
      </w:r>
      <w:r w:rsidRPr="00AB4A23">
        <w:t xml:space="preserve"> respectively. </w:t>
      </w:r>
      <w:r w:rsidR="006D2E08" w:rsidRPr="00AB4A23">
        <w:t>Mandalay and Yangon</w:t>
      </w:r>
      <w:r w:rsidRPr="00AB4A23">
        <w:t xml:space="preserve"> </w:t>
      </w:r>
      <w:r w:rsidR="008C77E4" w:rsidRPr="00AB4A23">
        <w:t xml:space="preserve">have </w:t>
      </w:r>
      <w:r w:rsidRPr="00AB4A23">
        <w:t>remarkably high percentages of unmarried women</w:t>
      </w:r>
      <w:r w:rsidR="00B03E8C" w:rsidRPr="00AB4A23">
        <w:t>: a</w:t>
      </w:r>
      <w:r w:rsidRPr="00AB4A23">
        <w:t xml:space="preserve">pproximately 15% of the female population aged 45-49 </w:t>
      </w:r>
      <w:r w:rsidR="00B03E8C" w:rsidRPr="00AB4A23">
        <w:t xml:space="preserve">years </w:t>
      </w:r>
      <w:r w:rsidRPr="00AB4A23">
        <w:t xml:space="preserve">in Yangon have never married, while more than 17% of women in this age group in Mandalay </w:t>
      </w:r>
      <w:r w:rsidR="00B03E8C" w:rsidRPr="00AB4A23">
        <w:t>in 2014 were</w:t>
      </w:r>
      <w:r w:rsidRPr="00AB4A23">
        <w:t xml:space="preserve"> single. The range of variation also changed from 1983 to 2014. In 1983, the </w:t>
      </w:r>
      <w:r w:rsidR="002202D7" w:rsidRPr="00AB4A23">
        <w:t>percentage of</w:t>
      </w:r>
      <w:r w:rsidR="008C77E4" w:rsidRPr="00AB4A23">
        <w:t xml:space="preserve"> never married </w:t>
      </w:r>
      <w:r w:rsidR="00B03E8C" w:rsidRPr="00AB4A23">
        <w:t>women aged 45-49 years</w:t>
      </w:r>
      <w:r w:rsidRPr="00AB4A23">
        <w:t xml:space="preserve"> ranged from 1.7% in Rakhine to 7.3% in both Yangon and Mandalay. In 2014, this ranged from 6.4% in Shan to 17.6% in Mandalay. The DHS </w:t>
      </w:r>
      <w:r w:rsidR="00A30BC0" w:rsidRPr="00AB4A23">
        <w:t>show</w:t>
      </w:r>
      <w:r w:rsidR="00BC7819" w:rsidRPr="00AB4A23">
        <w:t>s</w:t>
      </w:r>
      <w:r w:rsidR="00A30BC0" w:rsidRPr="00AB4A23">
        <w:t xml:space="preserve"> </w:t>
      </w:r>
      <w:r w:rsidRPr="00AB4A23">
        <w:t>similar patterns, with 19.3% of women aged 45-49</w:t>
      </w:r>
      <w:r w:rsidR="00B03E8C" w:rsidRPr="00AB4A23">
        <w:t xml:space="preserve"> years</w:t>
      </w:r>
      <w:r w:rsidRPr="00AB4A23">
        <w:t xml:space="preserve"> in Mandalay never </w:t>
      </w:r>
      <w:r w:rsidR="00B03E8C" w:rsidRPr="00AB4A23">
        <w:lastRenderedPageBreak/>
        <w:t xml:space="preserve">having </w:t>
      </w:r>
      <w:r w:rsidRPr="00AB4A23">
        <w:t>married compared to only 6.0% in Chin. Yangon and Mandalay have the largest populations of any states</w:t>
      </w:r>
      <w:r w:rsidR="00B03E8C" w:rsidRPr="00AB4A23">
        <w:t xml:space="preserve"> or </w:t>
      </w:r>
      <w:r w:rsidRPr="00AB4A23">
        <w:t xml:space="preserve">regions in the country, so their dramatic changes in marriage patterns have </w:t>
      </w:r>
      <w:r w:rsidR="00BC7819" w:rsidRPr="00AB4A23">
        <w:t>a large</w:t>
      </w:r>
      <w:r w:rsidRPr="00AB4A23">
        <w:t xml:space="preserve"> influence on </w:t>
      </w:r>
      <w:r w:rsidR="00BC7819" w:rsidRPr="00AB4A23">
        <w:t>overall</w:t>
      </w:r>
      <w:r w:rsidRPr="00AB4A23">
        <w:t xml:space="preserve"> change</w:t>
      </w:r>
      <w:r w:rsidR="00BC7819" w:rsidRPr="00AB4A23">
        <w:t xml:space="preserve"> at the national level</w:t>
      </w:r>
      <w:r w:rsidRPr="00AB4A23">
        <w:t>. While areas with more unmarried women are also generally areas with more unmarried men, women aged 45-49</w:t>
      </w:r>
      <w:r w:rsidR="00B03E8C" w:rsidRPr="00AB4A23">
        <w:t xml:space="preserve"> years</w:t>
      </w:r>
      <w:r w:rsidRPr="00AB4A23">
        <w:t xml:space="preserve"> living in </w:t>
      </w:r>
      <w:r w:rsidR="00BC7819" w:rsidRPr="00AB4A23">
        <w:t>Yangon and Mandalay</w:t>
      </w:r>
      <w:r w:rsidRPr="00AB4A23">
        <w:t xml:space="preserve"> are still approximately 50%</w:t>
      </w:r>
      <w:r w:rsidR="00AE2B20" w:rsidRPr="00AB4A23">
        <w:t xml:space="preserve"> more likely to be unmarried tha</w:t>
      </w:r>
      <w:r w:rsidRPr="00AB4A23">
        <w:t>n men.</w:t>
      </w:r>
    </w:p>
    <w:p w14:paraId="3B9E0AED" w14:textId="7F65E2B6" w:rsidR="00B96855" w:rsidRPr="00AB4A23" w:rsidRDefault="00B96855" w:rsidP="0AA2609C">
      <w:pPr>
        <w:spacing w:line="480" w:lineRule="auto"/>
      </w:pPr>
      <w:r w:rsidRPr="00AB4A23">
        <w:tab/>
      </w:r>
      <w:r w:rsidR="00213F9C" w:rsidRPr="00AB4A23">
        <w:t>These changes may be partially due to changing population dynamics in the country</w:t>
      </w:r>
      <w:r w:rsidR="001D70DA" w:rsidRPr="00AB4A23">
        <w:t xml:space="preserve">, including an overall drop in the number of men </w:t>
      </w:r>
      <w:r w:rsidR="00157346" w:rsidRPr="00AB4A23">
        <w:t xml:space="preserve">relative to women </w:t>
      </w:r>
      <w:r w:rsidR="001D70DA" w:rsidRPr="00AB4A23">
        <w:t xml:space="preserve">for </w:t>
      </w:r>
      <w:r w:rsidR="002E688C" w:rsidRPr="00AB4A23">
        <w:t xml:space="preserve">nearly all age groups (Table 2). </w:t>
      </w:r>
      <w:r w:rsidR="00F053C2" w:rsidRPr="00AB4A23">
        <w:t xml:space="preserve">According to Myanmar’s census data, there were more than 115 men for every </w:t>
      </w:r>
      <w:r w:rsidR="005540A7" w:rsidRPr="00AB4A23">
        <w:t>100 women</w:t>
      </w:r>
      <w:r w:rsidR="00F053C2" w:rsidRPr="00AB4A23">
        <w:t xml:space="preserve"> between the ages of 15 and 49 years in 1983. By 2014, </w:t>
      </w:r>
      <w:r w:rsidR="005540A7" w:rsidRPr="00AB4A23">
        <w:t>there were only 89 men for every 100 women in this age range.</w:t>
      </w:r>
      <w:r w:rsidR="002820B3" w:rsidRPr="00AB4A23">
        <w:t xml:space="preserve"> The changes are apparent across all age and education groups</w:t>
      </w:r>
      <w:r w:rsidR="000F26B8" w:rsidRPr="00AB4A23">
        <w:t xml:space="preserve">. However, </w:t>
      </w:r>
      <w:r w:rsidR="00C34090" w:rsidRPr="00AB4A23">
        <w:t xml:space="preserve">those with no education and those with the highest education appeared to </w:t>
      </w:r>
      <w:r w:rsidR="00587DDA" w:rsidRPr="00AB4A23">
        <w:t xml:space="preserve">have </w:t>
      </w:r>
      <w:r w:rsidR="00C34090" w:rsidRPr="00AB4A23">
        <w:t>see</w:t>
      </w:r>
      <w:r w:rsidR="00587DDA" w:rsidRPr="00AB4A23">
        <w:t>n</w:t>
      </w:r>
      <w:r w:rsidR="00C34090" w:rsidRPr="00AB4A23">
        <w:t xml:space="preserve"> the greatest shifts</w:t>
      </w:r>
      <w:r w:rsidR="00BF7B1C" w:rsidRPr="00AB4A23">
        <w:t xml:space="preserve">. </w:t>
      </w:r>
      <w:r w:rsidR="00D24602" w:rsidRPr="00AB4A23">
        <w:t xml:space="preserve">In 1983, relatively few men or women had higher education, </w:t>
      </w:r>
      <w:r w:rsidR="00587DDA" w:rsidRPr="00AB4A23">
        <w:t>in absolute terms</w:t>
      </w:r>
      <w:r w:rsidR="00D24602" w:rsidRPr="00AB4A23">
        <w:t xml:space="preserve"> </w:t>
      </w:r>
      <w:r w:rsidR="0052511D" w:rsidRPr="00AB4A23">
        <w:t xml:space="preserve">180,000 men and 160,000 women. </w:t>
      </w:r>
      <w:r w:rsidR="00E53FCA" w:rsidRPr="00AB4A23">
        <w:t xml:space="preserve">In 2014, there were more than 2 million women living in Myanmar with </w:t>
      </w:r>
      <w:r w:rsidR="00501A90" w:rsidRPr="00AB4A23">
        <w:t>a university or higher education, compared to fewer than 1.5 million men.</w:t>
      </w:r>
      <w:r w:rsidR="00AD2F1D" w:rsidRPr="00AB4A23">
        <w:t xml:space="preserve"> For those </w:t>
      </w:r>
      <w:r w:rsidR="00157346" w:rsidRPr="00AB4A23">
        <w:t xml:space="preserve">aged </w:t>
      </w:r>
      <w:r w:rsidR="00AD2F1D" w:rsidRPr="00AB4A23">
        <w:t xml:space="preserve">over </w:t>
      </w:r>
      <w:r w:rsidR="00157346" w:rsidRPr="00AB4A23">
        <w:t>5</w:t>
      </w:r>
      <w:r w:rsidR="00AD2F1D" w:rsidRPr="00AB4A23">
        <w:t>0</w:t>
      </w:r>
      <w:r w:rsidR="00157346" w:rsidRPr="00AB4A23">
        <w:t xml:space="preserve"> years</w:t>
      </w:r>
      <w:r w:rsidR="00AD2F1D" w:rsidRPr="00AB4A23">
        <w:t xml:space="preserve">, more men had </w:t>
      </w:r>
      <w:r w:rsidR="00D86535" w:rsidRPr="00AB4A23">
        <w:t>a university or higher education</w:t>
      </w:r>
      <w:r w:rsidR="001A6E18" w:rsidRPr="00AB4A23">
        <w:t>. However, highly educated</w:t>
      </w:r>
      <w:r w:rsidR="00AF2055" w:rsidRPr="00AB4A23">
        <w:t xml:space="preserve"> </w:t>
      </w:r>
      <w:r w:rsidR="001A6E18" w:rsidRPr="00AB4A23">
        <w:t>women of marriageable ages (</w:t>
      </w:r>
      <w:r w:rsidR="51B6EE4A" w:rsidRPr="00AB4A23">
        <w:t xml:space="preserve">742,991 women </w:t>
      </w:r>
      <w:r w:rsidR="00646765" w:rsidRPr="00AB4A23">
        <w:t xml:space="preserve">aged </w:t>
      </w:r>
      <w:r w:rsidR="001A6E18" w:rsidRPr="00AB4A23">
        <w:t>20</w:t>
      </w:r>
      <w:r w:rsidR="00646765" w:rsidRPr="00AB4A23">
        <w:t>-</w:t>
      </w:r>
      <w:r w:rsidR="001A6E18" w:rsidRPr="00AB4A23">
        <w:t xml:space="preserve">29 years) outnumbered men of similar education </w:t>
      </w:r>
      <w:r w:rsidR="00EB2E5C" w:rsidRPr="00AB4A23">
        <w:t>and marriageability (</w:t>
      </w:r>
      <w:r w:rsidR="1439FD8B" w:rsidRPr="00AB4A23">
        <w:t xml:space="preserve">474,345 men aged </w:t>
      </w:r>
      <w:r w:rsidR="00EB2E5C" w:rsidRPr="00AB4A23">
        <w:t>25</w:t>
      </w:r>
      <w:r w:rsidR="00646765" w:rsidRPr="00AB4A23">
        <w:t>-</w:t>
      </w:r>
      <w:r w:rsidR="00EB2E5C" w:rsidRPr="00AB4A23">
        <w:t xml:space="preserve">34 years). </w:t>
      </w:r>
    </w:p>
    <w:p w14:paraId="712E0C61" w14:textId="37372537" w:rsidR="00157346" w:rsidRPr="00AB4A23" w:rsidRDefault="00157346" w:rsidP="0AA2609C">
      <w:pPr>
        <w:spacing w:line="480" w:lineRule="auto"/>
      </w:pPr>
      <w:r w:rsidRPr="00AB4A23">
        <w:t>[Table 2 about here]</w:t>
      </w:r>
    </w:p>
    <w:p w14:paraId="2E09B9B6" w14:textId="77777777" w:rsidR="00706A8B" w:rsidRPr="00AB4A23" w:rsidRDefault="00706A8B" w:rsidP="00886D23">
      <w:pPr>
        <w:spacing w:line="480" w:lineRule="auto"/>
      </w:pPr>
    </w:p>
    <w:p w14:paraId="1A5D09C5" w14:textId="5C1E2908" w:rsidR="000B3062" w:rsidRPr="00AB4A23" w:rsidRDefault="000230E5" w:rsidP="000D1C47">
      <w:pPr>
        <w:spacing w:line="480" w:lineRule="auto"/>
      </w:pPr>
      <w:r w:rsidRPr="00AB4A23">
        <w:rPr>
          <w:b/>
          <w:i/>
        </w:rPr>
        <w:t xml:space="preserve">Increasing </w:t>
      </w:r>
      <w:r w:rsidR="00706A8B" w:rsidRPr="00AB4A23">
        <w:rPr>
          <w:b/>
          <w:i/>
        </w:rPr>
        <w:t>e</w:t>
      </w:r>
      <w:r w:rsidR="00C4261B" w:rsidRPr="00AB4A23">
        <w:rPr>
          <w:b/>
          <w:i/>
        </w:rPr>
        <w:t>ducation</w:t>
      </w:r>
      <w:r w:rsidR="00706A8B" w:rsidRPr="00AB4A23">
        <w:rPr>
          <w:b/>
          <w:i/>
        </w:rPr>
        <w:t>al</w:t>
      </w:r>
      <w:r w:rsidR="00C4261B" w:rsidRPr="00AB4A23">
        <w:rPr>
          <w:b/>
          <w:i/>
        </w:rPr>
        <w:t xml:space="preserve"> </w:t>
      </w:r>
      <w:r w:rsidR="00706A8B" w:rsidRPr="00AB4A23">
        <w:rPr>
          <w:b/>
          <w:i/>
        </w:rPr>
        <w:t>l</w:t>
      </w:r>
      <w:r w:rsidR="00C4261B" w:rsidRPr="00AB4A23">
        <w:rPr>
          <w:b/>
          <w:i/>
        </w:rPr>
        <w:t>evels</w:t>
      </w:r>
      <w:r w:rsidR="000B3062" w:rsidRPr="00AB4A23">
        <w:rPr>
          <w:b/>
          <w:i/>
        </w:rPr>
        <w:t xml:space="preserve"> and labour force engagement</w:t>
      </w:r>
      <w:r w:rsidR="00706A8B" w:rsidRPr="00AB4A23">
        <w:t xml:space="preserve">  </w:t>
      </w:r>
    </w:p>
    <w:p w14:paraId="3F87CD30" w14:textId="17A7A70A" w:rsidR="005C6F53" w:rsidRPr="00AB4A23" w:rsidRDefault="00B103FF" w:rsidP="0AA2609C">
      <w:pPr>
        <w:pStyle w:val="Paragraph"/>
        <w:spacing w:before="0"/>
      </w:pPr>
      <w:r w:rsidRPr="00AB4A23">
        <w:t xml:space="preserve">Education levels have changed rapidly in Myanmar over the last </w:t>
      </w:r>
      <w:r w:rsidR="00706A8B" w:rsidRPr="00AB4A23">
        <w:t>50</w:t>
      </w:r>
      <w:r w:rsidRPr="00AB4A23">
        <w:t xml:space="preserve"> years</w:t>
      </w:r>
      <w:r w:rsidR="00192329" w:rsidRPr="00AB4A23">
        <w:t xml:space="preserve"> (</w:t>
      </w:r>
      <w:r w:rsidR="00065413" w:rsidRPr="00AB4A23">
        <w:t>Table 1</w:t>
      </w:r>
      <w:r w:rsidR="00192329" w:rsidRPr="00AB4A23">
        <w:t>)</w:t>
      </w:r>
      <w:r w:rsidRPr="00AB4A23">
        <w:t xml:space="preserve">. </w:t>
      </w:r>
      <w:r w:rsidR="008C77E4" w:rsidRPr="00AB4A23">
        <w:t>The</w:t>
      </w:r>
      <w:r w:rsidRPr="00AB4A23">
        <w:t xml:space="preserve"> analysis of the 1973 census</w:t>
      </w:r>
      <w:r w:rsidR="008C77E4" w:rsidRPr="00AB4A23">
        <w:t xml:space="preserve"> shows that </w:t>
      </w:r>
      <w:r w:rsidR="00706A8B" w:rsidRPr="00AB4A23">
        <w:t>fewer</w:t>
      </w:r>
      <w:r w:rsidR="00EF2EE6" w:rsidRPr="00AB4A23">
        <w:t xml:space="preserve"> </w:t>
      </w:r>
      <w:r w:rsidRPr="00AB4A23">
        <w:t xml:space="preserve">than </w:t>
      </w:r>
      <w:r w:rsidR="00EF2EE6" w:rsidRPr="00AB4A23">
        <w:t>4</w:t>
      </w:r>
      <w:r w:rsidRPr="00AB4A23">
        <w:t xml:space="preserve">0% of both the male and female populations </w:t>
      </w:r>
      <w:r w:rsidR="00706A8B" w:rsidRPr="00AB4A23">
        <w:t xml:space="preserve">over the </w:t>
      </w:r>
      <w:r w:rsidRPr="00AB4A23">
        <w:t xml:space="preserve">age </w:t>
      </w:r>
      <w:r w:rsidR="00706A8B" w:rsidRPr="00AB4A23">
        <w:t xml:space="preserve">of five years </w:t>
      </w:r>
      <w:r w:rsidRPr="00AB4A23">
        <w:t xml:space="preserve">had received any education. Ten years later, </w:t>
      </w:r>
      <w:r w:rsidR="00157346" w:rsidRPr="00AB4A23">
        <w:t>more than</w:t>
      </w:r>
      <w:r w:rsidRPr="00AB4A23">
        <w:t xml:space="preserve"> half of population</w:t>
      </w:r>
      <w:r w:rsidR="00EF2EE6" w:rsidRPr="00AB4A23">
        <w:t xml:space="preserve"> had </w:t>
      </w:r>
      <w:r w:rsidR="00706A8B" w:rsidRPr="00AB4A23">
        <w:t>some</w:t>
      </w:r>
      <w:r w:rsidR="00EF2EE6" w:rsidRPr="00AB4A23">
        <w:t xml:space="preserve"> formal education</w:t>
      </w:r>
      <w:r w:rsidR="00DB1A3B" w:rsidRPr="00AB4A23">
        <w:t xml:space="preserve">. </w:t>
      </w:r>
      <w:r w:rsidRPr="00AB4A23">
        <w:t xml:space="preserve">These improvements in educational attainment </w:t>
      </w:r>
      <w:r w:rsidRPr="00AB4A23">
        <w:lastRenderedPageBreak/>
        <w:t xml:space="preserve">continued until the 2000s. </w:t>
      </w:r>
      <w:r w:rsidR="00DB1A3B" w:rsidRPr="00AB4A23">
        <w:t xml:space="preserve">By </w:t>
      </w:r>
      <w:r w:rsidRPr="00AB4A23">
        <w:t>2007</w:t>
      </w:r>
      <w:r w:rsidR="006252E8" w:rsidRPr="00AB4A23">
        <w:t>,</w:t>
      </w:r>
      <w:r w:rsidR="00DB1A3B" w:rsidRPr="00AB4A23">
        <w:t xml:space="preserve"> </w:t>
      </w:r>
      <w:r w:rsidR="00EF2EE6" w:rsidRPr="00AB4A23">
        <w:t>nearly 90%</w:t>
      </w:r>
      <w:r w:rsidR="00DB1A3B" w:rsidRPr="00AB4A23">
        <w:t xml:space="preserve"> of </w:t>
      </w:r>
      <w:r w:rsidRPr="00AB4A23">
        <w:t xml:space="preserve">the population </w:t>
      </w:r>
      <w:r w:rsidR="00646765" w:rsidRPr="00AB4A23">
        <w:t xml:space="preserve">aged 15 </w:t>
      </w:r>
      <w:r w:rsidR="00157346" w:rsidRPr="00AB4A23">
        <w:t xml:space="preserve">years </w:t>
      </w:r>
      <w:r w:rsidR="00646765" w:rsidRPr="00AB4A23">
        <w:t xml:space="preserve">and above </w:t>
      </w:r>
      <w:r w:rsidR="00EF2EE6" w:rsidRPr="00AB4A23">
        <w:t>had</w:t>
      </w:r>
      <w:r w:rsidRPr="00AB4A23">
        <w:t xml:space="preserve"> </w:t>
      </w:r>
      <w:r w:rsidR="00706A8B" w:rsidRPr="00AB4A23">
        <w:t>some</w:t>
      </w:r>
      <w:r w:rsidR="005C6F53" w:rsidRPr="00AB4A23">
        <w:t xml:space="preserve"> education</w:t>
      </w:r>
      <w:r w:rsidR="00DB1A3B" w:rsidRPr="00AB4A23">
        <w:t>,</w:t>
      </w:r>
      <w:r w:rsidR="00EF2EE6" w:rsidRPr="00AB4A23">
        <w:t xml:space="preserve"> and</w:t>
      </w:r>
      <w:r w:rsidR="00DB1A3B" w:rsidRPr="00AB4A23">
        <w:t xml:space="preserve"> enrolment in higher education </w:t>
      </w:r>
      <w:r w:rsidR="00646765" w:rsidRPr="00AB4A23">
        <w:t xml:space="preserve">which </w:t>
      </w:r>
      <w:r w:rsidR="00DB1A3B" w:rsidRPr="00AB4A23">
        <w:t xml:space="preserve">increased from </w:t>
      </w:r>
      <w:r w:rsidR="004A32E3" w:rsidRPr="00AB4A23">
        <w:t>less than 2%</w:t>
      </w:r>
      <w:r w:rsidR="00DB1A3B" w:rsidRPr="00AB4A23">
        <w:t xml:space="preserve"> in 1983 to more than 10% of </w:t>
      </w:r>
      <w:r w:rsidRPr="00AB4A23">
        <w:t>females</w:t>
      </w:r>
      <w:r w:rsidR="00DB1A3B" w:rsidRPr="00AB4A23">
        <w:t xml:space="preserve"> and </w:t>
      </w:r>
      <w:r w:rsidR="00506CCB" w:rsidRPr="00AB4A23">
        <w:t>8.5</w:t>
      </w:r>
      <w:r w:rsidR="00DB1A3B" w:rsidRPr="00AB4A23">
        <w:t>% of m</w:t>
      </w:r>
      <w:r w:rsidRPr="00AB4A23">
        <w:t>ales</w:t>
      </w:r>
      <w:r w:rsidR="00506CCB" w:rsidRPr="00AB4A23">
        <w:t xml:space="preserve"> over age 15</w:t>
      </w:r>
      <w:r w:rsidR="00DB1A3B" w:rsidRPr="00AB4A23">
        <w:t xml:space="preserve"> in </w:t>
      </w:r>
      <w:r w:rsidR="00506CCB" w:rsidRPr="00AB4A23">
        <w:t>2014</w:t>
      </w:r>
      <w:r w:rsidR="00C13E77" w:rsidRPr="00AB4A23">
        <w:t xml:space="preserve">. </w:t>
      </w:r>
      <w:r w:rsidR="00EF2EE6" w:rsidRPr="00AB4A23">
        <w:t xml:space="preserve">The 2014 census </w:t>
      </w:r>
      <w:r w:rsidR="00506CCB" w:rsidRPr="00AB4A23">
        <w:t xml:space="preserve">also </w:t>
      </w:r>
      <w:r w:rsidR="00EF2EE6" w:rsidRPr="00AB4A23">
        <w:t xml:space="preserve">found that more than 90% of the total population </w:t>
      </w:r>
      <w:r w:rsidR="00706A8B" w:rsidRPr="00AB4A23">
        <w:t xml:space="preserve">aged </w:t>
      </w:r>
      <w:r w:rsidR="00EF2EE6" w:rsidRPr="00AB4A23">
        <w:t xml:space="preserve">over 10 </w:t>
      </w:r>
      <w:r w:rsidR="00706A8B" w:rsidRPr="00AB4A23">
        <w:t xml:space="preserve">years </w:t>
      </w:r>
      <w:r w:rsidR="00EF2EE6" w:rsidRPr="00AB4A23">
        <w:t xml:space="preserve">was literate, with little </w:t>
      </w:r>
      <w:r w:rsidR="00706A8B" w:rsidRPr="00AB4A23">
        <w:t>or</w:t>
      </w:r>
      <w:r w:rsidR="00EF2EE6" w:rsidRPr="00AB4A23">
        <w:t xml:space="preserve"> no difference between males and females </w:t>
      </w:r>
      <w:r w:rsidR="00706A8B" w:rsidRPr="00AB4A23">
        <w:t>(</w:t>
      </w:r>
      <w:r w:rsidR="00EF2EE6" w:rsidRPr="00AB4A23">
        <w:t>Ministry of Immigration and Population,</w:t>
      </w:r>
      <w:r w:rsidR="00706A8B" w:rsidRPr="00AB4A23">
        <w:t xml:space="preserve"> Department of Population</w:t>
      </w:r>
      <w:r w:rsidR="00EF2EE6" w:rsidRPr="00AB4A23">
        <w:t xml:space="preserve"> 2015</w:t>
      </w:r>
      <w:r w:rsidR="00706A8B" w:rsidRPr="00AB4A23">
        <w:t>)</w:t>
      </w:r>
      <w:r w:rsidR="00EF2EE6" w:rsidRPr="00AB4A23">
        <w:t>. Most geographic areas have percentages literate between 80</w:t>
      </w:r>
      <w:r w:rsidR="00E834F3" w:rsidRPr="00AB4A23">
        <w:t xml:space="preserve">% and </w:t>
      </w:r>
      <w:r w:rsidR="00EF2EE6" w:rsidRPr="00AB4A23">
        <w:t xml:space="preserve">95%. However, a smaller proportion of the population of Shan </w:t>
      </w:r>
      <w:r w:rsidR="00706A8B" w:rsidRPr="00AB4A23">
        <w:t xml:space="preserve">state </w:t>
      </w:r>
      <w:r w:rsidR="00EF2EE6" w:rsidRPr="00AB4A23">
        <w:t>was literate</w:t>
      </w:r>
      <w:r w:rsidR="00706A8B" w:rsidRPr="00AB4A23">
        <w:t xml:space="preserve"> (</w:t>
      </w:r>
      <w:r w:rsidR="00506CCB" w:rsidRPr="00AB4A23">
        <w:t>67</w:t>
      </w:r>
      <w:r w:rsidR="00EF2EE6" w:rsidRPr="00AB4A23">
        <w:t>%</w:t>
      </w:r>
      <w:r w:rsidR="00706A8B" w:rsidRPr="00AB4A23">
        <w:t>)</w:t>
      </w:r>
      <w:r w:rsidR="00EF2EE6" w:rsidRPr="00AB4A23">
        <w:t xml:space="preserve"> and the state had </w:t>
      </w:r>
      <w:r w:rsidR="00157346" w:rsidRPr="00AB4A23">
        <w:t xml:space="preserve">a </w:t>
      </w:r>
      <w:r w:rsidR="00EF2EE6" w:rsidRPr="00AB4A23">
        <w:t>marked gender disparit</w:t>
      </w:r>
      <w:r w:rsidR="00157346" w:rsidRPr="00AB4A23">
        <w:t>y</w:t>
      </w:r>
      <w:r w:rsidR="00EF2EE6" w:rsidRPr="00AB4A23">
        <w:t xml:space="preserve"> (72% men and 62% women </w:t>
      </w:r>
      <w:r w:rsidR="00706A8B" w:rsidRPr="00AB4A23">
        <w:t xml:space="preserve">were </w:t>
      </w:r>
      <w:r w:rsidR="00EF2EE6" w:rsidRPr="00AB4A23">
        <w:t>literate)</w:t>
      </w:r>
      <w:r w:rsidR="004A32E3" w:rsidRPr="00AB4A23">
        <w:t xml:space="preserve"> (</w:t>
      </w:r>
      <w:r w:rsidR="00EF2EE6" w:rsidRPr="00AB4A23">
        <w:t xml:space="preserve">Ministry of Immigration and Population, </w:t>
      </w:r>
      <w:r w:rsidR="00706A8B" w:rsidRPr="00AB4A23">
        <w:t>Department of Population</w:t>
      </w:r>
      <w:r w:rsidR="00D331D2" w:rsidRPr="00AB4A23">
        <w:t>,</w:t>
      </w:r>
      <w:r w:rsidR="00706A8B" w:rsidRPr="00AB4A23">
        <w:t xml:space="preserve"> </w:t>
      </w:r>
      <w:r w:rsidR="00EF2EE6" w:rsidRPr="00AB4A23">
        <w:t>2015</w:t>
      </w:r>
      <w:r w:rsidR="004A32E3" w:rsidRPr="00AB4A23">
        <w:t>)</w:t>
      </w:r>
      <w:r w:rsidR="00EF2EE6" w:rsidRPr="00AB4A23">
        <w:t>.</w:t>
      </w:r>
    </w:p>
    <w:p w14:paraId="0F91DB41" w14:textId="0F7786FD" w:rsidR="00D2798F" w:rsidRPr="00AB4A23" w:rsidRDefault="00FE2404" w:rsidP="0AA2609C">
      <w:pPr>
        <w:pStyle w:val="Paragraph"/>
        <w:spacing w:before="0"/>
        <w:ind w:firstLine="720"/>
      </w:pPr>
      <w:r w:rsidRPr="00AB4A23">
        <w:t xml:space="preserve">Similarly, female </w:t>
      </w:r>
      <w:r w:rsidR="008C77E4" w:rsidRPr="00AB4A23">
        <w:t xml:space="preserve">participation </w:t>
      </w:r>
      <w:r w:rsidRPr="00AB4A23">
        <w:t xml:space="preserve">in the labour force has changed over the past </w:t>
      </w:r>
      <w:r w:rsidR="00192329" w:rsidRPr="00AB4A23">
        <w:t>half century</w:t>
      </w:r>
      <w:r w:rsidRPr="00AB4A23">
        <w:t>. In 1973, only around one</w:t>
      </w:r>
      <w:r w:rsidR="00192329" w:rsidRPr="00AB4A23">
        <w:t xml:space="preserve"> </w:t>
      </w:r>
      <w:r w:rsidRPr="00AB4A23">
        <w:t xml:space="preserve">third of females </w:t>
      </w:r>
      <w:r w:rsidR="00192329" w:rsidRPr="00AB4A23">
        <w:t xml:space="preserve">aged </w:t>
      </w:r>
      <w:r w:rsidRPr="00AB4A23">
        <w:t xml:space="preserve">over 10 </w:t>
      </w:r>
      <w:r w:rsidR="00192329" w:rsidRPr="00AB4A23">
        <w:t xml:space="preserve">years </w:t>
      </w:r>
      <w:r w:rsidRPr="00AB4A23">
        <w:t>were employed outside of the ho</w:t>
      </w:r>
      <w:r w:rsidR="00192329" w:rsidRPr="00AB4A23">
        <w:t>me</w:t>
      </w:r>
      <w:r w:rsidRPr="00AB4A23">
        <w:t>, while more than 50% worked as unpai</w:t>
      </w:r>
      <w:r w:rsidR="005E7F14" w:rsidRPr="00AB4A23">
        <w:t xml:space="preserve">d household workers </w:t>
      </w:r>
      <w:r w:rsidR="00192329" w:rsidRPr="00AB4A23">
        <w:t>(</w:t>
      </w:r>
      <w:proofErr w:type="spellStart"/>
      <w:r w:rsidR="005E7F14" w:rsidRPr="00AB4A23">
        <w:t>Maung</w:t>
      </w:r>
      <w:proofErr w:type="spellEnd"/>
      <w:r w:rsidR="00D331D2" w:rsidRPr="00AB4A23">
        <w:t>,</w:t>
      </w:r>
      <w:r w:rsidR="005E7F14" w:rsidRPr="00AB4A23">
        <w:t xml:space="preserve"> 1986</w:t>
      </w:r>
      <w:r w:rsidR="00192329" w:rsidRPr="00AB4A23">
        <w:t>)</w:t>
      </w:r>
      <w:r w:rsidRPr="00AB4A23">
        <w:t xml:space="preserve">. By 2014, female </w:t>
      </w:r>
      <w:r w:rsidR="008C77E4" w:rsidRPr="00AB4A23">
        <w:t xml:space="preserve">participation </w:t>
      </w:r>
      <w:r w:rsidRPr="00AB4A23">
        <w:t>in the formal workforce had increased to more than 40%</w:t>
      </w:r>
      <w:r w:rsidR="00157346" w:rsidRPr="00AB4A23">
        <w:t xml:space="preserve"> </w:t>
      </w:r>
      <w:r w:rsidR="00646765" w:rsidRPr="00AB4A23">
        <w:t>among</w:t>
      </w:r>
      <w:r w:rsidRPr="00AB4A23">
        <w:t xml:space="preserve"> those </w:t>
      </w:r>
      <w:r w:rsidR="00192329" w:rsidRPr="00AB4A23">
        <w:t xml:space="preserve">aged </w:t>
      </w:r>
      <w:r w:rsidRPr="00AB4A23">
        <w:t>over</w:t>
      </w:r>
      <w:r w:rsidR="00192329" w:rsidRPr="00AB4A23">
        <w:t xml:space="preserve"> </w:t>
      </w:r>
      <w:r w:rsidRPr="00AB4A23">
        <w:t>10</w:t>
      </w:r>
      <w:r w:rsidR="00192329" w:rsidRPr="00AB4A23">
        <w:t xml:space="preserve"> years, and only</w:t>
      </w:r>
      <w:r w:rsidRPr="00AB4A23">
        <w:t xml:space="preserve"> one</w:t>
      </w:r>
      <w:r w:rsidR="00192329" w:rsidRPr="00AB4A23">
        <w:t xml:space="preserve"> </w:t>
      </w:r>
      <w:r w:rsidRPr="00AB4A23">
        <w:t xml:space="preserve">third </w:t>
      </w:r>
      <w:r w:rsidR="00192329" w:rsidRPr="00AB4A23">
        <w:t xml:space="preserve">of these </w:t>
      </w:r>
      <w:r w:rsidRPr="00AB4A23">
        <w:t xml:space="preserve">reported working in the home </w:t>
      </w:r>
      <w:r w:rsidR="00506CCB" w:rsidRPr="00AB4A23">
        <w:t>(</w:t>
      </w:r>
      <w:r w:rsidRPr="00AB4A23">
        <w:t>Ministry of I</w:t>
      </w:r>
      <w:r w:rsidR="005E7F14" w:rsidRPr="00AB4A23">
        <w:t>mmigration and Population,</w:t>
      </w:r>
      <w:r w:rsidR="00192329" w:rsidRPr="00AB4A23">
        <w:t xml:space="preserve"> Department of Population</w:t>
      </w:r>
      <w:r w:rsidR="00D331D2" w:rsidRPr="00AB4A23">
        <w:t>,</w:t>
      </w:r>
      <w:r w:rsidR="005E7F14" w:rsidRPr="00AB4A23">
        <w:t xml:space="preserve"> 201</w:t>
      </w:r>
      <w:r w:rsidR="00506CCB" w:rsidRPr="00AB4A23">
        <w:t>5)</w:t>
      </w:r>
      <w:r w:rsidRPr="00AB4A23">
        <w:t xml:space="preserve">. </w:t>
      </w:r>
      <w:r w:rsidR="00D2798F" w:rsidRPr="00AB4A23">
        <w:t xml:space="preserve">The majority of this </w:t>
      </w:r>
      <w:r w:rsidR="001E4DB5" w:rsidRPr="00AB4A23">
        <w:t xml:space="preserve">change </w:t>
      </w:r>
      <w:r w:rsidR="00D2798F" w:rsidRPr="00AB4A23">
        <w:t xml:space="preserve">appears to have come from </w:t>
      </w:r>
      <w:r w:rsidR="001E4DB5" w:rsidRPr="00AB4A23">
        <w:t xml:space="preserve">increased workforce participation among </w:t>
      </w:r>
      <w:r w:rsidR="00D2798F" w:rsidRPr="00AB4A23">
        <w:t xml:space="preserve">younger women. </w:t>
      </w:r>
      <w:r w:rsidR="00192329" w:rsidRPr="00AB4A23">
        <w:t>In 1983, fewer than</w:t>
      </w:r>
      <w:r w:rsidR="00D2798F" w:rsidRPr="00AB4A23">
        <w:t xml:space="preserve"> 20%</w:t>
      </w:r>
      <w:r w:rsidR="00192329" w:rsidRPr="00AB4A23">
        <w:t xml:space="preserve"> o</w:t>
      </w:r>
      <w:r w:rsidR="00D2798F" w:rsidRPr="00AB4A23">
        <w:t>f 15-19 year</w:t>
      </w:r>
      <w:r w:rsidR="00157346" w:rsidRPr="00AB4A23">
        <w:t xml:space="preserve"> </w:t>
      </w:r>
      <w:r w:rsidR="00D2798F" w:rsidRPr="00AB4A23">
        <w:t xml:space="preserve">old women </w:t>
      </w:r>
      <w:proofErr w:type="gramStart"/>
      <w:r w:rsidR="00D2798F" w:rsidRPr="00AB4A23">
        <w:t>were employed</w:t>
      </w:r>
      <w:proofErr w:type="gramEnd"/>
      <w:r w:rsidR="00192329" w:rsidRPr="00AB4A23">
        <w:t>,</w:t>
      </w:r>
      <w:r w:rsidR="00D2798F" w:rsidRPr="00AB4A23">
        <w:t xml:space="preserve"> but 40% were </w:t>
      </w:r>
      <w:r w:rsidR="008C77E4" w:rsidRPr="00AB4A23">
        <w:t xml:space="preserve">reported to be </w:t>
      </w:r>
      <w:r w:rsidR="00D2798F" w:rsidRPr="00AB4A23">
        <w:t xml:space="preserve">working in 2014. Similarly, only </w:t>
      </w:r>
      <w:r w:rsidR="00646765" w:rsidRPr="00AB4A23">
        <w:t xml:space="preserve">a </w:t>
      </w:r>
      <w:r w:rsidR="00D2798F" w:rsidRPr="00AB4A23">
        <w:t xml:space="preserve">third of 20-24 year old women were working in 1983, while more than half worked in 2014. Labour </w:t>
      </w:r>
      <w:r w:rsidR="008C77E4" w:rsidRPr="00AB4A23">
        <w:t xml:space="preserve">participation </w:t>
      </w:r>
      <w:r w:rsidR="00D2798F" w:rsidRPr="00AB4A23">
        <w:t xml:space="preserve">for men in similar age groups also increased </w:t>
      </w:r>
      <w:r w:rsidR="00192329" w:rsidRPr="00AB4A23">
        <w:t>over the same period</w:t>
      </w:r>
      <w:r w:rsidR="00D2798F" w:rsidRPr="00AB4A23">
        <w:t xml:space="preserve">. </w:t>
      </w:r>
    </w:p>
    <w:p w14:paraId="63A414C1" w14:textId="01DD8844" w:rsidR="005E7F14" w:rsidRPr="00AB4A23" w:rsidRDefault="00AE2B20" w:rsidP="0AA2609C">
      <w:pPr>
        <w:pStyle w:val="Paragraph"/>
        <w:spacing w:before="0"/>
        <w:ind w:firstLine="720"/>
      </w:pPr>
      <w:r w:rsidRPr="00AB4A23">
        <w:t>The increase in f</w:t>
      </w:r>
      <w:r w:rsidR="000E07F2" w:rsidRPr="00AB4A23">
        <w:t xml:space="preserve">emale labour </w:t>
      </w:r>
      <w:r w:rsidR="008C77E4" w:rsidRPr="00AB4A23">
        <w:t>participation</w:t>
      </w:r>
      <w:r w:rsidR="000E07F2" w:rsidRPr="00AB4A23">
        <w:t xml:space="preserve"> in Myanmar </w:t>
      </w:r>
      <w:r w:rsidR="00C53BAC" w:rsidRPr="00AB4A23">
        <w:t xml:space="preserve">after </w:t>
      </w:r>
      <w:r w:rsidR="000E07F2" w:rsidRPr="00AB4A23">
        <w:t>the 1970s</w:t>
      </w:r>
      <w:r w:rsidR="000B105A" w:rsidRPr="00AB4A23">
        <w:t xml:space="preserve"> </w:t>
      </w:r>
      <w:r w:rsidR="000E07F2" w:rsidRPr="00AB4A23">
        <w:t xml:space="preserve">may be due to a transition in the type of </w:t>
      </w:r>
      <w:r w:rsidRPr="00AB4A23">
        <w:t xml:space="preserve">work </w:t>
      </w:r>
      <w:r w:rsidR="00646765" w:rsidRPr="00AB4A23">
        <w:t xml:space="preserve">available for </w:t>
      </w:r>
      <w:r w:rsidRPr="00AB4A23">
        <w:t>women.</w:t>
      </w:r>
      <w:r w:rsidR="002178F7" w:rsidRPr="00AB4A23">
        <w:t xml:space="preserve"> Most employed men </w:t>
      </w:r>
      <w:r w:rsidR="006D7523" w:rsidRPr="00AB4A23">
        <w:t xml:space="preserve">(81.1% in 2015-2016) </w:t>
      </w:r>
      <w:r w:rsidR="002178F7" w:rsidRPr="00AB4A23">
        <w:t xml:space="preserve">and women </w:t>
      </w:r>
      <w:r w:rsidR="006D7523" w:rsidRPr="00AB4A23">
        <w:t xml:space="preserve">(63.9% in 2015-2016) </w:t>
      </w:r>
      <w:r w:rsidR="002178F7" w:rsidRPr="00AB4A23">
        <w:t>work</w:t>
      </w:r>
      <w:r w:rsidR="00646765" w:rsidRPr="00AB4A23">
        <w:t>ed</w:t>
      </w:r>
      <w:r w:rsidR="002178F7" w:rsidRPr="00AB4A23">
        <w:t xml:space="preserve"> in agricultural or manual labour positions </w:t>
      </w:r>
      <w:r w:rsidR="006D7523" w:rsidRPr="00AB4A23">
        <w:t>(</w:t>
      </w:r>
      <w:r w:rsidR="002178F7" w:rsidRPr="00AB4A23">
        <w:t xml:space="preserve">Ministry of Health </w:t>
      </w:r>
      <w:r w:rsidR="006D7523" w:rsidRPr="00AB4A23">
        <w:t>and</w:t>
      </w:r>
      <w:r w:rsidR="00D331D2" w:rsidRPr="00AB4A23">
        <w:t xml:space="preserve"> Sports &amp; ICF,</w:t>
      </w:r>
      <w:r w:rsidR="00506CCB" w:rsidRPr="00AB4A23">
        <w:t xml:space="preserve"> 2017)</w:t>
      </w:r>
      <w:r w:rsidR="002178F7" w:rsidRPr="00AB4A23">
        <w:t>.</w:t>
      </w:r>
      <w:r w:rsidR="000E07F2" w:rsidRPr="00AB4A23">
        <w:t xml:space="preserve"> </w:t>
      </w:r>
      <w:r w:rsidR="002178F7" w:rsidRPr="00AB4A23">
        <w:t xml:space="preserve">However, women </w:t>
      </w:r>
      <w:r w:rsidR="00646765" w:rsidRPr="00AB4A23">
        <w:t xml:space="preserve">seem to be </w:t>
      </w:r>
      <w:r w:rsidR="002178F7" w:rsidRPr="00AB4A23">
        <w:t xml:space="preserve">increasingly taking on office </w:t>
      </w:r>
      <w:r w:rsidR="006D7523" w:rsidRPr="00AB4A23">
        <w:t xml:space="preserve">jobs </w:t>
      </w:r>
      <w:r w:rsidR="002178F7" w:rsidRPr="00AB4A23">
        <w:t xml:space="preserve">and leadership positions. </w:t>
      </w:r>
      <w:r w:rsidR="000E07F2" w:rsidRPr="00AB4A23">
        <w:t>In 1983, only 2.8% of women aged 19-49</w:t>
      </w:r>
      <w:r w:rsidR="006D7523" w:rsidRPr="00AB4A23">
        <w:t xml:space="preserve"> </w:t>
      </w:r>
      <w:r w:rsidR="006D7523" w:rsidRPr="00AB4A23">
        <w:lastRenderedPageBreak/>
        <w:t xml:space="preserve">years </w:t>
      </w:r>
      <w:r w:rsidR="000E07F2" w:rsidRPr="00AB4A23">
        <w:t>held managerial or professional positions. By 2014, this had increased to</w:t>
      </w:r>
      <w:r w:rsidR="005E7F14" w:rsidRPr="00AB4A23">
        <w:t xml:space="preserve"> 7.8% of</w:t>
      </w:r>
      <w:r w:rsidR="000E07F2" w:rsidRPr="00AB4A23">
        <w:t xml:space="preserve"> women of reproductive age</w:t>
      </w:r>
      <w:r w:rsidR="005E7F14" w:rsidRPr="00AB4A23">
        <w:t xml:space="preserve">, slightly higher than the percentage of men reporting the same </w:t>
      </w:r>
      <w:r w:rsidR="00157346" w:rsidRPr="00AB4A23">
        <w:t xml:space="preserve">kind of </w:t>
      </w:r>
      <w:r w:rsidR="005E7F14" w:rsidRPr="00AB4A23">
        <w:t xml:space="preserve">positions (7.1%). </w:t>
      </w:r>
      <w:r w:rsidR="00157346" w:rsidRPr="00AB4A23">
        <w:t>M</w:t>
      </w:r>
      <w:r w:rsidR="005E7F14" w:rsidRPr="00AB4A23">
        <w:t>ore</w:t>
      </w:r>
      <w:r w:rsidR="00157346" w:rsidRPr="00AB4A23">
        <w:t>over</w:t>
      </w:r>
      <w:r w:rsidR="005E7F14" w:rsidRPr="00AB4A23">
        <w:t xml:space="preserve">, more than a quarter of women reported working in sales or clerical positions, compared to only 11.3% of men. </w:t>
      </w:r>
      <w:r w:rsidRPr="00AB4A23">
        <w:t xml:space="preserve">These transitions appear consistent with </w:t>
      </w:r>
      <w:r w:rsidR="00082F9F" w:rsidRPr="00AB4A23">
        <w:t xml:space="preserve">women’s </w:t>
      </w:r>
      <w:r w:rsidRPr="00AB4A23">
        <w:t>educational advancements.</w:t>
      </w:r>
    </w:p>
    <w:p w14:paraId="5A6A26D3" w14:textId="77777777" w:rsidR="006D7523" w:rsidRPr="00AB4A23" w:rsidRDefault="006D7523" w:rsidP="00467B60">
      <w:pPr>
        <w:spacing w:line="480" w:lineRule="auto"/>
        <w:rPr>
          <w:b/>
        </w:rPr>
      </w:pPr>
    </w:p>
    <w:p w14:paraId="37EE17EB" w14:textId="77777777" w:rsidR="000B3062" w:rsidRPr="00AB4A23" w:rsidRDefault="00B123CD" w:rsidP="000D1C47">
      <w:pPr>
        <w:spacing w:line="480" w:lineRule="auto"/>
        <w:rPr>
          <w:b/>
          <w:i/>
        </w:rPr>
      </w:pPr>
      <w:r w:rsidRPr="00AB4A23">
        <w:rPr>
          <w:b/>
          <w:i/>
        </w:rPr>
        <w:t>Factors associated with marriage</w:t>
      </w:r>
    </w:p>
    <w:p w14:paraId="243B8B40" w14:textId="50C5F77A" w:rsidR="006D7523" w:rsidRPr="00AB4A23" w:rsidRDefault="006D7523" w:rsidP="0AA2609C">
      <w:pPr>
        <w:pStyle w:val="Paragraph"/>
        <w:spacing w:before="0"/>
      </w:pPr>
      <w:r w:rsidRPr="00AB4A23">
        <w:t>Among women aged 45-49 years in 2016</w:t>
      </w:r>
      <w:r w:rsidR="00F159FD" w:rsidRPr="00AB4A23">
        <w:t xml:space="preserve">, 12.8% </w:t>
      </w:r>
      <w:r w:rsidRPr="00AB4A23">
        <w:t>had</w:t>
      </w:r>
      <w:r w:rsidR="00F159FD" w:rsidRPr="00AB4A23">
        <w:t xml:space="preserve"> never married</w:t>
      </w:r>
      <w:r w:rsidRPr="00AB4A23">
        <w:t xml:space="preserve">. </w:t>
      </w:r>
      <w:r w:rsidR="009A5FC0" w:rsidRPr="00AB4A23">
        <w:t>Never</w:t>
      </w:r>
      <w:r w:rsidRPr="00AB4A23">
        <w:t>-</w:t>
      </w:r>
      <w:r w:rsidR="009A5FC0" w:rsidRPr="00AB4A23">
        <w:t xml:space="preserve">married women </w:t>
      </w:r>
      <w:r w:rsidRPr="00AB4A23">
        <w:t xml:space="preserve">in their late </w:t>
      </w:r>
      <w:r w:rsidR="00E834F3" w:rsidRPr="00AB4A23">
        <w:t>40s</w:t>
      </w:r>
      <w:r w:rsidRPr="00AB4A23">
        <w:t xml:space="preserve"> </w:t>
      </w:r>
      <w:r w:rsidR="009A5FC0" w:rsidRPr="00AB4A23">
        <w:t xml:space="preserve">were more likely </w:t>
      </w:r>
      <w:r w:rsidRPr="00AB4A23">
        <w:t xml:space="preserve">than were ever-married women of the same age </w:t>
      </w:r>
      <w:r w:rsidR="009A5FC0" w:rsidRPr="00AB4A23">
        <w:t xml:space="preserve">to live in urban areas, </w:t>
      </w:r>
      <w:r w:rsidR="00F2399D" w:rsidRPr="00AB4A23">
        <w:t>work</w:t>
      </w:r>
      <w:r w:rsidR="009A5FC0" w:rsidRPr="00AB4A23">
        <w:t xml:space="preserve"> </w:t>
      </w:r>
      <w:r w:rsidR="00F2399D" w:rsidRPr="00AB4A23">
        <w:t xml:space="preserve">at a </w:t>
      </w:r>
      <w:r w:rsidR="009A5FC0" w:rsidRPr="00AB4A23">
        <w:t>professional</w:t>
      </w:r>
      <w:r w:rsidR="00F2399D" w:rsidRPr="00AB4A23">
        <w:t xml:space="preserve"> level, </w:t>
      </w:r>
      <w:r w:rsidR="009A5FC0" w:rsidRPr="00AB4A23">
        <w:t>and fall into a higher wealth quintile</w:t>
      </w:r>
      <w:r w:rsidR="003F3FCD" w:rsidRPr="00AB4A23">
        <w:t xml:space="preserve"> (Table </w:t>
      </w:r>
      <w:r w:rsidR="00157346" w:rsidRPr="00AB4A23">
        <w:t>3</w:t>
      </w:r>
      <w:r w:rsidR="003F3FCD" w:rsidRPr="00AB4A23">
        <w:t>a)</w:t>
      </w:r>
      <w:r w:rsidR="009A5FC0" w:rsidRPr="00AB4A23">
        <w:t>.</w:t>
      </w:r>
      <w:r w:rsidR="003F3FCD" w:rsidRPr="00AB4A23">
        <w:t xml:space="preserve"> </w:t>
      </w:r>
      <w:r w:rsidRPr="00AB4A23">
        <w:t>They also had higher le</w:t>
      </w:r>
      <w:r w:rsidR="000F119D" w:rsidRPr="00AB4A23">
        <w:t>vels of educational attainment.</w:t>
      </w:r>
      <w:r w:rsidRPr="00AB4A23">
        <w:t xml:space="preserve"> </w:t>
      </w:r>
      <w:r w:rsidR="003F3FCD" w:rsidRPr="00AB4A23">
        <w:t xml:space="preserve">These </w:t>
      </w:r>
      <w:r w:rsidRPr="00AB4A23">
        <w:t>associations</w:t>
      </w:r>
      <w:r w:rsidR="003F3FCD" w:rsidRPr="00AB4A23">
        <w:t xml:space="preserve"> were </w:t>
      </w:r>
      <w:r w:rsidRPr="00AB4A23">
        <w:t>f</w:t>
      </w:r>
      <w:r w:rsidR="003F3FCD" w:rsidRPr="00AB4A23">
        <w:t xml:space="preserve">ound for </w:t>
      </w:r>
      <w:r w:rsidRPr="00AB4A23">
        <w:t>women aged 25-29 and 35-39 years in 2016</w:t>
      </w:r>
      <w:r w:rsidR="003F3FCD" w:rsidRPr="00AB4A23">
        <w:t xml:space="preserve"> as well</w:t>
      </w:r>
      <w:r w:rsidR="00E864D6" w:rsidRPr="00AB4A23">
        <w:t>.</w:t>
      </w:r>
      <w:r w:rsidR="003F3FCD" w:rsidRPr="00AB4A23">
        <w:t xml:space="preserve"> In addition, significantly more </w:t>
      </w:r>
      <w:r w:rsidR="008C77E4" w:rsidRPr="00AB4A23">
        <w:t>never</w:t>
      </w:r>
      <w:r w:rsidR="00157346" w:rsidRPr="00AB4A23">
        <w:t>-</w:t>
      </w:r>
      <w:r w:rsidR="008C77E4" w:rsidRPr="00AB4A23">
        <w:t xml:space="preserve"> married </w:t>
      </w:r>
      <w:r w:rsidR="003F3FCD" w:rsidRPr="00AB4A23">
        <w:t>women were engaged in the labour force than married women in the younger two age cohorts.</w:t>
      </w:r>
      <w:r w:rsidR="00E864D6" w:rsidRPr="00AB4A23">
        <w:t xml:space="preserve"> </w:t>
      </w:r>
    </w:p>
    <w:p w14:paraId="45E6CE3D" w14:textId="5490BCCB" w:rsidR="00BF3F19" w:rsidRPr="00AB4A23" w:rsidRDefault="00AB5AC1" w:rsidP="0AA2609C">
      <w:pPr>
        <w:pStyle w:val="Paragraph"/>
        <w:spacing w:before="0"/>
      </w:pPr>
      <w:r w:rsidRPr="00AB4A23">
        <w:t xml:space="preserve">[Table </w:t>
      </w:r>
      <w:r w:rsidR="00157346" w:rsidRPr="00AB4A23">
        <w:t>3</w:t>
      </w:r>
      <w:r w:rsidR="003F3FCD" w:rsidRPr="00AB4A23">
        <w:t>a</w:t>
      </w:r>
      <w:r w:rsidRPr="00AB4A23">
        <w:t xml:space="preserve"> </w:t>
      </w:r>
      <w:r w:rsidR="00157346" w:rsidRPr="00AB4A23">
        <w:t xml:space="preserve">about </w:t>
      </w:r>
      <w:r w:rsidRPr="00AB4A23">
        <w:t>here]</w:t>
      </w:r>
    </w:p>
    <w:p w14:paraId="02EB0210" w14:textId="7F383DF2" w:rsidR="006D7523" w:rsidRPr="00AB4A23" w:rsidRDefault="00BD4192" w:rsidP="0AA2609C">
      <w:pPr>
        <w:pStyle w:val="Paragraph"/>
        <w:spacing w:before="0"/>
        <w:ind w:firstLine="720"/>
      </w:pPr>
      <w:r w:rsidRPr="00AB4A23">
        <w:t xml:space="preserve">In 2016, only </w:t>
      </w:r>
      <w:r w:rsidR="00304E58" w:rsidRPr="00AB4A23">
        <w:t>5.2</w:t>
      </w:r>
      <w:r w:rsidR="002658F3" w:rsidRPr="00AB4A23">
        <w:t xml:space="preserve">% of men </w:t>
      </w:r>
      <w:r w:rsidR="006D7523" w:rsidRPr="00AB4A23">
        <w:t>aged 45-49 years had never married</w:t>
      </w:r>
      <w:r w:rsidR="005025DF" w:rsidRPr="00AB4A23">
        <w:t>. N</w:t>
      </w:r>
      <w:r w:rsidR="006D7523" w:rsidRPr="00AB4A23">
        <w:t>ever-married men were not significantly different as a group from the majority of men of the same age who had married</w:t>
      </w:r>
      <w:r w:rsidR="00E31276" w:rsidRPr="00AB4A23">
        <w:t xml:space="preserve">, although </w:t>
      </w:r>
      <w:r w:rsidR="00E834F3" w:rsidRPr="00AB4A23">
        <w:t>a higher proportion of</w:t>
      </w:r>
      <w:r w:rsidR="00E31276" w:rsidRPr="00AB4A23">
        <w:t xml:space="preserve"> never-married men were in the highest wealth quintile</w:t>
      </w:r>
      <w:r w:rsidR="006D7523" w:rsidRPr="00AB4A23">
        <w:t xml:space="preserve"> (Table </w:t>
      </w:r>
      <w:r w:rsidR="29DE47C6" w:rsidRPr="00AB4A23">
        <w:t>3</w:t>
      </w:r>
      <w:r w:rsidR="006D7523" w:rsidRPr="00AB4A23">
        <w:t xml:space="preserve">b). </w:t>
      </w:r>
      <w:r w:rsidR="005025DF" w:rsidRPr="00AB4A23">
        <w:t>Perhaps due to the small sample of never-married men</w:t>
      </w:r>
      <w:r w:rsidR="00E31276" w:rsidRPr="00AB4A23">
        <w:t xml:space="preserve"> in the older age cohorts</w:t>
      </w:r>
      <w:r w:rsidR="006D7523" w:rsidRPr="00AB4A23">
        <w:t xml:space="preserve">, </w:t>
      </w:r>
      <w:r w:rsidR="005025DF" w:rsidRPr="00AB4A23">
        <w:t xml:space="preserve">only </w:t>
      </w:r>
      <w:r w:rsidR="00157346" w:rsidRPr="00AB4A23">
        <w:t xml:space="preserve">the 25-29 year </w:t>
      </w:r>
      <w:r w:rsidR="005025DF" w:rsidRPr="00AB4A23">
        <w:t>age cohort show</w:t>
      </w:r>
      <w:r w:rsidR="00157346" w:rsidRPr="00AB4A23">
        <w:t>ed</w:t>
      </w:r>
      <w:r w:rsidR="006D7523" w:rsidRPr="00AB4A23">
        <w:t xml:space="preserve"> clear differences between men who had married and those who had not. </w:t>
      </w:r>
      <w:r w:rsidR="003F3FCD" w:rsidRPr="00AB4A23">
        <w:t xml:space="preserve"> In this age cohort, unmarried men were more likely to live in an urban area, have university or higher education, and </w:t>
      </w:r>
      <w:r w:rsidR="00B676C8" w:rsidRPr="00AB4A23">
        <w:t xml:space="preserve">belong </w:t>
      </w:r>
      <w:r w:rsidR="003F3FCD" w:rsidRPr="00AB4A23">
        <w:t>to</w:t>
      </w:r>
      <w:r w:rsidRPr="00AB4A23">
        <w:t xml:space="preserve"> households in the</w:t>
      </w:r>
      <w:r w:rsidR="003F3FCD" w:rsidRPr="00AB4A23">
        <w:t xml:space="preserve"> highest wealth quintile. Married men were more likely to be working, but unmarried men were more likely to work in a professional or managerial position.</w:t>
      </w:r>
      <w:r w:rsidR="00345783" w:rsidRPr="00AB4A23">
        <w:t xml:space="preserve"> </w:t>
      </w:r>
    </w:p>
    <w:p w14:paraId="1EFCB3E9" w14:textId="380407D1" w:rsidR="00AB5AC1" w:rsidRPr="00AB4A23" w:rsidRDefault="003F3FCD" w:rsidP="0AA2609C">
      <w:pPr>
        <w:pStyle w:val="Paragraph"/>
        <w:spacing w:before="0"/>
      </w:pPr>
      <w:r w:rsidRPr="00AB4A23">
        <w:t xml:space="preserve">[Table </w:t>
      </w:r>
      <w:r w:rsidR="005205E6" w:rsidRPr="00AB4A23">
        <w:t>3</w:t>
      </w:r>
      <w:r w:rsidRPr="00AB4A23">
        <w:t>b</w:t>
      </w:r>
      <w:r w:rsidR="00AB5AC1" w:rsidRPr="00AB4A23">
        <w:t xml:space="preserve"> </w:t>
      </w:r>
      <w:r w:rsidR="005205E6" w:rsidRPr="00AB4A23">
        <w:t xml:space="preserve">about </w:t>
      </w:r>
      <w:r w:rsidR="00AB5AC1" w:rsidRPr="00AB4A23">
        <w:t>here]</w:t>
      </w:r>
    </w:p>
    <w:p w14:paraId="2C3A448B" w14:textId="34A2C048" w:rsidR="00345783" w:rsidRPr="00AB4A23" w:rsidDel="005205E6" w:rsidRDefault="005205E6" w:rsidP="0AA2609C">
      <w:pPr>
        <w:pStyle w:val="Paragraph"/>
        <w:spacing w:before="0"/>
      </w:pPr>
      <w:r w:rsidRPr="00AB4A23">
        <w:lastRenderedPageBreak/>
        <w:tab/>
        <w:t xml:space="preserve">We now present the results of the Cox regression analysis (Table 4).  </w:t>
      </w:r>
      <w:r w:rsidR="00345783" w:rsidRPr="00AB4A23">
        <w:t>For women, we found that higher</w:t>
      </w:r>
      <w:r w:rsidR="00551239" w:rsidRPr="00AB4A23">
        <w:t xml:space="preserve"> education</w:t>
      </w:r>
      <w:r w:rsidR="00345783" w:rsidRPr="00AB4A23">
        <w:t>al attainment</w:t>
      </w:r>
      <w:r w:rsidR="005E4DBD" w:rsidRPr="00AB4A23">
        <w:t>, urban residency</w:t>
      </w:r>
      <w:r w:rsidR="00551239" w:rsidRPr="00AB4A23">
        <w:t xml:space="preserve"> and </w:t>
      </w:r>
      <w:r w:rsidR="005E4DBD" w:rsidRPr="00AB4A23">
        <w:t xml:space="preserve">higher </w:t>
      </w:r>
      <w:r w:rsidR="00551239" w:rsidRPr="00AB4A23">
        <w:t>wealth status</w:t>
      </w:r>
      <w:r w:rsidR="00345783" w:rsidRPr="00AB4A23">
        <w:t xml:space="preserve"> were</w:t>
      </w:r>
      <w:r w:rsidR="00551239" w:rsidRPr="00AB4A23">
        <w:t xml:space="preserve"> associated with </w:t>
      </w:r>
      <w:r w:rsidR="00AC7DCD" w:rsidRPr="00AB4A23">
        <w:t>lower hazard ratios</w:t>
      </w:r>
      <w:r w:rsidR="006252E8" w:rsidRPr="00AB4A23">
        <w:t xml:space="preserve"> of entering into marriage</w:t>
      </w:r>
      <w:r w:rsidR="00AC7DCD" w:rsidRPr="00AB4A23">
        <w:t>.</w:t>
      </w:r>
      <w:r w:rsidR="00C12F69" w:rsidRPr="00AB4A23">
        <w:t xml:space="preserve"> Women living in certain regions had a higher marriage hazard</w:t>
      </w:r>
      <w:r w:rsidR="001818AD" w:rsidRPr="00AB4A23">
        <w:t xml:space="preserve"> than the majority of the country</w:t>
      </w:r>
      <w:r w:rsidR="00C12F69" w:rsidRPr="00AB4A23">
        <w:t xml:space="preserve">. These included the remote regions of </w:t>
      </w:r>
      <w:r w:rsidR="006B656C" w:rsidRPr="00AB4A23">
        <w:t xml:space="preserve">Kachin, Chin and Shan, along with the national capital of Nay </w:t>
      </w:r>
      <w:proofErr w:type="spellStart"/>
      <w:r w:rsidR="006B656C" w:rsidRPr="00AB4A23">
        <w:t>Pyi</w:t>
      </w:r>
      <w:proofErr w:type="spellEnd"/>
      <w:r w:rsidR="006B656C" w:rsidRPr="00AB4A23">
        <w:t xml:space="preserve"> Taw.</w:t>
      </w:r>
      <w:r w:rsidR="00345783" w:rsidRPr="00AB4A23">
        <w:t xml:space="preserve"> Women who were currently working also had </w:t>
      </w:r>
      <w:r w:rsidR="00097B05" w:rsidRPr="00AB4A23">
        <w:t xml:space="preserve">an </w:t>
      </w:r>
      <w:r w:rsidR="00345783" w:rsidRPr="00AB4A23">
        <w:t>approximately 10% lower hazard of en</w:t>
      </w:r>
      <w:r w:rsidR="00082F9F" w:rsidRPr="00AB4A23">
        <w:t>tering into marriage</w:t>
      </w:r>
      <w:r w:rsidR="001818AD" w:rsidRPr="00AB4A23">
        <w:t xml:space="preserve"> than women who were not currently working</w:t>
      </w:r>
      <w:r w:rsidR="004A4BEE" w:rsidRPr="00AB4A23">
        <w:t>, but th</w:t>
      </w:r>
      <w:r w:rsidR="001818AD" w:rsidRPr="00AB4A23">
        <w:t>e difference</w:t>
      </w:r>
      <w:r w:rsidR="004A4BEE" w:rsidRPr="00AB4A23">
        <w:t xml:space="preserve"> was not </w:t>
      </w:r>
      <w:r w:rsidR="001818AD" w:rsidRPr="00AB4A23">
        <w:t xml:space="preserve">statistically </w:t>
      </w:r>
      <w:r w:rsidR="004A4BEE" w:rsidRPr="00AB4A23">
        <w:t xml:space="preserve">significant. </w:t>
      </w:r>
      <w:r w:rsidR="00345783" w:rsidRPr="00AB4A23">
        <w:t xml:space="preserve">Higher </w:t>
      </w:r>
      <w:r w:rsidR="00097B05" w:rsidRPr="00AB4A23">
        <w:t xml:space="preserve">levels of </w:t>
      </w:r>
      <w:r w:rsidR="00345783" w:rsidRPr="00AB4A23">
        <w:t>education w</w:t>
      </w:r>
      <w:r w:rsidR="00097B05" w:rsidRPr="00AB4A23">
        <w:t>ere</w:t>
      </w:r>
      <w:r w:rsidR="00345783" w:rsidRPr="00AB4A23">
        <w:t xml:space="preserve"> associated with lower hazards of entry into marriage for women from all age cohorts</w:t>
      </w:r>
      <w:r w:rsidR="00097B05" w:rsidRPr="00AB4A23">
        <w:t>, but</w:t>
      </w:r>
      <w:r w:rsidR="00345783" w:rsidRPr="00AB4A23">
        <w:t xml:space="preserve"> </w:t>
      </w:r>
      <w:r w:rsidR="00465F43" w:rsidRPr="00AB4A23">
        <w:t xml:space="preserve">appeared to affect </w:t>
      </w:r>
      <w:r w:rsidR="00345783" w:rsidRPr="00AB4A23">
        <w:t>older women (those aged between 45-49 years</w:t>
      </w:r>
      <w:r w:rsidR="00097B05" w:rsidRPr="00AB4A23">
        <w:t xml:space="preserve"> in 2015-2016</w:t>
      </w:r>
      <w:r w:rsidR="00345783" w:rsidRPr="00AB4A23">
        <w:t xml:space="preserve">) </w:t>
      </w:r>
      <w:r w:rsidR="00465F43" w:rsidRPr="00AB4A23">
        <w:t>the most</w:t>
      </w:r>
      <w:r w:rsidR="00792814" w:rsidRPr="00AB4A23">
        <w:t xml:space="preserve"> (Appendix 2)</w:t>
      </w:r>
      <w:r w:rsidR="00345783" w:rsidRPr="00AB4A23">
        <w:t>.</w:t>
      </w:r>
      <w:r w:rsidR="00F668DE" w:rsidRPr="00AB4A23">
        <w:t xml:space="preserve"> </w:t>
      </w:r>
      <w:r w:rsidR="00F8612C" w:rsidRPr="00AB4A23">
        <w:t xml:space="preserve">While increased wealth decreased the marriage hazard for </w:t>
      </w:r>
      <w:r w:rsidR="00290439" w:rsidRPr="00AB4A23">
        <w:t xml:space="preserve">younger </w:t>
      </w:r>
      <w:r w:rsidR="00F8612C" w:rsidRPr="00AB4A23">
        <w:t>women, increased wealth did not affect entry into marriage for older women</w:t>
      </w:r>
      <w:r w:rsidR="00610A71" w:rsidRPr="00AB4A23">
        <w:t xml:space="preserve">, although </w:t>
      </w:r>
      <w:r w:rsidR="001818AD" w:rsidRPr="00AB4A23">
        <w:t xml:space="preserve">for older women our measure of wealth </w:t>
      </w:r>
      <w:r w:rsidR="00610A71" w:rsidRPr="00AB4A23">
        <w:t xml:space="preserve">may not reflect wealth </w:t>
      </w:r>
      <w:r w:rsidR="00640E9A" w:rsidRPr="00AB4A23">
        <w:t xml:space="preserve">status </w:t>
      </w:r>
      <w:r w:rsidR="00610A71" w:rsidRPr="00AB4A23">
        <w:t>at the time of marriage</w:t>
      </w:r>
      <w:r w:rsidR="00F8612C" w:rsidRPr="00AB4A23">
        <w:t>.</w:t>
      </w:r>
      <w:r w:rsidR="00290439" w:rsidRPr="00AB4A23">
        <w:t xml:space="preserve"> </w:t>
      </w:r>
      <w:r w:rsidR="001818AD" w:rsidRPr="00AB4A23">
        <w:t>C</w:t>
      </w:r>
      <w:r w:rsidR="00CE70FD" w:rsidRPr="00AB4A23">
        <w:t>urrent work status did not significantly affect the hazard ratio for entering into marriage</w:t>
      </w:r>
      <w:r w:rsidR="00C7504C" w:rsidRPr="00AB4A23">
        <w:t xml:space="preserve"> for women with no education</w:t>
      </w:r>
      <w:r w:rsidR="001A1FAC" w:rsidRPr="00AB4A23">
        <w:t xml:space="preserve"> </w:t>
      </w:r>
      <w:r w:rsidR="00C7504C" w:rsidRPr="00AB4A23">
        <w:t>but, as educational levels increased</w:t>
      </w:r>
      <w:r w:rsidR="00B431C9">
        <w:t xml:space="preserve"> </w:t>
      </w:r>
      <w:r w:rsidR="00B431C9" w:rsidRPr="00904E38">
        <w:rPr>
          <w:highlight w:val="yellow"/>
        </w:rPr>
        <w:t>(see Model 2)</w:t>
      </w:r>
      <w:r w:rsidR="00C7504C" w:rsidRPr="00AB4A23">
        <w:t>, the difference between currently working and not currently working women increased and became statistically significant so that, among women with higher education, the relative risk of entering into marriage for working women was only about 60 per cent of that for women who were not working</w:t>
      </w:r>
      <w:r w:rsidR="00164DCE" w:rsidRPr="00AB4A23">
        <w:t xml:space="preserve"> (Figure 1).</w:t>
      </w:r>
      <w:r w:rsidR="001A1FAC" w:rsidRPr="00AB4A23">
        <w:t xml:space="preserve"> </w:t>
      </w:r>
      <w:r w:rsidR="00CE70FD" w:rsidRPr="00AB4A23">
        <w:t>This suggests that women with higher status jobs were less likely to marry.</w:t>
      </w:r>
    </w:p>
    <w:p w14:paraId="3F9D3B2F" w14:textId="63E50C05" w:rsidR="003C0486" w:rsidRPr="00AB4A23" w:rsidRDefault="003C0486" w:rsidP="0AA2609C">
      <w:pPr>
        <w:spacing w:line="480" w:lineRule="auto"/>
      </w:pPr>
      <w:r w:rsidRPr="00AB4A23">
        <w:t>[Table 4 about here]</w:t>
      </w:r>
    </w:p>
    <w:p w14:paraId="53BB8414" w14:textId="20B468F6" w:rsidR="003C0486" w:rsidRPr="00AB4A23" w:rsidRDefault="00C7504C" w:rsidP="0AA2609C">
      <w:pPr>
        <w:pStyle w:val="Paragraph"/>
        <w:spacing w:before="0"/>
      </w:pPr>
      <w:r w:rsidRPr="00AB4A23">
        <w:tab/>
        <w:t>For men, the patterns were different</w:t>
      </w:r>
      <w:r w:rsidR="003C0486" w:rsidRPr="00AB4A23">
        <w:t>, although the smaller sample means that results should be interpreted with caution</w:t>
      </w:r>
      <w:r w:rsidR="00164DCE" w:rsidRPr="00AB4A23">
        <w:t xml:space="preserve"> (Figure 1)</w:t>
      </w:r>
      <w:r w:rsidRPr="00AB4A23">
        <w:t xml:space="preserve">.  </w:t>
      </w:r>
      <w:r w:rsidR="003C0486" w:rsidRPr="00AB4A23">
        <w:t>Currently working men had a higher risk of marrying than men who were not currently working.  This was true for all levels of education, but the relative differential varied by age, becoming massive among men with high levels of education.  Overall, unemployed men with higher education had the lowest risk of marriage.</w:t>
      </w:r>
    </w:p>
    <w:p w14:paraId="77754710" w14:textId="010220DA" w:rsidR="00F8612C" w:rsidRPr="00AB4A23" w:rsidRDefault="003C0486" w:rsidP="0AA2609C">
      <w:pPr>
        <w:pStyle w:val="Paragraph"/>
        <w:spacing w:before="0"/>
        <w:ind w:firstLine="720"/>
      </w:pPr>
      <w:r w:rsidRPr="00AB4A23">
        <w:lastRenderedPageBreak/>
        <w:t>U</w:t>
      </w:r>
      <w:r w:rsidR="008C0F04" w:rsidRPr="00AB4A23">
        <w:t>rban residenc</w:t>
      </w:r>
      <w:r w:rsidR="003D7CD1" w:rsidRPr="00AB4A23">
        <w:t>e</w:t>
      </w:r>
      <w:r w:rsidR="00903161" w:rsidRPr="00AB4A23">
        <w:t xml:space="preserve"> and </w:t>
      </w:r>
      <w:r w:rsidR="00640E9A" w:rsidRPr="00AB4A23" w:rsidDel="00640E9A">
        <w:t>higher</w:t>
      </w:r>
      <w:r w:rsidR="00640E9A" w:rsidRPr="00AB4A23" w:rsidDel="003C0486">
        <w:t xml:space="preserve"> </w:t>
      </w:r>
      <w:r w:rsidR="00903161" w:rsidRPr="00AB4A23">
        <w:t>wealth</w:t>
      </w:r>
      <w:r w:rsidR="00640E9A" w:rsidRPr="00AB4A23">
        <w:t xml:space="preserve"> status</w:t>
      </w:r>
      <w:r w:rsidR="00903161" w:rsidRPr="00AB4A23">
        <w:t xml:space="preserve"> </w:t>
      </w:r>
      <w:r w:rsidR="00437B23" w:rsidRPr="00AB4A23">
        <w:t>we</w:t>
      </w:r>
      <w:r w:rsidR="00903161" w:rsidRPr="00AB4A23" w:rsidDel="003C0486">
        <w:t>re associated with a reduced hazard of marr</w:t>
      </w:r>
      <w:r w:rsidR="00640E9A" w:rsidRPr="00AB4A23">
        <w:t>iage</w:t>
      </w:r>
      <w:r w:rsidRPr="00AB4A23">
        <w:t xml:space="preserve"> for men, but </w:t>
      </w:r>
      <w:r w:rsidR="003D7CD1" w:rsidRPr="00AB4A23">
        <w:t>influence</w:t>
      </w:r>
      <w:r w:rsidR="00222E3A" w:rsidRPr="00AB4A23">
        <w:t xml:space="preserve"> entry into marriage for men.</w:t>
      </w:r>
      <w:r w:rsidR="00903161" w:rsidRPr="00AB4A23">
        <w:t xml:space="preserve"> </w:t>
      </w:r>
      <w:r w:rsidR="00965F25" w:rsidRPr="00AB4A23">
        <w:t xml:space="preserve">Unfortunately, the small sub-samples </w:t>
      </w:r>
      <w:r w:rsidR="006B443D" w:rsidRPr="00AB4A23">
        <w:t xml:space="preserve">for male age cohorts makes it difficult to identify </w:t>
      </w:r>
      <w:r w:rsidR="003D7CD1" w:rsidRPr="00AB4A23">
        <w:t xml:space="preserve">the </w:t>
      </w:r>
      <w:r w:rsidR="006B443D" w:rsidRPr="00AB4A23">
        <w:t xml:space="preserve">patterns </w:t>
      </w:r>
      <w:r w:rsidR="00640E9A" w:rsidRPr="00AB4A23">
        <w:t xml:space="preserve">disaggregated </w:t>
      </w:r>
      <w:r w:rsidR="006B443D" w:rsidRPr="00AB4A23">
        <w:t>by age.</w:t>
      </w:r>
    </w:p>
    <w:p w14:paraId="4DABABC3" w14:textId="54ACEB56" w:rsidR="00164DCE" w:rsidRPr="00AB4A23" w:rsidRDefault="00164DCE" w:rsidP="0AA2609C">
      <w:r w:rsidRPr="00AB4A23">
        <w:t>[Figure 1 about here]</w:t>
      </w:r>
    </w:p>
    <w:p w14:paraId="61159917" w14:textId="0283FEB2" w:rsidR="00102616" w:rsidRPr="00AB4A23" w:rsidRDefault="00102616" w:rsidP="0AA2609C">
      <w:pPr>
        <w:pStyle w:val="Paragraph"/>
        <w:spacing w:before="0"/>
      </w:pPr>
      <w:r w:rsidRPr="00AB4A23">
        <w:tab/>
      </w:r>
    </w:p>
    <w:p w14:paraId="2A29E9F5" w14:textId="77777777" w:rsidR="00903161" w:rsidRPr="00AB4A23" w:rsidRDefault="00903161" w:rsidP="00467B60">
      <w:pPr>
        <w:spacing w:line="480" w:lineRule="auto"/>
      </w:pPr>
    </w:p>
    <w:p w14:paraId="75945B3C" w14:textId="3454B2D5" w:rsidR="00C231B8" w:rsidRPr="00AB4A23" w:rsidRDefault="00B123CD" w:rsidP="0AA2609C">
      <w:pPr>
        <w:spacing w:line="480" w:lineRule="auto"/>
        <w:rPr>
          <w:b/>
          <w:bCs/>
        </w:rPr>
      </w:pPr>
      <w:r w:rsidRPr="00AB4A23">
        <w:rPr>
          <w:b/>
          <w:bCs/>
        </w:rPr>
        <w:t>Discussion</w:t>
      </w:r>
    </w:p>
    <w:p w14:paraId="305D5E5C" w14:textId="77777777" w:rsidR="00164DCE" w:rsidRPr="00AB4A23" w:rsidRDefault="00164DCE" w:rsidP="0AA2609C">
      <w:pPr>
        <w:spacing w:line="480" w:lineRule="auto"/>
        <w:rPr>
          <w:b/>
          <w:bCs/>
        </w:rPr>
      </w:pPr>
    </w:p>
    <w:p w14:paraId="231BEB55" w14:textId="48C6D0DA" w:rsidR="00304E58" w:rsidRPr="00AB4A23" w:rsidRDefault="00F578BC" w:rsidP="0AA2609C">
      <w:pPr>
        <w:pStyle w:val="Paragraph"/>
        <w:spacing w:before="0"/>
      </w:pPr>
      <w:r w:rsidRPr="00AB4A23">
        <w:t xml:space="preserve">Delays to marriage and increases in the proportion of women </w:t>
      </w:r>
      <w:r w:rsidR="004148EA" w:rsidRPr="00AB4A23">
        <w:t>never marr</w:t>
      </w:r>
      <w:r w:rsidRPr="00AB4A23">
        <w:t>ying</w:t>
      </w:r>
      <w:r w:rsidR="004148EA" w:rsidRPr="00AB4A23">
        <w:t xml:space="preserve"> have been observed across Asia for the past several decades </w:t>
      </w:r>
      <w:r w:rsidRPr="00AB4A23">
        <w:t>(</w:t>
      </w:r>
      <w:r w:rsidR="004148EA" w:rsidRPr="00AB4A23">
        <w:t>Smith</w:t>
      </w:r>
      <w:r w:rsidR="00D331D2" w:rsidRPr="00AB4A23">
        <w:t>, 1980;</w:t>
      </w:r>
      <w:r w:rsidR="004148EA" w:rsidRPr="00AB4A23">
        <w:t xml:space="preserve"> </w:t>
      </w:r>
      <w:proofErr w:type="spellStart"/>
      <w:r w:rsidR="004148EA" w:rsidRPr="00AB4A23">
        <w:t>Xenos</w:t>
      </w:r>
      <w:proofErr w:type="spellEnd"/>
      <w:r w:rsidR="004148EA" w:rsidRPr="00AB4A23">
        <w:t xml:space="preserve"> </w:t>
      </w:r>
      <w:r w:rsidR="00D331D2" w:rsidRPr="00AB4A23">
        <w:t>&amp;</w:t>
      </w:r>
      <w:r w:rsidR="004148EA" w:rsidRPr="00AB4A23">
        <w:t xml:space="preserve"> </w:t>
      </w:r>
      <w:proofErr w:type="spellStart"/>
      <w:r w:rsidR="004148EA" w:rsidRPr="00AB4A23">
        <w:t>Gultiano</w:t>
      </w:r>
      <w:proofErr w:type="spellEnd"/>
      <w:r w:rsidR="00D331D2" w:rsidRPr="00AB4A23">
        <w:t>, 1992;</w:t>
      </w:r>
      <w:r w:rsidR="004148EA" w:rsidRPr="00AB4A23">
        <w:t xml:space="preserve"> Jones</w:t>
      </w:r>
      <w:r w:rsidR="00423A43" w:rsidRPr="00AB4A23">
        <w:t xml:space="preserve"> </w:t>
      </w:r>
      <w:r w:rsidR="00D331D2" w:rsidRPr="00AB4A23">
        <w:t>&amp;</w:t>
      </w:r>
      <w:r w:rsidR="00423A43" w:rsidRPr="00AB4A23">
        <w:t xml:space="preserve"> </w:t>
      </w:r>
      <w:proofErr w:type="spellStart"/>
      <w:r w:rsidR="00423A43" w:rsidRPr="00AB4A23">
        <w:t>Gubhaju</w:t>
      </w:r>
      <w:proofErr w:type="spellEnd"/>
      <w:r w:rsidR="00D331D2" w:rsidRPr="00AB4A23">
        <w:t>,</w:t>
      </w:r>
      <w:r w:rsidR="004148EA" w:rsidRPr="00AB4A23">
        <w:t xml:space="preserve"> 2009</w:t>
      </w:r>
      <w:r w:rsidRPr="00AB4A23">
        <w:t>)</w:t>
      </w:r>
      <w:r w:rsidR="004148EA" w:rsidRPr="00AB4A23">
        <w:t xml:space="preserve">. While </w:t>
      </w:r>
      <w:r w:rsidR="00482DE5" w:rsidRPr="00AB4A23">
        <w:t xml:space="preserve">there is evidence </w:t>
      </w:r>
      <w:r w:rsidR="004148EA" w:rsidRPr="00AB4A23">
        <w:t xml:space="preserve">demonstrating the relationship between delays in marriage and fertility decline, fewer studies explore why women in particular are increasingly choosing to delay marriage or </w:t>
      </w:r>
      <w:r w:rsidR="00F13E86" w:rsidRPr="00AB4A23">
        <w:t xml:space="preserve">remain never </w:t>
      </w:r>
      <w:r w:rsidR="004148EA" w:rsidRPr="00AB4A23">
        <w:t>married</w:t>
      </w:r>
      <w:r w:rsidR="00482DE5" w:rsidRPr="00AB4A23">
        <w:t xml:space="preserve"> across their reproductive life course</w:t>
      </w:r>
      <w:r w:rsidR="00BF38BB" w:rsidRPr="00AB4A23">
        <w:t>, and how th</w:t>
      </w:r>
      <w:r w:rsidRPr="00AB4A23">
        <w:t>eir behaviour</w:t>
      </w:r>
      <w:r w:rsidR="00BF38BB" w:rsidRPr="00AB4A23">
        <w:t xml:space="preserve"> may differ from</w:t>
      </w:r>
      <w:r w:rsidRPr="00AB4A23">
        <w:t xml:space="preserve"> that of</w:t>
      </w:r>
      <w:r w:rsidR="00BF38BB" w:rsidRPr="00AB4A23">
        <w:t xml:space="preserve"> men of similar social status</w:t>
      </w:r>
      <w:r w:rsidR="004148EA" w:rsidRPr="00AB4A23">
        <w:t xml:space="preserve">. </w:t>
      </w:r>
      <w:r w:rsidRPr="00AB4A23">
        <w:t>Our</w:t>
      </w:r>
      <w:r w:rsidR="00031508" w:rsidRPr="00AB4A23">
        <w:t xml:space="preserve"> analysis</w:t>
      </w:r>
      <w:r w:rsidR="00DB05CD" w:rsidRPr="00AB4A23">
        <w:t xml:space="preserve"> </w:t>
      </w:r>
      <w:r w:rsidRPr="00AB4A23">
        <w:t xml:space="preserve">has </w:t>
      </w:r>
      <w:r w:rsidR="00C40073" w:rsidRPr="00AB4A23">
        <w:t xml:space="preserve">investigated </w:t>
      </w:r>
      <w:r w:rsidR="00DB05CD" w:rsidRPr="00AB4A23">
        <w:t>changes in marriage trends in Myanmar and sought to identify demographic and social characteristics associated with</w:t>
      </w:r>
      <w:r w:rsidR="001B1CA9" w:rsidRPr="00AB4A23">
        <w:t xml:space="preserve"> entry into</w:t>
      </w:r>
      <w:r w:rsidR="00DB05CD" w:rsidRPr="00AB4A23">
        <w:t xml:space="preserve"> marriage in the country</w:t>
      </w:r>
      <w:r w:rsidR="001B1CA9" w:rsidRPr="00AB4A23">
        <w:t xml:space="preserve"> for women compared to men</w:t>
      </w:r>
      <w:r w:rsidR="00DB05CD" w:rsidRPr="00AB4A23">
        <w:t xml:space="preserve">. </w:t>
      </w:r>
      <w:r w:rsidR="00560F40" w:rsidRPr="00AB4A23">
        <w:t>We found that women in Myanmar are increasingly unlikely to marry, a trend similar to several other countries in Asia but unusual for the country’s level of socioeconomic development. W</w:t>
      </w:r>
      <w:r w:rsidR="00437B23" w:rsidRPr="00AB4A23">
        <w:t xml:space="preserve">e also determined that, for women, </w:t>
      </w:r>
      <w:r w:rsidR="00122BED" w:rsidRPr="00AB4A23">
        <w:t xml:space="preserve">remaining unmarried, </w:t>
      </w:r>
      <w:r w:rsidR="003C0486" w:rsidRPr="00AB4A23">
        <w:t>(</w:t>
      </w:r>
      <w:r w:rsidR="00122BED" w:rsidRPr="00AB4A23">
        <w:t>especially in later life</w:t>
      </w:r>
      <w:r w:rsidR="003C0486" w:rsidRPr="00AB4A23">
        <w:t>)</w:t>
      </w:r>
      <w:r w:rsidR="00122BED" w:rsidRPr="00AB4A23">
        <w:t xml:space="preserve"> is</w:t>
      </w:r>
      <w:r w:rsidRPr="00AB4A23">
        <w:t xml:space="preserve"> associated with</w:t>
      </w:r>
      <w:r w:rsidR="00560F40" w:rsidRPr="00AB4A23">
        <w:t xml:space="preserve"> </w:t>
      </w:r>
      <w:r w:rsidR="00C42B72" w:rsidRPr="00AB4A23">
        <w:t xml:space="preserve">higher </w:t>
      </w:r>
      <w:r w:rsidR="00560F40" w:rsidRPr="00AB4A23">
        <w:t>education</w:t>
      </w:r>
      <w:r w:rsidR="00BF38BB" w:rsidRPr="00AB4A23">
        <w:t xml:space="preserve"> and </w:t>
      </w:r>
      <w:r w:rsidR="00122BED" w:rsidRPr="00AB4A23">
        <w:t>workforce engagement</w:t>
      </w:r>
      <w:r w:rsidR="00560F40" w:rsidRPr="00AB4A23">
        <w:t>.</w:t>
      </w:r>
      <w:r w:rsidR="00BF38BB" w:rsidRPr="00AB4A23">
        <w:t xml:space="preserve"> </w:t>
      </w:r>
      <w:r w:rsidR="004C21AC" w:rsidRPr="00AB4A23">
        <w:t>H</w:t>
      </w:r>
      <w:r w:rsidR="00BF38BB" w:rsidRPr="00AB4A23">
        <w:t>igher education</w:t>
      </w:r>
      <w:r w:rsidR="004C21AC" w:rsidRPr="00AB4A23">
        <w:t xml:space="preserve"> also</w:t>
      </w:r>
      <w:r w:rsidR="00BF38BB" w:rsidRPr="00AB4A23">
        <w:t xml:space="preserve"> decrease</w:t>
      </w:r>
      <w:r w:rsidR="00122BED" w:rsidRPr="00AB4A23">
        <w:t>s</w:t>
      </w:r>
      <w:r w:rsidR="00BF38BB" w:rsidRPr="00AB4A23">
        <w:t xml:space="preserve"> the hazard of entering into marriage for men</w:t>
      </w:r>
      <w:r w:rsidR="004A6158" w:rsidRPr="00AB4A23">
        <w:t xml:space="preserve">, </w:t>
      </w:r>
      <w:r w:rsidR="00F36535" w:rsidRPr="00AB4A23">
        <w:t>as d</w:t>
      </w:r>
      <w:r w:rsidR="002D06AE" w:rsidRPr="00AB4A23">
        <w:t xml:space="preserve">id </w:t>
      </w:r>
      <w:r w:rsidR="00F36535" w:rsidRPr="00AB4A23">
        <w:t xml:space="preserve">current </w:t>
      </w:r>
      <w:r w:rsidR="004A6158" w:rsidRPr="00AB4A23">
        <w:t>employ</w:t>
      </w:r>
      <w:r w:rsidR="00F36535" w:rsidRPr="00AB4A23">
        <w:t>ment</w:t>
      </w:r>
      <w:r w:rsidR="00BF38BB" w:rsidRPr="00AB4A23">
        <w:t xml:space="preserve">. </w:t>
      </w:r>
      <w:r w:rsidR="00480E94" w:rsidRPr="00AB4A23">
        <w:t>However, t</w:t>
      </w:r>
      <w:r w:rsidR="002D06AE" w:rsidRPr="00AB4A23">
        <w:t>he effect of the interaction term</w:t>
      </w:r>
      <w:r w:rsidR="00480E94" w:rsidRPr="00AB4A23">
        <w:t xml:space="preserve"> for education and employment differed for men and women: </w:t>
      </w:r>
      <w:r w:rsidR="003C0486" w:rsidRPr="00AB4A23">
        <w:t xml:space="preserve">employment reinforced the decrease in women’s marriage hazard associated with higher levels of education, whereas for men with </w:t>
      </w:r>
      <w:r w:rsidR="00480E94" w:rsidRPr="00AB4A23">
        <w:t>higher education</w:t>
      </w:r>
      <w:r w:rsidR="003C0486" w:rsidRPr="00AB4A23">
        <w:t>al qualifications, being employed counteracted the impact of education.</w:t>
      </w:r>
      <w:r w:rsidR="002D06AE" w:rsidRPr="00AB4A23">
        <w:t xml:space="preserve"> </w:t>
      </w:r>
      <w:r w:rsidR="003C0486" w:rsidRPr="00AB4A23">
        <w:t xml:space="preserve"> A working female with </w:t>
      </w:r>
      <w:r w:rsidR="00C20196" w:rsidRPr="00AB4A23">
        <w:t xml:space="preserve">higher </w:t>
      </w:r>
      <w:r w:rsidR="003C0486" w:rsidRPr="00AB4A23">
        <w:t>education had a hazard of marriage only one third that of</w:t>
      </w:r>
      <w:r w:rsidR="00C20196" w:rsidRPr="00AB4A23">
        <w:t xml:space="preserve"> </w:t>
      </w:r>
      <w:r w:rsidR="003C0486" w:rsidRPr="00AB4A23">
        <w:t xml:space="preserve">a </w:t>
      </w:r>
      <w:r w:rsidR="00C20196" w:rsidRPr="00AB4A23">
        <w:t>non-</w:t>
      </w:r>
      <w:r w:rsidR="003C0486" w:rsidRPr="00AB4A23">
        <w:t xml:space="preserve">working female with </w:t>
      </w:r>
      <w:r w:rsidR="00C20196" w:rsidRPr="00AB4A23">
        <w:lastRenderedPageBreak/>
        <w:t>no</w:t>
      </w:r>
      <w:r w:rsidR="003C0486" w:rsidRPr="00AB4A23">
        <w:t xml:space="preserve"> education</w:t>
      </w:r>
      <w:r w:rsidR="00C20196" w:rsidRPr="00AB4A23">
        <w:t xml:space="preserve">.  The same comparison for men revealed that a working male with higher education had a hazard of marriage three quarters that of a non-working male with no education. </w:t>
      </w:r>
      <w:r w:rsidR="00CA2C3C" w:rsidRPr="00904E38">
        <w:rPr>
          <w:highlight w:val="yellow"/>
        </w:rPr>
        <w:t>Very few women or men with lower levels of education worked in professional or managerial positions. As such, the results suggest</w:t>
      </w:r>
      <w:r w:rsidR="00C42B72" w:rsidRPr="00AB4A23">
        <w:t xml:space="preserve"> that belonging to a higher status group has </w:t>
      </w:r>
      <w:r w:rsidR="00082B69" w:rsidRPr="00AB4A23">
        <w:t xml:space="preserve">somewhat </w:t>
      </w:r>
      <w:r w:rsidR="00C42B72" w:rsidRPr="00AB4A23">
        <w:t>differing effects on men and women in Myanmar</w:t>
      </w:r>
      <w:r w:rsidR="00082B69" w:rsidRPr="00AB4A23">
        <w:t xml:space="preserve">. </w:t>
      </w:r>
      <w:r w:rsidR="00437B23" w:rsidRPr="00AB4A23">
        <w:t>Belonging to one of these groups is</w:t>
      </w:r>
      <w:r w:rsidR="00082B69" w:rsidRPr="00AB4A23">
        <w:t xml:space="preserve"> strongly associated with a reduc</w:t>
      </w:r>
      <w:r w:rsidR="00437B23" w:rsidRPr="00AB4A23">
        <w:t xml:space="preserve">ed chance of marriage for women. Working </w:t>
      </w:r>
      <w:r w:rsidR="00C40073" w:rsidRPr="00AB4A23">
        <w:t xml:space="preserve">status </w:t>
      </w:r>
      <w:bookmarkStart w:id="0" w:name="_GoBack"/>
      <w:bookmarkEnd w:id="0"/>
      <w:r w:rsidR="00437B23" w:rsidRPr="00AB4A23">
        <w:t xml:space="preserve">increases the strength of this association for </w:t>
      </w:r>
      <w:r w:rsidR="00BA29F1" w:rsidRPr="00AB4A23">
        <w:t>women</w:t>
      </w:r>
      <w:r w:rsidR="00C42B72" w:rsidRPr="00AB4A23">
        <w:t xml:space="preserve">. </w:t>
      </w:r>
      <w:r w:rsidR="00082B69" w:rsidRPr="00AB4A23">
        <w:t xml:space="preserve">For employed men (most men are employed), </w:t>
      </w:r>
      <w:r w:rsidR="00CA2C3C" w:rsidRPr="00904E38">
        <w:rPr>
          <w:highlight w:val="yellow"/>
        </w:rPr>
        <w:t xml:space="preserve">current employment had </w:t>
      </w:r>
      <w:r w:rsidR="00CD3147" w:rsidRPr="00904E38">
        <w:rPr>
          <w:highlight w:val="yellow"/>
        </w:rPr>
        <w:t>less of an effect on the marriage hazard of increasing education</w:t>
      </w:r>
      <w:r w:rsidR="00082B69" w:rsidRPr="00AB4A23">
        <w:t>.</w:t>
      </w:r>
    </w:p>
    <w:p w14:paraId="07EE4D8D" w14:textId="2DD014C4" w:rsidR="006329DA" w:rsidRPr="00AB4A23" w:rsidRDefault="00DB05CD" w:rsidP="0AA2609C">
      <w:pPr>
        <w:pStyle w:val="Paragraph"/>
        <w:spacing w:before="0"/>
        <w:ind w:firstLine="720"/>
      </w:pPr>
      <w:r w:rsidRPr="00AB4A23">
        <w:t>The</w:t>
      </w:r>
      <w:r w:rsidR="00F578BC" w:rsidRPr="00AB4A23">
        <w:t>se</w:t>
      </w:r>
      <w:r w:rsidRPr="00AB4A23">
        <w:t xml:space="preserve"> relationships between marriage and sociodemographic characteristics are not unlike those found in other Asian countries</w:t>
      </w:r>
      <w:r w:rsidR="00560F40" w:rsidRPr="00AB4A23">
        <w:t xml:space="preserve"> experiencing marriage squeezes</w:t>
      </w:r>
      <w:r w:rsidRPr="00AB4A23">
        <w:t>.</w:t>
      </w:r>
      <w:r w:rsidR="00560F40" w:rsidRPr="00AB4A23">
        <w:t xml:space="preserve"> However, the patterns in Myanmar appear especially gendered.</w:t>
      </w:r>
      <w:r w:rsidRPr="00AB4A23">
        <w:t xml:space="preserve"> Existing literature on marriage in Asia </w:t>
      </w:r>
      <w:r w:rsidR="00560F40" w:rsidRPr="00AB4A23">
        <w:t>sugges</w:t>
      </w:r>
      <w:r w:rsidRPr="00AB4A23">
        <w:t>t</w:t>
      </w:r>
      <w:r w:rsidR="00560F40" w:rsidRPr="00AB4A23">
        <w:t>s</w:t>
      </w:r>
      <w:r w:rsidRPr="00AB4A23">
        <w:t xml:space="preserve"> that</w:t>
      </w:r>
      <w:r w:rsidR="00F709DF" w:rsidRPr="00AB4A23">
        <w:t xml:space="preserve"> two distinct groups have emerged to represent the populations who delay </w:t>
      </w:r>
      <w:r w:rsidR="00560F40" w:rsidRPr="00AB4A23">
        <w:t>marriage or never marry</w:t>
      </w:r>
      <w:r w:rsidR="00AE159F" w:rsidRPr="00AB4A23">
        <w:t xml:space="preserve"> in the region</w:t>
      </w:r>
      <w:r w:rsidR="000F119D" w:rsidRPr="00AB4A23">
        <w:t>.</w:t>
      </w:r>
      <w:r w:rsidR="00F578BC" w:rsidRPr="00AB4A23">
        <w:t xml:space="preserve"> The first includes</w:t>
      </w:r>
      <w:r w:rsidR="00C42B72" w:rsidRPr="00AB4A23">
        <w:t xml:space="preserve"> </w:t>
      </w:r>
      <w:r w:rsidRPr="00AB4A23">
        <w:t xml:space="preserve">women </w:t>
      </w:r>
      <w:r w:rsidR="00F709DF" w:rsidRPr="00AB4A23">
        <w:t>who have benefited from increased educational attainment and employment opportunities arising from changing social and cultural norms</w:t>
      </w:r>
      <w:r w:rsidR="000F119D" w:rsidRPr="00AB4A23">
        <w:t xml:space="preserve">. </w:t>
      </w:r>
      <w:r w:rsidR="00F578BC" w:rsidRPr="00AB4A23">
        <w:t>The second comprises</w:t>
      </w:r>
      <w:r w:rsidR="00560F40" w:rsidRPr="00AB4A23">
        <w:t xml:space="preserve"> men who face growing economic insecurity and inability to manage the financial costs of marriage and family life</w:t>
      </w:r>
      <w:r w:rsidR="00F709DF" w:rsidRPr="00AB4A23">
        <w:t xml:space="preserve"> </w:t>
      </w:r>
      <w:r w:rsidR="00F578BC" w:rsidRPr="00AB4A23">
        <w:t>(</w:t>
      </w:r>
      <w:proofErr w:type="spellStart"/>
      <w:r w:rsidR="002A0B21" w:rsidRPr="00AB4A23">
        <w:t>Raymo</w:t>
      </w:r>
      <w:proofErr w:type="spellEnd"/>
      <w:r w:rsidR="540A5C00" w:rsidRPr="00AB4A23">
        <w:t xml:space="preserve"> et al.</w:t>
      </w:r>
      <w:r w:rsidR="002A0B21" w:rsidRPr="00AB4A23">
        <w:t xml:space="preserve">, </w:t>
      </w:r>
      <w:r w:rsidR="00F709DF" w:rsidRPr="00AB4A23">
        <w:t>2015</w:t>
      </w:r>
      <w:r w:rsidR="00882219">
        <w:t xml:space="preserve">, </w:t>
      </w:r>
      <w:r w:rsidR="00882219" w:rsidRPr="00904E38">
        <w:rPr>
          <w:highlight w:val="yellow"/>
        </w:rPr>
        <w:t>Lee et al., 2020</w:t>
      </w:r>
      <w:r w:rsidR="00F578BC" w:rsidRPr="00AB4A23">
        <w:t>)</w:t>
      </w:r>
      <w:r w:rsidR="00F709DF" w:rsidRPr="00AB4A23">
        <w:t xml:space="preserve">. </w:t>
      </w:r>
      <w:r w:rsidR="00304E58" w:rsidRPr="00AB4A23">
        <w:t>The</w:t>
      </w:r>
      <w:r w:rsidR="00560F40" w:rsidRPr="00AB4A23">
        <w:t xml:space="preserve"> results of this analysis support the existence of the first group </w:t>
      </w:r>
      <w:r w:rsidR="00F578BC" w:rsidRPr="00AB4A23">
        <w:t>(</w:t>
      </w:r>
      <w:r w:rsidR="00560F40" w:rsidRPr="00AB4A23">
        <w:t>of women</w:t>
      </w:r>
      <w:r w:rsidR="00F578BC" w:rsidRPr="00AB4A23">
        <w:t>)</w:t>
      </w:r>
      <w:r w:rsidR="00560F40" w:rsidRPr="00AB4A23">
        <w:t xml:space="preserve"> in Myanmar, </w:t>
      </w:r>
      <w:r w:rsidR="00082B69" w:rsidRPr="00AB4A23">
        <w:t xml:space="preserve">but </w:t>
      </w:r>
      <w:r w:rsidR="00304E58" w:rsidRPr="00AB4A23">
        <w:t>provide</w:t>
      </w:r>
      <w:r w:rsidR="00082B69" w:rsidRPr="00AB4A23">
        <w:t xml:space="preserve"> </w:t>
      </w:r>
      <w:r w:rsidR="00C20196" w:rsidRPr="00AB4A23">
        <w:t>very little</w:t>
      </w:r>
      <w:r w:rsidR="00304E58" w:rsidRPr="00AB4A23">
        <w:t xml:space="preserve"> </w:t>
      </w:r>
      <w:r w:rsidRPr="00AB4A23">
        <w:t xml:space="preserve">evidence </w:t>
      </w:r>
      <w:r w:rsidR="00F578BC" w:rsidRPr="00AB4A23">
        <w:t>for</w:t>
      </w:r>
      <w:r w:rsidRPr="00AB4A23">
        <w:t xml:space="preserve"> the </w:t>
      </w:r>
      <w:r w:rsidR="00F578BC" w:rsidRPr="00AB4A23">
        <w:t xml:space="preserve">existence of </w:t>
      </w:r>
      <w:r w:rsidRPr="00AB4A23">
        <w:t>second group</w:t>
      </w:r>
      <w:r w:rsidR="00C42B72" w:rsidRPr="00AB4A23">
        <w:t xml:space="preserve"> </w:t>
      </w:r>
      <w:r w:rsidR="00F578BC" w:rsidRPr="00AB4A23">
        <w:t>(</w:t>
      </w:r>
      <w:r w:rsidR="00C42B72" w:rsidRPr="00AB4A23">
        <w:t>of men</w:t>
      </w:r>
      <w:r w:rsidR="00F578BC" w:rsidRPr="00AB4A23">
        <w:t>)</w:t>
      </w:r>
      <w:r w:rsidRPr="00AB4A23">
        <w:t>.</w:t>
      </w:r>
      <w:r w:rsidR="00304E58" w:rsidRPr="00AB4A23">
        <w:t xml:space="preserve"> </w:t>
      </w:r>
      <w:r w:rsidR="00AE159F" w:rsidRPr="00AB4A23">
        <w:t>The oldest age cohort of women, aged 45-49 years in 2015-2016, who have higher levels of education and who work, represents the first grou</w:t>
      </w:r>
      <w:r w:rsidR="00C20196" w:rsidRPr="00AB4A23">
        <w:t>p</w:t>
      </w:r>
      <w:r w:rsidR="00AE159F" w:rsidRPr="00AB4A23">
        <w:t xml:space="preserve">. In our analysis, these women </w:t>
      </w:r>
      <w:r w:rsidR="00304E58" w:rsidRPr="00AB4A23">
        <w:t xml:space="preserve">have lower hazards of entering into marriage. </w:t>
      </w:r>
      <w:r w:rsidR="00043FF8" w:rsidRPr="00AB4A23">
        <w:t>In contrast, we see evidence of a positive interaction between education</w:t>
      </w:r>
      <w:r w:rsidR="006A46BB" w:rsidRPr="00AB4A23">
        <w:t xml:space="preserve"> and employment that </w:t>
      </w:r>
      <w:r w:rsidR="00C20196" w:rsidRPr="00AB4A23">
        <w:t>means that the marr</w:t>
      </w:r>
      <w:r w:rsidR="00043FF8" w:rsidRPr="00AB4A23">
        <w:t xml:space="preserve">iage </w:t>
      </w:r>
      <w:r w:rsidR="006A46BB" w:rsidRPr="00AB4A23">
        <w:t xml:space="preserve">hazard </w:t>
      </w:r>
      <w:r w:rsidR="00C20196" w:rsidRPr="00AB4A23">
        <w:t xml:space="preserve">decreases much less with education </w:t>
      </w:r>
      <w:r w:rsidR="006A46BB" w:rsidRPr="00AB4A23">
        <w:t>for men</w:t>
      </w:r>
      <w:r w:rsidR="00C42B72" w:rsidRPr="00AB4A23">
        <w:t xml:space="preserve">. </w:t>
      </w:r>
      <w:r w:rsidR="00C20196" w:rsidRPr="00AB4A23">
        <w:t xml:space="preserve"> The consequence is that, in Myanmar, </w:t>
      </w:r>
      <w:r w:rsidR="00304E58" w:rsidRPr="00AB4A23">
        <w:t>most men</w:t>
      </w:r>
      <w:r w:rsidR="00F578BC" w:rsidRPr="00AB4A23">
        <w:t xml:space="preserve"> (</w:t>
      </w:r>
      <w:r w:rsidR="00304E58" w:rsidRPr="00AB4A23">
        <w:t>all but 5.2%</w:t>
      </w:r>
      <w:r w:rsidR="00F578BC" w:rsidRPr="00AB4A23">
        <w:t>)</w:t>
      </w:r>
      <w:r w:rsidR="00304E58" w:rsidRPr="00AB4A23">
        <w:t xml:space="preserve"> still marry.</w:t>
      </w:r>
      <w:r w:rsidRPr="00AB4A23">
        <w:t xml:space="preserve"> </w:t>
      </w:r>
      <w:r w:rsidR="00560F40" w:rsidRPr="00AB4A23">
        <w:t>This is a noticeable contrast to other countries in the region</w:t>
      </w:r>
      <w:r w:rsidR="002879FF" w:rsidRPr="00AB4A23">
        <w:t xml:space="preserve"> with high rates of </w:t>
      </w:r>
      <w:r w:rsidR="00C40073" w:rsidRPr="00AB4A23">
        <w:t xml:space="preserve">being </w:t>
      </w:r>
      <w:r w:rsidR="00C40073" w:rsidRPr="00AB4A23">
        <w:lastRenderedPageBreak/>
        <w:t xml:space="preserve">single or </w:t>
      </w:r>
      <w:r w:rsidR="002879FF" w:rsidRPr="00AB4A23">
        <w:t xml:space="preserve">never </w:t>
      </w:r>
      <w:r w:rsidR="00C40073" w:rsidRPr="00AB4A23">
        <w:t xml:space="preserve">married, </w:t>
      </w:r>
      <w:r w:rsidR="00C20196" w:rsidRPr="00AB4A23">
        <w:t>where there is much</w:t>
      </w:r>
      <w:r w:rsidR="00AE159F" w:rsidRPr="00AB4A23">
        <w:t xml:space="preserve"> clearer evidence of the</w:t>
      </w:r>
      <w:r w:rsidR="00C20196" w:rsidRPr="00AB4A23">
        <w:t xml:space="preserve"> existence of the</w:t>
      </w:r>
      <w:r w:rsidR="00AE159F" w:rsidRPr="00AB4A23">
        <w:t xml:space="preserve"> second group of men</w:t>
      </w:r>
      <w:r w:rsidR="00C20196" w:rsidRPr="00AB4A23">
        <w:t>.  For example</w:t>
      </w:r>
      <w:r w:rsidR="005F2459" w:rsidRPr="00904E38">
        <w:rPr>
          <w:highlight w:val="yellow"/>
        </w:rPr>
        <w:t>, the proportion of men with less education and those working in lower paying jobs who marry in South Korea has declined markedly since 1990 (Lee et al., 2020)</w:t>
      </w:r>
      <w:r w:rsidR="00F709DF" w:rsidRPr="00904E38">
        <w:rPr>
          <w:highlight w:val="yellow"/>
        </w:rPr>
        <w:t>.</w:t>
      </w:r>
    </w:p>
    <w:p w14:paraId="50F6885D" w14:textId="036F8CEB" w:rsidR="00082BCE" w:rsidRPr="00AB4A23" w:rsidRDefault="00F578BC" w:rsidP="0AA2609C">
      <w:pPr>
        <w:pStyle w:val="Paragraph"/>
        <w:spacing w:before="0"/>
        <w:ind w:firstLine="720"/>
      </w:pPr>
      <w:r w:rsidRPr="00AB4A23">
        <w:t>T</w:t>
      </w:r>
      <w:r w:rsidR="00F200CA" w:rsidRPr="00AB4A23">
        <w:t xml:space="preserve">he analysis in this paper suggests that changes in women’s status, especially related to education, </w:t>
      </w:r>
      <w:r w:rsidR="00702471" w:rsidRPr="00AB4A23">
        <w:t xml:space="preserve">may have </w:t>
      </w:r>
      <w:r w:rsidR="00B07B1C" w:rsidRPr="00AB4A23">
        <w:t>contribute</w:t>
      </w:r>
      <w:r w:rsidR="00702471" w:rsidRPr="00AB4A23">
        <w:t>d</w:t>
      </w:r>
      <w:r w:rsidR="00B07B1C" w:rsidRPr="00AB4A23">
        <w:t xml:space="preserve"> to changing marriage patterns</w:t>
      </w:r>
      <w:r w:rsidR="00FA3807">
        <w:t xml:space="preserve"> </w:t>
      </w:r>
      <w:r w:rsidR="00FA3807" w:rsidRPr="00904E38">
        <w:rPr>
          <w:highlight w:val="yellow"/>
        </w:rPr>
        <w:t>and led to a marriage squeeze on women but not men</w:t>
      </w:r>
      <w:r w:rsidR="00F200CA" w:rsidRPr="00AB4A23">
        <w:t xml:space="preserve">. The status of and opportunities for men in rapidly developing countries have not changed in the same way as those for women, and while it is culturally acceptable for women to marry men of higher status, </w:t>
      </w:r>
      <w:r w:rsidRPr="00AB4A23">
        <w:t>it is less so for men to marry women of higher status (</w:t>
      </w:r>
      <w:r w:rsidR="00726073" w:rsidRPr="00AB4A23">
        <w:t>Jones 2004</w:t>
      </w:r>
      <w:r w:rsidRPr="00AB4A23">
        <w:t>)</w:t>
      </w:r>
      <w:r w:rsidR="00F200CA" w:rsidRPr="00AB4A23">
        <w:t xml:space="preserve">. Analysis of the 1973 Census showed that literacy was considerably higher among males than females, with increasing gaps as age increased. In 1973, </w:t>
      </w:r>
      <w:r w:rsidR="00082BCE" w:rsidRPr="00AB4A23">
        <w:t xml:space="preserve">only </w:t>
      </w:r>
      <w:r w:rsidR="00F200CA" w:rsidRPr="00AB4A23">
        <w:t>half of all women aged 45-49</w:t>
      </w:r>
      <w:r w:rsidRPr="00AB4A23">
        <w:t xml:space="preserve"> years</w:t>
      </w:r>
      <w:r w:rsidR="00082BCE" w:rsidRPr="00AB4A23">
        <w:t xml:space="preserve"> were literate, compared to</w:t>
      </w:r>
      <w:r w:rsidR="00F200CA" w:rsidRPr="00AB4A23">
        <w:t xml:space="preserve"> </w:t>
      </w:r>
      <w:r w:rsidR="00082BCE" w:rsidRPr="00AB4A23">
        <w:t>82.3</w:t>
      </w:r>
      <w:r w:rsidR="00F200CA" w:rsidRPr="00AB4A23">
        <w:t xml:space="preserve">% of men </w:t>
      </w:r>
      <w:r w:rsidRPr="00AB4A23">
        <w:t>(</w:t>
      </w:r>
      <w:proofErr w:type="spellStart"/>
      <w:r w:rsidR="00F200CA" w:rsidRPr="00AB4A23">
        <w:t>Maung</w:t>
      </w:r>
      <w:proofErr w:type="spellEnd"/>
      <w:r w:rsidR="002A0B21" w:rsidRPr="00AB4A23">
        <w:t>,</w:t>
      </w:r>
      <w:r w:rsidR="00F200CA" w:rsidRPr="00AB4A23">
        <w:t xml:space="preserve"> 1986</w:t>
      </w:r>
      <w:r w:rsidRPr="00AB4A23">
        <w:t>)</w:t>
      </w:r>
      <w:r w:rsidR="00F200CA" w:rsidRPr="00AB4A23">
        <w:t>. Although men</w:t>
      </w:r>
      <w:r w:rsidRPr="00AB4A23">
        <w:t xml:space="preserve"> aged 45-49 years</w:t>
      </w:r>
      <w:r w:rsidR="00F200CA" w:rsidRPr="00AB4A23">
        <w:t xml:space="preserve"> today are still more likely </w:t>
      </w:r>
      <w:r w:rsidRPr="00AB4A23">
        <w:t xml:space="preserve">than women of the same age </w:t>
      </w:r>
      <w:r w:rsidR="00F200CA" w:rsidRPr="00AB4A23">
        <w:t xml:space="preserve">to be literate (90.2% </w:t>
      </w:r>
      <w:r w:rsidRPr="00AB4A23">
        <w:t>c</w:t>
      </w:r>
      <w:r w:rsidR="00F200CA" w:rsidRPr="00AB4A23">
        <w:t>ompared to 80.3%</w:t>
      </w:r>
      <w:r w:rsidRPr="00AB4A23">
        <w:t>)</w:t>
      </w:r>
      <w:r w:rsidR="000F119D" w:rsidRPr="00AB4A23">
        <w:t>, the gap has decreased (</w:t>
      </w:r>
      <w:r w:rsidR="00146433" w:rsidRPr="00AB4A23">
        <w:t xml:space="preserve">Ministry of Health and Sports </w:t>
      </w:r>
      <w:r w:rsidR="002A0B21" w:rsidRPr="00AB4A23">
        <w:t>&amp;</w:t>
      </w:r>
      <w:r w:rsidR="00146433" w:rsidRPr="00AB4A23">
        <w:t xml:space="preserve"> ICF</w:t>
      </w:r>
      <w:r w:rsidR="002A0B21" w:rsidRPr="00AB4A23">
        <w:t>,</w:t>
      </w:r>
      <w:r w:rsidR="00423A43" w:rsidRPr="00AB4A23">
        <w:t xml:space="preserve"> 2017</w:t>
      </w:r>
      <w:r w:rsidR="000F119D" w:rsidRPr="00AB4A23">
        <w:t>)</w:t>
      </w:r>
      <w:r w:rsidR="00F200CA" w:rsidRPr="00AB4A23">
        <w:t>.</w:t>
      </w:r>
      <w:r w:rsidR="0028339B" w:rsidRPr="00AB4A23">
        <w:t xml:space="preserve"> </w:t>
      </w:r>
      <w:r w:rsidR="00082BCE" w:rsidRPr="00AB4A23">
        <w:t>Furthermore, women in Myanmar are also now more likely to have secondary or higher education than men (14.5% of women compared to 11.9% of men) signifying dramatic changes in women’s status in the country and their options for employment outside of the home (Ministry of Health and Sports &amp; ICF, 2017).</w:t>
      </w:r>
      <w:r w:rsidR="00B7092B" w:rsidRPr="00AB4A23">
        <w:t xml:space="preserve"> </w:t>
      </w:r>
      <w:r w:rsidR="003D7CD1" w:rsidRPr="00AB4A23">
        <w:t xml:space="preserve">These changes, illustrated in </w:t>
      </w:r>
      <w:r w:rsidR="00B7092B" w:rsidRPr="00AB4A23">
        <w:t>Table 2</w:t>
      </w:r>
      <w:r w:rsidR="003D7CD1" w:rsidRPr="00AB4A23">
        <w:t>,</w:t>
      </w:r>
      <w:r w:rsidR="00B7092B" w:rsidRPr="00AB4A23">
        <w:t xml:space="preserve"> have </w:t>
      </w:r>
      <w:r w:rsidR="00233F6D" w:rsidRPr="00AB4A23">
        <w:t>changed the gender dynamics of higher education in the country.</w:t>
      </w:r>
    </w:p>
    <w:p w14:paraId="43C8CD73" w14:textId="05D2C420" w:rsidR="00F200CA" w:rsidRPr="00AB4A23" w:rsidRDefault="00082BCE" w:rsidP="0AA2609C">
      <w:pPr>
        <w:pStyle w:val="Paragraph"/>
        <w:spacing w:before="0"/>
        <w:ind w:firstLine="720"/>
      </w:pPr>
      <w:r w:rsidRPr="00AB4A23">
        <w:t xml:space="preserve">The improvements in female literacy and education found in Myanmar are unusual when compared to countries with similar economic profiles in the region. </w:t>
      </w:r>
      <w:r w:rsidR="0028339B" w:rsidRPr="00AB4A23">
        <w:t>For example,</w:t>
      </w:r>
      <w:r w:rsidR="00F200CA" w:rsidRPr="00AB4A23">
        <w:t xml:space="preserve"> </w:t>
      </w:r>
      <w:r w:rsidR="0028339B" w:rsidRPr="00AB4A23">
        <w:t>the most recent Myanmar DHS found that 85% of women of</w:t>
      </w:r>
      <w:r w:rsidRPr="00AB4A23">
        <w:t xml:space="preserve"> reproductive age were literate. This compares to </w:t>
      </w:r>
      <w:r w:rsidR="0028339B" w:rsidRPr="00AB4A23">
        <w:t>only 66.3% of women surveyed during Bangladesh’s most recent DHS, 76.1% in Cambodia, and 69.1% in Nepal (</w:t>
      </w:r>
      <w:r w:rsidR="002C7FA4" w:rsidRPr="00AB4A23">
        <w:t xml:space="preserve">National Institute of Statistics, Directorate General for </w:t>
      </w:r>
      <w:r w:rsidR="002C7FA4" w:rsidRPr="00AB4A23">
        <w:lastRenderedPageBreak/>
        <w:t xml:space="preserve">Health &amp; ICF Macro, 2011; National Institute of Population Research </w:t>
      </w:r>
      <w:r w:rsidR="78857C1B" w:rsidRPr="00AB4A23">
        <w:t>et al.</w:t>
      </w:r>
      <w:r w:rsidR="002C7FA4" w:rsidRPr="00AB4A23">
        <w:t>, 2016; Ministry of Health, Nepal</w:t>
      </w:r>
      <w:r w:rsidR="02B8A25F" w:rsidRPr="00AB4A23">
        <w:t xml:space="preserve"> et al.</w:t>
      </w:r>
      <w:r w:rsidR="002C7FA4" w:rsidRPr="00AB4A23">
        <w:t>, 2017</w:t>
      </w:r>
      <w:r w:rsidR="0028339B" w:rsidRPr="00AB4A23">
        <w:t xml:space="preserve">). </w:t>
      </w:r>
      <w:r w:rsidRPr="00AB4A23">
        <w:t xml:space="preserve">Similarly, while </w:t>
      </w:r>
      <w:r w:rsidR="00702471" w:rsidRPr="00AB4A23">
        <w:t xml:space="preserve">in Myanmar in 2014, </w:t>
      </w:r>
      <w:r w:rsidRPr="00AB4A23">
        <w:t xml:space="preserve">81.2% of women over </w:t>
      </w:r>
      <w:r w:rsidR="00702471" w:rsidRPr="00AB4A23">
        <w:t xml:space="preserve">the </w:t>
      </w:r>
      <w:r w:rsidRPr="00AB4A23">
        <w:t xml:space="preserve">age </w:t>
      </w:r>
      <w:r w:rsidR="00702471" w:rsidRPr="00AB4A23">
        <w:t xml:space="preserve">of </w:t>
      </w:r>
      <w:r w:rsidRPr="00AB4A23">
        <w:t xml:space="preserve">25 </w:t>
      </w:r>
      <w:r w:rsidR="00702471" w:rsidRPr="00AB4A23">
        <w:t xml:space="preserve">years </w:t>
      </w:r>
      <w:r w:rsidRPr="00AB4A23">
        <w:t xml:space="preserve">had received some education, </w:t>
      </w:r>
      <w:r w:rsidR="00702471" w:rsidRPr="00AB4A23">
        <w:t xml:space="preserve">in the same year </w:t>
      </w:r>
      <w:r w:rsidRPr="00AB4A23">
        <w:t xml:space="preserve">fewer than half of the women in the same age group in Bangladesh and only around 72% of women in Indonesia had primary education. In the previous year, only an estimated two thirds of the female population aged over age 25 years in Thailand had received any education (World Bank, 2019). In comparison, </w:t>
      </w:r>
      <w:r w:rsidR="0028339B" w:rsidRPr="00AB4A23">
        <w:t xml:space="preserve">female education levels in Myanmar </w:t>
      </w:r>
      <w:r w:rsidRPr="00AB4A23">
        <w:t>appear</w:t>
      </w:r>
      <w:r w:rsidR="0028339B" w:rsidRPr="00AB4A23">
        <w:t xml:space="preserve"> more similar to those found in high</w:t>
      </w:r>
      <w:r w:rsidR="00F83F86" w:rsidRPr="00AB4A23">
        <w:t>-</w:t>
      </w:r>
      <w:r w:rsidR="0028339B" w:rsidRPr="00AB4A23">
        <w:t xml:space="preserve">income countries in Asia, </w:t>
      </w:r>
      <w:r w:rsidR="00D4101F" w:rsidRPr="00AB4A23">
        <w:t>with</w:t>
      </w:r>
      <w:r w:rsidR="002C7FA4" w:rsidRPr="00AB4A23">
        <w:t xml:space="preserve"> higher rates of never married women.</w:t>
      </w:r>
    </w:p>
    <w:p w14:paraId="0D8ECE67" w14:textId="2CFF9C51" w:rsidR="00357DA8" w:rsidRPr="00AB4A23" w:rsidRDefault="002C7FA4" w:rsidP="0AA2609C">
      <w:pPr>
        <w:spacing w:line="480" w:lineRule="auto"/>
        <w:ind w:firstLine="720"/>
      </w:pPr>
      <w:r w:rsidRPr="00AB4A23">
        <w:t>The conflict between increased education and professional opportunities</w:t>
      </w:r>
      <w:r w:rsidR="00F83F86" w:rsidRPr="00AB4A23">
        <w:t>,</w:t>
      </w:r>
      <w:r w:rsidRPr="00AB4A23">
        <w:t xml:space="preserve"> and the</w:t>
      </w:r>
      <w:r w:rsidR="006329DA" w:rsidRPr="00AB4A23">
        <w:t xml:space="preserve"> </w:t>
      </w:r>
      <w:r w:rsidR="00F578BC" w:rsidRPr="00AB4A23">
        <w:t xml:space="preserve">continued </w:t>
      </w:r>
      <w:r w:rsidR="006329DA" w:rsidRPr="00AB4A23">
        <w:t xml:space="preserve">expectation that women fulfil traditional roles within marriage has been identified </w:t>
      </w:r>
      <w:r w:rsidR="002202D7" w:rsidRPr="00AB4A23">
        <w:t>as a</w:t>
      </w:r>
      <w:r w:rsidR="00F83F86" w:rsidRPr="00AB4A23">
        <w:t xml:space="preserve"> primary </w:t>
      </w:r>
      <w:r w:rsidR="006329DA" w:rsidRPr="00AB4A23">
        <w:t>re</w:t>
      </w:r>
      <w:r w:rsidR="000F119D" w:rsidRPr="00AB4A23">
        <w:t xml:space="preserve">ason </w:t>
      </w:r>
      <w:r w:rsidR="00F83F86" w:rsidRPr="00AB4A23">
        <w:t xml:space="preserve">for </w:t>
      </w:r>
      <w:r w:rsidR="000F119D" w:rsidRPr="00AB4A23">
        <w:t xml:space="preserve">women </w:t>
      </w:r>
      <w:r w:rsidR="00F83F86" w:rsidRPr="00AB4A23">
        <w:t xml:space="preserve">to </w:t>
      </w:r>
      <w:r w:rsidR="000F119D" w:rsidRPr="00AB4A23">
        <w:t xml:space="preserve">delay marriage </w:t>
      </w:r>
      <w:r w:rsidRPr="00AB4A23">
        <w:t xml:space="preserve">across Asia </w:t>
      </w:r>
      <w:r w:rsidR="000F119D" w:rsidRPr="00AB4A23">
        <w:t>(</w:t>
      </w:r>
      <w:proofErr w:type="spellStart"/>
      <w:r w:rsidR="006329DA" w:rsidRPr="00AB4A23">
        <w:t>Raymo</w:t>
      </w:r>
      <w:proofErr w:type="spellEnd"/>
      <w:r w:rsidR="006329DA" w:rsidRPr="00AB4A23">
        <w:t xml:space="preserve"> et al</w:t>
      </w:r>
      <w:r w:rsidR="00F578BC" w:rsidRPr="00AB4A23">
        <w:t>.</w:t>
      </w:r>
      <w:r w:rsidR="002A0B21" w:rsidRPr="00AB4A23">
        <w:t>,</w:t>
      </w:r>
      <w:r w:rsidR="000F119D" w:rsidRPr="00AB4A23">
        <w:t xml:space="preserve"> 2015)</w:t>
      </w:r>
      <w:r w:rsidR="006329DA" w:rsidRPr="00AB4A23">
        <w:t>.</w:t>
      </w:r>
      <w:r w:rsidRPr="00AB4A23">
        <w:t xml:space="preserve"> This has been noted in high</w:t>
      </w:r>
      <w:r w:rsidR="00F83F86" w:rsidRPr="00AB4A23">
        <w:t>-</w:t>
      </w:r>
      <w:r w:rsidRPr="00AB4A23">
        <w:t xml:space="preserve">income countries in particular, </w:t>
      </w:r>
      <w:r w:rsidR="00F83F86" w:rsidRPr="00AB4A23">
        <w:t>such as</w:t>
      </w:r>
      <w:r w:rsidRPr="00AB4A23">
        <w:t xml:space="preserve"> Japan</w:t>
      </w:r>
      <w:r w:rsidR="006D1796" w:rsidRPr="00AB4A23">
        <w:t xml:space="preserve"> and South Korea</w:t>
      </w:r>
      <w:r w:rsidR="00F3188E">
        <w:t xml:space="preserve"> </w:t>
      </w:r>
      <w:r w:rsidR="00F3188E" w:rsidRPr="00904E38">
        <w:rPr>
          <w:highlight w:val="yellow"/>
        </w:rPr>
        <w:t>(Jones, 2019)</w:t>
      </w:r>
      <w:r w:rsidR="006D1796" w:rsidRPr="00AB4A23">
        <w:t xml:space="preserve">. </w:t>
      </w:r>
      <w:r w:rsidR="00702471" w:rsidRPr="00AB4A23">
        <w:t>These countries, though much more</w:t>
      </w:r>
      <w:r w:rsidR="006D1796" w:rsidRPr="00AB4A23">
        <w:t xml:space="preserve"> economic</w:t>
      </w:r>
      <w:r w:rsidR="00702471" w:rsidRPr="00AB4A23">
        <w:t>ally</w:t>
      </w:r>
      <w:r w:rsidR="006D1796" w:rsidRPr="00AB4A23">
        <w:t xml:space="preserve"> develope</w:t>
      </w:r>
      <w:r w:rsidR="00702471" w:rsidRPr="00AB4A23">
        <w:t xml:space="preserve">d than Myanmar, </w:t>
      </w:r>
      <w:r w:rsidR="006D1796" w:rsidRPr="00AB4A23">
        <w:t>appear similar to Myanmar in terms of female education and labour force engagement. For example, in 2017, around 50% of females over the age of 15 were engaged in the labour force in both Japan and Myanmar (World Bank, 2019)</w:t>
      </w:r>
      <w:r w:rsidR="00521060" w:rsidRPr="00AB4A23">
        <w:t xml:space="preserve">, but Myanmar had a higher proportion (around 25%) of female managers than either Japan (14.9%) or South Korea (12.3%) (International Labour Organization, 2019). Additionally, </w:t>
      </w:r>
      <w:r w:rsidR="00702471" w:rsidRPr="00AB4A23">
        <w:t>like</w:t>
      </w:r>
      <w:r w:rsidR="00521060" w:rsidRPr="00AB4A23">
        <w:t xml:space="preserve"> Japan and South Korea, Myanmar has near universal literacy for younger populations</w:t>
      </w:r>
      <w:r w:rsidR="000F4DCD" w:rsidRPr="00AB4A23">
        <w:t>, more than 95% of boys and girls between the ages of 10 and 14</w:t>
      </w:r>
      <w:r w:rsidR="00702471" w:rsidRPr="00AB4A23">
        <w:t xml:space="preserve"> years</w:t>
      </w:r>
      <w:r w:rsidR="000F4DCD" w:rsidRPr="00AB4A23">
        <w:t xml:space="preserve"> (Department of Population, Ministry of Immigration and Population, 2015). </w:t>
      </w:r>
    </w:p>
    <w:p w14:paraId="3883CCFF" w14:textId="37EA01F9" w:rsidR="00DE3115" w:rsidRPr="00AB4A23" w:rsidRDefault="000F4DCD" w:rsidP="0AA2609C">
      <w:pPr>
        <w:spacing w:line="480" w:lineRule="auto"/>
        <w:ind w:firstLine="720"/>
      </w:pPr>
      <w:r w:rsidRPr="00AB4A23">
        <w:t xml:space="preserve">However, </w:t>
      </w:r>
      <w:r w:rsidR="003D7CD1" w:rsidRPr="00AB4A23">
        <w:t>as observed</w:t>
      </w:r>
      <w:r w:rsidR="00357DA8" w:rsidRPr="00AB4A23">
        <w:t xml:space="preserve"> in Japan and South Korea, </w:t>
      </w:r>
      <w:r w:rsidRPr="00AB4A23">
        <w:t xml:space="preserve">the social pressures placed on women to fulfil dual roles and mothers and employees may have even greater influence on marriage in Myanmar, where </w:t>
      </w:r>
      <w:r w:rsidR="006329DA" w:rsidRPr="00AB4A23">
        <w:t xml:space="preserve">women are </w:t>
      </w:r>
      <w:r w:rsidRPr="00AB4A23">
        <w:t xml:space="preserve">generally </w:t>
      </w:r>
      <w:r w:rsidR="006329DA" w:rsidRPr="00AB4A23">
        <w:t xml:space="preserve">expected to work </w:t>
      </w:r>
      <w:r w:rsidR="00F83F86" w:rsidRPr="00AB4A23">
        <w:t>at home</w:t>
      </w:r>
      <w:r w:rsidR="006329DA" w:rsidRPr="00AB4A23">
        <w:t xml:space="preserve"> once they are married</w:t>
      </w:r>
      <w:r w:rsidR="000F119D" w:rsidRPr="00AB4A23">
        <w:t xml:space="preserve"> (Gender Equality Network</w:t>
      </w:r>
      <w:r w:rsidR="002A0B21" w:rsidRPr="00AB4A23">
        <w:t>,</w:t>
      </w:r>
      <w:r w:rsidR="000F119D" w:rsidRPr="00AB4A23">
        <w:t xml:space="preserve"> 2018)</w:t>
      </w:r>
      <w:r w:rsidR="006329DA" w:rsidRPr="00AB4A23">
        <w:t xml:space="preserve">. </w:t>
      </w:r>
      <w:r w:rsidR="00DE3115" w:rsidRPr="00AB4A23">
        <w:t xml:space="preserve">Recent scholarship on gender and women’s status </w:t>
      </w:r>
      <w:r w:rsidR="00DE3115" w:rsidRPr="00AB4A23">
        <w:lastRenderedPageBreak/>
        <w:t>in Myanmar highlights this tension and points to the ideological concept of </w:t>
      </w:r>
      <w:proofErr w:type="spellStart"/>
      <w:r w:rsidR="00DE3115" w:rsidRPr="00AB4A23">
        <w:t>Hpon</w:t>
      </w:r>
      <w:proofErr w:type="spellEnd"/>
      <w:r w:rsidR="00DE3115" w:rsidRPr="00AB4A23">
        <w:t> (also referred to as </w:t>
      </w:r>
      <w:proofErr w:type="spellStart"/>
      <w:r w:rsidR="00DE3115" w:rsidRPr="00AB4A23">
        <w:t>Pon</w:t>
      </w:r>
      <w:proofErr w:type="spellEnd"/>
      <w:r w:rsidR="00DE3115" w:rsidRPr="00AB4A23">
        <w:t>), an abstract concept derived from Theravada Buddhism that establishes the religious superiority of men, and often leads to an institutionalized belief in male superiority (Thein, 2015; </w:t>
      </w:r>
      <w:proofErr w:type="spellStart"/>
      <w:r w:rsidR="00DE3115" w:rsidRPr="00AB4A23">
        <w:t>Miedema</w:t>
      </w:r>
      <w:proofErr w:type="spellEnd"/>
      <w:r w:rsidR="1A3E67CD" w:rsidRPr="00AB4A23">
        <w:t xml:space="preserve"> et al.</w:t>
      </w:r>
      <w:r w:rsidR="00DE3115" w:rsidRPr="00AB4A23">
        <w:t>, 2016). </w:t>
      </w:r>
      <w:r w:rsidR="002F78B1" w:rsidRPr="00AB4A23">
        <w:t xml:space="preserve">These beliefs are woven into the social fabric of the country, even affecting the education system itself. </w:t>
      </w:r>
      <w:r w:rsidR="002F78B1" w:rsidRPr="00AB4A23">
        <w:rPr>
          <w:shd w:val="clear" w:color="auto" w:fill="FFFFFF"/>
        </w:rPr>
        <w:t>A recent review of textbooks used for grades 1-7 found that they helped perpetuate conflicting female social norms by showing girls helping with domestic work at home and studying, but not being physically active or serving as leaders (Thein, 2015). </w:t>
      </w:r>
      <w:r w:rsidR="00DE3115" w:rsidRPr="00AB4A23">
        <w:t xml:space="preserve">While this paper does not </w:t>
      </w:r>
      <w:r w:rsidR="00D4101F" w:rsidRPr="00AB4A23">
        <w:t xml:space="preserve">attempt </w:t>
      </w:r>
      <w:r w:rsidR="00DE3115" w:rsidRPr="00AB4A23">
        <w:t>a deep</w:t>
      </w:r>
      <w:r w:rsidR="00D4101F" w:rsidRPr="00AB4A23">
        <w:t>er</w:t>
      </w:r>
      <w:r w:rsidR="00DE3115" w:rsidRPr="00AB4A23">
        <w:t xml:space="preserve"> exploration of gender relations and female empowerment in Myanmar, it acknowledges the conflict created by acceptance of concepts </w:t>
      </w:r>
      <w:r w:rsidR="00D4101F" w:rsidRPr="00AB4A23">
        <w:t>such as </w:t>
      </w:r>
      <w:proofErr w:type="spellStart"/>
      <w:r w:rsidR="00DE3115" w:rsidRPr="00AB4A23">
        <w:t>Hpon</w:t>
      </w:r>
      <w:proofErr w:type="spellEnd"/>
      <w:r w:rsidR="00DE3115" w:rsidRPr="00AB4A23">
        <w:t xml:space="preserve"> and the efforts of the government to encourage and enable women </w:t>
      </w:r>
      <w:r w:rsidR="00D4101F" w:rsidRPr="00AB4A23">
        <w:t xml:space="preserve">with </w:t>
      </w:r>
      <w:r w:rsidR="00DE3115" w:rsidRPr="00AB4A23">
        <w:t xml:space="preserve">equal access to education and promote relatively relaxed marriage and employment norms. </w:t>
      </w:r>
    </w:p>
    <w:p w14:paraId="381CD40B" w14:textId="73A1177F" w:rsidR="006329DA" w:rsidRPr="00AB4A23" w:rsidRDefault="00D4101F" w:rsidP="0AA2609C">
      <w:pPr>
        <w:pStyle w:val="Paragraph"/>
        <w:spacing w:before="0"/>
        <w:ind w:firstLine="720"/>
      </w:pPr>
      <w:r w:rsidRPr="00AB4A23">
        <w:t>Our findings</w:t>
      </w:r>
      <w:r w:rsidR="00887743" w:rsidRPr="00AB4A23">
        <w:t xml:space="preserve"> </w:t>
      </w:r>
      <w:r w:rsidR="000F4DCD" w:rsidRPr="00AB4A23">
        <w:t xml:space="preserve">suggest fewer marriage opportunities for women who have higher levels of education, and </w:t>
      </w:r>
      <w:r w:rsidRPr="00AB4A23">
        <w:t xml:space="preserve">further </w:t>
      </w:r>
      <w:r w:rsidR="000F4DCD" w:rsidRPr="00AB4A23">
        <w:t xml:space="preserve">show that women who hold positions </w:t>
      </w:r>
      <w:r w:rsidR="00F83F86" w:rsidRPr="00AB4A23">
        <w:t>at</w:t>
      </w:r>
      <w:r w:rsidR="000F4DCD" w:rsidRPr="00AB4A23">
        <w:t xml:space="preserve"> professional </w:t>
      </w:r>
      <w:r w:rsidR="00F83F86" w:rsidRPr="00AB4A23">
        <w:t>level</w:t>
      </w:r>
      <w:r w:rsidR="000F4DCD" w:rsidRPr="00AB4A23">
        <w:t xml:space="preserve"> are less likely to have married by the end of their reproductive years</w:t>
      </w:r>
      <w:r w:rsidR="00946C96" w:rsidRPr="00904E38">
        <w:rPr>
          <w:highlight w:val="yellow"/>
        </w:rPr>
        <w:t>, perhaps due to a marriage squeeze that disproportionately affects well-educated women</w:t>
      </w:r>
      <w:r w:rsidR="002D4FA5" w:rsidRPr="00AB4A23">
        <w:t xml:space="preserve">. </w:t>
      </w:r>
      <w:r w:rsidR="006D4B5D" w:rsidRPr="00AB4A23">
        <w:t xml:space="preserve">While this paper </w:t>
      </w:r>
      <w:r w:rsidR="00495B3D" w:rsidRPr="00AB4A23">
        <w:t xml:space="preserve">begins to </w:t>
      </w:r>
      <w:r w:rsidR="006D4B5D" w:rsidRPr="00AB4A23">
        <w:t>examine the role of changing access to female education and employment in the absence of changing social norms on marriage and fertility, greater sociological research into gender roles and stereotypes in Myanmar would greatly contribute to our growing understanding of social change and fertility in the country. </w:t>
      </w:r>
    </w:p>
    <w:p w14:paraId="070B4306" w14:textId="1356BD0C" w:rsidR="0F1D3C39" w:rsidRPr="00AB4A23" w:rsidRDefault="0F1D3C39" w:rsidP="0AA2609C">
      <w:pPr>
        <w:pStyle w:val="Paragraph"/>
        <w:spacing w:before="0"/>
        <w:ind w:firstLine="720"/>
      </w:pPr>
      <w:r w:rsidRPr="00AB4A23">
        <w:t xml:space="preserve">Although data limitations </w:t>
      </w:r>
      <w:r w:rsidR="00D4101F" w:rsidRPr="00AB4A23">
        <w:t>did no</w:t>
      </w:r>
      <w:r w:rsidR="00E016E8" w:rsidRPr="00AB4A23">
        <w:t>t</w:t>
      </w:r>
      <w:r w:rsidR="00D4101F" w:rsidRPr="00AB4A23">
        <w:t xml:space="preserve"> permit us to </w:t>
      </w:r>
      <w:r w:rsidRPr="00AB4A23">
        <w:t xml:space="preserve">explore excess male migration and mortality in detail, the apparent shortage of men of reproductive age caused by these phenomena </w:t>
      </w:r>
      <w:r w:rsidR="46A25ECA" w:rsidRPr="00AB4A23">
        <w:t xml:space="preserve">have likely created a marriage squeeze for </w:t>
      </w:r>
      <w:r w:rsidR="6AF9A70D" w:rsidRPr="00AB4A23">
        <w:t>well-educated</w:t>
      </w:r>
      <w:r w:rsidR="46A25ECA" w:rsidRPr="00AB4A23">
        <w:t xml:space="preserve"> and higher status wome</w:t>
      </w:r>
      <w:r w:rsidR="5766DACF" w:rsidRPr="00AB4A23">
        <w:t>n</w:t>
      </w:r>
      <w:r w:rsidR="46A25ECA" w:rsidRPr="00AB4A23">
        <w:t xml:space="preserve"> </w:t>
      </w:r>
      <w:r w:rsidR="00C91773" w:rsidRPr="00AB4A23">
        <w:t>in Myanmar</w:t>
      </w:r>
      <w:r w:rsidR="00031508" w:rsidRPr="00AB4A23">
        <w:t>.</w:t>
      </w:r>
      <w:r w:rsidR="00D74E9E" w:rsidRPr="00AB4A23">
        <w:t xml:space="preserve"> </w:t>
      </w:r>
      <w:r w:rsidR="00C25869" w:rsidRPr="00AB4A23">
        <w:t>As of 2014, there we</w:t>
      </w:r>
      <w:r w:rsidR="00D74E9E" w:rsidRPr="00AB4A23">
        <w:t>re over one millio</w:t>
      </w:r>
      <w:r w:rsidR="00B24080" w:rsidRPr="00AB4A23">
        <w:t>n more women of reproductive age</w:t>
      </w:r>
      <w:r w:rsidR="00D74E9E" w:rsidRPr="00AB4A23">
        <w:t xml:space="preserve"> (15-49 years) than men</w:t>
      </w:r>
      <w:r w:rsidR="00B24080" w:rsidRPr="00AB4A23">
        <w:t>, and an overall sex ratio of 93 men for every 100 women</w:t>
      </w:r>
      <w:r w:rsidR="00D74E9E" w:rsidRPr="00AB4A23">
        <w:t xml:space="preserve"> </w:t>
      </w:r>
      <w:r w:rsidR="00D86F67" w:rsidRPr="00AB4A23">
        <w:lastRenderedPageBreak/>
        <w:t>(</w:t>
      </w:r>
      <w:r w:rsidR="00423A43" w:rsidRPr="00AB4A23">
        <w:t>Ministry of Immigration and Population</w:t>
      </w:r>
      <w:r w:rsidR="00D86F67" w:rsidRPr="00AB4A23">
        <w:t>, Department of Population</w:t>
      </w:r>
      <w:r w:rsidR="002A0B21" w:rsidRPr="00AB4A23">
        <w:t>,</w:t>
      </w:r>
      <w:r w:rsidR="00423A43" w:rsidRPr="00AB4A23">
        <w:t xml:space="preserve"> 2015</w:t>
      </w:r>
      <w:r w:rsidR="00D86F67" w:rsidRPr="00AB4A23">
        <w:t>)</w:t>
      </w:r>
      <w:r w:rsidR="00D74E9E" w:rsidRPr="00AB4A23">
        <w:t>.</w:t>
      </w:r>
      <w:r w:rsidR="00326387" w:rsidRPr="00AB4A23">
        <w:t xml:space="preserve"> </w:t>
      </w:r>
      <w:r w:rsidR="00C25869" w:rsidRPr="00AB4A23">
        <w:t>Considering</w:t>
      </w:r>
      <w:r w:rsidR="00326387" w:rsidRPr="00AB4A23">
        <w:t xml:space="preserve"> a slight age difference in partners </w:t>
      </w:r>
      <w:r w:rsidR="00D86F67" w:rsidRPr="00AB4A23">
        <w:t>such that</w:t>
      </w:r>
      <w:r w:rsidR="00C25869" w:rsidRPr="00AB4A23">
        <w:t xml:space="preserve"> women aged 20-24 </w:t>
      </w:r>
      <w:r w:rsidR="00D86F67" w:rsidRPr="00AB4A23">
        <w:t xml:space="preserve">years tend to </w:t>
      </w:r>
      <w:r w:rsidR="00C25869" w:rsidRPr="00AB4A23">
        <w:t>marry</w:t>
      </w:r>
      <w:r w:rsidR="00326387" w:rsidRPr="00AB4A23">
        <w:t xml:space="preserve"> men aged 25-29</w:t>
      </w:r>
      <w:r w:rsidR="00D86F67" w:rsidRPr="00AB4A23">
        <w:t xml:space="preserve"> years</w:t>
      </w:r>
      <w:r w:rsidR="00326387" w:rsidRPr="00AB4A23">
        <w:t>, the sex ratio falls to 89 men per 100 women</w:t>
      </w:r>
      <w:r w:rsidR="003D11DB" w:rsidRPr="00AB4A23">
        <w:t xml:space="preserve"> for all education levels and only 75 men per 100 women for those with the highest level of education</w:t>
      </w:r>
      <w:r w:rsidR="00326387" w:rsidRPr="00AB4A23">
        <w:t xml:space="preserve">. </w:t>
      </w:r>
      <w:r w:rsidR="00031508" w:rsidRPr="00AB4A23">
        <w:t xml:space="preserve">Emigration is a major driver of this shortage. However, </w:t>
      </w:r>
      <w:r w:rsidR="00534DDE" w:rsidRPr="00AB4A23">
        <w:t>male emigrants are</w:t>
      </w:r>
      <w:r w:rsidR="00031508" w:rsidRPr="00AB4A23">
        <w:t xml:space="preserve"> unlikely to be missing spouses for </w:t>
      </w:r>
      <w:r w:rsidR="00C25869" w:rsidRPr="00AB4A23">
        <w:t xml:space="preserve">the </w:t>
      </w:r>
      <w:r w:rsidR="00031508" w:rsidRPr="00AB4A23">
        <w:t xml:space="preserve">unmarried women </w:t>
      </w:r>
      <w:r w:rsidR="00C25869" w:rsidRPr="00AB4A23">
        <w:t>identified in this analysis</w:t>
      </w:r>
      <w:r w:rsidR="00031508" w:rsidRPr="00AB4A23">
        <w:t xml:space="preserve">. The </w:t>
      </w:r>
      <w:r w:rsidR="00D86F67" w:rsidRPr="00AB4A23">
        <w:t xml:space="preserve">IOM </w:t>
      </w:r>
      <w:r w:rsidR="00031508" w:rsidRPr="00AB4A23">
        <w:t>estimates that the majority of emigrants go on to work in the commercial fishing, agriculture, manufacturing and hospitality sectors, which often offer lower wage</w:t>
      </w:r>
      <w:r w:rsidR="00C42B72" w:rsidRPr="00AB4A23">
        <w:t>s</w:t>
      </w:r>
      <w:r w:rsidR="00031508" w:rsidRPr="00AB4A23">
        <w:t xml:space="preserve"> and poor working conditions in host countries </w:t>
      </w:r>
      <w:r w:rsidR="00D86F67" w:rsidRPr="00AB4A23">
        <w:t>(</w:t>
      </w:r>
      <w:r w:rsidR="002A0B21" w:rsidRPr="00AB4A23">
        <w:t xml:space="preserve">IOM, </w:t>
      </w:r>
      <w:r w:rsidR="00031508" w:rsidRPr="00AB4A23">
        <w:t>2016</w:t>
      </w:r>
      <w:r w:rsidR="00D86F67" w:rsidRPr="00AB4A23">
        <w:t>)</w:t>
      </w:r>
      <w:r w:rsidR="00031508" w:rsidRPr="00AB4A23">
        <w:t xml:space="preserve">. </w:t>
      </w:r>
      <w:r w:rsidR="00562C15" w:rsidRPr="00AB4A23">
        <w:t xml:space="preserve">The high status of </w:t>
      </w:r>
      <w:r w:rsidR="00D86F67" w:rsidRPr="00AB4A23">
        <w:t xml:space="preserve">the </w:t>
      </w:r>
      <w:r w:rsidR="00562C15" w:rsidRPr="00AB4A23">
        <w:t>never</w:t>
      </w:r>
      <w:r w:rsidR="00D86F67" w:rsidRPr="00AB4A23">
        <w:t>-</w:t>
      </w:r>
      <w:r w:rsidR="00562C15" w:rsidRPr="00AB4A23">
        <w:t xml:space="preserve">married women </w:t>
      </w:r>
      <w:r w:rsidR="00D86F67" w:rsidRPr="00AB4A23">
        <w:t>observed in our</w:t>
      </w:r>
      <w:r w:rsidR="00562C15" w:rsidRPr="00AB4A23">
        <w:t xml:space="preserve"> analysis suggest that those men who have emigrated would not necessarily </w:t>
      </w:r>
      <w:r w:rsidR="00D86F67" w:rsidRPr="00AB4A23">
        <w:t>have been eligible to marry these women</w:t>
      </w:r>
      <w:r w:rsidR="00562C15" w:rsidRPr="00AB4A23">
        <w:t>.</w:t>
      </w:r>
      <w:r w:rsidR="001D3EB5" w:rsidRPr="00AB4A23">
        <w:t xml:space="preserve"> </w:t>
      </w:r>
    </w:p>
    <w:p w14:paraId="4E0952D9" w14:textId="6BD64E82" w:rsidR="00A651B9" w:rsidRPr="00AB4A23" w:rsidRDefault="2338F8FB" w:rsidP="0AA2609C">
      <w:pPr>
        <w:pStyle w:val="Paragraph"/>
        <w:spacing w:before="0"/>
        <w:ind w:firstLine="720"/>
      </w:pPr>
      <w:r w:rsidRPr="00AB4A23">
        <w:t xml:space="preserve">Excess male mortality may also contribute to the country’s marriage squeeze. </w:t>
      </w:r>
      <w:r w:rsidR="016FEC0A" w:rsidRPr="00AB4A23">
        <w:t>Age specific mortality rates for men aged 25 years were more than three times the rates for women of the same age in 2014</w:t>
      </w:r>
      <w:r w:rsidR="3BD3B7A3" w:rsidRPr="00AB4A23">
        <w:t>, and gap that has grown over the past several decades</w:t>
      </w:r>
      <w:r w:rsidR="016FEC0A" w:rsidRPr="00AB4A23">
        <w:t xml:space="preserve">. </w:t>
      </w:r>
      <w:r w:rsidR="00F478FC" w:rsidRPr="00AB4A23">
        <w:t xml:space="preserve">The reasons for these changes </w:t>
      </w:r>
      <w:r w:rsidR="00D86F67" w:rsidRPr="00AB4A23">
        <w:t xml:space="preserve">in mortality </w:t>
      </w:r>
      <w:r w:rsidR="00F478FC" w:rsidRPr="00AB4A23">
        <w:t>remain unknown, as cause-specific mortality data are unavailable</w:t>
      </w:r>
      <w:r w:rsidR="000F119D" w:rsidRPr="00AB4A23">
        <w:t xml:space="preserve"> or incomplete (</w:t>
      </w:r>
      <w:proofErr w:type="spellStart"/>
      <w:r w:rsidR="009E1AF2" w:rsidRPr="00AB4A23">
        <w:t>Oung</w:t>
      </w:r>
      <w:proofErr w:type="spellEnd"/>
      <w:r w:rsidR="00D86F67" w:rsidRPr="00AB4A23">
        <w:t xml:space="preserve"> et al.</w:t>
      </w:r>
      <w:r w:rsidR="002A0B21" w:rsidRPr="00AB4A23">
        <w:t>,</w:t>
      </w:r>
      <w:r w:rsidR="000F119D" w:rsidRPr="00AB4A23">
        <w:t xml:space="preserve"> 2017)</w:t>
      </w:r>
      <w:r w:rsidR="00F478FC" w:rsidRPr="00AB4A23">
        <w:t xml:space="preserve">. However, </w:t>
      </w:r>
      <w:r w:rsidR="0060402A" w:rsidRPr="00AB4A23">
        <w:t>excess male mortality may be caused by higher risk behaviour among men</w:t>
      </w:r>
      <w:r w:rsidR="00F478FC" w:rsidRPr="00AB4A23">
        <w:t xml:space="preserve">. For example, </w:t>
      </w:r>
      <w:r w:rsidR="008C39E9" w:rsidRPr="00AB4A23">
        <w:t>Myanmar is one of the largest sources of opium in the world</w:t>
      </w:r>
      <w:r w:rsidR="00A651B9" w:rsidRPr="00AB4A23">
        <w:t xml:space="preserve"> and is also home to large jade and ruby mines. </w:t>
      </w:r>
      <w:r w:rsidR="00466939" w:rsidRPr="00AB4A23">
        <w:t>Countries with s</w:t>
      </w:r>
      <w:r w:rsidR="00E160C0" w:rsidRPr="00AB4A23">
        <w:t>imilar illicit drug and conflict environments, for example Colombia, have also experienced marriage squeezes on women</w:t>
      </w:r>
      <w:r w:rsidR="000F119D" w:rsidRPr="00AB4A23">
        <w:t xml:space="preserve"> (Holland Jones </w:t>
      </w:r>
      <w:r w:rsidR="002A0B21" w:rsidRPr="00AB4A23">
        <w:t>&amp;</w:t>
      </w:r>
      <w:r w:rsidR="000F119D" w:rsidRPr="00AB4A23">
        <w:t xml:space="preserve"> Ferguson</w:t>
      </w:r>
      <w:r w:rsidR="002A0B21" w:rsidRPr="00AB4A23">
        <w:t>,</w:t>
      </w:r>
      <w:r w:rsidR="000F119D" w:rsidRPr="00AB4A23">
        <w:t xml:space="preserve"> 2010)</w:t>
      </w:r>
      <w:r w:rsidR="00E160C0" w:rsidRPr="00AB4A23">
        <w:t xml:space="preserve">. </w:t>
      </w:r>
      <w:r w:rsidR="21E3D800" w:rsidRPr="00AB4A23">
        <w:t>Men</w:t>
      </w:r>
      <w:r w:rsidR="00A651B9" w:rsidRPr="00AB4A23">
        <w:t xml:space="preserve"> may also be more likely to abuse alcohol and other drugs. A recent survey found that 2% of adults living in opium producing villages in eastern Myanmar used opium</w:t>
      </w:r>
      <w:r w:rsidR="0072553C" w:rsidRPr="00AB4A23">
        <w:t xml:space="preserve"> (</w:t>
      </w:r>
      <w:r w:rsidR="00381193" w:rsidRPr="00AB4A23">
        <w:t>U</w:t>
      </w:r>
      <w:r w:rsidR="00D86F67" w:rsidRPr="00AB4A23">
        <w:t xml:space="preserve">nited </w:t>
      </w:r>
      <w:r w:rsidR="00381193" w:rsidRPr="00AB4A23">
        <w:t>N</w:t>
      </w:r>
      <w:r w:rsidR="00D86F67" w:rsidRPr="00AB4A23">
        <w:t xml:space="preserve">ations </w:t>
      </w:r>
      <w:r w:rsidR="00381193" w:rsidRPr="00AB4A23">
        <w:t>O</w:t>
      </w:r>
      <w:r w:rsidR="00D86F67" w:rsidRPr="00AB4A23">
        <w:t xml:space="preserve">ffice on </w:t>
      </w:r>
      <w:r w:rsidR="00381193" w:rsidRPr="00AB4A23">
        <w:t>D</w:t>
      </w:r>
      <w:r w:rsidR="00D86F67" w:rsidRPr="00AB4A23">
        <w:t xml:space="preserve">rugs and </w:t>
      </w:r>
      <w:r w:rsidR="00381193" w:rsidRPr="00AB4A23">
        <w:t>C</w:t>
      </w:r>
      <w:r w:rsidR="00D86F67" w:rsidRPr="00AB4A23">
        <w:t>rime</w:t>
      </w:r>
      <w:r w:rsidR="002A0B21" w:rsidRPr="00AB4A23">
        <w:t>,</w:t>
      </w:r>
      <w:r w:rsidR="0072553C" w:rsidRPr="00AB4A23">
        <w:t xml:space="preserve"> 2015)</w:t>
      </w:r>
      <w:r w:rsidR="009E1AF2" w:rsidRPr="00AB4A23">
        <w:t>, and mental or behavioural disorders due to psychoactive substance use were the seventh leading caus</w:t>
      </w:r>
      <w:r w:rsidR="0072553C" w:rsidRPr="00AB4A23">
        <w:t>e of registered deaths in 2013 (</w:t>
      </w:r>
      <w:proofErr w:type="spellStart"/>
      <w:r w:rsidR="009E1AF2" w:rsidRPr="00AB4A23">
        <w:t>Oung</w:t>
      </w:r>
      <w:proofErr w:type="spellEnd"/>
      <w:r w:rsidR="009E1AF2" w:rsidRPr="00AB4A23">
        <w:t xml:space="preserve"> </w:t>
      </w:r>
      <w:r w:rsidR="00D86F67" w:rsidRPr="00AB4A23">
        <w:t>et al.</w:t>
      </w:r>
      <w:r w:rsidR="002A0B21" w:rsidRPr="00AB4A23">
        <w:t xml:space="preserve">, </w:t>
      </w:r>
      <w:r w:rsidR="0072553C" w:rsidRPr="00AB4A23">
        <w:t>2017)</w:t>
      </w:r>
      <w:r w:rsidR="00381193" w:rsidRPr="00AB4A23">
        <w:t xml:space="preserve">. </w:t>
      </w:r>
      <w:r w:rsidR="43E1D657" w:rsidRPr="00AB4A23">
        <w:t>HIV/AIDS also disproportionally affects men in Myanmar:</w:t>
      </w:r>
      <w:r w:rsidR="0072553C" w:rsidRPr="00AB4A23">
        <w:t xml:space="preserve"> </w:t>
      </w:r>
      <w:r w:rsidR="111B2E29" w:rsidRPr="00AB4A23">
        <w:t>a</w:t>
      </w:r>
      <w:r w:rsidR="0072553C" w:rsidRPr="00AB4A23">
        <w:t xml:space="preserve">lmost four times as many men died from </w:t>
      </w:r>
      <w:r w:rsidR="0072553C" w:rsidRPr="00AB4A23">
        <w:lastRenderedPageBreak/>
        <w:t>AIDS-related causes in 2017 and more than twice as many men are currently living with HIV in the country than women (</w:t>
      </w:r>
      <w:r w:rsidR="00E83192" w:rsidRPr="00AB4A23">
        <w:t>Joint United Nations Program on HIV/</w:t>
      </w:r>
      <w:r w:rsidR="009E1AF2" w:rsidRPr="00AB4A23">
        <w:t>AIDS</w:t>
      </w:r>
      <w:r w:rsidR="002A0B21" w:rsidRPr="00AB4A23">
        <w:t>,</w:t>
      </w:r>
      <w:r w:rsidR="009E1AF2" w:rsidRPr="00AB4A23">
        <w:t xml:space="preserve"> 201</w:t>
      </w:r>
      <w:r w:rsidR="00FB1C42" w:rsidRPr="00AB4A23">
        <w:t>8</w:t>
      </w:r>
      <w:r w:rsidR="0072553C" w:rsidRPr="00AB4A23">
        <w:t>)</w:t>
      </w:r>
      <w:r w:rsidR="009E1AF2" w:rsidRPr="00AB4A23">
        <w:t xml:space="preserve">. </w:t>
      </w:r>
    </w:p>
    <w:p w14:paraId="57D0F59F" w14:textId="65ECE909" w:rsidR="001D3EB5" w:rsidRPr="00AB4A23" w:rsidRDefault="00D3786A" w:rsidP="0AA2609C">
      <w:pPr>
        <w:pStyle w:val="Paragraph"/>
        <w:spacing w:before="0"/>
        <w:ind w:firstLine="720"/>
      </w:pPr>
      <w:r w:rsidRPr="00AB4A23">
        <w:t xml:space="preserve">Unfortunately, data on cause of death or </w:t>
      </w:r>
      <w:r w:rsidR="00E016E8" w:rsidRPr="00AB4A23">
        <w:t xml:space="preserve">the </w:t>
      </w:r>
      <w:r w:rsidRPr="00AB4A23">
        <w:t>socioeconomic and demographic characteristics of those who die</w:t>
      </w:r>
      <w:r w:rsidR="0071361B" w:rsidRPr="00AB4A23">
        <w:t xml:space="preserve"> are not readily available from Myanmar</w:t>
      </w:r>
      <w:r w:rsidRPr="00AB4A23">
        <w:t xml:space="preserve"> and </w:t>
      </w:r>
      <w:r w:rsidR="00DA2600" w:rsidRPr="00AB4A23">
        <w:t xml:space="preserve">we can </w:t>
      </w:r>
      <w:r w:rsidRPr="00AB4A23">
        <w:t xml:space="preserve">only </w:t>
      </w:r>
      <w:r w:rsidR="00E016E8" w:rsidRPr="00AB4A23">
        <w:t>speculate</w:t>
      </w:r>
      <w:r w:rsidRPr="00AB4A23">
        <w:t xml:space="preserve"> about </w:t>
      </w:r>
      <w:r w:rsidR="00DA2600" w:rsidRPr="00AB4A23">
        <w:t xml:space="preserve">the relationship between high male </w:t>
      </w:r>
      <w:r w:rsidRPr="00AB4A23">
        <w:t>mortality and</w:t>
      </w:r>
      <w:r w:rsidR="00DA2600" w:rsidRPr="00AB4A23">
        <w:t xml:space="preserve"> low female</w:t>
      </w:r>
      <w:r w:rsidRPr="00AB4A23">
        <w:t xml:space="preserve"> marriage.</w:t>
      </w:r>
      <w:r w:rsidR="00C25869" w:rsidRPr="00AB4A23">
        <w:t xml:space="preserve"> </w:t>
      </w:r>
      <w:r w:rsidR="00DA2600" w:rsidRPr="00AB4A23">
        <w:t>Additionally, although we are able to make inferences about marriage trends over the past several decades using published survey reports,</w:t>
      </w:r>
      <w:r w:rsidR="00673061" w:rsidRPr="00AB4A23">
        <w:t xml:space="preserve"> we must view</w:t>
      </w:r>
      <w:r w:rsidR="00DA2600" w:rsidRPr="00AB4A23">
        <w:t xml:space="preserve"> </w:t>
      </w:r>
      <w:r w:rsidR="00673061" w:rsidRPr="00AB4A23">
        <w:t>the data with caution</w:t>
      </w:r>
      <w:r w:rsidR="00DA2600" w:rsidRPr="00AB4A23">
        <w:t xml:space="preserve">. We know that certain areas of Myanmar are routinely non-enumerated during national surveys and censuses. </w:t>
      </w:r>
      <w:r w:rsidR="00C32A37" w:rsidRPr="00AB4A23">
        <w:t xml:space="preserve">For example, </w:t>
      </w:r>
      <w:r w:rsidR="00673061" w:rsidRPr="00AB4A23">
        <w:t>around</w:t>
      </w:r>
      <w:r w:rsidR="00C32A37" w:rsidRPr="00AB4A23">
        <w:t xml:space="preserve"> 1.2 million people lived in</w:t>
      </w:r>
      <w:r w:rsidR="00673061" w:rsidRPr="00AB4A23">
        <w:t xml:space="preserve"> areas </w:t>
      </w:r>
      <w:r w:rsidR="0048194B" w:rsidRPr="00AB4A23">
        <w:t>non-enumerated</w:t>
      </w:r>
      <w:r w:rsidR="00673061" w:rsidRPr="00AB4A23">
        <w:t xml:space="preserve"> for security reasons</w:t>
      </w:r>
      <w:r w:rsidR="0048194B" w:rsidRPr="00AB4A23">
        <w:t xml:space="preserve"> during the 1983 and 2014 censuses</w:t>
      </w:r>
      <w:r w:rsidR="0072553C" w:rsidRPr="00AB4A23">
        <w:t xml:space="preserve"> (</w:t>
      </w:r>
      <w:r w:rsidR="00482667" w:rsidRPr="00AB4A23">
        <w:t>Census Division</w:t>
      </w:r>
      <w:r w:rsidR="009027C0" w:rsidRPr="00AB4A23">
        <w:t>, Immigration and Manpower Department</w:t>
      </w:r>
      <w:r w:rsidR="002A0B21" w:rsidRPr="00AB4A23">
        <w:t>,</w:t>
      </w:r>
      <w:r w:rsidR="00482667" w:rsidRPr="00AB4A23">
        <w:t xml:space="preserve"> </w:t>
      </w:r>
      <w:r w:rsidR="00E016E8" w:rsidRPr="00AB4A23">
        <w:t xml:space="preserve">Ministry of Home and Religious Affairs </w:t>
      </w:r>
      <w:r w:rsidR="00482667" w:rsidRPr="00AB4A23">
        <w:t xml:space="preserve">1986; Ministry of Immigration </w:t>
      </w:r>
      <w:r w:rsidR="0072553C" w:rsidRPr="00AB4A23">
        <w:t>and Population</w:t>
      </w:r>
      <w:r w:rsidR="002A0B21" w:rsidRPr="00AB4A23">
        <w:t>, Department of Population,</w:t>
      </w:r>
      <w:r w:rsidR="0072553C" w:rsidRPr="00AB4A23">
        <w:t xml:space="preserve"> 2015)</w:t>
      </w:r>
      <w:r w:rsidR="00673061" w:rsidRPr="00AB4A23">
        <w:t xml:space="preserve">. The 1991 </w:t>
      </w:r>
      <w:r w:rsidR="5EE91AE5" w:rsidRPr="00AB4A23">
        <w:t>Population Change and Fertility Survey</w:t>
      </w:r>
      <w:r w:rsidR="00673061" w:rsidRPr="00AB4A23">
        <w:t xml:space="preserve"> identifies several sampling limitations arising from state official</w:t>
      </w:r>
      <w:r w:rsidR="009027C0" w:rsidRPr="00AB4A23">
        <w:t>s’</w:t>
      </w:r>
      <w:r w:rsidR="00673061" w:rsidRPr="00AB4A23">
        <w:t xml:space="preserve"> ability to exclude townships and villages from the sampling frame, and the subsequent decision not to adjust the sample de</w:t>
      </w:r>
      <w:r w:rsidR="00D2481E" w:rsidRPr="00AB4A23">
        <w:t>sign following these omissions (</w:t>
      </w:r>
      <w:r w:rsidR="00482667" w:rsidRPr="00AB4A23">
        <w:t>Ministry of Immigration and Population</w:t>
      </w:r>
      <w:r w:rsidR="009027C0" w:rsidRPr="00AB4A23">
        <w:t>, Immigration and Population Department</w:t>
      </w:r>
      <w:r w:rsidR="002A0B21" w:rsidRPr="00AB4A23">
        <w:t>,</w:t>
      </w:r>
      <w:r w:rsidR="009027C0" w:rsidRPr="00AB4A23">
        <w:t xml:space="preserve"> </w:t>
      </w:r>
      <w:r w:rsidR="00482667" w:rsidRPr="00AB4A23">
        <w:t>1995</w:t>
      </w:r>
      <w:r w:rsidR="00D2481E" w:rsidRPr="00AB4A23">
        <w:t>)</w:t>
      </w:r>
      <w:r w:rsidR="00673061" w:rsidRPr="00AB4A23">
        <w:t>. The DHS data</w:t>
      </w:r>
      <w:r w:rsidR="0048194B" w:rsidRPr="00AB4A23">
        <w:t>,</w:t>
      </w:r>
      <w:r w:rsidR="00673061" w:rsidRPr="00AB4A23">
        <w:t xml:space="preserve"> </w:t>
      </w:r>
      <w:r w:rsidR="009027C0" w:rsidRPr="00AB4A23">
        <w:t xml:space="preserve">upon </w:t>
      </w:r>
      <w:r w:rsidR="0048194B" w:rsidRPr="00AB4A23">
        <w:t>which</w:t>
      </w:r>
      <w:r w:rsidR="00673061" w:rsidRPr="00AB4A23">
        <w:t xml:space="preserve"> </w:t>
      </w:r>
      <w:r w:rsidR="00E016E8" w:rsidRPr="00AB4A23">
        <w:t xml:space="preserve">our </w:t>
      </w:r>
      <w:r w:rsidR="00673061" w:rsidRPr="00AB4A23">
        <w:t xml:space="preserve">analysis </w:t>
      </w:r>
      <w:r w:rsidR="00E016E8" w:rsidRPr="00AB4A23">
        <w:t xml:space="preserve">in this paper </w:t>
      </w:r>
      <w:r w:rsidR="00673061" w:rsidRPr="00AB4A23">
        <w:t>is largely based</w:t>
      </w:r>
      <w:r w:rsidR="0048194B" w:rsidRPr="00AB4A23">
        <w:t>,</w:t>
      </w:r>
      <w:r w:rsidR="00673061" w:rsidRPr="00AB4A23">
        <w:t xml:space="preserve"> includes five clusters that are replacements for areas deemed insecur</w:t>
      </w:r>
      <w:r w:rsidR="00D2481E" w:rsidRPr="00AB4A23">
        <w:t>e during survey implementation (</w:t>
      </w:r>
      <w:r w:rsidR="00146433" w:rsidRPr="00AB4A23">
        <w:t xml:space="preserve">Ministry of Health and Sports </w:t>
      </w:r>
      <w:r w:rsidR="002A0B21" w:rsidRPr="00AB4A23">
        <w:t>&amp;</w:t>
      </w:r>
      <w:r w:rsidR="00146433" w:rsidRPr="00AB4A23">
        <w:t xml:space="preserve"> ICF</w:t>
      </w:r>
      <w:r w:rsidR="002A0B21" w:rsidRPr="00AB4A23">
        <w:t>,</w:t>
      </w:r>
      <w:r w:rsidR="00D2481E" w:rsidRPr="00AB4A23">
        <w:t xml:space="preserve"> 2017)</w:t>
      </w:r>
      <w:r w:rsidR="00673061" w:rsidRPr="00AB4A23">
        <w:t>.</w:t>
      </w:r>
      <w:r w:rsidR="00DA2600" w:rsidRPr="00AB4A23">
        <w:t xml:space="preserve"> </w:t>
      </w:r>
      <w:r w:rsidR="00372EC4" w:rsidRPr="00AB4A23">
        <w:t>Adjusting the sample to reflect these limitations was not possible because information is not available on which townships or clusters were excluded or replaced.</w:t>
      </w:r>
      <w:r w:rsidR="008F10FC" w:rsidRPr="00AB4A23">
        <w:t xml:space="preserve"> Data limitations also prohibited us from including time-varying information about an individual’s education and employment status at the time of marriage, which would have enhanced our understanding of how these </w:t>
      </w:r>
      <w:r w:rsidR="00E016E8" w:rsidRPr="00AB4A23">
        <w:t>variables</w:t>
      </w:r>
      <w:r w:rsidR="008F10FC" w:rsidRPr="00AB4A23">
        <w:t xml:space="preserve"> affect individual’s entry into marriage at the time of marriage.</w:t>
      </w:r>
    </w:p>
    <w:p w14:paraId="7082A8A9" w14:textId="47703953" w:rsidR="001D3EB5" w:rsidRPr="00AB4A23" w:rsidRDefault="001D3EB5" w:rsidP="0AA2609C">
      <w:pPr>
        <w:pStyle w:val="Paragraph"/>
        <w:spacing w:before="0"/>
        <w:ind w:firstLine="720"/>
      </w:pPr>
      <w:r w:rsidRPr="00AB4A23">
        <w:t xml:space="preserve">In addition to the data limitations caused by ongoing conflict in Myanmar, we must consider the potential impact of conflict exposure on marriage. </w:t>
      </w:r>
      <w:r w:rsidR="00CE28C0" w:rsidRPr="00AB4A23">
        <w:t>C</w:t>
      </w:r>
      <w:r w:rsidR="007B2297" w:rsidRPr="00AB4A23">
        <w:t xml:space="preserve">hanging marriage patterns </w:t>
      </w:r>
      <w:r w:rsidR="007B2297" w:rsidRPr="00AB4A23">
        <w:lastRenderedPageBreak/>
        <w:t xml:space="preserve">have been identified as a possible demographic response to conflict </w:t>
      </w:r>
      <w:r w:rsidR="009027C0" w:rsidRPr="00AB4A23">
        <w:t>(</w:t>
      </w:r>
      <w:r w:rsidR="007B2297" w:rsidRPr="00AB4A23">
        <w:t>Hill</w:t>
      </w:r>
      <w:r w:rsidR="002A0B21" w:rsidRPr="00AB4A23">
        <w:t>, 2004;</w:t>
      </w:r>
      <w:r w:rsidR="007B2297" w:rsidRPr="00AB4A23">
        <w:t xml:space="preserve"> </w:t>
      </w:r>
      <w:proofErr w:type="spellStart"/>
      <w:r w:rsidR="007B2297" w:rsidRPr="00AB4A23">
        <w:t>Fargues</w:t>
      </w:r>
      <w:proofErr w:type="spellEnd"/>
      <w:r w:rsidR="002A0B21" w:rsidRPr="00AB4A23">
        <w:t>, 2000;</w:t>
      </w:r>
      <w:r w:rsidR="007B2297" w:rsidRPr="00AB4A23">
        <w:t xml:space="preserve"> </w:t>
      </w:r>
      <w:proofErr w:type="spellStart"/>
      <w:r w:rsidR="007B2297" w:rsidRPr="00AB4A23">
        <w:t>Jayaraman</w:t>
      </w:r>
      <w:proofErr w:type="spellEnd"/>
      <w:r w:rsidR="007B2297" w:rsidRPr="00AB4A23">
        <w:t xml:space="preserve"> </w:t>
      </w:r>
      <w:r w:rsidR="002A0B21" w:rsidRPr="00AB4A23">
        <w:t>&amp;</w:t>
      </w:r>
      <w:r w:rsidR="007B2297" w:rsidRPr="00AB4A23">
        <w:t xml:space="preserve"> </w:t>
      </w:r>
      <w:proofErr w:type="spellStart"/>
      <w:r w:rsidR="007B2297" w:rsidRPr="00AB4A23">
        <w:t>Gebreselassie</w:t>
      </w:r>
      <w:proofErr w:type="spellEnd"/>
      <w:r w:rsidR="002A0B21" w:rsidRPr="00AB4A23">
        <w:t>,</w:t>
      </w:r>
      <w:r w:rsidR="007B2297" w:rsidRPr="00AB4A23">
        <w:t xml:space="preserve"> 2009</w:t>
      </w:r>
      <w:r w:rsidR="009027C0" w:rsidRPr="00AB4A23">
        <w:t>)</w:t>
      </w:r>
      <w:r w:rsidR="007B2297" w:rsidRPr="00AB4A23">
        <w:t>.</w:t>
      </w:r>
      <w:r w:rsidR="00CE28C0" w:rsidRPr="00AB4A23">
        <w:t xml:space="preserve"> We do not explore this relationship in detail in this analysis, but note that areas where conflict is most intense, for example Shan and Rakhine states, have higher proportions of ever</w:t>
      </w:r>
      <w:r w:rsidR="00E016E8" w:rsidRPr="00AB4A23">
        <w:t>-</w:t>
      </w:r>
      <w:r w:rsidR="00CE28C0" w:rsidRPr="00AB4A23">
        <w:t xml:space="preserve">married women, especially among younger age cohorts. Although we see these basic relationships, understanding </w:t>
      </w:r>
      <w:r w:rsidR="009027C0" w:rsidRPr="00AB4A23">
        <w:t xml:space="preserve">whether </w:t>
      </w:r>
      <w:r w:rsidR="00CE28C0" w:rsidRPr="00AB4A23">
        <w:t>the differences are related to conflict exposure requires further analysis.</w:t>
      </w:r>
    </w:p>
    <w:p w14:paraId="433D7BFF" w14:textId="26D041E5" w:rsidR="00B123CD" w:rsidRPr="00AB4A23" w:rsidRDefault="008F10FC" w:rsidP="0AA2609C">
      <w:pPr>
        <w:spacing w:line="480" w:lineRule="auto"/>
      </w:pPr>
      <w:r w:rsidRPr="00AB4A23">
        <w:tab/>
      </w:r>
      <w:r w:rsidR="00C25869" w:rsidRPr="00AB4A23">
        <w:t xml:space="preserve">Despite these data limitations, </w:t>
      </w:r>
      <w:r w:rsidR="00C555A7" w:rsidRPr="00AB4A23">
        <w:t xml:space="preserve">the consistency of trends across data sources and the quality of the data that are available support the existence of a female marriage squeeze disproportionately affecting </w:t>
      </w:r>
      <w:r w:rsidR="00D2481E" w:rsidRPr="00AB4A23">
        <w:t>well-educated</w:t>
      </w:r>
      <w:r w:rsidR="00C555A7" w:rsidRPr="00AB4A23">
        <w:t xml:space="preserve"> and wealthier women in Myanmar. Supplementary reports </w:t>
      </w:r>
      <w:r w:rsidR="00E52E9D" w:rsidRPr="00AB4A23">
        <w:t>and previous research help to demonstrate the similarities between the causes of this marriage squeeze and those found in wealthier Asia</w:t>
      </w:r>
      <w:r w:rsidR="00E016E8" w:rsidRPr="00AB4A23">
        <w:t>n</w:t>
      </w:r>
      <w:r w:rsidR="00E52E9D" w:rsidRPr="00AB4A23">
        <w:t xml:space="preserve"> countries, and provide additional evidence of the </w:t>
      </w:r>
      <w:r w:rsidR="00E016E8" w:rsidRPr="00AB4A23">
        <w:t xml:space="preserve">potential </w:t>
      </w:r>
      <w:r w:rsidR="00E52E9D" w:rsidRPr="00AB4A23">
        <w:t>contribution of excess male emigration and mortality on the marriage squeeze in Myanmar.</w:t>
      </w:r>
    </w:p>
    <w:p w14:paraId="772D559E" w14:textId="17046145" w:rsidR="009027C0" w:rsidRPr="00AB4A23" w:rsidRDefault="009027C0" w:rsidP="0AA2609C">
      <w:pPr>
        <w:pStyle w:val="Paragraph"/>
        <w:spacing w:before="0"/>
        <w:ind w:firstLine="720"/>
      </w:pPr>
      <w:r w:rsidRPr="00AB4A23">
        <w:t xml:space="preserve">At the start of this </w:t>
      </w:r>
      <w:proofErr w:type="gramStart"/>
      <w:r w:rsidRPr="00AB4A23">
        <w:t>paper</w:t>
      </w:r>
      <w:proofErr w:type="gramEnd"/>
      <w:r w:rsidRPr="00AB4A23">
        <w:t xml:space="preserve"> we posited the conundrum that Myanmar’s marriage pattern for women increasingly resembled the patterns of much richer countries in the East and South-east Asian region, whereas the marriage pattern for men </w:t>
      </w:r>
      <w:r w:rsidR="00D4101F" w:rsidRPr="00AB4A23">
        <w:t xml:space="preserve">followed </w:t>
      </w:r>
      <w:r w:rsidRPr="00AB4A23">
        <w:t>countries at a similar level of ec</w:t>
      </w:r>
      <w:r w:rsidR="00D2481E" w:rsidRPr="00AB4A23">
        <w:t>onomic development.</w:t>
      </w:r>
      <w:r w:rsidRPr="00AB4A23">
        <w:t xml:space="preserve"> </w:t>
      </w:r>
      <w:r w:rsidR="006C11A2" w:rsidRPr="00AB4A23">
        <w:t xml:space="preserve">The explanation for this does not </w:t>
      </w:r>
      <w:r w:rsidR="008424A7" w:rsidRPr="00AB4A23">
        <w:t>offer</w:t>
      </w:r>
      <w:r w:rsidR="006C11A2" w:rsidRPr="00AB4A23">
        <w:t xml:space="preserve"> a different kind of association between marriage and social and</w:t>
      </w:r>
      <w:r w:rsidR="00D2481E" w:rsidRPr="00AB4A23">
        <w:t xml:space="preserve"> economic variables in Myanmar.</w:t>
      </w:r>
      <w:r w:rsidR="006C11A2" w:rsidRPr="00AB4A23">
        <w:t xml:space="preserve"> Rather it is</w:t>
      </w:r>
      <w:r w:rsidRPr="00AB4A23">
        <w:t xml:space="preserve"> peculiar combination of </w:t>
      </w:r>
      <w:r w:rsidR="006C11A2" w:rsidRPr="00AB4A23">
        <w:t xml:space="preserve">social and economic </w:t>
      </w:r>
      <w:r w:rsidRPr="00AB4A23">
        <w:t>circumstances in Myanmar relati</w:t>
      </w:r>
      <w:r w:rsidR="00D2481E" w:rsidRPr="00AB4A23">
        <w:t>ve to other countries.</w:t>
      </w:r>
      <w:r w:rsidRPr="00AB4A23">
        <w:t xml:space="preserve"> Myanmar’s distinctive characteristics include a more rapid than average improvement in female education, coupled with greater than average excess male mortality in the young adult ages and higher emigration among young men</w:t>
      </w:r>
      <w:r w:rsidR="00046865" w:rsidRPr="00AB4A23">
        <w:t xml:space="preserve"> when compared to women</w:t>
      </w:r>
      <w:r w:rsidR="006C11A2" w:rsidRPr="00AB4A23">
        <w:t>, all of which have occurred over a time period when expectations of women’s role within the household after marriage have not changed greatly.</w:t>
      </w:r>
      <w:r w:rsidR="00D2481E" w:rsidRPr="00AB4A23">
        <w:t xml:space="preserve"> </w:t>
      </w:r>
      <w:r w:rsidRPr="00AB4A23">
        <w:t>The</w:t>
      </w:r>
      <w:r w:rsidR="006C11A2" w:rsidRPr="00AB4A23">
        <w:t xml:space="preserve"> improvement in female education and increased labour force participation have therefore made high status women less willing </w:t>
      </w:r>
      <w:r w:rsidR="006C11A2" w:rsidRPr="00AB4A23">
        <w:lastRenderedPageBreak/>
        <w:t xml:space="preserve">to marry and embrace the double burden of work outside the home, and simultaneously reduced the </w:t>
      </w:r>
      <w:r w:rsidR="00D2481E" w:rsidRPr="00AB4A23">
        <w:t xml:space="preserve">pool of ‘acceptable’ partners. </w:t>
      </w:r>
      <w:r w:rsidR="006C11A2" w:rsidRPr="00AB4A23">
        <w:t>Meanwhile,</w:t>
      </w:r>
      <w:r w:rsidR="00534DDE" w:rsidRPr="00AB4A23">
        <w:t xml:space="preserve"> increasing emigration along with </w:t>
      </w:r>
      <w:r w:rsidR="006C11A2" w:rsidRPr="00AB4A23">
        <w:t xml:space="preserve">excess </w:t>
      </w:r>
      <w:r w:rsidR="00534DDE" w:rsidRPr="00AB4A23">
        <w:t xml:space="preserve">male </w:t>
      </w:r>
      <w:r w:rsidR="006C11A2" w:rsidRPr="00AB4A23">
        <w:t xml:space="preserve">mortality have reduced the supply of men </w:t>
      </w:r>
      <w:r w:rsidR="002E545C" w:rsidRPr="00AB4A23">
        <w:t xml:space="preserve">available </w:t>
      </w:r>
      <w:r w:rsidR="006C11A2" w:rsidRPr="00AB4A23">
        <w:t xml:space="preserve">for marriage and consequently increased their marriage rate. </w:t>
      </w:r>
    </w:p>
    <w:p w14:paraId="732C365F" w14:textId="77777777" w:rsidR="00CF2DCE" w:rsidRPr="00AB4A23" w:rsidRDefault="00CF2DCE" w:rsidP="0AA2609C">
      <w:pPr>
        <w:spacing w:line="480" w:lineRule="auto"/>
      </w:pPr>
    </w:p>
    <w:p w14:paraId="2AE08ECA" w14:textId="016C65DE" w:rsidR="00064A1F" w:rsidRPr="00AB4A23" w:rsidRDefault="00064A1F" w:rsidP="0AA2609C">
      <w:pPr>
        <w:spacing w:line="480" w:lineRule="auto"/>
        <w:rPr>
          <w:b/>
          <w:bCs/>
        </w:rPr>
      </w:pPr>
      <w:r w:rsidRPr="00AB4A23">
        <w:rPr>
          <w:b/>
          <w:bCs/>
        </w:rPr>
        <w:t xml:space="preserve">Declaration of </w:t>
      </w:r>
      <w:r w:rsidR="00164DCE" w:rsidRPr="00AB4A23">
        <w:rPr>
          <w:b/>
          <w:bCs/>
        </w:rPr>
        <w:t>I</w:t>
      </w:r>
      <w:r w:rsidRPr="00AB4A23">
        <w:rPr>
          <w:b/>
          <w:bCs/>
        </w:rPr>
        <w:t>nterests</w:t>
      </w:r>
    </w:p>
    <w:p w14:paraId="70391E78" w14:textId="77777777" w:rsidR="00164DCE" w:rsidRPr="00AB4A23" w:rsidRDefault="00164DCE" w:rsidP="0AA2609C">
      <w:pPr>
        <w:spacing w:line="480" w:lineRule="auto"/>
      </w:pPr>
    </w:p>
    <w:p w14:paraId="43460DFD" w14:textId="1B4E9CA9" w:rsidR="00064A1F" w:rsidRPr="00AB4A23" w:rsidRDefault="00064A1F" w:rsidP="0AA2609C">
      <w:pPr>
        <w:spacing w:line="480" w:lineRule="auto"/>
      </w:pPr>
      <w:r w:rsidRPr="00AB4A23">
        <w:t xml:space="preserve">The authors declare that there </w:t>
      </w:r>
      <w:r w:rsidR="00E016E8" w:rsidRPr="00AB4A23">
        <w:t>are</w:t>
      </w:r>
      <w:r w:rsidRPr="00AB4A23">
        <w:t xml:space="preserve"> no conflict</w:t>
      </w:r>
      <w:r w:rsidR="00E016E8" w:rsidRPr="00AB4A23">
        <w:t>s</w:t>
      </w:r>
      <w:r w:rsidRPr="00AB4A23">
        <w:t xml:space="preserve"> of interest.</w:t>
      </w:r>
    </w:p>
    <w:p w14:paraId="42454200" w14:textId="77777777" w:rsidR="00064A1F" w:rsidRPr="00AB4A23" w:rsidRDefault="00064A1F" w:rsidP="00467B60">
      <w:pPr>
        <w:spacing w:line="480" w:lineRule="auto"/>
        <w:rPr>
          <w:b/>
        </w:rPr>
      </w:pPr>
    </w:p>
    <w:p w14:paraId="6910384A" w14:textId="71937D92" w:rsidR="001D56BF" w:rsidRPr="00AB4A23" w:rsidRDefault="00B123CD" w:rsidP="00467B60">
      <w:pPr>
        <w:spacing w:line="480" w:lineRule="auto"/>
        <w:rPr>
          <w:b/>
        </w:rPr>
      </w:pPr>
      <w:r w:rsidRPr="00AB4A23">
        <w:rPr>
          <w:b/>
        </w:rPr>
        <w:t>References</w:t>
      </w:r>
    </w:p>
    <w:p w14:paraId="73FD9019" w14:textId="7ED20826" w:rsidR="00532482" w:rsidRPr="00AB4A23" w:rsidRDefault="00532482" w:rsidP="00467B60">
      <w:pPr>
        <w:spacing w:line="480" w:lineRule="auto"/>
        <w:ind w:left="709" w:hanging="709"/>
      </w:pPr>
      <w:proofErr w:type="spellStart"/>
      <w:r w:rsidRPr="00AB4A23">
        <w:t>Adebowale</w:t>
      </w:r>
      <w:proofErr w:type="spellEnd"/>
      <w:r w:rsidR="006C11A2" w:rsidRPr="00AB4A23">
        <w:t>,</w:t>
      </w:r>
      <w:r w:rsidRPr="00AB4A23">
        <w:t xml:space="preserve"> S</w:t>
      </w:r>
      <w:r w:rsidR="006C11A2" w:rsidRPr="00AB4A23">
        <w:t>.</w:t>
      </w:r>
      <w:r w:rsidRPr="00AB4A23">
        <w:t>A</w:t>
      </w:r>
      <w:r w:rsidR="006C11A2" w:rsidRPr="00AB4A23">
        <w:t>.</w:t>
      </w:r>
      <w:r w:rsidRPr="00AB4A23">
        <w:t xml:space="preserve">, </w:t>
      </w:r>
      <w:proofErr w:type="spellStart"/>
      <w:r w:rsidRPr="00AB4A23">
        <w:t>Fagbamigbe</w:t>
      </w:r>
      <w:proofErr w:type="spellEnd"/>
      <w:r w:rsidR="006C11A2" w:rsidRPr="00AB4A23">
        <w:t>,</w:t>
      </w:r>
      <w:r w:rsidRPr="00AB4A23">
        <w:t xml:space="preserve"> F</w:t>
      </w:r>
      <w:r w:rsidR="006C11A2" w:rsidRPr="00AB4A23">
        <w:t>.</w:t>
      </w:r>
      <w:r w:rsidRPr="00AB4A23">
        <w:t>A</w:t>
      </w:r>
      <w:r w:rsidR="006C11A2" w:rsidRPr="00AB4A23">
        <w:t>.</w:t>
      </w:r>
      <w:r w:rsidRPr="00AB4A23">
        <w:t xml:space="preserve">, </w:t>
      </w:r>
      <w:proofErr w:type="spellStart"/>
      <w:r w:rsidRPr="00AB4A23">
        <w:t>Okareh</w:t>
      </w:r>
      <w:proofErr w:type="spellEnd"/>
      <w:r w:rsidR="006C11A2" w:rsidRPr="00AB4A23">
        <w:t>,</w:t>
      </w:r>
      <w:r w:rsidRPr="00AB4A23">
        <w:t xml:space="preserve"> T</w:t>
      </w:r>
      <w:r w:rsidR="006C11A2" w:rsidRPr="00AB4A23">
        <w:t>.</w:t>
      </w:r>
      <w:r w:rsidRPr="00AB4A23">
        <w:t>O</w:t>
      </w:r>
      <w:r w:rsidR="006C11A2" w:rsidRPr="00AB4A23">
        <w:t>.</w:t>
      </w:r>
      <w:r w:rsidRPr="00AB4A23">
        <w:t xml:space="preserve"> </w:t>
      </w:r>
      <w:r w:rsidR="00E83192" w:rsidRPr="00AB4A23">
        <w:t>&amp;</w:t>
      </w:r>
      <w:r w:rsidRPr="00AB4A23">
        <w:t xml:space="preserve"> Lawal G</w:t>
      </w:r>
      <w:r w:rsidR="006C11A2" w:rsidRPr="00AB4A23">
        <w:t>.</w:t>
      </w:r>
      <w:r w:rsidRPr="00AB4A23">
        <w:t>O. (2012)</w:t>
      </w:r>
      <w:r w:rsidR="00E83192" w:rsidRPr="00AB4A23">
        <w:t>.</w:t>
      </w:r>
      <w:r w:rsidRPr="00AB4A23">
        <w:t xml:space="preserve"> Survival analysis of timing of first marriage among women of reproductive age in Nigeria: regional differences. </w:t>
      </w:r>
      <w:r w:rsidRPr="00AB4A23">
        <w:rPr>
          <w:i/>
          <w:iCs/>
        </w:rPr>
        <w:t>African Journal of Reproductive Health</w:t>
      </w:r>
      <w:r w:rsidR="00E83192" w:rsidRPr="00AB4A23">
        <w:t>, 16,</w:t>
      </w:r>
      <w:r w:rsidRPr="00AB4A23">
        <w:t xml:space="preserve"> 95-107.</w:t>
      </w:r>
    </w:p>
    <w:p w14:paraId="647C41C5" w14:textId="77777777" w:rsidR="005931CB" w:rsidRPr="00AB4A23" w:rsidRDefault="005931CB" w:rsidP="0AA2609C">
      <w:pPr>
        <w:autoSpaceDE w:val="0"/>
        <w:autoSpaceDN w:val="0"/>
        <w:adjustRightInd w:val="0"/>
        <w:spacing w:line="480" w:lineRule="auto"/>
        <w:rPr>
          <w:rFonts w:eastAsiaTheme="minorEastAsia"/>
          <w:lang w:eastAsia="en-US"/>
        </w:rPr>
      </w:pPr>
      <w:r w:rsidRPr="00AB4A23">
        <w:rPr>
          <w:rFonts w:eastAsiaTheme="minorEastAsia"/>
          <w:lang w:eastAsia="en-US"/>
        </w:rPr>
        <w:t xml:space="preserve">Bennison, J. (1933) </w:t>
      </w:r>
      <w:r w:rsidRPr="00AB4A23">
        <w:rPr>
          <w:rFonts w:eastAsiaTheme="minorEastAsia"/>
          <w:i/>
          <w:iCs/>
          <w:lang w:eastAsia="en-US"/>
        </w:rPr>
        <w:t>Census of India, 1931</w:t>
      </w:r>
      <w:r w:rsidRPr="00AB4A23">
        <w:rPr>
          <w:rFonts w:eastAsiaTheme="minorEastAsia"/>
          <w:lang w:eastAsia="en-US"/>
        </w:rPr>
        <w:t>. Rangoon, Burma: Office of the Superintendent,</w:t>
      </w:r>
    </w:p>
    <w:p w14:paraId="5A8FA506" w14:textId="4A102FD1" w:rsidR="005931CB" w:rsidRPr="00AB4A23" w:rsidRDefault="005931CB" w:rsidP="0AA2609C">
      <w:pPr>
        <w:spacing w:line="480" w:lineRule="auto"/>
        <w:ind w:left="709"/>
        <w:rPr>
          <w:rFonts w:eastAsiaTheme="minorEastAsia"/>
          <w:lang w:eastAsia="en-US"/>
        </w:rPr>
      </w:pPr>
      <w:r w:rsidRPr="00AB4A23">
        <w:rPr>
          <w:rFonts w:eastAsiaTheme="minorHAnsi"/>
          <w:lang w:eastAsia="en-US"/>
        </w:rPr>
        <w:tab/>
      </w:r>
      <w:r w:rsidRPr="00AB4A23">
        <w:rPr>
          <w:rFonts w:eastAsiaTheme="minorEastAsia"/>
          <w:lang w:eastAsia="en-US"/>
        </w:rPr>
        <w:t xml:space="preserve">Government Printing and </w:t>
      </w:r>
      <w:r w:rsidR="5E40304B" w:rsidRPr="00AB4A23">
        <w:rPr>
          <w:rFonts w:eastAsiaTheme="minorEastAsia"/>
          <w:lang w:eastAsia="en-US"/>
        </w:rPr>
        <w:t>Stationery</w:t>
      </w:r>
      <w:r w:rsidRPr="00AB4A23">
        <w:rPr>
          <w:rFonts w:eastAsiaTheme="minorEastAsia"/>
          <w:lang w:eastAsia="en-US"/>
        </w:rPr>
        <w:t>.</w:t>
      </w:r>
    </w:p>
    <w:p w14:paraId="618E10C8" w14:textId="3D827551" w:rsidR="00532482" w:rsidRPr="00AB4A23" w:rsidRDefault="00532482" w:rsidP="009B05A0">
      <w:pPr>
        <w:spacing w:line="480" w:lineRule="auto"/>
        <w:ind w:left="720" w:hanging="720"/>
      </w:pPr>
      <w:r w:rsidRPr="00AB4A23">
        <w:t>Bradburn</w:t>
      </w:r>
      <w:r w:rsidR="006C11A2" w:rsidRPr="00AB4A23">
        <w:t>,</w:t>
      </w:r>
      <w:r w:rsidRPr="00AB4A23">
        <w:t xml:space="preserve"> M</w:t>
      </w:r>
      <w:r w:rsidR="006C11A2" w:rsidRPr="00AB4A23">
        <w:t>.</w:t>
      </w:r>
      <w:r w:rsidRPr="00AB4A23">
        <w:t>J</w:t>
      </w:r>
      <w:r w:rsidR="006C11A2" w:rsidRPr="00AB4A23">
        <w:t>.</w:t>
      </w:r>
      <w:r w:rsidRPr="00AB4A23">
        <w:t>, Clark</w:t>
      </w:r>
      <w:r w:rsidR="006C11A2" w:rsidRPr="00AB4A23">
        <w:t>,</w:t>
      </w:r>
      <w:r w:rsidRPr="00AB4A23">
        <w:t xml:space="preserve"> T</w:t>
      </w:r>
      <w:r w:rsidR="006C11A2" w:rsidRPr="00AB4A23">
        <w:t>.</w:t>
      </w:r>
      <w:r w:rsidRPr="00AB4A23">
        <w:t>G</w:t>
      </w:r>
      <w:r w:rsidR="006C11A2" w:rsidRPr="00AB4A23">
        <w:t>.</w:t>
      </w:r>
      <w:r w:rsidRPr="00AB4A23">
        <w:t>, Love</w:t>
      </w:r>
      <w:r w:rsidR="006C11A2" w:rsidRPr="00AB4A23">
        <w:t>,</w:t>
      </w:r>
      <w:r w:rsidRPr="00AB4A23">
        <w:t xml:space="preserve"> S</w:t>
      </w:r>
      <w:r w:rsidR="006C11A2" w:rsidRPr="00AB4A23">
        <w:t>.</w:t>
      </w:r>
      <w:r w:rsidRPr="00AB4A23">
        <w:t>B</w:t>
      </w:r>
      <w:r w:rsidR="006C11A2" w:rsidRPr="00AB4A23">
        <w:t>.</w:t>
      </w:r>
      <w:r w:rsidRPr="00AB4A23">
        <w:t xml:space="preserve"> </w:t>
      </w:r>
      <w:r w:rsidR="00E83192" w:rsidRPr="00AB4A23">
        <w:t>&amp;</w:t>
      </w:r>
      <w:r w:rsidRPr="00AB4A23">
        <w:t xml:space="preserve"> Altman</w:t>
      </w:r>
      <w:r w:rsidR="006C11A2" w:rsidRPr="00AB4A23">
        <w:t>,</w:t>
      </w:r>
      <w:r w:rsidRPr="00AB4A23">
        <w:t xml:space="preserve"> D</w:t>
      </w:r>
      <w:r w:rsidR="006C11A2" w:rsidRPr="00AB4A23">
        <w:t>.</w:t>
      </w:r>
      <w:r w:rsidRPr="00AB4A23">
        <w:t>G. (2003)</w:t>
      </w:r>
      <w:r w:rsidR="00E83192" w:rsidRPr="00AB4A23">
        <w:t>.</w:t>
      </w:r>
      <w:r w:rsidRPr="00AB4A23">
        <w:t xml:space="preserve"> Survival analysis part II: multivariate data analysis – an introduction to concepts and methods. </w:t>
      </w:r>
      <w:r w:rsidRPr="00AB4A23">
        <w:rPr>
          <w:i/>
          <w:iCs/>
        </w:rPr>
        <w:t>British Journal of Cancer</w:t>
      </w:r>
      <w:r w:rsidR="00E016E8" w:rsidRPr="00AB4A23">
        <w:t>,</w:t>
      </w:r>
      <w:r w:rsidR="00E83192" w:rsidRPr="00AB4A23">
        <w:t xml:space="preserve"> 89,</w:t>
      </w:r>
      <w:r w:rsidRPr="00AB4A23">
        <w:t xml:space="preserve"> 431-436.</w:t>
      </w:r>
    </w:p>
    <w:p w14:paraId="2226B2AF" w14:textId="24877AB5" w:rsidR="00532482" w:rsidRPr="00AB4A23" w:rsidRDefault="00532482">
      <w:pPr>
        <w:spacing w:line="480" w:lineRule="auto"/>
        <w:ind w:left="720" w:hanging="720"/>
      </w:pPr>
      <w:r w:rsidRPr="00AB4A23">
        <w:t>Census Division, Immigration and Manpower Department</w:t>
      </w:r>
      <w:r w:rsidR="00E83192" w:rsidRPr="00AB4A23">
        <w:t>.</w:t>
      </w:r>
      <w:r w:rsidRPr="00AB4A23">
        <w:t xml:space="preserve"> (1986)</w:t>
      </w:r>
      <w:r w:rsidR="00E83192" w:rsidRPr="00AB4A23">
        <w:t>.</w:t>
      </w:r>
      <w:r w:rsidRPr="00AB4A23">
        <w:t xml:space="preserve"> </w:t>
      </w:r>
      <w:r w:rsidRPr="00AB4A23">
        <w:rPr>
          <w:i/>
        </w:rPr>
        <w:t>Burma: 1983 Population Census</w:t>
      </w:r>
      <w:r w:rsidR="00104E17" w:rsidRPr="00AB4A23">
        <w:t>. Rangoon:</w:t>
      </w:r>
      <w:r w:rsidRPr="00AB4A23">
        <w:t xml:space="preserve"> </w:t>
      </w:r>
      <w:r w:rsidR="006C11A2" w:rsidRPr="00AB4A23">
        <w:t>Census Division, Immigration and Manpower Department.</w:t>
      </w:r>
    </w:p>
    <w:p w14:paraId="3F3A5ECE" w14:textId="27197D5B" w:rsidR="00FA351A" w:rsidRPr="00AB4A23" w:rsidRDefault="00FA351A" w:rsidP="00FA351A">
      <w:pPr>
        <w:spacing w:line="480" w:lineRule="auto"/>
        <w:ind w:left="720" w:hanging="720"/>
      </w:pPr>
      <w:r w:rsidRPr="00AB4A23">
        <w:t xml:space="preserve">Choe, M. </w:t>
      </w:r>
      <w:r w:rsidR="00E83192" w:rsidRPr="00AB4A23">
        <w:t>&amp;</w:t>
      </w:r>
      <w:r w:rsidRPr="00AB4A23">
        <w:t xml:space="preserve"> </w:t>
      </w:r>
      <w:proofErr w:type="spellStart"/>
      <w:r w:rsidRPr="00AB4A23">
        <w:t>Retherford</w:t>
      </w:r>
      <w:proofErr w:type="spellEnd"/>
      <w:r w:rsidRPr="00AB4A23">
        <w:t>, R.D. (2009)</w:t>
      </w:r>
      <w:r w:rsidR="00E83192" w:rsidRPr="00AB4A23">
        <w:t>.</w:t>
      </w:r>
      <w:r w:rsidRPr="00AB4A23">
        <w:t xml:space="preserve"> The contribution of education to South Korea’s fertility decline to ‘lowest low’ level. </w:t>
      </w:r>
      <w:r w:rsidRPr="00AB4A23">
        <w:rPr>
          <w:i/>
          <w:iCs/>
        </w:rPr>
        <w:t>Asian Population Studies</w:t>
      </w:r>
      <w:r w:rsidR="00E83192" w:rsidRPr="00AB4A23">
        <w:t>, 5,</w:t>
      </w:r>
      <w:r w:rsidRPr="00AB4A23">
        <w:t xml:space="preserve"> 267-288.</w:t>
      </w:r>
    </w:p>
    <w:p w14:paraId="41A197E0" w14:textId="0FFDA2DD" w:rsidR="00532482" w:rsidRPr="00AB4A23" w:rsidRDefault="00532482">
      <w:pPr>
        <w:spacing w:line="480" w:lineRule="auto"/>
        <w:ind w:left="720" w:hanging="720"/>
      </w:pPr>
      <w:r w:rsidRPr="00AB4A23">
        <w:t>Cox</w:t>
      </w:r>
      <w:r w:rsidR="006C11A2" w:rsidRPr="00AB4A23">
        <w:t>,</w:t>
      </w:r>
      <w:r w:rsidRPr="00AB4A23">
        <w:t xml:space="preserve"> D</w:t>
      </w:r>
      <w:r w:rsidR="006C11A2" w:rsidRPr="00AB4A23">
        <w:t>.</w:t>
      </w:r>
      <w:r w:rsidRPr="00AB4A23">
        <w:t>R</w:t>
      </w:r>
      <w:r w:rsidR="006C11A2" w:rsidRPr="00AB4A23">
        <w:t>.</w:t>
      </w:r>
      <w:r w:rsidRPr="00AB4A23">
        <w:t xml:space="preserve"> </w:t>
      </w:r>
      <w:r w:rsidR="00E83192" w:rsidRPr="00AB4A23">
        <w:t>&amp;</w:t>
      </w:r>
      <w:r w:rsidRPr="00AB4A23">
        <w:t xml:space="preserve"> Oakes</w:t>
      </w:r>
      <w:r w:rsidR="006C11A2" w:rsidRPr="00AB4A23">
        <w:t>,</w:t>
      </w:r>
      <w:r w:rsidRPr="00AB4A23">
        <w:t xml:space="preserve"> D. (1984)</w:t>
      </w:r>
      <w:r w:rsidR="00E83192" w:rsidRPr="00AB4A23">
        <w:t>.</w:t>
      </w:r>
      <w:r w:rsidR="006C11A2" w:rsidRPr="00AB4A23">
        <w:t xml:space="preserve"> </w:t>
      </w:r>
      <w:r w:rsidRPr="00AB4A23">
        <w:rPr>
          <w:i/>
        </w:rPr>
        <w:t>Analysis of Survival Data</w:t>
      </w:r>
      <w:r w:rsidRPr="00AB4A23">
        <w:t>. London: Chapman and Hall.</w:t>
      </w:r>
    </w:p>
    <w:p w14:paraId="77D212FF" w14:textId="79412417" w:rsidR="00E66AA6" w:rsidRPr="00AB4A23" w:rsidRDefault="00E66AA6">
      <w:pPr>
        <w:spacing w:line="480" w:lineRule="auto"/>
        <w:ind w:left="720" w:hanging="720"/>
      </w:pPr>
      <w:r w:rsidRPr="00AB4A23">
        <w:lastRenderedPageBreak/>
        <w:t>Department of Population, Ministry of Immigration and Population</w:t>
      </w:r>
      <w:r w:rsidR="000F4DCD" w:rsidRPr="00AB4A23">
        <w:t>.</w:t>
      </w:r>
      <w:r w:rsidRPr="00AB4A23">
        <w:t xml:space="preserve"> (2015) </w:t>
      </w:r>
      <w:r w:rsidRPr="00AB4A23">
        <w:rPr>
          <w:i/>
          <w:iCs/>
        </w:rPr>
        <w:t>The 2014 Myanmar Population and Housing Census: The Union Report</w:t>
      </w:r>
      <w:r w:rsidRPr="00AB4A23">
        <w:t xml:space="preserve">. Nay </w:t>
      </w:r>
      <w:proofErr w:type="spellStart"/>
      <w:r w:rsidRPr="00AB4A23">
        <w:t>Pyi</w:t>
      </w:r>
      <w:proofErr w:type="spellEnd"/>
      <w:r w:rsidRPr="00AB4A23">
        <w:t xml:space="preserve"> Taw, Myanmar: Ministry of Immigration and Population.</w:t>
      </w:r>
    </w:p>
    <w:p w14:paraId="5AF24BE0" w14:textId="33E23FA2" w:rsidR="00532482" w:rsidRPr="00AB4A23" w:rsidRDefault="006C11A2">
      <w:pPr>
        <w:spacing w:line="480" w:lineRule="auto"/>
        <w:ind w:left="720" w:hanging="720"/>
      </w:pPr>
      <w:r w:rsidRPr="00AB4A23">
        <w:t>Department of Population, Ministry of Labour, Immigration and Population</w:t>
      </w:r>
      <w:r w:rsidR="00E83192" w:rsidRPr="00AB4A23">
        <w:t>.</w:t>
      </w:r>
      <w:r w:rsidR="00532482" w:rsidRPr="00AB4A23">
        <w:t xml:space="preserve"> (2016). </w:t>
      </w:r>
      <w:r w:rsidR="00532482" w:rsidRPr="00AB4A23">
        <w:rPr>
          <w:i/>
          <w:iCs/>
        </w:rPr>
        <w:t>The 2014 Myanmar Population and Housing Census: Thematic Report on Mortality</w:t>
      </w:r>
      <w:r w:rsidR="00104E17" w:rsidRPr="00AB4A23">
        <w:t xml:space="preserve">. Nay </w:t>
      </w:r>
      <w:proofErr w:type="spellStart"/>
      <w:r w:rsidR="00104E17" w:rsidRPr="00AB4A23">
        <w:t>Pyi</w:t>
      </w:r>
      <w:proofErr w:type="spellEnd"/>
      <w:r w:rsidR="00104E17" w:rsidRPr="00AB4A23">
        <w:t xml:space="preserve"> Taw:</w:t>
      </w:r>
      <w:r w:rsidR="00532482" w:rsidRPr="00AB4A23">
        <w:t xml:space="preserve"> Department of Population, Ministry of Labour, Immigration and Population.</w:t>
      </w:r>
    </w:p>
    <w:p w14:paraId="22101C5F" w14:textId="2B5CCB72" w:rsidR="00532482" w:rsidRPr="00AB4A23" w:rsidRDefault="00532482" w:rsidP="0AA2609C">
      <w:pPr>
        <w:spacing w:line="480" w:lineRule="auto"/>
        <w:ind w:left="720" w:hanging="720"/>
      </w:pPr>
      <w:proofErr w:type="spellStart"/>
      <w:r w:rsidRPr="00AB4A23">
        <w:t>Fargues</w:t>
      </w:r>
      <w:proofErr w:type="spellEnd"/>
      <w:r w:rsidR="006C11A2" w:rsidRPr="00AB4A23">
        <w:t>,</w:t>
      </w:r>
      <w:r w:rsidRPr="00AB4A23">
        <w:t xml:space="preserve"> P. (2000)</w:t>
      </w:r>
      <w:r w:rsidR="00E83192" w:rsidRPr="00AB4A23">
        <w:t>.</w:t>
      </w:r>
      <w:r w:rsidRPr="00AB4A23">
        <w:t xml:space="preserve"> Protracted national conflict and fertility change: Palestinians and Israelis in the twentieth century. </w:t>
      </w:r>
      <w:r w:rsidRPr="00AB4A23">
        <w:rPr>
          <w:i/>
          <w:iCs/>
        </w:rPr>
        <w:t>Population and Development Review</w:t>
      </w:r>
      <w:r w:rsidR="00E83192" w:rsidRPr="00AB4A23">
        <w:t>, 26,</w:t>
      </w:r>
      <w:r w:rsidRPr="00AB4A23">
        <w:t xml:space="preserve"> 441-482.</w:t>
      </w:r>
    </w:p>
    <w:p w14:paraId="5F1D3802" w14:textId="61BEF563" w:rsidR="00532482" w:rsidRPr="00AB4A23" w:rsidRDefault="00532482" w:rsidP="00467B60">
      <w:pPr>
        <w:spacing w:line="480" w:lineRule="auto"/>
        <w:ind w:left="720" w:hanging="720"/>
      </w:pPr>
      <w:r w:rsidRPr="00AB4A23">
        <w:t>Gender Equality Network</w:t>
      </w:r>
      <w:r w:rsidR="00E83192" w:rsidRPr="00AB4A23">
        <w:t>.</w:t>
      </w:r>
      <w:r w:rsidRPr="00AB4A23">
        <w:t xml:space="preserve"> (2018)</w:t>
      </w:r>
      <w:r w:rsidR="00E83192" w:rsidRPr="00AB4A23">
        <w:t>.</w:t>
      </w:r>
      <w:r w:rsidRPr="00AB4A23">
        <w:t xml:space="preserve"> </w:t>
      </w:r>
      <w:r w:rsidRPr="00AB4A23">
        <w:rPr>
          <w:i/>
        </w:rPr>
        <w:t xml:space="preserve">Raising the </w:t>
      </w:r>
      <w:r w:rsidR="006C11A2" w:rsidRPr="00AB4A23">
        <w:rPr>
          <w:i/>
        </w:rPr>
        <w:t>C</w:t>
      </w:r>
      <w:r w:rsidRPr="00AB4A23">
        <w:rPr>
          <w:i/>
        </w:rPr>
        <w:t xml:space="preserve">urtain: Cultural </w:t>
      </w:r>
      <w:r w:rsidR="006C11A2" w:rsidRPr="00AB4A23">
        <w:rPr>
          <w:i/>
        </w:rPr>
        <w:t>N</w:t>
      </w:r>
      <w:r w:rsidRPr="00AB4A23">
        <w:rPr>
          <w:i/>
        </w:rPr>
        <w:t xml:space="preserve">orms, </w:t>
      </w:r>
      <w:r w:rsidR="006C11A2" w:rsidRPr="00AB4A23">
        <w:rPr>
          <w:i/>
        </w:rPr>
        <w:t>S</w:t>
      </w:r>
      <w:r w:rsidRPr="00AB4A23">
        <w:rPr>
          <w:i/>
        </w:rPr>
        <w:t xml:space="preserve">ocial </w:t>
      </w:r>
      <w:r w:rsidR="006C11A2" w:rsidRPr="00AB4A23">
        <w:rPr>
          <w:i/>
        </w:rPr>
        <w:t>P</w:t>
      </w:r>
      <w:r w:rsidRPr="00AB4A23">
        <w:rPr>
          <w:i/>
        </w:rPr>
        <w:t xml:space="preserve">ractices and </w:t>
      </w:r>
      <w:r w:rsidR="006C11A2" w:rsidRPr="00AB4A23">
        <w:rPr>
          <w:i/>
        </w:rPr>
        <w:t>G</w:t>
      </w:r>
      <w:r w:rsidRPr="00AB4A23">
        <w:rPr>
          <w:i/>
        </w:rPr>
        <w:t xml:space="preserve">ender </w:t>
      </w:r>
      <w:r w:rsidR="006C11A2" w:rsidRPr="00AB4A23">
        <w:rPr>
          <w:i/>
        </w:rPr>
        <w:t>E</w:t>
      </w:r>
      <w:r w:rsidRPr="00AB4A23">
        <w:rPr>
          <w:i/>
        </w:rPr>
        <w:t>quality in Myanmar</w:t>
      </w:r>
      <w:r w:rsidRPr="00AB4A23">
        <w:t>. Yangon</w:t>
      </w:r>
      <w:r w:rsidR="00104E17" w:rsidRPr="00AB4A23">
        <w:t>:</w:t>
      </w:r>
      <w:r w:rsidRPr="00AB4A23">
        <w:t xml:space="preserve"> Gender Equality Network.</w:t>
      </w:r>
    </w:p>
    <w:p w14:paraId="7EFA9A36" w14:textId="15D0ABF0" w:rsidR="00532482" w:rsidRPr="00AB4A23" w:rsidRDefault="00532482">
      <w:pPr>
        <w:spacing w:line="480" w:lineRule="auto"/>
        <w:ind w:left="720" w:hanging="720"/>
      </w:pPr>
      <w:r w:rsidRPr="00AB4A23">
        <w:t>Goldstein</w:t>
      </w:r>
      <w:r w:rsidR="00FA351A" w:rsidRPr="00AB4A23">
        <w:t>,</w:t>
      </w:r>
      <w:r w:rsidRPr="00AB4A23">
        <w:t xml:space="preserve"> J</w:t>
      </w:r>
      <w:r w:rsidR="00FA351A" w:rsidRPr="00AB4A23">
        <w:t>.</w:t>
      </w:r>
      <w:r w:rsidRPr="00AB4A23">
        <w:t>R</w:t>
      </w:r>
      <w:r w:rsidR="00FA351A" w:rsidRPr="00AB4A23">
        <w:t>.</w:t>
      </w:r>
      <w:r w:rsidRPr="00AB4A23">
        <w:t xml:space="preserve"> </w:t>
      </w:r>
      <w:r w:rsidR="00E83192" w:rsidRPr="00AB4A23">
        <w:t>&amp;</w:t>
      </w:r>
      <w:r w:rsidRPr="00AB4A23">
        <w:t xml:space="preserve"> Kenney</w:t>
      </w:r>
      <w:r w:rsidR="00FA351A" w:rsidRPr="00AB4A23">
        <w:t>,</w:t>
      </w:r>
      <w:r w:rsidRPr="00AB4A23">
        <w:t xml:space="preserve"> C</w:t>
      </w:r>
      <w:r w:rsidR="00FA351A" w:rsidRPr="00AB4A23">
        <w:t>.</w:t>
      </w:r>
      <w:r w:rsidRPr="00AB4A23">
        <w:t>T. (2001)</w:t>
      </w:r>
      <w:r w:rsidR="00E83192" w:rsidRPr="00AB4A23">
        <w:t>.</w:t>
      </w:r>
      <w:r w:rsidRPr="00AB4A23">
        <w:t xml:space="preserve"> Marriage delayed or marriage forgone? New cohort forecasts of first marriage for US women. </w:t>
      </w:r>
      <w:r w:rsidRPr="00AB4A23">
        <w:rPr>
          <w:i/>
          <w:iCs/>
        </w:rPr>
        <w:t>American Sociological Review</w:t>
      </w:r>
      <w:r w:rsidR="00E83192" w:rsidRPr="00AB4A23">
        <w:t>,</w:t>
      </w:r>
      <w:r w:rsidR="00FA351A" w:rsidRPr="00AB4A23">
        <w:t xml:space="preserve"> </w:t>
      </w:r>
      <w:r w:rsidRPr="00AB4A23">
        <w:t>66</w:t>
      </w:r>
      <w:r w:rsidR="00E83192" w:rsidRPr="00AB4A23">
        <w:t>,</w:t>
      </w:r>
      <w:r w:rsidR="00FA351A" w:rsidRPr="00AB4A23">
        <w:t xml:space="preserve"> </w:t>
      </w:r>
      <w:r w:rsidRPr="00AB4A23">
        <w:t>506-519.</w:t>
      </w:r>
    </w:p>
    <w:p w14:paraId="4001D444" w14:textId="2FC4EA0A" w:rsidR="00FA351A" w:rsidRPr="00AB4A23" w:rsidRDefault="00FA351A" w:rsidP="00FA351A">
      <w:pPr>
        <w:spacing w:line="480" w:lineRule="auto"/>
        <w:ind w:left="720" w:hanging="720"/>
      </w:pPr>
      <w:r w:rsidRPr="00AB4A23">
        <w:t>Hill, K. (2004)</w:t>
      </w:r>
      <w:r w:rsidR="00E83192" w:rsidRPr="00AB4A23">
        <w:t>.</w:t>
      </w:r>
      <w:r w:rsidRPr="00AB4A23">
        <w:t xml:space="preserve"> </w:t>
      </w:r>
      <w:r w:rsidRPr="00AB4A23">
        <w:rPr>
          <w:i/>
        </w:rPr>
        <w:t>War, Humanitarian Crises, Population Displacement, and Fertility: a Review of Evidence.</w:t>
      </w:r>
      <w:r w:rsidRPr="00AB4A23">
        <w:t xml:space="preserve"> Washington, DC, National Academies Press.</w:t>
      </w:r>
    </w:p>
    <w:p w14:paraId="42F53168" w14:textId="0D78DE1E" w:rsidR="00FA351A" w:rsidRPr="00AB4A23" w:rsidRDefault="00FA351A" w:rsidP="00FA351A">
      <w:pPr>
        <w:spacing w:line="480" w:lineRule="auto"/>
        <w:ind w:left="720" w:hanging="720"/>
      </w:pPr>
      <w:r w:rsidRPr="00AB4A23">
        <w:t xml:space="preserve">Holland Jones, J. </w:t>
      </w:r>
      <w:r w:rsidR="00E83192" w:rsidRPr="00AB4A23">
        <w:t>&amp;</w:t>
      </w:r>
      <w:r w:rsidRPr="00AB4A23">
        <w:t xml:space="preserve"> Ferguson, B. (2006)</w:t>
      </w:r>
      <w:r w:rsidR="00E83192" w:rsidRPr="00AB4A23">
        <w:t>.</w:t>
      </w:r>
      <w:r w:rsidRPr="00AB4A23">
        <w:t xml:space="preserve"> The marriage squeeze in Colombia, 1973-2005: the role of excess male death. </w:t>
      </w:r>
      <w:r w:rsidRPr="00AB4A23">
        <w:rPr>
          <w:i/>
          <w:iCs/>
        </w:rPr>
        <w:t>Social Biology</w:t>
      </w:r>
      <w:r w:rsidR="00E83192" w:rsidRPr="00AB4A23">
        <w:t>, 53,</w:t>
      </w:r>
      <w:r w:rsidRPr="00AB4A23">
        <w:t xml:space="preserve"> 140-151.</w:t>
      </w:r>
    </w:p>
    <w:p w14:paraId="1621C1D8" w14:textId="3A392DBC" w:rsidR="00FA351A" w:rsidRPr="00AB4A23" w:rsidRDefault="00FA351A" w:rsidP="00FA351A">
      <w:pPr>
        <w:spacing w:line="480" w:lineRule="auto"/>
        <w:ind w:left="720" w:hanging="720"/>
      </w:pPr>
      <w:proofErr w:type="spellStart"/>
      <w:r w:rsidRPr="00AB4A23">
        <w:t>Ikamari</w:t>
      </w:r>
      <w:proofErr w:type="spellEnd"/>
      <w:r w:rsidRPr="00AB4A23">
        <w:t xml:space="preserve">, L.D.E. (2005). The effect of education on the timing of marriage in Kenya. </w:t>
      </w:r>
      <w:r w:rsidRPr="00AB4A23">
        <w:rPr>
          <w:i/>
          <w:iCs/>
        </w:rPr>
        <w:t>Demographic Research</w:t>
      </w:r>
      <w:r w:rsidR="00E83192" w:rsidRPr="00AB4A23">
        <w:t>, 12,</w:t>
      </w:r>
      <w:r w:rsidRPr="00AB4A23">
        <w:t xml:space="preserve"> 1-28.</w:t>
      </w:r>
    </w:p>
    <w:p w14:paraId="1B1B76A5" w14:textId="06E82FA1" w:rsidR="00521060" w:rsidRPr="00AB4A23" w:rsidRDefault="00521060" w:rsidP="00467B60">
      <w:pPr>
        <w:spacing w:line="480" w:lineRule="auto"/>
        <w:ind w:left="720" w:hanging="720"/>
      </w:pPr>
      <w:r w:rsidRPr="00AB4A23">
        <w:t xml:space="preserve">International Labour Organization. (2019) ILOSTAT. Geneva: International Labour Organization. Retrieved from </w:t>
      </w:r>
      <w:hyperlink r:id="rId10" w:history="1">
        <w:r w:rsidRPr="00AB4A23">
          <w:rPr>
            <w:rStyle w:val="Hyperlink"/>
          </w:rPr>
          <w:t>https://ilostat.ilo.org/data/</w:t>
        </w:r>
      </w:hyperlink>
      <w:r w:rsidRPr="00AB4A23">
        <w:t xml:space="preserve">. </w:t>
      </w:r>
    </w:p>
    <w:p w14:paraId="626628E5" w14:textId="0A7A910E" w:rsidR="00FA351A" w:rsidRPr="00AB4A23" w:rsidRDefault="00FA351A" w:rsidP="00467B60">
      <w:pPr>
        <w:spacing w:line="480" w:lineRule="auto"/>
        <w:ind w:left="720" w:hanging="720"/>
      </w:pPr>
      <w:r w:rsidRPr="00AB4A23">
        <w:t>International Organisation for Migration</w:t>
      </w:r>
      <w:r w:rsidR="00E83192" w:rsidRPr="00AB4A23">
        <w:t>.</w:t>
      </w:r>
      <w:r w:rsidRPr="00AB4A23">
        <w:t xml:space="preserve"> (2016). </w:t>
      </w:r>
      <w:r w:rsidRPr="00AB4A23">
        <w:rPr>
          <w:i/>
        </w:rPr>
        <w:t>Migrants from Myanmar and Risks Faced Abroad</w:t>
      </w:r>
      <w:r w:rsidRPr="00AB4A23">
        <w:t>. Geneva</w:t>
      </w:r>
      <w:r w:rsidR="00104E17" w:rsidRPr="00AB4A23">
        <w:t>:</w:t>
      </w:r>
      <w:r w:rsidRPr="00AB4A23">
        <w:t xml:space="preserve"> International Organisation for Migration.</w:t>
      </w:r>
    </w:p>
    <w:p w14:paraId="6EFB02A0" w14:textId="67C25967" w:rsidR="00532482" w:rsidRPr="00AB4A23" w:rsidRDefault="00532482" w:rsidP="00467B60">
      <w:pPr>
        <w:spacing w:line="480" w:lineRule="auto"/>
        <w:ind w:left="720" w:hanging="720"/>
      </w:pPr>
      <w:r w:rsidRPr="00AB4A23">
        <w:t>Jayaraman</w:t>
      </w:r>
      <w:r w:rsidR="00FA351A" w:rsidRPr="00AB4A23">
        <w:t>,</w:t>
      </w:r>
      <w:r w:rsidRPr="00AB4A23">
        <w:t xml:space="preserve"> A</w:t>
      </w:r>
      <w:r w:rsidR="00FA351A" w:rsidRPr="00AB4A23">
        <w:t>.</w:t>
      </w:r>
      <w:r w:rsidRPr="00AB4A23">
        <w:t xml:space="preserve"> </w:t>
      </w:r>
      <w:r w:rsidR="00E83192" w:rsidRPr="00AB4A23">
        <w:t>&amp;</w:t>
      </w:r>
      <w:r w:rsidR="00FA351A" w:rsidRPr="00AB4A23">
        <w:t xml:space="preserve"> </w:t>
      </w:r>
      <w:proofErr w:type="spellStart"/>
      <w:r w:rsidR="00FA351A" w:rsidRPr="00AB4A23">
        <w:t>G</w:t>
      </w:r>
      <w:r w:rsidRPr="00AB4A23">
        <w:t>ebreselassie</w:t>
      </w:r>
      <w:proofErr w:type="spellEnd"/>
      <w:r w:rsidR="00FA351A" w:rsidRPr="00AB4A23">
        <w:t>, T.</w:t>
      </w:r>
      <w:r w:rsidRPr="00AB4A23">
        <w:t xml:space="preserve"> (2009)</w:t>
      </w:r>
      <w:r w:rsidR="00E83192" w:rsidRPr="00AB4A23">
        <w:t>.</w:t>
      </w:r>
      <w:r w:rsidRPr="00AB4A23">
        <w:t xml:space="preserve"> Effect of conflict on age at marriage and age at first birth in Rwanda. </w:t>
      </w:r>
      <w:r w:rsidRPr="00AB4A23">
        <w:rPr>
          <w:i/>
          <w:iCs/>
        </w:rPr>
        <w:t xml:space="preserve">Population Research </w:t>
      </w:r>
      <w:r w:rsidR="00FA351A" w:rsidRPr="00AB4A23">
        <w:rPr>
          <w:i/>
          <w:iCs/>
        </w:rPr>
        <w:t xml:space="preserve">and </w:t>
      </w:r>
      <w:r w:rsidRPr="00AB4A23">
        <w:rPr>
          <w:i/>
          <w:iCs/>
        </w:rPr>
        <w:t>Policy Review</w:t>
      </w:r>
      <w:r w:rsidR="00E83192" w:rsidRPr="00AB4A23">
        <w:t>,</w:t>
      </w:r>
      <w:r w:rsidR="00FA351A" w:rsidRPr="00AB4A23">
        <w:t xml:space="preserve"> </w:t>
      </w:r>
      <w:r w:rsidR="00E83192" w:rsidRPr="00AB4A23">
        <w:t>28,</w:t>
      </w:r>
      <w:r w:rsidRPr="00AB4A23">
        <w:t xml:space="preserve"> 551-567.</w:t>
      </w:r>
    </w:p>
    <w:p w14:paraId="2EA09B74" w14:textId="631CA167" w:rsidR="00532482" w:rsidRPr="00AB4A23" w:rsidRDefault="00532482" w:rsidP="00467B60">
      <w:pPr>
        <w:spacing w:line="480" w:lineRule="auto"/>
        <w:ind w:left="720" w:hanging="720"/>
      </w:pPr>
      <w:r w:rsidRPr="00AB4A23">
        <w:lastRenderedPageBreak/>
        <w:t>Jones, G</w:t>
      </w:r>
      <w:r w:rsidR="00FA351A" w:rsidRPr="00AB4A23">
        <w:t>.</w:t>
      </w:r>
      <w:r w:rsidRPr="00AB4A23">
        <w:t>W. (2004)</w:t>
      </w:r>
      <w:r w:rsidR="00E83192" w:rsidRPr="00AB4A23">
        <w:t>.</w:t>
      </w:r>
      <w:r w:rsidRPr="00AB4A23">
        <w:t xml:space="preserve"> Not </w:t>
      </w:r>
      <w:r w:rsidR="00FA351A" w:rsidRPr="00AB4A23">
        <w:t>‘</w:t>
      </w:r>
      <w:r w:rsidRPr="00AB4A23">
        <w:t>when to marry</w:t>
      </w:r>
      <w:r w:rsidR="00FA351A" w:rsidRPr="00AB4A23">
        <w:t>’</w:t>
      </w:r>
      <w:r w:rsidRPr="00AB4A23">
        <w:t xml:space="preserve"> but </w:t>
      </w:r>
      <w:r w:rsidR="00FA351A" w:rsidRPr="00AB4A23">
        <w:t>‘</w:t>
      </w:r>
      <w:r w:rsidRPr="00AB4A23">
        <w:t>whether to marry</w:t>
      </w:r>
      <w:r w:rsidR="00FA351A" w:rsidRPr="00AB4A23">
        <w:t>’</w:t>
      </w:r>
      <w:r w:rsidRPr="00AB4A23">
        <w:t xml:space="preserve">: </w:t>
      </w:r>
      <w:r w:rsidR="00FA351A" w:rsidRPr="00AB4A23">
        <w:t>t</w:t>
      </w:r>
      <w:r w:rsidRPr="00AB4A23">
        <w:t>he changing context of marriage decisions in East and Southeast Asia’, in</w:t>
      </w:r>
      <w:r w:rsidR="00FA351A" w:rsidRPr="00AB4A23">
        <w:t xml:space="preserve"> G.W. Jones and K. </w:t>
      </w:r>
      <w:proofErr w:type="spellStart"/>
      <w:r w:rsidR="00FA351A" w:rsidRPr="00AB4A23">
        <w:t>Ramadas</w:t>
      </w:r>
      <w:proofErr w:type="spellEnd"/>
      <w:r w:rsidR="00FA351A" w:rsidRPr="00AB4A23">
        <w:t xml:space="preserve"> (</w:t>
      </w:r>
      <w:proofErr w:type="spellStart"/>
      <w:r w:rsidR="00FA351A" w:rsidRPr="00AB4A23">
        <w:t>eds</w:t>
      </w:r>
      <w:proofErr w:type="spellEnd"/>
      <w:r w:rsidR="00FA351A" w:rsidRPr="00AB4A23">
        <w:t>),</w:t>
      </w:r>
      <w:r w:rsidRPr="00AB4A23">
        <w:t xml:space="preserve"> </w:t>
      </w:r>
      <w:r w:rsidRPr="00AB4A23">
        <w:rPr>
          <w:i/>
        </w:rPr>
        <w:t xml:space="preserve">(Un)tying the </w:t>
      </w:r>
      <w:r w:rsidR="00FA351A" w:rsidRPr="00AB4A23">
        <w:rPr>
          <w:i/>
        </w:rPr>
        <w:t>K</w:t>
      </w:r>
      <w:r w:rsidRPr="00AB4A23">
        <w:rPr>
          <w:i/>
        </w:rPr>
        <w:t xml:space="preserve">not: </w:t>
      </w:r>
      <w:r w:rsidR="00FA351A" w:rsidRPr="00AB4A23">
        <w:rPr>
          <w:i/>
        </w:rPr>
        <w:t>I</w:t>
      </w:r>
      <w:r w:rsidRPr="00AB4A23">
        <w:rPr>
          <w:i/>
        </w:rPr>
        <w:t xml:space="preserve">deal and </w:t>
      </w:r>
      <w:r w:rsidR="00FA351A" w:rsidRPr="00AB4A23">
        <w:rPr>
          <w:i/>
        </w:rPr>
        <w:t>R</w:t>
      </w:r>
      <w:r w:rsidRPr="00AB4A23">
        <w:rPr>
          <w:i/>
        </w:rPr>
        <w:t xml:space="preserve">eality in Asian </w:t>
      </w:r>
      <w:r w:rsidR="00FA351A" w:rsidRPr="00AB4A23">
        <w:rPr>
          <w:i/>
        </w:rPr>
        <w:t>M</w:t>
      </w:r>
      <w:r w:rsidRPr="00AB4A23">
        <w:rPr>
          <w:i/>
        </w:rPr>
        <w:t>arriage</w:t>
      </w:r>
      <w:r w:rsidRPr="00AB4A23">
        <w:t>. Singapore</w:t>
      </w:r>
      <w:r w:rsidR="00104E17" w:rsidRPr="00AB4A23">
        <w:t>:</w:t>
      </w:r>
      <w:r w:rsidRPr="00AB4A23">
        <w:t xml:space="preserve"> Singapore University Press, pp. 3-59.</w:t>
      </w:r>
    </w:p>
    <w:p w14:paraId="49EA1403" w14:textId="3E66A2C6" w:rsidR="00FE2214" w:rsidRPr="00904E38" w:rsidRDefault="00FE2214" w:rsidP="00467B60">
      <w:pPr>
        <w:spacing w:line="480" w:lineRule="auto"/>
        <w:ind w:left="720" w:hanging="720"/>
      </w:pPr>
      <w:r w:rsidRPr="00904E38">
        <w:rPr>
          <w:highlight w:val="yellow"/>
        </w:rPr>
        <w:t xml:space="preserve">Jones, G.W. (2019). </w:t>
      </w:r>
      <w:r w:rsidR="00904E38" w:rsidRPr="00904E38">
        <w:rPr>
          <w:highlight w:val="yellow"/>
        </w:rPr>
        <w:t xml:space="preserve">Ultra-low fertility in East Asia: policy responses and challenges. </w:t>
      </w:r>
      <w:r w:rsidR="00904E38" w:rsidRPr="00904E38">
        <w:rPr>
          <w:i/>
          <w:iCs/>
          <w:highlight w:val="yellow"/>
        </w:rPr>
        <w:t>Asian Population Studies</w:t>
      </w:r>
      <w:r w:rsidR="00904E38" w:rsidRPr="00904E38">
        <w:rPr>
          <w:highlight w:val="yellow"/>
        </w:rPr>
        <w:t>, 15(2), 131-149.</w:t>
      </w:r>
    </w:p>
    <w:p w14:paraId="62787732" w14:textId="21620F1A" w:rsidR="00532482" w:rsidRPr="00AB4A23" w:rsidRDefault="00532482" w:rsidP="00467B60">
      <w:pPr>
        <w:spacing w:line="480" w:lineRule="auto"/>
        <w:ind w:left="720" w:hanging="720"/>
      </w:pPr>
      <w:r w:rsidRPr="00AB4A23">
        <w:t>Jones</w:t>
      </w:r>
      <w:r w:rsidR="00FA351A" w:rsidRPr="00AB4A23">
        <w:t>,</w:t>
      </w:r>
      <w:r w:rsidRPr="00AB4A23">
        <w:t xml:space="preserve"> G</w:t>
      </w:r>
      <w:r w:rsidR="00FA351A" w:rsidRPr="00AB4A23">
        <w:t>.</w:t>
      </w:r>
      <w:r w:rsidRPr="00AB4A23">
        <w:t>W</w:t>
      </w:r>
      <w:r w:rsidR="00FA351A" w:rsidRPr="00AB4A23">
        <w:t>.</w:t>
      </w:r>
      <w:r w:rsidRPr="00AB4A23">
        <w:t xml:space="preserve"> </w:t>
      </w:r>
      <w:r w:rsidR="00E83192" w:rsidRPr="00AB4A23">
        <w:t>&amp;</w:t>
      </w:r>
      <w:r w:rsidRPr="00AB4A23">
        <w:t xml:space="preserve"> </w:t>
      </w:r>
      <w:proofErr w:type="spellStart"/>
      <w:r w:rsidRPr="00AB4A23">
        <w:t>Gubhaju</w:t>
      </w:r>
      <w:proofErr w:type="spellEnd"/>
      <w:r w:rsidR="00FA351A" w:rsidRPr="00AB4A23">
        <w:t>,</w:t>
      </w:r>
      <w:r w:rsidRPr="00AB4A23">
        <w:t xml:space="preserve"> B. (2009)</w:t>
      </w:r>
      <w:r w:rsidR="00E83192" w:rsidRPr="00AB4A23">
        <w:t>.</w:t>
      </w:r>
      <w:r w:rsidRPr="00AB4A23">
        <w:t xml:space="preserve"> Factors influencing changes in mean age at first marriage and proportions never marrying in the low-fertility countries and east and southeast Asia, </w:t>
      </w:r>
      <w:r w:rsidRPr="00AB4A23">
        <w:rPr>
          <w:i/>
          <w:iCs/>
        </w:rPr>
        <w:t>Asian Population Studies</w:t>
      </w:r>
      <w:r w:rsidR="00E83192" w:rsidRPr="00AB4A23">
        <w:t>, 5,</w:t>
      </w:r>
      <w:r w:rsidRPr="00AB4A23">
        <w:t xml:space="preserve"> 237-265.</w:t>
      </w:r>
    </w:p>
    <w:p w14:paraId="4409E21B" w14:textId="2632144A" w:rsidR="00E83192" w:rsidRPr="00AB4A23" w:rsidRDefault="00E83192" w:rsidP="00E83192">
      <w:pPr>
        <w:spacing w:line="480" w:lineRule="auto"/>
        <w:ind w:left="720" w:hanging="720"/>
      </w:pPr>
      <w:r w:rsidRPr="00AB4A23">
        <w:t xml:space="preserve">Joint United Nations Programme on HIV/AIDS. (2018). </w:t>
      </w:r>
      <w:r w:rsidRPr="00AB4A23">
        <w:rPr>
          <w:i/>
        </w:rPr>
        <w:t>Data 2018</w:t>
      </w:r>
      <w:r w:rsidRPr="00AB4A23">
        <w:t>. Geneva, UNAIDS.</w:t>
      </w:r>
    </w:p>
    <w:p w14:paraId="41357E36" w14:textId="6978F208" w:rsidR="005F2459" w:rsidRPr="005F2459" w:rsidRDefault="005F2459" w:rsidP="00467B60">
      <w:pPr>
        <w:spacing w:line="480" w:lineRule="auto"/>
        <w:ind w:left="709" w:hanging="709"/>
      </w:pPr>
      <w:r w:rsidRPr="00904E38">
        <w:rPr>
          <w:highlight w:val="yellow"/>
        </w:rPr>
        <w:t xml:space="preserve">Lee, B.S., Klein, J., Mohar, M., &amp; Kim, S. (2020) Factors delaying marriage in Korea: an analysis of the Korean population census data for 1990-2010, </w:t>
      </w:r>
      <w:r w:rsidRPr="00904E38">
        <w:rPr>
          <w:i/>
          <w:iCs/>
          <w:highlight w:val="yellow"/>
        </w:rPr>
        <w:t>Asian Population Studies</w:t>
      </w:r>
      <w:r w:rsidR="00904E38">
        <w:rPr>
          <w:highlight w:val="yellow"/>
        </w:rPr>
        <w:t>,</w:t>
      </w:r>
      <w:r w:rsidRPr="00904E38">
        <w:rPr>
          <w:highlight w:val="yellow"/>
        </w:rPr>
        <w:t xml:space="preserve"> DOI: https://doi.org/10.1080/17441730.2020.1781380.</w:t>
      </w:r>
    </w:p>
    <w:p w14:paraId="2793F9A8" w14:textId="22B97E78" w:rsidR="00532482" w:rsidRPr="00AB4A23" w:rsidRDefault="00532482" w:rsidP="00467B60">
      <w:pPr>
        <w:spacing w:line="480" w:lineRule="auto"/>
        <w:ind w:left="709" w:hanging="709"/>
      </w:pPr>
      <w:proofErr w:type="spellStart"/>
      <w:r w:rsidRPr="00AB4A23">
        <w:t>Maung</w:t>
      </w:r>
      <w:proofErr w:type="spellEnd"/>
      <w:r w:rsidRPr="00AB4A23">
        <w:t>, M</w:t>
      </w:r>
      <w:r w:rsidR="00FA351A" w:rsidRPr="00AB4A23">
        <w:t>.</w:t>
      </w:r>
      <w:r w:rsidRPr="00AB4A23">
        <w:t>I</w:t>
      </w:r>
      <w:r w:rsidR="00FA351A" w:rsidRPr="00AB4A23">
        <w:t>.</w:t>
      </w:r>
      <w:r w:rsidRPr="00AB4A23">
        <w:t>K. (1986)</w:t>
      </w:r>
      <w:r w:rsidR="00E83192" w:rsidRPr="00AB4A23">
        <w:t>.</w:t>
      </w:r>
      <w:r w:rsidRPr="00AB4A23">
        <w:t xml:space="preserve"> The </w:t>
      </w:r>
      <w:r w:rsidR="00FA351A" w:rsidRPr="00AB4A23">
        <w:t>p</w:t>
      </w:r>
      <w:r w:rsidRPr="00AB4A23">
        <w:t xml:space="preserve">opulation of Burma: </w:t>
      </w:r>
      <w:r w:rsidR="00FA351A" w:rsidRPr="00AB4A23">
        <w:t>a</w:t>
      </w:r>
      <w:r w:rsidRPr="00AB4A23">
        <w:t xml:space="preserve">n </w:t>
      </w:r>
      <w:r w:rsidR="00FA351A" w:rsidRPr="00AB4A23">
        <w:t>a</w:t>
      </w:r>
      <w:r w:rsidRPr="00AB4A23">
        <w:t>nalysis of the 1973 Census</w:t>
      </w:r>
      <w:r w:rsidR="00FA351A" w:rsidRPr="00AB4A23">
        <w:t xml:space="preserve"> (</w:t>
      </w:r>
      <w:r w:rsidRPr="00AB4A23">
        <w:t>Papers of the East-West Population Institute 97</w:t>
      </w:r>
      <w:r w:rsidR="00104E17" w:rsidRPr="00AB4A23">
        <w:t>). Honolulu:</w:t>
      </w:r>
      <w:r w:rsidR="00FA351A" w:rsidRPr="00AB4A23">
        <w:t xml:space="preserve"> East-West Population Institute.</w:t>
      </w:r>
      <w:r w:rsidRPr="00AB4A23">
        <w:t xml:space="preserve"> </w:t>
      </w:r>
    </w:p>
    <w:p w14:paraId="72DD5BB9" w14:textId="68F2B475" w:rsidR="00532482" w:rsidRPr="00AB4A23" w:rsidRDefault="00532482" w:rsidP="00467B60">
      <w:pPr>
        <w:spacing w:line="480" w:lineRule="auto"/>
        <w:ind w:left="720" w:hanging="720"/>
      </w:pPr>
      <w:r w:rsidRPr="00AB4A23">
        <w:t>McGinnis</w:t>
      </w:r>
      <w:r w:rsidR="00FA351A" w:rsidRPr="00AB4A23">
        <w:t>,</w:t>
      </w:r>
      <w:r w:rsidRPr="00AB4A23">
        <w:t xml:space="preserve"> S</w:t>
      </w:r>
      <w:r w:rsidR="00FA351A" w:rsidRPr="00AB4A23">
        <w:t>.</w:t>
      </w:r>
      <w:r w:rsidRPr="00AB4A23">
        <w:t xml:space="preserve">L. (2003). Cohabitating, dating, and perceived costs of marriage: a model of marriage entry. </w:t>
      </w:r>
      <w:r w:rsidRPr="00AB4A23">
        <w:rPr>
          <w:i/>
          <w:iCs/>
        </w:rPr>
        <w:t xml:space="preserve">Journal of Marriage and </w:t>
      </w:r>
      <w:r w:rsidR="00FA351A" w:rsidRPr="00AB4A23">
        <w:rPr>
          <w:i/>
          <w:iCs/>
        </w:rPr>
        <w:t xml:space="preserve">the </w:t>
      </w:r>
      <w:r w:rsidRPr="00AB4A23">
        <w:rPr>
          <w:i/>
          <w:iCs/>
        </w:rPr>
        <w:t>Family</w:t>
      </w:r>
      <w:r w:rsidR="00E83192" w:rsidRPr="00AB4A23">
        <w:t>,</w:t>
      </w:r>
      <w:r w:rsidR="00FA351A" w:rsidRPr="00AB4A23">
        <w:t xml:space="preserve"> </w:t>
      </w:r>
      <w:r w:rsidR="00E83192" w:rsidRPr="00AB4A23">
        <w:t>65,</w:t>
      </w:r>
      <w:r w:rsidRPr="00AB4A23">
        <w:t xml:space="preserve"> 105-116.</w:t>
      </w:r>
    </w:p>
    <w:p w14:paraId="28794ED2" w14:textId="2A0C4140" w:rsidR="00532482" w:rsidRPr="00AB4A23" w:rsidRDefault="1EB5EB67" w:rsidP="0AA2609C">
      <w:pPr>
        <w:spacing w:line="360" w:lineRule="auto"/>
        <w:rPr>
          <w:color w:val="000000" w:themeColor="text1"/>
        </w:rPr>
      </w:pPr>
      <w:proofErr w:type="spellStart"/>
      <w:r w:rsidRPr="00AB4A23">
        <w:rPr>
          <w:color w:val="000000" w:themeColor="text1"/>
        </w:rPr>
        <w:t>Miedema</w:t>
      </w:r>
      <w:proofErr w:type="spellEnd"/>
      <w:r w:rsidRPr="00AB4A23">
        <w:rPr>
          <w:color w:val="000000" w:themeColor="text1"/>
        </w:rPr>
        <w:t xml:space="preserve">, S.S., </w:t>
      </w:r>
      <w:proofErr w:type="spellStart"/>
      <w:r w:rsidRPr="00AB4A23">
        <w:rPr>
          <w:color w:val="000000" w:themeColor="text1"/>
        </w:rPr>
        <w:t>Shwe</w:t>
      </w:r>
      <w:proofErr w:type="spellEnd"/>
      <w:r w:rsidRPr="00AB4A23">
        <w:rPr>
          <w:color w:val="000000" w:themeColor="text1"/>
        </w:rPr>
        <w:t xml:space="preserve">, S., </w:t>
      </w:r>
      <w:r w:rsidR="016896B8" w:rsidRPr="00AB4A23">
        <w:rPr>
          <w:color w:val="000000" w:themeColor="text1"/>
        </w:rPr>
        <w:t>&amp;</w:t>
      </w:r>
      <w:r w:rsidRPr="00AB4A23">
        <w:rPr>
          <w:color w:val="000000" w:themeColor="text1"/>
        </w:rPr>
        <w:t xml:space="preserve"> Kyaw, A.T. (2016) Social inequalities, empowerment, and </w:t>
      </w:r>
    </w:p>
    <w:p w14:paraId="2D3B0298" w14:textId="048C5AFA" w:rsidR="00532482" w:rsidRPr="00AB4A23" w:rsidRDefault="1EB5EB67" w:rsidP="0AA2609C">
      <w:pPr>
        <w:spacing w:line="360" w:lineRule="auto"/>
        <w:ind w:firstLine="720"/>
        <w:rPr>
          <w:i/>
          <w:iCs/>
          <w:color w:val="000000" w:themeColor="text1"/>
        </w:rPr>
      </w:pPr>
      <w:r w:rsidRPr="00AB4A23">
        <w:rPr>
          <w:color w:val="000000" w:themeColor="text1"/>
        </w:rPr>
        <w:t xml:space="preserve">women’s transitions in abusive marriages: a case study from Myanmar, </w:t>
      </w:r>
      <w:r w:rsidRPr="00AB4A23">
        <w:rPr>
          <w:i/>
          <w:iCs/>
          <w:color w:val="000000" w:themeColor="text1"/>
        </w:rPr>
        <w:t xml:space="preserve">Gender and </w:t>
      </w:r>
    </w:p>
    <w:p w14:paraId="5B2DD299" w14:textId="550936A4" w:rsidR="00532482" w:rsidRPr="00AB4A23" w:rsidRDefault="1EB5EB67" w:rsidP="0AA2609C">
      <w:pPr>
        <w:spacing w:line="360" w:lineRule="auto"/>
        <w:ind w:firstLine="720"/>
      </w:pPr>
      <w:r w:rsidRPr="00AB4A23">
        <w:rPr>
          <w:i/>
          <w:iCs/>
          <w:color w:val="000000" w:themeColor="text1"/>
        </w:rPr>
        <w:t>Society</w:t>
      </w:r>
      <w:r w:rsidRPr="00AB4A23">
        <w:rPr>
          <w:color w:val="000000" w:themeColor="text1"/>
        </w:rPr>
        <w:t>, 30(4), pp. 670-694.</w:t>
      </w:r>
      <w:r w:rsidRPr="00AB4A23">
        <w:t xml:space="preserve"> </w:t>
      </w:r>
    </w:p>
    <w:p w14:paraId="3114C32A" w14:textId="611A2638" w:rsidR="00532482" w:rsidRPr="00AB4A23" w:rsidRDefault="00532482" w:rsidP="00467B60">
      <w:pPr>
        <w:spacing w:line="480" w:lineRule="auto"/>
        <w:ind w:left="720" w:hanging="720"/>
      </w:pPr>
      <w:r w:rsidRPr="00AB4A23">
        <w:t>Ministry of Immigration and Population, Department of Population</w:t>
      </w:r>
      <w:r w:rsidR="00E83192" w:rsidRPr="00AB4A23">
        <w:t>.</w:t>
      </w:r>
      <w:r w:rsidRPr="00AB4A23">
        <w:t xml:space="preserve"> (2015)</w:t>
      </w:r>
      <w:r w:rsidR="00E83192" w:rsidRPr="00AB4A23">
        <w:t>.</w:t>
      </w:r>
      <w:r w:rsidRPr="00AB4A23">
        <w:t xml:space="preserve"> </w:t>
      </w:r>
      <w:r w:rsidRPr="00AB4A23">
        <w:rPr>
          <w:i/>
          <w:iCs/>
        </w:rPr>
        <w:t>The 2014 Myanmar Population and Housing Census: The Union Report, Census Report Volume 2</w:t>
      </w:r>
      <w:r w:rsidRPr="00AB4A23">
        <w:t>. Yang</w:t>
      </w:r>
      <w:r w:rsidR="00104E17" w:rsidRPr="00AB4A23">
        <w:t>on:</w:t>
      </w:r>
      <w:r w:rsidRPr="00AB4A23">
        <w:t xml:space="preserve"> </w:t>
      </w:r>
      <w:r w:rsidR="00FA351A" w:rsidRPr="00AB4A23">
        <w:t>Ministry of Immigration and Population.</w:t>
      </w:r>
    </w:p>
    <w:p w14:paraId="048FFEF3" w14:textId="705C359C" w:rsidR="00532482" w:rsidRPr="00AB4A23" w:rsidRDefault="00532482" w:rsidP="00467B60">
      <w:pPr>
        <w:spacing w:line="480" w:lineRule="auto"/>
        <w:ind w:left="720" w:hanging="720"/>
      </w:pPr>
      <w:r w:rsidRPr="00AB4A23">
        <w:t>Ministry of Immigration and Population, Immigration and Population Department</w:t>
      </w:r>
      <w:r w:rsidR="00E83192" w:rsidRPr="00AB4A23">
        <w:t>.</w:t>
      </w:r>
      <w:r w:rsidRPr="00AB4A23">
        <w:t xml:space="preserve"> (1995)</w:t>
      </w:r>
      <w:r w:rsidR="00E83192" w:rsidRPr="00AB4A23">
        <w:t>.</w:t>
      </w:r>
      <w:r w:rsidRPr="00AB4A23">
        <w:t xml:space="preserve"> </w:t>
      </w:r>
      <w:r w:rsidRPr="00AB4A23">
        <w:rPr>
          <w:i/>
        </w:rPr>
        <w:t>Population Changes and Fertility Survey: 1991</w:t>
      </w:r>
      <w:r w:rsidR="00104E17" w:rsidRPr="00AB4A23">
        <w:t>. Yangon:</w:t>
      </w:r>
      <w:r w:rsidRPr="00AB4A23">
        <w:t xml:space="preserve"> </w:t>
      </w:r>
      <w:r w:rsidR="00FA351A" w:rsidRPr="00AB4A23">
        <w:t>Ministry of Immigration and Population.</w:t>
      </w:r>
    </w:p>
    <w:p w14:paraId="233457D7" w14:textId="0E741D7F" w:rsidR="00532482" w:rsidRPr="00AB4A23" w:rsidRDefault="00D331D2" w:rsidP="00467B60">
      <w:pPr>
        <w:spacing w:line="480" w:lineRule="auto"/>
        <w:ind w:left="720" w:hanging="720"/>
      </w:pPr>
      <w:r w:rsidRPr="00AB4A23">
        <w:lastRenderedPageBreak/>
        <w:t>Ministry of Health, Nepal,</w:t>
      </w:r>
      <w:r w:rsidR="00532482" w:rsidRPr="00AB4A23">
        <w:t xml:space="preserve"> New E</w:t>
      </w:r>
      <w:r w:rsidRPr="00AB4A23">
        <w:t>RA,</w:t>
      </w:r>
      <w:r w:rsidR="00532482" w:rsidRPr="00AB4A23">
        <w:t xml:space="preserve"> and ICF</w:t>
      </w:r>
      <w:r w:rsidR="00E83192" w:rsidRPr="00AB4A23">
        <w:t>.</w:t>
      </w:r>
      <w:r w:rsidR="00FA351A" w:rsidRPr="00AB4A23">
        <w:t xml:space="preserve"> (</w:t>
      </w:r>
      <w:r w:rsidR="00532482" w:rsidRPr="00AB4A23">
        <w:t>2017</w:t>
      </w:r>
      <w:r w:rsidR="00FA351A" w:rsidRPr="00AB4A23">
        <w:t>)</w:t>
      </w:r>
      <w:r w:rsidR="00E83192" w:rsidRPr="00AB4A23">
        <w:t>.</w:t>
      </w:r>
      <w:r w:rsidR="00532482" w:rsidRPr="00AB4A23">
        <w:t xml:space="preserve"> </w:t>
      </w:r>
      <w:r w:rsidR="00532482" w:rsidRPr="00AB4A23">
        <w:rPr>
          <w:i/>
        </w:rPr>
        <w:t>Nepal Demographic and Health Survey 2016</w:t>
      </w:r>
      <w:r w:rsidR="00104E17" w:rsidRPr="00AB4A23">
        <w:t>. Kathmandu:</w:t>
      </w:r>
      <w:r w:rsidR="00532482" w:rsidRPr="00AB4A23">
        <w:t xml:space="preserve"> Ministry of Health, Nepal.</w:t>
      </w:r>
    </w:p>
    <w:p w14:paraId="2A1AA959" w14:textId="10677E40" w:rsidR="00532482" w:rsidRPr="00AB4A23" w:rsidRDefault="00532482" w:rsidP="00467B60">
      <w:pPr>
        <w:spacing w:line="480" w:lineRule="auto"/>
        <w:ind w:left="720" w:hanging="720"/>
      </w:pPr>
      <w:r w:rsidRPr="00AB4A23">
        <w:t xml:space="preserve">Ministry of Health and Sports </w:t>
      </w:r>
      <w:r w:rsidR="00104E17" w:rsidRPr="00AB4A23">
        <w:t>&amp;</w:t>
      </w:r>
      <w:r w:rsidRPr="00AB4A23">
        <w:t xml:space="preserve"> ICF</w:t>
      </w:r>
      <w:r w:rsidR="00E83192" w:rsidRPr="00AB4A23">
        <w:t>.</w:t>
      </w:r>
      <w:r w:rsidRPr="00AB4A23">
        <w:t xml:space="preserve"> (2017)</w:t>
      </w:r>
      <w:r w:rsidR="00E83192" w:rsidRPr="00AB4A23">
        <w:t>.</w:t>
      </w:r>
      <w:r w:rsidRPr="00AB4A23">
        <w:t xml:space="preserve"> </w:t>
      </w:r>
      <w:r w:rsidR="00104E17" w:rsidRPr="00AB4A23">
        <w:rPr>
          <w:i/>
          <w:iCs/>
        </w:rPr>
        <w:t xml:space="preserve">Data from: </w:t>
      </w:r>
      <w:r w:rsidRPr="00AB4A23">
        <w:rPr>
          <w:i/>
          <w:iCs/>
        </w:rPr>
        <w:t>Myanmar Demographic and Health Survey 2015-16</w:t>
      </w:r>
      <w:r w:rsidRPr="00AB4A23">
        <w:t xml:space="preserve"> [Dataset]. Nay </w:t>
      </w:r>
      <w:proofErr w:type="spellStart"/>
      <w:r w:rsidRPr="00AB4A23">
        <w:t>Pyi</w:t>
      </w:r>
      <w:proofErr w:type="spellEnd"/>
      <w:r w:rsidRPr="00AB4A23">
        <w:t xml:space="preserve"> Taw, Myanmar</w:t>
      </w:r>
      <w:r w:rsidR="00104E17" w:rsidRPr="00AB4A23">
        <w:t>:</w:t>
      </w:r>
      <w:r w:rsidR="00146433" w:rsidRPr="00AB4A23">
        <w:t xml:space="preserve"> Ministry of Health and Sports and</w:t>
      </w:r>
      <w:r w:rsidRPr="00AB4A23">
        <w:t xml:space="preserve"> ICF.</w:t>
      </w:r>
      <w:r w:rsidR="00104E17" w:rsidRPr="00AB4A23">
        <w:t xml:space="preserve"> Retrieved from </w:t>
      </w:r>
      <w:hyperlink r:id="rId11">
        <w:r w:rsidR="00104E17" w:rsidRPr="00AB4A23">
          <w:rPr>
            <w:rStyle w:val="Hyperlink"/>
          </w:rPr>
          <w:t>https://dhsprogram.com/</w:t>
        </w:r>
      </w:hyperlink>
      <w:r w:rsidR="00104E17" w:rsidRPr="00AB4A23">
        <w:t xml:space="preserve">. </w:t>
      </w:r>
    </w:p>
    <w:p w14:paraId="6D63191E" w14:textId="3784EAD5" w:rsidR="005931CB" w:rsidRPr="00AB4A23" w:rsidRDefault="005931CB" w:rsidP="0AA2609C">
      <w:pPr>
        <w:spacing w:line="480" w:lineRule="auto"/>
        <w:ind w:left="720" w:hanging="720"/>
      </w:pPr>
      <w:proofErr w:type="spellStart"/>
      <w:r w:rsidRPr="00AB4A23">
        <w:t>Myint</w:t>
      </w:r>
      <w:proofErr w:type="spellEnd"/>
      <w:r w:rsidRPr="00AB4A23">
        <w:t xml:space="preserve">, N. (1991). Recent levels and trends of fertility and mortality in Myanmar.  </w:t>
      </w:r>
      <w:r w:rsidRPr="00AB4A23">
        <w:rPr>
          <w:i/>
          <w:iCs/>
        </w:rPr>
        <w:t>Asia-Pacific Population Journal</w:t>
      </w:r>
      <w:r w:rsidR="00E016E8" w:rsidRPr="00AB4A23">
        <w:t>,</w:t>
      </w:r>
      <w:r w:rsidRPr="00AB4A23">
        <w:t xml:space="preserve"> 6, pp. 3-20.</w:t>
      </w:r>
    </w:p>
    <w:p w14:paraId="5BDF97CB" w14:textId="50B2C29E" w:rsidR="00532482" w:rsidRPr="00AB4A23" w:rsidRDefault="00532482" w:rsidP="00467B60">
      <w:pPr>
        <w:spacing w:line="480" w:lineRule="auto"/>
        <w:ind w:left="720" w:hanging="720"/>
      </w:pPr>
      <w:r w:rsidRPr="00AB4A23">
        <w:t>National Institute of Population Research and Training</w:t>
      </w:r>
      <w:r w:rsidR="00146433" w:rsidRPr="00AB4A23">
        <w:t xml:space="preserve">, </w:t>
      </w:r>
      <w:r w:rsidRPr="00AB4A23">
        <w:t xml:space="preserve">Mitra and Associates, and ICF International. (2016). </w:t>
      </w:r>
      <w:r w:rsidRPr="00AB4A23">
        <w:rPr>
          <w:i/>
        </w:rPr>
        <w:t>Bangladesh Demographic and Health Survey 2014</w:t>
      </w:r>
      <w:r w:rsidRPr="00AB4A23">
        <w:t>. Dhaka and Rockville M</w:t>
      </w:r>
      <w:r w:rsidR="00146433" w:rsidRPr="00AB4A23">
        <w:t>D</w:t>
      </w:r>
      <w:r w:rsidR="00104E17" w:rsidRPr="00AB4A23">
        <w:t>:</w:t>
      </w:r>
      <w:r w:rsidRPr="00AB4A23">
        <w:t xml:space="preserve"> </w:t>
      </w:r>
      <w:r w:rsidR="00146433" w:rsidRPr="00AB4A23">
        <w:t>National Institute of Population Research and Training, Mitra and Associates, and ICF International.</w:t>
      </w:r>
    </w:p>
    <w:p w14:paraId="2BCF2622" w14:textId="3BDBB9D6" w:rsidR="00532482" w:rsidRPr="00AB4A23" w:rsidRDefault="00532482" w:rsidP="00467B60">
      <w:pPr>
        <w:spacing w:line="480" w:lineRule="auto"/>
        <w:ind w:left="720" w:hanging="720"/>
      </w:pPr>
      <w:r w:rsidRPr="00AB4A23">
        <w:t>National Institute of Statistics, Directorate General for Health, and ICF Macro</w:t>
      </w:r>
      <w:r w:rsidR="00E83192" w:rsidRPr="00AB4A23">
        <w:t>.</w:t>
      </w:r>
      <w:r w:rsidRPr="00AB4A23">
        <w:t xml:space="preserve"> (2011)</w:t>
      </w:r>
      <w:r w:rsidR="00E83192" w:rsidRPr="00AB4A23">
        <w:t>.</w:t>
      </w:r>
      <w:r w:rsidRPr="00AB4A23">
        <w:t xml:space="preserve"> </w:t>
      </w:r>
      <w:r w:rsidRPr="00AB4A23">
        <w:rPr>
          <w:i/>
        </w:rPr>
        <w:t>Cambodia Demographic and Health Survey 2010</w:t>
      </w:r>
      <w:r w:rsidRPr="00AB4A23">
        <w:t>. Phnom Penh, and Calverton</w:t>
      </w:r>
      <w:r w:rsidR="00104E17" w:rsidRPr="00AB4A23">
        <w:t xml:space="preserve"> MD:</w:t>
      </w:r>
      <w:r w:rsidRPr="00AB4A23">
        <w:t xml:space="preserve"> National Institute of Statistics, Directorate General for Health, and ICF Macro. </w:t>
      </w:r>
    </w:p>
    <w:p w14:paraId="44F6A298" w14:textId="60E98F30" w:rsidR="00532482" w:rsidRPr="00AB4A23" w:rsidRDefault="00532482" w:rsidP="00467B60">
      <w:pPr>
        <w:spacing w:line="480" w:lineRule="auto"/>
        <w:ind w:left="720" w:hanging="720"/>
      </w:pPr>
      <w:r w:rsidRPr="00AB4A23">
        <w:t>Ono</w:t>
      </w:r>
      <w:r w:rsidR="00146433" w:rsidRPr="00AB4A23">
        <w:t>,</w:t>
      </w:r>
      <w:r w:rsidRPr="00AB4A23">
        <w:t xml:space="preserve"> H. (2003)</w:t>
      </w:r>
      <w:r w:rsidR="00E83192" w:rsidRPr="00AB4A23">
        <w:t>.</w:t>
      </w:r>
      <w:r w:rsidRPr="00AB4A23">
        <w:t xml:space="preserve"> Women’s economic standing, marriage timing, and cross-national contexts of gender. </w:t>
      </w:r>
      <w:r w:rsidRPr="00AB4A23">
        <w:rPr>
          <w:i/>
          <w:iCs/>
        </w:rPr>
        <w:t xml:space="preserve">Journal of Marriage and </w:t>
      </w:r>
      <w:r w:rsidR="00146433" w:rsidRPr="00AB4A23">
        <w:rPr>
          <w:i/>
          <w:iCs/>
        </w:rPr>
        <w:t xml:space="preserve">the </w:t>
      </w:r>
      <w:r w:rsidRPr="00AB4A23">
        <w:rPr>
          <w:i/>
          <w:iCs/>
        </w:rPr>
        <w:t>Family</w:t>
      </w:r>
      <w:r w:rsidR="00E83192" w:rsidRPr="00AB4A23">
        <w:t>,</w:t>
      </w:r>
      <w:r w:rsidRPr="00AB4A23">
        <w:t xml:space="preserve"> 65</w:t>
      </w:r>
      <w:r w:rsidR="00E83192" w:rsidRPr="00AB4A23">
        <w:t>,</w:t>
      </w:r>
      <w:r w:rsidRPr="00AB4A23">
        <w:t xml:space="preserve"> 275-286.</w:t>
      </w:r>
    </w:p>
    <w:p w14:paraId="308C59F6" w14:textId="77752BD1" w:rsidR="00146433" w:rsidRPr="00AB4A23" w:rsidRDefault="00532482" w:rsidP="00467B60">
      <w:pPr>
        <w:spacing w:line="480" w:lineRule="auto"/>
        <w:ind w:left="720" w:hanging="720"/>
        <w:rPr>
          <w:color w:val="131413"/>
        </w:rPr>
      </w:pPr>
      <w:proofErr w:type="spellStart"/>
      <w:r w:rsidRPr="00AB4A23">
        <w:t>Oung</w:t>
      </w:r>
      <w:proofErr w:type="spellEnd"/>
      <w:r w:rsidR="00146433" w:rsidRPr="00AB4A23">
        <w:t>,</w:t>
      </w:r>
      <w:r w:rsidRPr="00AB4A23">
        <w:t xml:space="preserve"> M</w:t>
      </w:r>
      <w:r w:rsidR="00146433" w:rsidRPr="00AB4A23">
        <w:t>.</w:t>
      </w:r>
      <w:r w:rsidRPr="00AB4A23">
        <w:t>T</w:t>
      </w:r>
      <w:r w:rsidR="00146433" w:rsidRPr="00AB4A23">
        <w:t>.</w:t>
      </w:r>
      <w:r w:rsidRPr="00AB4A23">
        <w:t>, Richter</w:t>
      </w:r>
      <w:r w:rsidR="00146433" w:rsidRPr="00AB4A23">
        <w:t>,</w:t>
      </w:r>
      <w:r w:rsidRPr="00AB4A23">
        <w:t xml:space="preserve"> K</w:t>
      </w:r>
      <w:r w:rsidR="00146433" w:rsidRPr="00AB4A23">
        <w:t>.</w:t>
      </w:r>
      <w:r w:rsidRPr="00AB4A23">
        <w:t xml:space="preserve">, </w:t>
      </w:r>
      <w:proofErr w:type="spellStart"/>
      <w:r w:rsidRPr="00AB4A23">
        <w:t>Prasartkul</w:t>
      </w:r>
      <w:proofErr w:type="spellEnd"/>
      <w:r w:rsidR="00146433" w:rsidRPr="00AB4A23">
        <w:t>,</w:t>
      </w:r>
      <w:r w:rsidRPr="00AB4A23">
        <w:t xml:space="preserve"> P</w:t>
      </w:r>
      <w:r w:rsidR="00146433" w:rsidRPr="00AB4A23">
        <w:t>.</w:t>
      </w:r>
      <w:r w:rsidRPr="00AB4A23">
        <w:t xml:space="preserve"> </w:t>
      </w:r>
      <w:r w:rsidR="00E83192" w:rsidRPr="00AB4A23">
        <w:t>&amp;</w:t>
      </w:r>
      <w:r w:rsidRPr="00AB4A23">
        <w:t xml:space="preserve"> </w:t>
      </w:r>
      <w:proofErr w:type="spellStart"/>
      <w:r w:rsidRPr="00AB4A23">
        <w:t>Tangcharoensathien</w:t>
      </w:r>
      <w:proofErr w:type="spellEnd"/>
      <w:r w:rsidR="00146433" w:rsidRPr="00AB4A23">
        <w:t>,</w:t>
      </w:r>
      <w:r w:rsidRPr="00AB4A23">
        <w:t xml:space="preserve"> V. (2017). Myanmar mortality registration: an assessment for system improvement. </w:t>
      </w:r>
      <w:r w:rsidRPr="00AB4A23">
        <w:rPr>
          <w:i/>
        </w:rPr>
        <w:t>Population Health Metrics</w:t>
      </w:r>
      <w:r w:rsidRPr="00AB4A23">
        <w:t>, 15</w:t>
      </w:r>
      <w:r w:rsidR="00146433" w:rsidRPr="00AB4A23">
        <w:t>.</w:t>
      </w:r>
      <w:r w:rsidRPr="00AB4A23">
        <w:t xml:space="preserve"> </w:t>
      </w:r>
    </w:p>
    <w:p w14:paraId="0066F197" w14:textId="69F68512" w:rsidR="005C518B" w:rsidRPr="00AB4A23" w:rsidRDefault="005C518B" w:rsidP="00467B60">
      <w:pPr>
        <w:spacing w:line="480" w:lineRule="auto"/>
        <w:ind w:left="720" w:hanging="720"/>
      </w:pPr>
      <w:r w:rsidRPr="00AB4A23">
        <w:t xml:space="preserve">Reda, A.A. &amp; Lindstrom, D. (2014). Recent trends in the timing of first sex and marriage among young women in Ethiopia. </w:t>
      </w:r>
      <w:r w:rsidRPr="00AB4A23">
        <w:rPr>
          <w:i/>
        </w:rPr>
        <w:t>African Population Studies</w:t>
      </w:r>
      <w:r w:rsidRPr="00AB4A23">
        <w:t>, 28(2 Supplement)</w:t>
      </w:r>
      <w:r w:rsidR="008D6515" w:rsidRPr="00AB4A23">
        <w:t>, 1157-1170.</w:t>
      </w:r>
    </w:p>
    <w:p w14:paraId="5A5F3D89" w14:textId="4591AB57" w:rsidR="00532482" w:rsidRPr="00AB4A23" w:rsidRDefault="00532482" w:rsidP="00467B60">
      <w:pPr>
        <w:spacing w:line="480" w:lineRule="auto"/>
        <w:ind w:left="720" w:hanging="720"/>
      </w:pPr>
      <w:proofErr w:type="spellStart"/>
      <w:r w:rsidRPr="00AB4A23">
        <w:t>Raymo</w:t>
      </w:r>
      <w:proofErr w:type="spellEnd"/>
      <w:r w:rsidR="00146433" w:rsidRPr="00AB4A23">
        <w:t>,</w:t>
      </w:r>
      <w:r w:rsidRPr="00AB4A23">
        <w:t xml:space="preserve"> J</w:t>
      </w:r>
      <w:r w:rsidR="00146433" w:rsidRPr="00AB4A23">
        <w:t>.</w:t>
      </w:r>
      <w:r w:rsidRPr="00AB4A23">
        <w:t>M</w:t>
      </w:r>
      <w:r w:rsidR="00146433" w:rsidRPr="00AB4A23">
        <w:t>.</w:t>
      </w:r>
      <w:r w:rsidRPr="00AB4A23">
        <w:t>, Park</w:t>
      </w:r>
      <w:r w:rsidR="00146433" w:rsidRPr="00AB4A23">
        <w:t>,</w:t>
      </w:r>
      <w:r w:rsidRPr="00AB4A23">
        <w:t xml:space="preserve"> H</w:t>
      </w:r>
      <w:r w:rsidR="00146433" w:rsidRPr="00AB4A23">
        <w:t>.</w:t>
      </w:r>
      <w:r w:rsidRPr="00AB4A23">
        <w:t xml:space="preserve">, </w:t>
      </w:r>
      <w:proofErr w:type="spellStart"/>
      <w:r w:rsidRPr="00AB4A23">
        <w:t>Xie</w:t>
      </w:r>
      <w:proofErr w:type="spellEnd"/>
      <w:r w:rsidR="00146433" w:rsidRPr="00AB4A23">
        <w:t>,</w:t>
      </w:r>
      <w:r w:rsidRPr="00AB4A23">
        <w:t xml:space="preserve"> Y</w:t>
      </w:r>
      <w:r w:rsidR="00146433" w:rsidRPr="00AB4A23">
        <w:t>.</w:t>
      </w:r>
      <w:r w:rsidRPr="00AB4A23">
        <w:t xml:space="preserve">, </w:t>
      </w:r>
      <w:r w:rsidR="00E83192" w:rsidRPr="00AB4A23">
        <w:t>&amp;</w:t>
      </w:r>
      <w:r w:rsidRPr="00AB4A23">
        <w:t xml:space="preserve"> Yeung</w:t>
      </w:r>
      <w:r w:rsidR="00146433" w:rsidRPr="00AB4A23">
        <w:t>,</w:t>
      </w:r>
      <w:r w:rsidRPr="00AB4A23">
        <w:t xml:space="preserve"> W</w:t>
      </w:r>
      <w:r w:rsidR="00146433" w:rsidRPr="00AB4A23">
        <w:t>.</w:t>
      </w:r>
      <w:r w:rsidRPr="00AB4A23">
        <w:t>J. (2015)</w:t>
      </w:r>
      <w:r w:rsidR="00E83192" w:rsidRPr="00AB4A23">
        <w:t>.</w:t>
      </w:r>
      <w:r w:rsidRPr="00AB4A23">
        <w:t xml:space="preserve"> Marriage and family in East Asia: </w:t>
      </w:r>
      <w:r w:rsidR="00146433" w:rsidRPr="00AB4A23">
        <w:t>c</w:t>
      </w:r>
      <w:r w:rsidRPr="00AB4A23">
        <w:t xml:space="preserve">ontinuity and change. </w:t>
      </w:r>
      <w:r w:rsidRPr="00AB4A23">
        <w:rPr>
          <w:i/>
          <w:iCs/>
        </w:rPr>
        <w:t>Annual Review of Sociology</w:t>
      </w:r>
      <w:r w:rsidR="00E83192" w:rsidRPr="00AB4A23">
        <w:t>, 41,</w:t>
      </w:r>
      <w:r w:rsidRPr="00AB4A23">
        <w:t xml:space="preserve"> 8.1-8.22.</w:t>
      </w:r>
    </w:p>
    <w:p w14:paraId="12D92B5C" w14:textId="35774A3A" w:rsidR="00146433" w:rsidRPr="00AB4A23" w:rsidRDefault="00532482">
      <w:pPr>
        <w:spacing w:line="480" w:lineRule="auto"/>
        <w:ind w:left="720" w:hanging="720"/>
      </w:pPr>
      <w:proofErr w:type="spellStart"/>
      <w:r w:rsidRPr="00AB4A23">
        <w:rPr>
          <w:color w:val="000000"/>
          <w:shd w:val="clear" w:color="auto" w:fill="FFFFFF"/>
        </w:rPr>
        <w:t>Rutstein</w:t>
      </w:r>
      <w:proofErr w:type="spellEnd"/>
      <w:r w:rsidR="00146433" w:rsidRPr="00AB4A23">
        <w:rPr>
          <w:color w:val="000000"/>
          <w:shd w:val="clear" w:color="auto" w:fill="FFFFFF"/>
        </w:rPr>
        <w:t>,</w:t>
      </w:r>
      <w:r w:rsidRPr="00AB4A23">
        <w:rPr>
          <w:color w:val="000000"/>
          <w:shd w:val="clear" w:color="auto" w:fill="FFFFFF"/>
        </w:rPr>
        <w:t xml:space="preserve"> S.</w:t>
      </w:r>
      <w:r w:rsidRPr="00AB4A23">
        <w:rPr>
          <w:rStyle w:val="apple-converted-space"/>
          <w:color w:val="000000"/>
          <w:shd w:val="clear" w:color="auto" w:fill="FFFFFF"/>
        </w:rPr>
        <w:t> </w:t>
      </w:r>
      <w:r w:rsidR="00146433" w:rsidRPr="00AB4A23">
        <w:rPr>
          <w:rStyle w:val="apple-converted-space"/>
          <w:color w:val="000000"/>
          <w:shd w:val="clear" w:color="auto" w:fill="FFFFFF"/>
        </w:rPr>
        <w:t>(</w:t>
      </w:r>
      <w:proofErr w:type="spellStart"/>
      <w:r w:rsidR="00146433" w:rsidRPr="00AB4A23">
        <w:rPr>
          <w:rStyle w:val="apple-converted-space"/>
          <w:color w:val="000000"/>
          <w:shd w:val="clear" w:color="auto" w:fill="FFFFFF"/>
        </w:rPr>
        <w:t>n.d.</w:t>
      </w:r>
      <w:proofErr w:type="spellEnd"/>
      <w:r w:rsidR="00146433" w:rsidRPr="00AB4A23">
        <w:rPr>
          <w:rStyle w:val="apple-converted-space"/>
          <w:color w:val="000000"/>
          <w:shd w:val="clear" w:color="auto" w:fill="FFFFFF"/>
        </w:rPr>
        <w:t>)</w:t>
      </w:r>
      <w:r w:rsidR="00E83192" w:rsidRPr="00AB4A23">
        <w:rPr>
          <w:rStyle w:val="apple-converted-space"/>
          <w:color w:val="000000"/>
          <w:shd w:val="clear" w:color="auto" w:fill="FFFFFF"/>
        </w:rPr>
        <w:t>.</w:t>
      </w:r>
      <w:r w:rsidR="00146433" w:rsidRPr="00AB4A23">
        <w:rPr>
          <w:rStyle w:val="apple-converted-space"/>
          <w:color w:val="000000"/>
          <w:shd w:val="clear" w:color="auto" w:fill="FFFFFF"/>
        </w:rPr>
        <w:t xml:space="preserve"> </w:t>
      </w:r>
      <w:r w:rsidRPr="00AB4A23">
        <w:rPr>
          <w:rStyle w:val="ref-journal"/>
          <w:color w:val="000000"/>
          <w:shd w:val="clear" w:color="auto" w:fill="FFFFFF"/>
        </w:rPr>
        <w:t>Steps to constructing the new DHS wealth index</w:t>
      </w:r>
      <w:r w:rsidRPr="00AB4A23">
        <w:rPr>
          <w:color w:val="000000"/>
          <w:shd w:val="clear" w:color="auto" w:fill="FFFFFF"/>
        </w:rPr>
        <w:t>. Calverton MD</w:t>
      </w:r>
      <w:r w:rsidR="00104E17" w:rsidRPr="00AB4A23">
        <w:rPr>
          <w:color w:val="000000"/>
          <w:shd w:val="clear" w:color="auto" w:fill="FFFFFF"/>
        </w:rPr>
        <w:t>:</w:t>
      </w:r>
      <w:r w:rsidRPr="00AB4A23">
        <w:rPr>
          <w:color w:val="000000"/>
          <w:shd w:val="clear" w:color="auto" w:fill="FFFFFF"/>
        </w:rPr>
        <w:t xml:space="preserve"> ICF International</w:t>
      </w:r>
      <w:r w:rsidR="00146433" w:rsidRPr="00AB4A23">
        <w:rPr>
          <w:color w:val="000000"/>
          <w:shd w:val="clear" w:color="auto" w:fill="FFFFFF"/>
        </w:rPr>
        <w:t>.</w:t>
      </w:r>
      <w:r w:rsidRPr="00AB4A23">
        <w:rPr>
          <w:color w:val="000000"/>
          <w:shd w:val="clear" w:color="auto" w:fill="FFFFFF"/>
        </w:rPr>
        <w:t xml:space="preserve"> </w:t>
      </w:r>
      <w:r w:rsidR="00104E17" w:rsidRPr="00AB4A23">
        <w:rPr>
          <w:color w:val="000000"/>
          <w:shd w:val="clear" w:color="auto" w:fill="FFFFFF"/>
        </w:rPr>
        <w:t xml:space="preserve">Retrieved from </w:t>
      </w:r>
      <w:hyperlink r:id="rId12" w:tgtFrame="_blank" w:history="1">
        <w:r w:rsidRPr="00AB4A23">
          <w:rPr>
            <w:rStyle w:val="Hyperlink"/>
            <w:color w:val="642A8F"/>
            <w:shd w:val="clear" w:color="auto" w:fill="FFFFFF"/>
          </w:rPr>
          <w:t>https://dhsprogram.com/programming/wealth%20index/Steps_to_constructing_the_new_DHS_Wealth_Index.pdf</w:t>
        </w:r>
      </w:hyperlink>
      <w:r w:rsidR="00146433" w:rsidRPr="00AB4A23">
        <w:t>.</w:t>
      </w:r>
    </w:p>
    <w:p w14:paraId="318E9EF3" w14:textId="39821C50" w:rsidR="00532482" w:rsidRPr="00AB4A23" w:rsidRDefault="00532482">
      <w:pPr>
        <w:spacing w:line="480" w:lineRule="auto"/>
        <w:ind w:left="720" w:hanging="720"/>
      </w:pPr>
      <w:proofErr w:type="spellStart"/>
      <w:r w:rsidRPr="00AB4A23">
        <w:t>Shambaugh</w:t>
      </w:r>
      <w:proofErr w:type="spellEnd"/>
      <w:r w:rsidR="00146433" w:rsidRPr="00AB4A23">
        <w:t>,</w:t>
      </w:r>
      <w:r w:rsidRPr="00AB4A23">
        <w:t xml:space="preserve"> J</w:t>
      </w:r>
      <w:r w:rsidR="00146433" w:rsidRPr="00AB4A23">
        <w:t>.</w:t>
      </w:r>
      <w:r w:rsidRPr="00AB4A23">
        <w:t>, Nunn</w:t>
      </w:r>
      <w:r w:rsidR="00146433" w:rsidRPr="00AB4A23">
        <w:t>,</w:t>
      </w:r>
      <w:r w:rsidRPr="00AB4A23">
        <w:t xml:space="preserve"> R</w:t>
      </w:r>
      <w:r w:rsidR="00146433" w:rsidRPr="00AB4A23">
        <w:t>.</w:t>
      </w:r>
      <w:r w:rsidRPr="00AB4A23">
        <w:t xml:space="preserve"> </w:t>
      </w:r>
      <w:r w:rsidR="00E83192" w:rsidRPr="00AB4A23">
        <w:t>&amp;</w:t>
      </w:r>
      <w:r w:rsidRPr="00AB4A23">
        <w:t xml:space="preserve"> Portman</w:t>
      </w:r>
      <w:r w:rsidR="00146433" w:rsidRPr="00AB4A23">
        <w:t>, B</w:t>
      </w:r>
      <w:r w:rsidRPr="00AB4A23">
        <w:t>. (2017)</w:t>
      </w:r>
      <w:r w:rsidR="00E83192" w:rsidRPr="00AB4A23">
        <w:t>.</w:t>
      </w:r>
      <w:r w:rsidRPr="00AB4A23">
        <w:t xml:space="preserve"> Lessons from the rise of women’s </w:t>
      </w:r>
      <w:proofErr w:type="spellStart"/>
      <w:r w:rsidRPr="00AB4A23">
        <w:t>labor</w:t>
      </w:r>
      <w:proofErr w:type="spellEnd"/>
      <w:r w:rsidRPr="00AB4A23">
        <w:t xml:space="preserve"> force participation in Japan. Washington DC</w:t>
      </w:r>
      <w:r w:rsidR="00104E17" w:rsidRPr="00AB4A23">
        <w:t>:</w:t>
      </w:r>
      <w:r w:rsidRPr="00AB4A23">
        <w:t xml:space="preserve"> The Hamilton Project, Brookings Institute</w:t>
      </w:r>
      <w:r w:rsidR="00146433" w:rsidRPr="00AB4A23">
        <w:t>.</w:t>
      </w:r>
      <w:r w:rsidRPr="00AB4A23">
        <w:t xml:space="preserve"> </w:t>
      </w:r>
      <w:r w:rsidR="00104E17" w:rsidRPr="00AB4A23">
        <w:t xml:space="preserve">Retrieved from </w:t>
      </w:r>
      <w:hyperlink r:id="rId13" w:history="1">
        <w:r w:rsidR="00146433" w:rsidRPr="00AB4A23">
          <w:rPr>
            <w:rStyle w:val="Hyperlink"/>
          </w:rPr>
          <w:t>https://www.brookings.edu/wp-content/uploads/2017/10/es_110117_lessons_from_rise_womens_labor_force_participation_japan_economic_analysis.pdf</w:t>
        </w:r>
      </w:hyperlink>
      <w:r w:rsidR="00A879B6" w:rsidRPr="00AB4A23">
        <w:t>.</w:t>
      </w:r>
    </w:p>
    <w:p w14:paraId="4774A253" w14:textId="270E8A73" w:rsidR="00532482" w:rsidRPr="00AB4A23" w:rsidRDefault="00532482">
      <w:pPr>
        <w:spacing w:line="480" w:lineRule="auto"/>
        <w:ind w:left="720" w:hanging="720"/>
      </w:pPr>
      <w:r w:rsidRPr="00AB4A23">
        <w:t>Smith</w:t>
      </w:r>
      <w:r w:rsidR="00146433" w:rsidRPr="00AB4A23">
        <w:t>, P.C</w:t>
      </w:r>
      <w:r w:rsidRPr="00AB4A23">
        <w:t>. (1980)</w:t>
      </w:r>
      <w:r w:rsidR="00E83192" w:rsidRPr="00AB4A23">
        <w:t>.</w:t>
      </w:r>
      <w:r w:rsidRPr="00AB4A23">
        <w:t xml:space="preserve"> ‘Asian marriage patterns in transition’, </w:t>
      </w:r>
      <w:r w:rsidRPr="00AB4A23">
        <w:rPr>
          <w:i/>
          <w:iCs/>
        </w:rPr>
        <w:t>Journal of Family History</w:t>
      </w:r>
      <w:r w:rsidR="00104E17" w:rsidRPr="00AB4A23">
        <w:t>,</w:t>
      </w:r>
      <w:r w:rsidRPr="00AB4A23">
        <w:t xml:space="preserve"> 5</w:t>
      </w:r>
      <w:r w:rsidR="00104E17" w:rsidRPr="00AB4A23">
        <w:t>,</w:t>
      </w:r>
      <w:r w:rsidR="00146433" w:rsidRPr="00AB4A23">
        <w:t xml:space="preserve"> </w:t>
      </w:r>
      <w:r w:rsidRPr="00AB4A23">
        <w:t>58-96.</w:t>
      </w:r>
    </w:p>
    <w:p w14:paraId="73E21FDC" w14:textId="0131BB15" w:rsidR="005931CB" w:rsidRPr="00AB4A23" w:rsidRDefault="005931CB" w:rsidP="0AA2609C">
      <w:pPr>
        <w:spacing w:line="480" w:lineRule="auto"/>
        <w:ind w:left="720" w:hanging="720"/>
      </w:pPr>
      <w:proofErr w:type="spellStart"/>
      <w:r w:rsidRPr="00AB4A23">
        <w:t>Spoorenberg</w:t>
      </w:r>
      <w:proofErr w:type="spellEnd"/>
      <w:r w:rsidRPr="00AB4A23">
        <w:t xml:space="preserve">, R. (2013). Demographic changes in Myanmar since 1983: an examination of official data.  </w:t>
      </w:r>
      <w:r w:rsidRPr="00AB4A23">
        <w:rPr>
          <w:i/>
          <w:iCs/>
        </w:rPr>
        <w:t>Population and Development Review</w:t>
      </w:r>
      <w:r w:rsidR="00E016E8" w:rsidRPr="00AB4A23">
        <w:t>,</w:t>
      </w:r>
      <w:r w:rsidRPr="00AB4A23">
        <w:t xml:space="preserve"> 39, pp. 309-24.</w:t>
      </w:r>
    </w:p>
    <w:p w14:paraId="4A9B8046" w14:textId="61EAFD9A" w:rsidR="005931CB" w:rsidRPr="00AB4A23" w:rsidRDefault="0AAD1AC4" w:rsidP="0AA2609C">
      <w:pPr>
        <w:autoSpaceDE w:val="0"/>
        <w:autoSpaceDN w:val="0"/>
        <w:adjustRightInd w:val="0"/>
        <w:spacing w:before="200" w:line="360" w:lineRule="auto"/>
        <w:ind w:left="720" w:hanging="720"/>
        <w:rPr>
          <w:rFonts w:eastAsiaTheme="minorEastAsia"/>
          <w:lang w:eastAsia="en-US"/>
        </w:rPr>
      </w:pPr>
      <w:r w:rsidRPr="00AB4A23">
        <w:rPr>
          <w:color w:val="000000" w:themeColor="text1"/>
        </w:rPr>
        <w:t xml:space="preserve">Thein, P.T. (2015). ‘Gender equality and social norms in Myanmar’, </w:t>
      </w:r>
      <w:r w:rsidRPr="00AB4A23">
        <w:rPr>
          <w:i/>
          <w:iCs/>
          <w:color w:val="000000" w:themeColor="text1"/>
        </w:rPr>
        <w:t>International Conference on Burma/Myanmar Studies</w:t>
      </w:r>
      <w:r w:rsidRPr="00AB4A23">
        <w:rPr>
          <w:color w:val="000000" w:themeColor="text1"/>
        </w:rPr>
        <w:t>. Chiang Mai University, 24-25 July. Chiang Mai: Chiang Mai University.</w:t>
      </w:r>
      <w:r w:rsidRPr="00AB4A23">
        <w:rPr>
          <w:rFonts w:eastAsiaTheme="minorEastAsia"/>
          <w:lang w:eastAsia="en-US"/>
        </w:rPr>
        <w:t xml:space="preserve"> </w:t>
      </w:r>
    </w:p>
    <w:p w14:paraId="47679E69" w14:textId="64DAD5F7" w:rsidR="005931CB" w:rsidRPr="00AB4A23" w:rsidRDefault="005931CB" w:rsidP="0AA2609C">
      <w:pPr>
        <w:autoSpaceDE w:val="0"/>
        <w:autoSpaceDN w:val="0"/>
        <w:adjustRightInd w:val="0"/>
        <w:spacing w:line="480" w:lineRule="auto"/>
        <w:rPr>
          <w:rFonts w:eastAsiaTheme="minorEastAsia"/>
          <w:i/>
          <w:iCs/>
          <w:lang w:eastAsia="en-US"/>
        </w:rPr>
      </w:pPr>
      <w:r w:rsidRPr="00AB4A23">
        <w:rPr>
          <w:rFonts w:eastAsiaTheme="minorEastAsia"/>
          <w:lang w:eastAsia="en-US"/>
        </w:rPr>
        <w:t xml:space="preserve">Tint, W. (1991). Population projections for Myanmar, 1983-2013, </w:t>
      </w:r>
      <w:r w:rsidRPr="00AB4A23">
        <w:rPr>
          <w:rFonts w:eastAsiaTheme="minorEastAsia"/>
          <w:i/>
          <w:iCs/>
          <w:lang w:eastAsia="en-US"/>
        </w:rPr>
        <w:t>Asia-Pacific Population</w:t>
      </w:r>
    </w:p>
    <w:p w14:paraId="0BEC0B8B" w14:textId="66013CE1" w:rsidR="005931CB" w:rsidRPr="00AB4A23" w:rsidRDefault="005931CB" w:rsidP="0AA2609C">
      <w:pPr>
        <w:spacing w:line="480" w:lineRule="auto"/>
        <w:ind w:left="720"/>
        <w:rPr>
          <w:rFonts w:eastAsiaTheme="minorEastAsia"/>
          <w:lang w:eastAsia="en-US"/>
        </w:rPr>
      </w:pPr>
      <w:r w:rsidRPr="00AB4A23">
        <w:rPr>
          <w:rFonts w:eastAsiaTheme="minorHAnsi"/>
          <w:i/>
          <w:iCs/>
          <w:lang w:eastAsia="en-US"/>
        </w:rPr>
        <w:tab/>
      </w:r>
      <w:r w:rsidRPr="00AB4A23">
        <w:rPr>
          <w:rFonts w:eastAsiaTheme="minorEastAsia"/>
          <w:i/>
          <w:iCs/>
          <w:lang w:eastAsia="en-US"/>
        </w:rPr>
        <w:t>Journal</w:t>
      </w:r>
      <w:r w:rsidRPr="00AB4A23">
        <w:rPr>
          <w:rFonts w:eastAsiaTheme="minorEastAsia"/>
          <w:lang w:eastAsia="en-US"/>
        </w:rPr>
        <w:t>,</w:t>
      </w:r>
      <w:r w:rsidRPr="00AB4A23">
        <w:rPr>
          <w:rFonts w:eastAsiaTheme="minorEastAsia"/>
          <w:i/>
          <w:iCs/>
          <w:lang w:eastAsia="en-US"/>
        </w:rPr>
        <w:t xml:space="preserve"> </w:t>
      </w:r>
      <w:r w:rsidRPr="00AB4A23">
        <w:rPr>
          <w:rFonts w:eastAsiaTheme="minorEastAsia"/>
          <w:lang w:eastAsia="en-US"/>
        </w:rPr>
        <w:t>6, pp. 21-54.</w:t>
      </w:r>
    </w:p>
    <w:p w14:paraId="01E46F5B" w14:textId="05DE3A1D" w:rsidR="001801EE" w:rsidRDefault="001801EE" w:rsidP="00146433">
      <w:pPr>
        <w:spacing w:line="480" w:lineRule="auto"/>
        <w:ind w:left="720" w:hanging="720"/>
      </w:pPr>
      <w:proofErr w:type="spellStart"/>
      <w:r w:rsidRPr="001801EE">
        <w:rPr>
          <w:color w:val="222222"/>
          <w:highlight w:val="yellow"/>
          <w:shd w:val="clear" w:color="auto" w:fill="FFFFFF"/>
        </w:rPr>
        <w:t>Fatemeh</w:t>
      </w:r>
      <w:proofErr w:type="spellEnd"/>
      <w:r w:rsidRPr="001801EE">
        <w:rPr>
          <w:color w:val="222222"/>
          <w:highlight w:val="yellow"/>
          <w:shd w:val="clear" w:color="auto" w:fill="FFFFFF"/>
        </w:rPr>
        <w:t xml:space="preserve">, T. &amp; </w:t>
      </w:r>
      <w:proofErr w:type="spellStart"/>
      <w:r w:rsidRPr="001801EE">
        <w:rPr>
          <w:color w:val="222222"/>
          <w:highlight w:val="yellow"/>
          <w:shd w:val="clear" w:color="auto" w:fill="FFFFFF"/>
        </w:rPr>
        <w:t>Abbasi-Shavazi</w:t>
      </w:r>
      <w:proofErr w:type="spellEnd"/>
      <w:r w:rsidRPr="001801EE">
        <w:rPr>
          <w:color w:val="222222"/>
          <w:highlight w:val="yellow"/>
          <w:shd w:val="clear" w:color="auto" w:fill="FFFFFF"/>
        </w:rPr>
        <w:t>, M.A. (2016). Women’s education, time use and marriage in Iran. Asian Population Studies, 12(3), 229-50.</w:t>
      </w:r>
    </w:p>
    <w:p w14:paraId="6CDE12A4" w14:textId="05D2C536" w:rsidR="00146433" w:rsidRPr="00AB4A23" w:rsidRDefault="00146433" w:rsidP="00146433">
      <w:pPr>
        <w:spacing w:line="480" w:lineRule="auto"/>
        <w:ind w:left="720" w:hanging="720"/>
      </w:pPr>
      <w:r w:rsidRPr="00AB4A23">
        <w:t xml:space="preserve">United Nations Office on Drugs and Crime (2015). </w:t>
      </w:r>
      <w:r w:rsidRPr="00AB4A23">
        <w:rPr>
          <w:i/>
        </w:rPr>
        <w:t>Southeast Asia Opium Survey 2015</w:t>
      </w:r>
      <w:r w:rsidRPr="00AB4A23">
        <w:t>. Bangkok: United Nations Office on Drugs and Crime.</w:t>
      </w:r>
    </w:p>
    <w:p w14:paraId="60842005" w14:textId="578C680C" w:rsidR="00532482" w:rsidRPr="00AB4A23" w:rsidRDefault="00532482" w:rsidP="00467B60">
      <w:pPr>
        <w:spacing w:line="480" w:lineRule="auto"/>
        <w:ind w:left="720" w:hanging="720"/>
      </w:pPr>
      <w:r w:rsidRPr="00AB4A23">
        <w:t>United Nations Statistics Division</w:t>
      </w:r>
      <w:r w:rsidR="00E83192" w:rsidRPr="00AB4A23">
        <w:t>.</w:t>
      </w:r>
      <w:r w:rsidRPr="00AB4A23">
        <w:t xml:space="preserve"> (2018)</w:t>
      </w:r>
      <w:r w:rsidR="00E83192" w:rsidRPr="00AB4A23">
        <w:t>.</w:t>
      </w:r>
      <w:r w:rsidRPr="00AB4A23">
        <w:t xml:space="preserve"> </w:t>
      </w:r>
      <w:r w:rsidRPr="00AB4A23">
        <w:rPr>
          <w:i/>
        </w:rPr>
        <w:t xml:space="preserve">Population by </w:t>
      </w:r>
      <w:r w:rsidR="00146433" w:rsidRPr="00AB4A23">
        <w:rPr>
          <w:i/>
        </w:rPr>
        <w:t>M</w:t>
      </w:r>
      <w:r w:rsidRPr="00AB4A23">
        <w:rPr>
          <w:i/>
        </w:rPr>
        <w:t xml:space="preserve">arital </w:t>
      </w:r>
      <w:r w:rsidR="00146433" w:rsidRPr="00AB4A23">
        <w:rPr>
          <w:i/>
        </w:rPr>
        <w:t>S</w:t>
      </w:r>
      <w:r w:rsidRPr="00AB4A23">
        <w:rPr>
          <w:i/>
        </w:rPr>
        <w:t xml:space="preserve">tatus, </w:t>
      </w:r>
      <w:r w:rsidR="00146433" w:rsidRPr="00AB4A23">
        <w:rPr>
          <w:i/>
        </w:rPr>
        <w:t>A</w:t>
      </w:r>
      <w:r w:rsidRPr="00AB4A23">
        <w:rPr>
          <w:i/>
        </w:rPr>
        <w:t xml:space="preserve">ge, </w:t>
      </w:r>
      <w:r w:rsidR="00146433" w:rsidRPr="00AB4A23">
        <w:rPr>
          <w:i/>
        </w:rPr>
        <w:t>S</w:t>
      </w:r>
      <w:r w:rsidRPr="00AB4A23">
        <w:rPr>
          <w:i/>
        </w:rPr>
        <w:t xml:space="preserve">ex and </w:t>
      </w:r>
      <w:r w:rsidR="00146433" w:rsidRPr="00AB4A23">
        <w:rPr>
          <w:i/>
        </w:rPr>
        <w:t>U</w:t>
      </w:r>
      <w:r w:rsidRPr="00AB4A23">
        <w:rPr>
          <w:i/>
        </w:rPr>
        <w:t>rban/</w:t>
      </w:r>
      <w:r w:rsidR="00146433" w:rsidRPr="00AB4A23">
        <w:rPr>
          <w:i/>
        </w:rPr>
        <w:t>R</w:t>
      </w:r>
      <w:r w:rsidRPr="00AB4A23">
        <w:rPr>
          <w:i/>
        </w:rPr>
        <w:t xml:space="preserve">ural </w:t>
      </w:r>
      <w:r w:rsidR="00146433" w:rsidRPr="00AB4A23">
        <w:rPr>
          <w:i/>
        </w:rPr>
        <w:t>R</w:t>
      </w:r>
      <w:r w:rsidRPr="00AB4A23">
        <w:rPr>
          <w:i/>
        </w:rPr>
        <w:t>esidence</w:t>
      </w:r>
      <w:r w:rsidRPr="00AB4A23">
        <w:t>.</w:t>
      </w:r>
      <w:r w:rsidR="00104E17" w:rsidRPr="00AB4A23">
        <w:t xml:space="preserve"> Retrieved from</w:t>
      </w:r>
      <w:r w:rsidRPr="00AB4A23">
        <w:t xml:space="preserve"> </w:t>
      </w:r>
      <w:hyperlink r:id="rId14" w:history="1">
        <w:r w:rsidRPr="00AB4A23">
          <w:rPr>
            <w:rStyle w:val="Hyperlink"/>
          </w:rPr>
          <w:t>http://data.un.org/</w:t>
        </w:r>
      </w:hyperlink>
      <w:r w:rsidRPr="00AB4A23">
        <w:t>.</w:t>
      </w:r>
    </w:p>
    <w:p w14:paraId="586DC4D0" w14:textId="2C4D096D" w:rsidR="00532482" w:rsidRPr="00AB4A23" w:rsidRDefault="00532482" w:rsidP="00467B60">
      <w:pPr>
        <w:spacing w:line="480" w:lineRule="auto"/>
        <w:ind w:left="720" w:hanging="720"/>
      </w:pPr>
      <w:r w:rsidRPr="00AB4A23">
        <w:t>Wang</w:t>
      </w:r>
      <w:r w:rsidR="00146433" w:rsidRPr="00AB4A23">
        <w:t>,</w:t>
      </w:r>
      <w:r w:rsidRPr="00AB4A23">
        <w:t xml:space="preserve"> H</w:t>
      </w:r>
      <w:r w:rsidR="00146433" w:rsidRPr="00AB4A23">
        <w:t>.</w:t>
      </w:r>
      <w:r w:rsidRPr="00AB4A23">
        <w:t>, Dwyer-Lindgren</w:t>
      </w:r>
      <w:r w:rsidR="00146433" w:rsidRPr="00AB4A23">
        <w:t>,</w:t>
      </w:r>
      <w:r w:rsidRPr="00AB4A23">
        <w:t xml:space="preserve"> L</w:t>
      </w:r>
      <w:r w:rsidR="00146433" w:rsidRPr="00AB4A23">
        <w:t>.</w:t>
      </w:r>
      <w:r w:rsidRPr="00AB4A23">
        <w:t>, Lofgren</w:t>
      </w:r>
      <w:r w:rsidR="00146433" w:rsidRPr="00AB4A23">
        <w:t>,</w:t>
      </w:r>
      <w:r w:rsidRPr="00AB4A23">
        <w:t xml:space="preserve"> K</w:t>
      </w:r>
      <w:r w:rsidR="00146433" w:rsidRPr="00AB4A23">
        <w:t>.</w:t>
      </w:r>
      <w:r w:rsidRPr="00AB4A23">
        <w:t>T</w:t>
      </w:r>
      <w:r w:rsidR="00146433" w:rsidRPr="00AB4A23">
        <w:t>.</w:t>
      </w:r>
      <w:r w:rsidRPr="00AB4A23">
        <w:t>, Rajaratnam</w:t>
      </w:r>
      <w:r w:rsidR="00146433" w:rsidRPr="00AB4A23">
        <w:t>,</w:t>
      </w:r>
      <w:r w:rsidRPr="00AB4A23">
        <w:t xml:space="preserve"> J</w:t>
      </w:r>
      <w:r w:rsidR="00146433" w:rsidRPr="00AB4A23">
        <w:t>.</w:t>
      </w:r>
      <w:r w:rsidRPr="00AB4A23">
        <w:t>K</w:t>
      </w:r>
      <w:r w:rsidR="00146433" w:rsidRPr="00AB4A23">
        <w:t>.</w:t>
      </w:r>
      <w:r w:rsidRPr="00AB4A23">
        <w:t>, Marcus</w:t>
      </w:r>
      <w:r w:rsidR="00146433" w:rsidRPr="00AB4A23">
        <w:t>,</w:t>
      </w:r>
      <w:r w:rsidRPr="00AB4A23">
        <w:t xml:space="preserve"> J</w:t>
      </w:r>
      <w:r w:rsidR="00146433" w:rsidRPr="00AB4A23">
        <w:t>.</w:t>
      </w:r>
      <w:r w:rsidRPr="00AB4A23">
        <w:t>R</w:t>
      </w:r>
      <w:r w:rsidR="00146433" w:rsidRPr="00AB4A23">
        <w:t>.</w:t>
      </w:r>
      <w:r w:rsidRPr="00AB4A23">
        <w:t>, Levin-Rector</w:t>
      </w:r>
      <w:r w:rsidR="00146433" w:rsidRPr="00AB4A23">
        <w:t>,</w:t>
      </w:r>
      <w:r w:rsidRPr="00AB4A23">
        <w:t xml:space="preserve"> A</w:t>
      </w:r>
      <w:r w:rsidR="00146433" w:rsidRPr="00AB4A23">
        <w:t>.</w:t>
      </w:r>
      <w:r w:rsidRPr="00AB4A23">
        <w:t xml:space="preserve">, </w:t>
      </w:r>
      <w:r w:rsidR="00DAFA82" w:rsidRPr="00AB4A23">
        <w:t>Levitz, C.E., Lopez, A.D., &amp;</w:t>
      </w:r>
      <w:r w:rsidR="00146433" w:rsidRPr="00AB4A23">
        <w:t xml:space="preserve"> Murray, C.J. </w:t>
      </w:r>
      <w:r w:rsidRPr="00AB4A23">
        <w:t xml:space="preserve">(2012). Age-specific and sex-specific mortality in 187 countries, 1970-2010: a systematic analysis for the Global Burden of Disease Study 2010. </w:t>
      </w:r>
      <w:r w:rsidRPr="00AB4A23">
        <w:rPr>
          <w:i/>
          <w:iCs/>
        </w:rPr>
        <w:t>The Lancet</w:t>
      </w:r>
      <w:r w:rsidR="00104E17" w:rsidRPr="00AB4A23">
        <w:rPr>
          <w:i/>
          <w:iCs/>
        </w:rPr>
        <w:t>,</w:t>
      </w:r>
      <w:r w:rsidR="00146433" w:rsidRPr="00AB4A23">
        <w:t xml:space="preserve"> </w:t>
      </w:r>
      <w:r w:rsidRPr="00AB4A23">
        <w:t>380</w:t>
      </w:r>
      <w:r w:rsidR="00104E17" w:rsidRPr="00AB4A23">
        <w:t>,</w:t>
      </w:r>
      <w:r w:rsidR="00146433" w:rsidRPr="00AB4A23">
        <w:t xml:space="preserve"> </w:t>
      </w:r>
      <w:r w:rsidRPr="00AB4A23">
        <w:t>2071-2094.</w:t>
      </w:r>
    </w:p>
    <w:p w14:paraId="06244C83" w14:textId="3A88ECC5" w:rsidR="00532482" w:rsidRPr="00AB4A23" w:rsidRDefault="00532482" w:rsidP="00467B60">
      <w:pPr>
        <w:spacing w:line="480" w:lineRule="auto"/>
        <w:ind w:left="720" w:hanging="720"/>
      </w:pPr>
      <w:r w:rsidRPr="00AB4A23">
        <w:lastRenderedPageBreak/>
        <w:t>World Ba</w:t>
      </w:r>
      <w:r w:rsidR="00146433" w:rsidRPr="00AB4A23">
        <w:t>nk</w:t>
      </w:r>
      <w:r w:rsidR="00E83192" w:rsidRPr="00AB4A23">
        <w:t>.</w:t>
      </w:r>
      <w:r w:rsidRPr="00AB4A23">
        <w:t xml:space="preserve"> (2018). </w:t>
      </w:r>
      <w:r w:rsidR="00146433" w:rsidRPr="00AB4A23">
        <w:rPr>
          <w:i/>
        </w:rPr>
        <w:t xml:space="preserve">World Bank Open Data: </w:t>
      </w:r>
      <w:r w:rsidRPr="00AB4A23">
        <w:rPr>
          <w:i/>
        </w:rPr>
        <w:t>GDP per capita (current US$).</w:t>
      </w:r>
      <w:r w:rsidRPr="00AB4A23">
        <w:t xml:space="preserve"> </w:t>
      </w:r>
      <w:r w:rsidR="00104E17" w:rsidRPr="00AB4A23">
        <w:t xml:space="preserve">Retrieved from </w:t>
      </w:r>
      <w:hyperlink r:id="rId15" w:history="1">
        <w:r w:rsidRPr="00AB4A23">
          <w:rPr>
            <w:rStyle w:val="Hyperlink"/>
          </w:rPr>
          <w:t>https://data.worldbank.org</w:t>
        </w:r>
      </w:hyperlink>
      <w:r w:rsidRPr="00AB4A23">
        <w:t>.</w:t>
      </w:r>
    </w:p>
    <w:p w14:paraId="7B70C898" w14:textId="77777777" w:rsidR="00104E17" w:rsidRPr="00AB4A23" w:rsidRDefault="003F5BDE" w:rsidP="003F5BDE">
      <w:pPr>
        <w:spacing w:line="480" w:lineRule="auto"/>
        <w:contextualSpacing/>
      </w:pPr>
      <w:r w:rsidRPr="00AB4A23">
        <w:t>World Bank</w:t>
      </w:r>
      <w:r w:rsidR="00E83192" w:rsidRPr="00AB4A23">
        <w:t>.</w:t>
      </w:r>
      <w:r w:rsidRPr="00AB4A23">
        <w:t xml:space="preserve"> (2019). </w:t>
      </w:r>
      <w:proofErr w:type="spellStart"/>
      <w:r w:rsidRPr="00AB4A23">
        <w:t>DataBank</w:t>
      </w:r>
      <w:proofErr w:type="spellEnd"/>
      <w:r w:rsidRPr="00AB4A23">
        <w:t>. Geneva: The World Bank Group.</w:t>
      </w:r>
      <w:r w:rsidR="00104E17" w:rsidRPr="00AB4A23">
        <w:t xml:space="preserve"> Retrieved from</w:t>
      </w:r>
      <w:r w:rsidRPr="00AB4A23">
        <w:t xml:space="preserve"> </w:t>
      </w:r>
    </w:p>
    <w:p w14:paraId="463F10E4" w14:textId="05C3A395" w:rsidR="003F5BDE" w:rsidRPr="00AB4A23" w:rsidRDefault="003C06FB" w:rsidP="00104E17">
      <w:pPr>
        <w:spacing w:line="480" w:lineRule="auto"/>
        <w:ind w:firstLine="720"/>
        <w:contextualSpacing/>
      </w:pPr>
      <w:hyperlink r:id="rId16" w:history="1">
        <w:r w:rsidR="003F5BDE" w:rsidRPr="00AB4A23">
          <w:rPr>
            <w:rStyle w:val="Hyperlink"/>
          </w:rPr>
          <w:t>https://databank.worldbank.org</w:t>
        </w:r>
      </w:hyperlink>
      <w:r w:rsidR="003F5BDE" w:rsidRPr="00AB4A23">
        <w:t>.</w:t>
      </w:r>
    </w:p>
    <w:p w14:paraId="15A323DE" w14:textId="6A4DEF2F" w:rsidR="00532482" w:rsidRPr="00AB4A23" w:rsidRDefault="00532482" w:rsidP="00467B60">
      <w:pPr>
        <w:spacing w:line="480" w:lineRule="auto"/>
        <w:ind w:left="720" w:hanging="720"/>
      </w:pPr>
      <w:proofErr w:type="spellStart"/>
      <w:r w:rsidRPr="00AB4A23">
        <w:t>Xenos</w:t>
      </w:r>
      <w:proofErr w:type="spellEnd"/>
      <w:r w:rsidRPr="00AB4A23">
        <w:t>, P</w:t>
      </w:r>
      <w:r w:rsidR="00A879B6" w:rsidRPr="00AB4A23">
        <w:t>.</w:t>
      </w:r>
      <w:r w:rsidRPr="00AB4A23">
        <w:t xml:space="preserve"> </w:t>
      </w:r>
      <w:r w:rsidR="00E83192" w:rsidRPr="00AB4A23">
        <w:t>&amp;</w:t>
      </w:r>
      <w:r w:rsidRPr="00AB4A23">
        <w:t xml:space="preserve"> </w:t>
      </w:r>
      <w:proofErr w:type="spellStart"/>
      <w:r w:rsidRPr="00AB4A23">
        <w:t>Gultiano</w:t>
      </w:r>
      <w:proofErr w:type="spellEnd"/>
      <w:r w:rsidRPr="00AB4A23">
        <w:t>, S</w:t>
      </w:r>
      <w:r w:rsidR="00A879B6" w:rsidRPr="00AB4A23">
        <w:t>.</w:t>
      </w:r>
      <w:r w:rsidRPr="00AB4A23">
        <w:t>A. (1992)</w:t>
      </w:r>
      <w:r w:rsidR="00E83192" w:rsidRPr="00AB4A23">
        <w:t>.</w:t>
      </w:r>
      <w:r w:rsidRPr="00AB4A23">
        <w:t xml:space="preserve"> Trends in </w:t>
      </w:r>
      <w:r w:rsidR="00A879B6" w:rsidRPr="00AB4A23">
        <w:t>F</w:t>
      </w:r>
      <w:r w:rsidRPr="00AB4A23">
        <w:t xml:space="preserve">emale and </w:t>
      </w:r>
      <w:r w:rsidR="00A879B6" w:rsidRPr="00AB4A23">
        <w:t>M</w:t>
      </w:r>
      <w:r w:rsidRPr="00AB4A23">
        <w:t xml:space="preserve">ale </w:t>
      </w:r>
      <w:r w:rsidR="00A879B6" w:rsidRPr="00AB4A23">
        <w:t>A</w:t>
      </w:r>
      <w:r w:rsidRPr="00AB4A23">
        <w:t xml:space="preserve">ge at </w:t>
      </w:r>
      <w:r w:rsidR="00A879B6" w:rsidRPr="00AB4A23">
        <w:t>M</w:t>
      </w:r>
      <w:r w:rsidRPr="00AB4A23">
        <w:t xml:space="preserve">arriage and </w:t>
      </w:r>
      <w:r w:rsidR="00A879B6" w:rsidRPr="00AB4A23">
        <w:t>C</w:t>
      </w:r>
      <w:r w:rsidRPr="00AB4A23">
        <w:t>elibacy in Asia</w:t>
      </w:r>
      <w:r w:rsidR="00A879B6" w:rsidRPr="00AB4A23">
        <w:t xml:space="preserve"> (</w:t>
      </w:r>
      <w:r w:rsidRPr="00AB4A23">
        <w:t xml:space="preserve">Papers of the Program on Population, East-West </w:t>
      </w:r>
      <w:proofErr w:type="spellStart"/>
      <w:r w:rsidRPr="00AB4A23">
        <w:t>Center</w:t>
      </w:r>
      <w:proofErr w:type="spellEnd"/>
      <w:r w:rsidRPr="00AB4A23">
        <w:t xml:space="preserve"> 120</w:t>
      </w:r>
      <w:r w:rsidR="00A879B6" w:rsidRPr="00AB4A23">
        <w:t>)</w:t>
      </w:r>
      <w:r w:rsidRPr="00AB4A23">
        <w:t>. Honolulu</w:t>
      </w:r>
      <w:r w:rsidR="00104E17" w:rsidRPr="00AB4A23">
        <w:t>:</w:t>
      </w:r>
      <w:r w:rsidR="00A879B6" w:rsidRPr="00AB4A23">
        <w:t xml:space="preserve"> </w:t>
      </w:r>
      <w:r w:rsidRPr="00AB4A23">
        <w:t xml:space="preserve">East-West </w:t>
      </w:r>
      <w:proofErr w:type="spellStart"/>
      <w:r w:rsidRPr="00AB4A23">
        <w:t>Center</w:t>
      </w:r>
      <w:proofErr w:type="spellEnd"/>
      <w:r w:rsidRPr="00AB4A23">
        <w:t>.</w:t>
      </w:r>
    </w:p>
    <w:p w14:paraId="2EA3B652" w14:textId="5B813159" w:rsidR="00532482" w:rsidRPr="00AB4A23" w:rsidRDefault="00532482" w:rsidP="00532482">
      <w:pPr>
        <w:spacing w:before="120" w:line="480" w:lineRule="auto"/>
        <w:ind w:left="720" w:hanging="720"/>
        <w:sectPr w:rsidR="00532482" w:rsidRPr="00AB4A23" w:rsidSect="00EF7BA3">
          <w:headerReference w:type="default" r:id="rId17"/>
          <w:footerReference w:type="default" r:id="rId18"/>
          <w:pgSz w:w="11906" w:h="16838"/>
          <w:pgMar w:top="1440" w:right="1440" w:bottom="1440" w:left="1440" w:header="708" w:footer="708" w:gutter="0"/>
          <w:pgNumType w:start="1"/>
          <w:cols w:space="708"/>
          <w:docGrid w:linePitch="360"/>
        </w:sectPr>
      </w:pPr>
    </w:p>
    <w:tbl>
      <w:tblPr>
        <w:tblStyle w:val="TableGrid"/>
        <w:tblW w:w="0" w:type="auto"/>
        <w:tblLook w:val="04A0" w:firstRow="1" w:lastRow="0" w:firstColumn="1" w:lastColumn="0" w:noHBand="0" w:noVBand="1"/>
      </w:tblPr>
      <w:tblGrid>
        <w:gridCol w:w="3964"/>
        <w:gridCol w:w="851"/>
        <w:gridCol w:w="850"/>
        <w:gridCol w:w="851"/>
        <w:gridCol w:w="850"/>
        <w:gridCol w:w="851"/>
        <w:gridCol w:w="799"/>
      </w:tblGrid>
      <w:tr w:rsidR="008E5F01" w:rsidRPr="00AB4A23" w14:paraId="1B04A27C" w14:textId="77777777" w:rsidTr="006E4B7B">
        <w:tc>
          <w:tcPr>
            <w:tcW w:w="9016" w:type="dxa"/>
            <w:gridSpan w:val="7"/>
            <w:tcBorders>
              <w:top w:val="nil"/>
              <w:left w:val="nil"/>
              <w:bottom w:val="single" w:sz="4" w:space="0" w:color="808080" w:themeColor="background1" w:themeShade="80"/>
              <w:right w:val="nil"/>
            </w:tcBorders>
          </w:tcPr>
          <w:p w14:paraId="27BD0F67" w14:textId="1666AE39" w:rsidR="008E5F01" w:rsidRPr="00AB4A23" w:rsidRDefault="008E5F01" w:rsidP="006E4B7B">
            <w:pPr>
              <w:pStyle w:val="Tabletitle"/>
              <w:spacing w:before="0"/>
              <w:rPr>
                <w:b/>
              </w:rPr>
            </w:pPr>
            <w:r w:rsidRPr="00AB4A23">
              <w:lastRenderedPageBreak/>
              <w:t>Table 1. Intercensal population changes in marriage, labour force engagement and educational attainment, Myanmar 1973-2014</w:t>
            </w:r>
          </w:p>
        </w:tc>
      </w:tr>
      <w:tr w:rsidR="007C7929" w:rsidRPr="00AB4A23" w14:paraId="20DD5B84" w14:textId="506708A6" w:rsidTr="006E4B7B">
        <w:tc>
          <w:tcPr>
            <w:tcW w:w="3964" w:type="dxa"/>
            <w:tcBorders>
              <w:top w:val="single" w:sz="4" w:space="0" w:color="808080" w:themeColor="background1" w:themeShade="80"/>
              <w:left w:val="nil"/>
              <w:bottom w:val="nil"/>
              <w:right w:val="single" w:sz="4" w:space="0" w:color="808080" w:themeColor="background1" w:themeShade="80"/>
            </w:tcBorders>
          </w:tcPr>
          <w:p w14:paraId="38C27C43" w14:textId="77777777" w:rsidR="0030652D" w:rsidRPr="00AB4A23" w:rsidRDefault="0030652D" w:rsidP="006E4B7B">
            <w:pPr>
              <w:pStyle w:val="Tabletitle"/>
              <w:spacing w:before="0" w:line="240" w:lineRule="auto"/>
              <w:rPr>
                <w:sz w:val="18"/>
                <w:szCs w:val="18"/>
              </w:rPr>
            </w:pPr>
          </w:p>
        </w:tc>
        <w:tc>
          <w:tcPr>
            <w:tcW w:w="2552" w:type="dxa"/>
            <w:gridSpan w:val="3"/>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tcPr>
          <w:p w14:paraId="5A0E1539" w14:textId="2246A33F" w:rsidR="0030652D" w:rsidRPr="00AB4A23" w:rsidRDefault="0030652D" w:rsidP="006E4B7B">
            <w:pPr>
              <w:pStyle w:val="Tabletitle"/>
              <w:spacing w:before="0" w:line="240" w:lineRule="auto"/>
              <w:jc w:val="center"/>
              <w:rPr>
                <w:b/>
                <w:sz w:val="18"/>
                <w:szCs w:val="18"/>
              </w:rPr>
            </w:pPr>
            <w:r w:rsidRPr="00AB4A23">
              <w:rPr>
                <w:b/>
                <w:sz w:val="18"/>
                <w:szCs w:val="18"/>
              </w:rPr>
              <w:t>Women</w:t>
            </w:r>
          </w:p>
        </w:tc>
        <w:tc>
          <w:tcPr>
            <w:tcW w:w="2500" w:type="dxa"/>
            <w:gridSpan w:val="3"/>
            <w:tcBorders>
              <w:top w:val="single" w:sz="4" w:space="0" w:color="808080" w:themeColor="background1" w:themeShade="80"/>
              <w:left w:val="single" w:sz="4" w:space="0" w:color="808080" w:themeColor="background1" w:themeShade="80"/>
              <w:bottom w:val="nil"/>
              <w:right w:val="nil"/>
            </w:tcBorders>
          </w:tcPr>
          <w:p w14:paraId="1BC3A119" w14:textId="21D39E7C" w:rsidR="0030652D" w:rsidRPr="00AB4A23" w:rsidRDefault="0030652D" w:rsidP="006E4B7B">
            <w:pPr>
              <w:pStyle w:val="Tabletitle"/>
              <w:spacing w:before="0" w:line="240" w:lineRule="auto"/>
              <w:jc w:val="center"/>
              <w:rPr>
                <w:b/>
                <w:sz w:val="18"/>
                <w:szCs w:val="18"/>
              </w:rPr>
            </w:pPr>
            <w:r w:rsidRPr="00AB4A23">
              <w:rPr>
                <w:b/>
                <w:sz w:val="18"/>
                <w:szCs w:val="18"/>
              </w:rPr>
              <w:t>Men</w:t>
            </w:r>
          </w:p>
        </w:tc>
      </w:tr>
      <w:tr w:rsidR="007C7929" w:rsidRPr="00AB4A23" w14:paraId="1B81C5D5" w14:textId="3B07F8ED" w:rsidTr="006E4B7B">
        <w:tc>
          <w:tcPr>
            <w:tcW w:w="3964" w:type="dxa"/>
            <w:tcBorders>
              <w:top w:val="nil"/>
              <w:left w:val="nil"/>
              <w:bottom w:val="single" w:sz="4" w:space="0" w:color="808080" w:themeColor="background1" w:themeShade="80"/>
              <w:right w:val="single" w:sz="4" w:space="0" w:color="808080" w:themeColor="background1" w:themeShade="80"/>
            </w:tcBorders>
          </w:tcPr>
          <w:p w14:paraId="670CA121" w14:textId="696C0C46" w:rsidR="0030652D" w:rsidRPr="00AB4A23" w:rsidRDefault="0030652D" w:rsidP="006E4B7B">
            <w:pPr>
              <w:pStyle w:val="Tabletitle"/>
              <w:spacing w:before="0" w:line="240" w:lineRule="auto"/>
              <w:rPr>
                <w:sz w:val="18"/>
                <w:szCs w:val="18"/>
              </w:rPr>
            </w:pPr>
          </w:p>
        </w:tc>
        <w:tc>
          <w:tcPr>
            <w:tcW w:w="851" w:type="dxa"/>
            <w:tcBorders>
              <w:top w:val="nil"/>
              <w:left w:val="single" w:sz="4" w:space="0" w:color="808080" w:themeColor="background1" w:themeShade="80"/>
              <w:bottom w:val="single" w:sz="4" w:space="0" w:color="808080" w:themeColor="background1" w:themeShade="80"/>
              <w:right w:val="nil"/>
            </w:tcBorders>
          </w:tcPr>
          <w:p w14:paraId="6A8E6872" w14:textId="6DAC04D7" w:rsidR="0030652D" w:rsidRPr="00AB4A23" w:rsidRDefault="0030652D" w:rsidP="006E4B7B">
            <w:pPr>
              <w:pStyle w:val="Tabletitle"/>
              <w:spacing w:before="0" w:line="240" w:lineRule="auto"/>
              <w:rPr>
                <w:b/>
                <w:sz w:val="18"/>
                <w:szCs w:val="18"/>
              </w:rPr>
            </w:pPr>
            <w:r w:rsidRPr="00AB4A23">
              <w:rPr>
                <w:b/>
                <w:sz w:val="18"/>
                <w:szCs w:val="18"/>
              </w:rPr>
              <w:t>1973</w:t>
            </w:r>
          </w:p>
        </w:tc>
        <w:tc>
          <w:tcPr>
            <w:tcW w:w="850" w:type="dxa"/>
            <w:tcBorders>
              <w:top w:val="nil"/>
              <w:left w:val="nil"/>
              <w:bottom w:val="single" w:sz="4" w:space="0" w:color="808080" w:themeColor="background1" w:themeShade="80"/>
              <w:right w:val="nil"/>
            </w:tcBorders>
          </w:tcPr>
          <w:p w14:paraId="7449C81C" w14:textId="35302643" w:rsidR="0030652D" w:rsidRPr="00AB4A23" w:rsidRDefault="0030652D" w:rsidP="006E4B7B">
            <w:pPr>
              <w:pStyle w:val="Tabletitle"/>
              <w:spacing w:before="0" w:line="240" w:lineRule="auto"/>
              <w:rPr>
                <w:b/>
                <w:sz w:val="18"/>
                <w:szCs w:val="18"/>
              </w:rPr>
            </w:pPr>
            <w:r w:rsidRPr="00AB4A23">
              <w:rPr>
                <w:b/>
                <w:sz w:val="18"/>
                <w:szCs w:val="18"/>
              </w:rPr>
              <w:t>1983</w:t>
            </w:r>
          </w:p>
        </w:tc>
        <w:tc>
          <w:tcPr>
            <w:tcW w:w="851" w:type="dxa"/>
            <w:tcBorders>
              <w:top w:val="nil"/>
              <w:left w:val="nil"/>
              <w:bottom w:val="single" w:sz="4" w:space="0" w:color="808080" w:themeColor="background1" w:themeShade="80"/>
              <w:right w:val="single" w:sz="4" w:space="0" w:color="808080" w:themeColor="background1" w:themeShade="80"/>
            </w:tcBorders>
          </w:tcPr>
          <w:p w14:paraId="4D8ECD30" w14:textId="06FD87B8" w:rsidR="0030652D" w:rsidRPr="00AB4A23" w:rsidRDefault="0030652D" w:rsidP="006E4B7B">
            <w:pPr>
              <w:pStyle w:val="Tabletitle"/>
              <w:spacing w:before="0" w:line="240" w:lineRule="auto"/>
              <w:rPr>
                <w:b/>
                <w:sz w:val="18"/>
                <w:szCs w:val="18"/>
              </w:rPr>
            </w:pPr>
            <w:r w:rsidRPr="00AB4A23">
              <w:rPr>
                <w:b/>
                <w:sz w:val="18"/>
                <w:szCs w:val="18"/>
              </w:rPr>
              <w:t>2014</w:t>
            </w:r>
          </w:p>
        </w:tc>
        <w:tc>
          <w:tcPr>
            <w:tcW w:w="850" w:type="dxa"/>
            <w:tcBorders>
              <w:top w:val="nil"/>
              <w:left w:val="single" w:sz="4" w:space="0" w:color="808080" w:themeColor="background1" w:themeShade="80"/>
              <w:bottom w:val="single" w:sz="4" w:space="0" w:color="808080" w:themeColor="background1" w:themeShade="80"/>
              <w:right w:val="nil"/>
            </w:tcBorders>
          </w:tcPr>
          <w:p w14:paraId="7A63F7F6" w14:textId="2E95159B" w:rsidR="0030652D" w:rsidRPr="00AB4A23" w:rsidRDefault="0030652D" w:rsidP="0030652D">
            <w:pPr>
              <w:pStyle w:val="Tabletitle"/>
              <w:spacing w:before="0" w:line="240" w:lineRule="auto"/>
              <w:rPr>
                <w:b/>
                <w:sz w:val="18"/>
                <w:szCs w:val="18"/>
              </w:rPr>
            </w:pPr>
            <w:r w:rsidRPr="00AB4A23">
              <w:rPr>
                <w:b/>
                <w:sz w:val="18"/>
                <w:szCs w:val="18"/>
              </w:rPr>
              <w:t>1973</w:t>
            </w:r>
          </w:p>
        </w:tc>
        <w:tc>
          <w:tcPr>
            <w:tcW w:w="851" w:type="dxa"/>
            <w:tcBorders>
              <w:top w:val="nil"/>
              <w:left w:val="nil"/>
              <w:bottom w:val="single" w:sz="4" w:space="0" w:color="808080" w:themeColor="background1" w:themeShade="80"/>
              <w:right w:val="nil"/>
            </w:tcBorders>
          </w:tcPr>
          <w:p w14:paraId="0F3FF260" w14:textId="286AADA8" w:rsidR="0030652D" w:rsidRPr="00AB4A23" w:rsidRDefault="0030652D" w:rsidP="0030652D">
            <w:pPr>
              <w:pStyle w:val="Tabletitle"/>
              <w:spacing w:before="0" w:line="240" w:lineRule="auto"/>
              <w:rPr>
                <w:b/>
                <w:sz w:val="18"/>
                <w:szCs w:val="18"/>
              </w:rPr>
            </w:pPr>
            <w:r w:rsidRPr="00AB4A23">
              <w:rPr>
                <w:b/>
                <w:sz w:val="18"/>
                <w:szCs w:val="18"/>
              </w:rPr>
              <w:t>1983</w:t>
            </w:r>
          </w:p>
        </w:tc>
        <w:tc>
          <w:tcPr>
            <w:tcW w:w="799" w:type="dxa"/>
            <w:tcBorders>
              <w:top w:val="nil"/>
              <w:left w:val="nil"/>
              <w:bottom w:val="single" w:sz="4" w:space="0" w:color="808080" w:themeColor="background1" w:themeShade="80"/>
              <w:right w:val="nil"/>
            </w:tcBorders>
          </w:tcPr>
          <w:p w14:paraId="3BE56275" w14:textId="1F94D169" w:rsidR="0030652D" w:rsidRPr="00AB4A23" w:rsidRDefault="0030652D" w:rsidP="0030652D">
            <w:pPr>
              <w:pStyle w:val="Tabletitle"/>
              <w:spacing w:before="0" w:line="240" w:lineRule="auto"/>
              <w:rPr>
                <w:b/>
                <w:sz w:val="18"/>
                <w:szCs w:val="18"/>
              </w:rPr>
            </w:pPr>
            <w:r w:rsidRPr="00AB4A23">
              <w:rPr>
                <w:b/>
                <w:sz w:val="18"/>
                <w:szCs w:val="18"/>
              </w:rPr>
              <w:t>2014</w:t>
            </w:r>
          </w:p>
        </w:tc>
      </w:tr>
      <w:tr w:rsidR="008E5F01" w:rsidRPr="00AB4A23" w14:paraId="43785B58" w14:textId="69FEEB7B" w:rsidTr="006E4B7B">
        <w:tc>
          <w:tcPr>
            <w:tcW w:w="3964" w:type="dxa"/>
            <w:tcBorders>
              <w:top w:val="single" w:sz="4" w:space="0" w:color="808080" w:themeColor="background1" w:themeShade="80"/>
              <w:left w:val="nil"/>
              <w:bottom w:val="nil"/>
              <w:right w:val="single" w:sz="4" w:space="0" w:color="808080" w:themeColor="background1" w:themeShade="80"/>
            </w:tcBorders>
          </w:tcPr>
          <w:p w14:paraId="5C8F3613" w14:textId="194C3B88" w:rsidR="0030652D" w:rsidRPr="00AB4A23" w:rsidRDefault="0030652D" w:rsidP="006E4B7B">
            <w:pPr>
              <w:pStyle w:val="Tabletitle"/>
              <w:spacing w:before="0" w:line="240" w:lineRule="auto"/>
              <w:rPr>
                <w:sz w:val="18"/>
                <w:szCs w:val="18"/>
              </w:rPr>
            </w:pPr>
            <w:r w:rsidRPr="00AB4A23">
              <w:rPr>
                <w:sz w:val="18"/>
                <w:szCs w:val="18"/>
              </w:rPr>
              <w:t>Percent</w:t>
            </w:r>
            <w:r w:rsidR="00E834F3" w:rsidRPr="00AB4A23">
              <w:rPr>
                <w:sz w:val="18"/>
                <w:szCs w:val="18"/>
              </w:rPr>
              <w:t>age</w:t>
            </w:r>
            <w:r w:rsidRPr="00AB4A23">
              <w:rPr>
                <w:sz w:val="18"/>
                <w:szCs w:val="18"/>
              </w:rPr>
              <w:t xml:space="preserve"> </w:t>
            </w:r>
            <w:r w:rsidR="007759AD" w:rsidRPr="00AB4A23">
              <w:rPr>
                <w:sz w:val="18"/>
                <w:szCs w:val="18"/>
              </w:rPr>
              <w:t>never m</w:t>
            </w:r>
            <w:r w:rsidRPr="00AB4A23">
              <w:rPr>
                <w:sz w:val="18"/>
                <w:szCs w:val="18"/>
              </w:rPr>
              <w:t>arried</w:t>
            </w:r>
          </w:p>
        </w:tc>
        <w:tc>
          <w:tcPr>
            <w:tcW w:w="851" w:type="dxa"/>
            <w:tcBorders>
              <w:top w:val="single" w:sz="4" w:space="0" w:color="808080" w:themeColor="background1" w:themeShade="80"/>
              <w:left w:val="single" w:sz="4" w:space="0" w:color="808080" w:themeColor="background1" w:themeShade="80"/>
              <w:bottom w:val="nil"/>
              <w:right w:val="nil"/>
            </w:tcBorders>
          </w:tcPr>
          <w:p w14:paraId="7D1A4B7E" w14:textId="77777777" w:rsidR="0030652D" w:rsidRPr="00AB4A23" w:rsidRDefault="0030652D" w:rsidP="006E4B7B">
            <w:pPr>
              <w:pStyle w:val="Tabletitle"/>
              <w:spacing w:before="0" w:line="240" w:lineRule="auto"/>
              <w:rPr>
                <w:sz w:val="18"/>
                <w:szCs w:val="18"/>
              </w:rPr>
            </w:pPr>
          </w:p>
        </w:tc>
        <w:tc>
          <w:tcPr>
            <w:tcW w:w="850" w:type="dxa"/>
            <w:tcBorders>
              <w:top w:val="single" w:sz="4" w:space="0" w:color="808080" w:themeColor="background1" w:themeShade="80"/>
              <w:left w:val="nil"/>
              <w:bottom w:val="nil"/>
              <w:right w:val="nil"/>
            </w:tcBorders>
          </w:tcPr>
          <w:p w14:paraId="74CF23BF" w14:textId="77777777" w:rsidR="0030652D" w:rsidRPr="00AB4A23" w:rsidRDefault="0030652D" w:rsidP="006E4B7B">
            <w:pPr>
              <w:pStyle w:val="Tabletitle"/>
              <w:spacing w:before="0" w:line="240" w:lineRule="auto"/>
              <w:rPr>
                <w:sz w:val="18"/>
                <w:szCs w:val="18"/>
              </w:rPr>
            </w:pPr>
          </w:p>
        </w:tc>
        <w:tc>
          <w:tcPr>
            <w:tcW w:w="851" w:type="dxa"/>
            <w:tcBorders>
              <w:top w:val="single" w:sz="4" w:space="0" w:color="808080" w:themeColor="background1" w:themeShade="80"/>
              <w:left w:val="nil"/>
              <w:bottom w:val="nil"/>
              <w:right w:val="single" w:sz="4" w:space="0" w:color="808080" w:themeColor="background1" w:themeShade="80"/>
            </w:tcBorders>
          </w:tcPr>
          <w:p w14:paraId="499B43B5" w14:textId="77777777" w:rsidR="0030652D" w:rsidRPr="00AB4A23" w:rsidRDefault="0030652D" w:rsidP="006E4B7B">
            <w:pPr>
              <w:pStyle w:val="Tabletitle"/>
              <w:spacing w:before="0" w:line="240" w:lineRule="auto"/>
              <w:rPr>
                <w:sz w:val="18"/>
                <w:szCs w:val="18"/>
              </w:rPr>
            </w:pPr>
          </w:p>
        </w:tc>
        <w:tc>
          <w:tcPr>
            <w:tcW w:w="850" w:type="dxa"/>
            <w:tcBorders>
              <w:top w:val="single" w:sz="4" w:space="0" w:color="808080" w:themeColor="background1" w:themeShade="80"/>
              <w:left w:val="single" w:sz="4" w:space="0" w:color="808080" w:themeColor="background1" w:themeShade="80"/>
              <w:bottom w:val="nil"/>
              <w:right w:val="nil"/>
            </w:tcBorders>
          </w:tcPr>
          <w:p w14:paraId="13643983" w14:textId="77777777" w:rsidR="0030652D" w:rsidRPr="00AB4A23" w:rsidRDefault="0030652D" w:rsidP="00106C02">
            <w:pPr>
              <w:pStyle w:val="Tabletitle"/>
              <w:spacing w:before="0" w:line="240" w:lineRule="auto"/>
              <w:rPr>
                <w:sz w:val="18"/>
                <w:szCs w:val="18"/>
              </w:rPr>
            </w:pPr>
          </w:p>
        </w:tc>
        <w:tc>
          <w:tcPr>
            <w:tcW w:w="851" w:type="dxa"/>
            <w:tcBorders>
              <w:top w:val="single" w:sz="4" w:space="0" w:color="808080" w:themeColor="background1" w:themeShade="80"/>
              <w:left w:val="nil"/>
              <w:bottom w:val="nil"/>
              <w:right w:val="nil"/>
            </w:tcBorders>
          </w:tcPr>
          <w:p w14:paraId="36DD8551" w14:textId="77777777" w:rsidR="0030652D" w:rsidRPr="00AB4A23" w:rsidRDefault="0030652D" w:rsidP="00106C02">
            <w:pPr>
              <w:pStyle w:val="Tabletitle"/>
              <w:spacing w:before="0" w:line="240" w:lineRule="auto"/>
              <w:rPr>
                <w:sz w:val="18"/>
                <w:szCs w:val="18"/>
              </w:rPr>
            </w:pPr>
          </w:p>
        </w:tc>
        <w:tc>
          <w:tcPr>
            <w:tcW w:w="799" w:type="dxa"/>
            <w:tcBorders>
              <w:top w:val="single" w:sz="4" w:space="0" w:color="808080" w:themeColor="background1" w:themeShade="80"/>
              <w:left w:val="nil"/>
              <w:bottom w:val="nil"/>
              <w:right w:val="nil"/>
            </w:tcBorders>
          </w:tcPr>
          <w:p w14:paraId="739CCABC" w14:textId="77777777" w:rsidR="0030652D" w:rsidRPr="00AB4A23" w:rsidRDefault="0030652D" w:rsidP="00106C02">
            <w:pPr>
              <w:pStyle w:val="Tabletitle"/>
              <w:spacing w:before="0" w:line="240" w:lineRule="auto"/>
              <w:rPr>
                <w:sz w:val="18"/>
                <w:szCs w:val="18"/>
              </w:rPr>
            </w:pPr>
          </w:p>
        </w:tc>
      </w:tr>
      <w:tr w:rsidR="007C7929" w:rsidRPr="00AB4A23" w14:paraId="7296A270" w14:textId="611A9491" w:rsidTr="006E4B7B">
        <w:tc>
          <w:tcPr>
            <w:tcW w:w="3964" w:type="dxa"/>
            <w:tcBorders>
              <w:top w:val="nil"/>
              <w:left w:val="nil"/>
              <w:bottom w:val="nil"/>
              <w:right w:val="single" w:sz="4" w:space="0" w:color="808080" w:themeColor="background1" w:themeShade="80"/>
            </w:tcBorders>
          </w:tcPr>
          <w:p w14:paraId="7B551030" w14:textId="60B09C14" w:rsidR="001944AE" w:rsidRPr="00AB4A23" w:rsidRDefault="001944AE" w:rsidP="006E4B7B">
            <w:pPr>
              <w:pStyle w:val="Tabletitle"/>
              <w:spacing w:before="0" w:line="240" w:lineRule="auto"/>
              <w:ind w:left="164"/>
              <w:rPr>
                <w:sz w:val="18"/>
                <w:szCs w:val="18"/>
              </w:rPr>
            </w:pPr>
            <w:r w:rsidRPr="00AB4A23">
              <w:rPr>
                <w:sz w:val="18"/>
                <w:szCs w:val="18"/>
              </w:rPr>
              <w:t>15-19</w:t>
            </w:r>
          </w:p>
        </w:tc>
        <w:tc>
          <w:tcPr>
            <w:tcW w:w="851" w:type="dxa"/>
            <w:tcBorders>
              <w:top w:val="nil"/>
              <w:left w:val="single" w:sz="4" w:space="0" w:color="808080" w:themeColor="background1" w:themeShade="80"/>
              <w:bottom w:val="nil"/>
              <w:right w:val="nil"/>
            </w:tcBorders>
          </w:tcPr>
          <w:p w14:paraId="095AFDBF" w14:textId="7A0EA63D" w:rsidR="001944AE" w:rsidRPr="00AB4A23" w:rsidRDefault="001944AE" w:rsidP="006E4B7B">
            <w:pPr>
              <w:pStyle w:val="Tabletitle"/>
              <w:spacing w:before="0" w:line="240" w:lineRule="auto"/>
              <w:rPr>
                <w:sz w:val="18"/>
                <w:szCs w:val="18"/>
              </w:rPr>
            </w:pPr>
            <w:r w:rsidRPr="00AB4A23">
              <w:rPr>
                <w:sz w:val="18"/>
                <w:szCs w:val="18"/>
              </w:rPr>
              <w:t>78.0</w:t>
            </w:r>
          </w:p>
        </w:tc>
        <w:tc>
          <w:tcPr>
            <w:tcW w:w="850" w:type="dxa"/>
            <w:tcBorders>
              <w:top w:val="nil"/>
              <w:left w:val="nil"/>
              <w:bottom w:val="nil"/>
              <w:right w:val="nil"/>
            </w:tcBorders>
          </w:tcPr>
          <w:p w14:paraId="02C5490E" w14:textId="5E281DDD" w:rsidR="001944AE" w:rsidRPr="00AB4A23" w:rsidRDefault="001944AE" w:rsidP="006E4B7B">
            <w:pPr>
              <w:pStyle w:val="Tabletitle"/>
              <w:spacing w:before="0" w:line="240" w:lineRule="auto"/>
              <w:rPr>
                <w:sz w:val="18"/>
                <w:szCs w:val="18"/>
              </w:rPr>
            </w:pPr>
            <w:r w:rsidRPr="00AB4A23">
              <w:rPr>
                <w:sz w:val="18"/>
                <w:szCs w:val="18"/>
              </w:rPr>
              <w:t>83.2</w:t>
            </w:r>
          </w:p>
        </w:tc>
        <w:tc>
          <w:tcPr>
            <w:tcW w:w="851" w:type="dxa"/>
            <w:tcBorders>
              <w:top w:val="nil"/>
              <w:left w:val="nil"/>
              <w:bottom w:val="nil"/>
              <w:right w:val="single" w:sz="4" w:space="0" w:color="808080" w:themeColor="background1" w:themeShade="80"/>
            </w:tcBorders>
          </w:tcPr>
          <w:p w14:paraId="65904832" w14:textId="516CF681" w:rsidR="001944AE" w:rsidRPr="00AB4A23" w:rsidRDefault="001944AE" w:rsidP="006E4B7B">
            <w:pPr>
              <w:pStyle w:val="Tabletitle"/>
              <w:spacing w:before="0" w:line="240" w:lineRule="auto"/>
              <w:rPr>
                <w:sz w:val="18"/>
                <w:szCs w:val="18"/>
              </w:rPr>
            </w:pPr>
            <w:r w:rsidRPr="00AB4A23">
              <w:rPr>
                <w:sz w:val="18"/>
                <w:szCs w:val="18"/>
              </w:rPr>
              <w:t>86.8</w:t>
            </w:r>
          </w:p>
        </w:tc>
        <w:tc>
          <w:tcPr>
            <w:tcW w:w="850" w:type="dxa"/>
            <w:tcBorders>
              <w:top w:val="nil"/>
              <w:left w:val="single" w:sz="4" w:space="0" w:color="808080" w:themeColor="background1" w:themeShade="80"/>
              <w:bottom w:val="nil"/>
              <w:right w:val="nil"/>
            </w:tcBorders>
          </w:tcPr>
          <w:p w14:paraId="0539F16C" w14:textId="45690EB7" w:rsidR="001944AE" w:rsidRPr="00AB4A23" w:rsidRDefault="001944AE" w:rsidP="001944AE">
            <w:pPr>
              <w:pStyle w:val="Tabletitle"/>
              <w:spacing w:before="0" w:line="240" w:lineRule="auto"/>
              <w:rPr>
                <w:sz w:val="18"/>
                <w:szCs w:val="18"/>
              </w:rPr>
            </w:pPr>
            <w:r w:rsidRPr="00AB4A23">
              <w:rPr>
                <w:sz w:val="18"/>
                <w:szCs w:val="18"/>
              </w:rPr>
              <w:t>95.2</w:t>
            </w:r>
          </w:p>
        </w:tc>
        <w:tc>
          <w:tcPr>
            <w:tcW w:w="851" w:type="dxa"/>
            <w:tcBorders>
              <w:top w:val="nil"/>
              <w:left w:val="nil"/>
              <w:bottom w:val="nil"/>
              <w:right w:val="nil"/>
            </w:tcBorders>
          </w:tcPr>
          <w:p w14:paraId="7FC97B8C" w14:textId="5EA33D13" w:rsidR="001944AE" w:rsidRPr="00AB4A23" w:rsidRDefault="001944AE" w:rsidP="001944AE">
            <w:pPr>
              <w:pStyle w:val="Tabletitle"/>
              <w:spacing w:before="0" w:line="240" w:lineRule="auto"/>
              <w:rPr>
                <w:sz w:val="18"/>
                <w:szCs w:val="18"/>
              </w:rPr>
            </w:pPr>
            <w:r w:rsidRPr="00AB4A23">
              <w:rPr>
                <w:sz w:val="18"/>
                <w:szCs w:val="18"/>
              </w:rPr>
              <w:t>93.3</w:t>
            </w:r>
          </w:p>
        </w:tc>
        <w:tc>
          <w:tcPr>
            <w:tcW w:w="799" w:type="dxa"/>
            <w:tcBorders>
              <w:top w:val="nil"/>
              <w:left w:val="nil"/>
              <w:bottom w:val="nil"/>
              <w:right w:val="nil"/>
            </w:tcBorders>
          </w:tcPr>
          <w:p w14:paraId="53C26BB2" w14:textId="70EE60DC" w:rsidR="001944AE" w:rsidRPr="00AB4A23" w:rsidRDefault="001944AE" w:rsidP="001944AE">
            <w:pPr>
              <w:pStyle w:val="Tabletitle"/>
              <w:spacing w:before="0" w:line="240" w:lineRule="auto"/>
              <w:rPr>
                <w:sz w:val="18"/>
                <w:szCs w:val="18"/>
              </w:rPr>
            </w:pPr>
            <w:r w:rsidRPr="00AB4A23">
              <w:rPr>
                <w:sz w:val="18"/>
                <w:szCs w:val="18"/>
              </w:rPr>
              <w:t>92.4</w:t>
            </w:r>
          </w:p>
        </w:tc>
      </w:tr>
      <w:tr w:rsidR="007C7929" w:rsidRPr="00AB4A23" w14:paraId="01A03D0E" w14:textId="64AA7084" w:rsidTr="006E4B7B">
        <w:tc>
          <w:tcPr>
            <w:tcW w:w="3964" w:type="dxa"/>
            <w:tcBorders>
              <w:top w:val="nil"/>
              <w:left w:val="nil"/>
              <w:bottom w:val="nil"/>
              <w:right w:val="single" w:sz="4" w:space="0" w:color="808080" w:themeColor="background1" w:themeShade="80"/>
            </w:tcBorders>
          </w:tcPr>
          <w:p w14:paraId="17E28885" w14:textId="7D4F1DEC" w:rsidR="001944AE" w:rsidRPr="00AB4A23" w:rsidRDefault="001944AE" w:rsidP="006E4B7B">
            <w:pPr>
              <w:pStyle w:val="Tabletitle"/>
              <w:spacing w:before="0" w:line="240" w:lineRule="auto"/>
              <w:ind w:left="164"/>
              <w:rPr>
                <w:sz w:val="18"/>
                <w:szCs w:val="18"/>
              </w:rPr>
            </w:pPr>
            <w:r w:rsidRPr="00AB4A23">
              <w:rPr>
                <w:sz w:val="18"/>
                <w:szCs w:val="18"/>
              </w:rPr>
              <w:t>20-24</w:t>
            </w:r>
          </w:p>
        </w:tc>
        <w:tc>
          <w:tcPr>
            <w:tcW w:w="851" w:type="dxa"/>
            <w:tcBorders>
              <w:top w:val="nil"/>
              <w:left w:val="single" w:sz="4" w:space="0" w:color="808080" w:themeColor="background1" w:themeShade="80"/>
              <w:bottom w:val="nil"/>
              <w:right w:val="nil"/>
            </w:tcBorders>
          </w:tcPr>
          <w:p w14:paraId="689C0418" w14:textId="4E231819" w:rsidR="001944AE" w:rsidRPr="00AB4A23" w:rsidRDefault="001944AE" w:rsidP="006E4B7B">
            <w:pPr>
              <w:pStyle w:val="Tabletitle"/>
              <w:spacing w:before="0" w:line="240" w:lineRule="auto"/>
              <w:rPr>
                <w:sz w:val="18"/>
                <w:szCs w:val="18"/>
              </w:rPr>
            </w:pPr>
            <w:r w:rsidRPr="00AB4A23">
              <w:rPr>
                <w:sz w:val="18"/>
                <w:szCs w:val="18"/>
              </w:rPr>
              <w:t>35.5</w:t>
            </w:r>
          </w:p>
        </w:tc>
        <w:tc>
          <w:tcPr>
            <w:tcW w:w="850" w:type="dxa"/>
            <w:tcBorders>
              <w:top w:val="nil"/>
              <w:left w:val="nil"/>
              <w:bottom w:val="nil"/>
              <w:right w:val="nil"/>
            </w:tcBorders>
          </w:tcPr>
          <w:p w14:paraId="44560C3F" w14:textId="7E92F6BB" w:rsidR="001944AE" w:rsidRPr="00AB4A23" w:rsidRDefault="001944AE" w:rsidP="006E4B7B">
            <w:pPr>
              <w:pStyle w:val="Tabletitle"/>
              <w:spacing w:before="0" w:line="240" w:lineRule="auto"/>
              <w:rPr>
                <w:sz w:val="18"/>
                <w:szCs w:val="18"/>
              </w:rPr>
            </w:pPr>
            <w:r w:rsidRPr="00AB4A23">
              <w:rPr>
                <w:sz w:val="18"/>
                <w:szCs w:val="18"/>
              </w:rPr>
              <w:t>42.1</w:t>
            </w:r>
          </w:p>
        </w:tc>
        <w:tc>
          <w:tcPr>
            <w:tcW w:w="851" w:type="dxa"/>
            <w:tcBorders>
              <w:top w:val="nil"/>
              <w:left w:val="nil"/>
              <w:bottom w:val="nil"/>
              <w:right w:val="single" w:sz="4" w:space="0" w:color="808080" w:themeColor="background1" w:themeShade="80"/>
            </w:tcBorders>
          </w:tcPr>
          <w:p w14:paraId="3420AC92" w14:textId="27BDB512" w:rsidR="001944AE" w:rsidRPr="00AB4A23" w:rsidRDefault="001944AE" w:rsidP="006E4B7B">
            <w:pPr>
              <w:pStyle w:val="Tabletitle"/>
              <w:spacing w:before="0" w:line="240" w:lineRule="auto"/>
              <w:rPr>
                <w:sz w:val="18"/>
                <w:szCs w:val="18"/>
              </w:rPr>
            </w:pPr>
            <w:r w:rsidRPr="00AB4A23">
              <w:rPr>
                <w:sz w:val="18"/>
                <w:szCs w:val="18"/>
              </w:rPr>
              <w:t>54.5</w:t>
            </w:r>
          </w:p>
        </w:tc>
        <w:tc>
          <w:tcPr>
            <w:tcW w:w="850" w:type="dxa"/>
            <w:tcBorders>
              <w:top w:val="nil"/>
              <w:left w:val="single" w:sz="4" w:space="0" w:color="808080" w:themeColor="background1" w:themeShade="80"/>
              <w:bottom w:val="nil"/>
              <w:right w:val="nil"/>
            </w:tcBorders>
          </w:tcPr>
          <w:p w14:paraId="710D2EB9" w14:textId="1298ED85" w:rsidR="001944AE" w:rsidRPr="00AB4A23" w:rsidRDefault="001944AE" w:rsidP="001944AE">
            <w:pPr>
              <w:pStyle w:val="Tabletitle"/>
              <w:spacing w:before="0" w:line="240" w:lineRule="auto"/>
              <w:rPr>
                <w:sz w:val="18"/>
                <w:szCs w:val="18"/>
              </w:rPr>
            </w:pPr>
            <w:r w:rsidRPr="00AB4A23">
              <w:rPr>
                <w:sz w:val="18"/>
                <w:szCs w:val="18"/>
              </w:rPr>
              <w:t>55.2</w:t>
            </w:r>
          </w:p>
        </w:tc>
        <w:tc>
          <w:tcPr>
            <w:tcW w:w="851" w:type="dxa"/>
            <w:tcBorders>
              <w:top w:val="nil"/>
              <w:left w:val="nil"/>
              <w:bottom w:val="nil"/>
              <w:right w:val="nil"/>
            </w:tcBorders>
          </w:tcPr>
          <w:p w14:paraId="5CE06B97" w14:textId="05557BDF" w:rsidR="001944AE" w:rsidRPr="00AB4A23" w:rsidRDefault="001944AE" w:rsidP="001944AE">
            <w:pPr>
              <w:pStyle w:val="Tabletitle"/>
              <w:spacing w:before="0" w:line="240" w:lineRule="auto"/>
              <w:rPr>
                <w:sz w:val="18"/>
                <w:szCs w:val="18"/>
              </w:rPr>
            </w:pPr>
            <w:r w:rsidRPr="00AB4A23">
              <w:rPr>
                <w:sz w:val="18"/>
                <w:szCs w:val="18"/>
              </w:rPr>
              <w:t>60.1</w:t>
            </w:r>
          </w:p>
        </w:tc>
        <w:tc>
          <w:tcPr>
            <w:tcW w:w="799" w:type="dxa"/>
            <w:tcBorders>
              <w:top w:val="nil"/>
              <w:left w:val="nil"/>
              <w:bottom w:val="nil"/>
              <w:right w:val="nil"/>
            </w:tcBorders>
          </w:tcPr>
          <w:p w14:paraId="79AB6485" w14:textId="1E780522" w:rsidR="001944AE" w:rsidRPr="00AB4A23" w:rsidRDefault="001944AE" w:rsidP="001944AE">
            <w:pPr>
              <w:pStyle w:val="Tabletitle"/>
              <w:spacing w:before="0" w:line="240" w:lineRule="auto"/>
              <w:rPr>
                <w:sz w:val="18"/>
                <w:szCs w:val="18"/>
              </w:rPr>
            </w:pPr>
            <w:r w:rsidRPr="00AB4A23">
              <w:rPr>
                <w:sz w:val="18"/>
                <w:szCs w:val="18"/>
              </w:rPr>
              <w:t>67.0</w:t>
            </w:r>
          </w:p>
        </w:tc>
      </w:tr>
      <w:tr w:rsidR="007C7929" w:rsidRPr="00AB4A23" w14:paraId="71D73C84" w14:textId="3F3C4A16" w:rsidTr="006E4B7B">
        <w:tc>
          <w:tcPr>
            <w:tcW w:w="3964" w:type="dxa"/>
            <w:tcBorders>
              <w:top w:val="nil"/>
              <w:left w:val="nil"/>
              <w:bottom w:val="nil"/>
              <w:right w:val="single" w:sz="4" w:space="0" w:color="808080" w:themeColor="background1" w:themeShade="80"/>
            </w:tcBorders>
          </w:tcPr>
          <w:p w14:paraId="7B52E17A" w14:textId="197BC6E7" w:rsidR="001944AE" w:rsidRPr="00AB4A23" w:rsidRDefault="001944AE" w:rsidP="006E4B7B">
            <w:pPr>
              <w:pStyle w:val="Tabletitle"/>
              <w:spacing w:before="0" w:line="240" w:lineRule="auto"/>
              <w:ind w:left="164"/>
              <w:rPr>
                <w:sz w:val="18"/>
                <w:szCs w:val="18"/>
              </w:rPr>
            </w:pPr>
            <w:r w:rsidRPr="00AB4A23">
              <w:rPr>
                <w:sz w:val="18"/>
                <w:szCs w:val="18"/>
              </w:rPr>
              <w:t>25-29</w:t>
            </w:r>
          </w:p>
        </w:tc>
        <w:tc>
          <w:tcPr>
            <w:tcW w:w="851" w:type="dxa"/>
            <w:tcBorders>
              <w:top w:val="nil"/>
              <w:left w:val="single" w:sz="4" w:space="0" w:color="808080" w:themeColor="background1" w:themeShade="80"/>
              <w:bottom w:val="nil"/>
              <w:right w:val="nil"/>
            </w:tcBorders>
          </w:tcPr>
          <w:p w14:paraId="35A109A5" w14:textId="5726904F" w:rsidR="001944AE" w:rsidRPr="00AB4A23" w:rsidRDefault="001944AE" w:rsidP="006E4B7B">
            <w:pPr>
              <w:pStyle w:val="Tabletitle"/>
              <w:spacing w:before="0" w:line="240" w:lineRule="auto"/>
              <w:rPr>
                <w:sz w:val="18"/>
                <w:szCs w:val="18"/>
              </w:rPr>
            </w:pPr>
            <w:r w:rsidRPr="00AB4A23">
              <w:rPr>
                <w:sz w:val="18"/>
                <w:szCs w:val="18"/>
              </w:rPr>
              <w:t>16.6</w:t>
            </w:r>
          </w:p>
        </w:tc>
        <w:tc>
          <w:tcPr>
            <w:tcW w:w="850" w:type="dxa"/>
            <w:tcBorders>
              <w:top w:val="nil"/>
              <w:left w:val="nil"/>
              <w:bottom w:val="nil"/>
              <w:right w:val="nil"/>
            </w:tcBorders>
          </w:tcPr>
          <w:p w14:paraId="7DFBDBC6" w14:textId="77B0E8FC" w:rsidR="001944AE" w:rsidRPr="00AB4A23" w:rsidRDefault="001944AE" w:rsidP="006E4B7B">
            <w:pPr>
              <w:pStyle w:val="Tabletitle"/>
              <w:spacing w:before="0" w:line="240" w:lineRule="auto"/>
              <w:rPr>
                <w:sz w:val="18"/>
                <w:szCs w:val="18"/>
              </w:rPr>
            </w:pPr>
            <w:r w:rsidRPr="00AB4A23">
              <w:rPr>
                <w:sz w:val="18"/>
                <w:szCs w:val="18"/>
              </w:rPr>
              <w:t>21.5</w:t>
            </w:r>
          </w:p>
        </w:tc>
        <w:tc>
          <w:tcPr>
            <w:tcW w:w="851" w:type="dxa"/>
            <w:tcBorders>
              <w:top w:val="nil"/>
              <w:left w:val="nil"/>
              <w:bottom w:val="nil"/>
              <w:right w:val="single" w:sz="4" w:space="0" w:color="808080" w:themeColor="background1" w:themeShade="80"/>
            </w:tcBorders>
          </w:tcPr>
          <w:p w14:paraId="422B3D28" w14:textId="7C62EE0C" w:rsidR="001944AE" w:rsidRPr="00AB4A23" w:rsidRDefault="001944AE" w:rsidP="006E4B7B">
            <w:pPr>
              <w:pStyle w:val="Tabletitle"/>
              <w:spacing w:before="0" w:line="240" w:lineRule="auto"/>
              <w:rPr>
                <w:sz w:val="18"/>
                <w:szCs w:val="18"/>
              </w:rPr>
            </w:pPr>
            <w:r w:rsidRPr="00AB4A23">
              <w:rPr>
                <w:sz w:val="18"/>
                <w:szCs w:val="18"/>
              </w:rPr>
              <w:t>32.0</w:t>
            </w:r>
          </w:p>
        </w:tc>
        <w:tc>
          <w:tcPr>
            <w:tcW w:w="850" w:type="dxa"/>
            <w:tcBorders>
              <w:top w:val="nil"/>
              <w:left w:val="single" w:sz="4" w:space="0" w:color="808080" w:themeColor="background1" w:themeShade="80"/>
              <w:bottom w:val="nil"/>
              <w:right w:val="nil"/>
            </w:tcBorders>
          </w:tcPr>
          <w:p w14:paraId="52D2964E" w14:textId="7E330829" w:rsidR="001944AE" w:rsidRPr="00AB4A23" w:rsidRDefault="001944AE" w:rsidP="001944AE">
            <w:pPr>
              <w:pStyle w:val="Tabletitle"/>
              <w:spacing w:before="0" w:line="240" w:lineRule="auto"/>
              <w:rPr>
                <w:sz w:val="18"/>
                <w:szCs w:val="18"/>
              </w:rPr>
            </w:pPr>
            <w:r w:rsidRPr="00AB4A23">
              <w:rPr>
                <w:sz w:val="18"/>
                <w:szCs w:val="18"/>
              </w:rPr>
              <w:t>23.7</w:t>
            </w:r>
          </w:p>
        </w:tc>
        <w:tc>
          <w:tcPr>
            <w:tcW w:w="851" w:type="dxa"/>
            <w:tcBorders>
              <w:top w:val="nil"/>
              <w:left w:val="nil"/>
              <w:bottom w:val="nil"/>
              <w:right w:val="nil"/>
            </w:tcBorders>
          </w:tcPr>
          <w:p w14:paraId="2EA12D93" w14:textId="66774C9A" w:rsidR="001944AE" w:rsidRPr="00AB4A23" w:rsidRDefault="001944AE" w:rsidP="001944AE">
            <w:pPr>
              <w:pStyle w:val="Tabletitle"/>
              <w:spacing w:before="0" w:line="240" w:lineRule="auto"/>
              <w:rPr>
                <w:sz w:val="18"/>
                <w:szCs w:val="18"/>
              </w:rPr>
            </w:pPr>
            <w:r w:rsidRPr="00AB4A23">
              <w:rPr>
                <w:sz w:val="18"/>
                <w:szCs w:val="18"/>
              </w:rPr>
              <w:t>28.1</w:t>
            </w:r>
          </w:p>
        </w:tc>
        <w:tc>
          <w:tcPr>
            <w:tcW w:w="799" w:type="dxa"/>
            <w:tcBorders>
              <w:top w:val="nil"/>
              <w:left w:val="nil"/>
              <w:bottom w:val="nil"/>
              <w:right w:val="nil"/>
            </w:tcBorders>
          </w:tcPr>
          <w:p w14:paraId="06F30CEE" w14:textId="691128D3" w:rsidR="001944AE" w:rsidRPr="00AB4A23" w:rsidRDefault="001944AE" w:rsidP="001944AE">
            <w:pPr>
              <w:pStyle w:val="Tabletitle"/>
              <w:spacing w:before="0" w:line="240" w:lineRule="auto"/>
              <w:rPr>
                <w:sz w:val="18"/>
                <w:szCs w:val="18"/>
              </w:rPr>
            </w:pPr>
            <w:r w:rsidRPr="00AB4A23">
              <w:rPr>
                <w:sz w:val="18"/>
                <w:szCs w:val="18"/>
              </w:rPr>
              <w:t>39.0</w:t>
            </w:r>
          </w:p>
        </w:tc>
      </w:tr>
      <w:tr w:rsidR="007C7929" w:rsidRPr="00AB4A23" w14:paraId="5DD1E4E6" w14:textId="3543BF42" w:rsidTr="006E4B7B">
        <w:tc>
          <w:tcPr>
            <w:tcW w:w="3964" w:type="dxa"/>
            <w:tcBorders>
              <w:top w:val="nil"/>
              <w:left w:val="nil"/>
              <w:bottom w:val="nil"/>
              <w:right w:val="single" w:sz="4" w:space="0" w:color="808080" w:themeColor="background1" w:themeShade="80"/>
            </w:tcBorders>
          </w:tcPr>
          <w:p w14:paraId="69399AD2" w14:textId="1DD18153" w:rsidR="001944AE" w:rsidRPr="00AB4A23" w:rsidRDefault="001944AE" w:rsidP="006E4B7B">
            <w:pPr>
              <w:pStyle w:val="Tabletitle"/>
              <w:spacing w:before="0" w:line="240" w:lineRule="auto"/>
              <w:ind w:left="164"/>
              <w:rPr>
                <w:sz w:val="18"/>
                <w:szCs w:val="18"/>
              </w:rPr>
            </w:pPr>
            <w:r w:rsidRPr="00AB4A23">
              <w:rPr>
                <w:sz w:val="18"/>
                <w:szCs w:val="18"/>
              </w:rPr>
              <w:t>30-34</w:t>
            </w:r>
          </w:p>
        </w:tc>
        <w:tc>
          <w:tcPr>
            <w:tcW w:w="851" w:type="dxa"/>
            <w:tcBorders>
              <w:top w:val="nil"/>
              <w:left w:val="single" w:sz="4" w:space="0" w:color="808080" w:themeColor="background1" w:themeShade="80"/>
              <w:bottom w:val="nil"/>
              <w:right w:val="nil"/>
            </w:tcBorders>
          </w:tcPr>
          <w:p w14:paraId="61F568B1" w14:textId="0215BAB5" w:rsidR="001944AE" w:rsidRPr="00AB4A23" w:rsidRDefault="001944AE" w:rsidP="006E4B7B">
            <w:pPr>
              <w:pStyle w:val="Tabletitle"/>
              <w:spacing w:before="0" w:line="240" w:lineRule="auto"/>
              <w:rPr>
                <w:sz w:val="18"/>
                <w:szCs w:val="18"/>
              </w:rPr>
            </w:pPr>
            <w:r w:rsidRPr="00AB4A23">
              <w:rPr>
                <w:sz w:val="18"/>
                <w:szCs w:val="18"/>
              </w:rPr>
              <w:t>9.3</w:t>
            </w:r>
          </w:p>
        </w:tc>
        <w:tc>
          <w:tcPr>
            <w:tcW w:w="850" w:type="dxa"/>
            <w:tcBorders>
              <w:top w:val="nil"/>
              <w:left w:val="nil"/>
              <w:bottom w:val="nil"/>
              <w:right w:val="nil"/>
            </w:tcBorders>
          </w:tcPr>
          <w:p w14:paraId="1EBE388D" w14:textId="2F36DF0D" w:rsidR="001944AE" w:rsidRPr="00AB4A23" w:rsidRDefault="001944AE" w:rsidP="006E4B7B">
            <w:pPr>
              <w:pStyle w:val="Tabletitle"/>
              <w:spacing w:before="0" w:line="240" w:lineRule="auto"/>
              <w:rPr>
                <w:sz w:val="18"/>
                <w:szCs w:val="18"/>
              </w:rPr>
            </w:pPr>
            <w:r w:rsidRPr="00AB4A23">
              <w:rPr>
                <w:sz w:val="18"/>
                <w:szCs w:val="18"/>
              </w:rPr>
              <w:t>12.8</w:t>
            </w:r>
          </w:p>
        </w:tc>
        <w:tc>
          <w:tcPr>
            <w:tcW w:w="851" w:type="dxa"/>
            <w:tcBorders>
              <w:top w:val="nil"/>
              <w:left w:val="nil"/>
              <w:bottom w:val="nil"/>
              <w:right w:val="single" w:sz="4" w:space="0" w:color="808080" w:themeColor="background1" w:themeShade="80"/>
            </w:tcBorders>
          </w:tcPr>
          <w:p w14:paraId="028C426F" w14:textId="3CCDCD93" w:rsidR="001944AE" w:rsidRPr="00AB4A23" w:rsidRDefault="001944AE" w:rsidP="006E4B7B">
            <w:pPr>
              <w:pStyle w:val="Tabletitle"/>
              <w:spacing w:before="0" w:line="240" w:lineRule="auto"/>
              <w:rPr>
                <w:sz w:val="18"/>
                <w:szCs w:val="18"/>
              </w:rPr>
            </w:pPr>
            <w:r w:rsidRPr="00AB4A23">
              <w:rPr>
                <w:sz w:val="18"/>
                <w:szCs w:val="18"/>
              </w:rPr>
              <w:t>20.8</w:t>
            </w:r>
          </w:p>
        </w:tc>
        <w:tc>
          <w:tcPr>
            <w:tcW w:w="850" w:type="dxa"/>
            <w:tcBorders>
              <w:top w:val="nil"/>
              <w:left w:val="single" w:sz="4" w:space="0" w:color="808080" w:themeColor="background1" w:themeShade="80"/>
              <w:bottom w:val="nil"/>
              <w:right w:val="nil"/>
            </w:tcBorders>
          </w:tcPr>
          <w:p w14:paraId="01FF92FB" w14:textId="37DF316A" w:rsidR="001944AE" w:rsidRPr="00AB4A23" w:rsidRDefault="001944AE" w:rsidP="001944AE">
            <w:pPr>
              <w:pStyle w:val="Tabletitle"/>
              <w:spacing w:before="0" w:line="240" w:lineRule="auto"/>
              <w:rPr>
                <w:sz w:val="18"/>
                <w:szCs w:val="18"/>
              </w:rPr>
            </w:pPr>
            <w:r w:rsidRPr="00AB4A23">
              <w:rPr>
                <w:sz w:val="18"/>
                <w:szCs w:val="18"/>
              </w:rPr>
              <w:t>10.3</w:t>
            </w:r>
          </w:p>
        </w:tc>
        <w:tc>
          <w:tcPr>
            <w:tcW w:w="851" w:type="dxa"/>
            <w:tcBorders>
              <w:top w:val="nil"/>
              <w:left w:val="nil"/>
              <w:bottom w:val="nil"/>
              <w:right w:val="nil"/>
            </w:tcBorders>
          </w:tcPr>
          <w:p w14:paraId="4FBF8749" w14:textId="0BEC9EFD" w:rsidR="001944AE" w:rsidRPr="00AB4A23" w:rsidRDefault="001944AE" w:rsidP="001944AE">
            <w:pPr>
              <w:pStyle w:val="Tabletitle"/>
              <w:spacing w:before="0" w:line="240" w:lineRule="auto"/>
              <w:rPr>
                <w:sz w:val="18"/>
                <w:szCs w:val="18"/>
              </w:rPr>
            </w:pPr>
            <w:r w:rsidRPr="00AB4A23">
              <w:rPr>
                <w:sz w:val="18"/>
                <w:szCs w:val="18"/>
              </w:rPr>
              <w:t>12.7</w:t>
            </w:r>
          </w:p>
        </w:tc>
        <w:tc>
          <w:tcPr>
            <w:tcW w:w="799" w:type="dxa"/>
            <w:tcBorders>
              <w:top w:val="nil"/>
              <w:left w:val="nil"/>
              <w:bottom w:val="nil"/>
              <w:right w:val="nil"/>
            </w:tcBorders>
          </w:tcPr>
          <w:p w14:paraId="030D14AE" w14:textId="03D71D20" w:rsidR="001944AE" w:rsidRPr="00AB4A23" w:rsidRDefault="001944AE" w:rsidP="001944AE">
            <w:pPr>
              <w:pStyle w:val="Tabletitle"/>
              <w:spacing w:before="0" w:line="240" w:lineRule="auto"/>
              <w:rPr>
                <w:sz w:val="18"/>
                <w:szCs w:val="18"/>
              </w:rPr>
            </w:pPr>
            <w:r w:rsidRPr="00AB4A23">
              <w:rPr>
                <w:sz w:val="18"/>
                <w:szCs w:val="18"/>
              </w:rPr>
              <w:t>22.6</w:t>
            </w:r>
          </w:p>
        </w:tc>
      </w:tr>
      <w:tr w:rsidR="007C7929" w:rsidRPr="00AB4A23" w14:paraId="61CEBC80" w14:textId="27DF188D" w:rsidTr="006E4B7B">
        <w:tc>
          <w:tcPr>
            <w:tcW w:w="3964" w:type="dxa"/>
            <w:tcBorders>
              <w:top w:val="nil"/>
              <w:left w:val="nil"/>
              <w:bottom w:val="nil"/>
              <w:right w:val="single" w:sz="4" w:space="0" w:color="808080" w:themeColor="background1" w:themeShade="80"/>
            </w:tcBorders>
          </w:tcPr>
          <w:p w14:paraId="58474324" w14:textId="04B240F7" w:rsidR="001944AE" w:rsidRPr="00AB4A23" w:rsidRDefault="001944AE" w:rsidP="006E4B7B">
            <w:pPr>
              <w:pStyle w:val="Tabletitle"/>
              <w:spacing w:before="0" w:line="240" w:lineRule="auto"/>
              <w:ind w:left="164"/>
              <w:rPr>
                <w:sz w:val="18"/>
                <w:szCs w:val="18"/>
              </w:rPr>
            </w:pPr>
            <w:r w:rsidRPr="00AB4A23">
              <w:rPr>
                <w:sz w:val="18"/>
                <w:szCs w:val="18"/>
              </w:rPr>
              <w:t>35-39</w:t>
            </w:r>
          </w:p>
        </w:tc>
        <w:tc>
          <w:tcPr>
            <w:tcW w:w="851" w:type="dxa"/>
            <w:tcBorders>
              <w:top w:val="nil"/>
              <w:left w:val="single" w:sz="4" w:space="0" w:color="808080" w:themeColor="background1" w:themeShade="80"/>
              <w:bottom w:val="nil"/>
              <w:right w:val="nil"/>
            </w:tcBorders>
          </w:tcPr>
          <w:p w14:paraId="40E79205" w14:textId="6DE52741" w:rsidR="001944AE" w:rsidRPr="00AB4A23" w:rsidRDefault="001944AE" w:rsidP="006E4B7B">
            <w:pPr>
              <w:pStyle w:val="Tabletitle"/>
              <w:spacing w:before="0" w:line="240" w:lineRule="auto"/>
              <w:rPr>
                <w:sz w:val="18"/>
                <w:szCs w:val="18"/>
              </w:rPr>
            </w:pPr>
            <w:r w:rsidRPr="00AB4A23">
              <w:rPr>
                <w:sz w:val="18"/>
                <w:szCs w:val="18"/>
              </w:rPr>
              <w:t>7.0</w:t>
            </w:r>
          </w:p>
        </w:tc>
        <w:tc>
          <w:tcPr>
            <w:tcW w:w="850" w:type="dxa"/>
            <w:tcBorders>
              <w:top w:val="nil"/>
              <w:left w:val="nil"/>
              <w:bottom w:val="nil"/>
              <w:right w:val="nil"/>
            </w:tcBorders>
          </w:tcPr>
          <w:p w14:paraId="0ED9B0C5" w14:textId="175D3AAB" w:rsidR="001944AE" w:rsidRPr="00AB4A23" w:rsidRDefault="001944AE" w:rsidP="006E4B7B">
            <w:pPr>
              <w:pStyle w:val="Tabletitle"/>
              <w:spacing w:before="0" w:line="240" w:lineRule="auto"/>
              <w:rPr>
                <w:sz w:val="18"/>
                <w:szCs w:val="18"/>
              </w:rPr>
            </w:pPr>
            <w:r w:rsidRPr="00AB4A23">
              <w:rPr>
                <w:sz w:val="18"/>
                <w:szCs w:val="18"/>
              </w:rPr>
              <w:t>8.9</w:t>
            </w:r>
          </w:p>
        </w:tc>
        <w:tc>
          <w:tcPr>
            <w:tcW w:w="851" w:type="dxa"/>
            <w:tcBorders>
              <w:top w:val="nil"/>
              <w:left w:val="nil"/>
              <w:bottom w:val="nil"/>
              <w:right w:val="single" w:sz="4" w:space="0" w:color="808080" w:themeColor="background1" w:themeShade="80"/>
            </w:tcBorders>
          </w:tcPr>
          <w:p w14:paraId="505F3F12" w14:textId="7E23430C" w:rsidR="001944AE" w:rsidRPr="00AB4A23" w:rsidRDefault="001944AE" w:rsidP="006E4B7B">
            <w:pPr>
              <w:pStyle w:val="Tabletitle"/>
              <w:spacing w:before="0" w:line="240" w:lineRule="auto"/>
              <w:rPr>
                <w:sz w:val="18"/>
                <w:szCs w:val="18"/>
              </w:rPr>
            </w:pPr>
            <w:r w:rsidRPr="00AB4A23">
              <w:rPr>
                <w:sz w:val="18"/>
                <w:szCs w:val="18"/>
              </w:rPr>
              <w:t>16.2</w:t>
            </w:r>
          </w:p>
        </w:tc>
        <w:tc>
          <w:tcPr>
            <w:tcW w:w="850" w:type="dxa"/>
            <w:tcBorders>
              <w:top w:val="nil"/>
              <w:left w:val="single" w:sz="4" w:space="0" w:color="808080" w:themeColor="background1" w:themeShade="80"/>
              <w:bottom w:val="nil"/>
              <w:right w:val="nil"/>
            </w:tcBorders>
          </w:tcPr>
          <w:p w14:paraId="219BA443" w14:textId="26204E57" w:rsidR="001944AE" w:rsidRPr="00AB4A23" w:rsidRDefault="001944AE" w:rsidP="001944AE">
            <w:pPr>
              <w:pStyle w:val="Tabletitle"/>
              <w:spacing w:before="0" w:line="240" w:lineRule="auto"/>
              <w:rPr>
                <w:sz w:val="18"/>
                <w:szCs w:val="18"/>
              </w:rPr>
            </w:pPr>
            <w:r w:rsidRPr="00AB4A23">
              <w:rPr>
                <w:sz w:val="18"/>
                <w:szCs w:val="18"/>
              </w:rPr>
              <w:t>6.1</w:t>
            </w:r>
          </w:p>
        </w:tc>
        <w:tc>
          <w:tcPr>
            <w:tcW w:w="851" w:type="dxa"/>
            <w:tcBorders>
              <w:top w:val="nil"/>
              <w:left w:val="nil"/>
              <w:bottom w:val="nil"/>
              <w:right w:val="nil"/>
            </w:tcBorders>
          </w:tcPr>
          <w:p w14:paraId="36CA077A" w14:textId="72627A4B" w:rsidR="001944AE" w:rsidRPr="00AB4A23" w:rsidRDefault="001944AE" w:rsidP="001944AE">
            <w:pPr>
              <w:pStyle w:val="Tabletitle"/>
              <w:spacing w:before="0" w:line="240" w:lineRule="auto"/>
              <w:rPr>
                <w:sz w:val="18"/>
                <w:szCs w:val="18"/>
              </w:rPr>
            </w:pPr>
            <w:r w:rsidRPr="00AB4A23">
              <w:rPr>
                <w:sz w:val="18"/>
                <w:szCs w:val="18"/>
              </w:rPr>
              <w:t>7.2</w:t>
            </w:r>
          </w:p>
        </w:tc>
        <w:tc>
          <w:tcPr>
            <w:tcW w:w="799" w:type="dxa"/>
            <w:tcBorders>
              <w:top w:val="nil"/>
              <w:left w:val="nil"/>
              <w:bottom w:val="nil"/>
              <w:right w:val="nil"/>
            </w:tcBorders>
          </w:tcPr>
          <w:p w14:paraId="34BD9BB0" w14:textId="605D0CB2" w:rsidR="001944AE" w:rsidRPr="00AB4A23" w:rsidRDefault="001944AE" w:rsidP="001944AE">
            <w:pPr>
              <w:pStyle w:val="Tabletitle"/>
              <w:spacing w:before="0" w:line="240" w:lineRule="auto"/>
              <w:rPr>
                <w:sz w:val="18"/>
                <w:szCs w:val="18"/>
              </w:rPr>
            </w:pPr>
            <w:r w:rsidRPr="00AB4A23">
              <w:rPr>
                <w:sz w:val="18"/>
                <w:szCs w:val="18"/>
              </w:rPr>
              <w:t>14.5</w:t>
            </w:r>
          </w:p>
        </w:tc>
      </w:tr>
      <w:tr w:rsidR="008E5F01" w:rsidRPr="00AB4A23" w14:paraId="31A3EDAD" w14:textId="77777777" w:rsidTr="006E4B7B">
        <w:tc>
          <w:tcPr>
            <w:tcW w:w="3964" w:type="dxa"/>
            <w:tcBorders>
              <w:top w:val="nil"/>
              <w:left w:val="nil"/>
              <w:bottom w:val="nil"/>
              <w:right w:val="single" w:sz="4" w:space="0" w:color="808080" w:themeColor="background1" w:themeShade="80"/>
            </w:tcBorders>
          </w:tcPr>
          <w:p w14:paraId="3AB2B3EA" w14:textId="64CAB1B6" w:rsidR="001944AE" w:rsidRPr="00AB4A23" w:rsidRDefault="001944AE" w:rsidP="006E4B7B">
            <w:pPr>
              <w:pStyle w:val="Tabletitle"/>
              <w:spacing w:before="0" w:line="240" w:lineRule="auto"/>
              <w:ind w:left="164"/>
              <w:rPr>
                <w:sz w:val="18"/>
                <w:szCs w:val="18"/>
              </w:rPr>
            </w:pPr>
            <w:r w:rsidRPr="00AB4A23">
              <w:rPr>
                <w:sz w:val="18"/>
                <w:szCs w:val="18"/>
              </w:rPr>
              <w:t>40-44</w:t>
            </w:r>
          </w:p>
        </w:tc>
        <w:tc>
          <w:tcPr>
            <w:tcW w:w="851" w:type="dxa"/>
            <w:tcBorders>
              <w:top w:val="nil"/>
              <w:left w:val="single" w:sz="4" w:space="0" w:color="808080" w:themeColor="background1" w:themeShade="80"/>
              <w:bottom w:val="nil"/>
              <w:right w:val="nil"/>
            </w:tcBorders>
          </w:tcPr>
          <w:p w14:paraId="74ACE22F" w14:textId="20E94958" w:rsidR="001944AE" w:rsidRPr="00AB4A23" w:rsidRDefault="001944AE" w:rsidP="001944AE">
            <w:pPr>
              <w:pStyle w:val="Tabletitle"/>
              <w:spacing w:before="0" w:line="240" w:lineRule="auto"/>
              <w:rPr>
                <w:sz w:val="18"/>
                <w:szCs w:val="18"/>
              </w:rPr>
            </w:pPr>
            <w:r w:rsidRPr="00AB4A23">
              <w:rPr>
                <w:sz w:val="18"/>
                <w:szCs w:val="18"/>
              </w:rPr>
              <w:t>6.2</w:t>
            </w:r>
          </w:p>
        </w:tc>
        <w:tc>
          <w:tcPr>
            <w:tcW w:w="850" w:type="dxa"/>
            <w:tcBorders>
              <w:top w:val="nil"/>
              <w:left w:val="nil"/>
              <w:bottom w:val="nil"/>
              <w:right w:val="nil"/>
            </w:tcBorders>
          </w:tcPr>
          <w:p w14:paraId="276E1E89" w14:textId="1C9CB6C7" w:rsidR="001944AE" w:rsidRPr="00AB4A23" w:rsidRDefault="001944AE" w:rsidP="001944AE">
            <w:pPr>
              <w:pStyle w:val="Tabletitle"/>
              <w:spacing w:before="0" w:line="240" w:lineRule="auto"/>
              <w:rPr>
                <w:sz w:val="18"/>
                <w:szCs w:val="18"/>
              </w:rPr>
            </w:pPr>
            <w:r w:rsidRPr="00AB4A23">
              <w:rPr>
                <w:sz w:val="18"/>
                <w:szCs w:val="18"/>
              </w:rPr>
              <w:t>6.7</w:t>
            </w:r>
          </w:p>
        </w:tc>
        <w:tc>
          <w:tcPr>
            <w:tcW w:w="851" w:type="dxa"/>
            <w:tcBorders>
              <w:top w:val="nil"/>
              <w:left w:val="nil"/>
              <w:bottom w:val="nil"/>
              <w:right w:val="single" w:sz="4" w:space="0" w:color="808080" w:themeColor="background1" w:themeShade="80"/>
            </w:tcBorders>
          </w:tcPr>
          <w:p w14:paraId="4696322E" w14:textId="786DF2D7" w:rsidR="001944AE" w:rsidRPr="00AB4A23" w:rsidRDefault="001944AE" w:rsidP="001944AE">
            <w:pPr>
              <w:pStyle w:val="Tabletitle"/>
              <w:spacing w:before="0" w:line="240" w:lineRule="auto"/>
              <w:rPr>
                <w:sz w:val="18"/>
                <w:szCs w:val="18"/>
              </w:rPr>
            </w:pPr>
            <w:r w:rsidRPr="00AB4A23">
              <w:rPr>
                <w:sz w:val="18"/>
                <w:szCs w:val="18"/>
              </w:rPr>
              <w:t>14.1</w:t>
            </w:r>
          </w:p>
        </w:tc>
        <w:tc>
          <w:tcPr>
            <w:tcW w:w="850" w:type="dxa"/>
            <w:tcBorders>
              <w:top w:val="nil"/>
              <w:left w:val="single" w:sz="4" w:space="0" w:color="808080" w:themeColor="background1" w:themeShade="80"/>
              <w:bottom w:val="nil"/>
              <w:right w:val="nil"/>
            </w:tcBorders>
          </w:tcPr>
          <w:p w14:paraId="0B0FE256" w14:textId="42E8504B" w:rsidR="001944AE" w:rsidRPr="00AB4A23" w:rsidRDefault="001944AE" w:rsidP="001944AE">
            <w:pPr>
              <w:pStyle w:val="Tabletitle"/>
              <w:spacing w:before="0" w:line="240" w:lineRule="auto"/>
              <w:rPr>
                <w:sz w:val="18"/>
                <w:szCs w:val="18"/>
              </w:rPr>
            </w:pPr>
            <w:r w:rsidRPr="00AB4A23">
              <w:rPr>
                <w:sz w:val="18"/>
                <w:szCs w:val="18"/>
              </w:rPr>
              <w:t>4.4</w:t>
            </w:r>
          </w:p>
        </w:tc>
        <w:tc>
          <w:tcPr>
            <w:tcW w:w="851" w:type="dxa"/>
            <w:tcBorders>
              <w:top w:val="nil"/>
              <w:left w:val="nil"/>
              <w:bottom w:val="nil"/>
              <w:right w:val="nil"/>
            </w:tcBorders>
          </w:tcPr>
          <w:p w14:paraId="7B6AA5A0" w14:textId="143BADAA" w:rsidR="001944AE" w:rsidRPr="00AB4A23" w:rsidRDefault="001944AE" w:rsidP="001944AE">
            <w:pPr>
              <w:pStyle w:val="Tabletitle"/>
              <w:spacing w:before="0" w:line="240" w:lineRule="auto"/>
              <w:rPr>
                <w:sz w:val="18"/>
                <w:szCs w:val="18"/>
              </w:rPr>
            </w:pPr>
            <w:r w:rsidRPr="00AB4A23">
              <w:rPr>
                <w:sz w:val="18"/>
                <w:szCs w:val="18"/>
              </w:rPr>
              <w:t>4.8</w:t>
            </w:r>
          </w:p>
        </w:tc>
        <w:tc>
          <w:tcPr>
            <w:tcW w:w="799" w:type="dxa"/>
            <w:tcBorders>
              <w:top w:val="nil"/>
              <w:left w:val="nil"/>
              <w:bottom w:val="nil"/>
              <w:right w:val="nil"/>
            </w:tcBorders>
          </w:tcPr>
          <w:p w14:paraId="4560E7A8" w14:textId="0C00FB09" w:rsidR="001944AE" w:rsidRPr="00AB4A23" w:rsidRDefault="001944AE" w:rsidP="001944AE">
            <w:pPr>
              <w:pStyle w:val="Tabletitle"/>
              <w:spacing w:before="0" w:line="240" w:lineRule="auto"/>
              <w:rPr>
                <w:sz w:val="18"/>
                <w:szCs w:val="18"/>
              </w:rPr>
            </w:pPr>
            <w:r w:rsidRPr="00AB4A23">
              <w:rPr>
                <w:sz w:val="18"/>
                <w:szCs w:val="18"/>
              </w:rPr>
              <w:t>10.6</w:t>
            </w:r>
          </w:p>
        </w:tc>
      </w:tr>
      <w:tr w:rsidR="008E5F01" w:rsidRPr="00AB4A23" w14:paraId="565F7D5C" w14:textId="77777777" w:rsidTr="006E4B7B">
        <w:tc>
          <w:tcPr>
            <w:tcW w:w="3964" w:type="dxa"/>
            <w:tcBorders>
              <w:top w:val="nil"/>
              <w:left w:val="nil"/>
              <w:bottom w:val="single" w:sz="4" w:space="0" w:color="808080" w:themeColor="background1" w:themeShade="80"/>
              <w:right w:val="single" w:sz="4" w:space="0" w:color="808080" w:themeColor="background1" w:themeShade="80"/>
            </w:tcBorders>
          </w:tcPr>
          <w:p w14:paraId="05D507E7" w14:textId="26605327" w:rsidR="001944AE" w:rsidRPr="00AB4A23" w:rsidRDefault="001944AE" w:rsidP="006E4B7B">
            <w:pPr>
              <w:pStyle w:val="Tabletitle"/>
              <w:spacing w:before="0" w:line="240" w:lineRule="auto"/>
              <w:ind w:left="164"/>
              <w:rPr>
                <w:sz w:val="18"/>
                <w:szCs w:val="18"/>
              </w:rPr>
            </w:pPr>
            <w:r w:rsidRPr="00AB4A23">
              <w:rPr>
                <w:sz w:val="18"/>
                <w:szCs w:val="18"/>
              </w:rPr>
              <w:t>45-49</w:t>
            </w:r>
          </w:p>
        </w:tc>
        <w:tc>
          <w:tcPr>
            <w:tcW w:w="851" w:type="dxa"/>
            <w:tcBorders>
              <w:top w:val="nil"/>
              <w:left w:val="single" w:sz="4" w:space="0" w:color="808080" w:themeColor="background1" w:themeShade="80"/>
              <w:bottom w:val="single" w:sz="4" w:space="0" w:color="808080" w:themeColor="background1" w:themeShade="80"/>
              <w:right w:val="nil"/>
            </w:tcBorders>
          </w:tcPr>
          <w:p w14:paraId="589CDC18" w14:textId="61C674DB" w:rsidR="001944AE" w:rsidRPr="00AB4A23" w:rsidRDefault="001944AE" w:rsidP="001944AE">
            <w:pPr>
              <w:pStyle w:val="Tabletitle"/>
              <w:spacing w:before="0" w:line="240" w:lineRule="auto"/>
              <w:rPr>
                <w:sz w:val="18"/>
                <w:szCs w:val="18"/>
              </w:rPr>
            </w:pPr>
            <w:r w:rsidRPr="00AB4A23">
              <w:rPr>
                <w:sz w:val="18"/>
                <w:szCs w:val="18"/>
              </w:rPr>
              <w:t>5.9</w:t>
            </w:r>
          </w:p>
        </w:tc>
        <w:tc>
          <w:tcPr>
            <w:tcW w:w="850" w:type="dxa"/>
            <w:tcBorders>
              <w:top w:val="nil"/>
              <w:left w:val="nil"/>
              <w:bottom w:val="single" w:sz="4" w:space="0" w:color="808080" w:themeColor="background1" w:themeShade="80"/>
              <w:right w:val="nil"/>
            </w:tcBorders>
          </w:tcPr>
          <w:p w14:paraId="14B460E2" w14:textId="41865768" w:rsidR="001944AE" w:rsidRPr="00AB4A23" w:rsidRDefault="001944AE" w:rsidP="001944AE">
            <w:pPr>
              <w:pStyle w:val="Tabletitle"/>
              <w:spacing w:before="0" w:line="240" w:lineRule="auto"/>
              <w:rPr>
                <w:sz w:val="18"/>
                <w:szCs w:val="18"/>
              </w:rPr>
            </w:pPr>
            <w:r w:rsidRPr="00AB4A23">
              <w:rPr>
                <w:sz w:val="18"/>
                <w:szCs w:val="18"/>
              </w:rPr>
              <w:t>5.9</w:t>
            </w:r>
          </w:p>
        </w:tc>
        <w:tc>
          <w:tcPr>
            <w:tcW w:w="851" w:type="dxa"/>
            <w:tcBorders>
              <w:top w:val="nil"/>
              <w:left w:val="nil"/>
              <w:bottom w:val="single" w:sz="4" w:space="0" w:color="808080" w:themeColor="background1" w:themeShade="80"/>
              <w:right w:val="single" w:sz="4" w:space="0" w:color="808080" w:themeColor="background1" w:themeShade="80"/>
            </w:tcBorders>
          </w:tcPr>
          <w:p w14:paraId="66F5819C" w14:textId="3F453FFF" w:rsidR="001944AE" w:rsidRPr="00AB4A23" w:rsidRDefault="001944AE" w:rsidP="001944AE">
            <w:pPr>
              <w:pStyle w:val="Tabletitle"/>
              <w:spacing w:before="0" w:line="240" w:lineRule="auto"/>
              <w:rPr>
                <w:sz w:val="18"/>
                <w:szCs w:val="18"/>
              </w:rPr>
            </w:pPr>
            <w:r w:rsidRPr="00AB4A23">
              <w:rPr>
                <w:sz w:val="18"/>
                <w:szCs w:val="18"/>
              </w:rPr>
              <w:t>12.9</w:t>
            </w:r>
          </w:p>
        </w:tc>
        <w:tc>
          <w:tcPr>
            <w:tcW w:w="850" w:type="dxa"/>
            <w:tcBorders>
              <w:top w:val="nil"/>
              <w:left w:val="single" w:sz="4" w:space="0" w:color="808080" w:themeColor="background1" w:themeShade="80"/>
              <w:bottom w:val="single" w:sz="4" w:space="0" w:color="808080" w:themeColor="background1" w:themeShade="80"/>
              <w:right w:val="nil"/>
            </w:tcBorders>
          </w:tcPr>
          <w:p w14:paraId="737A30C2" w14:textId="5F2230B4" w:rsidR="001944AE" w:rsidRPr="00AB4A23" w:rsidRDefault="001944AE" w:rsidP="001944AE">
            <w:pPr>
              <w:pStyle w:val="Tabletitle"/>
              <w:spacing w:before="0" w:line="240" w:lineRule="auto"/>
              <w:rPr>
                <w:sz w:val="18"/>
                <w:szCs w:val="18"/>
              </w:rPr>
            </w:pPr>
            <w:r w:rsidRPr="00AB4A23">
              <w:rPr>
                <w:sz w:val="18"/>
                <w:szCs w:val="18"/>
              </w:rPr>
              <w:t>3.5</w:t>
            </w:r>
          </w:p>
        </w:tc>
        <w:tc>
          <w:tcPr>
            <w:tcW w:w="851" w:type="dxa"/>
            <w:tcBorders>
              <w:top w:val="nil"/>
              <w:left w:val="nil"/>
              <w:bottom w:val="single" w:sz="4" w:space="0" w:color="808080" w:themeColor="background1" w:themeShade="80"/>
              <w:right w:val="nil"/>
            </w:tcBorders>
          </w:tcPr>
          <w:p w14:paraId="31AD82AE" w14:textId="285E1026" w:rsidR="001944AE" w:rsidRPr="00AB4A23" w:rsidRDefault="001944AE" w:rsidP="001944AE">
            <w:pPr>
              <w:pStyle w:val="Tabletitle"/>
              <w:spacing w:before="0" w:line="240" w:lineRule="auto"/>
              <w:rPr>
                <w:sz w:val="18"/>
                <w:szCs w:val="18"/>
              </w:rPr>
            </w:pPr>
            <w:r w:rsidRPr="00AB4A23">
              <w:rPr>
                <w:sz w:val="18"/>
                <w:szCs w:val="18"/>
              </w:rPr>
              <w:t>3.8</w:t>
            </w:r>
          </w:p>
        </w:tc>
        <w:tc>
          <w:tcPr>
            <w:tcW w:w="799" w:type="dxa"/>
            <w:tcBorders>
              <w:top w:val="nil"/>
              <w:left w:val="nil"/>
              <w:bottom w:val="single" w:sz="4" w:space="0" w:color="808080" w:themeColor="background1" w:themeShade="80"/>
              <w:right w:val="nil"/>
            </w:tcBorders>
          </w:tcPr>
          <w:p w14:paraId="687B1EF5" w14:textId="2158D391" w:rsidR="001944AE" w:rsidRPr="00AB4A23" w:rsidRDefault="001944AE" w:rsidP="001944AE">
            <w:pPr>
              <w:pStyle w:val="Tabletitle"/>
              <w:spacing w:before="0" w:line="240" w:lineRule="auto"/>
              <w:rPr>
                <w:sz w:val="18"/>
                <w:szCs w:val="18"/>
              </w:rPr>
            </w:pPr>
            <w:r w:rsidRPr="00AB4A23">
              <w:rPr>
                <w:sz w:val="18"/>
                <w:szCs w:val="18"/>
              </w:rPr>
              <w:t>8.3</w:t>
            </w:r>
          </w:p>
        </w:tc>
      </w:tr>
      <w:tr w:rsidR="008E5F01" w:rsidRPr="00AB4A23" w14:paraId="4B9A668E" w14:textId="77777777" w:rsidTr="006E4B7B">
        <w:tc>
          <w:tcPr>
            <w:tcW w:w="396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3A5B20D" w14:textId="07968A9B" w:rsidR="0030652D" w:rsidRPr="00AB4A23" w:rsidRDefault="001944AE" w:rsidP="00106C02">
            <w:pPr>
              <w:pStyle w:val="Tabletitle"/>
              <w:spacing w:before="0" w:line="240" w:lineRule="auto"/>
              <w:rPr>
                <w:sz w:val="18"/>
                <w:szCs w:val="18"/>
              </w:rPr>
            </w:pPr>
            <w:r w:rsidRPr="00AB4A23">
              <w:rPr>
                <w:sz w:val="18"/>
                <w:szCs w:val="18"/>
              </w:rPr>
              <w:t>Percent</w:t>
            </w:r>
            <w:r w:rsidR="00E834F3" w:rsidRPr="00AB4A23">
              <w:rPr>
                <w:sz w:val="18"/>
                <w:szCs w:val="18"/>
              </w:rPr>
              <w:t>age of the</w:t>
            </w:r>
            <w:r w:rsidRPr="00AB4A23">
              <w:rPr>
                <w:sz w:val="18"/>
                <w:szCs w:val="18"/>
              </w:rPr>
              <w:t xml:space="preserve"> population 10 years and older in labour force</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56AC5C7C" w14:textId="7264957D" w:rsidR="0030652D" w:rsidRPr="00AB4A23" w:rsidRDefault="001944AE" w:rsidP="00106C02">
            <w:pPr>
              <w:pStyle w:val="Tabletitle"/>
              <w:spacing w:before="0" w:line="240" w:lineRule="auto"/>
              <w:rPr>
                <w:sz w:val="18"/>
                <w:szCs w:val="18"/>
              </w:rPr>
            </w:pPr>
            <w:r w:rsidRPr="00AB4A23">
              <w:rPr>
                <w:sz w:val="18"/>
                <w:szCs w:val="18"/>
              </w:rPr>
              <w:t>30.9</w:t>
            </w:r>
          </w:p>
        </w:tc>
        <w:tc>
          <w:tcPr>
            <w:tcW w:w="850" w:type="dxa"/>
            <w:tcBorders>
              <w:top w:val="single" w:sz="4" w:space="0" w:color="808080" w:themeColor="background1" w:themeShade="80"/>
              <w:left w:val="nil"/>
              <w:bottom w:val="single" w:sz="4" w:space="0" w:color="808080" w:themeColor="background1" w:themeShade="80"/>
              <w:right w:val="nil"/>
            </w:tcBorders>
          </w:tcPr>
          <w:p w14:paraId="2D64F0FE" w14:textId="079AD2AC" w:rsidR="0030652D" w:rsidRPr="00AB4A23" w:rsidRDefault="001944AE" w:rsidP="00106C02">
            <w:pPr>
              <w:pStyle w:val="Tabletitle"/>
              <w:spacing w:before="0" w:line="240" w:lineRule="auto"/>
              <w:rPr>
                <w:sz w:val="18"/>
                <w:szCs w:val="18"/>
              </w:rPr>
            </w:pPr>
            <w:r w:rsidRPr="00AB4A23">
              <w:rPr>
                <w:sz w:val="18"/>
                <w:szCs w:val="18"/>
              </w:rPr>
              <w:t>34.4</w:t>
            </w:r>
          </w:p>
        </w:tc>
        <w:tc>
          <w:tcPr>
            <w:tcW w:w="85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47E01FD" w14:textId="18224E95" w:rsidR="0030652D" w:rsidRPr="00AB4A23" w:rsidRDefault="001944AE" w:rsidP="00106C02">
            <w:pPr>
              <w:pStyle w:val="Tabletitle"/>
              <w:spacing w:before="0" w:line="240" w:lineRule="auto"/>
              <w:rPr>
                <w:sz w:val="18"/>
                <w:szCs w:val="18"/>
              </w:rPr>
            </w:pPr>
            <w:r w:rsidRPr="00AB4A23">
              <w:rPr>
                <w:sz w:val="18"/>
                <w:szCs w:val="18"/>
              </w:rPr>
              <w:t>42.9</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11F05DA" w14:textId="1D0D6D8E" w:rsidR="0030652D" w:rsidRPr="00AB4A23" w:rsidRDefault="001944AE" w:rsidP="00106C02">
            <w:pPr>
              <w:pStyle w:val="Tabletitle"/>
              <w:spacing w:before="0" w:line="240" w:lineRule="auto"/>
              <w:rPr>
                <w:sz w:val="18"/>
                <w:szCs w:val="18"/>
              </w:rPr>
            </w:pPr>
            <w:r w:rsidRPr="00AB4A23">
              <w:rPr>
                <w:sz w:val="18"/>
                <w:szCs w:val="18"/>
              </w:rPr>
              <w:t>65.3</w:t>
            </w:r>
          </w:p>
        </w:tc>
        <w:tc>
          <w:tcPr>
            <w:tcW w:w="851" w:type="dxa"/>
            <w:tcBorders>
              <w:top w:val="single" w:sz="4" w:space="0" w:color="808080" w:themeColor="background1" w:themeShade="80"/>
              <w:left w:val="nil"/>
              <w:bottom w:val="single" w:sz="4" w:space="0" w:color="808080" w:themeColor="background1" w:themeShade="80"/>
              <w:right w:val="nil"/>
            </w:tcBorders>
          </w:tcPr>
          <w:p w14:paraId="5E3045D9" w14:textId="51C0FBD0" w:rsidR="0030652D" w:rsidRPr="00AB4A23" w:rsidRDefault="001944AE" w:rsidP="00106C02">
            <w:pPr>
              <w:pStyle w:val="Tabletitle"/>
              <w:spacing w:before="0" w:line="240" w:lineRule="auto"/>
              <w:rPr>
                <w:sz w:val="18"/>
                <w:szCs w:val="18"/>
              </w:rPr>
            </w:pPr>
            <w:r w:rsidRPr="00AB4A23">
              <w:rPr>
                <w:sz w:val="18"/>
                <w:szCs w:val="18"/>
              </w:rPr>
              <w:t>62.7</w:t>
            </w:r>
          </w:p>
        </w:tc>
        <w:tc>
          <w:tcPr>
            <w:tcW w:w="799" w:type="dxa"/>
            <w:tcBorders>
              <w:top w:val="single" w:sz="4" w:space="0" w:color="808080" w:themeColor="background1" w:themeShade="80"/>
              <w:left w:val="nil"/>
              <w:bottom w:val="single" w:sz="4" w:space="0" w:color="808080" w:themeColor="background1" w:themeShade="80"/>
              <w:right w:val="nil"/>
            </w:tcBorders>
          </w:tcPr>
          <w:p w14:paraId="7CF484DF" w14:textId="2C200153" w:rsidR="0030652D" w:rsidRPr="00AB4A23" w:rsidRDefault="001944AE" w:rsidP="00106C02">
            <w:pPr>
              <w:pStyle w:val="Tabletitle"/>
              <w:spacing w:before="0" w:line="240" w:lineRule="auto"/>
              <w:rPr>
                <w:sz w:val="18"/>
                <w:szCs w:val="18"/>
              </w:rPr>
            </w:pPr>
            <w:r w:rsidRPr="00AB4A23">
              <w:rPr>
                <w:sz w:val="18"/>
                <w:szCs w:val="18"/>
              </w:rPr>
              <w:t>72.5</w:t>
            </w:r>
          </w:p>
        </w:tc>
      </w:tr>
      <w:tr w:rsidR="008E5F01" w:rsidRPr="00AB4A23" w14:paraId="1D5295C2" w14:textId="77777777" w:rsidTr="006E4B7B">
        <w:trPr>
          <w:trHeight w:val="367"/>
        </w:trPr>
        <w:tc>
          <w:tcPr>
            <w:tcW w:w="396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22D68A7F" w14:textId="0F53D825" w:rsidR="0030652D" w:rsidRPr="00AB4A23" w:rsidRDefault="007759AD" w:rsidP="001038E0">
            <w:pPr>
              <w:pStyle w:val="Tabletitle"/>
              <w:spacing w:before="0" w:line="240" w:lineRule="auto"/>
              <w:rPr>
                <w:sz w:val="18"/>
                <w:szCs w:val="18"/>
              </w:rPr>
            </w:pPr>
            <w:r w:rsidRPr="00AB4A23">
              <w:rPr>
                <w:sz w:val="18"/>
                <w:szCs w:val="18"/>
              </w:rPr>
              <w:t>Percent</w:t>
            </w:r>
            <w:r w:rsidR="00E834F3" w:rsidRPr="00AB4A23">
              <w:rPr>
                <w:sz w:val="18"/>
                <w:szCs w:val="18"/>
              </w:rPr>
              <w:t>age of the</w:t>
            </w:r>
            <w:r w:rsidRPr="00AB4A23">
              <w:rPr>
                <w:sz w:val="18"/>
                <w:szCs w:val="18"/>
              </w:rPr>
              <w:t xml:space="preserve"> </w:t>
            </w:r>
            <w:r w:rsidR="00890445" w:rsidRPr="00AB4A23">
              <w:rPr>
                <w:sz w:val="18"/>
                <w:szCs w:val="18"/>
              </w:rPr>
              <w:t xml:space="preserve">population 10 years and older </w:t>
            </w:r>
            <w:r w:rsidRPr="00AB4A23">
              <w:rPr>
                <w:sz w:val="18"/>
                <w:szCs w:val="18"/>
              </w:rPr>
              <w:t>with any education</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1B8BE9D4" w14:textId="4AE4C39C" w:rsidR="0030652D" w:rsidRPr="00AB4A23" w:rsidRDefault="007759AD" w:rsidP="00106C02">
            <w:pPr>
              <w:pStyle w:val="Tabletitle"/>
              <w:spacing w:before="0" w:line="240" w:lineRule="auto"/>
              <w:rPr>
                <w:sz w:val="18"/>
                <w:szCs w:val="18"/>
              </w:rPr>
            </w:pPr>
            <w:r w:rsidRPr="00AB4A23">
              <w:rPr>
                <w:sz w:val="18"/>
                <w:szCs w:val="18"/>
              </w:rPr>
              <w:t>31.7</w:t>
            </w:r>
          </w:p>
        </w:tc>
        <w:tc>
          <w:tcPr>
            <w:tcW w:w="850" w:type="dxa"/>
            <w:tcBorders>
              <w:top w:val="single" w:sz="4" w:space="0" w:color="808080" w:themeColor="background1" w:themeShade="80"/>
              <w:left w:val="nil"/>
              <w:bottom w:val="single" w:sz="4" w:space="0" w:color="808080" w:themeColor="background1" w:themeShade="80"/>
              <w:right w:val="nil"/>
            </w:tcBorders>
          </w:tcPr>
          <w:p w14:paraId="61962CA0" w14:textId="5B70C860" w:rsidR="0030652D" w:rsidRPr="00AB4A23" w:rsidRDefault="00F751B5" w:rsidP="00106C02">
            <w:pPr>
              <w:pStyle w:val="Tabletitle"/>
              <w:spacing w:before="0" w:line="240" w:lineRule="auto"/>
              <w:rPr>
                <w:sz w:val="18"/>
                <w:szCs w:val="18"/>
              </w:rPr>
            </w:pPr>
            <w:r w:rsidRPr="00AB4A23">
              <w:rPr>
                <w:sz w:val="18"/>
                <w:szCs w:val="18"/>
              </w:rPr>
              <w:t>61.6</w:t>
            </w:r>
          </w:p>
        </w:tc>
        <w:tc>
          <w:tcPr>
            <w:tcW w:w="85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3917C99" w14:textId="25A65B59" w:rsidR="0030652D" w:rsidRPr="00AB4A23" w:rsidRDefault="00F751B5" w:rsidP="001038E0">
            <w:pPr>
              <w:pStyle w:val="Tabletitle"/>
              <w:spacing w:before="0" w:line="240" w:lineRule="auto"/>
              <w:rPr>
                <w:sz w:val="18"/>
                <w:szCs w:val="18"/>
              </w:rPr>
            </w:pPr>
            <w:r w:rsidRPr="00AB4A23">
              <w:rPr>
                <w:sz w:val="18"/>
                <w:szCs w:val="18"/>
              </w:rPr>
              <w:t>85.4</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30948B8" w14:textId="3D2C8400" w:rsidR="0030652D" w:rsidRPr="00AB4A23" w:rsidRDefault="007759AD" w:rsidP="00106C02">
            <w:pPr>
              <w:pStyle w:val="Tabletitle"/>
              <w:spacing w:before="0" w:line="240" w:lineRule="auto"/>
              <w:rPr>
                <w:sz w:val="18"/>
                <w:szCs w:val="18"/>
              </w:rPr>
            </w:pPr>
            <w:r w:rsidRPr="00AB4A23">
              <w:rPr>
                <w:sz w:val="18"/>
                <w:szCs w:val="18"/>
              </w:rPr>
              <w:t>39.8</w:t>
            </w:r>
          </w:p>
        </w:tc>
        <w:tc>
          <w:tcPr>
            <w:tcW w:w="851" w:type="dxa"/>
            <w:tcBorders>
              <w:top w:val="single" w:sz="4" w:space="0" w:color="808080" w:themeColor="background1" w:themeShade="80"/>
              <w:left w:val="nil"/>
              <w:bottom w:val="single" w:sz="4" w:space="0" w:color="808080" w:themeColor="background1" w:themeShade="80"/>
              <w:right w:val="nil"/>
            </w:tcBorders>
          </w:tcPr>
          <w:p w14:paraId="56378805" w14:textId="5D399744" w:rsidR="0030652D" w:rsidRPr="00AB4A23" w:rsidRDefault="00F751B5" w:rsidP="00106C02">
            <w:pPr>
              <w:pStyle w:val="Tabletitle"/>
              <w:spacing w:before="0" w:line="240" w:lineRule="auto"/>
              <w:rPr>
                <w:sz w:val="18"/>
                <w:szCs w:val="18"/>
              </w:rPr>
            </w:pPr>
            <w:r w:rsidRPr="00AB4A23">
              <w:rPr>
                <w:sz w:val="18"/>
                <w:szCs w:val="18"/>
              </w:rPr>
              <w:t>65.1</w:t>
            </w:r>
          </w:p>
        </w:tc>
        <w:tc>
          <w:tcPr>
            <w:tcW w:w="799" w:type="dxa"/>
            <w:tcBorders>
              <w:top w:val="single" w:sz="4" w:space="0" w:color="808080" w:themeColor="background1" w:themeShade="80"/>
              <w:left w:val="nil"/>
              <w:bottom w:val="single" w:sz="4" w:space="0" w:color="808080" w:themeColor="background1" w:themeShade="80"/>
              <w:right w:val="nil"/>
            </w:tcBorders>
          </w:tcPr>
          <w:p w14:paraId="2B6A051B" w14:textId="6CF27F23" w:rsidR="0030652D" w:rsidRPr="00AB4A23" w:rsidRDefault="00F751B5" w:rsidP="00106C02">
            <w:pPr>
              <w:pStyle w:val="Tabletitle"/>
              <w:spacing w:before="0" w:line="240" w:lineRule="auto"/>
              <w:rPr>
                <w:sz w:val="18"/>
                <w:szCs w:val="18"/>
              </w:rPr>
            </w:pPr>
            <w:r w:rsidRPr="00AB4A23">
              <w:rPr>
                <w:sz w:val="18"/>
                <w:szCs w:val="18"/>
              </w:rPr>
              <w:t>89.2</w:t>
            </w:r>
          </w:p>
        </w:tc>
      </w:tr>
      <w:tr w:rsidR="008E5F01" w:rsidRPr="00AB4A23" w14:paraId="42CD01E1" w14:textId="77777777" w:rsidTr="006E4B7B">
        <w:tc>
          <w:tcPr>
            <w:tcW w:w="396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B93A193" w14:textId="7D99291A" w:rsidR="0030652D" w:rsidRPr="00AB4A23" w:rsidRDefault="007759AD" w:rsidP="001038E0">
            <w:pPr>
              <w:pStyle w:val="Tabletitle"/>
              <w:spacing w:before="0" w:line="240" w:lineRule="auto"/>
              <w:rPr>
                <w:sz w:val="18"/>
                <w:szCs w:val="18"/>
              </w:rPr>
            </w:pPr>
            <w:r w:rsidRPr="00AB4A23">
              <w:rPr>
                <w:sz w:val="18"/>
                <w:szCs w:val="18"/>
              </w:rPr>
              <w:t>Percent</w:t>
            </w:r>
            <w:r w:rsidR="00E834F3" w:rsidRPr="00AB4A23">
              <w:rPr>
                <w:sz w:val="18"/>
                <w:szCs w:val="18"/>
              </w:rPr>
              <w:t>age of the</w:t>
            </w:r>
            <w:r w:rsidR="00890445" w:rsidRPr="00AB4A23">
              <w:rPr>
                <w:sz w:val="18"/>
                <w:szCs w:val="18"/>
              </w:rPr>
              <w:t xml:space="preserve"> population 10 and older</w:t>
            </w:r>
            <w:r w:rsidRPr="00AB4A23">
              <w:rPr>
                <w:sz w:val="18"/>
                <w:szCs w:val="18"/>
              </w:rPr>
              <w:t xml:space="preserve"> with higher education</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9AA6F06" w14:textId="2F6C5930" w:rsidR="0030652D" w:rsidRPr="00AB4A23" w:rsidRDefault="00890445" w:rsidP="00106C02">
            <w:pPr>
              <w:pStyle w:val="Tabletitle"/>
              <w:spacing w:before="0" w:line="240" w:lineRule="auto"/>
              <w:rPr>
                <w:sz w:val="18"/>
                <w:szCs w:val="18"/>
                <w:vertAlign w:val="superscript"/>
              </w:rPr>
            </w:pPr>
            <w:r w:rsidRPr="00AB4A23">
              <w:rPr>
                <w:sz w:val="18"/>
                <w:szCs w:val="18"/>
              </w:rPr>
              <w:t>--</w:t>
            </w:r>
            <w:r w:rsidRPr="00AB4A23">
              <w:rPr>
                <w:sz w:val="18"/>
                <w:szCs w:val="18"/>
                <w:vertAlign w:val="superscript"/>
              </w:rPr>
              <w:t>#</w:t>
            </w:r>
          </w:p>
        </w:tc>
        <w:tc>
          <w:tcPr>
            <w:tcW w:w="850" w:type="dxa"/>
            <w:tcBorders>
              <w:top w:val="single" w:sz="4" w:space="0" w:color="808080" w:themeColor="background1" w:themeShade="80"/>
              <w:left w:val="nil"/>
              <w:bottom w:val="single" w:sz="4" w:space="0" w:color="808080" w:themeColor="background1" w:themeShade="80"/>
              <w:right w:val="nil"/>
            </w:tcBorders>
          </w:tcPr>
          <w:p w14:paraId="4A72254D" w14:textId="77E3F15F" w:rsidR="0030652D" w:rsidRPr="00AB4A23" w:rsidRDefault="00F751B5" w:rsidP="00106C02">
            <w:pPr>
              <w:pStyle w:val="Tabletitle"/>
              <w:spacing w:before="0" w:line="240" w:lineRule="auto"/>
              <w:rPr>
                <w:sz w:val="18"/>
                <w:szCs w:val="18"/>
              </w:rPr>
            </w:pPr>
            <w:r w:rsidRPr="00AB4A23">
              <w:rPr>
                <w:sz w:val="18"/>
                <w:szCs w:val="18"/>
              </w:rPr>
              <w:t>1.3</w:t>
            </w:r>
          </w:p>
        </w:tc>
        <w:tc>
          <w:tcPr>
            <w:tcW w:w="85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180DD8EF" w14:textId="4CD00F91" w:rsidR="0030652D" w:rsidRPr="00AB4A23" w:rsidRDefault="00F751B5" w:rsidP="00106C02">
            <w:pPr>
              <w:pStyle w:val="Tabletitle"/>
              <w:spacing w:before="0" w:line="240" w:lineRule="auto"/>
              <w:rPr>
                <w:sz w:val="18"/>
                <w:szCs w:val="18"/>
              </w:rPr>
            </w:pPr>
            <w:r w:rsidRPr="00AB4A23">
              <w:rPr>
                <w:sz w:val="18"/>
                <w:szCs w:val="18"/>
              </w:rPr>
              <w:t>9.1</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6481A1F" w14:textId="5C58915F" w:rsidR="0030652D" w:rsidRPr="00AB4A23" w:rsidRDefault="00890445" w:rsidP="00106C02">
            <w:pPr>
              <w:pStyle w:val="Tabletitle"/>
              <w:spacing w:before="0" w:line="240" w:lineRule="auto"/>
              <w:rPr>
                <w:sz w:val="18"/>
                <w:szCs w:val="18"/>
                <w:vertAlign w:val="superscript"/>
              </w:rPr>
            </w:pPr>
            <w:r w:rsidRPr="00AB4A23">
              <w:rPr>
                <w:sz w:val="18"/>
                <w:szCs w:val="18"/>
              </w:rPr>
              <w:t>--</w:t>
            </w:r>
          </w:p>
        </w:tc>
        <w:tc>
          <w:tcPr>
            <w:tcW w:w="851" w:type="dxa"/>
            <w:tcBorders>
              <w:top w:val="single" w:sz="4" w:space="0" w:color="808080" w:themeColor="background1" w:themeShade="80"/>
              <w:left w:val="nil"/>
              <w:bottom w:val="single" w:sz="4" w:space="0" w:color="808080" w:themeColor="background1" w:themeShade="80"/>
              <w:right w:val="nil"/>
            </w:tcBorders>
          </w:tcPr>
          <w:p w14:paraId="771EF42B" w14:textId="6B2C3E99" w:rsidR="0030652D" w:rsidRPr="00AB4A23" w:rsidRDefault="00F751B5" w:rsidP="00106C02">
            <w:pPr>
              <w:pStyle w:val="Tabletitle"/>
              <w:spacing w:before="0" w:line="240" w:lineRule="auto"/>
              <w:rPr>
                <w:sz w:val="18"/>
                <w:szCs w:val="18"/>
              </w:rPr>
            </w:pPr>
            <w:r w:rsidRPr="00AB4A23">
              <w:rPr>
                <w:sz w:val="18"/>
                <w:szCs w:val="18"/>
              </w:rPr>
              <w:t>1.4</w:t>
            </w:r>
          </w:p>
        </w:tc>
        <w:tc>
          <w:tcPr>
            <w:tcW w:w="799" w:type="dxa"/>
            <w:tcBorders>
              <w:top w:val="single" w:sz="4" w:space="0" w:color="808080" w:themeColor="background1" w:themeShade="80"/>
              <w:left w:val="nil"/>
              <w:bottom w:val="single" w:sz="4" w:space="0" w:color="808080" w:themeColor="background1" w:themeShade="80"/>
              <w:right w:val="nil"/>
            </w:tcBorders>
          </w:tcPr>
          <w:p w14:paraId="798A1ED0" w14:textId="788F38D5" w:rsidR="0030652D" w:rsidRPr="00AB4A23" w:rsidRDefault="00F751B5" w:rsidP="00106C02">
            <w:pPr>
              <w:pStyle w:val="Tabletitle"/>
              <w:spacing w:before="0" w:line="240" w:lineRule="auto"/>
              <w:rPr>
                <w:sz w:val="18"/>
                <w:szCs w:val="18"/>
              </w:rPr>
            </w:pPr>
            <w:r w:rsidRPr="00AB4A23">
              <w:rPr>
                <w:sz w:val="18"/>
                <w:szCs w:val="18"/>
              </w:rPr>
              <w:t>7.4</w:t>
            </w:r>
          </w:p>
        </w:tc>
      </w:tr>
    </w:tbl>
    <w:p w14:paraId="695EE953" w14:textId="77777777" w:rsidR="00E03737" w:rsidRPr="00AB4A23" w:rsidRDefault="00E03737" w:rsidP="00E03737">
      <w:pPr>
        <w:pStyle w:val="Tabletitle"/>
        <w:spacing w:before="0" w:line="240" w:lineRule="auto"/>
        <w:rPr>
          <w:sz w:val="18"/>
          <w:szCs w:val="18"/>
        </w:rPr>
      </w:pPr>
    </w:p>
    <w:p w14:paraId="3363E7DC" w14:textId="3D5462CB" w:rsidR="00106C02" w:rsidRPr="00AB4A23" w:rsidRDefault="00890445" w:rsidP="0AA2609C">
      <w:pPr>
        <w:pStyle w:val="Tabletitle"/>
        <w:spacing w:before="0" w:line="240" w:lineRule="auto"/>
        <w:rPr>
          <w:sz w:val="18"/>
          <w:szCs w:val="18"/>
        </w:rPr>
      </w:pPr>
      <w:r w:rsidRPr="00AB4A23">
        <w:rPr>
          <w:sz w:val="18"/>
          <w:szCs w:val="18"/>
        </w:rPr>
        <w:t xml:space="preserve"> </w:t>
      </w:r>
      <w:r w:rsidRPr="00AB4A23">
        <w:rPr>
          <w:sz w:val="18"/>
          <w:szCs w:val="18"/>
          <w:vertAlign w:val="superscript"/>
        </w:rPr>
        <w:t>#</w:t>
      </w:r>
      <w:r w:rsidRPr="00AB4A23">
        <w:rPr>
          <w:sz w:val="18"/>
          <w:szCs w:val="18"/>
        </w:rPr>
        <w:t xml:space="preserve"> Only information on the percent</w:t>
      </w:r>
      <w:r w:rsidR="00E834F3" w:rsidRPr="00AB4A23">
        <w:rPr>
          <w:sz w:val="18"/>
          <w:szCs w:val="18"/>
        </w:rPr>
        <w:t>age of the</w:t>
      </w:r>
      <w:r w:rsidRPr="00AB4A23">
        <w:rPr>
          <w:sz w:val="18"/>
          <w:szCs w:val="18"/>
        </w:rPr>
        <w:t xml:space="preserve"> population completing Standard 5 or higher was available </w:t>
      </w:r>
      <w:r w:rsidR="00E834F3" w:rsidRPr="00AB4A23">
        <w:rPr>
          <w:sz w:val="18"/>
          <w:szCs w:val="18"/>
        </w:rPr>
        <w:t xml:space="preserve">for </w:t>
      </w:r>
      <w:r w:rsidRPr="00AB4A23">
        <w:rPr>
          <w:sz w:val="18"/>
          <w:szCs w:val="18"/>
        </w:rPr>
        <w:t>1973: 8.3% of females and 17.1% of males over age 10.</w:t>
      </w:r>
    </w:p>
    <w:p w14:paraId="5E4CA49F" w14:textId="77777777" w:rsidR="00E03737" w:rsidRPr="00AB4A23" w:rsidRDefault="00E03737" w:rsidP="006E4B7B"/>
    <w:p w14:paraId="696C3241" w14:textId="5BC46869" w:rsidR="008E5F01" w:rsidRPr="00AB4A23" w:rsidRDefault="008E5F01" w:rsidP="5D50B8B1">
      <w:pPr>
        <w:rPr>
          <w:sz w:val="20"/>
          <w:szCs w:val="20"/>
        </w:rPr>
      </w:pPr>
      <w:r w:rsidRPr="00AB4A23">
        <w:rPr>
          <w:sz w:val="20"/>
          <w:szCs w:val="20"/>
        </w:rPr>
        <w:t xml:space="preserve">Data Sources: </w:t>
      </w:r>
      <w:proofErr w:type="spellStart"/>
      <w:r w:rsidRPr="00AB4A23">
        <w:rPr>
          <w:sz w:val="20"/>
          <w:szCs w:val="20"/>
        </w:rPr>
        <w:t>Maung</w:t>
      </w:r>
      <w:proofErr w:type="spellEnd"/>
      <w:r w:rsidRPr="00AB4A23">
        <w:rPr>
          <w:sz w:val="20"/>
          <w:szCs w:val="20"/>
        </w:rPr>
        <w:t xml:space="preserve">, 1986; Immigration and Manpower Department, Ministry of Home and Religious Affairs, 1986; </w:t>
      </w:r>
      <w:r w:rsidR="00E66AA6" w:rsidRPr="00AB4A23">
        <w:rPr>
          <w:sz w:val="20"/>
          <w:szCs w:val="20"/>
        </w:rPr>
        <w:t>Department of Population, Ministry of Immigration and Population, 2015</w:t>
      </w:r>
    </w:p>
    <w:p w14:paraId="0BCAB87F" w14:textId="7CDE187B" w:rsidR="5D50B8B1" w:rsidRPr="00AB4A23" w:rsidRDefault="5D50B8B1" w:rsidP="5D50B8B1">
      <w:pPr>
        <w:rPr>
          <w:sz w:val="20"/>
          <w:szCs w:val="20"/>
        </w:rPr>
      </w:pPr>
    </w:p>
    <w:p w14:paraId="1E45BBBA" w14:textId="77777777" w:rsidR="00DF66B9" w:rsidRPr="00AB4A23" w:rsidRDefault="00DF66B9" w:rsidP="5D50B8B1">
      <w:pPr>
        <w:rPr>
          <w:sz w:val="20"/>
          <w:szCs w:val="20"/>
        </w:rPr>
        <w:sectPr w:rsidR="00DF66B9" w:rsidRPr="00AB4A23">
          <w:headerReference w:type="default" r:id="rId19"/>
          <w:pgSz w:w="11906" w:h="16838"/>
          <w:pgMar w:top="1440" w:right="1440" w:bottom="1440" w:left="1440" w:header="708" w:footer="708" w:gutter="0"/>
          <w:cols w:space="708"/>
          <w:docGrid w:linePitch="360"/>
        </w:sectPr>
      </w:pPr>
    </w:p>
    <w:p w14:paraId="075E8C6E" w14:textId="571CD0A2" w:rsidR="00E46C76" w:rsidRPr="00AB4A23" w:rsidRDefault="00F675B0" w:rsidP="42171E9E">
      <w:r w:rsidRPr="00AB4A23">
        <w:lastRenderedPageBreak/>
        <w:t>Table 2. Male-female population ratios by education level and age cohort, 1983 vs 2014, Myanmar</w:t>
      </w:r>
    </w:p>
    <w:p w14:paraId="6DAFCE41" w14:textId="77777777" w:rsidR="00F675B0" w:rsidRPr="00AB4A23" w:rsidRDefault="00F675B0" w:rsidP="42171E9E"/>
    <w:tbl>
      <w:tblPr>
        <w:tblW w:w="8166" w:type="dxa"/>
        <w:tblBorders>
          <w:top w:val="single" w:sz="4" w:space="0" w:color="auto"/>
          <w:bottom w:val="single" w:sz="4" w:space="0" w:color="auto"/>
          <w:insideH w:val="single" w:sz="4" w:space="0" w:color="auto"/>
        </w:tblBorders>
        <w:tblCellMar>
          <w:top w:w="15" w:type="dxa"/>
          <w:bottom w:w="15" w:type="dxa"/>
        </w:tblCellMar>
        <w:tblLook w:val="04A0" w:firstRow="1" w:lastRow="0" w:firstColumn="1" w:lastColumn="0" w:noHBand="0" w:noVBand="1"/>
      </w:tblPr>
      <w:tblGrid>
        <w:gridCol w:w="960"/>
        <w:gridCol w:w="1201"/>
        <w:gridCol w:w="1201"/>
        <w:gridCol w:w="1201"/>
        <w:gridCol w:w="1533"/>
        <w:gridCol w:w="1134"/>
        <w:gridCol w:w="936"/>
      </w:tblGrid>
      <w:tr w:rsidR="000C1FF2" w:rsidRPr="00AB4A23" w14:paraId="13AE25E6" w14:textId="77777777" w:rsidTr="0AA2609C">
        <w:trPr>
          <w:trHeight w:val="300"/>
        </w:trPr>
        <w:tc>
          <w:tcPr>
            <w:tcW w:w="960" w:type="dxa"/>
            <w:tcBorders>
              <w:top w:val="single" w:sz="18" w:space="0" w:color="auto"/>
              <w:bottom w:val="single" w:sz="18" w:space="0" w:color="auto"/>
            </w:tcBorders>
            <w:noWrap/>
            <w:vAlign w:val="bottom"/>
            <w:hideMark/>
          </w:tcPr>
          <w:p w14:paraId="29803388" w14:textId="2E38DA36" w:rsidR="00DC3FC3" w:rsidRPr="00AB4A23" w:rsidRDefault="008424A7" w:rsidP="42171E9E">
            <w:pPr>
              <w:rPr>
                <w:color w:val="000000"/>
                <w:sz w:val="18"/>
                <w:szCs w:val="18"/>
              </w:rPr>
            </w:pPr>
            <w:r w:rsidRPr="00AB4A23">
              <w:rPr>
                <w:color w:val="000000" w:themeColor="text1"/>
                <w:sz w:val="18"/>
                <w:szCs w:val="18"/>
              </w:rPr>
              <w:t>Age</w:t>
            </w:r>
            <w:r w:rsidR="3CD04B70" w:rsidRPr="00AB4A23">
              <w:rPr>
                <w:color w:val="000000" w:themeColor="text1"/>
                <w:sz w:val="18"/>
                <w:szCs w:val="18"/>
              </w:rPr>
              <w:t xml:space="preserve"> Group</w:t>
            </w:r>
          </w:p>
        </w:tc>
        <w:tc>
          <w:tcPr>
            <w:tcW w:w="1201" w:type="dxa"/>
            <w:tcBorders>
              <w:top w:val="single" w:sz="18" w:space="0" w:color="auto"/>
              <w:bottom w:val="single" w:sz="18" w:space="0" w:color="auto"/>
            </w:tcBorders>
            <w:noWrap/>
            <w:vAlign w:val="bottom"/>
            <w:hideMark/>
          </w:tcPr>
          <w:p w14:paraId="3645BD27" w14:textId="77777777" w:rsidR="00DC3FC3" w:rsidRPr="00AB4A23" w:rsidRDefault="753C0D20" w:rsidP="42171E9E">
            <w:pPr>
              <w:rPr>
                <w:color w:val="000000"/>
                <w:sz w:val="18"/>
                <w:szCs w:val="18"/>
              </w:rPr>
            </w:pPr>
            <w:r w:rsidRPr="00AB4A23">
              <w:rPr>
                <w:color w:val="000000" w:themeColor="text1"/>
                <w:sz w:val="18"/>
                <w:szCs w:val="18"/>
              </w:rPr>
              <w:t>No Education</w:t>
            </w:r>
          </w:p>
        </w:tc>
        <w:tc>
          <w:tcPr>
            <w:tcW w:w="1201" w:type="dxa"/>
            <w:tcBorders>
              <w:top w:val="single" w:sz="18" w:space="0" w:color="auto"/>
              <w:bottom w:val="single" w:sz="18" w:space="0" w:color="auto"/>
            </w:tcBorders>
            <w:noWrap/>
            <w:vAlign w:val="bottom"/>
            <w:hideMark/>
          </w:tcPr>
          <w:p w14:paraId="2C76455B" w14:textId="77777777" w:rsidR="00DC3FC3" w:rsidRPr="00AB4A23" w:rsidRDefault="753C0D20" w:rsidP="42171E9E">
            <w:pPr>
              <w:rPr>
                <w:color w:val="000000"/>
                <w:sz w:val="18"/>
                <w:szCs w:val="18"/>
              </w:rPr>
            </w:pPr>
            <w:r w:rsidRPr="00AB4A23">
              <w:rPr>
                <w:color w:val="000000" w:themeColor="text1"/>
                <w:sz w:val="18"/>
                <w:szCs w:val="18"/>
              </w:rPr>
              <w:t>Grades 1-5</w:t>
            </w:r>
          </w:p>
        </w:tc>
        <w:tc>
          <w:tcPr>
            <w:tcW w:w="1201" w:type="dxa"/>
            <w:tcBorders>
              <w:top w:val="single" w:sz="18" w:space="0" w:color="auto"/>
              <w:bottom w:val="single" w:sz="18" w:space="0" w:color="auto"/>
            </w:tcBorders>
            <w:noWrap/>
            <w:vAlign w:val="bottom"/>
            <w:hideMark/>
          </w:tcPr>
          <w:p w14:paraId="504F72C6" w14:textId="77777777" w:rsidR="00DC3FC3" w:rsidRPr="00AB4A23" w:rsidRDefault="753C0D20" w:rsidP="42171E9E">
            <w:pPr>
              <w:rPr>
                <w:color w:val="000000"/>
                <w:sz w:val="18"/>
                <w:szCs w:val="18"/>
              </w:rPr>
            </w:pPr>
            <w:r w:rsidRPr="00AB4A23">
              <w:rPr>
                <w:color w:val="000000" w:themeColor="text1"/>
                <w:sz w:val="18"/>
                <w:szCs w:val="18"/>
              </w:rPr>
              <w:t>Grades 6-9</w:t>
            </w:r>
          </w:p>
        </w:tc>
        <w:tc>
          <w:tcPr>
            <w:tcW w:w="1533" w:type="dxa"/>
            <w:tcBorders>
              <w:top w:val="single" w:sz="18" w:space="0" w:color="auto"/>
              <w:bottom w:val="single" w:sz="18" w:space="0" w:color="auto"/>
            </w:tcBorders>
            <w:noWrap/>
            <w:vAlign w:val="bottom"/>
            <w:hideMark/>
          </w:tcPr>
          <w:p w14:paraId="12F2F10C" w14:textId="77777777" w:rsidR="00DC3FC3" w:rsidRPr="00AB4A23" w:rsidRDefault="753C0D20" w:rsidP="42171E9E">
            <w:pPr>
              <w:rPr>
                <w:color w:val="000000"/>
                <w:sz w:val="18"/>
                <w:szCs w:val="18"/>
              </w:rPr>
            </w:pPr>
            <w:r w:rsidRPr="00AB4A23">
              <w:rPr>
                <w:color w:val="000000" w:themeColor="text1"/>
                <w:sz w:val="18"/>
                <w:szCs w:val="18"/>
              </w:rPr>
              <w:t>Grades 10-11</w:t>
            </w:r>
          </w:p>
        </w:tc>
        <w:tc>
          <w:tcPr>
            <w:tcW w:w="1134" w:type="dxa"/>
            <w:tcBorders>
              <w:top w:val="single" w:sz="18" w:space="0" w:color="auto"/>
              <w:bottom w:val="single" w:sz="18" w:space="0" w:color="auto"/>
            </w:tcBorders>
            <w:noWrap/>
            <w:vAlign w:val="bottom"/>
            <w:hideMark/>
          </w:tcPr>
          <w:p w14:paraId="0D16080B" w14:textId="77777777" w:rsidR="00DC3FC3" w:rsidRPr="00AB4A23" w:rsidRDefault="753C0D20" w:rsidP="42171E9E">
            <w:pPr>
              <w:rPr>
                <w:color w:val="000000"/>
                <w:sz w:val="18"/>
                <w:szCs w:val="18"/>
              </w:rPr>
            </w:pPr>
            <w:r w:rsidRPr="00AB4A23">
              <w:rPr>
                <w:color w:val="000000" w:themeColor="text1"/>
                <w:sz w:val="18"/>
                <w:szCs w:val="18"/>
              </w:rPr>
              <w:t>University or Higher</w:t>
            </w:r>
          </w:p>
        </w:tc>
        <w:tc>
          <w:tcPr>
            <w:tcW w:w="936" w:type="dxa"/>
            <w:tcBorders>
              <w:top w:val="single" w:sz="18" w:space="0" w:color="auto"/>
              <w:bottom w:val="single" w:sz="18" w:space="0" w:color="auto"/>
            </w:tcBorders>
            <w:noWrap/>
            <w:vAlign w:val="bottom"/>
            <w:hideMark/>
          </w:tcPr>
          <w:p w14:paraId="213F47B1" w14:textId="77777777" w:rsidR="00DC3FC3" w:rsidRPr="00AB4A23" w:rsidRDefault="753C0D20" w:rsidP="42171E9E">
            <w:pPr>
              <w:rPr>
                <w:color w:val="000000"/>
                <w:sz w:val="18"/>
                <w:szCs w:val="18"/>
              </w:rPr>
            </w:pPr>
            <w:r w:rsidRPr="00AB4A23">
              <w:rPr>
                <w:color w:val="000000" w:themeColor="text1"/>
                <w:sz w:val="18"/>
                <w:szCs w:val="18"/>
              </w:rPr>
              <w:t>Total</w:t>
            </w:r>
          </w:p>
        </w:tc>
      </w:tr>
      <w:tr w:rsidR="00196DF0" w:rsidRPr="00AB4A23" w14:paraId="05EB591E" w14:textId="77777777" w:rsidTr="0AA2609C">
        <w:trPr>
          <w:trHeight w:val="300"/>
        </w:trPr>
        <w:tc>
          <w:tcPr>
            <w:tcW w:w="960" w:type="dxa"/>
            <w:tcBorders>
              <w:top w:val="single" w:sz="18" w:space="0" w:color="auto"/>
            </w:tcBorders>
            <w:noWrap/>
            <w:vAlign w:val="bottom"/>
          </w:tcPr>
          <w:p w14:paraId="48F4E175" w14:textId="53917F6E" w:rsidR="00196DF0" w:rsidRPr="00AB4A23" w:rsidRDefault="44304C16" w:rsidP="42171E9E">
            <w:pPr>
              <w:rPr>
                <w:color w:val="000000"/>
                <w:sz w:val="18"/>
                <w:szCs w:val="18"/>
              </w:rPr>
            </w:pPr>
            <w:r w:rsidRPr="00AB4A23">
              <w:rPr>
                <w:color w:val="000000" w:themeColor="text1"/>
                <w:sz w:val="18"/>
                <w:szCs w:val="18"/>
              </w:rPr>
              <w:t>1983</w:t>
            </w:r>
          </w:p>
        </w:tc>
        <w:tc>
          <w:tcPr>
            <w:tcW w:w="1201" w:type="dxa"/>
            <w:tcBorders>
              <w:top w:val="single" w:sz="18" w:space="0" w:color="auto"/>
            </w:tcBorders>
            <w:noWrap/>
            <w:vAlign w:val="bottom"/>
          </w:tcPr>
          <w:p w14:paraId="757A2855" w14:textId="77777777" w:rsidR="00196DF0" w:rsidRPr="00AB4A23" w:rsidRDefault="00196DF0" w:rsidP="42171E9E">
            <w:pPr>
              <w:rPr>
                <w:color w:val="000000"/>
                <w:sz w:val="18"/>
                <w:szCs w:val="18"/>
              </w:rPr>
            </w:pPr>
          </w:p>
        </w:tc>
        <w:tc>
          <w:tcPr>
            <w:tcW w:w="1201" w:type="dxa"/>
            <w:tcBorders>
              <w:top w:val="single" w:sz="18" w:space="0" w:color="auto"/>
            </w:tcBorders>
            <w:noWrap/>
            <w:vAlign w:val="bottom"/>
          </w:tcPr>
          <w:p w14:paraId="6A6A351F" w14:textId="77777777" w:rsidR="00196DF0" w:rsidRPr="00AB4A23" w:rsidRDefault="00196DF0" w:rsidP="42171E9E">
            <w:pPr>
              <w:rPr>
                <w:color w:val="000000"/>
                <w:sz w:val="18"/>
                <w:szCs w:val="18"/>
              </w:rPr>
            </w:pPr>
          </w:p>
        </w:tc>
        <w:tc>
          <w:tcPr>
            <w:tcW w:w="1201" w:type="dxa"/>
            <w:tcBorders>
              <w:top w:val="single" w:sz="18" w:space="0" w:color="auto"/>
            </w:tcBorders>
            <w:noWrap/>
            <w:vAlign w:val="bottom"/>
          </w:tcPr>
          <w:p w14:paraId="0784C400" w14:textId="77777777" w:rsidR="00196DF0" w:rsidRPr="00AB4A23" w:rsidRDefault="00196DF0" w:rsidP="42171E9E">
            <w:pPr>
              <w:rPr>
                <w:color w:val="000000"/>
                <w:sz w:val="18"/>
                <w:szCs w:val="18"/>
              </w:rPr>
            </w:pPr>
          </w:p>
        </w:tc>
        <w:tc>
          <w:tcPr>
            <w:tcW w:w="1533" w:type="dxa"/>
            <w:tcBorders>
              <w:top w:val="single" w:sz="18" w:space="0" w:color="auto"/>
            </w:tcBorders>
            <w:noWrap/>
            <w:vAlign w:val="bottom"/>
          </w:tcPr>
          <w:p w14:paraId="0B5FF065" w14:textId="77777777" w:rsidR="00196DF0" w:rsidRPr="00AB4A23" w:rsidRDefault="00196DF0" w:rsidP="42171E9E">
            <w:pPr>
              <w:rPr>
                <w:color w:val="000000"/>
                <w:sz w:val="18"/>
                <w:szCs w:val="18"/>
              </w:rPr>
            </w:pPr>
          </w:p>
        </w:tc>
        <w:tc>
          <w:tcPr>
            <w:tcW w:w="1134" w:type="dxa"/>
            <w:tcBorders>
              <w:top w:val="single" w:sz="18" w:space="0" w:color="auto"/>
            </w:tcBorders>
            <w:noWrap/>
            <w:vAlign w:val="bottom"/>
          </w:tcPr>
          <w:p w14:paraId="7A961599" w14:textId="77777777" w:rsidR="00196DF0" w:rsidRPr="00AB4A23" w:rsidRDefault="00196DF0" w:rsidP="42171E9E">
            <w:pPr>
              <w:rPr>
                <w:color w:val="000000"/>
                <w:sz w:val="18"/>
                <w:szCs w:val="18"/>
              </w:rPr>
            </w:pPr>
          </w:p>
        </w:tc>
        <w:tc>
          <w:tcPr>
            <w:tcW w:w="936" w:type="dxa"/>
            <w:tcBorders>
              <w:top w:val="single" w:sz="18" w:space="0" w:color="auto"/>
            </w:tcBorders>
            <w:noWrap/>
            <w:vAlign w:val="bottom"/>
          </w:tcPr>
          <w:p w14:paraId="6AC796A6" w14:textId="77777777" w:rsidR="00196DF0" w:rsidRPr="00AB4A23" w:rsidRDefault="00196DF0" w:rsidP="42171E9E">
            <w:pPr>
              <w:rPr>
                <w:color w:val="000000"/>
                <w:sz w:val="18"/>
                <w:szCs w:val="18"/>
              </w:rPr>
            </w:pPr>
          </w:p>
        </w:tc>
      </w:tr>
      <w:tr w:rsidR="000C1FF2" w:rsidRPr="00AB4A23" w14:paraId="75177037" w14:textId="77777777" w:rsidTr="0AA2609C">
        <w:trPr>
          <w:trHeight w:val="300"/>
        </w:trPr>
        <w:tc>
          <w:tcPr>
            <w:tcW w:w="960" w:type="dxa"/>
            <w:noWrap/>
            <w:vAlign w:val="bottom"/>
            <w:hideMark/>
          </w:tcPr>
          <w:p w14:paraId="1AF09ECE" w14:textId="3FABD78C" w:rsidR="00DC3FC3" w:rsidRPr="00AB4A23" w:rsidRDefault="753C0D20" w:rsidP="42171E9E">
            <w:pPr>
              <w:rPr>
                <w:color w:val="000000"/>
                <w:sz w:val="18"/>
                <w:szCs w:val="18"/>
              </w:rPr>
            </w:pPr>
            <w:r w:rsidRPr="00AB4A23">
              <w:rPr>
                <w:color w:val="000000" w:themeColor="text1"/>
                <w:sz w:val="18"/>
                <w:szCs w:val="18"/>
              </w:rPr>
              <w:t>5</w:t>
            </w:r>
            <w:r w:rsidR="6C25BA14" w:rsidRPr="00AB4A23">
              <w:rPr>
                <w:color w:val="000000" w:themeColor="text1"/>
                <w:sz w:val="18"/>
                <w:szCs w:val="18"/>
              </w:rPr>
              <w:t>-9</w:t>
            </w:r>
          </w:p>
        </w:tc>
        <w:tc>
          <w:tcPr>
            <w:tcW w:w="1201" w:type="dxa"/>
            <w:noWrap/>
            <w:vAlign w:val="bottom"/>
            <w:hideMark/>
          </w:tcPr>
          <w:p w14:paraId="1C090BCC" w14:textId="172B2909" w:rsidR="00DC3FC3" w:rsidRPr="00AB4A23" w:rsidRDefault="753C0D20" w:rsidP="42171E9E">
            <w:pPr>
              <w:jc w:val="right"/>
              <w:rPr>
                <w:color w:val="000000"/>
                <w:sz w:val="18"/>
                <w:szCs w:val="18"/>
              </w:rPr>
            </w:pPr>
            <w:r w:rsidRPr="00AB4A23">
              <w:rPr>
                <w:color w:val="000000" w:themeColor="text1"/>
                <w:sz w:val="18"/>
                <w:szCs w:val="18"/>
              </w:rPr>
              <w:t>103.</w:t>
            </w:r>
            <w:r w:rsidR="5C05A697" w:rsidRPr="00AB4A23">
              <w:rPr>
                <w:color w:val="000000" w:themeColor="text1"/>
                <w:sz w:val="18"/>
                <w:szCs w:val="18"/>
              </w:rPr>
              <w:t>4</w:t>
            </w:r>
          </w:p>
        </w:tc>
        <w:tc>
          <w:tcPr>
            <w:tcW w:w="1201" w:type="dxa"/>
            <w:noWrap/>
            <w:vAlign w:val="bottom"/>
            <w:hideMark/>
          </w:tcPr>
          <w:p w14:paraId="2216451D" w14:textId="06C66F06" w:rsidR="00DC3FC3" w:rsidRPr="00AB4A23" w:rsidRDefault="753C0D20" w:rsidP="42171E9E">
            <w:pPr>
              <w:jc w:val="right"/>
              <w:rPr>
                <w:color w:val="000000"/>
                <w:sz w:val="18"/>
                <w:szCs w:val="18"/>
              </w:rPr>
            </w:pPr>
            <w:r w:rsidRPr="00AB4A23">
              <w:rPr>
                <w:color w:val="000000" w:themeColor="text1"/>
                <w:sz w:val="18"/>
                <w:szCs w:val="18"/>
              </w:rPr>
              <w:t>98.2</w:t>
            </w:r>
          </w:p>
        </w:tc>
        <w:tc>
          <w:tcPr>
            <w:tcW w:w="1201" w:type="dxa"/>
            <w:noWrap/>
            <w:vAlign w:val="bottom"/>
            <w:hideMark/>
          </w:tcPr>
          <w:p w14:paraId="4B661F42" w14:textId="77777777" w:rsidR="00DC3FC3" w:rsidRPr="00AB4A23" w:rsidRDefault="00DC3FC3" w:rsidP="42171E9E">
            <w:pPr>
              <w:jc w:val="right"/>
              <w:rPr>
                <w:color w:val="000000"/>
                <w:sz w:val="18"/>
                <w:szCs w:val="18"/>
              </w:rPr>
            </w:pPr>
          </w:p>
        </w:tc>
        <w:tc>
          <w:tcPr>
            <w:tcW w:w="1533" w:type="dxa"/>
            <w:noWrap/>
            <w:vAlign w:val="bottom"/>
            <w:hideMark/>
          </w:tcPr>
          <w:p w14:paraId="27CA09E2" w14:textId="77777777" w:rsidR="00DC3FC3" w:rsidRPr="00AB4A23" w:rsidRDefault="00DC3FC3" w:rsidP="42171E9E">
            <w:pPr>
              <w:rPr>
                <w:sz w:val="18"/>
                <w:szCs w:val="18"/>
              </w:rPr>
            </w:pPr>
          </w:p>
        </w:tc>
        <w:tc>
          <w:tcPr>
            <w:tcW w:w="1134" w:type="dxa"/>
            <w:noWrap/>
            <w:vAlign w:val="bottom"/>
            <w:hideMark/>
          </w:tcPr>
          <w:p w14:paraId="0CE9F3F4" w14:textId="77777777" w:rsidR="00DC3FC3" w:rsidRPr="00AB4A23" w:rsidRDefault="00DC3FC3" w:rsidP="42171E9E">
            <w:pPr>
              <w:rPr>
                <w:sz w:val="18"/>
                <w:szCs w:val="18"/>
              </w:rPr>
            </w:pPr>
          </w:p>
        </w:tc>
        <w:tc>
          <w:tcPr>
            <w:tcW w:w="936" w:type="dxa"/>
            <w:noWrap/>
            <w:vAlign w:val="bottom"/>
            <w:hideMark/>
          </w:tcPr>
          <w:p w14:paraId="06408ABF" w14:textId="3668C78E" w:rsidR="00DC3FC3" w:rsidRPr="00AB4A23" w:rsidRDefault="753C0D20" w:rsidP="42171E9E">
            <w:pPr>
              <w:jc w:val="right"/>
              <w:rPr>
                <w:color w:val="000000"/>
                <w:sz w:val="18"/>
                <w:szCs w:val="18"/>
              </w:rPr>
            </w:pPr>
            <w:r w:rsidRPr="00AB4A23">
              <w:rPr>
                <w:color w:val="000000" w:themeColor="text1"/>
                <w:sz w:val="18"/>
                <w:szCs w:val="18"/>
              </w:rPr>
              <w:t>102.0</w:t>
            </w:r>
          </w:p>
        </w:tc>
      </w:tr>
      <w:tr w:rsidR="000C1FF2" w:rsidRPr="00AB4A23" w14:paraId="59BB2255" w14:textId="77777777" w:rsidTr="0AA2609C">
        <w:trPr>
          <w:trHeight w:val="300"/>
        </w:trPr>
        <w:tc>
          <w:tcPr>
            <w:tcW w:w="960" w:type="dxa"/>
            <w:noWrap/>
            <w:vAlign w:val="bottom"/>
            <w:hideMark/>
          </w:tcPr>
          <w:p w14:paraId="1F38DBFA" w14:textId="1C795BE8" w:rsidR="00DC3FC3" w:rsidRPr="00AB4A23" w:rsidRDefault="753C0D20" w:rsidP="42171E9E">
            <w:pPr>
              <w:rPr>
                <w:color w:val="000000"/>
                <w:sz w:val="18"/>
                <w:szCs w:val="18"/>
              </w:rPr>
            </w:pPr>
            <w:r w:rsidRPr="00AB4A23">
              <w:rPr>
                <w:color w:val="000000" w:themeColor="text1"/>
                <w:sz w:val="18"/>
                <w:szCs w:val="18"/>
              </w:rPr>
              <w:t>10</w:t>
            </w:r>
            <w:r w:rsidR="3CA938AC" w:rsidRPr="00AB4A23">
              <w:rPr>
                <w:color w:val="000000" w:themeColor="text1"/>
                <w:sz w:val="18"/>
                <w:szCs w:val="18"/>
              </w:rPr>
              <w:t>-14</w:t>
            </w:r>
          </w:p>
        </w:tc>
        <w:tc>
          <w:tcPr>
            <w:tcW w:w="1201" w:type="dxa"/>
            <w:noWrap/>
            <w:vAlign w:val="bottom"/>
            <w:hideMark/>
          </w:tcPr>
          <w:p w14:paraId="635BD22C" w14:textId="7F8B9ED1" w:rsidR="00DC3FC3" w:rsidRPr="00AB4A23" w:rsidRDefault="753C0D20" w:rsidP="42171E9E">
            <w:pPr>
              <w:jc w:val="right"/>
              <w:rPr>
                <w:color w:val="000000"/>
                <w:sz w:val="18"/>
                <w:szCs w:val="18"/>
              </w:rPr>
            </w:pPr>
            <w:r w:rsidRPr="00AB4A23">
              <w:rPr>
                <w:color w:val="000000" w:themeColor="text1"/>
                <w:sz w:val="18"/>
                <w:szCs w:val="18"/>
              </w:rPr>
              <w:t>202.</w:t>
            </w:r>
            <w:r w:rsidR="5C05A697" w:rsidRPr="00AB4A23">
              <w:rPr>
                <w:color w:val="000000" w:themeColor="text1"/>
                <w:sz w:val="18"/>
                <w:szCs w:val="18"/>
              </w:rPr>
              <w:t>9</w:t>
            </w:r>
          </w:p>
        </w:tc>
        <w:tc>
          <w:tcPr>
            <w:tcW w:w="1201" w:type="dxa"/>
            <w:noWrap/>
            <w:vAlign w:val="bottom"/>
            <w:hideMark/>
          </w:tcPr>
          <w:p w14:paraId="549ABF58" w14:textId="059DF520" w:rsidR="00DC3FC3" w:rsidRPr="00AB4A23" w:rsidRDefault="753C0D20" w:rsidP="42171E9E">
            <w:pPr>
              <w:jc w:val="right"/>
              <w:rPr>
                <w:color w:val="000000"/>
                <w:sz w:val="18"/>
                <w:szCs w:val="18"/>
              </w:rPr>
            </w:pPr>
            <w:r w:rsidRPr="00AB4A23">
              <w:rPr>
                <w:color w:val="000000" w:themeColor="text1"/>
                <w:sz w:val="18"/>
                <w:szCs w:val="18"/>
              </w:rPr>
              <w:t>104.3</w:t>
            </w:r>
          </w:p>
        </w:tc>
        <w:tc>
          <w:tcPr>
            <w:tcW w:w="1201" w:type="dxa"/>
            <w:noWrap/>
            <w:vAlign w:val="bottom"/>
            <w:hideMark/>
          </w:tcPr>
          <w:p w14:paraId="4FAB793F" w14:textId="47E3A4C2" w:rsidR="00DC3FC3" w:rsidRPr="00AB4A23" w:rsidRDefault="753C0D20" w:rsidP="42171E9E">
            <w:pPr>
              <w:jc w:val="right"/>
              <w:rPr>
                <w:color w:val="000000"/>
                <w:sz w:val="18"/>
                <w:szCs w:val="18"/>
              </w:rPr>
            </w:pPr>
            <w:r w:rsidRPr="00AB4A23">
              <w:rPr>
                <w:color w:val="000000" w:themeColor="text1"/>
                <w:sz w:val="18"/>
                <w:szCs w:val="18"/>
              </w:rPr>
              <w:t>107.</w:t>
            </w:r>
            <w:r w:rsidR="5C05A697" w:rsidRPr="00AB4A23">
              <w:rPr>
                <w:color w:val="000000" w:themeColor="text1"/>
                <w:sz w:val="18"/>
                <w:szCs w:val="18"/>
              </w:rPr>
              <w:t>6</w:t>
            </w:r>
          </w:p>
        </w:tc>
        <w:tc>
          <w:tcPr>
            <w:tcW w:w="1533" w:type="dxa"/>
            <w:noWrap/>
            <w:vAlign w:val="bottom"/>
            <w:hideMark/>
          </w:tcPr>
          <w:p w14:paraId="00573D68" w14:textId="25FD1A0F" w:rsidR="00DC3FC3" w:rsidRPr="00AB4A23" w:rsidRDefault="753C0D20" w:rsidP="42171E9E">
            <w:pPr>
              <w:jc w:val="right"/>
              <w:rPr>
                <w:color w:val="000000"/>
                <w:sz w:val="18"/>
                <w:szCs w:val="18"/>
              </w:rPr>
            </w:pPr>
            <w:r w:rsidRPr="00AB4A23">
              <w:rPr>
                <w:color w:val="000000" w:themeColor="text1"/>
                <w:sz w:val="18"/>
                <w:szCs w:val="18"/>
              </w:rPr>
              <w:t>82.0</w:t>
            </w:r>
          </w:p>
        </w:tc>
        <w:tc>
          <w:tcPr>
            <w:tcW w:w="1134" w:type="dxa"/>
            <w:noWrap/>
            <w:vAlign w:val="bottom"/>
            <w:hideMark/>
          </w:tcPr>
          <w:p w14:paraId="2DDB7841" w14:textId="77777777" w:rsidR="00DC3FC3" w:rsidRPr="00AB4A23" w:rsidRDefault="00DC3FC3" w:rsidP="42171E9E">
            <w:pPr>
              <w:jc w:val="right"/>
              <w:rPr>
                <w:color w:val="000000"/>
                <w:sz w:val="18"/>
                <w:szCs w:val="18"/>
              </w:rPr>
            </w:pPr>
          </w:p>
        </w:tc>
        <w:tc>
          <w:tcPr>
            <w:tcW w:w="936" w:type="dxa"/>
            <w:noWrap/>
            <w:vAlign w:val="bottom"/>
            <w:hideMark/>
          </w:tcPr>
          <w:p w14:paraId="57A1154D" w14:textId="6CBC72DE" w:rsidR="00DC3FC3" w:rsidRPr="00AB4A23" w:rsidRDefault="753C0D20" w:rsidP="42171E9E">
            <w:pPr>
              <w:jc w:val="right"/>
              <w:rPr>
                <w:color w:val="000000"/>
                <w:sz w:val="18"/>
                <w:szCs w:val="18"/>
              </w:rPr>
            </w:pPr>
            <w:r w:rsidRPr="00AB4A23">
              <w:rPr>
                <w:color w:val="000000" w:themeColor="text1"/>
                <w:sz w:val="18"/>
                <w:szCs w:val="18"/>
              </w:rPr>
              <w:t>132.7</w:t>
            </w:r>
          </w:p>
        </w:tc>
      </w:tr>
      <w:tr w:rsidR="000C1FF2" w:rsidRPr="00AB4A23" w14:paraId="5300DAE4" w14:textId="77777777" w:rsidTr="0AA2609C">
        <w:trPr>
          <w:trHeight w:val="300"/>
        </w:trPr>
        <w:tc>
          <w:tcPr>
            <w:tcW w:w="960" w:type="dxa"/>
            <w:noWrap/>
            <w:vAlign w:val="bottom"/>
            <w:hideMark/>
          </w:tcPr>
          <w:p w14:paraId="7B20FE47" w14:textId="176962A3" w:rsidR="00DC3FC3" w:rsidRPr="00AB4A23" w:rsidRDefault="753C0D20" w:rsidP="42171E9E">
            <w:pPr>
              <w:rPr>
                <w:color w:val="000000"/>
                <w:sz w:val="18"/>
                <w:szCs w:val="18"/>
              </w:rPr>
            </w:pPr>
            <w:r w:rsidRPr="00AB4A23">
              <w:rPr>
                <w:color w:val="000000" w:themeColor="text1"/>
                <w:sz w:val="18"/>
                <w:szCs w:val="18"/>
              </w:rPr>
              <w:t>15</w:t>
            </w:r>
            <w:r w:rsidR="1583F0F3" w:rsidRPr="00AB4A23">
              <w:rPr>
                <w:color w:val="000000" w:themeColor="text1"/>
                <w:sz w:val="18"/>
                <w:szCs w:val="18"/>
              </w:rPr>
              <w:t>-19</w:t>
            </w:r>
          </w:p>
        </w:tc>
        <w:tc>
          <w:tcPr>
            <w:tcW w:w="1201" w:type="dxa"/>
            <w:noWrap/>
            <w:vAlign w:val="bottom"/>
            <w:hideMark/>
          </w:tcPr>
          <w:p w14:paraId="3BC7DD1C" w14:textId="2A58AA45" w:rsidR="00DC3FC3" w:rsidRPr="00AB4A23" w:rsidRDefault="753C0D20" w:rsidP="42171E9E">
            <w:pPr>
              <w:jc w:val="right"/>
              <w:rPr>
                <w:color w:val="000000"/>
                <w:sz w:val="18"/>
                <w:szCs w:val="18"/>
              </w:rPr>
            </w:pPr>
            <w:r w:rsidRPr="00AB4A23">
              <w:rPr>
                <w:color w:val="000000" w:themeColor="text1"/>
                <w:sz w:val="18"/>
                <w:szCs w:val="18"/>
              </w:rPr>
              <w:t>186.0</w:t>
            </w:r>
          </w:p>
        </w:tc>
        <w:tc>
          <w:tcPr>
            <w:tcW w:w="1201" w:type="dxa"/>
            <w:noWrap/>
            <w:vAlign w:val="bottom"/>
            <w:hideMark/>
          </w:tcPr>
          <w:p w14:paraId="7D7A43A0" w14:textId="5CF8226C" w:rsidR="00DC3FC3" w:rsidRPr="00AB4A23" w:rsidRDefault="753C0D20" w:rsidP="42171E9E">
            <w:pPr>
              <w:jc w:val="right"/>
              <w:rPr>
                <w:color w:val="000000"/>
                <w:sz w:val="18"/>
                <w:szCs w:val="18"/>
              </w:rPr>
            </w:pPr>
            <w:r w:rsidRPr="00AB4A23">
              <w:rPr>
                <w:color w:val="000000" w:themeColor="text1"/>
                <w:sz w:val="18"/>
                <w:szCs w:val="18"/>
              </w:rPr>
              <w:t>87.</w:t>
            </w:r>
            <w:r w:rsidR="5C05A697" w:rsidRPr="00AB4A23">
              <w:rPr>
                <w:color w:val="000000" w:themeColor="text1"/>
                <w:sz w:val="18"/>
                <w:szCs w:val="18"/>
              </w:rPr>
              <w:t>2</w:t>
            </w:r>
          </w:p>
        </w:tc>
        <w:tc>
          <w:tcPr>
            <w:tcW w:w="1201" w:type="dxa"/>
            <w:noWrap/>
            <w:vAlign w:val="bottom"/>
            <w:hideMark/>
          </w:tcPr>
          <w:p w14:paraId="568143C4" w14:textId="15FAB2B4" w:rsidR="00DC3FC3" w:rsidRPr="00AB4A23" w:rsidRDefault="753C0D20" w:rsidP="42171E9E">
            <w:pPr>
              <w:jc w:val="right"/>
              <w:rPr>
                <w:color w:val="000000"/>
                <w:sz w:val="18"/>
                <w:szCs w:val="18"/>
              </w:rPr>
            </w:pPr>
            <w:r w:rsidRPr="00AB4A23">
              <w:rPr>
                <w:color w:val="000000" w:themeColor="text1"/>
                <w:sz w:val="18"/>
                <w:szCs w:val="18"/>
              </w:rPr>
              <w:t>143.4</w:t>
            </w:r>
          </w:p>
        </w:tc>
        <w:tc>
          <w:tcPr>
            <w:tcW w:w="1533" w:type="dxa"/>
            <w:noWrap/>
            <w:vAlign w:val="bottom"/>
            <w:hideMark/>
          </w:tcPr>
          <w:p w14:paraId="38118CBF" w14:textId="79DD769B" w:rsidR="00DC3FC3" w:rsidRPr="00AB4A23" w:rsidRDefault="753C0D20" w:rsidP="42171E9E">
            <w:pPr>
              <w:jc w:val="right"/>
              <w:rPr>
                <w:color w:val="000000"/>
                <w:sz w:val="18"/>
                <w:szCs w:val="18"/>
              </w:rPr>
            </w:pPr>
            <w:r w:rsidRPr="00AB4A23">
              <w:rPr>
                <w:color w:val="000000" w:themeColor="text1"/>
                <w:sz w:val="18"/>
                <w:szCs w:val="18"/>
              </w:rPr>
              <w:t>99.2</w:t>
            </w:r>
          </w:p>
        </w:tc>
        <w:tc>
          <w:tcPr>
            <w:tcW w:w="1134" w:type="dxa"/>
            <w:noWrap/>
            <w:vAlign w:val="bottom"/>
            <w:hideMark/>
          </w:tcPr>
          <w:p w14:paraId="14514D5C" w14:textId="162E5ECC" w:rsidR="00DC3FC3" w:rsidRPr="00AB4A23" w:rsidRDefault="753C0D20" w:rsidP="42171E9E">
            <w:pPr>
              <w:jc w:val="right"/>
              <w:rPr>
                <w:color w:val="000000"/>
                <w:sz w:val="18"/>
                <w:szCs w:val="18"/>
              </w:rPr>
            </w:pPr>
            <w:r w:rsidRPr="00AB4A23">
              <w:rPr>
                <w:color w:val="000000" w:themeColor="text1"/>
                <w:sz w:val="18"/>
                <w:szCs w:val="18"/>
              </w:rPr>
              <w:t>86.4</w:t>
            </w:r>
          </w:p>
        </w:tc>
        <w:tc>
          <w:tcPr>
            <w:tcW w:w="936" w:type="dxa"/>
            <w:noWrap/>
            <w:vAlign w:val="bottom"/>
            <w:hideMark/>
          </w:tcPr>
          <w:p w14:paraId="0E119153" w14:textId="63CCBA0D" w:rsidR="00DC3FC3" w:rsidRPr="00AB4A23" w:rsidRDefault="753C0D20" w:rsidP="42171E9E">
            <w:pPr>
              <w:jc w:val="right"/>
              <w:rPr>
                <w:color w:val="000000"/>
                <w:sz w:val="18"/>
                <w:szCs w:val="18"/>
              </w:rPr>
            </w:pPr>
            <w:r w:rsidRPr="00AB4A23">
              <w:rPr>
                <w:color w:val="000000" w:themeColor="text1"/>
                <w:sz w:val="18"/>
                <w:szCs w:val="18"/>
              </w:rPr>
              <w:t>128.</w:t>
            </w:r>
            <w:r w:rsidR="1719E286" w:rsidRPr="00AB4A23">
              <w:rPr>
                <w:color w:val="000000" w:themeColor="text1"/>
                <w:sz w:val="18"/>
                <w:szCs w:val="18"/>
              </w:rPr>
              <w:t>1</w:t>
            </w:r>
          </w:p>
        </w:tc>
      </w:tr>
      <w:tr w:rsidR="000C1FF2" w:rsidRPr="00AB4A23" w14:paraId="68E6A37F" w14:textId="77777777" w:rsidTr="0AA2609C">
        <w:trPr>
          <w:trHeight w:val="300"/>
        </w:trPr>
        <w:tc>
          <w:tcPr>
            <w:tcW w:w="960" w:type="dxa"/>
            <w:noWrap/>
            <w:vAlign w:val="bottom"/>
            <w:hideMark/>
          </w:tcPr>
          <w:p w14:paraId="62DA5071" w14:textId="125E29D7" w:rsidR="00DC3FC3" w:rsidRPr="00AB4A23" w:rsidRDefault="753C0D20" w:rsidP="42171E9E">
            <w:pPr>
              <w:rPr>
                <w:color w:val="000000"/>
                <w:sz w:val="18"/>
                <w:szCs w:val="18"/>
              </w:rPr>
            </w:pPr>
            <w:r w:rsidRPr="00AB4A23">
              <w:rPr>
                <w:color w:val="000000" w:themeColor="text1"/>
                <w:sz w:val="18"/>
                <w:szCs w:val="18"/>
              </w:rPr>
              <w:t>20</w:t>
            </w:r>
            <w:r w:rsidR="09D83AA8" w:rsidRPr="00AB4A23">
              <w:rPr>
                <w:color w:val="000000" w:themeColor="text1"/>
                <w:sz w:val="18"/>
                <w:szCs w:val="18"/>
              </w:rPr>
              <w:t>-24</w:t>
            </w:r>
          </w:p>
        </w:tc>
        <w:tc>
          <w:tcPr>
            <w:tcW w:w="1201" w:type="dxa"/>
            <w:noWrap/>
            <w:vAlign w:val="bottom"/>
            <w:hideMark/>
          </w:tcPr>
          <w:p w14:paraId="6C4CE34D" w14:textId="6A2FB5C0" w:rsidR="00DC3FC3" w:rsidRPr="00AB4A23" w:rsidRDefault="753C0D20" w:rsidP="42171E9E">
            <w:pPr>
              <w:jc w:val="right"/>
              <w:rPr>
                <w:color w:val="000000"/>
                <w:sz w:val="18"/>
                <w:szCs w:val="18"/>
              </w:rPr>
            </w:pPr>
            <w:r w:rsidRPr="00AB4A23">
              <w:rPr>
                <w:color w:val="000000" w:themeColor="text1"/>
                <w:sz w:val="18"/>
                <w:szCs w:val="18"/>
              </w:rPr>
              <w:t>179.</w:t>
            </w:r>
            <w:r w:rsidR="5C05A697" w:rsidRPr="00AB4A23">
              <w:rPr>
                <w:color w:val="000000" w:themeColor="text1"/>
                <w:sz w:val="18"/>
                <w:szCs w:val="18"/>
              </w:rPr>
              <w:t>5</w:t>
            </w:r>
          </w:p>
        </w:tc>
        <w:tc>
          <w:tcPr>
            <w:tcW w:w="1201" w:type="dxa"/>
            <w:noWrap/>
            <w:vAlign w:val="bottom"/>
            <w:hideMark/>
          </w:tcPr>
          <w:p w14:paraId="5CB90286" w14:textId="56792C8D" w:rsidR="00DC3FC3" w:rsidRPr="00AB4A23" w:rsidRDefault="753C0D20" w:rsidP="42171E9E">
            <w:pPr>
              <w:jc w:val="right"/>
              <w:rPr>
                <w:color w:val="000000"/>
                <w:sz w:val="18"/>
                <w:szCs w:val="18"/>
              </w:rPr>
            </w:pPr>
            <w:r w:rsidRPr="00AB4A23">
              <w:rPr>
                <w:color w:val="000000" w:themeColor="text1"/>
                <w:sz w:val="18"/>
                <w:szCs w:val="18"/>
              </w:rPr>
              <w:t>83.</w:t>
            </w:r>
            <w:r w:rsidR="5C05A697" w:rsidRPr="00AB4A23">
              <w:rPr>
                <w:color w:val="000000" w:themeColor="text1"/>
                <w:sz w:val="18"/>
                <w:szCs w:val="18"/>
              </w:rPr>
              <w:t>3</w:t>
            </w:r>
          </w:p>
        </w:tc>
        <w:tc>
          <w:tcPr>
            <w:tcW w:w="1201" w:type="dxa"/>
            <w:noWrap/>
            <w:vAlign w:val="bottom"/>
            <w:hideMark/>
          </w:tcPr>
          <w:p w14:paraId="40A2AAC4" w14:textId="020BCC91" w:rsidR="00DC3FC3" w:rsidRPr="00AB4A23" w:rsidRDefault="753C0D20" w:rsidP="42171E9E">
            <w:pPr>
              <w:jc w:val="right"/>
              <w:rPr>
                <w:color w:val="000000"/>
                <w:sz w:val="18"/>
                <w:szCs w:val="18"/>
              </w:rPr>
            </w:pPr>
            <w:r w:rsidRPr="00AB4A23">
              <w:rPr>
                <w:color w:val="000000" w:themeColor="text1"/>
                <w:sz w:val="18"/>
                <w:szCs w:val="18"/>
              </w:rPr>
              <w:t>171.</w:t>
            </w:r>
            <w:r w:rsidR="1719E286" w:rsidRPr="00AB4A23">
              <w:rPr>
                <w:color w:val="000000" w:themeColor="text1"/>
                <w:sz w:val="18"/>
                <w:szCs w:val="18"/>
              </w:rPr>
              <w:t>7</w:t>
            </w:r>
          </w:p>
        </w:tc>
        <w:tc>
          <w:tcPr>
            <w:tcW w:w="1533" w:type="dxa"/>
            <w:noWrap/>
            <w:vAlign w:val="bottom"/>
            <w:hideMark/>
          </w:tcPr>
          <w:p w14:paraId="3B7E041C" w14:textId="14A18E13" w:rsidR="00DC3FC3" w:rsidRPr="00AB4A23" w:rsidRDefault="1719E286" w:rsidP="42171E9E">
            <w:pPr>
              <w:jc w:val="right"/>
              <w:rPr>
                <w:color w:val="000000"/>
                <w:sz w:val="18"/>
                <w:szCs w:val="18"/>
              </w:rPr>
            </w:pPr>
            <w:r w:rsidRPr="00AB4A23">
              <w:rPr>
                <w:color w:val="000000" w:themeColor="text1"/>
                <w:sz w:val="18"/>
                <w:szCs w:val="18"/>
              </w:rPr>
              <w:t>125.0</w:t>
            </w:r>
          </w:p>
        </w:tc>
        <w:tc>
          <w:tcPr>
            <w:tcW w:w="1134" w:type="dxa"/>
            <w:noWrap/>
            <w:vAlign w:val="bottom"/>
            <w:hideMark/>
          </w:tcPr>
          <w:p w14:paraId="6C707704" w14:textId="0BF77E9F" w:rsidR="00DC3FC3" w:rsidRPr="00AB4A23" w:rsidRDefault="753C0D20" w:rsidP="42171E9E">
            <w:pPr>
              <w:jc w:val="right"/>
              <w:rPr>
                <w:color w:val="000000"/>
                <w:sz w:val="18"/>
                <w:szCs w:val="18"/>
              </w:rPr>
            </w:pPr>
            <w:r w:rsidRPr="00AB4A23">
              <w:rPr>
                <w:color w:val="000000" w:themeColor="text1"/>
                <w:sz w:val="18"/>
                <w:szCs w:val="18"/>
              </w:rPr>
              <w:t>90.5</w:t>
            </w:r>
          </w:p>
        </w:tc>
        <w:tc>
          <w:tcPr>
            <w:tcW w:w="936" w:type="dxa"/>
            <w:noWrap/>
            <w:vAlign w:val="bottom"/>
            <w:hideMark/>
          </w:tcPr>
          <w:p w14:paraId="3192D448" w14:textId="400A732B" w:rsidR="00DC3FC3" w:rsidRPr="00AB4A23" w:rsidRDefault="753C0D20" w:rsidP="42171E9E">
            <w:pPr>
              <w:jc w:val="right"/>
              <w:rPr>
                <w:color w:val="000000"/>
                <w:sz w:val="18"/>
                <w:szCs w:val="18"/>
              </w:rPr>
            </w:pPr>
            <w:r w:rsidRPr="00AB4A23">
              <w:rPr>
                <w:color w:val="000000" w:themeColor="text1"/>
                <w:sz w:val="18"/>
                <w:szCs w:val="18"/>
              </w:rPr>
              <w:t>130.2</w:t>
            </w:r>
          </w:p>
        </w:tc>
      </w:tr>
      <w:tr w:rsidR="000C1FF2" w:rsidRPr="00AB4A23" w14:paraId="66C1D233" w14:textId="77777777" w:rsidTr="0AA2609C">
        <w:trPr>
          <w:trHeight w:val="300"/>
        </w:trPr>
        <w:tc>
          <w:tcPr>
            <w:tcW w:w="960" w:type="dxa"/>
            <w:noWrap/>
            <w:vAlign w:val="bottom"/>
            <w:hideMark/>
          </w:tcPr>
          <w:p w14:paraId="731B3B11" w14:textId="5AE6F9DC" w:rsidR="00DC3FC3" w:rsidRPr="00AB4A23" w:rsidRDefault="753C0D20" w:rsidP="42171E9E">
            <w:pPr>
              <w:rPr>
                <w:color w:val="000000"/>
                <w:sz w:val="18"/>
                <w:szCs w:val="18"/>
              </w:rPr>
            </w:pPr>
            <w:r w:rsidRPr="00AB4A23">
              <w:rPr>
                <w:color w:val="000000" w:themeColor="text1"/>
                <w:sz w:val="18"/>
                <w:szCs w:val="18"/>
              </w:rPr>
              <w:t>25</w:t>
            </w:r>
            <w:r w:rsidR="2F08BACB" w:rsidRPr="00AB4A23">
              <w:rPr>
                <w:color w:val="000000" w:themeColor="text1"/>
                <w:sz w:val="18"/>
                <w:szCs w:val="18"/>
              </w:rPr>
              <w:t>-29</w:t>
            </w:r>
          </w:p>
        </w:tc>
        <w:tc>
          <w:tcPr>
            <w:tcW w:w="1201" w:type="dxa"/>
            <w:noWrap/>
            <w:vAlign w:val="bottom"/>
            <w:hideMark/>
          </w:tcPr>
          <w:p w14:paraId="76B5E5A5" w14:textId="4DD4E5C8" w:rsidR="00DC3FC3" w:rsidRPr="00AB4A23" w:rsidRDefault="753C0D20" w:rsidP="42171E9E">
            <w:pPr>
              <w:jc w:val="right"/>
              <w:rPr>
                <w:color w:val="000000"/>
                <w:sz w:val="18"/>
                <w:szCs w:val="18"/>
              </w:rPr>
            </w:pPr>
            <w:r w:rsidRPr="00AB4A23">
              <w:rPr>
                <w:color w:val="000000" w:themeColor="text1"/>
                <w:sz w:val="18"/>
                <w:szCs w:val="18"/>
              </w:rPr>
              <w:t>179.</w:t>
            </w:r>
            <w:r w:rsidR="5C05A697" w:rsidRPr="00AB4A23">
              <w:rPr>
                <w:color w:val="000000" w:themeColor="text1"/>
                <w:sz w:val="18"/>
                <w:szCs w:val="18"/>
              </w:rPr>
              <w:t>4</w:t>
            </w:r>
          </w:p>
        </w:tc>
        <w:tc>
          <w:tcPr>
            <w:tcW w:w="1201" w:type="dxa"/>
            <w:noWrap/>
            <w:vAlign w:val="bottom"/>
            <w:hideMark/>
          </w:tcPr>
          <w:p w14:paraId="3B37EF7D" w14:textId="2FF8761B" w:rsidR="00DC3FC3" w:rsidRPr="00AB4A23" w:rsidRDefault="753C0D20" w:rsidP="42171E9E">
            <w:pPr>
              <w:jc w:val="right"/>
              <w:rPr>
                <w:color w:val="000000"/>
                <w:sz w:val="18"/>
                <w:szCs w:val="18"/>
              </w:rPr>
            </w:pPr>
            <w:r w:rsidRPr="00AB4A23">
              <w:rPr>
                <w:color w:val="000000" w:themeColor="text1"/>
                <w:sz w:val="18"/>
                <w:szCs w:val="18"/>
              </w:rPr>
              <w:t>81.</w:t>
            </w:r>
            <w:r w:rsidR="5C05A697" w:rsidRPr="00AB4A23">
              <w:rPr>
                <w:color w:val="000000" w:themeColor="text1"/>
                <w:sz w:val="18"/>
                <w:szCs w:val="18"/>
              </w:rPr>
              <w:t>5</w:t>
            </w:r>
          </w:p>
        </w:tc>
        <w:tc>
          <w:tcPr>
            <w:tcW w:w="1201" w:type="dxa"/>
            <w:noWrap/>
            <w:vAlign w:val="bottom"/>
            <w:hideMark/>
          </w:tcPr>
          <w:p w14:paraId="6BEB74AF" w14:textId="15272A1B" w:rsidR="00DC3FC3" w:rsidRPr="00AB4A23" w:rsidRDefault="753C0D20" w:rsidP="42171E9E">
            <w:pPr>
              <w:jc w:val="right"/>
              <w:rPr>
                <w:color w:val="000000"/>
                <w:sz w:val="18"/>
                <w:szCs w:val="18"/>
              </w:rPr>
            </w:pPr>
            <w:r w:rsidRPr="00AB4A23">
              <w:rPr>
                <w:color w:val="000000" w:themeColor="text1"/>
                <w:sz w:val="18"/>
                <w:szCs w:val="18"/>
              </w:rPr>
              <w:t>192.0</w:t>
            </w:r>
          </w:p>
        </w:tc>
        <w:tc>
          <w:tcPr>
            <w:tcW w:w="1533" w:type="dxa"/>
            <w:noWrap/>
            <w:vAlign w:val="bottom"/>
            <w:hideMark/>
          </w:tcPr>
          <w:p w14:paraId="42E85B74" w14:textId="14D42E72" w:rsidR="00DC3FC3" w:rsidRPr="00AB4A23" w:rsidRDefault="753C0D20" w:rsidP="42171E9E">
            <w:pPr>
              <w:jc w:val="right"/>
              <w:rPr>
                <w:color w:val="000000"/>
                <w:sz w:val="18"/>
                <w:szCs w:val="18"/>
              </w:rPr>
            </w:pPr>
            <w:r w:rsidRPr="00AB4A23">
              <w:rPr>
                <w:color w:val="000000" w:themeColor="text1"/>
                <w:sz w:val="18"/>
                <w:szCs w:val="18"/>
              </w:rPr>
              <w:t>149.5</w:t>
            </w:r>
          </w:p>
        </w:tc>
        <w:tc>
          <w:tcPr>
            <w:tcW w:w="1134" w:type="dxa"/>
            <w:noWrap/>
            <w:vAlign w:val="bottom"/>
            <w:hideMark/>
          </w:tcPr>
          <w:p w14:paraId="670950F9" w14:textId="30C14A51" w:rsidR="00DC3FC3" w:rsidRPr="00AB4A23" w:rsidRDefault="753C0D20" w:rsidP="42171E9E">
            <w:pPr>
              <w:jc w:val="right"/>
              <w:rPr>
                <w:color w:val="000000"/>
                <w:sz w:val="18"/>
                <w:szCs w:val="18"/>
              </w:rPr>
            </w:pPr>
            <w:r w:rsidRPr="00AB4A23">
              <w:rPr>
                <w:color w:val="000000" w:themeColor="text1"/>
                <w:sz w:val="18"/>
                <w:szCs w:val="18"/>
              </w:rPr>
              <w:t>97.3</w:t>
            </w:r>
          </w:p>
        </w:tc>
        <w:tc>
          <w:tcPr>
            <w:tcW w:w="936" w:type="dxa"/>
            <w:noWrap/>
            <w:vAlign w:val="bottom"/>
            <w:hideMark/>
          </w:tcPr>
          <w:p w14:paraId="6B744682" w14:textId="18DCDBDF" w:rsidR="00DC3FC3" w:rsidRPr="00AB4A23" w:rsidRDefault="753C0D20" w:rsidP="42171E9E">
            <w:pPr>
              <w:jc w:val="right"/>
              <w:rPr>
                <w:color w:val="000000"/>
                <w:sz w:val="18"/>
                <w:szCs w:val="18"/>
              </w:rPr>
            </w:pPr>
            <w:r w:rsidRPr="00AB4A23">
              <w:rPr>
                <w:color w:val="000000" w:themeColor="text1"/>
                <w:sz w:val="18"/>
                <w:szCs w:val="18"/>
              </w:rPr>
              <w:t>136.</w:t>
            </w:r>
            <w:r w:rsidR="1719E286" w:rsidRPr="00AB4A23">
              <w:rPr>
                <w:color w:val="000000" w:themeColor="text1"/>
                <w:sz w:val="18"/>
                <w:szCs w:val="18"/>
              </w:rPr>
              <w:t>8</w:t>
            </w:r>
          </w:p>
        </w:tc>
      </w:tr>
      <w:tr w:rsidR="000C1FF2" w:rsidRPr="00AB4A23" w14:paraId="7563A191" w14:textId="77777777" w:rsidTr="0AA2609C">
        <w:trPr>
          <w:trHeight w:val="300"/>
        </w:trPr>
        <w:tc>
          <w:tcPr>
            <w:tcW w:w="960" w:type="dxa"/>
            <w:noWrap/>
            <w:vAlign w:val="bottom"/>
            <w:hideMark/>
          </w:tcPr>
          <w:p w14:paraId="34A9DACD" w14:textId="071D6C01" w:rsidR="00DC3FC3" w:rsidRPr="00AB4A23" w:rsidRDefault="753C0D20" w:rsidP="42171E9E">
            <w:pPr>
              <w:rPr>
                <w:color w:val="000000"/>
                <w:sz w:val="18"/>
                <w:szCs w:val="18"/>
              </w:rPr>
            </w:pPr>
            <w:r w:rsidRPr="00AB4A23">
              <w:rPr>
                <w:color w:val="000000" w:themeColor="text1"/>
                <w:sz w:val="18"/>
                <w:szCs w:val="18"/>
              </w:rPr>
              <w:t>30</w:t>
            </w:r>
            <w:r w:rsidR="5629C972" w:rsidRPr="00AB4A23">
              <w:rPr>
                <w:color w:val="000000" w:themeColor="text1"/>
                <w:sz w:val="18"/>
                <w:szCs w:val="18"/>
              </w:rPr>
              <w:t>-34</w:t>
            </w:r>
          </w:p>
        </w:tc>
        <w:tc>
          <w:tcPr>
            <w:tcW w:w="1201" w:type="dxa"/>
            <w:noWrap/>
            <w:vAlign w:val="bottom"/>
            <w:hideMark/>
          </w:tcPr>
          <w:p w14:paraId="733BB001" w14:textId="7B7FFC99" w:rsidR="00DC3FC3" w:rsidRPr="00AB4A23" w:rsidRDefault="753C0D20" w:rsidP="42171E9E">
            <w:pPr>
              <w:jc w:val="right"/>
              <w:rPr>
                <w:color w:val="000000"/>
                <w:sz w:val="18"/>
                <w:szCs w:val="18"/>
              </w:rPr>
            </w:pPr>
            <w:r w:rsidRPr="00AB4A23">
              <w:rPr>
                <w:color w:val="000000" w:themeColor="text1"/>
                <w:sz w:val="18"/>
                <w:szCs w:val="18"/>
              </w:rPr>
              <w:t>81.6</w:t>
            </w:r>
          </w:p>
        </w:tc>
        <w:tc>
          <w:tcPr>
            <w:tcW w:w="1201" w:type="dxa"/>
            <w:noWrap/>
            <w:vAlign w:val="bottom"/>
            <w:hideMark/>
          </w:tcPr>
          <w:p w14:paraId="53DC05C8" w14:textId="69D7C37F" w:rsidR="00DC3FC3" w:rsidRPr="00AB4A23" w:rsidRDefault="753C0D20" w:rsidP="42171E9E">
            <w:pPr>
              <w:jc w:val="right"/>
              <w:rPr>
                <w:color w:val="000000"/>
                <w:sz w:val="18"/>
                <w:szCs w:val="18"/>
              </w:rPr>
            </w:pPr>
            <w:r w:rsidRPr="00AB4A23">
              <w:rPr>
                <w:color w:val="000000" w:themeColor="text1"/>
                <w:sz w:val="18"/>
                <w:szCs w:val="18"/>
              </w:rPr>
              <w:t>82.2</w:t>
            </w:r>
          </w:p>
        </w:tc>
        <w:tc>
          <w:tcPr>
            <w:tcW w:w="1201" w:type="dxa"/>
            <w:noWrap/>
            <w:vAlign w:val="bottom"/>
            <w:hideMark/>
          </w:tcPr>
          <w:p w14:paraId="3AD6A764" w14:textId="4C738F36" w:rsidR="00DC3FC3" w:rsidRPr="00AB4A23" w:rsidRDefault="753C0D20" w:rsidP="42171E9E">
            <w:pPr>
              <w:jc w:val="right"/>
              <w:rPr>
                <w:color w:val="000000"/>
                <w:sz w:val="18"/>
                <w:szCs w:val="18"/>
              </w:rPr>
            </w:pPr>
            <w:r w:rsidRPr="00AB4A23">
              <w:rPr>
                <w:color w:val="000000" w:themeColor="text1"/>
                <w:sz w:val="18"/>
                <w:szCs w:val="18"/>
              </w:rPr>
              <w:t>199.6</w:t>
            </w:r>
          </w:p>
        </w:tc>
        <w:tc>
          <w:tcPr>
            <w:tcW w:w="1533" w:type="dxa"/>
            <w:noWrap/>
            <w:vAlign w:val="bottom"/>
            <w:hideMark/>
          </w:tcPr>
          <w:p w14:paraId="57E08A15" w14:textId="0E8EEEFD" w:rsidR="00DC3FC3" w:rsidRPr="00AB4A23" w:rsidRDefault="753C0D20" w:rsidP="42171E9E">
            <w:pPr>
              <w:jc w:val="right"/>
              <w:rPr>
                <w:color w:val="000000"/>
                <w:sz w:val="18"/>
                <w:szCs w:val="18"/>
              </w:rPr>
            </w:pPr>
            <w:r w:rsidRPr="00AB4A23">
              <w:rPr>
                <w:color w:val="000000" w:themeColor="text1"/>
                <w:sz w:val="18"/>
                <w:szCs w:val="18"/>
              </w:rPr>
              <w:t>195.5</w:t>
            </w:r>
          </w:p>
        </w:tc>
        <w:tc>
          <w:tcPr>
            <w:tcW w:w="1134" w:type="dxa"/>
            <w:noWrap/>
            <w:vAlign w:val="bottom"/>
            <w:hideMark/>
          </w:tcPr>
          <w:p w14:paraId="5C1E30E7" w14:textId="024CD3E1" w:rsidR="00DC3FC3" w:rsidRPr="00AB4A23" w:rsidRDefault="753C0D20" w:rsidP="42171E9E">
            <w:pPr>
              <w:jc w:val="right"/>
              <w:rPr>
                <w:color w:val="000000"/>
                <w:sz w:val="18"/>
                <w:szCs w:val="18"/>
              </w:rPr>
            </w:pPr>
            <w:r w:rsidRPr="00AB4A23">
              <w:rPr>
                <w:color w:val="000000" w:themeColor="text1"/>
                <w:sz w:val="18"/>
                <w:szCs w:val="18"/>
              </w:rPr>
              <w:t>133.9</w:t>
            </w:r>
          </w:p>
        </w:tc>
        <w:tc>
          <w:tcPr>
            <w:tcW w:w="936" w:type="dxa"/>
            <w:noWrap/>
            <w:vAlign w:val="bottom"/>
            <w:hideMark/>
          </w:tcPr>
          <w:p w14:paraId="0D46EFA1" w14:textId="6BEBBC2C" w:rsidR="00DC3FC3" w:rsidRPr="00AB4A23" w:rsidRDefault="753C0D20" w:rsidP="42171E9E">
            <w:pPr>
              <w:jc w:val="right"/>
              <w:rPr>
                <w:color w:val="000000"/>
                <w:sz w:val="18"/>
                <w:szCs w:val="18"/>
              </w:rPr>
            </w:pPr>
            <w:r w:rsidRPr="00AB4A23">
              <w:rPr>
                <w:color w:val="000000" w:themeColor="text1"/>
                <w:sz w:val="18"/>
                <w:szCs w:val="18"/>
              </w:rPr>
              <w:t>97.7</w:t>
            </w:r>
          </w:p>
        </w:tc>
      </w:tr>
      <w:tr w:rsidR="000C1FF2" w:rsidRPr="00AB4A23" w14:paraId="74C0BB5D" w14:textId="77777777" w:rsidTr="0AA2609C">
        <w:trPr>
          <w:trHeight w:val="300"/>
        </w:trPr>
        <w:tc>
          <w:tcPr>
            <w:tcW w:w="960" w:type="dxa"/>
            <w:noWrap/>
            <w:vAlign w:val="bottom"/>
            <w:hideMark/>
          </w:tcPr>
          <w:p w14:paraId="0A3A2CB8" w14:textId="4C523821" w:rsidR="00DC3FC3" w:rsidRPr="00AB4A23" w:rsidRDefault="753C0D20" w:rsidP="42171E9E">
            <w:pPr>
              <w:rPr>
                <w:color w:val="000000"/>
                <w:sz w:val="18"/>
                <w:szCs w:val="18"/>
              </w:rPr>
            </w:pPr>
            <w:r w:rsidRPr="00AB4A23">
              <w:rPr>
                <w:color w:val="000000" w:themeColor="text1"/>
                <w:sz w:val="18"/>
                <w:szCs w:val="18"/>
              </w:rPr>
              <w:t>35</w:t>
            </w:r>
            <w:r w:rsidR="29273758" w:rsidRPr="00AB4A23">
              <w:rPr>
                <w:color w:val="000000" w:themeColor="text1"/>
                <w:sz w:val="18"/>
                <w:szCs w:val="18"/>
              </w:rPr>
              <w:t>-39</w:t>
            </w:r>
          </w:p>
        </w:tc>
        <w:tc>
          <w:tcPr>
            <w:tcW w:w="1201" w:type="dxa"/>
            <w:noWrap/>
            <w:vAlign w:val="bottom"/>
            <w:hideMark/>
          </w:tcPr>
          <w:p w14:paraId="74D237D4" w14:textId="5D62843F" w:rsidR="00DC3FC3" w:rsidRPr="00AB4A23" w:rsidRDefault="65C4A812" w:rsidP="42171E9E">
            <w:pPr>
              <w:jc w:val="right"/>
              <w:rPr>
                <w:color w:val="000000"/>
                <w:sz w:val="18"/>
                <w:szCs w:val="18"/>
              </w:rPr>
            </w:pPr>
            <w:r w:rsidRPr="00AB4A23">
              <w:rPr>
                <w:color w:val="000000" w:themeColor="text1"/>
                <w:sz w:val="18"/>
                <w:szCs w:val="18"/>
              </w:rPr>
              <w:t>82.2</w:t>
            </w:r>
          </w:p>
        </w:tc>
        <w:tc>
          <w:tcPr>
            <w:tcW w:w="1201" w:type="dxa"/>
            <w:noWrap/>
            <w:vAlign w:val="bottom"/>
            <w:hideMark/>
          </w:tcPr>
          <w:p w14:paraId="3FB4A791" w14:textId="02F567B8" w:rsidR="00DC3FC3" w:rsidRPr="00AB4A23" w:rsidRDefault="753C0D20" w:rsidP="42171E9E">
            <w:pPr>
              <w:jc w:val="right"/>
              <w:rPr>
                <w:color w:val="000000"/>
                <w:sz w:val="18"/>
                <w:szCs w:val="18"/>
              </w:rPr>
            </w:pPr>
            <w:r w:rsidRPr="00AB4A23">
              <w:rPr>
                <w:color w:val="000000" w:themeColor="text1"/>
                <w:sz w:val="18"/>
                <w:szCs w:val="18"/>
              </w:rPr>
              <w:t>8</w:t>
            </w:r>
            <w:r w:rsidR="5C05A697" w:rsidRPr="00AB4A23">
              <w:rPr>
                <w:color w:val="000000" w:themeColor="text1"/>
                <w:sz w:val="18"/>
                <w:szCs w:val="18"/>
              </w:rPr>
              <w:t>8.0</w:t>
            </w:r>
          </w:p>
        </w:tc>
        <w:tc>
          <w:tcPr>
            <w:tcW w:w="1201" w:type="dxa"/>
            <w:noWrap/>
            <w:vAlign w:val="bottom"/>
            <w:hideMark/>
          </w:tcPr>
          <w:p w14:paraId="108D40B8" w14:textId="16948541" w:rsidR="00DC3FC3" w:rsidRPr="00AB4A23" w:rsidRDefault="753C0D20" w:rsidP="42171E9E">
            <w:pPr>
              <w:jc w:val="right"/>
              <w:rPr>
                <w:color w:val="000000"/>
                <w:sz w:val="18"/>
                <w:szCs w:val="18"/>
              </w:rPr>
            </w:pPr>
            <w:r w:rsidRPr="00AB4A23">
              <w:rPr>
                <w:color w:val="000000" w:themeColor="text1"/>
                <w:sz w:val="18"/>
                <w:szCs w:val="18"/>
              </w:rPr>
              <w:t>194.</w:t>
            </w:r>
            <w:r w:rsidR="1719E286" w:rsidRPr="00AB4A23">
              <w:rPr>
                <w:color w:val="000000" w:themeColor="text1"/>
                <w:sz w:val="18"/>
                <w:szCs w:val="18"/>
              </w:rPr>
              <w:t>9</w:t>
            </w:r>
          </w:p>
        </w:tc>
        <w:tc>
          <w:tcPr>
            <w:tcW w:w="1533" w:type="dxa"/>
            <w:noWrap/>
            <w:vAlign w:val="bottom"/>
            <w:hideMark/>
          </w:tcPr>
          <w:p w14:paraId="15F87A8F" w14:textId="336CC06F" w:rsidR="00DC3FC3" w:rsidRPr="00AB4A23" w:rsidRDefault="753C0D20" w:rsidP="42171E9E">
            <w:pPr>
              <w:jc w:val="right"/>
              <w:rPr>
                <w:color w:val="000000"/>
                <w:sz w:val="18"/>
                <w:szCs w:val="18"/>
              </w:rPr>
            </w:pPr>
            <w:r w:rsidRPr="00AB4A23">
              <w:rPr>
                <w:color w:val="000000" w:themeColor="text1"/>
                <w:sz w:val="18"/>
                <w:szCs w:val="18"/>
              </w:rPr>
              <w:t>210.2</w:t>
            </w:r>
          </w:p>
        </w:tc>
        <w:tc>
          <w:tcPr>
            <w:tcW w:w="1134" w:type="dxa"/>
            <w:noWrap/>
            <w:vAlign w:val="bottom"/>
            <w:hideMark/>
          </w:tcPr>
          <w:p w14:paraId="78827DC3" w14:textId="58691908" w:rsidR="00DC3FC3" w:rsidRPr="00AB4A23" w:rsidRDefault="753C0D20" w:rsidP="42171E9E">
            <w:pPr>
              <w:jc w:val="right"/>
              <w:rPr>
                <w:color w:val="000000"/>
                <w:sz w:val="18"/>
                <w:szCs w:val="18"/>
              </w:rPr>
            </w:pPr>
            <w:r w:rsidRPr="00AB4A23">
              <w:rPr>
                <w:color w:val="000000" w:themeColor="text1"/>
                <w:sz w:val="18"/>
                <w:szCs w:val="18"/>
              </w:rPr>
              <w:t>170.4</w:t>
            </w:r>
          </w:p>
        </w:tc>
        <w:tc>
          <w:tcPr>
            <w:tcW w:w="936" w:type="dxa"/>
            <w:noWrap/>
            <w:vAlign w:val="bottom"/>
            <w:hideMark/>
          </w:tcPr>
          <w:p w14:paraId="411F9C6C" w14:textId="4D9ECCBC" w:rsidR="00DC3FC3" w:rsidRPr="00AB4A23" w:rsidRDefault="753C0D20" w:rsidP="42171E9E">
            <w:pPr>
              <w:jc w:val="right"/>
              <w:rPr>
                <w:color w:val="000000"/>
                <w:sz w:val="18"/>
                <w:szCs w:val="18"/>
              </w:rPr>
            </w:pPr>
            <w:r w:rsidRPr="00AB4A23">
              <w:rPr>
                <w:color w:val="000000" w:themeColor="text1"/>
                <w:sz w:val="18"/>
                <w:szCs w:val="18"/>
              </w:rPr>
              <w:t>99.6</w:t>
            </w:r>
          </w:p>
        </w:tc>
      </w:tr>
      <w:tr w:rsidR="000C1FF2" w:rsidRPr="00AB4A23" w14:paraId="13131739" w14:textId="77777777" w:rsidTr="0AA2609C">
        <w:trPr>
          <w:trHeight w:val="300"/>
        </w:trPr>
        <w:tc>
          <w:tcPr>
            <w:tcW w:w="960" w:type="dxa"/>
            <w:noWrap/>
            <w:vAlign w:val="bottom"/>
            <w:hideMark/>
          </w:tcPr>
          <w:p w14:paraId="20E0E0B7" w14:textId="76B8970A" w:rsidR="00DC3FC3" w:rsidRPr="00AB4A23" w:rsidRDefault="753C0D20" w:rsidP="42171E9E">
            <w:pPr>
              <w:rPr>
                <w:color w:val="000000"/>
                <w:sz w:val="18"/>
                <w:szCs w:val="18"/>
              </w:rPr>
            </w:pPr>
            <w:r w:rsidRPr="00AB4A23">
              <w:rPr>
                <w:color w:val="000000" w:themeColor="text1"/>
                <w:sz w:val="18"/>
                <w:szCs w:val="18"/>
              </w:rPr>
              <w:t>40</w:t>
            </w:r>
            <w:r w:rsidR="71189A6C" w:rsidRPr="00AB4A23">
              <w:rPr>
                <w:color w:val="000000" w:themeColor="text1"/>
                <w:sz w:val="18"/>
                <w:szCs w:val="18"/>
              </w:rPr>
              <w:t>-44</w:t>
            </w:r>
          </w:p>
        </w:tc>
        <w:tc>
          <w:tcPr>
            <w:tcW w:w="1201" w:type="dxa"/>
            <w:noWrap/>
            <w:vAlign w:val="bottom"/>
            <w:hideMark/>
          </w:tcPr>
          <w:p w14:paraId="6E197EC1" w14:textId="07619017" w:rsidR="00DC3FC3" w:rsidRPr="00AB4A23" w:rsidRDefault="753C0D20" w:rsidP="42171E9E">
            <w:pPr>
              <w:jc w:val="right"/>
              <w:rPr>
                <w:color w:val="000000"/>
                <w:sz w:val="18"/>
                <w:szCs w:val="18"/>
              </w:rPr>
            </w:pPr>
            <w:r w:rsidRPr="00AB4A23">
              <w:rPr>
                <w:color w:val="000000" w:themeColor="text1"/>
                <w:sz w:val="18"/>
                <w:szCs w:val="18"/>
              </w:rPr>
              <w:t>74.</w:t>
            </w:r>
            <w:r w:rsidR="5C05A697" w:rsidRPr="00AB4A23">
              <w:rPr>
                <w:color w:val="000000" w:themeColor="text1"/>
                <w:sz w:val="18"/>
                <w:szCs w:val="18"/>
              </w:rPr>
              <w:t>7</w:t>
            </w:r>
          </w:p>
        </w:tc>
        <w:tc>
          <w:tcPr>
            <w:tcW w:w="1201" w:type="dxa"/>
            <w:noWrap/>
            <w:vAlign w:val="bottom"/>
            <w:hideMark/>
          </w:tcPr>
          <w:p w14:paraId="6320ADBE" w14:textId="5742DF78" w:rsidR="00DC3FC3" w:rsidRPr="00AB4A23" w:rsidRDefault="5C05A697" w:rsidP="42171E9E">
            <w:pPr>
              <w:jc w:val="right"/>
              <w:rPr>
                <w:color w:val="000000"/>
                <w:sz w:val="18"/>
                <w:szCs w:val="18"/>
              </w:rPr>
            </w:pPr>
            <w:r w:rsidRPr="00AB4A23">
              <w:rPr>
                <w:color w:val="000000" w:themeColor="text1"/>
                <w:sz w:val="18"/>
                <w:szCs w:val="18"/>
              </w:rPr>
              <w:t>88.0</w:t>
            </w:r>
          </w:p>
        </w:tc>
        <w:tc>
          <w:tcPr>
            <w:tcW w:w="1201" w:type="dxa"/>
            <w:noWrap/>
            <w:vAlign w:val="bottom"/>
            <w:hideMark/>
          </w:tcPr>
          <w:p w14:paraId="77B64722" w14:textId="661AB7E0" w:rsidR="00DC3FC3" w:rsidRPr="00AB4A23" w:rsidRDefault="753C0D20" w:rsidP="42171E9E">
            <w:pPr>
              <w:jc w:val="right"/>
              <w:rPr>
                <w:color w:val="000000"/>
                <w:sz w:val="18"/>
                <w:szCs w:val="18"/>
              </w:rPr>
            </w:pPr>
            <w:r w:rsidRPr="00AB4A23">
              <w:rPr>
                <w:color w:val="000000" w:themeColor="text1"/>
                <w:sz w:val="18"/>
                <w:szCs w:val="18"/>
              </w:rPr>
              <w:t>233.</w:t>
            </w:r>
            <w:r w:rsidR="1719E286" w:rsidRPr="00AB4A23">
              <w:rPr>
                <w:color w:val="000000" w:themeColor="text1"/>
                <w:sz w:val="18"/>
                <w:szCs w:val="18"/>
              </w:rPr>
              <w:t>8</w:t>
            </w:r>
          </w:p>
        </w:tc>
        <w:tc>
          <w:tcPr>
            <w:tcW w:w="1533" w:type="dxa"/>
            <w:noWrap/>
            <w:vAlign w:val="bottom"/>
            <w:hideMark/>
          </w:tcPr>
          <w:p w14:paraId="26D3DFE2" w14:textId="763D18BD" w:rsidR="00DC3FC3" w:rsidRPr="00AB4A23" w:rsidRDefault="753C0D20" w:rsidP="42171E9E">
            <w:pPr>
              <w:jc w:val="right"/>
              <w:rPr>
                <w:color w:val="000000"/>
                <w:sz w:val="18"/>
                <w:szCs w:val="18"/>
              </w:rPr>
            </w:pPr>
            <w:r w:rsidRPr="00AB4A23">
              <w:rPr>
                <w:color w:val="000000" w:themeColor="text1"/>
                <w:sz w:val="18"/>
                <w:szCs w:val="18"/>
              </w:rPr>
              <w:t>263.</w:t>
            </w:r>
            <w:r w:rsidR="1719E286" w:rsidRPr="00AB4A23">
              <w:rPr>
                <w:color w:val="000000" w:themeColor="text1"/>
                <w:sz w:val="18"/>
                <w:szCs w:val="18"/>
              </w:rPr>
              <w:t>1</w:t>
            </w:r>
          </w:p>
        </w:tc>
        <w:tc>
          <w:tcPr>
            <w:tcW w:w="1134" w:type="dxa"/>
            <w:noWrap/>
            <w:vAlign w:val="bottom"/>
            <w:hideMark/>
          </w:tcPr>
          <w:p w14:paraId="2940B6BF" w14:textId="52F22DE3" w:rsidR="00DC3FC3" w:rsidRPr="00AB4A23" w:rsidRDefault="753C0D20" w:rsidP="42171E9E">
            <w:pPr>
              <w:jc w:val="right"/>
              <w:rPr>
                <w:color w:val="000000"/>
                <w:sz w:val="18"/>
                <w:szCs w:val="18"/>
              </w:rPr>
            </w:pPr>
            <w:r w:rsidRPr="00AB4A23">
              <w:rPr>
                <w:color w:val="000000" w:themeColor="text1"/>
                <w:sz w:val="18"/>
                <w:szCs w:val="18"/>
              </w:rPr>
              <w:t>61.3</w:t>
            </w:r>
          </w:p>
        </w:tc>
        <w:tc>
          <w:tcPr>
            <w:tcW w:w="936" w:type="dxa"/>
            <w:noWrap/>
            <w:vAlign w:val="bottom"/>
            <w:hideMark/>
          </w:tcPr>
          <w:p w14:paraId="32AF8877" w14:textId="60211FBD" w:rsidR="00DC3FC3" w:rsidRPr="00AB4A23" w:rsidRDefault="753C0D20" w:rsidP="42171E9E">
            <w:pPr>
              <w:jc w:val="right"/>
              <w:rPr>
                <w:color w:val="000000"/>
                <w:sz w:val="18"/>
                <w:szCs w:val="18"/>
              </w:rPr>
            </w:pPr>
            <w:r w:rsidRPr="00AB4A23">
              <w:rPr>
                <w:color w:val="000000" w:themeColor="text1"/>
                <w:sz w:val="18"/>
                <w:szCs w:val="18"/>
              </w:rPr>
              <w:t>92.1</w:t>
            </w:r>
          </w:p>
        </w:tc>
      </w:tr>
      <w:tr w:rsidR="000C1FF2" w:rsidRPr="00AB4A23" w14:paraId="1D265D97" w14:textId="77777777" w:rsidTr="0AA2609C">
        <w:trPr>
          <w:trHeight w:val="300"/>
        </w:trPr>
        <w:tc>
          <w:tcPr>
            <w:tcW w:w="960" w:type="dxa"/>
            <w:noWrap/>
            <w:vAlign w:val="bottom"/>
            <w:hideMark/>
          </w:tcPr>
          <w:p w14:paraId="5E6E9EF3" w14:textId="6D3CE365" w:rsidR="00DC3FC3" w:rsidRPr="00AB4A23" w:rsidRDefault="753C0D20" w:rsidP="42171E9E">
            <w:pPr>
              <w:rPr>
                <w:color w:val="000000"/>
                <w:sz w:val="18"/>
                <w:szCs w:val="18"/>
              </w:rPr>
            </w:pPr>
            <w:r w:rsidRPr="00AB4A23">
              <w:rPr>
                <w:color w:val="000000" w:themeColor="text1"/>
                <w:sz w:val="18"/>
                <w:szCs w:val="18"/>
              </w:rPr>
              <w:t>45</w:t>
            </w:r>
            <w:r w:rsidR="64E1067E" w:rsidRPr="00AB4A23">
              <w:rPr>
                <w:color w:val="000000" w:themeColor="text1"/>
                <w:sz w:val="18"/>
                <w:szCs w:val="18"/>
              </w:rPr>
              <w:t>-49</w:t>
            </w:r>
          </w:p>
        </w:tc>
        <w:tc>
          <w:tcPr>
            <w:tcW w:w="1201" w:type="dxa"/>
            <w:noWrap/>
            <w:vAlign w:val="bottom"/>
            <w:hideMark/>
          </w:tcPr>
          <w:p w14:paraId="54D4C7C9" w14:textId="30CFE015" w:rsidR="00DC3FC3" w:rsidRPr="00AB4A23" w:rsidRDefault="753C0D20" w:rsidP="42171E9E">
            <w:pPr>
              <w:jc w:val="right"/>
              <w:rPr>
                <w:color w:val="000000"/>
                <w:sz w:val="18"/>
                <w:szCs w:val="18"/>
              </w:rPr>
            </w:pPr>
            <w:r w:rsidRPr="00AB4A23">
              <w:rPr>
                <w:color w:val="000000" w:themeColor="text1"/>
                <w:sz w:val="18"/>
                <w:szCs w:val="18"/>
              </w:rPr>
              <w:t>80.</w:t>
            </w:r>
            <w:r w:rsidR="5C05A697" w:rsidRPr="00AB4A23">
              <w:rPr>
                <w:color w:val="000000" w:themeColor="text1"/>
                <w:sz w:val="18"/>
                <w:szCs w:val="18"/>
              </w:rPr>
              <w:t>6</w:t>
            </w:r>
          </w:p>
        </w:tc>
        <w:tc>
          <w:tcPr>
            <w:tcW w:w="1201" w:type="dxa"/>
            <w:noWrap/>
            <w:vAlign w:val="bottom"/>
            <w:hideMark/>
          </w:tcPr>
          <w:p w14:paraId="02015F5D" w14:textId="4D7D1BB3" w:rsidR="00DC3FC3" w:rsidRPr="00AB4A23" w:rsidRDefault="753C0D20" w:rsidP="42171E9E">
            <w:pPr>
              <w:jc w:val="right"/>
              <w:rPr>
                <w:color w:val="000000"/>
                <w:sz w:val="18"/>
                <w:szCs w:val="18"/>
              </w:rPr>
            </w:pPr>
            <w:r w:rsidRPr="00AB4A23">
              <w:rPr>
                <w:color w:val="000000" w:themeColor="text1"/>
                <w:sz w:val="18"/>
                <w:szCs w:val="18"/>
              </w:rPr>
              <w:t>97.</w:t>
            </w:r>
            <w:r w:rsidR="5C05A697" w:rsidRPr="00AB4A23">
              <w:rPr>
                <w:color w:val="000000" w:themeColor="text1"/>
                <w:sz w:val="18"/>
                <w:szCs w:val="18"/>
              </w:rPr>
              <w:t>1</w:t>
            </w:r>
          </w:p>
        </w:tc>
        <w:tc>
          <w:tcPr>
            <w:tcW w:w="1201" w:type="dxa"/>
            <w:noWrap/>
            <w:vAlign w:val="bottom"/>
            <w:hideMark/>
          </w:tcPr>
          <w:p w14:paraId="09B41122" w14:textId="2A0CF1AE" w:rsidR="00DC3FC3" w:rsidRPr="00AB4A23" w:rsidRDefault="753C0D20" w:rsidP="42171E9E">
            <w:pPr>
              <w:jc w:val="right"/>
              <w:rPr>
                <w:color w:val="000000"/>
                <w:sz w:val="18"/>
                <w:szCs w:val="18"/>
              </w:rPr>
            </w:pPr>
            <w:r w:rsidRPr="00AB4A23">
              <w:rPr>
                <w:color w:val="000000" w:themeColor="text1"/>
                <w:sz w:val="18"/>
                <w:szCs w:val="18"/>
              </w:rPr>
              <w:t>275.7</w:t>
            </w:r>
          </w:p>
        </w:tc>
        <w:tc>
          <w:tcPr>
            <w:tcW w:w="1533" w:type="dxa"/>
            <w:noWrap/>
            <w:vAlign w:val="bottom"/>
            <w:hideMark/>
          </w:tcPr>
          <w:p w14:paraId="5C020E7C" w14:textId="744EAF21" w:rsidR="00DC3FC3" w:rsidRPr="00AB4A23" w:rsidRDefault="753C0D20" w:rsidP="42171E9E">
            <w:pPr>
              <w:jc w:val="right"/>
              <w:rPr>
                <w:color w:val="000000"/>
                <w:sz w:val="18"/>
                <w:szCs w:val="18"/>
              </w:rPr>
            </w:pPr>
            <w:r w:rsidRPr="00AB4A23">
              <w:rPr>
                <w:color w:val="000000" w:themeColor="text1"/>
                <w:sz w:val="18"/>
                <w:szCs w:val="18"/>
              </w:rPr>
              <w:t>365.</w:t>
            </w:r>
            <w:r w:rsidR="1719E286" w:rsidRPr="00AB4A23">
              <w:rPr>
                <w:color w:val="000000" w:themeColor="text1"/>
                <w:sz w:val="18"/>
                <w:szCs w:val="18"/>
              </w:rPr>
              <w:t>4</w:t>
            </w:r>
          </w:p>
        </w:tc>
        <w:tc>
          <w:tcPr>
            <w:tcW w:w="1134" w:type="dxa"/>
            <w:noWrap/>
            <w:vAlign w:val="bottom"/>
            <w:hideMark/>
          </w:tcPr>
          <w:p w14:paraId="55F2804E" w14:textId="6D5D896C" w:rsidR="00DC3FC3" w:rsidRPr="00AB4A23" w:rsidRDefault="753C0D20" w:rsidP="42171E9E">
            <w:pPr>
              <w:jc w:val="right"/>
              <w:rPr>
                <w:color w:val="000000"/>
                <w:sz w:val="18"/>
                <w:szCs w:val="18"/>
              </w:rPr>
            </w:pPr>
            <w:r w:rsidRPr="00AB4A23">
              <w:rPr>
                <w:color w:val="000000" w:themeColor="text1"/>
                <w:sz w:val="18"/>
                <w:szCs w:val="18"/>
              </w:rPr>
              <w:t>335.9</w:t>
            </w:r>
          </w:p>
        </w:tc>
        <w:tc>
          <w:tcPr>
            <w:tcW w:w="936" w:type="dxa"/>
            <w:noWrap/>
            <w:vAlign w:val="bottom"/>
            <w:hideMark/>
          </w:tcPr>
          <w:p w14:paraId="53311603" w14:textId="245BF4DB" w:rsidR="00DC3FC3" w:rsidRPr="00AB4A23" w:rsidRDefault="753C0D20" w:rsidP="42171E9E">
            <w:pPr>
              <w:jc w:val="right"/>
              <w:rPr>
                <w:color w:val="000000"/>
                <w:sz w:val="18"/>
                <w:szCs w:val="18"/>
              </w:rPr>
            </w:pPr>
            <w:r w:rsidRPr="00AB4A23">
              <w:rPr>
                <w:color w:val="000000" w:themeColor="text1"/>
                <w:sz w:val="18"/>
                <w:szCs w:val="18"/>
              </w:rPr>
              <w:t>96.</w:t>
            </w:r>
            <w:r w:rsidR="1719E286" w:rsidRPr="00AB4A23">
              <w:rPr>
                <w:color w:val="000000" w:themeColor="text1"/>
                <w:sz w:val="18"/>
                <w:szCs w:val="18"/>
              </w:rPr>
              <w:t>5</w:t>
            </w:r>
          </w:p>
        </w:tc>
      </w:tr>
      <w:tr w:rsidR="000C1FF2" w:rsidRPr="00AB4A23" w14:paraId="11B8A1CF" w14:textId="77777777" w:rsidTr="0AA2609C">
        <w:trPr>
          <w:trHeight w:val="300"/>
        </w:trPr>
        <w:tc>
          <w:tcPr>
            <w:tcW w:w="960" w:type="dxa"/>
            <w:noWrap/>
            <w:vAlign w:val="bottom"/>
            <w:hideMark/>
          </w:tcPr>
          <w:p w14:paraId="63E11DEE" w14:textId="042AC305" w:rsidR="00DC3FC3" w:rsidRPr="00AB4A23" w:rsidRDefault="753C0D20" w:rsidP="42171E9E">
            <w:pPr>
              <w:rPr>
                <w:color w:val="000000"/>
                <w:sz w:val="18"/>
                <w:szCs w:val="18"/>
              </w:rPr>
            </w:pPr>
            <w:r w:rsidRPr="00AB4A23">
              <w:rPr>
                <w:color w:val="000000" w:themeColor="text1"/>
                <w:sz w:val="18"/>
                <w:szCs w:val="18"/>
              </w:rPr>
              <w:t>50</w:t>
            </w:r>
            <w:r w:rsidR="39E7805D" w:rsidRPr="00AB4A23">
              <w:rPr>
                <w:color w:val="000000" w:themeColor="text1"/>
                <w:sz w:val="18"/>
                <w:szCs w:val="18"/>
              </w:rPr>
              <w:t>-54</w:t>
            </w:r>
          </w:p>
        </w:tc>
        <w:tc>
          <w:tcPr>
            <w:tcW w:w="1201" w:type="dxa"/>
            <w:noWrap/>
            <w:vAlign w:val="bottom"/>
            <w:hideMark/>
          </w:tcPr>
          <w:p w14:paraId="4E461684" w14:textId="389F0FF4" w:rsidR="00DC3FC3" w:rsidRPr="00AB4A23" w:rsidRDefault="753C0D20" w:rsidP="42171E9E">
            <w:pPr>
              <w:jc w:val="right"/>
              <w:rPr>
                <w:color w:val="000000"/>
                <w:sz w:val="18"/>
                <w:szCs w:val="18"/>
              </w:rPr>
            </w:pPr>
            <w:r w:rsidRPr="00AB4A23">
              <w:rPr>
                <w:color w:val="000000" w:themeColor="text1"/>
                <w:sz w:val="18"/>
                <w:szCs w:val="18"/>
              </w:rPr>
              <w:t>83.</w:t>
            </w:r>
            <w:r w:rsidR="5C05A697" w:rsidRPr="00AB4A23">
              <w:rPr>
                <w:color w:val="000000" w:themeColor="text1"/>
                <w:sz w:val="18"/>
                <w:szCs w:val="18"/>
              </w:rPr>
              <w:t>3</w:t>
            </w:r>
          </w:p>
        </w:tc>
        <w:tc>
          <w:tcPr>
            <w:tcW w:w="1201" w:type="dxa"/>
            <w:noWrap/>
            <w:vAlign w:val="bottom"/>
            <w:hideMark/>
          </w:tcPr>
          <w:p w14:paraId="71DAA4BC" w14:textId="539C8D40" w:rsidR="00DC3FC3" w:rsidRPr="00AB4A23" w:rsidRDefault="753C0D20" w:rsidP="42171E9E">
            <w:pPr>
              <w:jc w:val="right"/>
              <w:rPr>
                <w:color w:val="000000"/>
                <w:sz w:val="18"/>
                <w:szCs w:val="18"/>
              </w:rPr>
            </w:pPr>
            <w:r w:rsidRPr="00AB4A23">
              <w:rPr>
                <w:color w:val="000000" w:themeColor="text1"/>
                <w:sz w:val="18"/>
                <w:szCs w:val="18"/>
              </w:rPr>
              <w:t>98.7</w:t>
            </w:r>
          </w:p>
        </w:tc>
        <w:tc>
          <w:tcPr>
            <w:tcW w:w="1201" w:type="dxa"/>
            <w:noWrap/>
            <w:vAlign w:val="bottom"/>
            <w:hideMark/>
          </w:tcPr>
          <w:p w14:paraId="6BEEB7E1" w14:textId="1E0A3255" w:rsidR="00DC3FC3" w:rsidRPr="00AB4A23" w:rsidRDefault="753C0D20" w:rsidP="42171E9E">
            <w:pPr>
              <w:jc w:val="right"/>
              <w:rPr>
                <w:color w:val="000000"/>
                <w:sz w:val="18"/>
                <w:szCs w:val="18"/>
              </w:rPr>
            </w:pPr>
            <w:r w:rsidRPr="00AB4A23">
              <w:rPr>
                <w:color w:val="000000" w:themeColor="text1"/>
                <w:sz w:val="18"/>
                <w:szCs w:val="18"/>
              </w:rPr>
              <w:t>258.</w:t>
            </w:r>
            <w:r w:rsidR="1719E286" w:rsidRPr="00AB4A23">
              <w:rPr>
                <w:color w:val="000000" w:themeColor="text1"/>
                <w:sz w:val="18"/>
                <w:szCs w:val="18"/>
              </w:rPr>
              <w:t>2</w:t>
            </w:r>
          </w:p>
        </w:tc>
        <w:tc>
          <w:tcPr>
            <w:tcW w:w="1533" w:type="dxa"/>
            <w:noWrap/>
            <w:vAlign w:val="bottom"/>
            <w:hideMark/>
          </w:tcPr>
          <w:p w14:paraId="40112F0B" w14:textId="2DE3DDFA" w:rsidR="00DC3FC3" w:rsidRPr="00AB4A23" w:rsidRDefault="753C0D20" w:rsidP="42171E9E">
            <w:pPr>
              <w:jc w:val="right"/>
              <w:rPr>
                <w:color w:val="000000"/>
                <w:sz w:val="18"/>
                <w:szCs w:val="18"/>
              </w:rPr>
            </w:pPr>
            <w:r w:rsidRPr="00AB4A23">
              <w:rPr>
                <w:color w:val="000000" w:themeColor="text1"/>
                <w:sz w:val="18"/>
                <w:szCs w:val="18"/>
              </w:rPr>
              <w:t>419.</w:t>
            </w:r>
            <w:r w:rsidR="1719E286" w:rsidRPr="00AB4A23">
              <w:rPr>
                <w:color w:val="000000" w:themeColor="text1"/>
                <w:sz w:val="18"/>
                <w:szCs w:val="18"/>
              </w:rPr>
              <w:t>8</w:t>
            </w:r>
          </w:p>
        </w:tc>
        <w:tc>
          <w:tcPr>
            <w:tcW w:w="1134" w:type="dxa"/>
            <w:noWrap/>
            <w:vAlign w:val="bottom"/>
            <w:hideMark/>
          </w:tcPr>
          <w:p w14:paraId="6E46A005" w14:textId="2ABAF3D4" w:rsidR="00DC3FC3" w:rsidRPr="00AB4A23" w:rsidRDefault="753C0D20" w:rsidP="42171E9E">
            <w:pPr>
              <w:jc w:val="right"/>
              <w:rPr>
                <w:color w:val="000000"/>
                <w:sz w:val="18"/>
                <w:szCs w:val="18"/>
              </w:rPr>
            </w:pPr>
            <w:r w:rsidRPr="00AB4A23">
              <w:rPr>
                <w:color w:val="000000" w:themeColor="text1"/>
                <w:sz w:val="18"/>
                <w:szCs w:val="18"/>
              </w:rPr>
              <w:t>360.</w:t>
            </w:r>
            <w:r w:rsidR="1719E286" w:rsidRPr="00AB4A23">
              <w:rPr>
                <w:color w:val="000000" w:themeColor="text1"/>
                <w:sz w:val="18"/>
                <w:szCs w:val="18"/>
              </w:rPr>
              <w:t>3</w:t>
            </w:r>
          </w:p>
        </w:tc>
        <w:tc>
          <w:tcPr>
            <w:tcW w:w="936" w:type="dxa"/>
            <w:noWrap/>
            <w:vAlign w:val="bottom"/>
            <w:hideMark/>
          </w:tcPr>
          <w:p w14:paraId="2675D6A8" w14:textId="475C011B" w:rsidR="00DC3FC3" w:rsidRPr="00AB4A23" w:rsidRDefault="1719E286" w:rsidP="42171E9E">
            <w:pPr>
              <w:jc w:val="right"/>
              <w:rPr>
                <w:color w:val="000000"/>
                <w:sz w:val="18"/>
                <w:szCs w:val="18"/>
              </w:rPr>
            </w:pPr>
            <w:r w:rsidRPr="00AB4A23">
              <w:rPr>
                <w:color w:val="000000" w:themeColor="text1"/>
                <w:sz w:val="18"/>
                <w:szCs w:val="18"/>
              </w:rPr>
              <w:t>95.0</w:t>
            </w:r>
          </w:p>
        </w:tc>
      </w:tr>
      <w:tr w:rsidR="000C1FF2" w:rsidRPr="00AB4A23" w14:paraId="2A79A5F0" w14:textId="77777777" w:rsidTr="0AA2609C">
        <w:trPr>
          <w:trHeight w:val="300"/>
        </w:trPr>
        <w:tc>
          <w:tcPr>
            <w:tcW w:w="960" w:type="dxa"/>
            <w:tcBorders>
              <w:bottom w:val="single" w:sz="18" w:space="0" w:color="auto"/>
            </w:tcBorders>
            <w:noWrap/>
            <w:vAlign w:val="bottom"/>
            <w:hideMark/>
          </w:tcPr>
          <w:p w14:paraId="73242D35" w14:textId="77777777" w:rsidR="00DC3FC3" w:rsidRPr="00AB4A23" w:rsidRDefault="753C0D20" w:rsidP="42171E9E">
            <w:pPr>
              <w:rPr>
                <w:color w:val="000000"/>
                <w:sz w:val="18"/>
                <w:szCs w:val="18"/>
              </w:rPr>
            </w:pPr>
            <w:r w:rsidRPr="00AB4A23">
              <w:rPr>
                <w:color w:val="000000" w:themeColor="text1"/>
                <w:sz w:val="18"/>
                <w:szCs w:val="18"/>
              </w:rPr>
              <w:t>Total</w:t>
            </w:r>
          </w:p>
        </w:tc>
        <w:tc>
          <w:tcPr>
            <w:tcW w:w="1201" w:type="dxa"/>
            <w:tcBorders>
              <w:bottom w:val="single" w:sz="18" w:space="0" w:color="auto"/>
            </w:tcBorders>
            <w:noWrap/>
            <w:vAlign w:val="bottom"/>
            <w:hideMark/>
          </w:tcPr>
          <w:p w14:paraId="4DE72E22" w14:textId="61C81744" w:rsidR="00DC3FC3" w:rsidRPr="00AB4A23" w:rsidRDefault="753C0D20" w:rsidP="42171E9E">
            <w:pPr>
              <w:jc w:val="right"/>
              <w:rPr>
                <w:color w:val="000000"/>
                <w:sz w:val="18"/>
                <w:szCs w:val="18"/>
              </w:rPr>
            </w:pPr>
            <w:r w:rsidRPr="00AB4A23">
              <w:rPr>
                <w:color w:val="000000" w:themeColor="text1"/>
                <w:sz w:val="18"/>
                <w:szCs w:val="18"/>
              </w:rPr>
              <w:t>117.</w:t>
            </w:r>
            <w:r w:rsidR="5C05A697" w:rsidRPr="00AB4A23">
              <w:rPr>
                <w:color w:val="000000" w:themeColor="text1"/>
                <w:sz w:val="18"/>
                <w:szCs w:val="18"/>
              </w:rPr>
              <w:t>8</w:t>
            </w:r>
          </w:p>
        </w:tc>
        <w:tc>
          <w:tcPr>
            <w:tcW w:w="1201" w:type="dxa"/>
            <w:tcBorders>
              <w:bottom w:val="single" w:sz="18" w:space="0" w:color="auto"/>
            </w:tcBorders>
            <w:noWrap/>
            <w:vAlign w:val="bottom"/>
            <w:hideMark/>
          </w:tcPr>
          <w:p w14:paraId="38E1AD23" w14:textId="3623C5FB" w:rsidR="00DC3FC3" w:rsidRPr="00AB4A23" w:rsidRDefault="753C0D20" w:rsidP="42171E9E">
            <w:pPr>
              <w:jc w:val="right"/>
              <w:rPr>
                <w:color w:val="000000"/>
                <w:sz w:val="18"/>
                <w:szCs w:val="18"/>
              </w:rPr>
            </w:pPr>
            <w:r w:rsidRPr="00AB4A23">
              <w:rPr>
                <w:color w:val="000000" w:themeColor="text1"/>
                <w:sz w:val="18"/>
                <w:szCs w:val="18"/>
              </w:rPr>
              <w:t>91.</w:t>
            </w:r>
            <w:r w:rsidR="5C05A697" w:rsidRPr="00AB4A23">
              <w:rPr>
                <w:color w:val="000000" w:themeColor="text1"/>
                <w:sz w:val="18"/>
                <w:szCs w:val="18"/>
              </w:rPr>
              <w:t>9</w:t>
            </w:r>
          </w:p>
        </w:tc>
        <w:tc>
          <w:tcPr>
            <w:tcW w:w="1201" w:type="dxa"/>
            <w:tcBorders>
              <w:bottom w:val="single" w:sz="18" w:space="0" w:color="auto"/>
            </w:tcBorders>
            <w:noWrap/>
            <w:vAlign w:val="bottom"/>
            <w:hideMark/>
          </w:tcPr>
          <w:p w14:paraId="44BBE8F0" w14:textId="0839A1B4" w:rsidR="00DC3FC3" w:rsidRPr="00AB4A23" w:rsidRDefault="753C0D20" w:rsidP="42171E9E">
            <w:pPr>
              <w:jc w:val="right"/>
              <w:rPr>
                <w:color w:val="000000"/>
                <w:sz w:val="18"/>
                <w:szCs w:val="18"/>
              </w:rPr>
            </w:pPr>
            <w:r w:rsidRPr="00AB4A23">
              <w:rPr>
                <w:color w:val="000000" w:themeColor="text1"/>
                <w:sz w:val="18"/>
                <w:szCs w:val="18"/>
              </w:rPr>
              <w:t>165.1</w:t>
            </w:r>
          </w:p>
        </w:tc>
        <w:tc>
          <w:tcPr>
            <w:tcW w:w="1533" w:type="dxa"/>
            <w:tcBorders>
              <w:bottom w:val="single" w:sz="18" w:space="0" w:color="auto"/>
            </w:tcBorders>
            <w:noWrap/>
            <w:vAlign w:val="bottom"/>
            <w:hideMark/>
          </w:tcPr>
          <w:p w14:paraId="77E41521" w14:textId="19C78462" w:rsidR="00DC3FC3" w:rsidRPr="00AB4A23" w:rsidRDefault="753C0D20" w:rsidP="42171E9E">
            <w:pPr>
              <w:jc w:val="right"/>
              <w:rPr>
                <w:color w:val="000000"/>
                <w:sz w:val="18"/>
                <w:szCs w:val="18"/>
              </w:rPr>
            </w:pPr>
            <w:r w:rsidRPr="00AB4A23">
              <w:rPr>
                <w:color w:val="000000" w:themeColor="text1"/>
                <w:sz w:val="18"/>
                <w:szCs w:val="18"/>
              </w:rPr>
              <w:t>156.8</w:t>
            </w:r>
          </w:p>
        </w:tc>
        <w:tc>
          <w:tcPr>
            <w:tcW w:w="1134" w:type="dxa"/>
            <w:tcBorders>
              <w:bottom w:val="single" w:sz="18" w:space="0" w:color="auto"/>
            </w:tcBorders>
            <w:noWrap/>
            <w:vAlign w:val="bottom"/>
            <w:hideMark/>
          </w:tcPr>
          <w:p w14:paraId="040B79F2" w14:textId="6128C316" w:rsidR="00DC3FC3" w:rsidRPr="00AB4A23" w:rsidRDefault="753C0D20" w:rsidP="42171E9E">
            <w:pPr>
              <w:jc w:val="right"/>
              <w:rPr>
                <w:color w:val="000000"/>
                <w:sz w:val="18"/>
                <w:szCs w:val="18"/>
              </w:rPr>
            </w:pPr>
            <w:r w:rsidRPr="00AB4A23">
              <w:rPr>
                <w:color w:val="000000" w:themeColor="text1"/>
                <w:sz w:val="18"/>
                <w:szCs w:val="18"/>
              </w:rPr>
              <w:t>115.1</w:t>
            </w:r>
          </w:p>
        </w:tc>
        <w:tc>
          <w:tcPr>
            <w:tcW w:w="936" w:type="dxa"/>
            <w:tcBorders>
              <w:bottom w:val="single" w:sz="18" w:space="0" w:color="auto"/>
            </w:tcBorders>
            <w:noWrap/>
            <w:vAlign w:val="bottom"/>
            <w:hideMark/>
          </w:tcPr>
          <w:p w14:paraId="4751DC35" w14:textId="2FA34DD0" w:rsidR="00DC3FC3" w:rsidRPr="00AB4A23" w:rsidRDefault="753C0D20" w:rsidP="42171E9E">
            <w:pPr>
              <w:jc w:val="right"/>
              <w:rPr>
                <w:color w:val="000000"/>
                <w:sz w:val="18"/>
                <w:szCs w:val="18"/>
              </w:rPr>
            </w:pPr>
            <w:r w:rsidRPr="00AB4A23">
              <w:rPr>
                <w:color w:val="000000" w:themeColor="text1"/>
                <w:sz w:val="18"/>
                <w:szCs w:val="18"/>
              </w:rPr>
              <w:t>116.0</w:t>
            </w:r>
          </w:p>
        </w:tc>
      </w:tr>
      <w:tr w:rsidR="00742624" w:rsidRPr="00AB4A23" w14:paraId="2EA5AB75" w14:textId="77777777" w:rsidTr="0AA2609C">
        <w:trPr>
          <w:trHeight w:val="300"/>
        </w:trPr>
        <w:tc>
          <w:tcPr>
            <w:tcW w:w="960" w:type="dxa"/>
            <w:tcBorders>
              <w:top w:val="single" w:sz="18" w:space="0" w:color="auto"/>
            </w:tcBorders>
            <w:noWrap/>
            <w:vAlign w:val="bottom"/>
          </w:tcPr>
          <w:p w14:paraId="5F65F446" w14:textId="3EE2DB4F" w:rsidR="00742624" w:rsidRPr="00AB4A23" w:rsidRDefault="03205E82" w:rsidP="42171E9E">
            <w:pPr>
              <w:rPr>
                <w:color w:val="000000"/>
                <w:sz w:val="18"/>
                <w:szCs w:val="18"/>
              </w:rPr>
            </w:pPr>
            <w:r w:rsidRPr="00AB4A23">
              <w:rPr>
                <w:color w:val="000000" w:themeColor="text1"/>
                <w:sz w:val="18"/>
                <w:szCs w:val="18"/>
              </w:rPr>
              <w:t>2014</w:t>
            </w:r>
          </w:p>
        </w:tc>
        <w:tc>
          <w:tcPr>
            <w:tcW w:w="1201" w:type="dxa"/>
            <w:tcBorders>
              <w:top w:val="single" w:sz="18" w:space="0" w:color="auto"/>
            </w:tcBorders>
            <w:noWrap/>
            <w:vAlign w:val="bottom"/>
          </w:tcPr>
          <w:p w14:paraId="6558FFFD" w14:textId="41C62129" w:rsidR="00742624" w:rsidRPr="00AB4A23" w:rsidRDefault="00742624" w:rsidP="42171E9E">
            <w:pPr>
              <w:jc w:val="right"/>
              <w:rPr>
                <w:color w:val="000000"/>
                <w:sz w:val="18"/>
                <w:szCs w:val="18"/>
              </w:rPr>
            </w:pPr>
          </w:p>
        </w:tc>
        <w:tc>
          <w:tcPr>
            <w:tcW w:w="1201" w:type="dxa"/>
            <w:tcBorders>
              <w:top w:val="single" w:sz="18" w:space="0" w:color="auto"/>
            </w:tcBorders>
            <w:noWrap/>
            <w:vAlign w:val="bottom"/>
          </w:tcPr>
          <w:p w14:paraId="22616F98" w14:textId="68F2EFAB" w:rsidR="00742624" w:rsidRPr="00AB4A23" w:rsidRDefault="00742624" w:rsidP="42171E9E">
            <w:pPr>
              <w:jc w:val="right"/>
              <w:rPr>
                <w:color w:val="000000"/>
                <w:sz w:val="18"/>
                <w:szCs w:val="18"/>
              </w:rPr>
            </w:pPr>
          </w:p>
        </w:tc>
        <w:tc>
          <w:tcPr>
            <w:tcW w:w="1201" w:type="dxa"/>
            <w:tcBorders>
              <w:top w:val="single" w:sz="18" w:space="0" w:color="auto"/>
            </w:tcBorders>
            <w:noWrap/>
            <w:vAlign w:val="bottom"/>
          </w:tcPr>
          <w:p w14:paraId="0F02D62A" w14:textId="4AE161CA" w:rsidR="00742624" w:rsidRPr="00AB4A23" w:rsidRDefault="00742624" w:rsidP="42171E9E">
            <w:pPr>
              <w:jc w:val="right"/>
              <w:rPr>
                <w:color w:val="000000"/>
                <w:sz w:val="18"/>
                <w:szCs w:val="18"/>
              </w:rPr>
            </w:pPr>
          </w:p>
        </w:tc>
        <w:tc>
          <w:tcPr>
            <w:tcW w:w="1533" w:type="dxa"/>
            <w:tcBorders>
              <w:top w:val="single" w:sz="18" w:space="0" w:color="auto"/>
            </w:tcBorders>
            <w:noWrap/>
            <w:vAlign w:val="bottom"/>
          </w:tcPr>
          <w:p w14:paraId="7ADEC8B8" w14:textId="43716716" w:rsidR="00742624" w:rsidRPr="00AB4A23" w:rsidRDefault="00742624" w:rsidP="42171E9E">
            <w:pPr>
              <w:jc w:val="right"/>
              <w:rPr>
                <w:color w:val="000000"/>
                <w:sz w:val="18"/>
                <w:szCs w:val="18"/>
              </w:rPr>
            </w:pPr>
          </w:p>
        </w:tc>
        <w:tc>
          <w:tcPr>
            <w:tcW w:w="1134" w:type="dxa"/>
            <w:tcBorders>
              <w:top w:val="single" w:sz="18" w:space="0" w:color="auto"/>
            </w:tcBorders>
            <w:noWrap/>
            <w:vAlign w:val="bottom"/>
          </w:tcPr>
          <w:p w14:paraId="4FC73547" w14:textId="708C95A0" w:rsidR="00742624" w:rsidRPr="00AB4A23" w:rsidRDefault="00742624" w:rsidP="42171E9E">
            <w:pPr>
              <w:jc w:val="right"/>
              <w:rPr>
                <w:color w:val="000000"/>
                <w:sz w:val="18"/>
                <w:szCs w:val="18"/>
              </w:rPr>
            </w:pPr>
          </w:p>
        </w:tc>
        <w:tc>
          <w:tcPr>
            <w:tcW w:w="936" w:type="dxa"/>
            <w:tcBorders>
              <w:top w:val="single" w:sz="18" w:space="0" w:color="auto"/>
            </w:tcBorders>
            <w:noWrap/>
            <w:vAlign w:val="bottom"/>
          </w:tcPr>
          <w:p w14:paraId="2853B724" w14:textId="389F8E12" w:rsidR="00742624" w:rsidRPr="00AB4A23" w:rsidRDefault="00742624" w:rsidP="42171E9E">
            <w:pPr>
              <w:jc w:val="right"/>
              <w:rPr>
                <w:color w:val="000000"/>
                <w:sz w:val="18"/>
                <w:szCs w:val="18"/>
              </w:rPr>
            </w:pPr>
          </w:p>
        </w:tc>
      </w:tr>
      <w:tr w:rsidR="00742624" w:rsidRPr="00AB4A23" w14:paraId="16B15AB9" w14:textId="77777777" w:rsidTr="0AA2609C">
        <w:trPr>
          <w:trHeight w:val="300"/>
        </w:trPr>
        <w:tc>
          <w:tcPr>
            <w:tcW w:w="960" w:type="dxa"/>
            <w:noWrap/>
            <w:vAlign w:val="bottom"/>
          </w:tcPr>
          <w:p w14:paraId="5CB9E1CF" w14:textId="4EB14D49" w:rsidR="00742624" w:rsidRPr="00AB4A23" w:rsidRDefault="03205E82" w:rsidP="42171E9E">
            <w:pPr>
              <w:rPr>
                <w:color w:val="000000"/>
                <w:sz w:val="18"/>
                <w:szCs w:val="18"/>
              </w:rPr>
            </w:pPr>
            <w:r w:rsidRPr="00AB4A23">
              <w:rPr>
                <w:color w:val="000000" w:themeColor="text1"/>
                <w:sz w:val="18"/>
                <w:szCs w:val="18"/>
              </w:rPr>
              <w:t>5</w:t>
            </w:r>
            <w:r w:rsidR="29BD85E0" w:rsidRPr="00AB4A23">
              <w:rPr>
                <w:color w:val="000000" w:themeColor="text1"/>
                <w:sz w:val="18"/>
                <w:szCs w:val="18"/>
              </w:rPr>
              <w:t>-9</w:t>
            </w:r>
          </w:p>
        </w:tc>
        <w:tc>
          <w:tcPr>
            <w:tcW w:w="1201" w:type="dxa"/>
            <w:noWrap/>
            <w:vAlign w:val="bottom"/>
          </w:tcPr>
          <w:p w14:paraId="621896F1" w14:textId="19E3F177" w:rsidR="00742624" w:rsidRPr="00AB4A23" w:rsidRDefault="03205E82" w:rsidP="42171E9E">
            <w:pPr>
              <w:jc w:val="right"/>
              <w:rPr>
                <w:color w:val="000000"/>
                <w:sz w:val="18"/>
                <w:szCs w:val="18"/>
              </w:rPr>
            </w:pPr>
            <w:r w:rsidRPr="00AB4A23">
              <w:rPr>
                <w:color w:val="000000" w:themeColor="text1"/>
                <w:sz w:val="18"/>
                <w:szCs w:val="18"/>
              </w:rPr>
              <w:t>107.</w:t>
            </w:r>
            <w:r w:rsidR="44304C16" w:rsidRPr="00AB4A23">
              <w:rPr>
                <w:color w:val="000000" w:themeColor="text1"/>
                <w:sz w:val="18"/>
                <w:szCs w:val="18"/>
              </w:rPr>
              <w:t>3</w:t>
            </w:r>
          </w:p>
        </w:tc>
        <w:tc>
          <w:tcPr>
            <w:tcW w:w="1201" w:type="dxa"/>
            <w:noWrap/>
            <w:vAlign w:val="bottom"/>
          </w:tcPr>
          <w:p w14:paraId="64638619" w14:textId="6A1529C2" w:rsidR="00742624" w:rsidRPr="00AB4A23" w:rsidRDefault="03205E82" w:rsidP="42171E9E">
            <w:pPr>
              <w:jc w:val="right"/>
              <w:rPr>
                <w:color w:val="000000"/>
                <w:sz w:val="18"/>
                <w:szCs w:val="18"/>
              </w:rPr>
            </w:pPr>
            <w:r w:rsidRPr="00AB4A23">
              <w:rPr>
                <w:color w:val="000000" w:themeColor="text1"/>
                <w:sz w:val="18"/>
                <w:szCs w:val="18"/>
              </w:rPr>
              <w:t>100.</w:t>
            </w:r>
            <w:r w:rsidR="44304C16" w:rsidRPr="00AB4A23">
              <w:rPr>
                <w:color w:val="000000" w:themeColor="text1"/>
                <w:sz w:val="18"/>
                <w:szCs w:val="18"/>
              </w:rPr>
              <w:t>9</w:t>
            </w:r>
          </w:p>
        </w:tc>
        <w:tc>
          <w:tcPr>
            <w:tcW w:w="1201" w:type="dxa"/>
            <w:noWrap/>
            <w:vAlign w:val="bottom"/>
          </w:tcPr>
          <w:p w14:paraId="591C5229" w14:textId="37CA0DB9" w:rsidR="00742624" w:rsidRPr="00AB4A23" w:rsidRDefault="03205E82" w:rsidP="42171E9E">
            <w:pPr>
              <w:jc w:val="right"/>
              <w:rPr>
                <w:color w:val="000000"/>
                <w:sz w:val="18"/>
                <w:szCs w:val="18"/>
              </w:rPr>
            </w:pPr>
            <w:r w:rsidRPr="00AB4A23">
              <w:rPr>
                <w:color w:val="000000" w:themeColor="text1"/>
                <w:sz w:val="18"/>
                <w:szCs w:val="18"/>
              </w:rPr>
              <w:t>86.</w:t>
            </w:r>
            <w:r w:rsidR="44304C16" w:rsidRPr="00AB4A23">
              <w:rPr>
                <w:color w:val="000000" w:themeColor="text1"/>
                <w:sz w:val="18"/>
                <w:szCs w:val="18"/>
              </w:rPr>
              <w:t>7</w:t>
            </w:r>
          </w:p>
        </w:tc>
        <w:tc>
          <w:tcPr>
            <w:tcW w:w="1533" w:type="dxa"/>
            <w:noWrap/>
            <w:vAlign w:val="bottom"/>
          </w:tcPr>
          <w:p w14:paraId="2E88CA02" w14:textId="77777777" w:rsidR="00742624" w:rsidRPr="00AB4A23" w:rsidRDefault="00742624" w:rsidP="42171E9E">
            <w:pPr>
              <w:jc w:val="right"/>
              <w:rPr>
                <w:color w:val="000000"/>
                <w:sz w:val="18"/>
                <w:szCs w:val="18"/>
              </w:rPr>
            </w:pPr>
          </w:p>
        </w:tc>
        <w:tc>
          <w:tcPr>
            <w:tcW w:w="1134" w:type="dxa"/>
            <w:noWrap/>
            <w:vAlign w:val="bottom"/>
          </w:tcPr>
          <w:p w14:paraId="50BA83C5" w14:textId="77777777" w:rsidR="00742624" w:rsidRPr="00AB4A23" w:rsidRDefault="00742624" w:rsidP="42171E9E">
            <w:pPr>
              <w:jc w:val="right"/>
              <w:rPr>
                <w:color w:val="000000"/>
                <w:sz w:val="18"/>
                <w:szCs w:val="18"/>
              </w:rPr>
            </w:pPr>
          </w:p>
        </w:tc>
        <w:tc>
          <w:tcPr>
            <w:tcW w:w="936" w:type="dxa"/>
            <w:noWrap/>
            <w:vAlign w:val="bottom"/>
          </w:tcPr>
          <w:p w14:paraId="1E5DFCA0" w14:textId="23E723CD" w:rsidR="00742624" w:rsidRPr="00AB4A23" w:rsidRDefault="03205E82" w:rsidP="42171E9E">
            <w:pPr>
              <w:jc w:val="right"/>
              <w:rPr>
                <w:color w:val="000000"/>
                <w:sz w:val="18"/>
                <w:szCs w:val="18"/>
              </w:rPr>
            </w:pPr>
            <w:r w:rsidRPr="00AB4A23">
              <w:rPr>
                <w:color w:val="000000" w:themeColor="text1"/>
                <w:sz w:val="18"/>
                <w:szCs w:val="18"/>
              </w:rPr>
              <w:t>102.3</w:t>
            </w:r>
          </w:p>
        </w:tc>
      </w:tr>
      <w:tr w:rsidR="00742624" w:rsidRPr="00AB4A23" w14:paraId="655DA40B" w14:textId="77777777" w:rsidTr="0AA2609C">
        <w:trPr>
          <w:trHeight w:val="300"/>
        </w:trPr>
        <w:tc>
          <w:tcPr>
            <w:tcW w:w="960" w:type="dxa"/>
            <w:noWrap/>
            <w:vAlign w:val="bottom"/>
          </w:tcPr>
          <w:p w14:paraId="7908B0EA" w14:textId="084EC955" w:rsidR="00742624" w:rsidRPr="00AB4A23" w:rsidRDefault="03205E82" w:rsidP="42171E9E">
            <w:pPr>
              <w:rPr>
                <w:color w:val="000000"/>
                <w:sz w:val="18"/>
                <w:szCs w:val="18"/>
              </w:rPr>
            </w:pPr>
            <w:r w:rsidRPr="00AB4A23">
              <w:rPr>
                <w:color w:val="000000" w:themeColor="text1"/>
                <w:sz w:val="18"/>
                <w:szCs w:val="18"/>
              </w:rPr>
              <w:t>10</w:t>
            </w:r>
            <w:r w:rsidR="6311BE54" w:rsidRPr="00AB4A23">
              <w:rPr>
                <w:color w:val="000000" w:themeColor="text1"/>
                <w:sz w:val="18"/>
                <w:szCs w:val="18"/>
              </w:rPr>
              <w:t>-14</w:t>
            </w:r>
          </w:p>
        </w:tc>
        <w:tc>
          <w:tcPr>
            <w:tcW w:w="1201" w:type="dxa"/>
            <w:noWrap/>
            <w:vAlign w:val="bottom"/>
          </w:tcPr>
          <w:p w14:paraId="5D77EF13" w14:textId="7CF88146" w:rsidR="00742624" w:rsidRPr="00AB4A23" w:rsidRDefault="5C8EF11A" w:rsidP="42171E9E">
            <w:pPr>
              <w:jc w:val="right"/>
              <w:rPr>
                <w:color w:val="000000"/>
                <w:sz w:val="18"/>
                <w:szCs w:val="18"/>
              </w:rPr>
            </w:pPr>
            <w:r w:rsidRPr="00AB4A23">
              <w:rPr>
                <w:color w:val="000000" w:themeColor="text1"/>
                <w:sz w:val="18"/>
                <w:szCs w:val="18"/>
              </w:rPr>
              <w:t>119.</w:t>
            </w:r>
            <w:r w:rsidR="655F8590" w:rsidRPr="00AB4A23">
              <w:rPr>
                <w:color w:val="000000" w:themeColor="text1"/>
                <w:sz w:val="18"/>
                <w:szCs w:val="18"/>
              </w:rPr>
              <w:t>7</w:t>
            </w:r>
          </w:p>
        </w:tc>
        <w:tc>
          <w:tcPr>
            <w:tcW w:w="1201" w:type="dxa"/>
            <w:noWrap/>
            <w:vAlign w:val="bottom"/>
          </w:tcPr>
          <w:p w14:paraId="5D1BA5A9" w14:textId="60EE121A" w:rsidR="00742624" w:rsidRPr="00AB4A23" w:rsidRDefault="03205E82" w:rsidP="42171E9E">
            <w:pPr>
              <w:jc w:val="right"/>
              <w:rPr>
                <w:color w:val="000000"/>
                <w:sz w:val="18"/>
                <w:szCs w:val="18"/>
              </w:rPr>
            </w:pPr>
            <w:r w:rsidRPr="00AB4A23">
              <w:rPr>
                <w:color w:val="000000" w:themeColor="text1"/>
                <w:sz w:val="18"/>
                <w:szCs w:val="18"/>
              </w:rPr>
              <w:t>112.4</w:t>
            </w:r>
          </w:p>
        </w:tc>
        <w:tc>
          <w:tcPr>
            <w:tcW w:w="1201" w:type="dxa"/>
            <w:noWrap/>
            <w:vAlign w:val="bottom"/>
          </w:tcPr>
          <w:p w14:paraId="08AF249B" w14:textId="3880E9E8" w:rsidR="00742624" w:rsidRPr="00AB4A23" w:rsidRDefault="03205E82" w:rsidP="42171E9E">
            <w:pPr>
              <w:jc w:val="right"/>
              <w:rPr>
                <w:color w:val="000000"/>
                <w:sz w:val="18"/>
                <w:szCs w:val="18"/>
              </w:rPr>
            </w:pPr>
            <w:r w:rsidRPr="00AB4A23">
              <w:rPr>
                <w:color w:val="000000" w:themeColor="text1"/>
                <w:sz w:val="18"/>
                <w:szCs w:val="18"/>
              </w:rPr>
              <w:t>95.3</w:t>
            </w:r>
          </w:p>
        </w:tc>
        <w:tc>
          <w:tcPr>
            <w:tcW w:w="1533" w:type="dxa"/>
            <w:noWrap/>
            <w:vAlign w:val="bottom"/>
          </w:tcPr>
          <w:p w14:paraId="421C0A7A" w14:textId="1E03D78D" w:rsidR="00742624" w:rsidRPr="00AB4A23" w:rsidRDefault="03205E82" w:rsidP="42171E9E">
            <w:pPr>
              <w:jc w:val="right"/>
              <w:rPr>
                <w:color w:val="000000"/>
                <w:sz w:val="18"/>
                <w:szCs w:val="18"/>
              </w:rPr>
            </w:pPr>
            <w:r w:rsidRPr="00AB4A23">
              <w:rPr>
                <w:color w:val="000000" w:themeColor="text1"/>
                <w:sz w:val="18"/>
                <w:szCs w:val="18"/>
              </w:rPr>
              <w:t>76.</w:t>
            </w:r>
            <w:r w:rsidR="44304C16" w:rsidRPr="00AB4A23">
              <w:rPr>
                <w:color w:val="000000" w:themeColor="text1"/>
                <w:sz w:val="18"/>
                <w:szCs w:val="18"/>
              </w:rPr>
              <w:t>2</w:t>
            </w:r>
          </w:p>
        </w:tc>
        <w:tc>
          <w:tcPr>
            <w:tcW w:w="1134" w:type="dxa"/>
            <w:noWrap/>
            <w:vAlign w:val="bottom"/>
          </w:tcPr>
          <w:p w14:paraId="48CABEB0" w14:textId="77777777" w:rsidR="00742624" w:rsidRPr="00AB4A23" w:rsidRDefault="00742624" w:rsidP="42171E9E">
            <w:pPr>
              <w:jc w:val="right"/>
              <w:rPr>
                <w:color w:val="000000"/>
                <w:sz w:val="18"/>
                <w:szCs w:val="18"/>
              </w:rPr>
            </w:pPr>
          </w:p>
        </w:tc>
        <w:tc>
          <w:tcPr>
            <w:tcW w:w="936" w:type="dxa"/>
            <w:noWrap/>
            <w:vAlign w:val="bottom"/>
          </w:tcPr>
          <w:p w14:paraId="25025402" w14:textId="4FB75E13" w:rsidR="00742624" w:rsidRPr="00AB4A23" w:rsidRDefault="03205E82" w:rsidP="42171E9E">
            <w:pPr>
              <w:jc w:val="right"/>
              <w:rPr>
                <w:color w:val="000000"/>
                <w:sz w:val="18"/>
                <w:szCs w:val="18"/>
              </w:rPr>
            </w:pPr>
            <w:r w:rsidRPr="00AB4A23">
              <w:rPr>
                <w:color w:val="000000" w:themeColor="text1"/>
                <w:sz w:val="18"/>
                <w:szCs w:val="18"/>
              </w:rPr>
              <w:t>103.</w:t>
            </w:r>
            <w:r w:rsidR="44304C16" w:rsidRPr="00AB4A23">
              <w:rPr>
                <w:color w:val="000000" w:themeColor="text1"/>
                <w:sz w:val="18"/>
                <w:szCs w:val="18"/>
              </w:rPr>
              <w:t>2</w:t>
            </w:r>
          </w:p>
        </w:tc>
      </w:tr>
      <w:tr w:rsidR="00742624" w:rsidRPr="00AB4A23" w14:paraId="47999895" w14:textId="77777777" w:rsidTr="0AA2609C">
        <w:trPr>
          <w:trHeight w:val="300"/>
        </w:trPr>
        <w:tc>
          <w:tcPr>
            <w:tcW w:w="960" w:type="dxa"/>
            <w:noWrap/>
            <w:vAlign w:val="bottom"/>
          </w:tcPr>
          <w:p w14:paraId="49B44935" w14:textId="272A4DAE" w:rsidR="00742624" w:rsidRPr="00AB4A23" w:rsidRDefault="03205E82" w:rsidP="42171E9E">
            <w:pPr>
              <w:rPr>
                <w:color w:val="000000"/>
                <w:sz w:val="18"/>
                <w:szCs w:val="18"/>
              </w:rPr>
            </w:pPr>
            <w:r w:rsidRPr="00AB4A23">
              <w:rPr>
                <w:color w:val="000000" w:themeColor="text1"/>
                <w:sz w:val="18"/>
                <w:szCs w:val="18"/>
              </w:rPr>
              <w:t>15</w:t>
            </w:r>
            <w:r w:rsidR="0775B32C" w:rsidRPr="00AB4A23">
              <w:rPr>
                <w:color w:val="000000" w:themeColor="text1"/>
                <w:sz w:val="18"/>
                <w:szCs w:val="18"/>
              </w:rPr>
              <w:t>-19</w:t>
            </w:r>
          </w:p>
        </w:tc>
        <w:tc>
          <w:tcPr>
            <w:tcW w:w="1201" w:type="dxa"/>
            <w:noWrap/>
            <w:vAlign w:val="bottom"/>
          </w:tcPr>
          <w:p w14:paraId="24694F1F" w14:textId="2B390F2B" w:rsidR="00742624" w:rsidRPr="00AB4A23" w:rsidRDefault="03205E82" w:rsidP="42171E9E">
            <w:pPr>
              <w:jc w:val="right"/>
              <w:rPr>
                <w:color w:val="000000"/>
                <w:sz w:val="18"/>
                <w:szCs w:val="18"/>
              </w:rPr>
            </w:pPr>
            <w:r w:rsidRPr="00AB4A23">
              <w:rPr>
                <w:color w:val="000000" w:themeColor="text1"/>
                <w:sz w:val="18"/>
                <w:szCs w:val="18"/>
              </w:rPr>
              <w:t>99.</w:t>
            </w:r>
            <w:r w:rsidR="44304C16" w:rsidRPr="00AB4A23">
              <w:rPr>
                <w:color w:val="000000" w:themeColor="text1"/>
                <w:sz w:val="18"/>
                <w:szCs w:val="18"/>
              </w:rPr>
              <w:t>5</w:t>
            </w:r>
          </w:p>
        </w:tc>
        <w:tc>
          <w:tcPr>
            <w:tcW w:w="1201" w:type="dxa"/>
            <w:noWrap/>
            <w:vAlign w:val="bottom"/>
          </w:tcPr>
          <w:p w14:paraId="770D1C12" w14:textId="0B2EB411" w:rsidR="00742624" w:rsidRPr="00AB4A23" w:rsidRDefault="03205E82" w:rsidP="42171E9E">
            <w:pPr>
              <w:jc w:val="right"/>
              <w:rPr>
                <w:color w:val="000000"/>
                <w:sz w:val="18"/>
                <w:szCs w:val="18"/>
              </w:rPr>
            </w:pPr>
            <w:r w:rsidRPr="00AB4A23">
              <w:rPr>
                <w:color w:val="000000" w:themeColor="text1"/>
                <w:sz w:val="18"/>
                <w:szCs w:val="18"/>
              </w:rPr>
              <w:t>96.7</w:t>
            </w:r>
          </w:p>
        </w:tc>
        <w:tc>
          <w:tcPr>
            <w:tcW w:w="1201" w:type="dxa"/>
            <w:noWrap/>
            <w:vAlign w:val="bottom"/>
          </w:tcPr>
          <w:p w14:paraId="4CFAC723" w14:textId="19BE9C03" w:rsidR="00742624" w:rsidRPr="00AB4A23" w:rsidRDefault="03205E82" w:rsidP="42171E9E">
            <w:pPr>
              <w:jc w:val="right"/>
              <w:rPr>
                <w:color w:val="000000"/>
                <w:sz w:val="18"/>
                <w:szCs w:val="18"/>
              </w:rPr>
            </w:pPr>
            <w:r w:rsidRPr="00AB4A23">
              <w:rPr>
                <w:color w:val="000000" w:themeColor="text1"/>
                <w:sz w:val="18"/>
                <w:szCs w:val="18"/>
              </w:rPr>
              <w:t>114.4</w:t>
            </w:r>
          </w:p>
        </w:tc>
        <w:tc>
          <w:tcPr>
            <w:tcW w:w="1533" w:type="dxa"/>
            <w:noWrap/>
            <w:vAlign w:val="bottom"/>
          </w:tcPr>
          <w:p w14:paraId="4BB6796F" w14:textId="37E02526" w:rsidR="00742624" w:rsidRPr="00AB4A23" w:rsidRDefault="03205E82" w:rsidP="42171E9E">
            <w:pPr>
              <w:jc w:val="right"/>
              <w:rPr>
                <w:color w:val="000000"/>
                <w:sz w:val="18"/>
                <w:szCs w:val="18"/>
              </w:rPr>
            </w:pPr>
            <w:r w:rsidRPr="00AB4A23">
              <w:rPr>
                <w:color w:val="000000" w:themeColor="text1"/>
                <w:sz w:val="18"/>
                <w:szCs w:val="18"/>
              </w:rPr>
              <w:t>91.3</w:t>
            </w:r>
          </w:p>
        </w:tc>
        <w:tc>
          <w:tcPr>
            <w:tcW w:w="1134" w:type="dxa"/>
            <w:noWrap/>
            <w:vAlign w:val="bottom"/>
          </w:tcPr>
          <w:p w14:paraId="325D6A7F" w14:textId="251A4B67" w:rsidR="00742624" w:rsidRPr="00AB4A23" w:rsidRDefault="03205E82" w:rsidP="42171E9E">
            <w:pPr>
              <w:jc w:val="right"/>
              <w:rPr>
                <w:color w:val="000000"/>
                <w:sz w:val="18"/>
                <w:szCs w:val="18"/>
              </w:rPr>
            </w:pPr>
            <w:r w:rsidRPr="00AB4A23">
              <w:rPr>
                <w:color w:val="000000" w:themeColor="text1"/>
                <w:sz w:val="18"/>
                <w:szCs w:val="18"/>
              </w:rPr>
              <w:t>67.0</w:t>
            </w:r>
          </w:p>
        </w:tc>
        <w:tc>
          <w:tcPr>
            <w:tcW w:w="936" w:type="dxa"/>
            <w:noWrap/>
            <w:vAlign w:val="bottom"/>
          </w:tcPr>
          <w:p w14:paraId="44CB5571" w14:textId="7CCB7226" w:rsidR="00742624" w:rsidRPr="00AB4A23" w:rsidRDefault="03205E82" w:rsidP="42171E9E">
            <w:pPr>
              <w:jc w:val="right"/>
              <w:rPr>
                <w:color w:val="000000"/>
                <w:sz w:val="18"/>
                <w:szCs w:val="18"/>
              </w:rPr>
            </w:pPr>
            <w:r w:rsidRPr="00AB4A23">
              <w:rPr>
                <w:color w:val="000000" w:themeColor="text1"/>
                <w:sz w:val="18"/>
                <w:szCs w:val="18"/>
              </w:rPr>
              <w:t>98.0</w:t>
            </w:r>
          </w:p>
        </w:tc>
      </w:tr>
      <w:tr w:rsidR="00742624" w:rsidRPr="00AB4A23" w14:paraId="6A5DD7D8" w14:textId="77777777" w:rsidTr="0AA2609C">
        <w:trPr>
          <w:trHeight w:val="300"/>
        </w:trPr>
        <w:tc>
          <w:tcPr>
            <w:tcW w:w="960" w:type="dxa"/>
            <w:noWrap/>
            <w:vAlign w:val="bottom"/>
          </w:tcPr>
          <w:p w14:paraId="3BBE0B68" w14:textId="00B94409" w:rsidR="00742624" w:rsidRPr="00AB4A23" w:rsidRDefault="03205E82" w:rsidP="42171E9E">
            <w:pPr>
              <w:rPr>
                <w:color w:val="000000"/>
                <w:sz w:val="18"/>
                <w:szCs w:val="18"/>
              </w:rPr>
            </w:pPr>
            <w:r w:rsidRPr="00AB4A23">
              <w:rPr>
                <w:color w:val="000000" w:themeColor="text1"/>
                <w:sz w:val="18"/>
                <w:szCs w:val="18"/>
              </w:rPr>
              <w:t>20</w:t>
            </w:r>
            <w:r w:rsidR="359A70BA" w:rsidRPr="00AB4A23">
              <w:rPr>
                <w:color w:val="000000" w:themeColor="text1"/>
                <w:sz w:val="18"/>
                <w:szCs w:val="18"/>
              </w:rPr>
              <w:t>-24</w:t>
            </w:r>
          </w:p>
        </w:tc>
        <w:tc>
          <w:tcPr>
            <w:tcW w:w="1201" w:type="dxa"/>
            <w:noWrap/>
            <w:vAlign w:val="bottom"/>
          </w:tcPr>
          <w:p w14:paraId="04C87764" w14:textId="0A7F56C5" w:rsidR="00742624" w:rsidRPr="00AB4A23" w:rsidRDefault="03205E82" w:rsidP="42171E9E">
            <w:pPr>
              <w:jc w:val="right"/>
              <w:rPr>
                <w:color w:val="000000"/>
                <w:sz w:val="18"/>
                <w:szCs w:val="18"/>
              </w:rPr>
            </w:pPr>
            <w:r w:rsidRPr="00AB4A23">
              <w:rPr>
                <w:color w:val="000000" w:themeColor="text1"/>
                <w:sz w:val="18"/>
                <w:szCs w:val="18"/>
              </w:rPr>
              <w:t>86.</w:t>
            </w:r>
            <w:r w:rsidR="44304C16" w:rsidRPr="00AB4A23">
              <w:rPr>
                <w:color w:val="000000" w:themeColor="text1"/>
                <w:sz w:val="18"/>
                <w:szCs w:val="18"/>
              </w:rPr>
              <w:t>3</w:t>
            </w:r>
          </w:p>
        </w:tc>
        <w:tc>
          <w:tcPr>
            <w:tcW w:w="1201" w:type="dxa"/>
            <w:noWrap/>
            <w:vAlign w:val="bottom"/>
          </w:tcPr>
          <w:p w14:paraId="1998EC4E" w14:textId="689D57D0" w:rsidR="00742624" w:rsidRPr="00AB4A23" w:rsidRDefault="03205E82" w:rsidP="42171E9E">
            <w:pPr>
              <w:jc w:val="right"/>
              <w:rPr>
                <w:color w:val="000000"/>
                <w:sz w:val="18"/>
                <w:szCs w:val="18"/>
              </w:rPr>
            </w:pPr>
            <w:r w:rsidRPr="00AB4A23">
              <w:rPr>
                <w:color w:val="000000" w:themeColor="text1"/>
                <w:sz w:val="18"/>
                <w:szCs w:val="18"/>
              </w:rPr>
              <w:t>84.</w:t>
            </w:r>
            <w:r w:rsidR="44304C16" w:rsidRPr="00AB4A23">
              <w:rPr>
                <w:color w:val="000000" w:themeColor="text1"/>
                <w:sz w:val="18"/>
                <w:szCs w:val="18"/>
              </w:rPr>
              <w:t>5</w:t>
            </w:r>
          </w:p>
        </w:tc>
        <w:tc>
          <w:tcPr>
            <w:tcW w:w="1201" w:type="dxa"/>
            <w:noWrap/>
            <w:vAlign w:val="bottom"/>
          </w:tcPr>
          <w:p w14:paraId="1AAE2FED" w14:textId="2BFAC99B" w:rsidR="00742624" w:rsidRPr="00AB4A23" w:rsidRDefault="44304C16" w:rsidP="42171E9E">
            <w:pPr>
              <w:jc w:val="right"/>
              <w:rPr>
                <w:color w:val="000000"/>
                <w:sz w:val="18"/>
                <w:szCs w:val="18"/>
              </w:rPr>
            </w:pPr>
            <w:r w:rsidRPr="00AB4A23">
              <w:rPr>
                <w:color w:val="000000" w:themeColor="text1"/>
                <w:sz w:val="18"/>
                <w:szCs w:val="18"/>
              </w:rPr>
              <w:t>110.0</w:t>
            </w:r>
          </w:p>
        </w:tc>
        <w:tc>
          <w:tcPr>
            <w:tcW w:w="1533" w:type="dxa"/>
            <w:noWrap/>
            <w:vAlign w:val="bottom"/>
          </w:tcPr>
          <w:p w14:paraId="2771446E" w14:textId="105B44CD" w:rsidR="00742624" w:rsidRPr="00AB4A23" w:rsidRDefault="03205E82" w:rsidP="42171E9E">
            <w:pPr>
              <w:jc w:val="right"/>
              <w:rPr>
                <w:color w:val="000000"/>
                <w:sz w:val="18"/>
                <w:szCs w:val="18"/>
              </w:rPr>
            </w:pPr>
            <w:r w:rsidRPr="00AB4A23">
              <w:rPr>
                <w:color w:val="000000" w:themeColor="text1"/>
                <w:sz w:val="18"/>
                <w:szCs w:val="18"/>
              </w:rPr>
              <w:t>113.</w:t>
            </w:r>
            <w:r w:rsidR="44304C16" w:rsidRPr="00AB4A23">
              <w:rPr>
                <w:color w:val="000000" w:themeColor="text1"/>
                <w:sz w:val="18"/>
                <w:szCs w:val="18"/>
              </w:rPr>
              <w:t>4</w:t>
            </w:r>
          </w:p>
        </w:tc>
        <w:tc>
          <w:tcPr>
            <w:tcW w:w="1134" w:type="dxa"/>
            <w:noWrap/>
            <w:vAlign w:val="bottom"/>
          </w:tcPr>
          <w:p w14:paraId="3F5B05AE" w14:textId="37567DFD" w:rsidR="00742624" w:rsidRPr="00AB4A23" w:rsidRDefault="03205E82" w:rsidP="42171E9E">
            <w:pPr>
              <w:jc w:val="right"/>
              <w:rPr>
                <w:color w:val="000000"/>
                <w:sz w:val="18"/>
                <w:szCs w:val="18"/>
              </w:rPr>
            </w:pPr>
            <w:r w:rsidRPr="00AB4A23">
              <w:rPr>
                <w:color w:val="000000" w:themeColor="text1"/>
                <w:sz w:val="18"/>
                <w:szCs w:val="18"/>
              </w:rPr>
              <w:t>69.</w:t>
            </w:r>
            <w:r w:rsidR="44304C16" w:rsidRPr="00AB4A23">
              <w:rPr>
                <w:color w:val="000000" w:themeColor="text1"/>
                <w:sz w:val="18"/>
                <w:szCs w:val="18"/>
              </w:rPr>
              <w:t>6</w:t>
            </w:r>
          </w:p>
        </w:tc>
        <w:tc>
          <w:tcPr>
            <w:tcW w:w="936" w:type="dxa"/>
            <w:noWrap/>
            <w:vAlign w:val="bottom"/>
          </w:tcPr>
          <w:p w14:paraId="21F5B642" w14:textId="0C2C17D9" w:rsidR="00742624" w:rsidRPr="00AB4A23" w:rsidRDefault="03205E82" w:rsidP="42171E9E">
            <w:pPr>
              <w:jc w:val="right"/>
              <w:rPr>
                <w:color w:val="000000"/>
                <w:sz w:val="18"/>
                <w:szCs w:val="18"/>
              </w:rPr>
            </w:pPr>
            <w:r w:rsidRPr="00AB4A23">
              <w:rPr>
                <w:color w:val="000000" w:themeColor="text1"/>
                <w:sz w:val="18"/>
                <w:szCs w:val="18"/>
              </w:rPr>
              <w:t>92.9</w:t>
            </w:r>
          </w:p>
        </w:tc>
      </w:tr>
      <w:tr w:rsidR="00742624" w:rsidRPr="00AB4A23" w14:paraId="53BBBED3" w14:textId="77777777" w:rsidTr="0AA2609C">
        <w:trPr>
          <w:trHeight w:val="300"/>
        </w:trPr>
        <w:tc>
          <w:tcPr>
            <w:tcW w:w="960" w:type="dxa"/>
            <w:noWrap/>
            <w:vAlign w:val="bottom"/>
          </w:tcPr>
          <w:p w14:paraId="33F7C795" w14:textId="212CE9B1" w:rsidR="00742624" w:rsidRPr="00AB4A23" w:rsidRDefault="03205E82" w:rsidP="42171E9E">
            <w:pPr>
              <w:rPr>
                <w:color w:val="000000"/>
                <w:sz w:val="18"/>
                <w:szCs w:val="18"/>
              </w:rPr>
            </w:pPr>
            <w:r w:rsidRPr="00AB4A23">
              <w:rPr>
                <w:color w:val="000000" w:themeColor="text1"/>
                <w:sz w:val="18"/>
                <w:szCs w:val="18"/>
              </w:rPr>
              <w:t>25</w:t>
            </w:r>
            <w:r w:rsidR="1873060A" w:rsidRPr="00AB4A23">
              <w:rPr>
                <w:color w:val="000000" w:themeColor="text1"/>
                <w:sz w:val="18"/>
                <w:szCs w:val="18"/>
              </w:rPr>
              <w:t>-29</w:t>
            </w:r>
          </w:p>
        </w:tc>
        <w:tc>
          <w:tcPr>
            <w:tcW w:w="1201" w:type="dxa"/>
            <w:noWrap/>
            <w:vAlign w:val="bottom"/>
          </w:tcPr>
          <w:p w14:paraId="43B06C88" w14:textId="76100820" w:rsidR="00742624" w:rsidRPr="00AB4A23" w:rsidRDefault="03205E82" w:rsidP="42171E9E">
            <w:pPr>
              <w:jc w:val="right"/>
              <w:rPr>
                <w:color w:val="000000"/>
                <w:sz w:val="18"/>
                <w:szCs w:val="18"/>
              </w:rPr>
            </w:pPr>
            <w:r w:rsidRPr="00AB4A23">
              <w:rPr>
                <w:color w:val="000000" w:themeColor="text1"/>
                <w:sz w:val="18"/>
                <w:szCs w:val="18"/>
              </w:rPr>
              <w:t>78.</w:t>
            </w:r>
            <w:r w:rsidR="44304C16" w:rsidRPr="00AB4A23">
              <w:rPr>
                <w:color w:val="000000" w:themeColor="text1"/>
                <w:sz w:val="18"/>
                <w:szCs w:val="18"/>
              </w:rPr>
              <w:t>9</w:t>
            </w:r>
          </w:p>
        </w:tc>
        <w:tc>
          <w:tcPr>
            <w:tcW w:w="1201" w:type="dxa"/>
            <w:noWrap/>
            <w:vAlign w:val="bottom"/>
          </w:tcPr>
          <w:p w14:paraId="6240693B" w14:textId="6014B2C7" w:rsidR="00742624" w:rsidRPr="00AB4A23" w:rsidRDefault="03205E82" w:rsidP="42171E9E">
            <w:pPr>
              <w:jc w:val="right"/>
              <w:rPr>
                <w:color w:val="000000"/>
                <w:sz w:val="18"/>
                <w:szCs w:val="18"/>
              </w:rPr>
            </w:pPr>
            <w:r w:rsidRPr="00AB4A23">
              <w:rPr>
                <w:color w:val="000000" w:themeColor="text1"/>
                <w:sz w:val="18"/>
                <w:szCs w:val="18"/>
              </w:rPr>
              <w:t>81.9</w:t>
            </w:r>
          </w:p>
        </w:tc>
        <w:tc>
          <w:tcPr>
            <w:tcW w:w="1201" w:type="dxa"/>
            <w:noWrap/>
            <w:vAlign w:val="bottom"/>
          </w:tcPr>
          <w:p w14:paraId="5C11F5BE" w14:textId="4AE865CB" w:rsidR="00742624" w:rsidRPr="00AB4A23" w:rsidRDefault="03205E82" w:rsidP="42171E9E">
            <w:pPr>
              <w:jc w:val="right"/>
              <w:rPr>
                <w:color w:val="000000"/>
                <w:sz w:val="18"/>
                <w:szCs w:val="18"/>
              </w:rPr>
            </w:pPr>
            <w:r w:rsidRPr="00AB4A23">
              <w:rPr>
                <w:color w:val="000000" w:themeColor="text1"/>
                <w:sz w:val="18"/>
                <w:szCs w:val="18"/>
              </w:rPr>
              <w:t>114.</w:t>
            </w:r>
            <w:r w:rsidR="44304C16" w:rsidRPr="00AB4A23">
              <w:rPr>
                <w:color w:val="000000" w:themeColor="text1"/>
                <w:sz w:val="18"/>
                <w:szCs w:val="18"/>
              </w:rPr>
              <w:t>8</w:t>
            </w:r>
          </w:p>
        </w:tc>
        <w:tc>
          <w:tcPr>
            <w:tcW w:w="1533" w:type="dxa"/>
            <w:noWrap/>
            <w:vAlign w:val="bottom"/>
          </w:tcPr>
          <w:p w14:paraId="380D56C9" w14:textId="5095F3D0" w:rsidR="00742624" w:rsidRPr="00AB4A23" w:rsidRDefault="03205E82" w:rsidP="42171E9E">
            <w:pPr>
              <w:jc w:val="right"/>
              <w:rPr>
                <w:color w:val="000000"/>
                <w:sz w:val="18"/>
                <w:szCs w:val="18"/>
              </w:rPr>
            </w:pPr>
            <w:r w:rsidRPr="00AB4A23">
              <w:rPr>
                <w:color w:val="000000" w:themeColor="text1"/>
                <w:sz w:val="18"/>
                <w:szCs w:val="18"/>
              </w:rPr>
              <w:t>125.4</w:t>
            </w:r>
          </w:p>
        </w:tc>
        <w:tc>
          <w:tcPr>
            <w:tcW w:w="1134" w:type="dxa"/>
            <w:noWrap/>
            <w:vAlign w:val="bottom"/>
          </w:tcPr>
          <w:p w14:paraId="72C731E9" w14:textId="4A5C98B1" w:rsidR="00742624" w:rsidRPr="00AB4A23" w:rsidRDefault="03205E82" w:rsidP="42171E9E">
            <w:pPr>
              <w:jc w:val="right"/>
              <w:rPr>
                <w:color w:val="000000"/>
                <w:sz w:val="18"/>
                <w:szCs w:val="18"/>
              </w:rPr>
            </w:pPr>
            <w:r w:rsidRPr="00AB4A23">
              <w:rPr>
                <w:color w:val="000000" w:themeColor="text1"/>
                <w:sz w:val="18"/>
                <w:szCs w:val="18"/>
              </w:rPr>
              <w:t>73.</w:t>
            </w:r>
            <w:r w:rsidR="44304C16" w:rsidRPr="00AB4A23">
              <w:rPr>
                <w:color w:val="000000" w:themeColor="text1"/>
                <w:sz w:val="18"/>
                <w:szCs w:val="18"/>
              </w:rPr>
              <w:t>6</w:t>
            </w:r>
          </w:p>
        </w:tc>
        <w:tc>
          <w:tcPr>
            <w:tcW w:w="936" w:type="dxa"/>
            <w:noWrap/>
            <w:vAlign w:val="bottom"/>
          </w:tcPr>
          <w:p w14:paraId="5ED2B021" w14:textId="5D5AA507" w:rsidR="00742624" w:rsidRPr="00AB4A23" w:rsidRDefault="03205E82" w:rsidP="42171E9E">
            <w:pPr>
              <w:jc w:val="right"/>
              <w:rPr>
                <w:color w:val="000000"/>
                <w:sz w:val="18"/>
                <w:szCs w:val="18"/>
              </w:rPr>
            </w:pPr>
            <w:r w:rsidRPr="00AB4A23">
              <w:rPr>
                <w:color w:val="000000" w:themeColor="text1"/>
                <w:sz w:val="18"/>
                <w:szCs w:val="18"/>
              </w:rPr>
              <w:t>92.0</w:t>
            </w:r>
          </w:p>
        </w:tc>
      </w:tr>
      <w:tr w:rsidR="00742624" w:rsidRPr="00AB4A23" w14:paraId="7DD0FC4D" w14:textId="77777777" w:rsidTr="0AA2609C">
        <w:trPr>
          <w:trHeight w:val="300"/>
        </w:trPr>
        <w:tc>
          <w:tcPr>
            <w:tcW w:w="960" w:type="dxa"/>
            <w:noWrap/>
            <w:vAlign w:val="bottom"/>
          </w:tcPr>
          <w:p w14:paraId="44CEACAA" w14:textId="0EEE773F" w:rsidR="00742624" w:rsidRPr="00AB4A23" w:rsidRDefault="03205E82" w:rsidP="42171E9E">
            <w:pPr>
              <w:rPr>
                <w:color w:val="000000"/>
                <w:sz w:val="18"/>
                <w:szCs w:val="18"/>
              </w:rPr>
            </w:pPr>
            <w:r w:rsidRPr="00AB4A23">
              <w:rPr>
                <w:color w:val="000000" w:themeColor="text1"/>
                <w:sz w:val="18"/>
                <w:szCs w:val="18"/>
              </w:rPr>
              <w:t>30</w:t>
            </w:r>
            <w:r w:rsidR="5AAFB64B" w:rsidRPr="00AB4A23">
              <w:rPr>
                <w:color w:val="000000" w:themeColor="text1"/>
                <w:sz w:val="18"/>
                <w:szCs w:val="18"/>
              </w:rPr>
              <w:t>-34</w:t>
            </w:r>
          </w:p>
        </w:tc>
        <w:tc>
          <w:tcPr>
            <w:tcW w:w="1201" w:type="dxa"/>
            <w:noWrap/>
            <w:vAlign w:val="bottom"/>
          </w:tcPr>
          <w:p w14:paraId="47C2DE35" w14:textId="7979D881" w:rsidR="00742624" w:rsidRPr="00AB4A23" w:rsidRDefault="03205E82" w:rsidP="42171E9E">
            <w:pPr>
              <w:jc w:val="right"/>
              <w:rPr>
                <w:color w:val="000000"/>
                <w:sz w:val="18"/>
                <w:szCs w:val="18"/>
              </w:rPr>
            </w:pPr>
            <w:r w:rsidRPr="00AB4A23">
              <w:rPr>
                <w:color w:val="000000" w:themeColor="text1"/>
                <w:sz w:val="18"/>
                <w:szCs w:val="18"/>
              </w:rPr>
              <w:t>77.6</w:t>
            </w:r>
          </w:p>
        </w:tc>
        <w:tc>
          <w:tcPr>
            <w:tcW w:w="1201" w:type="dxa"/>
            <w:noWrap/>
            <w:vAlign w:val="bottom"/>
          </w:tcPr>
          <w:p w14:paraId="19D3790A" w14:textId="5273BA55" w:rsidR="00742624" w:rsidRPr="00AB4A23" w:rsidRDefault="03205E82" w:rsidP="42171E9E">
            <w:pPr>
              <w:jc w:val="right"/>
              <w:rPr>
                <w:color w:val="000000"/>
                <w:sz w:val="18"/>
                <w:szCs w:val="18"/>
              </w:rPr>
            </w:pPr>
            <w:r w:rsidRPr="00AB4A23">
              <w:rPr>
                <w:color w:val="000000" w:themeColor="text1"/>
                <w:sz w:val="18"/>
                <w:szCs w:val="18"/>
              </w:rPr>
              <w:t>84.1</w:t>
            </w:r>
          </w:p>
        </w:tc>
        <w:tc>
          <w:tcPr>
            <w:tcW w:w="1201" w:type="dxa"/>
            <w:noWrap/>
            <w:vAlign w:val="bottom"/>
          </w:tcPr>
          <w:p w14:paraId="60D729AE" w14:textId="3CC03741" w:rsidR="00742624" w:rsidRPr="00AB4A23" w:rsidRDefault="03205E82" w:rsidP="42171E9E">
            <w:pPr>
              <w:jc w:val="right"/>
              <w:rPr>
                <w:color w:val="000000"/>
                <w:sz w:val="18"/>
                <w:szCs w:val="18"/>
              </w:rPr>
            </w:pPr>
            <w:r w:rsidRPr="00AB4A23">
              <w:rPr>
                <w:color w:val="000000" w:themeColor="text1"/>
                <w:sz w:val="18"/>
                <w:szCs w:val="18"/>
              </w:rPr>
              <w:t>124.6</w:t>
            </w:r>
          </w:p>
        </w:tc>
        <w:tc>
          <w:tcPr>
            <w:tcW w:w="1533" w:type="dxa"/>
            <w:noWrap/>
            <w:vAlign w:val="bottom"/>
          </w:tcPr>
          <w:p w14:paraId="3966E921" w14:textId="7BBD3AF0" w:rsidR="00742624" w:rsidRPr="00AB4A23" w:rsidRDefault="03205E82" w:rsidP="42171E9E">
            <w:pPr>
              <w:jc w:val="right"/>
              <w:rPr>
                <w:color w:val="000000"/>
                <w:sz w:val="18"/>
                <w:szCs w:val="18"/>
              </w:rPr>
            </w:pPr>
            <w:r w:rsidRPr="00AB4A23">
              <w:rPr>
                <w:color w:val="000000" w:themeColor="text1"/>
                <w:sz w:val="18"/>
                <w:szCs w:val="18"/>
              </w:rPr>
              <w:t>11</w:t>
            </w:r>
            <w:r w:rsidR="44304C16" w:rsidRPr="00AB4A23">
              <w:rPr>
                <w:color w:val="000000" w:themeColor="text1"/>
                <w:sz w:val="18"/>
                <w:szCs w:val="18"/>
              </w:rPr>
              <w:t>9.0</w:t>
            </w:r>
          </w:p>
        </w:tc>
        <w:tc>
          <w:tcPr>
            <w:tcW w:w="1134" w:type="dxa"/>
            <w:noWrap/>
            <w:vAlign w:val="bottom"/>
          </w:tcPr>
          <w:p w14:paraId="3C0A6690" w14:textId="0625997B" w:rsidR="00742624" w:rsidRPr="00AB4A23" w:rsidRDefault="44304C16" w:rsidP="42171E9E">
            <w:pPr>
              <w:jc w:val="right"/>
              <w:rPr>
                <w:color w:val="000000"/>
                <w:sz w:val="18"/>
                <w:szCs w:val="18"/>
              </w:rPr>
            </w:pPr>
            <w:r w:rsidRPr="00AB4A23">
              <w:rPr>
                <w:color w:val="000000" w:themeColor="text1"/>
                <w:sz w:val="18"/>
                <w:szCs w:val="18"/>
              </w:rPr>
              <w:t>74.0</w:t>
            </w:r>
          </w:p>
        </w:tc>
        <w:tc>
          <w:tcPr>
            <w:tcW w:w="936" w:type="dxa"/>
            <w:noWrap/>
            <w:vAlign w:val="bottom"/>
          </w:tcPr>
          <w:p w14:paraId="760D7867" w14:textId="1A697626" w:rsidR="00742624" w:rsidRPr="00AB4A23" w:rsidRDefault="03205E82" w:rsidP="42171E9E">
            <w:pPr>
              <w:jc w:val="right"/>
              <w:rPr>
                <w:color w:val="000000"/>
                <w:sz w:val="18"/>
                <w:szCs w:val="18"/>
              </w:rPr>
            </w:pPr>
            <w:r w:rsidRPr="00AB4A23">
              <w:rPr>
                <w:color w:val="000000" w:themeColor="text1"/>
                <w:sz w:val="18"/>
                <w:szCs w:val="18"/>
              </w:rPr>
              <w:t>92.7</w:t>
            </w:r>
          </w:p>
        </w:tc>
      </w:tr>
      <w:tr w:rsidR="00742624" w:rsidRPr="00AB4A23" w14:paraId="449A3C73" w14:textId="77777777" w:rsidTr="0AA2609C">
        <w:trPr>
          <w:trHeight w:val="300"/>
        </w:trPr>
        <w:tc>
          <w:tcPr>
            <w:tcW w:w="960" w:type="dxa"/>
            <w:noWrap/>
            <w:vAlign w:val="bottom"/>
          </w:tcPr>
          <w:p w14:paraId="707EEC1A" w14:textId="47F5C521" w:rsidR="00742624" w:rsidRPr="00AB4A23" w:rsidRDefault="03205E82" w:rsidP="42171E9E">
            <w:pPr>
              <w:rPr>
                <w:color w:val="000000"/>
                <w:sz w:val="18"/>
                <w:szCs w:val="18"/>
              </w:rPr>
            </w:pPr>
            <w:r w:rsidRPr="00AB4A23">
              <w:rPr>
                <w:color w:val="000000" w:themeColor="text1"/>
                <w:sz w:val="18"/>
                <w:szCs w:val="18"/>
              </w:rPr>
              <w:t>35</w:t>
            </w:r>
            <w:r w:rsidR="051E1757" w:rsidRPr="00AB4A23">
              <w:rPr>
                <w:color w:val="000000" w:themeColor="text1"/>
                <w:sz w:val="18"/>
                <w:szCs w:val="18"/>
              </w:rPr>
              <w:t>-39</w:t>
            </w:r>
          </w:p>
        </w:tc>
        <w:tc>
          <w:tcPr>
            <w:tcW w:w="1201" w:type="dxa"/>
            <w:noWrap/>
            <w:vAlign w:val="bottom"/>
          </w:tcPr>
          <w:p w14:paraId="50348686" w14:textId="3859954D" w:rsidR="00742624" w:rsidRPr="00AB4A23" w:rsidRDefault="03205E82" w:rsidP="42171E9E">
            <w:pPr>
              <w:jc w:val="right"/>
              <w:rPr>
                <w:color w:val="000000"/>
                <w:sz w:val="18"/>
                <w:szCs w:val="18"/>
              </w:rPr>
            </w:pPr>
            <w:r w:rsidRPr="00AB4A23">
              <w:rPr>
                <w:color w:val="000000" w:themeColor="text1"/>
                <w:sz w:val="18"/>
                <w:szCs w:val="18"/>
              </w:rPr>
              <w:t>74.</w:t>
            </w:r>
            <w:r w:rsidR="44304C16" w:rsidRPr="00AB4A23">
              <w:rPr>
                <w:color w:val="000000" w:themeColor="text1"/>
                <w:sz w:val="18"/>
                <w:szCs w:val="18"/>
              </w:rPr>
              <w:t>5</w:t>
            </w:r>
          </w:p>
        </w:tc>
        <w:tc>
          <w:tcPr>
            <w:tcW w:w="1201" w:type="dxa"/>
            <w:noWrap/>
            <w:vAlign w:val="bottom"/>
          </w:tcPr>
          <w:p w14:paraId="0A199DDF" w14:textId="2AA8C847" w:rsidR="00742624" w:rsidRPr="00AB4A23" w:rsidRDefault="03205E82" w:rsidP="42171E9E">
            <w:pPr>
              <w:jc w:val="right"/>
              <w:rPr>
                <w:color w:val="000000"/>
                <w:sz w:val="18"/>
                <w:szCs w:val="18"/>
              </w:rPr>
            </w:pPr>
            <w:r w:rsidRPr="00AB4A23">
              <w:rPr>
                <w:color w:val="000000" w:themeColor="text1"/>
                <w:sz w:val="18"/>
                <w:szCs w:val="18"/>
              </w:rPr>
              <w:t>82.</w:t>
            </w:r>
            <w:r w:rsidR="44304C16" w:rsidRPr="00AB4A23">
              <w:rPr>
                <w:color w:val="000000" w:themeColor="text1"/>
                <w:sz w:val="18"/>
                <w:szCs w:val="18"/>
              </w:rPr>
              <w:t>4</w:t>
            </w:r>
          </w:p>
        </w:tc>
        <w:tc>
          <w:tcPr>
            <w:tcW w:w="1201" w:type="dxa"/>
            <w:noWrap/>
            <w:vAlign w:val="bottom"/>
          </w:tcPr>
          <w:p w14:paraId="13CA29AA" w14:textId="41432B34" w:rsidR="00742624" w:rsidRPr="00AB4A23" w:rsidRDefault="03205E82" w:rsidP="42171E9E">
            <w:pPr>
              <w:jc w:val="right"/>
              <w:rPr>
                <w:color w:val="000000"/>
                <w:sz w:val="18"/>
                <w:szCs w:val="18"/>
              </w:rPr>
            </w:pPr>
            <w:r w:rsidRPr="00AB4A23">
              <w:rPr>
                <w:color w:val="000000" w:themeColor="text1"/>
                <w:sz w:val="18"/>
                <w:szCs w:val="18"/>
              </w:rPr>
              <w:t>130.</w:t>
            </w:r>
            <w:r w:rsidR="44304C16" w:rsidRPr="00AB4A23">
              <w:rPr>
                <w:color w:val="000000" w:themeColor="text1"/>
                <w:sz w:val="18"/>
                <w:szCs w:val="18"/>
              </w:rPr>
              <w:t>9</w:t>
            </w:r>
          </w:p>
        </w:tc>
        <w:tc>
          <w:tcPr>
            <w:tcW w:w="1533" w:type="dxa"/>
            <w:noWrap/>
            <w:vAlign w:val="bottom"/>
          </w:tcPr>
          <w:p w14:paraId="4DAD1455" w14:textId="6DB27520" w:rsidR="00742624" w:rsidRPr="00AB4A23" w:rsidRDefault="03205E82" w:rsidP="42171E9E">
            <w:pPr>
              <w:jc w:val="right"/>
              <w:rPr>
                <w:color w:val="000000"/>
                <w:sz w:val="18"/>
                <w:szCs w:val="18"/>
              </w:rPr>
            </w:pPr>
            <w:r w:rsidRPr="00AB4A23">
              <w:rPr>
                <w:color w:val="000000" w:themeColor="text1"/>
                <w:sz w:val="18"/>
                <w:szCs w:val="18"/>
              </w:rPr>
              <w:t>116.6</w:t>
            </w:r>
          </w:p>
        </w:tc>
        <w:tc>
          <w:tcPr>
            <w:tcW w:w="1134" w:type="dxa"/>
            <w:noWrap/>
            <w:vAlign w:val="bottom"/>
          </w:tcPr>
          <w:p w14:paraId="03F1D5DA" w14:textId="72444628" w:rsidR="00742624" w:rsidRPr="00AB4A23" w:rsidRDefault="03205E82" w:rsidP="42171E9E">
            <w:pPr>
              <w:jc w:val="right"/>
              <w:rPr>
                <w:color w:val="000000"/>
                <w:sz w:val="18"/>
                <w:szCs w:val="18"/>
              </w:rPr>
            </w:pPr>
            <w:r w:rsidRPr="00AB4A23">
              <w:rPr>
                <w:color w:val="000000" w:themeColor="text1"/>
                <w:sz w:val="18"/>
                <w:szCs w:val="18"/>
              </w:rPr>
              <w:t>70.4</w:t>
            </w:r>
          </w:p>
        </w:tc>
        <w:tc>
          <w:tcPr>
            <w:tcW w:w="936" w:type="dxa"/>
            <w:noWrap/>
            <w:vAlign w:val="bottom"/>
          </w:tcPr>
          <w:p w14:paraId="6FA5BEEB" w14:textId="19E452E0" w:rsidR="00742624" w:rsidRPr="00AB4A23" w:rsidRDefault="03205E82" w:rsidP="42171E9E">
            <w:pPr>
              <w:jc w:val="right"/>
              <w:rPr>
                <w:color w:val="000000"/>
                <w:sz w:val="18"/>
                <w:szCs w:val="18"/>
              </w:rPr>
            </w:pPr>
            <w:r w:rsidRPr="00AB4A23">
              <w:rPr>
                <w:color w:val="000000" w:themeColor="text1"/>
                <w:sz w:val="18"/>
                <w:szCs w:val="18"/>
              </w:rPr>
              <w:t>90.</w:t>
            </w:r>
            <w:r w:rsidR="44304C16" w:rsidRPr="00AB4A23">
              <w:rPr>
                <w:color w:val="000000" w:themeColor="text1"/>
                <w:sz w:val="18"/>
                <w:szCs w:val="18"/>
              </w:rPr>
              <w:t>9</w:t>
            </w:r>
          </w:p>
        </w:tc>
      </w:tr>
      <w:tr w:rsidR="00742624" w:rsidRPr="00AB4A23" w14:paraId="18A5F49E" w14:textId="77777777" w:rsidTr="0AA2609C">
        <w:trPr>
          <w:trHeight w:val="300"/>
        </w:trPr>
        <w:tc>
          <w:tcPr>
            <w:tcW w:w="960" w:type="dxa"/>
            <w:noWrap/>
            <w:vAlign w:val="bottom"/>
          </w:tcPr>
          <w:p w14:paraId="16194BF6" w14:textId="546EE707" w:rsidR="00742624" w:rsidRPr="00AB4A23" w:rsidRDefault="03205E82" w:rsidP="42171E9E">
            <w:pPr>
              <w:rPr>
                <w:color w:val="000000"/>
                <w:sz w:val="18"/>
                <w:szCs w:val="18"/>
              </w:rPr>
            </w:pPr>
            <w:r w:rsidRPr="00AB4A23">
              <w:rPr>
                <w:color w:val="000000" w:themeColor="text1"/>
                <w:sz w:val="18"/>
                <w:szCs w:val="18"/>
              </w:rPr>
              <w:t>40</w:t>
            </w:r>
            <w:r w:rsidR="2C848749" w:rsidRPr="00AB4A23">
              <w:rPr>
                <w:color w:val="000000" w:themeColor="text1"/>
                <w:sz w:val="18"/>
                <w:szCs w:val="18"/>
              </w:rPr>
              <w:t>-44</w:t>
            </w:r>
          </w:p>
        </w:tc>
        <w:tc>
          <w:tcPr>
            <w:tcW w:w="1201" w:type="dxa"/>
            <w:noWrap/>
            <w:vAlign w:val="bottom"/>
          </w:tcPr>
          <w:p w14:paraId="6383DF6D" w14:textId="674C2D58" w:rsidR="00742624" w:rsidRPr="00AB4A23" w:rsidRDefault="03205E82" w:rsidP="42171E9E">
            <w:pPr>
              <w:jc w:val="right"/>
              <w:rPr>
                <w:color w:val="000000"/>
                <w:sz w:val="18"/>
                <w:szCs w:val="18"/>
              </w:rPr>
            </w:pPr>
            <w:r w:rsidRPr="00AB4A23">
              <w:rPr>
                <w:color w:val="000000" w:themeColor="text1"/>
                <w:sz w:val="18"/>
                <w:szCs w:val="18"/>
              </w:rPr>
              <w:t>69.1</w:t>
            </w:r>
          </w:p>
        </w:tc>
        <w:tc>
          <w:tcPr>
            <w:tcW w:w="1201" w:type="dxa"/>
            <w:noWrap/>
            <w:vAlign w:val="bottom"/>
          </w:tcPr>
          <w:p w14:paraId="551F483D" w14:textId="666E2BE5" w:rsidR="00742624" w:rsidRPr="00AB4A23" w:rsidRDefault="03205E82" w:rsidP="42171E9E">
            <w:pPr>
              <w:jc w:val="right"/>
              <w:rPr>
                <w:color w:val="000000"/>
                <w:sz w:val="18"/>
                <w:szCs w:val="18"/>
              </w:rPr>
            </w:pPr>
            <w:r w:rsidRPr="00AB4A23">
              <w:rPr>
                <w:color w:val="000000" w:themeColor="text1"/>
                <w:sz w:val="18"/>
                <w:szCs w:val="18"/>
              </w:rPr>
              <w:t>77.</w:t>
            </w:r>
            <w:r w:rsidR="44304C16" w:rsidRPr="00AB4A23">
              <w:rPr>
                <w:color w:val="000000" w:themeColor="text1"/>
                <w:sz w:val="18"/>
                <w:szCs w:val="18"/>
              </w:rPr>
              <w:t>5</w:t>
            </w:r>
          </w:p>
        </w:tc>
        <w:tc>
          <w:tcPr>
            <w:tcW w:w="1201" w:type="dxa"/>
            <w:noWrap/>
            <w:vAlign w:val="bottom"/>
          </w:tcPr>
          <w:p w14:paraId="2C233EBA" w14:textId="553B6AC6" w:rsidR="00742624" w:rsidRPr="00AB4A23" w:rsidRDefault="03205E82" w:rsidP="42171E9E">
            <w:pPr>
              <w:jc w:val="right"/>
              <w:rPr>
                <w:color w:val="000000"/>
                <w:sz w:val="18"/>
                <w:szCs w:val="18"/>
              </w:rPr>
            </w:pPr>
            <w:r w:rsidRPr="00AB4A23">
              <w:rPr>
                <w:color w:val="000000" w:themeColor="text1"/>
                <w:sz w:val="18"/>
                <w:szCs w:val="18"/>
              </w:rPr>
              <w:t>128.</w:t>
            </w:r>
            <w:r w:rsidR="44304C16" w:rsidRPr="00AB4A23">
              <w:rPr>
                <w:color w:val="000000" w:themeColor="text1"/>
                <w:sz w:val="18"/>
                <w:szCs w:val="18"/>
              </w:rPr>
              <w:t>9</w:t>
            </w:r>
          </w:p>
        </w:tc>
        <w:tc>
          <w:tcPr>
            <w:tcW w:w="1533" w:type="dxa"/>
            <w:noWrap/>
            <w:vAlign w:val="bottom"/>
          </w:tcPr>
          <w:p w14:paraId="5F2A34FE" w14:textId="27A4C95A" w:rsidR="00742624" w:rsidRPr="00AB4A23" w:rsidRDefault="03205E82" w:rsidP="42171E9E">
            <w:pPr>
              <w:jc w:val="right"/>
              <w:rPr>
                <w:color w:val="000000"/>
                <w:sz w:val="18"/>
                <w:szCs w:val="18"/>
              </w:rPr>
            </w:pPr>
            <w:r w:rsidRPr="00AB4A23">
              <w:rPr>
                <w:color w:val="000000" w:themeColor="text1"/>
                <w:sz w:val="18"/>
                <w:szCs w:val="18"/>
              </w:rPr>
              <w:t>124.</w:t>
            </w:r>
            <w:r w:rsidR="44304C16" w:rsidRPr="00AB4A23">
              <w:rPr>
                <w:color w:val="000000" w:themeColor="text1"/>
                <w:sz w:val="18"/>
                <w:szCs w:val="18"/>
              </w:rPr>
              <w:t>5</w:t>
            </w:r>
          </w:p>
        </w:tc>
        <w:tc>
          <w:tcPr>
            <w:tcW w:w="1134" w:type="dxa"/>
            <w:noWrap/>
            <w:vAlign w:val="bottom"/>
          </w:tcPr>
          <w:p w14:paraId="713FE2CA" w14:textId="77CD578F" w:rsidR="00742624" w:rsidRPr="00AB4A23" w:rsidRDefault="03205E82" w:rsidP="42171E9E">
            <w:pPr>
              <w:jc w:val="right"/>
              <w:rPr>
                <w:color w:val="000000"/>
                <w:sz w:val="18"/>
                <w:szCs w:val="18"/>
              </w:rPr>
            </w:pPr>
            <w:r w:rsidRPr="00AB4A23">
              <w:rPr>
                <w:color w:val="000000" w:themeColor="text1"/>
                <w:sz w:val="18"/>
                <w:szCs w:val="18"/>
              </w:rPr>
              <w:t>68.0</w:t>
            </w:r>
          </w:p>
        </w:tc>
        <w:tc>
          <w:tcPr>
            <w:tcW w:w="936" w:type="dxa"/>
            <w:noWrap/>
            <w:vAlign w:val="bottom"/>
          </w:tcPr>
          <w:p w14:paraId="3AEC5C84" w14:textId="1BA50F4C" w:rsidR="00742624" w:rsidRPr="00AB4A23" w:rsidRDefault="03205E82" w:rsidP="42171E9E">
            <w:pPr>
              <w:jc w:val="right"/>
              <w:rPr>
                <w:color w:val="000000"/>
                <w:sz w:val="18"/>
                <w:szCs w:val="18"/>
              </w:rPr>
            </w:pPr>
            <w:r w:rsidRPr="00AB4A23">
              <w:rPr>
                <w:color w:val="000000" w:themeColor="text1"/>
                <w:sz w:val="18"/>
                <w:szCs w:val="18"/>
              </w:rPr>
              <w:t>88.4</w:t>
            </w:r>
          </w:p>
        </w:tc>
      </w:tr>
      <w:tr w:rsidR="00742624" w:rsidRPr="00AB4A23" w14:paraId="7ADA0B9E" w14:textId="77777777" w:rsidTr="0AA2609C">
        <w:trPr>
          <w:trHeight w:val="300"/>
        </w:trPr>
        <w:tc>
          <w:tcPr>
            <w:tcW w:w="960" w:type="dxa"/>
            <w:noWrap/>
            <w:vAlign w:val="bottom"/>
          </w:tcPr>
          <w:p w14:paraId="7434394E" w14:textId="5FEE5E4C" w:rsidR="00742624" w:rsidRPr="00AB4A23" w:rsidRDefault="03205E82" w:rsidP="42171E9E">
            <w:pPr>
              <w:rPr>
                <w:color w:val="000000"/>
                <w:sz w:val="18"/>
                <w:szCs w:val="18"/>
              </w:rPr>
            </w:pPr>
            <w:r w:rsidRPr="00AB4A23">
              <w:rPr>
                <w:color w:val="000000" w:themeColor="text1"/>
                <w:sz w:val="18"/>
                <w:szCs w:val="18"/>
              </w:rPr>
              <w:t>45</w:t>
            </w:r>
            <w:r w:rsidR="27E49BFD" w:rsidRPr="00AB4A23">
              <w:rPr>
                <w:color w:val="000000" w:themeColor="text1"/>
                <w:sz w:val="18"/>
                <w:szCs w:val="18"/>
              </w:rPr>
              <w:t>-49</w:t>
            </w:r>
          </w:p>
        </w:tc>
        <w:tc>
          <w:tcPr>
            <w:tcW w:w="1201" w:type="dxa"/>
            <w:noWrap/>
            <w:vAlign w:val="bottom"/>
          </w:tcPr>
          <w:p w14:paraId="1287544F" w14:textId="4BD45266" w:rsidR="00742624" w:rsidRPr="00AB4A23" w:rsidRDefault="03205E82" w:rsidP="42171E9E">
            <w:pPr>
              <w:jc w:val="right"/>
              <w:rPr>
                <w:color w:val="000000"/>
                <w:sz w:val="18"/>
                <w:szCs w:val="18"/>
              </w:rPr>
            </w:pPr>
            <w:r w:rsidRPr="00AB4A23">
              <w:rPr>
                <w:color w:val="000000" w:themeColor="text1"/>
                <w:sz w:val="18"/>
                <w:szCs w:val="18"/>
              </w:rPr>
              <w:t>64.</w:t>
            </w:r>
            <w:r w:rsidR="44304C16" w:rsidRPr="00AB4A23">
              <w:rPr>
                <w:color w:val="000000" w:themeColor="text1"/>
                <w:sz w:val="18"/>
                <w:szCs w:val="18"/>
              </w:rPr>
              <w:t>8</w:t>
            </w:r>
          </w:p>
        </w:tc>
        <w:tc>
          <w:tcPr>
            <w:tcW w:w="1201" w:type="dxa"/>
            <w:noWrap/>
            <w:vAlign w:val="bottom"/>
          </w:tcPr>
          <w:p w14:paraId="6CBA258D" w14:textId="1BF0C500" w:rsidR="00742624" w:rsidRPr="00AB4A23" w:rsidRDefault="03205E82" w:rsidP="42171E9E">
            <w:pPr>
              <w:jc w:val="right"/>
              <w:rPr>
                <w:color w:val="000000"/>
                <w:sz w:val="18"/>
                <w:szCs w:val="18"/>
              </w:rPr>
            </w:pPr>
            <w:r w:rsidRPr="00AB4A23">
              <w:rPr>
                <w:color w:val="000000" w:themeColor="text1"/>
                <w:sz w:val="18"/>
                <w:szCs w:val="18"/>
              </w:rPr>
              <w:t>74.</w:t>
            </w:r>
            <w:r w:rsidR="44304C16" w:rsidRPr="00AB4A23">
              <w:rPr>
                <w:color w:val="000000" w:themeColor="text1"/>
                <w:sz w:val="18"/>
                <w:szCs w:val="18"/>
              </w:rPr>
              <w:t>8</w:t>
            </w:r>
          </w:p>
        </w:tc>
        <w:tc>
          <w:tcPr>
            <w:tcW w:w="1201" w:type="dxa"/>
            <w:noWrap/>
            <w:vAlign w:val="bottom"/>
          </w:tcPr>
          <w:p w14:paraId="3C3F7DAC" w14:textId="00AF6CA1" w:rsidR="00742624" w:rsidRPr="00AB4A23" w:rsidRDefault="03205E82" w:rsidP="42171E9E">
            <w:pPr>
              <w:jc w:val="right"/>
              <w:rPr>
                <w:color w:val="000000"/>
                <w:sz w:val="18"/>
                <w:szCs w:val="18"/>
              </w:rPr>
            </w:pPr>
            <w:r w:rsidRPr="00AB4A23">
              <w:rPr>
                <w:color w:val="000000" w:themeColor="text1"/>
                <w:sz w:val="18"/>
                <w:szCs w:val="18"/>
              </w:rPr>
              <w:t>136.</w:t>
            </w:r>
            <w:r w:rsidR="44304C16" w:rsidRPr="00AB4A23">
              <w:rPr>
                <w:color w:val="000000" w:themeColor="text1"/>
                <w:sz w:val="18"/>
                <w:szCs w:val="18"/>
              </w:rPr>
              <w:t>2</w:t>
            </w:r>
          </w:p>
        </w:tc>
        <w:tc>
          <w:tcPr>
            <w:tcW w:w="1533" w:type="dxa"/>
            <w:noWrap/>
            <w:vAlign w:val="bottom"/>
          </w:tcPr>
          <w:p w14:paraId="6AC4F53E" w14:textId="64E71A74" w:rsidR="00742624" w:rsidRPr="00AB4A23" w:rsidRDefault="03205E82" w:rsidP="42171E9E">
            <w:pPr>
              <w:jc w:val="right"/>
              <w:rPr>
                <w:color w:val="000000"/>
                <w:sz w:val="18"/>
                <w:szCs w:val="18"/>
              </w:rPr>
            </w:pPr>
            <w:r w:rsidRPr="00AB4A23">
              <w:rPr>
                <w:color w:val="000000" w:themeColor="text1"/>
                <w:sz w:val="18"/>
                <w:szCs w:val="18"/>
              </w:rPr>
              <w:t>124.5</w:t>
            </w:r>
          </w:p>
        </w:tc>
        <w:tc>
          <w:tcPr>
            <w:tcW w:w="1134" w:type="dxa"/>
            <w:noWrap/>
            <w:vAlign w:val="bottom"/>
          </w:tcPr>
          <w:p w14:paraId="2101297C" w14:textId="10EEB64D" w:rsidR="00742624" w:rsidRPr="00AB4A23" w:rsidRDefault="03205E82" w:rsidP="42171E9E">
            <w:pPr>
              <w:jc w:val="right"/>
              <w:rPr>
                <w:color w:val="000000"/>
                <w:sz w:val="18"/>
                <w:szCs w:val="18"/>
              </w:rPr>
            </w:pPr>
            <w:r w:rsidRPr="00AB4A23">
              <w:rPr>
                <w:color w:val="000000" w:themeColor="text1"/>
                <w:sz w:val="18"/>
                <w:szCs w:val="18"/>
              </w:rPr>
              <w:t>83.1</w:t>
            </w:r>
          </w:p>
        </w:tc>
        <w:tc>
          <w:tcPr>
            <w:tcW w:w="936" w:type="dxa"/>
            <w:noWrap/>
            <w:vAlign w:val="bottom"/>
          </w:tcPr>
          <w:p w14:paraId="44A14B7E" w14:textId="30D464F7" w:rsidR="00742624" w:rsidRPr="00AB4A23" w:rsidRDefault="03205E82" w:rsidP="42171E9E">
            <w:pPr>
              <w:jc w:val="right"/>
              <w:rPr>
                <w:color w:val="000000"/>
                <w:sz w:val="18"/>
                <w:szCs w:val="18"/>
              </w:rPr>
            </w:pPr>
            <w:r w:rsidRPr="00AB4A23">
              <w:rPr>
                <w:color w:val="000000" w:themeColor="text1"/>
                <w:sz w:val="18"/>
                <w:szCs w:val="18"/>
              </w:rPr>
              <w:t>86.5</w:t>
            </w:r>
          </w:p>
        </w:tc>
      </w:tr>
      <w:tr w:rsidR="6EC053A5" w:rsidRPr="00AB4A23" w14:paraId="48C60014" w14:textId="77777777" w:rsidTr="0AA2609C">
        <w:trPr>
          <w:trHeight w:val="300"/>
        </w:trPr>
        <w:tc>
          <w:tcPr>
            <w:tcW w:w="960" w:type="dxa"/>
            <w:noWrap/>
            <w:vAlign w:val="bottom"/>
          </w:tcPr>
          <w:p w14:paraId="52D11B78" w14:textId="65ADFF02" w:rsidR="4C67161D" w:rsidRPr="00AB4A23" w:rsidRDefault="1662F844" w:rsidP="42171E9E">
            <w:pPr>
              <w:rPr>
                <w:color w:val="000000" w:themeColor="text1"/>
                <w:sz w:val="18"/>
                <w:szCs w:val="18"/>
              </w:rPr>
            </w:pPr>
            <w:r w:rsidRPr="00AB4A23">
              <w:rPr>
                <w:color w:val="000000" w:themeColor="text1"/>
                <w:sz w:val="18"/>
                <w:szCs w:val="18"/>
              </w:rPr>
              <w:t>50-54</w:t>
            </w:r>
          </w:p>
        </w:tc>
        <w:tc>
          <w:tcPr>
            <w:tcW w:w="1201" w:type="dxa"/>
            <w:noWrap/>
            <w:vAlign w:val="bottom"/>
          </w:tcPr>
          <w:p w14:paraId="76F8AB61" w14:textId="5E57D352" w:rsidR="4C67161D" w:rsidRPr="00AB4A23" w:rsidRDefault="1662F844" w:rsidP="42171E9E">
            <w:pPr>
              <w:jc w:val="right"/>
              <w:rPr>
                <w:color w:val="000000" w:themeColor="text1"/>
                <w:sz w:val="18"/>
                <w:szCs w:val="18"/>
              </w:rPr>
            </w:pPr>
            <w:r w:rsidRPr="00AB4A23">
              <w:rPr>
                <w:color w:val="000000" w:themeColor="text1"/>
                <w:sz w:val="18"/>
                <w:szCs w:val="18"/>
              </w:rPr>
              <w:t>53.5</w:t>
            </w:r>
          </w:p>
        </w:tc>
        <w:tc>
          <w:tcPr>
            <w:tcW w:w="1201" w:type="dxa"/>
            <w:noWrap/>
            <w:vAlign w:val="bottom"/>
          </w:tcPr>
          <w:p w14:paraId="5367A4AF" w14:textId="15713074" w:rsidR="4C67161D" w:rsidRPr="00AB4A23" w:rsidRDefault="1662F844" w:rsidP="42171E9E">
            <w:pPr>
              <w:jc w:val="right"/>
              <w:rPr>
                <w:color w:val="000000" w:themeColor="text1"/>
                <w:sz w:val="18"/>
                <w:szCs w:val="18"/>
              </w:rPr>
            </w:pPr>
            <w:r w:rsidRPr="00AB4A23">
              <w:rPr>
                <w:color w:val="000000" w:themeColor="text1"/>
                <w:sz w:val="18"/>
                <w:szCs w:val="18"/>
              </w:rPr>
              <w:t>71.6</w:t>
            </w:r>
          </w:p>
        </w:tc>
        <w:tc>
          <w:tcPr>
            <w:tcW w:w="1201" w:type="dxa"/>
            <w:noWrap/>
            <w:vAlign w:val="bottom"/>
          </w:tcPr>
          <w:p w14:paraId="13CCDDDC" w14:textId="6EB26CF3" w:rsidR="4C67161D" w:rsidRPr="00AB4A23" w:rsidRDefault="1662F844" w:rsidP="42171E9E">
            <w:pPr>
              <w:jc w:val="right"/>
              <w:rPr>
                <w:color w:val="000000" w:themeColor="text1"/>
                <w:sz w:val="18"/>
                <w:szCs w:val="18"/>
              </w:rPr>
            </w:pPr>
            <w:r w:rsidRPr="00AB4A23">
              <w:rPr>
                <w:color w:val="000000" w:themeColor="text1"/>
                <w:sz w:val="18"/>
                <w:szCs w:val="18"/>
              </w:rPr>
              <w:t>143.3</w:t>
            </w:r>
          </w:p>
        </w:tc>
        <w:tc>
          <w:tcPr>
            <w:tcW w:w="1533" w:type="dxa"/>
            <w:noWrap/>
            <w:vAlign w:val="bottom"/>
          </w:tcPr>
          <w:p w14:paraId="7D2FD383" w14:textId="5B766BE5" w:rsidR="4C67161D" w:rsidRPr="00AB4A23" w:rsidRDefault="1662F844" w:rsidP="42171E9E">
            <w:pPr>
              <w:jc w:val="right"/>
              <w:rPr>
                <w:color w:val="000000" w:themeColor="text1"/>
                <w:sz w:val="18"/>
                <w:szCs w:val="18"/>
              </w:rPr>
            </w:pPr>
            <w:r w:rsidRPr="00AB4A23">
              <w:rPr>
                <w:color w:val="000000" w:themeColor="text1"/>
                <w:sz w:val="18"/>
                <w:szCs w:val="18"/>
              </w:rPr>
              <w:t>142.2</w:t>
            </w:r>
          </w:p>
        </w:tc>
        <w:tc>
          <w:tcPr>
            <w:tcW w:w="1134" w:type="dxa"/>
            <w:noWrap/>
            <w:vAlign w:val="bottom"/>
          </w:tcPr>
          <w:p w14:paraId="2C47CD0B" w14:textId="43E7FB16" w:rsidR="4C67161D" w:rsidRPr="00AB4A23" w:rsidRDefault="1662F844" w:rsidP="42171E9E">
            <w:pPr>
              <w:jc w:val="right"/>
              <w:rPr>
                <w:color w:val="000000" w:themeColor="text1"/>
                <w:sz w:val="18"/>
                <w:szCs w:val="18"/>
              </w:rPr>
            </w:pPr>
            <w:r w:rsidRPr="00AB4A23">
              <w:rPr>
                <w:color w:val="000000" w:themeColor="text1"/>
                <w:sz w:val="18"/>
                <w:szCs w:val="18"/>
              </w:rPr>
              <w:t>112.0</w:t>
            </w:r>
          </w:p>
        </w:tc>
        <w:tc>
          <w:tcPr>
            <w:tcW w:w="936" w:type="dxa"/>
            <w:noWrap/>
            <w:vAlign w:val="bottom"/>
          </w:tcPr>
          <w:p w14:paraId="6987E25C" w14:textId="69E9415B" w:rsidR="4C67161D" w:rsidRPr="00AB4A23" w:rsidRDefault="1662F844" w:rsidP="42171E9E">
            <w:pPr>
              <w:jc w:val="right"/>
              <w:rPr>
                <w:color w:val="000000" w:themeColor="text1"/>
                <w:sz w:val="18"/>
                <w:szCs w:val="18"/>
              </w:rPr>
            </w:pPr>
            <w:r w:rsidRPr="00AB4A23">
              <w:rPr>
                <w:color w:val="000000" w:themeColor="text1"/>
                <w:sz w:val="18"/>
                <w:szCs w:val="18"/>
              </w:rPr>
              <w:t>79.0</w:t>
            </w:r>
          </w:p>
        </w:tc>
      </w:tr>
      <w:tr w:rsidR="00742624" w:rsidRPr="00AB4A23" w14:paraId="00CA67B8" w14:textId="77777777" w:rsidTr="0AA2609C">
        <w:trPr>
          <w:trHeight w:val="300"/>
        </w:trPr>
        <w:tc>
          <w:tcPr>
            <w:tcW w:w="960" w:type="dxa"/>
            <w:tcBorders>
              <w:bottom w:val="single" w:sz="18" w:space="0" w:color="auto"/>
            </w:tcBorders>
            <w:noWrap/>
            <w:vAlign w:val="bottom"/>
          </w:tcPr>
          <w:p w14:paraId="24B79A94" w14:textId="64DEEC7C" w:rsidR="00742624" w:rsidRPr="00AB4A23" w:rsidRDefault="03205E82" w:rsidP="42171E9E">
            <w:pPr>
              <w:rPr>
                <w:color w:val="000000"/>
                <w:sz w:val="18"/>
                <w:szCs w:val="18"/>
              </w:rPr>
            </w:pPr>
            <w:r w:rsidRPr="00AB4A23">
              <w:rPr>
                <w:color w:val="000000" w:themeColor="text1"/>
                <w:sz w:val="18"/>
                <w:szCs w:val="18"/>
              </w:rPr>
              <w:t>Total</w:t>
            </w:r>
          </w:p>
        </w:tc>
        <w:tc>
          <w:tcPr>
            <w:tcW w:w="1201" w:type="dxa"/>
            <w:tcBorders>
              <w:bottom w:val="single" w:sz="18" w:space="0" w:color="auto"/>
            </w:tcBorders>
            <w:noWrap/>
            <w:vAlign w:val="bottom"/>
          </w:tcPr>
          <w:p w14:paraId="32B1DA23" w14:textId="749FDC0C" w:rsidR="00742624" w:rsidRPr="00AB4A23" w:rsidRDefault="03205E82" w:rsidP="42171E9E">
            <w:pPr>
              <w:jc w:val="right"/>
              <w:rPr>
                <w:color w:val="000000"/>
                <w:sz w:val="18"/>
                <w:szCs w:val="18"/>
              </w:rPr>
            </w:pPr>
            <w:r w:rsidRPr="00AB4A23">
              <w:rPr>
                <w:color w:val="000000" w:themeColor="text1"/>
                <w:sz w:val="18"/>
                <w:szCs w:val="18"/>
              </w:rPr>
              <w:t>73.</w:t>
            </w:r>
            <w:r w:rsidR="44304C16" w:rsidRPr="00AB4A23">
              <w:rPr>
                <w:color w:val="000000" w:themeColor="text1"/>
                <w:sz w:val="18"/>
                <w:szCs w:val="18"/>
              </w:rPr>
              <w:t>6</w:t>
            </w:r>
          </w:p>
        </w:tc>
        <w:tc>
          <w:tcPr>
            <w:tcW w:w="1201" w:type="dxa"/>
            <w:tcBorders>
              <w:bottom w:val="single" w:sz="18" w:space="0" w:color="auto"/>
            </w:tcBorders>
            <w:noWrap/>
            <w:vAlign w:val="bottom"/>
          </w:tcPr>
          <w:p w14:paraId="6C0A374C" w14:textId="5C7820F5" w:rsidR="00742624" w:rsidRPr="00AB4A23" w:rsidRDefault="03205E82" w:rsidP="42171E9E">
            <w:pPr>
              <w:jc w:val="right"/>
              <w:rPr>
                <w:color w:val="000000"/>
                <w:sz w:val="18"/>
                <w:szCs w:val="18"/>
              </w:rPr>
            </w:pPr>
            <w:r w:rsidRPr="00AB4A23">
              <w:rPr>
                <w:color w:val="000000" w:themeColor="text1"/>
                <w:sz w:val="18"/>
                <w:szCs w:val="18"/>
              </w:rPr>
              <w:t>86.0</w:t>
            </w:r>
          </w:p>
        </w:tc>
        <w:tc>
          <w:tcPr>
            <w:tcW w:w="1201" w:type="dxa"/>
            <w:tcBorders>
              <w:bottom w:val="single" w:sz="18" w:space="0" w:color="auto"/>
            </w:tcBorders>
            <w:noWrap/>
            <w:vAlign w:val="bottom"/>
          </w:tcPr>
          <w:p w14:paraId="5EF83C7E" w14:textId="52D292C6" w:rsidR="00742624" w:rsidRPr="00AB4A23" w:rsidRDefault="03205E82" w:rsidP="42171E9E">
            <w:pPr>
              <w:jc w:val="right"/>
              <w:rPr>
                <w:color w:val="000000"/>
                <w:sz w:val="18"/>
                <w:szCs w:val="18"/>
              </w:rPr>
            </w:pPr>
            <w:r w:rsidRPr="00AB4A23">
              <w:rPr>
                <w:color w:val="000000" w:themeColor="text1"/>
                <w:sz w:val="18"/>
                <w:szCs w:val="18"/>
              </w:rPr>
              <w:t>115.8</w:t>
            </w:r>
          </w:p>
        </w:tc>
        <w:tc>
          <w:tcPr>
            <w:tcW w:w="1533" w:type="dxa"/>
            <w:tcBorders>
              <w:bottom w:val="single" w:sz="18" w:space="0" w:color="auto"/>
            </w:tcBorders>
            <w:noWrap/>
            <w:vAlign w:val="bottom"/>
          </w:tcPr>
          <w:p w14:paraId="74359E8A" w14:textId="4B3067FC" w:rsidR="00742624" w:rsidRPr="00AB4A23" w:rsidRDefault="03205E82" w:rsidP="42171E9E">
            <w:pPr>
              <w:jc w:val="right"/>
              <w:rPr>
                <w:color w:val="000000"/>
                <w:sz w:val="18"/>
                <w:szCs w:val="18"/>
              </w:rPr>
            </w:pPr>
            <w:r w:rsidRPr="00AB4A23">
              <w:rPr>
                <w:color w:val="000000" w:themeColor="text1"/>
                <w:sz w:val="18"/>
                <w:szCs w:val="18"/>
              </w:rPr>
              <w:t>113.</w:t>
            </w:r>
            <w:r w:rsidR="44304C16" w:rsidRPr="00AB4A23">
              <w:rPr>
                <w:color w:val="000000" w:themeColor="text1"/>
                <w:sz w:val="18"/>
                <w:szCs w:val="18"/>
              </w:rPr>
              <w:t>4</w:t>
            </w:r>
          </w:p>
        </w:tc>
        <w:tc>
          <w:tcPr>
            <w:tcW w:w="1134" w:type="dxa"/>
            <w:tcBorders>
              <w:bottom w:val="single" w:sz="18" w:space="0" w:color="auto"/>
            </w:tcBorders>
            <w:noWrap/>
            <w:vAlign w:val="bottom"/>
          </w:tcPr>
          <w:p w14:paraId="480FFC22" w14:textId="1C412985" w:rsidR="00742624" w:rsidRPr="00AB4A23" w:rsidRDefault="03205E82" w:rsidP="42171E9E">
            <w:pPr>
              <w:jc w:val="right"/>
              <w:rPr>
                <w:color w:val="000000"/>
                <w:sz w:val="18"/>
                <w:szCs w:val="18"/>
              </w:rPr>
            </w:pPr>
            <w:r w:rsidRPr="00AB4A23">
              <w:rPr>
                <w:color w:val="000000" w:themeColor="text1"/>
                <w:sz w:val="18"/>
                <w:szCs w:val="18"/>
              </w:rPr>
              <w:t>75.</w:t>
            </w:r>
            <w:r w:rsidR="44304C16" w:rsidRPr="00AB4A23">
              <w:rPr>
                <w:color w:val="000000" w:themeColor="text1"/>
                <w:sz w:val="18"/>
                <w:szCs w:val="18"/>
              </w:rPr>
              <w:t>7</w:t>
            </w:r>
          </w:p>
        </w:tc>
        <w:tc>
          <w:tcPr>
            <w:tcW w:w="936" w:type="dxa"/>
            <w:tcBorders>
              <w:bottom w:val="single" w:sz="18" w:space="0" w:color="auto"/>
            </w:tcBorders>
            <w:noWrap/>
            <w:vAlign w:val="bottom"/>
          </w:tcPr>
          <w:p w14:paraId="284882B0" w14:textId="0D26A06E" w:rsidR="00742624" w:rsidRPr="00AB4A23" w:rsidRDefault="03205E82" w:rsidP="42171E9E">
            <w:pPr>
              <w:jc w:val="right"/>
              <w:rPr>
                <w:color w:val="000000"/>
                <w:sz w:val="18"/>
                <w:szCs w:val="18"/>
              </w:rPr>
            </w:pPr>
            <w:r w:rsidRPr="00AB4A23">
              <w:rPr>
                <w:color w:val="000000" w:themeColor="text1"/>
                <w:sz w:val="18"/>
                <w:szCs w:val="18"/>
              </w:rPr>
              <w:t>91.</w:t>
            </w:r>
            <w:r w:rsidR="57D66F2C" w:rsidRPr="00AB4A23">
              <w:rPr>
                <w:color w:val="000000" w:themeColor="text1"/>
                <w:sz w:val="18"/>
                <w:szCs w:val="18"/>
              </w:rPr>
              <w:t>6</w:t>
            </w:r>
          </w:p>
        </w:tc>
      </w:tr>
    </w:tbl>
    <w:p w14:paraId="2B0B405F" w14:textId="77777777" w:rsidR="00F675B0" w:rsidRPr="00AB4A23" w:rsidRDefault="00F675B0" w:rsidP="42171E9E"/>
    <w:p w14:paraId="513E0FB5" w14:textId="6809C257" w:rsidR="00E46C76" w:rsidRPr="00AB4A23" w:rsidRDefault="69ED247E" w:rsidP="42171E9E">
      <w:pPr>
        <w:rPr>
          <w:sz w:val="20"/>
          <w:szCs w:val="20"/>
        </w:rPr>
      </w:pPr>
      <w:r w:rsidRPr="00AB4A23">
        <w:rPr>
          <w:sz w:val="20"/>
          <w:szCs w:val="20"/>
        </w:rPr>
        <w:t xml:space="preserve">Data Source: </w:t>
      </w:r>
      <w:r w:rsidR="00E46C76" w:rsidRPr="00AB4A23">
        <w:rPr>
          <w:sz w:val="20"/>
          <w:szCs w:val="20"/>
        </w:rPr>
        <w:t>Immigration and Manpower Department, Ministry of Home and Religious Affairs, 1986; Department of Population, Ministry of Immigration and Population, 2015</w:t>
      </w:r>
    </w:p>
    <w:p w14:paraId="54ED71FD" w14:textId="77777777" w:rsidR="00E46C76" w:rsidRPr="00AB4A23" w:rsidRDefault="00E46C76" w:rsidP="42171E9E">
      <w:pPr>
        <w:rPr>
          <w:sz w:val="20"/>
          <w:szCs w:val="20"/>
        </w:rPr>
      </w:pPr>
    </w:p>
    <w:p w14:paraId="0B8B0AA0" w14:textId="1663A285" w:rsidR="00E46C76" w:rsidRPr="00AB4A23" w:rsidRDefault="00E46C76">
      <w:pPr>
        <w:sectPr w:rsidR="00E46C76" w:rsidRPr="00AB4A23">
          <w:headerReference w:type="default" r:id="rId20"/>
          <w:pgSz w:w="11906" w:h="16838"/>
          <w:pgMar w:top="1440" w:right="1440" w:bottom="1440" w:left="1440" w:header="708" w:footer="708" w:gutter="0"/>
          <w:cols w:space="708"/>
          <w:docGrid w:linePitch="360"/>
        </w:sectPr>
      </w:pPr>
    </w:p>
    <w:p w14:paraId="08BDA59F" w14:textId="7CD16DEE" w:rsidR="00AB5AC1" w:rsidRPr="00AB4A23" w:rsidRDefault="006C0AC8" w:rsidP="000B3062">
      <w:pPr>
        <w:pStyle w:val="Tabletitle"/>
      </w:pPr>
      <w:r w:rsidRPr="00AB4A23">
        <w:lastRenderedPageBreak/>
        <w:t xml:space="preserve">Table </w:t>
      </w:r>
      <w:r w:rsidR="2AAC4D32" w:rsidRPr="00AB4A23">
        <w:t>3</w:t>
      </w:r>
      <w:r w:rsidR="00FC68F4" w:rsidRPr="00AB4A23">
        <w:t>a</w:t>
      </w:r>
      <w:r w:rsidR="00512E85" w:rsidRPr="00AB4A23">
        <w:t xml:space="preserve">. </w:t>
      </w:r>
      <w:r w:rsidR="00D04F7F" w:rsidRPr="00AB4A23">
        <w:t>Percent</w:t>
      </w:r>
      <w:r w:rsidR="00E03737" w:rsidRPr="00AB4A23">
        <w:t>age</w:t>
      </w:r>
      <w:r w:rsidR="00D04F7F" w:rsidRPr="00AB4A23">
        <w:t xml:space="preserve"> of </w:t>
      </w:r>
      <w:r w:rsidR="00512E85" w:rsidRPr="00AB4A23">
        <w:t xml:space="preserve">women </w:t>
      </w:r>
      <w:r w:rsidR="00AB4A23">
        <w:t>with</w:t>
      </w:r>
      <w:r w:rsidR="00AB4A23" w:rsidRPr="00AB4A23">
        <w:t xml:space="preserve"> </w:t>
      </w:r>
      <w:r w:rsidR="00D04F7F" w:rsidRPr="00AB4A23">
        <w:t>key social and demographic characteristics</w:t>
      </w:r>
      <w:r w:rsidR="00AB4A23">
        <w:t>,</w:t>
      </w:r>
      <w:r w:rsidR="005C7FBD" w:rsidRPr="00AB4A23">
        <w:t xml:space="preserve"> and</w:t>
      </w:r>
      <w:r w:rsidR="000C1AE0" w:rsidRPr="00AB4A23">
        <w:t xml:space="preserve"> </w:t>
      </w:r>
      <w:r w:rsidR="00AB4A23">
        <w:t xml:space="preserve">within select </w:t>
      </w:r>
      <w:r w:rsidR="000C1AE0" w:rsidRPr="00AB4A23">
        <w:t>age cohort</w:t>
      </w:r>
      <w:r w:rsidR="00AB4A23">
        <w:t>s, who are ever- and never-married</w:t>
      </w:r>
      <w:r w:rsidR="00D04F7F" w:rsidRPr="00AB4A23">
        <w:t>,</w:t>
      </w:r>
      <w:r w:rsidR="00512E85" w:rsidRPr="00AB4A23">
        <w:t xml:space="preserve"> Myanma</w:t>
      </w:r>
      <w:r w:rsidR="006D7523" w:rsidRPr="00AB4A23">
        <w:t xml:space="preserve">r </w:t>
      </w:r>
      <w:r w:rsidR="00F374DD" w:rsidRPr="00AB4A23">
        <w:t>2015-</w:t>
      </w:r>
      <w:r w:rsidR="006D7523" w:rsidRPr="00AB4A23">
        <w:t>2016</w:t>
      </w:r>
      <w:r w:rsidR="007D54D9" w:rsidRPr="00AB4A23">
        <w:t>,</w:t>
      </w:r>
      <w:r w:rsidR="00B3445E" w:rsidRPr="00AB4A23">
        <w:t xml:space="preserve"> %</w:t>
      </w:r>
      <w:r w:rsidR="007D54D9" w:rsidRPr="00AB4A23">
        <w:t xml:space="preserve"> (n)</w:t>
      </w:r>
    </w:p>
    <w:tbl>
      <w:tblPr>
        <w:tblStyle w:val="GridTable1Light"/>
        <w:tblW w:w="9078" w:type="dxa"/>
        <w:tblLook w:val="04A0" w:firstRow="1" w:lastRow="0" w:firstColumn="1" w:lastColumn="0" w:noHBand="0" w:noVBand="1"/>
      </w:tblPr>
      <w:tblGrid>
        <w:gridCol w:w="3991"/>
        <w:gridCol w:w="1855"/>
        <w:gridCol w:w="1998"/>
        <w:gridCol w:w="1234"/>
      </w:tblGrid>
      <w:tr w:rsidR="00AB5AC1" w:rsidRPr="00AB4A23" w14:paraId="36300551" w14:textId="77777777" w:rsidTr="42171E9E">
        <w:trPr>
          <w:cnfStyle w:val="100000000000" w:firstRow="1" w:lastRow="0" w:firstColumn="0" w:lastColumn="0" w:oddVBand="0" w:evenVBand="0" w:oddHBand="0"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3991" w:type="dxa"/>
            <w:tcBorders>
              <w:left w:val="nil"/>
              <w:bottom w:val="single" w:sz="4" w:space="0" w:color="7F7F7F" w:themeColor="text1" w:themeTint="80"/>
              <w:right w:val="nil"/>
            </w:tcBorders>
            <w:shd w:val="clear" w:color="auto" w:fill="auto"/>
          </w:tcPr>
          <w:p w14:paraId="11A6C1C5" w14:textId="63886088" w:rsidR="00AB5AC1" w:rsidRPr="00AB4A23" w:rsidRDefault="00F374DD" w:rsidP="00976C19">
            <w:pPr>
              <w:rPr>
                <w:sz w:val="18"/>
                <w:szCs w:val="18"/>
              </w:rPr>
            </w:pPr>
            <w:r w:rsidRPr="00AB4A23">
              <w:rPr>
                <w:sz w:val="18"/>
                <w:szCs w:val="18"/>
              </w:rPr>
              <w:t>Age in 2016</w:t>
            </w:r>
          </w:p>
        </w:tc>
        <w:tc>
          <w:tcPr>
            <w:tcW w:w="1855" w:type="dxa"/>
            <w:tcBorders>
              <w:left w:val="nil"/>
              <w:bottom w:val="single" w:sz="4" w:space="0" w:color="7F7F7F" w:themeColor="text1" w:themeTint="80"/>
              <w:right w:val="nil"/>
            </w:tcBorders>
            <w:shd w:val="clear" w:color="auto" w:fill="auto"/>
          </w:tcPr>
          <w:p w14:paraId="3808D5DB" w14:textId="0F0A6AA7" w:rsidR="00AB5AC1" w:rsidRPr="00AB4A23" w:rsidRDefault="00AB5AC1">
            <w:pPr>
              <w:cnfStyle w:val="100000000000" w:firstRow="1" w:lastRow="0" w:firstColumn="0" w:lastColumn="0" w:oddVBand="0" w:evenVBand="0" w:oddHBand="0" w:evenHBand="0" w:firstRowFirstColumn="0" w:firstRowLastColumn="0" w:lastRowFirstColumn="0" w:lastRowLastColumn="0"/>
              <w:rPr>
                <w:sz w:val="18"/>
                <w:szCs w:val="18"/>
              </w:rPr>
            </w:pPr>
            <w:r w:rsidRPr="00AB4A23">
              <w:rPr>
                <w:sz w:val="18"/>
                <w:szCs w:val="18"/>
              </w:rPr>
              <w:t>Ever</w:t>
            </w:r>
            <w:r w:rsidR="00F374DD" w:rsidRPr="00AB4A23">
              <w:rPr>
                <w:sz w:val="18"/>
                <w:szCs w:val="18"/>
              </w:rPr>
              <w:t>-m</w:t>
            </w:r>
            <w:r w:rsidRPr="00AB4A23">
              <w:rPr>
                <w:sz w:val="18"/>
                <w:szCs w:val="18"/>
              </w:rPr>
              <w:t>arried</w:t>
            </w:r>
          </w:p>
        </w:tc>
        <w:tc>
          <w:tcPr>
            <w:tcW w:w="1998" w:type="dxa"/>
            <w:tcBorders>
              <w:left w:val="nil"/>
              <w:bottom w:val="single" w:sz="4" w:space="0" w:color="7F7F7F" w:themeColor="text1" w:themeTint="80"/>
              <w:right w:val="nil"/>
            </w:tcBorders>
            <w:shd w:val="clear" w:color="auto" w:fill="auto"/>
          </w:tcPr>
          <w:p w14:paraId="2EC193B2" w14:textId="1DAA4F8D" w:rsidR="00AB5AC1" w:rsidRPr="00AB4A23" w:rsidRDefault="00AB5AC1">
            <w:pPr>
              <w:cnfStyle w:val="100000000000" w:firstRow="1" w:lastRow="0" w:firstColumn="0" w:lastColumn="0" w:oddVBand="0" w:evenVBand="0" w:oddHBand="0" w:evenHBand="0" w:firstRowFirstColumn="0" w:firstRowLastColumn="0" w:lastRowFirstColumn="0" w:lastRowLastColumn="0"/>
              <w:rPr>
                <w:sz w:val="18"/>
                <w:szCs w:val="18"/>
              </w:rPr>
            </w:pPr>
            <w:r w:rsidRPr="00AB4A23">
              <w:rPr>
                <w:sz w:val="18"/>
                <w:szCs w:val="18"/>
              </w:rPr>
              <w:t>Never</w:t>
            </w:r>
            <w:r w:rsidR="00F374DD" w:rsidRPr="00AB4A23">
              <w:rPr>
                <w:sz w:val="18"/>
                <w:szCs w:val="18"/>
              </w:rPr>
              <w:t>-m</w:t>
            </w:r>
            <w:r w:rsidRPr="00AB4A23">
              <w:rPr>
                <w:sz w:val="18"/>
                <w:szCs w:val="18"/>
              </w:rPr>
              <w:t>arried</w:t>
            </w:r>
          </w:p>
        </w:tc>
        <w:tc>
          <w:tcPr>
            <w:tcW w:w="1234" w:type="dxa"/>
            <w:tcBorders>
              <w:left w:val="nil"/>
              <w:bottom w:val="single" w:sz="4" w:space="0" w:color="7F7F7F" w:themeColor="text1" w:themeTint="80"/>
              <w:right w:val="nil"/>
            </w:tcBorders>
            <w:shd w:val="clear" w:color="auto" w:fill="auto"/>
          </w:tcPr>
          <w:p w14:paraId="232DFC2D" w14:textId="5F6062BF" w:rsidR="00AB5AC1" w:rsidRPr="00AB4A23" w:rsidRDefault="00AB5AC1" w:rsidP="00976C19">
            <w:pPr>
              <w:cnfStyle w:val="100000000000" w:firstRow="1" w:lastRow="0" w:firstColumn="0" w:lastColumn="0" w:oddVBand="0" w:evenVBand="0" w:oddHBand="0" w:evenHBand="0" w:firstRowFirstColumn="0" w:firstRowLastColumn="0" w:lastRowFirstColumn="0" w:lastRowLastColumn="0"/>
              <w:rPr>
                <w:sz w:val="18"/>
                <w:szCs w:val="18"/>
              </w:rPr>
            </w:pPr>
            <w:r w:rsidRPr="00AB4A23">
              <w:rPr>
                <w:sz w:val="18"/>
                <w:szCs w:val="18"/>
              </w:rPr>
              <w:t>Total</w:t>
            </w:r>
          </w:p>
        </w:tc>
      </w:tr>
      <w:tr w:rsidR="00C52F2E" w:rsidRPr="00AB4A23" w14:paraId="3991D608"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single" w:sz="4" w:space="0" w:color="7F7F7F" w:themeColor="text1" w:themeTint="80"/>
              <w:left w:val="nil"/>
              <w:bottom w:val="single" w:sz="4" w:space="0" w:color="999999"/>
              <w:right w:val="nil"/>
            </w:tcBorders>
            <w:shd w:val="clear" w:color="auto" w:fill="auto"/>
          </w:tcPr>
          <w:p w14:paraId="744D712F" w14:textId="29BAA79F" w:rsidR="00C52F2E" w:rsidRPr="00AB4A23" w:rsidRDefault="00967EE6">
            <w:pPr>
              <w:rPr>
                <w:sz w:val="18"/>
                <w:szCs w:val="18"/>
              </w:rPr>
            </w:pPr>
            <w:r w:rsidRPr="00AB4A23">
              <w:rPr>
                <w:sz w:val="18"/>
                <w:szCs w:val="18"/>
              </w:rPr>
              <w:t xml:space="preserve">25-29 </w:t>
            </w:r>
            <w:r w:rsidR="00F374DD" w:rsidRPr="00AB4A23">
              <w:rPr>
                <w:sz w:val="18"/>
                <w:szCs w:val="18"/>
              </w:rPr>
              <w:t>years</w:t>
            </w:r>
          </w:p>
        </w:tc>
        <w:tc>
          <w:tcPr>
            <w:tcW w:w="1855" w:type="dxa"/>
            <w:tcBorders>
              <w:top w:val="single" w:sz="4" w:space="0" w:color="7F7F7F" w:themeColor="text1" w:themeTint="80"/>
              <w:left w:val="nil"/>
              <w:bottom w:val="single" w:sz="4" w:space="0" w:color="999999"/>
              <w:right w:val="nil"/>
            </w:tcBorders>
            <w:shd w:val="clear" w:color="auto" w:fill="auto"/>
          </w:tcPr>
          <w:p w14:paraId="59FC0C23" w14:textId="5AB4A872" w:rsidR="00C52F2E" w:rsidRPr="00AB4A23" w:rsidRDefault="00C52F2E" w:rsidP="006D2A7A">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 xml:space="preserve">n </w:t>
            </w:r>
            <w:r w:rsidRPr="00AB4A23">
              <w:rPr>
                <w:b/>
                <w:sz w:val="18"/>
                <w:szCs w:val="18"/>
              </w:rPr>
              <w:t>= 1</w:t>
            </w:r>
            <w:r w:rsidR="00F374DD" w:rsidRPr="00AB4A23">
              <w:rPr>
                <w:b/>
                <w:sz w:val="18"/>
                <w:szCs w:val="18"/>
              </w:rPr>
              <w:t>,</w:t>
            </w:r>
            <w:r w:rsidRPr="00AB4A23">
              <w:rPr>
                <w:b/>
                <w:sz w:val="18"/>
                <w:szCs w:val="18"/>
              </w:rPr>
              <w:t>354</w:t>
            </w:r>
          </w:p>
        </w:tc>
        <w:tc>
          <w:tcPr>
            <w:tcW w:w="1998" w:type="dxa"/>
            <w:tcBorders>
              <w:top w:val="single" w:sz="4" w:space="0" w:color="7F7F7F" w:themeColor="text1" w:themeTint="80"/>
              <w:left w:val="nil"/>
              <w:bottom w:val="single" w:sz="4" w:space="0" w:color="999999"/>
              <w:right w:val="nil"/>
            </w:tcBorders>
            <w:shd w:val="clear" w:color="auto" w:fill="auto"/>
          </w:tcPr>
          <w:p w14:paraId="356A827E" w14:textId="284BA49D" w:rsidR="00C52F2E" w:rsidRPr="00AB4A23" w:rsidRDefault="00C52F2E" w:rsidP="006D2A7A">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n</w:t>
            </w:r>
            <w:r w:rsidRPr="00AB4A23">
              <w:rPr>
                <w:b/>
                <w:sz w:val="18"/>
                <w:szCs w:val="18"/>
              </w:rPr>
              <w:t xml:space="preserve"> = 513</w:t>
            </w:r>
          </w:p>
        </w:tc>
        <w:tc>
          <w:tcPr>
            <w:tcW w:w="1234" w:type="dxa"/>
            <w:tcBorders>
              <w:top w:val="single" w:sz="4" w:space="0" w:color="7F7F7F" w:themeColor="text1" w:themeTint="80"/>
              <w:left w:val="nil"/>
              <w:bottom w:val="single" w:sz="4" w:space="0" w:color="999999"/>
              <w:right w:val="nil"/>
            </w:tcBorders>
            <w:shd w:val="clear" w:color="auto" w:fill="auto"/>
          </w:tcPr>
          <w:p w14:paraId="521CE534" w14:textId="5159B822" w:rsidR="00C52F2E" w:rsidRPr="00AB4A23" w:rsidRDefault="00C52F2E" w:rsidP="006D2A7A">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n</w:t>
            </w:r>
            <w:r w:rsidRPr="00AB4A23">
              <w:rPr>
                <w:b/>
                <w:sz w:val="18"/>
                <w:szCs w:val="18"/>
              </w:rPr>
              <w:t xml:space="preserve"> = 1</w:t>
            </w:r>
            <w:r w:rsidR="00F374DD" w:rsidRPr="00AB4A23">
              <w:rPr>
                <w:b/>
                <w:sz w:val="18"/>
                <w:szCs w:val="18"/>
              </w:rPr>
              <w:t>,</w:t>
            </w:r>
            <w:r w:rsidRPr="00AB4A23">
              <w:rPr>
                <w:b/>
                <w:sz w:val="18"/>
                <w:szCs w:val="18"/>
              </w:rPr>
              <w:t>867</w:t>
            </w:r>
          </w:p>
        </w:tc>
      </w:tr>
      <w:tr w:rsidR="006D2A7A" w:rsidRPr="00AB4A23" w14:paraId="1DD6E749"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left w:val="nil"/>
              <w:bottom w:val="nil"/>
              <w:right w:val="nil"/>
            </w:tcBorders>
            <w:shd w:val="clear" w:color="auto" w:fill="auto"/>
          </w:tcPr>
          <w:p w14:paraId="632C1ECF" w14:textId="624187E1" w:rsidR="006D2A7A" w:rsidRPr="00AB4A23" w:rsidRDefault="08C01719">
            <w:pPr>
              <w:rPr>
                <w:b w:val="0"/>
                <w:bCs w:val="0"/>
                <w:sz w:val="18"/>
                <w:szCs w:val="18"/>
              </w:rPr>
            </w:pPr>
            <w:r w:rsidRPr="00AB4A23">
              <w:rPr>
                <w:b w:val="0"/>
                <w:bCs w:val="0"/>
                <w:sz w:val="18"/>
                <w:szCs w:val="18"/>
              </w:rPr>
              <w:t>Urban</w:t>
            </w:r>
            <w:r w:rsidR="0D3A5495" w:rsidRPr="00AB4A23">
              <w:rPr>
                <w:b w:val="0"/>
                <w:bCs w:val="0"/>
                <w:sz w:val="18"/>
                <w:szCs w:val="18"/>
                <w:vertAlign w:val="superscript"/>
              </w:rPr>
              <w:t>a</w:t>
            </w:r>
          </w:p>
        </w:tc>
        <w:tc>
          <w:tcPr>
            <w:tcW w:w="1855" w:type="dxa"/>
            <w:tcBorders>
              <w:left w:val="nil"/>
              <w:bottom w:val="nil"/>
              <w:right w:val="nil"/>
            </w:tcBorders>
            <w:shd w:val="clear" w:color="auto" w:fill="auto"/>
          </w:tcPr>
          <w:p w14:paraId="2EA6D7B2" w14:textId="2B23834F" w:rsidR="006D2A7A" w:rsidRPr="00AB4A23" w:rsidRDefault="00F374DD" w:rsidP="006D2A7A">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C52F2E" w:rsidRPr="00AB4A23">
              <w:rPr>
                <w:sz w:val="18"/>
                <w:szCs w:val="18"/>
              </w:rPr>
              <w:t>25.5 (345)</w:t>
            </w:r>
          </w:p>
        </w:tc>
        <w:tc>
          <w:tcPr>
            <w:tcW w:w="1998" w:type="dxa"/>
            <w:tcBorders>
              <w:left w:val="nil"/>
              <w:bottom w:val="nil"/>
              <w:right w:val="nil"/>
            </w:tcBorders>
            <w:shd w:val="clear" w:color="auto" w:fill="auto"/>
          </w:tcPr>
          <w:p w14:paraId="51ADA21A" w14:textId="1ACF2A55" w:rsidR="006D2A7A" w:rsidRPr="00AB4A23" w:rsidRDefault="00C52F2E" w:rsidP="006D2A7A">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39.0 (200)</w:t>
            </w:r>
          </w:p>
        </w:tc>
        <w:tc>
          <w:tcPr>
            <w:tcW w:w="1234" w:type="dxa"/>
            <w:tcBorders>
              <w:left w:val="nil"/>
              <w:bottom w:val="nil"/>
              <w:right w:val="nil"/>
            </w:tcBorders>
            <w:shd w:val="clear" w:color="auto" w:fill="auto"/>
          </w:tcPr>
          <w:p w14:paraId="0D30A281" w14:textId="442F9116" w:rsidR="006D2A7A" w:rsidRPr="00AB4A23" w:rsidRDefault="00C52F2E" w:rsidP="006D2A7A">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29.2 (545)</w:t>
            </w:r>
          </w:p>
        </w:tc>
      </w:tr>
      <w:tr w:rsidR="006D2A7A" w:rsidRPr="00AB4A23" w14:paraId="6FDF9394"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1A05CD43" w14:textId="7DAA217F" w:rsidR="006D2A7A" w:rsidRPr="00AB4A23" w:rsidRDefault="08C01719" w:rsidP="6EC053A5">
            <w:pPr>
              <w:rPr>
                <w:b w:val="0"/>
                <w:bCs w:val="0"/>
                <w:sz w:val="18"/>
                <w:szCs w:val="18"/>
              </w:rPr>
            </w:pPr>
            <w:r w:rsidRPr="00AB4A23">
              <w:rPr>
                <w:b w:val="0"/>
                <w:bCs w:val="0"/>
                <w:sz w:val="18"/>
                <w:szCs w:val="18"/>
              </w:rPr>
              <w:t xml:space="preserve">Higher </w:t>
            </w:r>
            <w:r w:rsidR="00F374DD" w:rsidRPr="00AB4A23">
              <w:rPr>
                <w:b w:val="0"/>
                <w:bCs w:val="0"/>
                <w:sz w:val="18"/>
                <w:szCs w:val="18"/>
              </w:rPr>
              <w:t>e</w:t>
            </w:r>
            <w:r w:rsidRPr="00AB4A23">
              <w:rPr>
                <w:b w:val="0"/>
                <w:bCs w:val="0"/>
                <w:sz w:val="18"/>
                <w:szCs w:val="18"/>
              </w:rPr>
              <w:t>ducation</w:t>
            </w:r>
            <w:r w:rsidR="21BF3B27" w:rsidRPr="00AB4A23">
              <w:rPr>
                <w:b w:val="0"/>
                <w:bCs w:val="0"/>
                <w:sz w:val="18"/>
                <w:szCs w:val="18"/>
                <w:vertAlign w:val="superscript"/>
              </w:rPr>
              <w:t xml:space="preserve"> a</w:t>
            </w:r>
          </w:p>
        </w:tc>
        <w:tc>
          <w:tcPr>
            <w:tcW w:w="1855" w:type="dxa"/>
            <w:tcBorders>
              <w:top w:val="nil"/>
              <w:left w:val="nil"/>
              <w:bottom w:val="nil"/>
              <w:right w:val="nil"/>
            </w:tcBorders>
            <w:shd w:val="clear" w:color="auto" w:fill="auto"/>
          </w:tcPr>
          <w:p w14:paraId="6BA03025" w14:textId="5439061C" w:rsidR="006D2A7A" w:rsidRPr="00AB4A23" w:rsidRDefault="00F374DD" w:rsidP="006D2A7A">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C52F2E" w:rsidRPr="00AB4A23">
              <w:rPr>
                <w:sz w:val="18"/>
                <w:szCs w:val="18"/>
              </w:rPr>
              <w:t>10.8 (147)</w:t>
            </w:r>
          </w:p>
        </w:tc>
        <w:tc>
          <w:tcPr>
            <w:tcW w:w="1998" w:type="dxa"/>
            <w:tcBorders>
              <w:top w:val="nil"/>
              <w:left w:val="nil"/>
              <w:bottom w:val="nil"/>
              <w:right w:val="nil"/>
            </w:tcBorders>
            <w:shd w:val="clear" w:color="auto" w:fill="auto"/>
          </w:tcPr>
          <w:p w14:paraId="7B63ED1B" w14:textId="13331049" w:rsidR="006D2A7A" w:rsidRPr="00AB4A23" w:rsidRDefault="00C52F2E" w:rsidP="006D2A7A">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25.8 (133)</w:t>
            </w:r>
          </w:p>
        </w:tc>
        <w:tc>
          <w:tcPr>
            <w:tcW w:w="1234" w:type="dxa"/>
            <w:tcBorders>
              <w:top w:val="nil"/>
              <w:left w:val="nil"/>
              <w:bottom w:val="nil"/>
              <w:right w:val="nil"/>
            </w:tcBorders>
            <w:shd w:val="clear" w:color="auto" w:fill="auto"/>
          </w:tcPr>
          <w:p w14:paraId="438C13C7" w14:textId="2A21DAE7" w:rsidR="006D2A7A" w:rsidRPr="00AB4A23" w:rsidRDefault="00C52F2E" w:rsidP="00C52F2E">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15.0 (280)</w:t>
            </w:r>
          </w:p>
        </w:tc>
      </w:tr>
      <w:tr w:rsidR="006D2A7A" w:rsidRPr="00AB4A23" w14:paraId="638949D0"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0DB522BE" w14:textId="34A5E735" w:rsidR="006D2A7A" w:rsidRPr="00AB4A23" w:rsidRDefault="08C01719" w:rsidP="6EC053A5">
            <w:pPr>
              <w:rPr>
                <w:b w:val="0"/>
                <w:bCs w:val="0"/>
                <w:sz w:val="18"/>
                <w:szCs w:val="18"/>
              </w:rPr>
            </w:pPr>
            <w:r w:rsidRPr="00AB4A23">
              <w:rPr>
                <w:b w:val="0"/>
                <w:bCs w:val="0"/>
                <w:sz w:val="18"/>
                <w:szCs w:val="18"/>
              </w:rPr>
              <w:t xml:space="preserve">Highest </w:t>
            </w:r>
            <w:r w:rsidR="00F374DD" w:rsidRPr="00AB4A23">
              <w:rPr>
                <w:b w:val="0"/>
                <w:bCs w:val="0"/>
                <w:sz w:val="18"/>
                <w:szCs w:val="18"/>
              </w:rPr>
              <w:t>w</w:t>
            </w:r>
            <w:r w:rsidRPr="00AB4A23">
              <w:rPr>
                <w:b w:val="0"/>
                <w:bCs w:val="0"/>
                <w:sz w:val="18"/>
                <w:szCs w:val="18"/>
              </w:rPr>
              <w:t xml:space="preserve">ealth </w:t>
            </w:r>
            <w:r w:rsidR="00F374DD" w:rsidRPr="00AB4A23">
              <w:rPr>
                <w:b w:val="0"/>
                <w:bCs w:val="0"/>
                <w:sz w:val="18"/>
                <w:szCs w:val="18"/>
              </w:rPr>
              <w:t>q</w:t>
            </w:r>
            <w:r w:rsidRPr="00AB4A23">
              <w:rPr>
                <w:b w:val="0"/>
                <w:bCs w:val="0"/>
                <w:sz w:val="18"/>
                <w:szCs w:val="18"/>
              </w:rPr>
              <w:t>uintile</w:t>
            </w:r>
            <w:r w:rsidR="1D9BD7D2" w:rsidRPr="00AB4A23">
              <w:rPr>
                <w:b w:val="0"/>
                <w:bCs w:val="0"/>
                <w:sz w:val="18"/>
                <w:szCs w:val="18"/>
                <w:vertAlign w:val="superscript"/>
              </w:rPr>
              <w:t xml:space="preserve"> a</w:t>
            </w:r>
          </w:p>
        </w:tc>
        <w:tc>
          <w:tcPr>
            <w:tcW w:w="1855" w:type="dxa"/>
            <w:tcBorders>
              <w:top w:val="nil"/>
              <w:left w:val="nil"/>
              <w:bottom w:val="nil"/>
              <w:right w:val="nil"/>
            </w:tcBorders>
            <w:shd w:val="clear" w:color="auto" w:fill="auto"/>
          </w:tcPr>
          <w:p w14:paraId="790285AC" w14:textId="57E6AA25" w:rsidR="006D2A7A" w:rsidRPr="00AB4A23" w:rsidRDefault="00F374DD" w:rsidP="006D2A7A">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C52F2E" w:rsidRPr="00AB4A23">
              <w:rPr>
                <w:sz w:val="18"/>
                <w:szCs w:val="18"/>
              </w:rPr>
              <w:t>17.4 (236)</w:t>
            </w:r>
          </w:p>
        </w:tc>
        <w:tc>
          <w:tcPr>
            <w:tcW w:w="1998" w:type="dxa"/>
            <w:tcBorders>
              <w:top w:val="nil"/>
              <w:left w:val="nil"/>
              <w:bottom w:val="nil"/>
              <w:right w:val="nil"/>
            </w:tcBorders>
            <w:shd w:val="clear" w:color="auto" w:fill="auto"/>
          </w:tcPr>
          <w:p w14:paraId="70CF0F97" w14:textId="0DD87426" w:rsidR="006D2A7A" w:rsidRPr="00AB4A23" w:rsidRDefault="00C52F2E" w:rsidP="006D2A7A">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30.0 (154)</w:t>
            </w:r>
          </w:p>
        </w:tc>
        <w:tc>
          <w:tcPr>
            <w:tcW w:w="1234" w:type="dxa"/>
            <w:tcBorders>
              <w:top w:val="nil"/>
              <w:left w:val="nil"/>
              <w:bottom w:val="nil"/>
              <w:right w:val="nil"/>
            </w:tcBorders>
            <w:shd w:val="clear" w:color="auto" w:fill="auto"/>
          </w:tcPr>
          <w:p w14:paraId="52961AA7" w14:textId="472B2831" w:rsidR="006D2A7A" w:rsidRPr="00AB4A23" w:rsidRDefault="00C52F2E" w:rsidP="006D2A7A">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20.9 (390)</w:t>
            </w:r>
          </w:p>
        </w:tc>
      </w:tr>
      <w:tr w:rsidR="006D2A7A" w:rsidRPr="00AB4A23" w14:paraId="0E867A7E"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70B6F8FB" w14:textId="789C9547" w:rsidR="006D2A7A" w:rsidRPr="00AB4A23" w:rsidRDefault="08C01719" w:rsidP="6EC053A5">
            <w:pPr>
              <w:rPr>
                <w:b w:val="0"/>
                <w:bCs w:val="0"/>
                <w:sz w:val="18"/>
                <w:szCs w:val="18"/>
              </w:rPr>
            </w:pPr>
            <w:r w:rsidRPr="00AB4A23">
              <w:rPr>
                <w:b w:val="0"/>
                <w:bCs w:val="0"/>
                <w:sz w:val="18"/>
                <w:szCs w:val="18"/>
              </w:rPr>
              <w:t xml:space="preserve">Currently </w:t>
            </w:r>
            <w:r w:rsidR="00F374DD" w:rsidRPr="00AB4A23">
              <w:rPr>
                <w:b w:val="0"/>
                <w:bCs w:val="0"/>
                <w:sz w:val="18"/>
                <w:szCs w:val="18"/>
              </w:rPr>
              <w:t>w</w:t>
            </w:r>
            <w:r w:rsidRPr="00AB4A23">
              <w:rPr>
                <w:b w:val="0"/>
                <w:bCs w:val="0"/>
                <w:sz w:val="18"/>
                <w:szCs w:val="18"/>
              </w:rPr>
              <w:t>orking</w:t>
            </w:r>
            <w:r w:rsidR="22CA21B6" w:rsidRPr="00AB4A23">
              <w:rPr>
                <w:b w:val="0"/>
                <w:bCs w:val="0"/>
                <w:sz w:val="18"/>
                <w:szCs w:val="18"/>
                <w:vertAlign w:val="superscript"/>
              </w:rPr>
              <w:t xml:space="preserve"> a</w:t>
            </w:r>
          </w:p>
        </w:tc>
        <w:tc>
          <w:tcPr>
            <w:tcW w:w="1855" w:type="dxa"/>
            <w:tcBorders>
              <w:top w:val="nil"/>
              <w:left w:val="nil"/>
              <w:bottom w:val="nil"/>
              <w:right w:val="nil"/>
            </w:tcBorders>
            <w:shd w:val="clear" w:color="auto" w:fill="auto"/>
          </w:tcPr>
          <w:p w14:paraId="367A9D90" w14:textId="2836E60E" w:rsidR="006D2A7A" w:rsidRPr="00AB4A23" w:rsidRDefault="00F374DD" w:rsidP="006D2A7A">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C52F2E" w:rsidRPr="00AB4A23">
              <w:rPr>
                <w:sz w:val="18"/>
                <w:szCs w:val="18"/>
              </w:rPr>
              <w:t>59.7 (808)</w:t>
            </w:r>
          </w:p>
        </w:tc>
        <w:tc>
          <w:tcPr>
            <w:tcW w:w="1998" w:type="dxa"/>
            <w:tcBorders>
              <w:top w:val="nil"/>
              <w:left w:val="nil"/>
              <w:bottom w:val="nil"/>
              <w:right w:val="nil"/>
            </w:tcBorders>
            <w:shd w:val="clear" w:color="auto" w:fill="auto"/>
          </w:tcPr>
          <w:p w14:paraId="18FB68C5" w14:textId="4CE6D070" w:rsidR="006D2A7A" w:rsidRPr="00AB4A23" w:rsidRDefault="00C52F2E" w:rsidP="006D2A7A">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83.5 (429)</w:t>
            </w:r>
          </w:p>
        </w:tc>
        <w:tc>
          <w:tcPr>
            <w:tcW w:w="1234" w:type="dxa"/>
            <w:tcBorders>
              <w:top w:val="nil"/>
              <w:left w:val="nil"/>
              <w:bottom w:val="nil"/>
              <w:right w:val="nil"/>
            </w:tcBorders>
            <w:shd w:val="clear" w:color="auto" w:fill="auto"/>
          </w:tcPr>
          <w:p w14:paraId="7FEEFDAB" w14:textId="35ABF6F0" w:rsidR="006D2A7A" w:rsidRPr="00AB4A23" w:rsidRDefault="00C52F2E" w:rsidP="006D2A7A">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66.3 (1</w:t>
            </w:r>
            <w:r w:rsidR="00F374DD" w:rsidRPr="00AB4A23">
              <w:rPr>
                <w:sz w:val="18"/>
                <w:szCs w:val="18"/>
              </w:rPr>
              <w:t>,</w:t>
            </w:r>
            <w:r w:rsidRPr="00AB4A23">
              <w:rPr>
                <w:sz w:val="18"/>
                <w:szCs w:val="18"/>
              </w:rPr>
              <w:t>237)</w:t>
            </w:r>
          </w:p>
        </w:tc>
      </w:tr>
      <w:tr w:rsidR="00C52F2E" w:rsidRPr="00AB4A23" w14:paraId="03146323"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6573C5E6" w14:textId="720BC696" w:rsidR="00C52F2E" w:rsidRPr="00AB4A23" w:rsidRDefault="00F374DD" w:rsidP="6EC053A5">
            <w:pPr>
              <w:rPr>
                <w:b w:val="0"/>
                <w:bCs w:val="0"/>
                <w:sz w:val="18"/>
                <w:szCs w:val="18"/>
              </w:rPr>
            </w:pPr>
            <w:r w:rsidRPr="00AB4A23">
              <w:rPr>
                <w:b w:val="0"/>
                <w:bCs w:val="0"/>
                <w:sz w:val="18"/>
                <w:szCs w:val="18"/>
              </w:rPr>
              <w:t>In p</w:t>
            </w:r>
            <w:r w:rsidR="57BFA372" w:rsidRPr="00AB4A23">
              <w:rPr>
                <w:b w:val="0"/>
                <w:bCs w:val="0"/>
                <w:sz w:val="18"/>
                <w:szCs w:val="18"/>
              </w:rPr>
              <w:t>rofessional</w:t>
            </w:r>
            <w:r w:rsidRPr="00AB4A23">
              <w:rPr>
                <w:b w:val="0"/>
                <w:bCs w:val="0"/>
                <w:sz w:val="18"/>
                <w:szCs w:val="18"/>
              </w:rPr>
              <w:t xml:space="preserve"> or m</w:t>
            </w:r>
            <w:r w:rsidR="57BFA372" w:rsidRPr="00AB4A23">
              <w:rPr>
                <w:b w:val="0"/>
                <w:bCs w:val="0"/>
                <w:sz w:val="18"/>
                <w:szCs w:val="18"/>
              </w:rPr>
              <w:t xml:space="preserve">anagerial </w:t>
            </w:r>
            <w:r w:rsidRPr="00AB4A23">
              <w:rPr>
                <w:b w:val="0"/>
                <w:bCs w:val="0"/>
                <w:sz w:val="18"/>
                <w:szCs w:val="18"/>
              </w:rPr>
              <w:t>e</w:t>
            </w:r>
            <w:r w:rsidR="57BFA372" w:rsidRPr="00AB4A23">
              <w:rPr>
                <w:b w:val="0"/>
                <w:bCs w:val="0"/>
                <w:sz w:val="18"/>
                <w:szCs w:val="18"/>
              </w:rPr>
              <w:t>mployment</w:t>
            </w:r>
            <w:r w:rsidR="1545C6BA" w:rsidRPr="00AB4A23">
              <w:rPr>
                <w:b w:val="0"/>
                <w:bCs w:val="0"/>
                <w:sz w:val="18"/>
                <w:szCs w:val="18"/>
                <w:vertAlign w:val="superscript"/>
              </w:rPr>
              <w:t xml:space="preserve"> </w:t>
            </w:r>
            <w:r w:rsidR="23D836C9" w:rsidRPr="00AB4A23">
              <w:rPr>
                <w:b w:val="0"/>
                <w:bCs w:val="0"/>
                <w:sz w:val="18"/>
                <w:szCs w:val="18"/>
                <w:vertAlign w:val="superscript"/>
              </w:rPr>
              <w:t>a</w:t>
            </w:r>
          </w:p>
        </w:tc>
        <w:tc>
          <w:tcPr>
            <w:tcW w:w="1855" w:type="dxa"/>
            <w:tcBorders>
              <w:top w:val="nil"/>
              <w:left w:val="nil"/>
              <w:bottom w:val="nil"/>
              <w:right w:val="nil"/>
            </w:tcBorders>
            <w:shd w:val="clear" w:color="auto" w:fill="auto"/>
          </w:tcPr>
          <w:p w14:paraId="257C072F" w14:textId="1A266947" w:rsidR="00C52F2E" w:rsidRPr="00AB4A23" w:rsidRDefault="00F374DD" w:rsidP="00C52F2E">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C52F2E" w:rsidRPr="00AB4A23">
              <w:rPr>
                <w:sz w:val="18"/>
                <w:szCs w:val="18"/>
              </w:rPr>
              <w:t>4.7 (63)</w:t>
            </w:r>
          </w:p>
        </w:tc>
        <w:tc>
          <w:tcPr>
            <w:tcW w:w="1998" w:type="dxa"/>
            <w:tcBorders>
              <w:top w:val="nil"/>
              <w:left w:val="nil"/>
              <w:bottom w:val="nil"/>
              <w:right w:val="nil"/>
            </w:tcBorders>
            <w:shd w:val="clear" w:color="auto" w:fill="auto"/>
          </w:tcPr>
          <w:p w14:paraId="222C6EDE" w14:textId="75C2CC88" w:rsidR="00C52F2E" w:rsidRPr="00AB4A23" w:rsidRDefault="00C52F2E" w:rsidP="00C52F2E">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13.9 (71)</w:t>
            </w:r>
          </w:p>
        </w:tc>
        <w:tc>
          <w:tcPr>
            <w:tcW w:w="1234" w:type="dxa"/>
            <w:tcBorders>
              <w:top w:val="nil"/>
              <w:left w:val="nil"/>
              <w:bottom w:val="nil"/>
              <w:right w:val="nil"/>
            </w:tcBorders>
            <w:shd w:val="clear" w:color="auto" w:fill="auto"/>
          </w:tcPr>
          <w:p w14:paraId="1DA5F77E" w14:textId="627744A1" w:rsidR="00C52F2E" w:rsidRPr="00AB4A23" w:rsidRDefault="00F374DD" w:rsidP="00C52F2E">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C52F2E" w:rsidRPr="00AB4A23">
              <w:rPr>
                <w:sz w:val="18"/>
                <w:szCs w:val="18"/>
              </w:rPr>
              <w:t>7.2 (134)</w:t>
            </w:r>
          </w:p>
        </w:tc>
      </w:tr>
      <w:tr w:rsidR="006D2A7A" w:rsidRPr="00AB4A23" w14:paraId="78A4955B"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single" w:sz="4" w:space="0" w:color="999999"/>
              <w:right w:val="nil"/>
            </w:tcBorders>
            <w:shd w:val="clear" w:color="auto" w:fill="auto"/>
          </w:tcPr>
          <w:p w14:paraId="42ECB91C" w14:textId="5F0014AF" w:rsidR="006D2A7A" w:rsidRPr="00AB4A23" w:rsidRDefault="57BFA372" w:rsidP="6EC053A5">
            <w:pPr>
              <w:rPr>
                <w:b w:val="0"/>
                <w:bCs w:val="0"/>
                <w:sz w:val="18"/>
                <w:szCs w:val="18"/>
              </w:rPr>
            </w:pPr>
            <w:r w:rsidRPr="00AB4A23">
              <w:rPr>
                <w:b w:val="0"/>
                <w:bCs w:val="0"/>
                <w:sz w:val="18"/>
                <w:szCs w:val="18"/>
              </w:rPr>
              <w:t>E</w:t>
            </w:r>
            <w:r w:rsidR="08C01719" w:rsidRPr="00AB4A23">
              <w:rPr>
                <w:b w:val="0"/>
                <w:bCs w:val="0"/>
                <w:sz w:val="18"/>
                <w:szCs w:val="18"/>
              </w:rPr>
              <w:t>ver had sex</w:t>
            </w:r>
            <w:r w:rsidR="00F374DD" w:rsidRPr="00AB4A23">
              <w:rPr>
                <w:b w:val="0"/>
                <w:bCs w:val="0"/>
                <w:sz w:val="18"/>
                <w:szCs w:val="18"/>
              </w:rPr>
              <w:t>ual intercourse</w:t>
            </w:r>
            <w:r w:rsidR="7564E82E" w:rsidRPr="00AB4A23">
              <w:rPr>
                <w:b w:val="0"/>
                <w:bCs w:val="0"/>
                <w:sz w:val="18"/>
                <w:szCs w:val="18"/>
                <w:vertAlign w:val="superscript"/>
              </w:rPr>
              <w:t xml:space="preserve"> </w:t>
            </w:r>
            <w:r w:rsidR="1C9FF3F2" w:rsidRPr="00AB4A23">
              <w:rPr>
                <w:b w:val="0"/>
                <w:bCs w:val="0"/>
                <w:sz w:val="18"/>
                <w:szCs w:val="18"/>
                <w:vertAlign w:val="superscript"/>
              </w:rPr>
              <w:t>a</w:t>
            </w:r>
          </w:p>
        </w:tc>
        <w:tc>
          <w:tcPr>
            <w:tcW w:w="1855" w:type="dxa"/>
            <w:tcBorders>
              <w:top w:val="nil"/>
              <w:left w:val="nil"/>
              <w:bottom w:val="single" w:sz="4" w:space="0" w:color="999999"/>
              <w:right w:val="nil"/>
            </w:tcBorders>
            <w:shd w:val="clear" w:color="auto" w:fill="auto"/>
          </w:tcPr>
          <w:p w14:paraId="0E862E0F" w14:textId="55934027" w:rsidR="006D2A7A" w:rsidRPr="00AB4A23" w:rsidRDefault="00C52F2E" w:rsidP="006D2A7A">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100.0 (1</w:t>
            </w:r>
            <w:r w:rsidR="00F374DD" w:rsidRPr="00AB4A23">
              <w:rPr>
                <w:sz w:val="18"/>
                <w:szCs w:val="18"/>
              </w:rPr>
              <w:t>,</w:t>
            </w:r>
            <w:r w:rsidRPr="00AB4A23">
              <w:rPr>
                <w:sz w:val="18"/>
                <w:szCs w:val="18"/>
              </w:rPr>
              <w:t>354)</w:t>
            </w:r>
          </w:p>
        </w:tc>
        <w:tc>
          <w:tcPr>
            <w:tcW w:w="1998" w:type="dxa"/>
            <w:tcBorders>
              <w:top w:val="nil"/>
              <w:left w:val="nil"/>
              <w:bottom w:val="single" w:sz="4" w:space="0" w:color="999999"/>
              <w:right w:val="nil"/>
            </w:tcBorders>
            <w:shd w:val="clear" w:color="auto" w:fill="auto"/>
          </w:tcPr>
          <w:p w14:paraId="4CA1A27B" w14:textId="4748EC08" w:rsidR="006D2A7A" w:rsidRPr="00AB4A23" w:rsidRDefault="00F374DD" w:rsidP="006D2A7A">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976C19" w:rsidRPr="00AB4A23">
              <w:rPr>
                <w:sz w:val="18"/>
                <w:szCs w:val="18"/>
              </w:rPr>
              <w:t>1.0 (5)</w:t>
            </w:r>
          </w:p>
        </w:tc>
        <w:tc>
          <w:tcPr>
            <w:tcW w:w="1234" w:type="dxa"/>
            <w:tcBorders>
              <w:top w:val="nil"/>
              <w:left w:val="nil"/>
              <w:bottom w:val="single" w:sz="4" w:space="0" w:color="999999"/>
              <w:right w:val="nil"/>
            </w:tcBorders>
            <w:shd w:val="clear" w:color="auto" w:fill="auto"/>
          </w:tcPr>
          <w:p w14:paraId="6FE328E4" w14:textId="212D2AFC" w:rsidR="006D2A7A" w:rsidRPr="00AB4A23" w:rsidRDefault="00976C19">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72.8 (1</w:t>
            </w:r>
            <w:r w:rsidR="00F374DD" w:rsidRPr="00AB4A23">
              <w:rPr>
                <w:sz w:val="18"/>
                <w:szCs w:val="18"/>
              </w:rPr>
              <w:t>,</w:t>
            </w:r>
            <w:r w:rsidRPr="00AB4A23">
              <w:rPr>
                <w:sz w:val="18"/>
                <w:szCs w:val="18"/>
              </w:rPr>
              <w:t>359)</w:t>
            </w:r>
          </w:p>
        </w:tc>
      </w:tr>
      <w:tr w:rsidR="00C52F2E" w:rsidRPr="00AB4A23" w14:paraId="1A9F22EF"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left w:val="nil"/>
              <w:bottom w:val="single" w:sz="4" w:space="0" w:color="999999"/>
              <w:right w:val="nil"/>
            </w:tcBorders>
            <w:shd w:val="clear" w:color="auto" w:fill="auto"/>
          </w:tcPr>
          <w:p w14:paraId="1AF4BE1B" w14:textId="3363967C" w:rsidR="00C52F2E" w:rsidRPr="00AB4A23" w:rsidRDefault="00967EE6">
            <w:pPr>
              <w:rPr>
                <w:sz w:val="18"/>
                <w:szCs w:val="18"/>
              </w:rPr>
            </w:pPr>
            <w:r w:rsidRPr="00AB4A23">
              <w:rPr>
                <w:sz w:val="18"/>
                <w:szCs w:val="18"/>
              </w:rPr>
              <w:t xml:space="preserve">35-39 </w:t>
            </w:r>
            <w:r w:rsidR="00F374DD" w:rsidRPr="00AB4A23">
              <w:rPr>
                <w:sz w:val="18"/>
                <w:szCs w:val="18"/>
              </w:rPr>
              <w:t>years</w:t>
            </w:r>
          </w:p>
        </w:tc>
        <w:tc>
          <w:tcPr>
            <w:tcW w:w="1855" w:type="dxa"/>
            <w:tcBorders>
              <w:left w:val="nil"/>
              <w:bottom w:val="single" w:sz="4" w:space="0" w:color="999999"/>
              <w:right w:val="nil"/>
            </w:tcBorders>
            <w:shd w:val="clear" w:color="auto" w:fill="auto"/>
          </w:tcPr>
          <w:p w14:paraId="3A2DD2EC" w14:textId="79F9C6BE" w:rsidR="00C52F2E" w:rsidRPr="00AB4A23" w:rsidRDefault="00C52F2E" w:rsidP="00C52F2E">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n</w:t>
            </w:r>
            <w:r w:rsidRPr="00AB4A23">
              <w:rPr>
                <w:b/>
                <w:sz w:val="18"/>
                <w:szCs w:val="18"/>
              </w:rPr>
              <w:t xml:space="preserve"> = </w:t>
            </w:r>
            <w:r w:rsidR="00976C19" w:rsidRPr="00AB4A23">
              <w:rPr>
                <w:b/>
                <w:sz w:val="18"/>
                <w:szCs w:val="18"/>
              </w:rPr>
              <w:t>1</w:t>
            </w:r>
            <w:r w:rsidR="00F374DD" w:rsidRPr="00AB4A23">
              <w:rPr>
                <w:b/>
                <w:sz w:val="18"/>
                <w:szCs w:val="18"/>
              </w:rPr>
              <w:t>,</w:t>
            </w:r>
            <w:r w:rsidR="00976C19" w:rsidRPr="00AB4A23">
              <w:rPr>
                <w:b/>
                <w:sz w:val="18"/>
                <w:szCs w:val="18"/>
              </w:rPr>
              <w:t>623</w:t>
            </w:r>
          </w:p>
        </w:tc>
        <w:tc>
          <w:tcPr>
            <w:tcW w:w="1998" w:type="dxa"/>
            <w:tcBorders>
              <w:left w:val="nil"/>
              <w:bottom w:val="single" w:sz="4" w:space="0" w:color="999999"/>
              <w:right w:val="nil"/>
            </w:tcBorders>
            <w:shd w:val="clear" w:color="auto" w:fill="auto"/>
          </w:tcPr>
          <w:p w14:paraId="0B017BA8" w14:textId="7A93D71C" w:rsidR="00C52F2E" w:rsidRPr="00AB4A23" w:rsidRDefault="00C52F2E" w:rsidP="00C52F2E">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n</w:t>
            </w:r>
            <w:r w:rsidRPr="00AB4A23">
              <w:rPr>
                <w:b/>
                <w:sz w:val="18"/>
                <w:szCs w:val="18"/>
              </w:rPr>
              <w:t xml:space="preserve"> = </w:t>
            </w:r>
            <w:r w:rsidR="00976C19" w:rsidRPr="00AB4A23">
              <w:rPr>
                <w:b/>
                <w:sz w:val="18"/>
                <w:szCs w:val="18"/>
              </w:rPr>
              <w:t>331</w:t>
            </w:r>
          </w:p>
        </w:tc>
        <w:tc>
          <w:tcPr>
            <w:tcW w:w="1234" w:type="dxa"/>
            <w:tcBorders>
              <w:left w:val="nil"/>
              <w:bottom w:val="single" w:sz="4" w:space="0" w:color="999999"/>
              <w:right w:val="nil"/>
            </w:tcBorders>
            <w:shd w:val="clear" w:color="auto" w:fill="auto"/>
          </w:tcPr>
          <w:p w14:paraId="52F1A04A" w14:textId="2BB4C797" w:rsidR="00C52F2E" w:rsidRPr="00AB4A23" w:rsidRDefault="00C52F2E" w:rsidP="00976C19">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 xml:space="preserve">n </w:t>
            </w:r>
            <w:r w:rsidRPr="00AB4A23">
              <w:rPr>
                <w:b/>
                <w:sz w:val="18"/>
                <w:szCs w:val="18"/>
              </w:rPr>
              <w:t xml:space="preserve">= </w:t>
            </w:r>
            <w:r w:rsidR="00976C19" w:rsidRPr="00AB4A23">
              <w:rPr>
                <w:b/>
                <w:sz w:val="18"/>
                <w:szCs w:val="18"/>
              </w:rPr>
              <w:t>1</w:t>
            </w:r>
            <w:r w:rsidR="00F374DD" w:rsidRPr="00AB4A23">
              <w:rPr>
                <w:b/>
                <w:sz w:val="18"/>
                <w:szCs w:val="18"/>
              </w:rPr>
              <w:t>,</w:t>
            </w:r>
            <w:r w:rsidR="00976C19" w:rsidRPr="00AB4A23">
              <w:rPr>
                <w:b/>
                <w:sz w:val="18"/>
                <w:szCs w:val="18"/>
              </w:rPr>
              <w:t>954</w:t>
            </w:r>
          </w:p>
        </w:tc>
      </w:tr>
      <w:tr w:rsidR="00F374DD" w:rsidRPr="00AB4A23" w14:paraId="2BA91082"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left w:val="nil"/>
              <w:bottom w:val="nil"/>
              <w:right w:val="nil"/>
            </w:tcBorders>
            <w:shd w:val="clear" w:color="auto" w:fill="auto"/>
          </w:tcPr>
          <w:p w14:paraId="112C1D2E" w14:textId="3AC12C25" w:rsidR="00F374DD" w:rsidRPr="00AB4A23" w:rsidRDefault="00F374DD" w:rsidP="6EC053A5">
            <w:pPr>
              <w:rPr>
                <w:b w:val="0"/>
                <w:bCs w:val="0"/>
                <w:sz w:val="18"/>
                <w:szCs w:val="18"/>
              </w:rPr>
            </w:pPr>
            <w:r w:rsidRPr="00AB4A23">
              <w:rPr>
                <w:b w:val="0"/>
                <w:bCs w:val="0"/>
                <w:sz w:val="18"/>
                <w:szCs w:val="18"/>
              </w:rPr>
              <w:t>Urban</w:t>
            </w:r>
            <w:r w:rsidR="2223A122" w:rsidRPr="00AB4A23">
              <w:rPr>
                <w:b w:val="0"/>
                <w:bCs w:val="0"/>
                <w:sz w:val="18"/>
                <w:szCs w:val="18"/>
                <w:vertAlign w:val="superscript"/>
              </w:rPr>
              <w:t xml:space="preserve"> </w:t>
            </w:r>
            <w:r w:rsidR="66606AAA" w:rsidRPr="00AB4A23">
              <w:rPr>
                <w:b w:val="0"/>
                <w:bCs w:val="0"/>
                <w:sz w:val="18"/>
                <w:szCs w:val="18"/>
                <w:vertAlign w:val="superscript"/>
              </w:rPr>
              <w:t>a</w:t>
            </w:r>
          </w:p>
        </w:tc>
        <w:tc>
          <w:tcPr>
            <w:tcW w:w="1855" w:type="dxa"/>
            <w:tcBorders>
              <w:left w:val="nil"/>
              <w:bottom w:val="nil"/>
              <w:right w:val="nil"/>
            </w:tcBorders>
            <w:shd w:val="clear" w:color="auto" w:fill="auto"/>
          </w:tcPr>
          <w:p w14:paraId="64681AE4" w14:textId="7D58AF51"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27.5 (446)</w:t>
            </w:r>
          </w:p>
        </w:tc>
        <w:tc>
          <w:tcPr>
            <w:tcW w:w="1998" w:type="dxa"/>
            <w:tcBorders>
              <w:left w:val="nil"/>
              <w:bottom w:val="nil"/>
              <w:right w:val="nil"/>
            </w:tcBorders>
            <w:shd w:val="clear" w:color="auto" w:fill="auto"/>
          </w:tcPr>
          <w:p w14:paraId="08DC8AFA" w14:textId="3B579349"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40.0 (133)</w:t>
            </w:r>
          </w:p>
        </w:tc>
        <w:tc>
          <w:tcPr>
            <w:tcW w:w="1234" w:type="dxa"/>
            <w:tcBorders>
              <w:left w:val="nil"/>
              <w:bottom w:val="nil"/>
              <w:right w:val="nil"/>
            </w:tcBorders>
            <w:shd w:val="clear" w:color="auto" w:fill="auto"/>
          </w:tcPr>
          <w:p w14:paraId="0FCC4CC0" w14:textId="7FAB1580"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29.6 (579)</w:t>
            </w:r>
          </w:p>
        </w:tc>
      </w:tr>
      <w:tr w:rsidR="00F374DD" w:rsidRPr="00AB4A23" w14:paraId="0FBE620D"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74D8B28C" w14:textId="316240DF" w:rsidR="00F374DD" w:rsidRPr="00AB4A23" w:rsidRDefault="00F374DD" w:rsidP="6EC053A5">
            <w:pPr>
              <w:rPr>
                <w:b w:val="0"/>
                <w:bCs w:val="0"/>
                <w:sz w:val="18"/>
                <w:szCs w:val="18"/>
              </w:rPr>
            </w:pPr>
            <w:r w:rsidRPr="00AB4A23">
              <w:rPr>
                <w:b w:val="0"/>
                <w:bCs w:val="0"/>
                <w:sz w:val="18"/>
                <w:szCs w:val="18"/>
              </w:rPr>
              <w:t>Higher education</w:t>
            </w:r>
            <w:r w:rsidR="43D48413" w:rsidRPr="00AB4A23">
              <w:rPr>
                <w:b w:val="0"/>
                <w:bCs w:val="0"/>
                <w:sz w:val="18"/>
                <w:szCs w:val="18"/>
                <w:vertAlign w:val="superscript"/>
              </w:rPr>
              <w:t xml:space="preserve"> </w:t>
            </w:r>
            <w:r w:rsidR="5D5A400E" w:rsidRPr="00AB4A23">
              <w:rPr>
                <w:b w:val="0"/>
                <w:bCs w:val="0"/>
                <w:sz w:val="18"/>
                <w:szCs w:val="18"/>
                <w:vertAlign w:val="superscript"/>
              </w:rPr>
              <w:t>a</w:t>
            </w:r>
          </w:p>
        </w:tc>
        <w:tc>
          <w:tcPr>
            <w:tcW w:w="1855" w:type="dxa"/>
            <w:tcBorders>
              <w:top w:val="nil"/>
              <w:left w:val="nil"/>
              <w:bottom w:val="nil"/>
              <w:right w:val="nil"/>
            </w:tcBorders>
            <w:shd w:val="clear" w:color="auto" w:fill="auto"/>
          </w:tcPr>
          <w:p w14:paraId="3846A643" w14:textId="6902A4C3"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9.8 (159)</w:t>
            </w:r>
          </w:p>
        </w:tc>
        <w:tc>
          <w:tcPr>
            <w:tcW w:w="1998" w:type="dxa"/>
            <w:tcBorders>
              <w:top w:val="nil"/>
              <w:left w:val="nil"/>
              <w:bottom w:val="nil"/>
              <w:right w:val="nil"/>
            </w:tcBorders>
            <w:shd w:val="clear" w:color="auto" w:fill="auto"/>
          </w:tcPr>
          <w:p w14:paraId="0965267E" w14:textId="5D85FA30"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20.9 (69)</w:t>
            </w:r>
          </w:p>
        </w:tc>
        <w:tc>
          <w:tcPr>
            <w:tcW w:w="1234" w:type="dxa"/>
            <w:tcBorders>
              <w:top w:val="nil"/>
              <w:left w:val="nil"/>
              <w:bottom w:val="nil"/>
              <w:right w:val="nil"/>
            </w:tcBorders>
            <w:shd w:val="clear" w:color="auto" w:fill="auto"/>
          </w:tcPr>
          <w:p w14:paraId="08827490" w14:textId="2292E5BF"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11.7 (228)</w:t>
            </w:r>
          </w:p>
        </w:tc>
      </w:tr>
      <w:tr w:rsidR="00F374DD" w:rsidRPr="00AB4A23" w14:paraId="0FCFC755"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399BE918" w14:textId="2DAFAEA0" w:rsidR="00F374DD" w:rsidRPr="00AB4A23" w:rsidRDefault="00F374DD" w:rsidP="6EC053A5">
            <w:pPr>
              <w:rPr>
                <w:b w:val="0"/>
                <w:bCs w:val="0"/>
                <w:sz w:val="18"/>
                <w:szCs w:val="18"/>
              </w:rPr>
            </w:pPr>
            <w:r w:rsidRPr="00AB4A23">
              <w:rPr>
                <w:b w:val="0"/>
                <w:bCs w:val="0"/>
                <w:sz w:val="18"/>
                <w:szCs w:val="18"/>
              </w:rPr>
              <w:t>Highest wealth quintile</w:t>
            </w:r>
            <w:r w:rsidR="29A32E40" w:rsidRPr="00AB4A23">
              <w:rPr>
                <w:b w:val="0"/>
                <w:bCs w:val="0"/>
                <w:sz w:val="18"/>
                <w:szCs w:val="18"/>
                <w:vertAlign w:val="superscript"/>
              </w:rPr>
              <w:t xml:space="preserve"> a</w:t>
            </w:r>
          </w:p>
        </w:tc>
        <w:tc>
          <w:tcPr>
            <w:tcW w:w="1855" w:type="dxa"/>
            <w:tcBorders>
              <w:top w:val="nil"/>
              <w:left w:val="nil"/>
              <w:bottom w:val="nil"/>
              <w:right w:val="nil"/>
            </w:tcBorders>
            <w:shd w:val="clear" w:color="auto" w:fill="auto"/>
          </w:tcPr>
          <w:p w14:paraId="2D4A0AF9" w14:textId="68142AE4"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20.8 (337)</w:t>
            </w:r>
          </w:p>
        </w:tc>
        <w:tc>
          <w:tcPr>
            <w:tcW w:w="1998" w:type="dxa"/>
            <w:tcBorders>
              <w:top w:val="nil"/>
              <w:left w:val="nil"/>
              <w:bottom w:val="nil"/>
              <w:right w:val="nil"/>
            </w:tcBorders>
            <w:shd w:val="clear" w:color="auto" w:fill="auto"/>
          </w:tcPr>
          <w:p w14:paraId="0C93B05A" w14:textId="3F0EF142"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37.1 (123)</w:t>
            </w:r>
          </w:p>
        </w:tc>
        <w:tc>
          <w:tcPr>
            <w:tcW w:w="1234" w:type="dxa"/>
            <w:tcBorders>
              <w:top w:val="nil"/>
              <w:left w:val="nil"/>
              <w:bottom w:val="nil"/>
              <w:right w:val="nil"/>
            </w:tcBorders>
            <w:shd w:val="clear" w:color="auto" w:fill="auto"/>
          </w:tcPr>
          <w:p w14:paraId="18E12186" w14:textId="5A08C07A"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23.5 (460)</w:t>
            </w:r>
          </w:p>
        </w:tc>
      </w:tr>
      <w:tr w:rsidR="00F374DD" w:rsidRPr="00AB4A23" w14:paraId="3F70D91E"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657A3BA0" w14:textId="39B1BC0F" w:rsidR="00F374DD" w:rsidRPr="00AB4A23" w:rsidRDefault="00F374DD" w:rsidP="6EC053A5">
            <w:pPr>
              <w:rPr>
                <w:b w:val="0"/>
                <w:bCs w:val="0"/>
                <w:sz w:val="18"/>
                <w:szCs w:val="18"/>
              </w:rPr>
            </w:pPr>
            <w:r w:rsidRPr="00AB4A23">
              <w:rPr>
                <w:b w:val="0"/>
                <w:bCs w:val="0"/>
                <w:sz w:val="18"/>
                <w:szCs w:val="18"/>
              </w:rPr>
              <w:t>Currently working</w:t>
            </w:r>
            <w:r w:rsidR="524D84D9" w:rsidRPr="00AB4A23">
              <w:rPr>
                <w:b w:val="0"/>
                <w:bCs w:val="0"/>
                <w:sz w:val="18"/>
                <w:szCs w:val="18"/>
                <w:vertAlign w:val="superscript"/>
              </w:rPr>
              <w:t xml:space="preserve"> </w:t>
            </w:r>
            <w:r w:rsidR="48E3045C" w:rsidRPr="00AB4A23">
              <w:rPr>
                <w:b w:val="0"/>
                <w:bCs w:val="0"/>
                <w:sz w:val="18"/>
                <w:szCs w:val="18"/>
                <w:vertAlign w:val="superscript"/>
              </w:rPr>
              <w:t>a</w:t>
            </w:r>
          </w:p>
        </w:tc>
        <w:tc>
          <w:tcPr>
            <w:tcW w:w="1855" w:type="dxa"/>
            <w:tcBorders>
              <w:top w:val="nil"/>
              <w:left w:val="nil"/>
              <w:bottom w:val="nil"/>
              <w:right w:val="nil"/>
            </w:tcBorders>
            <w:shd w:val="clear" w:color="auto" w:fill="auto"/>
          </w:tcPr>
          <w:p w14:paraId="1D4E4570" w14:textId="5CD6B832"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68.7 (1,118)</w:t>
            </w:r>
          </w:p>
        </w:tc>
        <w:tc>
          <w:tcPr>
            <w:tcW w:w="1998" w:type="dxa"/>
            <w:tcBorders>
              <w:top w:val="nil"/>
              <w:left w:val="nil"/>
              <w:bottom w:val="nil"/>
              <w:right w:val="nil"/>
            </w:tcBorders>
            <w:shd w:val="clear" w:color="auto" w:fill="auto"/>
          </w:tcPr>
          <w:p w14:paraId="5ECAAB22" w14:textId="24FF637A"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81.8 (270)</w:t>
            </w:r>
          </w:p>
        </w:tc>
        <w:tc>
          <w:tcPr>
            <w:tcW w:w="1234" w:type="dxa"/>
            <w:tcBorders>
              <w:top w:val="nil"/>
              <w:left w:val="nil"/>
              <w:bottom w:val="nil"/>
              <w:right w:val="nil"/>
            </w:tcBorders>
            <w:shd w:val="clear" w:color="auto" w:fill="auto"/>
          </w:tcPr>
          <w:p w14:paraId="20142234" w14:textId="5355DD00"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71.1 (1,388)</w:t>
            </w:r>
          </w:p>
        </w:tc>
      </w:tr>
      <w:tr w:rsidR="00F374DD" w:rsidRPr="00AB4A23" w14:paraId="48F40B9F"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1E1AA676" w14:textId="5B66AF74" w:rsidR="00F374DD" w:rsidRPr="00AB4A23" w:rsidRDefault="00F374DD" w:rsidP="6EC053A5">
            <w:pPr>
              <w:rPr>
                <w:b w:val="0"/>
                <w:bCs w:val="0"/>
                <w:sz w:val="18"/>
                <w:szCs w:val="18"/>
              </w:rPr>
            </w:pPr>
            <w:r w:rsidRPr="00AB4A23">
              <w:rPr>
                <w:b w:val="0"/>
                <w:bCs w:val="0"/>
                <w:sz w:val="18"/>
                <w:szCs w:val="18"/>
              </w:rPr>
              <w:t>In professional or managerial employment</w:t>
            </w:r>
            <w:r w:rsidR="6CF279F0" w:rsidRPr="00AB4A23">
              <w:rPr>
                <w:b w:val="0"/>
                <w:bCs w:val="0"/>
                <w:sz w:val="18"/>
                <w:szCs w:val="18"/>
                <w:vertAlign w:val="superscript"/>
              </w:rPr>
              <w:t xml:space="preserve"> </w:t>
            </w:r>
            <w:r w:rsidR="018EE812" w:rsidRPr="00AB4A23">
              <w:rPr>
                <w:b w:val="0"/>
                <w:bCs w:val="0"/>
                <w:sz w:val="18"/>
                <w:szCs w:val="18"/>
                <w:vertAlign w:val="superscript"/>
              </w:rPr>
              <w:t>a</w:t>
            </w:r>
          </w:p>
        </w:tc>
        <w:tc>
          <w:tcPr>
            <w:tcW w:w="1855" w:type="dxa"/>
            <w:tcBorders>
              <w:top w:val="nil"/>
              <w:left w:val="nil"/>
              <w:bottom w:val="nil"/>
              <w:right w:val="nil"/>
            </w:tcBorders>
            <w:shd w:val="clear" w:color="auto" w:fill="auto"/>
          </w:tcPr>
          <w:p w14:paraId="7F70C17F" w14:textId="6D6B51FD"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5.0 (82)</w:t>
            </w:r>
          </w:p>
        </w:tc>
        <w:tc>
          <w:tcPr>
            <w:tcW w:w="1998" w:type="dxa"/>
            <w:tcBorders>
              <w:top w:val="nil"/>
              <w:left w:val="nil"/>
              <w:bottom w:val="nil"/>
              <w:right w:val="nil"/>
            </w:tcBorders>
            <w:shd w:val="clear" w:color="auto" w:fill="auto"/>
          </w:tcPr>
          <w:p w14:paraId="23BC3407" w14:textId="282A0D53"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11.6 (38)</w:t>
            </w:r>
          </w:p>
        </w:tc>
        <w:tc>
          <w:tcPr>
            <w:tcW w:w="1234" w:type="dxa"/>
            <w:tcBorders>
              <w:top w:val="nil"/>
              <w:left w:val="nil"/>
              <w:bottom w:val="nil"/>
              <w:right w:val="nil"/>
            </w:tcBorders>
            <w:shd w:val="clear" w:color="auto" w:fill="auto"/>
          </w:tcPr>
          <w:p w14:paraId="0624B302" w14:textId="754331C8"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6.2 (120)</w:t>
            </w:r>
          </w:p>
        </w:tc>
      </w:tr>
      <w:tr w:rsidR="00F374DD" w:rsidRPr="00AB4A23" w14:paraId="6A726F97"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single" w:sz="4" w:space="0" w:color="999999"/>
              <w:right w:val="nil"/>
            </w:tcBorders>
            <w:shd w:val="clear" w:color="auto" w:fill="auto"/>
          </w:tcPr>
          <w:p w14:paraId="09746E7C" w14:textId="277C251F" w:rsidR="00F374DD" w:rsidRPr="00AB4A23" w:rsidRDefault="00F374DD" w:rsidP="6EC053A5">
            <w:pPr>
              <w:rPr>
                <w:b w:val="0"/>
                <w:bCs w:val="0"/>
                <w:sz w:val="18"/>
                <w:szCs w:val="18"/>
              </w:rPr>
            </w:pPr>
            <w:r w:rsidRPr="00AB4A23">
              <w:rPr>
                <w:b w:val="0"/>
                <w:bCs w:val="0"/>
                <w:sz w:val="18"/>
                <w:szCs w:val="18"/>
              </w:rPr>
              <w:t>Ever had sexual intercourse</w:t>
            </w:r>
            <w:r w:rsidR="65F8AA63" w:rsidRPr="00AB4A23">
              <w:rPr>
                <w:b w:val="0"/>
                <w:bCs w:val="0"/>
                <w:sz w:val="18"/>
                <w:szCs w:val="18"/>
                <w:vertAlign w:val="superscript"/>
              </w:rPr>
              <w:t xml:space="preserve"> a</w:t>
            </w:r>
          </w:p>
        </w:tc>
        <w:tc>
          <w:tcPr>
            <w:tcW w:w="1855" w:type="dxa"/>
            <w:tcBorders>
              <w:top w:val="nil"/>
              <w:left w:val="nil"/>
              <w:bottom w:val="single" w:sz="4" w:space="0" w:color="999999"/>
              <w:right w:val="nil"/>
            </w:tcBorders>
            <w:shd w:val="clear" w:color="auto" w:fill="auto"/>
          </w:tcPr>
          <w:p w14:paraId="52BF48A3" w14:textId="34654E46"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100.0 (1,623)</w:t>
            </w:r>
          </w:p>
        </w:tc>
        <w:tc>
          <w:tcPr>
            <w:tcW w:w="1998" w:type="dxa"/>
            <w:tcBorders>
              <w:top w:val="nil"/>
              <w:left w:val="nil"/>
              <w:bottom w:val="single" w:sz="4" w:space="0" w:color="999999"/>
              <w:right w:val="nil"/>
            </w:tcBorders>
            <w:shd w:val="clear" w:color="auto" w:fill="auto"/>
          </w:tcPr>
          <w:p w14:paraId="0F527AE5" w14:textId="0AB51380"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0.0 (0)</w:t>
            </w:r>
          </w:p>
        </w:tc>
        <w:tc>
          <w:tcPr>
            <w:tcW w:w="1234" w:type="dxa"/>
            <w:tcBorders>
              <w:top w:val="nil"/>
              <w:left w:val="nil"/>
              <w:bottom w:val="single" w:sz="4" w:space="0" w:color="999999"/>
              <w:right w:val="nil"/>
            </w:tcBorders>
            <w:shd w:val="clear" w:color="auto" w:fill="auto"/>
          </w:tcPr>
          <w:p w14:paraId="6A416952" w14:textId="200C2889"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83.1 (1,623)</w:t>
            </w:r>
          </w:p>
        </w:tc>
      </w:tr>
      <w:tr w:rsidR="00C52F2E" w:rsidRPr="00AB4A23" w14:paraId="2249F98E"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left w:val="nil"/>
              <w:bottom w:val="single" w:sz="4" w:space="0" w:color="999999"/>
              <w:right w:val="nil"/>
            </w:tcBorders>
            <w:shd w:val="clear" w:color="auto" w:fill="auto"/>
          </w:tcPr>
          <w:p w14:paraId="458CABFD" w14:textId="68078BAE" w:rsidR="00C52F2E" w:rsidRPr="00AB4A23" w:rsidRDefault="00967EE6">
            <w:pPr>
              <w:rPr>
                <w:sz w:val="18"/>
                <w:szCs w:val="18"/>
              </w:rPr>
            </w:pPr>
            <w:r w:rsidRPr="00AB4A23">
              <w:rPr>
                <w:sz w:val="18"/>
                <w:szCs w:val="18"/>
              </w:rPr>
              <w:t xml:space="preserve">45-49 </w:t>
            </w:r>
            <w:r w:rsidR="00F374DD" w:rsidRPr="00AB4A23">
              <w:rPr>
                <w:sz w:val="18"/>
                <w:szCs w:val="18"/>
              </w:rPr>
              <w:t>years</w:t>
            </w:r>
          </w:p>
        </w:tc>
        <w:tc>
          <w:tcPr>
            <w:tcW w:w="1855" w:type="dxa"/>
            <w:tcBorders>
              <w:left w:val="nil"/>
              <w:bottom w:val="single" w:sz="4" w:space="0" w:color="999999"/>
              <w:right w:val="nil"/>
            </w:tcBorders>
            <w:shd w:val="clear" w:color="auto" w:fill="auto"/>
          </w:tcPr>
          <w:p w14:paraId="40AEE2D3" w14:textId="408DBAA9" w:rsidR="00C52F2E" w:rsidRPr="00AB4A23" w:rsidRDefault="00C52F2E" w:rsidP="00976C19">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n</w:t>
            </w:r>
            <w:r w:rsidRPr="00AB4A23">
              <w:rPr>
                <w:b/>
                <w:sz w:val="18"/>
                <w:szCs w:val="18"/>
              </w:rPr>
              <w:t xml:space="preserve"> = 1</w:t>
            </w:r>
            <w:r w:rsidR="00F374DD" w:rsidRPr="00AB4A23">
              <w:rPr>
                <w:b/>
                <w:sz w:val="18"/>
                <w:szCs w:val="18"/>
              </w:rPr>
              <w:t>,</w:t>
            </w:r>
            <w:r w:rsidRPr="00AB4A23">
              <w:rPr>
                <w:b/>
                <w:sz w:val="18"/>
                <w:szCs w:val="18"/>
              </w:rPr>
              <w:t>432</w:t>
            </w:r>
          </w:p>
        </w:tc>
        <w:tc>
          <w:tcPr>
            <w:tcW w:w="1998" w:type="dxa"/>
            <w:tcBorders>
              <w:left w:val="nil"/>
              <w:bottom w:val="single" w:sz="4" w:space="0" w:color="999999"/>
              <w:right w:val="nil"/>
            </w:tcBorders>
            <w:shd w:val="clear" w:color="auto" w:fill="auto"/>
          </w:tcPr>
          <w:p w14:paraId="1040914C" w14:textId="6ECDE497" w:rsidR="00C52F2E" w:rsidRPr="00AB4A23" w:rsidRDefault="00C52F2E" w:rsidP="00976C19">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n</w:t>
            </w:r>
            <w:r w:rsidRPr="00AB4A23">
              <w:rPr>
                <w:b/>
                <w:sz w:val="18"/>
                <w:szCs w:val="18"/>
              </w:rPr>
              <w:t xml:space="preserve"> = 210</w:t>
            </w:r>
          </w:p>
        </w:tc>
        <w:tc>
          <w:tcPr>
            <w:tcW w:w="1234" w:type="dxa"/>
            <w:tcBorders>
              <w:left w:val="nil"/>
              <w:bottom w:val="single" w:sz="4" w:space="0" w:color="999999"/>
              <w:right w:val="nil"/>
            </w:tcBorders>
            <w:shd w:val="clear" w:color="auto" w:fill="auto"/>
          </w:tcPr>
          <w:p w14:paraId="1812BF84" w14:textId="3AE9858A" w:rsidR="00C52F2E" w:rsidRPr="00AB4A23" w:rsidRDefault="00C52F2E" w:rsidP="00976C19">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n</w:t>
            </w:r>
            <w:r w:rsidRPr="00AB4A23">
              <w:rPr>
                <w:b/>
                <w:sz w:val="18"/>
                <w:szCs w:val="18"/>
              </w:rPr>
              <w:t xml:space="preserve"> = 1</w:t>
            </w:r>
            <w:r w:rsidR="00F374DD" w:rsidRPr="00AB4A23">
              <w:rPr>
                <w:b/>
                <w:sz w:val="18"/>
                <w:szCs w:val="18"/>
              </w:rPr>
              <w:t>,</w:t>
            </w:r>
            <w:r w:rsidRPr="00AB4A23">
              <w:rPr>
                <w:b/>
                <w:sz w:val="18"/>
                <w:szCs w:val="18"/>
              </w:rPr>
              <w:t>642</w:t>
            </w:r>
          </w:p>
        </w:tc>
      </w:tr>
      <w:tr w:rsidR="00F374DD" w:rsidRPr="00AB4A23" w14:paraId="14D371E2"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left w:val="nil"/>
              <w:bottom w:val="nil"/>
              <w:right w:val="nil"/>
            </w:tcBorders>
            <w:shd w:val="clear" w:color="auto" w:fill="auto"/>
          </w:tcPr>
          <w:p w14:paraId="6B48CC64" w14:textId="27CED3D2" w:rsidR="00F374DD" w:rsidRPr="00AB4A23" w:rsidRDefault="00F374DD" w:rsidP="6EC053A5">
            <w:pPr>
              <w:rPr>
                <w:b w:val="0"/>
                <w:bCs w:val="0"/>
                <w:sz w:val="18"/>
                <w:szCs w:val="18"/>
              </w:rPr>
            </w:pPr>
            <w:r w:rsidRPr="00AB4A23">
              <w:rPr>
                <w:b w:val="0"/>
                <w:bCs w:val="0"/>
                <w:sz w:val="18"/>
                <w:szCs w:val="18"/>
              </w:rPr>
              <w:t>Urban</w:t>
            </w:r>
            <w:r w:rsidR="7B0DB8FC" w:rsidRPr="00AB4A23">
              <w:rPr>
                <w:b w:val="0"/>
                <w:bCs w:val="0"/>
                <w:sz w:val="18"/>
                <w:szCs w:val="18"/>
                <w:vertAlign w:val="superscript"/>
              </w:rPr>
              <w:t xml:space="preserve"> a</w:t>
            </w:r>
          </w:p>
        </w:tc>
        <w:tc>
          <w:tcPr>
            <w:tcW w:w="1855" w:type="dxa"/>
            <w:tcBorders>
              <w:left w:val="nil"/>
              <w:bottom w:val="nil"/>
              <w:right w:val="nil"/>
            </w:tcBorders>
            <w:shd w:val="clear" w:color="auto" w:fill="auto"/>
          </w:tcPr>
          <w:p w14:paraId="62D5FB9B" w14:textId="141F51BB"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29.7 (415)</w:t>
            </w:r>
          </w:p>
        </w:tc>
        <w:tc>
          <w:tcPr>
            <w:tcW w:w="1998" w:type="dxa"/>
            <w:tcBorders>
              <w:left w:val="nil"/>
              <w:bottom w:val="nil"/>
              <w:right w:val="nil"/>
            </w:tcBorders>
            <w:shd w:val="clear" w:color="auto" w:fill="auto"/>
          </w:tcPr>
          <w:p w14:paraId="46225D13" w14:textId="0C37C028"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38.4 (84)</w:t>
            </w:r>
          </w:p>
        </w:tc>
        <w:tc>
          <w:tcPr>
            <w:tcW w:w="1234" w:type="dxa"/>
            <w:tcBorders>
              <w:left w:val="nil"/>
              <w:bottom w:val="nil"/>
              <w:right w:val="nil"/>
            </w:tcBorders>
            <w:shd w:val="clear" w:color="auto" w:fill="auto"/>
          </w:tcPr>
          <w:p w14:paraId="2F596DBB" w14:textId="0066D5FC"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30.9 (500)</w:t>
            </w:r>
          </w:p>
        </w:tc>
      </w:tr>
      <w:tr w:rsidR="00F374DD" w:rsidRPr="00AB4A23" w14:paraId="5F57007E"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6CCBF9EF" w14:textId="21582D74" w:rsidR="00F374DD" w:rsidRPr="00AB4A23" w:rsidRDefault="00F374DD" w:rsidP="6EC053A5">
            <w:pPr>
              <w:rPr>
                <w:b w:val="0"/>
                <w:bCs w:val="0"/>
                <w:sz w:val="18"/>
                <w:szCs w:val="18"/>
              </w:rPr>
            </w:pPr>
            <w:r w:rsidRPr="00AB4A23">
              <w:rPr>
                <w:b w:val="0"/>
                <w:bCs w:val="0"/>
                <w:sz w:val="18"/>
                <w:szCs w:val="18"/>
              </w:rPr>
              <w:t>Higher education</w:t>
            </w:r>
            <w:r w:rsidR="41ACB3F4" w:rsidRPr="00AB4A23">
              <w:rPr>
                <w:b w:val="0"/>
                <w:bCs w:val="0"/>
                <w:sz w:val="18"/>
                <w:szCs w:val="18"/>
                <w:vertAlign w:val="superscript"/>
              </w:rPr>
              <w:t xml:space="preserve"> </w:t>
            </w:r>
            <w:r w:rsidR="7F4CA4E4" w:rsidRPr="00AB4A23">
              <w:rPr>
                <w:b w:val="0"/>
                <w:bCs w:val="0"/>
                <w:sz w:val="18"/>
                <w:szCs w:val="18"/>
                <w:vertAlign w:val="superscript"/>
              </w:rPr>
              <w:t>a</w:t>
            </w:r>
          </w:p>
        </w:tc>
        <w:tc>
          <w:tcPr>
            <w:tcW w:w="1855" w:type="dxa"/>
            <w:tcBorders>
              <w:top w:val="nil"/>
              <w:left w:val="nil"/>
              <w:bottom w:val="nil"/>
              <w:right w:val="nil"/>
            </w:tcBorders>
            <w:shd w:val="clear" w:color="auto" w:fill="auto"/>
          </w:tcPr>
          <w:p w14:paraId="684047D3" w14:textId="4928C22E" w:rsidR="00F374DD" w:rsidRPr="00AB4A23" w:rsidRDefault="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9655F3" w:rsidRPr="00AB4A23">
              <w:rPr>
                <w:sz w:val="18"/>
                <w:szCs w:val="18"/>
              </w:rPr>
              <w:t>5.6 (79)</w:t>
            </w:r>
          </w:p>
        </w:tc>
        <w:tc>
          <w:tcPr>
            <w:tcW w:w="1998" w:type="dxa"/>
            <w:tcBorders>
              <w:top w:val="nil"/>
              <w:left w:val="nil"/>
              <w:bottom w:val="nil"/>
              <w:right w:val="nil"/>
            </w:tcBorders>
            <w:shd w:val="clear" w:color="auto" w:fill="auto"/>
          </w:tcPr>
          <w:p w14:paraId="05104931" w14:textId="3BAE29DD" w:rsidR="00F374DD" w:rsidRPr="00AB4A23" w:rsidRDefault="009655F3"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19.7 (43)</w:t>
            </w:r>
          </w:p>
        </w:tc>
        <w:tc>
          <w:tcPr>
            <w:tcW w:w="1234" w:type="dxa"/>
            <w:tcBorders>
              <w:top w:val="nil"/>
              <w:left w:val="nil"/>
              <w:bottom w:val="nil"/>
              <w:right w:val="nil"/>
            </w:tcBorders>
            <w:shd w:val="clear" w:color="auto" w:fill="auto"/>
          </w:tcPr>
          <w:p w14:paraId="5CD4809D" w14:textId="2388E43F" w:rsidR="00F374DD" w:rsidRPr="00AB4A23" w:rsidRDefault="009655F3"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7.5 (122)</w:t>
            </w:r>
          </w:p>
        </w:tc>
      </w:tr>
      <w:tr w:rsidR="00F374DD" w:rsidRPr="00AB4A23" w14:paraId="35AB2F82"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4A99BF4D" w14:textId="47DA4AEC" w:rsidR="00F374DD" w:rsidRPr="00AB4A23" w:rsidRDefault="00F374DD" w:rsidP="6EC053A5">
            <w:pPr>
              <w:rPr>
                <w:b w:val="0"/>
                <w:bCs w:val="0"/>
                <w:sz w:val="18"/>
                <w:szCs w:val="18"/>
              </w:rPr>
            </w:pPr>
            <w:r w:rsidRPr="00AB4A23">
              <w:rPr>
                <w:b w:val="0"/>
                <w:bCs w:val="0"/>
                <w:sz w:val="18"/>
                <w:szCs w:val="18"/>
              </w:rPr>
              <w:t>Highest wealth quintile</w:t>
            </w:r>
            <w:r w:rsidR="41D75A68" w:rsidRPr="00AB4A23">
              <w:rPr>
                <w:b w:val="0"/>
                <w:bCs w:val="0"/>
                <w:sz w:val="18"/>
                <w:szCs w:val="18"/>
                <w:vertAlign w:val="superscript"/>
              </w:rPr>
              <w:t xml:space="preserve"> </w:t>
            </w:r>
            <w:r w:rsidR="49E3B92E" w:rsidRPr="00AB4A23">
              <w:rPr>
                <w:b w:val="0"/>
                <w:bCs w:val="0"/>
                <w:sz w:val="18"/>
                <w:szCs w:val="18"/>
                <w:vertAlign w:val="superscript"/>
              </w:rPr>
              <w:t>a</w:t>
            </w:r>
          </w:p>
        </w:tc>
        <w:tc>
          <w:tcPr>
            <w:tcW w:w="1855" w:type="dxa"/>
            <w:tcBorders>
              <w:top w:val="nil"/>
              <w:left w:val="nil"/>
              <w:bottom w:val="nil"/>
              <w:right w:val="nil"/>
            </w:tcBorders>
            <w:shd w:val="clear" w:color="auto" w:fill="auto"/>
          </w:tcPr>
          <w:p w14:paraId="074CCD69" w14:textId="300A2D68"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22.6 (316)</w:t>
            </w:r>
          </w:p>
        </w:tc>
        <w:tc>
          <w:tcPr>
            <w:tcW w:w="1998" w:type="dxa"/>
            <w:tcBorders>
              <w:top w:val="nil"/>
              <w:left w:val="nil"/>
              <w:bottom w:val="nil"/>
              <w:right w:val="nil"/>
            </w:tcBorders>
            <w:shd w:val="clear" w:color="auto" w:fill="auto"/>
          </w:tcPr>
          <w:p w14:paraId="2870DFDB" w14:textId="669044BB"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35.6 (78)</w:t>
            </w:r>
          </w:p>
        </w:tc>
        <w:tc>
          <w:tcPr>
            <w:tcW w:w="1234" w:type="dxa"/>
            <w:tcBorders>
              <w:top w:val="nil"/>
              <w:left w:val="nil"/>
              <w:bottom w:val="nil"/>
              <w:right w:val="nil"/>
            </w:tcBorders>
            <w:shd w:val="clear" w:color="auto" w:fill="auto"/>
          </w:tcPr>
          <w:p w14:paraId="0D489C91" w14:textId="05A2D831"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24.3 (394)</w:t>
            </w:r>
          </w:p>
        </w:tc>
      </w:tr>
      <w:tr w:rsidR="00F374DD" w:rsidRPr="00AB4A23" w14:paraId="7EC4C3BD"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034A56FC" w14:textId="1F74470E" w:rsidR="00F374DD" w:rsidRPr="00AB4A23" w:rsidRDefault="00F374DD" w:rsidP="00F374DD">
            <w:pPr>
              <w:rPr>
                <w:b w:val="0"/>
                <w:sz w:val="18"/>
                <w:szCs w:val="18"/>
              </w:rPr>
            </w:pPr>
            <w:r w:rsidRPr="00AB4A23">
              <w:rPr>
                <w:b w:val="0"/>
                <w:sz w:val="18"/>
                <w:szCs w:val="18"/>
              </w:rPr>
              <w:t>Currently working</w:t>
            </w:r>
          </w:p>
        </w:tc>
        <w:tc>
          <w:tcPr>
            <w:tcW w:w="1855" w:type="dxa"/>
            <w:tcBorders>
              <w:top w:val="nil"/>
              <w:left w:val="nil"/>
              <w:bottom w:val="nil"/>
              <w:right w:val="nil"/>
            </w:tcBorders>
            <w:shd w:val="clear" w:color="auto" w:fill="auto"/>
          </w:tcPr>
          <w:p w14:paraId="55F7C355" w14:textId="29A6EB5D"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68.2 (953)</w:t>
            </w:r>
          </w:p>
        </w:tc>
        <w:tc>
          <w:tcPr>
            <w:tcW w:w="1998" w:type="dxa"/>
            <w:tcBorders>
              <w:top w:val="nil"/>
              <w:left w:val="nil"/>
              <w:bottom w:val="nil"/>
              <w:right w:val="nil"/>
            </w:tcBorders>
            <w:shd w:val="clear" w:color="auto" w:fill="auto"/>
          </w:tcPr>
          <w:p w14:paraId="1D0D8028" w14:textId="0F1AE957"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74.8 (164)</w:t>
            </w:r>
          </w:p>
        </w:tc>
        <w:tc>
          <w:tcPr>
            <w:tcW w:w="1234" w:type="dxa"/>
            <w:tcBorders>
              <w:top w:val="nil"/>
              <w:left w:val="nil"/>
              <w:bottom w:val="nil"/>
              <w:right w:val="nil"/>
            </w:tcBorders>
            <w:shd w:val="clear" w:color="auto" w:fill="auto"/>
          </w:tcPr>
          <w:p w14:paraId="29FA34B5" w14:textId="6365125F"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69.1 (1,117)</w:t>
            </w:r>
          </w:p>
        </w:tc>
      </w:tr>
      <w:tr w:rsidR="00F374DD" w:rsidRPr="00AB4A23" w14:paraId="7324E047"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5D962E82" w14:textId="75ADB715" w:rsidR="00F374DD" w:rsidRPr="00AB4A23" w:rsidRDefault="00F374DD" w:rsidP="6EC053A5">
            <w:pPr>
              <w:rPr>
                <w:b w:val="0"/>
                <w:bCs w:val="0"/>
                <w:sz w:val="18"/>
                <w:szCs w:val="18"/>
              </w:rPr>
            </w:pPr>
            <w:r w:rsidRPr="00AB4A23">
              <w:rPr>
                <w:b w:val="0"/>
                <w:bCs w:val="0"/>
                <w:sz w:val="18"/>
                <w:szCs w:val="18"/>
              </w:rPr>
              <w:t>In professional or managerial employment</w:t>
            </w:r>
            <w:r w:rsidR="4999FE8F" w:rsidRPr="00AB4A23">
              <w:rPr>
                <w:b w:val="0"/>
                <w:bCs w:val="0"/>
                <w:sz w:val="18"/>
                <w:szCs w:val="18"/>
                <w:vertAlign w:val="superscript"/>
              </w:rPr>
              <w:t xml:space="preserve"> a</w:t>
            </w:r>
          </w:p>
        </w:tc>
        <w:tc>
          <w:tcPr>
            <w:tcW w:w="1855" w:type="dxa"/>
            <w:tcBorders>
              <w:top w:val="nil"/>
              <w:left w:val="nil"/>
              <w:bottom w:val="nil"/>
              <w:right w:val="nil"/>
            </w:tcBorders>
            <w:shd w:val="clear" w:color="auto" w:fill="auto"/>
          </w:tcPr>
          <w:p w14:paraId="65830D03" w14:textId="201F94C3"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4.7 (65)</w:t>
            </w:r>
          </w:p>
        </w:tc>
        <w:tc>
          <w:tcPr>
            <w:tcW w:w="1998" w:type="dxa"/>
            <w:tcBorders>
              <w:top w:val="nil"/>
              <w:left w:val="nil"/>
              <w:bottom w:val="nil"/>
              <w:right w:val="nil"/>
            </w:tcBorders>
            <w:shd w:val="clear" w:color="auto" w:fill="auto"/>
          </w:tcPr>
          <w:p w14:paraId="6F97197C" w14:textId="605B5D81"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13.0 (29)</w:t>
            </w:r>
          </w:p>
        </w:tc>
        <w:tc>
          <w:tcPr>
            <w:tcW w:w="1234" w:type="dxa"/>
            <w:tcBorders>
              <w:top w:val="nil"/>
              <w:left w:val="nil"/>
              <w:bottom w:val="nil"/>
              <w:right w:val="nil"/>
            </w:tcBorders>
            <w:shd w:val="clear" w:color="auto" w:fill="auto"/>
          </w:tcPr>
          <w:p w14:paraId="12B98B62" w14:textId="2CF1DC0A"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5.8 (94)</w:t>
            </w:r>
          </w:p>
        </w:tc>
      </w:tr>
      <w:tr w:rsidR="00F374DD" w:rsidRPr="00AB4A23" w14:paraId="723ED305" w14:textId="77777777" w:rsidTr="42171E9E">
        <w:trPr>
          <w:trHeight w:val="234"/>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single" w:sz="4" w:space="0" w:color="999999"/>
              <w:right w:val="nil"/>
            </w:tcBorders>
            <w:shd w:val="clear" w:color="auto" w:fill="auto"/>
          </w:tcPr>
          <w:p w14:paraId="3D961F78" w14:textId="4101945F" w:rsidR="00F374DD" w:rsidRPr="00AB4A23" w:rsidRDefault="00F374DD" w:rsidP="6EC053A5">
            <w:pPr>
              <w:rPr>
                <w:b w:val="0"/>
                <w:bCs w:val="0"/>
                <w:sz w:val="18"/>
                <w:szCs w:val="18"/>
              </w:rPr>
            </w:pPr>
            <w:r w:rsidRPr="00AB4A23">
              <w:rPr>
                <w:b w:val="0"/>
                <w:bCs w:val="0"/>
                <w:sz w:val="18"/>
                <w:szCs w:val="18"/>
              </w:rPr>
              <w:t>Ever had sexual intercourse</w:t>
            </w:r>
            <w:r w:rsidR="285CE1E4" w:rsidRPr="00AB4A23">
              <w:rPr>
                <w:b w:val="0"/>
                <w:bCs w:val="0"/>
                <w:sz w:val="18"/>
                <w:szCs w:val="18"/>
                <w:vertAlign w:val="superscript"/>
              </w:rPr>
              <w:t xml:space="preserve"> </w:t>
            </w:r>
            <w:r w:rsidR="501E11D5" w:rsidRPr="00AB4A23">
              <w:rPr>
                <w:b w:val="0"/>
                <w:bCs w:val="0"/>
                <w:sz w:val="18"/>
                <w:szCs w:val="18"/>
                <w:vertAlign w:val="superscript"/>
              </w:rPr>
              <w:t>a</w:t>
            </w:r>
          </w:p>
        </w:tc>
        <w:tc>
          <w:tcPr>
            <w:tcW w:w="0" w:type="dxa"/>
            <w:tcBorders>
              <w:top w:val="nil"/>
              <w:left w:val="nil"/>
              <w:bottom w:val="single" w:sz="4" w:space="0" w:color="7F7F7F" w:themeColor="text1" w:themeTint="80"/>
              <w:right w:val="nil"/>
            </w:tcBorders>
            <w:shd w:val="clear" w:color="auto" w:fill="auto"/>
          </w:tcPr>
          <w:p w14:paraId="43421476" w14:textId="12613146"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100.0 (1,399)</w:t>
            </w:r>
          </w:p>
        </w:tc>
        <w:tc>
          <w:tcPr>
            <w:tcW w:w="0" w:type="dxa"/>
            <w:tcBorders>
              <w:top w:val="nil"/>
              <w:left w:val="nil"/>
              <w:bottom w:val="single" w:sz="4" w:space="0" w:color="7F7F7F" w:themeColor="text1" w:themeTint="80"/>
              <w:right w:val="nil"/>
            </w:tcBorders>
            <w:shd w:val="clear" w:color="auto" w:fill="auto"/>
          </w:tcPr>
          <w:p w14:paraId="5917D2D9" w14:textId="62C38DA5"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0.0 (0)</w:t>
            </w:r>
          </w:p>
        </w:tc>
        <w:tc>
          <w:tcPr>
            <w:tcW w:w="0" w:type="dxa"/>
            <w:tcBorders>
              <w:top w:val="nil"/>
              <w:left w:val="nil"/>
              <w:bottom w:val="single" w:sz="4" w:space="0" w:color="7F7F7F" w:themeColor="text1" w:themeTint="80"/>
              <w:right w:val="nil"/>
            </w:tcBorders>
            <w:shd w:val="clear" w:color="auto" w:fill="auto"/>
          </w:tcPr>
          <w:p w14:paraId="0200C2D3" w14:textId="0D7BD9F4"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86.5 (1,399)</w:t>
            </w:r>
          </w:p>
        </w:tc>
      </w:tr>
    </w:tbl>
    <w:p w14:paraId="595ED255" w14:textId="10B70371" w:rsidR="00B65035" w:rsidRPr="00AB4A23" w:rsidRDefault="0286DCA5" w:rsidP="42171E9E">
      <w:pPr>
        <w:spacing w:before="120"/>
        <w:rPr>
          <w:sz w:val="16"/>
          <w:szCs w:val="16"/>
        </w:rPr>
      </w:pPr>
      <w:r w:rsidRPr="00AB4A23">
        <w:rPr>
          <w:sz w:val="16"/>
          <w:szCs w:val="16"/>
          <w:vertAlign w:val="superscript"/>
        </w:rPr>
        <w:t>a</w:t>
      </w:r>
      <w:r w:rsidR="00B65035" w:rsidRPr="00AB4A23">
        <w:rPr>
          <w:sz w:val="16"/>
          <w:szCs w:val="16"/>
        </w:rPr>
        <w:t>p-value for chi-sq</w:t>
      </w:r>
      <w:r w:rsidR="00E03737" w:rsidRPr="00AB4A23">
        <w:rPr>
          <w:sz w:val="16"/>
          <w:szCs w:val="16"/>
        </w:rPr>
        <w:t>uare</w:t>
      </w:r>
      <w:r w:rsidR="00B65035" w:rsidRPr="00AB4A23">
        <w:rPr>
          <w:sz w:val="16"/>
          <w:szCs w:val="16"/>
        </w:rPr>
        <w:t xml:space="preserve"> test </w:t>
      </w:r>
      <w:r w:rsidR="00545367" w:rsidRPr="00AB4A23">
        <w:rPr>
          <w:sz w:val="16"/>
          <w:szCs w:val="16"/>
        </w:rPr>
        <w:t>≤</w:t>
      </w:r>
      <w:r w:rsidR="00B65035" w:rsidRPr="00AB4A23">
        <w:rPr>
          <w:sz w:val="16"/>
          <w:szCs w:val="16"/>
        </w:rPr>
        <w:t>0.001</w:t>
      </w:r>
    </w:p>
    <w:p w14:paraId="78DA4D62" w14:textId="77777777" w:rsidR="00B65035" w:rsidRPr="00AB4A23" w:rsidRDefault="00B65035" w:rsidP="00B65035">
      <w:pPr>
        <w:rPr>
          <w:sz w:val="20"/>
          <w:szCs w:val="20"/>
        </w:rPr>
      </w:pPr>
    </w:p>
    <w:p w14:paraId="5B9A8404" w14:textId="3F090DAF" w:rsidR="00CF2DCE" w:rsidRPr="00AB4A23" w:rsidRDefault="007D54D9" w:rsidP="005A26BB">
      <w:pPr>
        <w:rPr>
          <w:sz w:val="20"/>
          <w:szCs w:val="20"/>
        </w:rPr>
      </w:pPr>
      <w:r w:rsidRPr="00AB4A23">
        <w:rPr>
          <w:sz w:val="20"/>
          <w:szCs w:val="20"/>
        </w:rPr>
        <w:t xml:space="preserve">Data </w:t>
      </w:r>
      <w:r w:rsidR="00F374DD" w:rsidRPr="00AB4A23">
        <w:rPr>
          <w:sz w:val="20"/>
          <w:szCs w:val="20"/>
        </w:rPr>
        <w:t>Source: Myanmar Demographic and Health Survey, 2015-2016 (</w:t>
      </w:r>
      <w:r w:rsidR="00146433" w:rsidRPr="00AB4A23">
        <w:rPr>
          <w:sz w:val="20"/>
          <w:szCs w:val="20"/>
        </w:rPr>
        <w:t>Ministry of Health and Sports and ICF</w:t>
      </w:r>
      <w:r w:rsidR="00F374DD" w:rsidRPr="00AB4A23">
        <w:rPr>
          <w:sz w:val="20"/>
          <w:szCs w:val="20"/>
        </w:rPr>
        <w:t xml:space="preserve"> 2017)</w:t>
      </w:r>
    </w:p>
    <w:p w14:paraId="4235392B" w14:textId="77777777" w:rsidR="00F374DD" w:rsidRPr="00AB4A23" w:rsidRDefault="00F374DD">
      <w:r w:rsidRPr="00AB4A23">
        <w:br w:type="page"/>
      </w:r>
    </w:p>
    <w:p w14:paraId="5CB49651" w14:textId="4C11AFDE" w:rsidR="00512E85" w:rsidRPr="00AB4A23" w:rsidRDefault="00F374DD" w:rsidP="000B3062">
      <w:pPr>
        <w:pStyle w:val="Tabletitle"/>
      </w:pPr>
      <w:r w:rsidRPr="003C06FB">
        <w:rPr>
          <w:highlight w:val="yellow"/>
        </w:rPr>
        <w:lastRenderedPageBreak/>
        <w:t xml:space="preserve">Table </w:t>
      </w:r>
      <w:r w:rsidR="30F9B759" w:rsidRPr="003C06FB">
        <w:rPr>
          <w:highlight w:val="yellow"/>
        </w:rPr>
        <w:t>3</w:t>
      </w:r>
      <w:r w:rsidRPr="003C06FB">
        <w:rPr>
          <w:highlight w:val="yellow"/>
        </w:rPr>
        <w:t>b.</w:t>
      </w:r>
      <w:r w:rsidRPr="00AB4A23">
        <w:t xml:space="preserve"> </w:t>
      </w:r>
      <w:r w:rsidR="00D04F7F" w:rsidRPr="00AB4A23">
        <w:t>Percent</w:t>
      </w:r>
      <w:r w:rsidR="00E03737" w:rsidRPr="00AB4A23">
        <w:t>age</w:t>
      </w:r>
      <w:r w:rsidR="00D04F7F" w:rsidRPr="00AB4A23">
        <w:t xml:space="preserve"> of </w:t>
      </w:r>
      <w:r w:rsidRPr="00AB4A23">
        <w:t>men</w:t>
      </w:r>
      <w:r w:rsidR="00D04F7F" w:rsidRPr="00AB4A23">
        <w:t xml:space="preserve"> </w:t>
      </w:r>
      <w:r w:rsidR="00AB4A23">
        <w:t>with</w:t>
      </w:r>
      <w:r w:rsidR="00AB4A23" w:rsidRPr="00AB4A23">
        <w:t xml:space="preserve"> </w:t>
      </w:r>
      <w:r w:rsidR="00D04F7F" w:rsidRPr="00AB4A23">
        <w:t xml:space="preserve">key social and demographic characteristics, </w:t>
      </w:r>
      <w:r w:rsidR="005C7FBD" w:rsidRPr="00AB4A23">
        <w:t xml:space="preserve">and </w:t>
      </w:r>
      <w:r w:rsidR="00AB4A23">
        <w:t xml:space="preserve">within select </w:t>
      </w:r>
      <w:r w:rsidRPr="00AB4A23">
        <w:t>age cohort</w:t>
      </w:r>
      <w:r w:rsidR="00AB4A23">
        <w:t>s</w:t>
      </w:r>
      <w:r w:rsidR="00D04F7F" w:rsidRPr="00AB4A23">
        <w:t>,</w:t>
      </w:r>
      <w:r w:rsidR="00AB4A23">
        <w:t xml:space="preserve"> who are ever- and never-married,</w:t>
      </w:r>
      <w:r w:rsidRPr="00AB4A23">
        <w:t xml:space="preserve"> Myanmar 2015-2016</w:t>
      </w:r>
      <w:r w:rsidR="007D54D9" w:rsidRPr="00AB4A23">
        <w:t>,</w:t>
      </w:r>
      <w:r w:rsidR="00B3445E" w:rsidRPr="00AB4A23">
        <w:t xml:space="preserve"> </w:t>
      </w:r>
      <w:r w:rsidR="007D54D9" w:rsidRPr="00AB4A23">
        <w:t>% (n)</w:t>
      </w:r>
    </w:p>
    <w:tbl>
      <w:tblPr>
        <w:tblStyle w:val="GridTable1Light"/>
        <w:tblW w:w="9078" w:type="dxa"/>
        <w:tblLook w:val="04A0" w:firstRow="1" w:lastRow="0" w:firstColumn="1" w:lastColumn="0" w:noHBand="0" w:noVBand="1"/>
      </w:tblPr>
      <w:tblGrid>
        <w:gridCol w:w="3991"/>
        <w:gridCol w:w="1855"/>
        <w:gridCol w:w="1998"/>
        <w:gridCol w:w="1234"/>
      </w:tblGrid>
      <w:tr w:rsidR="000C1AE0" w:rsidRPr="00AB4A23" w14:paraId="3522F4CE" w14:textId="77777777" w:rsidTr="42171E9E">
        <w:trPr>
          <w:cnfStyle w:val="100000000000" w:firstRow="1" w:lastRow="0" w:firstColumn="0" w:lastColumn="0" w:oddVBand="0" w:evenVBand="0" w:oddHBand="0"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3991" w:type="dxa"/>
            <w:tcBorders>
              <w:left w:val="nil"/>
              <w:bottom w:val="single" w:sz="4" w:space="0" w:color="999999"/>
              <w:right w:val="nil"/>
            </w:tcBorders>
            <w:shd w:val="clear" w:color="auto" w:fill="auto"/>
          </w:tcPr>
          <w:p w14:paraId="182EAC20" w14:textId="5223E549" w:rsidR="000C1AE0" w:rsidRPr="00AB4A23" w:rsidRDefault="00F374DD" w:rsidP="007163B5">
            <w:pPr>
              <w:rPr>
                <w:sz w:val="18"/>
                <w:szCs w:val="18"/>
              </w:rPr>
            </w:pPr>
            <w:r w:rsidRPr="00AB4A23">
              <w:rPr>
                <w:sz w:val="18"/>
                <w:szCs w:val="18"/>
              </w:rPr>
              <w:t>Age in 2015-2016</w:t>
            </w:r>
          </w:p>
        </w:tc>
        <w:tc>
          <w:tcPr>
            <w:tcW w:w="1855" w:type="dxa"/>
            <w:tcBorders>
              <w:left w:val="nil"/>
              <w:bottom w:val="single" w:sz="4" w:space="0" w:color="999999"/>
              <w:right w:val="nil"/>
            </w:tcBorders>
            <w:shd w:val="clear" w:color="auto" w:fill="auto"/>
          </w:tcPr>
          <w:p w14:paraId="518E1360" w14:textId="35E199E3" w:rsidR="000C1AE0" w:rsidRPr="00AB4A23" w:rsidRDefault="000C1AE0" w:rsidP="007163B5">
            <w:pPr>
              <w:cnfStyle w:val="100000000000" w:firstRow="1" w:lastRow="0" w:firstColumn="0" w:lastColumn="0" w:oddVBand="0" w:evenVBand="0" w:oddHBand="0" w:evenHBand="0" w:firstRowFirstColumn="0" w:firstRowLastColumn="0" w:lastRowFirstColumn="0" w:lastRowLastColumn="0"/>
              <w:rPr>
                <w:sz w:val="18"/>
                <w:szCs w:val="18"/>
              </w:rPr>
            </w:pPr>
            <w:r w:rsidRPr="00AB4A23">
              <w:rPr>
                <w:sz w:val="18"/>
                <w:szCs w:val="18"/>
              </w:rPr>
              <w:t>Ever</w:t>
            </w:r>
            <w:r w:rsidR="006247F2" w:rsidRPr="00AB4A23">
              <w:rPr>
                <w:sz w:val="18"/>
                <w:szCs w:val="18"/>
              </w:rPr>
              <w:t>-m</w:t>
            </w:r>
            <w:r w:rsidRPr="00AB4A23">
              <w:rPr>
                <w:sz w:val="18"/>
                <w:szCs w:val="18"/>
              </w:rPr>
              <w:t>arried</w:t>
            </w:r>
          </w:p>
        </w:tc>
        <w:tc>
          <w:tcPr>
            <w:tcW w:w="1998" w:type="dxa"/>
            <w:tcBorders>
              <w:left w:val="nil"/>
              <w:bottom w:val="single" w:sz="4" w:space="0" w:color="999999"/>
              <w:right w:val="nil"/>
            </w:tcBorders>
            <w:shd w:val="clear" w:color="auto" w:fill="auto"/>
          </w:tcPr>
          <w:p w14:paraId="528A3C37" w14:textId="2AD96ECF" w:rsidR="000C1AE0" w:rsidRPr="00AB4A23" w:rsidRDefault="000C1AE0" w:rsidP="007163B5">
            <w:pPr>
              <w:cnfStyle w:val="100000000000" w:firstRow="1" w:lastRow="0" w:firstColumn="0" w:lastColumn="0" w:oddVBand="0" w:evenVBand="0" w:oddHBand="0" w:evenHBand="0" w:firstRowFirstColumn="0" w:firstRowLastColumn="0" w:lastRowFirstColumn="0" w:lastRowLastColumn="0"/>
              <w:rPr>
                <w:sz w:val="18"/>
                <w:szCs w:val="18"/>
              </w:rPr>
            </w:pPr>
            <w:r w:rsidRPr="00AB4A23">
              <w:rPr>
                <w:sz w:val="18"/>
                <w:szCs w:val="18"/>
              </w:rPr>
              <w:t>Never</w:t>
            </w:r>
            <w:r w:rsidR="006247F2" w:rsidRPr="00AB4A23">
              <w:rPr>
                <w:sz w:val="18"/>
                <w:szCs w:val="18"/>
              </w:rPr>
              <w:t>-m</w:t>
            </w:r>
            <w:r w:rsidRPr="00AB4A23">
              <w:rPr>
                <w:sz w:val="18"/>
                <w:szCs w:val="18"/>
              </w:rPr>
              <w:t>arried</w:t>
            </w:r>
          </w:p>
        </w:tc>
        <w:tc>
          <w:tcPr>
            <w:tcW w:w="1234" w:type="dxa"/>
            <w:tcBorders>
              <w:left w:val="nil"/>
              <w:bottom w:val="single" w:sz="4" w:space="0" w:color="999999"/>
              <w:right w:val="nil"/>
            </w:tcBorders>
            <w:shd w:val="clear" w:color="auto" w:fill="auto"/>
          </w:tcPr>
          <w:p w14:paraId="1C34EADE" w14:textId="77777777" w:rsidR="000C1AE0" w:rsidRPr="00AB4A23" w:rsidRDefault="000C1AE0" w:rsidP="007163B5">
            <w:pPr>
              <w:cnfStyle w:val="100000000000" w:firstRow="1" w:lastRow="0" w:firstColumn="0" w:lastColumn="0" w:oddVBand="0" w:evenVBand="0" w:oddHBand="0" w:evenHBand="0" w:firstRowFirstColumn="0" w:firstRowLastColumn="0" w:lastRowFirstColumn="0" w:lastRowLastColumn="0"/>
              <w:rPr>
                <w:sz w:val="18"/>
                <w:szCs w:val="18"/>
              </w:rPr>
            </w:pPr>
            <w:r w:rsidRPr="00AB4A23">
              <w:rPr>
                <w:sz w:val="18"/>
                <w:szCs w:val="18"/>
              </w:rPr>
              <w:t>Total</w:t>
            </w:r>
          </w:p>
        </w:tc>
      </w:tr>
      <w:tr w:rsidR="000C1AE0" w:rsidRPr="00AB4A23" w14:paraId="4BD07646"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left w:val="nil"/>
              <w:bottom w:val="single" w:sz="4" w:space="0" w:color="999999"/>
              <w:right w:val="nil"/>
            </w:tcBorders>
            <w:shd w:val="clear" w:color="auto" w:fill="auto"/>
          </w:tcPr>
          <w:p w14:paraId="1916587B" w14:textId="727CD0C4" w:rsidR="000C1AE0" w:rsidRPr="00AB4A23" w:rsidRDefault="000C1AE0">
            <w:pPr>
              <w:rPr>
                <w:sz w:val="18"/>
                <w:szCs w:val="18"/>
              </w:rPr>
            </w:pPr>
            <w:r w:rsidRPr="00AB4A23">
              <w:rPr>
                <w:sz w:val="18"/>
                <w:szCs w:val="18"/>
              </w:rPr>
              <w:t xml:space="preserve">25-29 </w:t>
            </w:r>
            <w:r w:rsidR="00F374DD" w:rsidRPr="00AB4A23">
              <w:rPr>
                <w:sz w:val="18"/>
                <w:szCs w:val="18"/>
              </w:rPr>
              <w:t>years</w:t>
            </w:r>
          </w:p>
        </w:tc>
        <w:tc>
          <w:tcPr>
            <w:tcW w:w="1855" w:type="dxa"/>
            <w:tcBorders>
              <w:left w:val="nil"/>
              <w:bottom w:val="single" w:sz="4" w:space="0" w:color="999999"/>
              <w:right w:val="nil"/>
            </w:tcBorders>
            <w:shd w:val="clear" w:color="auto" w:fill="auto"/>
          </w:tcPr>
          <w:p w14:paraId="094D31C4" w14:textId="55077307" w:rsidR="000C1AE0" w:rsidRPr="00AB4A23" w:rsidRDefault="000C1AE0" w:rsidP="00FB52A5">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n</w:t>
            </w:r>
            <w:r w:rsidRPr="00AB4A23">
              <w:rPr>
                <w:b/>
                <w:sz w:val="18"/>
                <w:szCs w:val="18"/>
              </w:rPr>
              <w:t xml:space="preserve"> = </w:t>
            </w:r>
            <w:r w:rsidR="00FB52A5" w:rsidRPr="00AB4A23">
              <w:rPr>
                <w:b/>
                <w:sz w:val="18"/>
                <w:szCs w:val="18"/>
              </w:rPr>
              <w:t>464</w:t>
            </w:r>
          </w:p>
        </w:tc>
        <w:tc>
          <w:tcPr>
            <w:tcW w:w="1998" w:type="dxa"/>
            <w:tcBorders>
              <w:left w:val="nil"/>
              <w:bottom w:val="single" w:sz="4" w:space="0" w:color="999999"/>
              <w:right w:val="nil"/>
            </w:tcBorders>
            <w:shd w:val="clear" w:color="auto" w:fill="auto"/>
          </w:tcPr>
          <w:p w14:paraId="717ADFD3" w14:textId="5A2357F1" w:rsidR="000C1AE0" w:rsidRPr="00AB4A23" w:rsidRDefault="000C1AE0" w:rsidP="007163B5">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n</w:t>
            </w:r>
            <w:r w:rsidR="00FB52A5" w:rsidRPr="00AB4A23">
              <w:rPr>
                <w:b/>
                <w:sz w:val="18"/>
                <w:szCs w:val="18"/>
              </w:rPr>
              <w:t xml:space="preserve"> = 2</w:t>
            </w:r>
            <w:r w:rsidRPr="00AB4A23">
              <w:rPr>
                <w:b/>
                <w:sz w:val="18"/>
                <w:szCs w:val="18"/>
              </w:rPr>
              <w:t>13</w:t>
            </w:r>
          </w:p>
        </w:tc>
        <w:tc>
          <w:tcPr>
            <w:tcW w:w="1234" w:type="dxa"/>
            <w:tcBorders>
              <w:left w:val="nil"/>
              <w:bottom w:val="single" w:sz="4" w:space="0" w:color="999999"/>
              <w:right w:val="nil"/>
            </w:tcBorders>
            <w:shd w:val="clear" w:color="auto" w:fill="auto"/>
          </w:tcPr>
          <w:p w14:paraId="11E9A7A1" w14:textId="0307980E" w:rsidR="000C1AE0" w:rsidRPr="00AB4A23" w:rsidRDefault="000C1AE0" w:rsidP="00FB52A5">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n</w:t>
            </w:r>
            <w:r w:rsidRPr="00AB4A23">
              <w:rPr>
                <w:b/>
                <w:sz w:val="18"/>
                <w:szCs w:val="18"/>
              </w:rPr>
              <w:t xml:space="preserve"> = </w:t>
            </w:r>
            <w:r w:rsidR="00FB52A5" w:rsidRPr="00AB4A23">
              <w:rPr>
                <w:b/>
                <w:sz w:val="18"/>
                <w:szCs w:val="18"/>
              </w:rPr>
              <w:t>677</w:t>
            </w:r>
          </w:p>
        </w:tc>
      </w:tr>
      <w:tr w:rsidR="00F374DD" w:rsidRPr="00AB4A23" w14:paraId="5F2A9299"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left w:val="nil"/>
              <w:bottom w:val="nil"/>
              <w:right w:val="nil"/>
            </w:tcBorders>
            <w:shd w:val="clear" w:color="auto" w:fill="auto"/>
          </w:tcPr>
          <w:p w14:paraId="17562A68" w14:textId="61AE7741" w:rsidR="00F374DD" w:rsidRPr="00AB4A23" w:rsidRDefault="00F374DD" w:rsidP="6EC053A5">
            <w:pPr>
              <w:rPr>
                <w:sz w:val="16"/>
                <w:szCs w:val="16"/>
              </w:rPr>
            </w:pPr>
            <w:r w:rsidRPr="00AB4A23">
              <w:rPr>
                <w:b w:val="0"/>
                <w:bCs w:val="0"/>
                <w:sz w:val="18"/>
                <w:szCs w:val="18"/>
              </w:rPr>
              <w:t>Urban</w:t>
            </w:r>
            <w:r w:rsidR="2A61237D" w:rsidRPr="00AB4A23">
              <w:rPr>
                <w:sz w:val="16"/>
                <w:szCs w:val="16"/>
                <w:vertAlign w:val="superscript"/>
              </w:rPr>
              <w:t xml:space="preserve"> b</w:t>
            </w:r>
          </w:p>
        </w:tc>
        <w:tc>
          <w:tcPr>
            <w:tcW w:w="1855" w:type="dxa"/>
            <w:tcBorders>
              <w:left w:val="nil"/>
              <w:bottom w:val="nil"/>
              <w:right w:val="nil"/>
            </w:tcBorders>
            <w:shd w:val="clear" w:color="auto" w:fill="auto"/>
          </w:tcPr>
          <w:p w14:paraId="5FA59C7D" w14:textId="3F2685A0"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26.8 (124)</w:t>
            </w:r>
          </w:p>
        </w:tc>
        <w:tc>
          <w:tcPr>
            <w:tcW w:w="1998" w:type="dxa"/>
            <w:tcBorders>
              <w:left w:val="nil"/>
              <w:bottom w:val="nil"/>
              <w:right w:val="nil"/>
            </w:tcBorders>
            <w:shd w:val="clear" w:color="auto" w:fill="auto"/>
          </w:tcPr>
          <w:p w14:paraId="6F7156E7" w14:textId="4C317330"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38.0 (81)</w:t>
            </w:r>
          </w:p>
        </w:tc>
        <w:tc>
          <w:tcPr>
            <w:tcW w:w="1234" w:type="dxa"/>
            <w:tcBorders>
              <w:left w:val="nil"/>
              <w:bottom w:val="nil"/>
              <w:right w:val="nil"/>
            </w:tcBorders>
            <w:shd w:val="clear" w:color="auto" w:fill="auto"/>
          </w:tcPr>
          <w:p w14:paraId="6A1FC08B" w14:textId="0A0FE86E"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30.3 (205)</w:t>
            </w:r>
          </w:p>
        </w:tc>
      </w:tr>
      <w:tr w:rsidR="00F374DD" w:rsidRPr="00AB4A23" w14:paraId="44BC2B3B"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7F46EC51" w14:textId="6AC683FC" w:rsidR="00F374DD" w:rsidRPr="00AB4A23" w:rsidRDefault="00F374DD" w:rsidP="6EC053A5">
            <w:pPr>
              <w:rPr>
                <w:sz w:val="16"/>
                <w:szCs w:val="16"/>
              </w:rPr>
            </w:pPr>
            <w:r w:rsidRPr="00AB4A23">
              <w:rPr>
                <w:b w:val="0"/>
                <w:bCs w:val="0"/>
                <w:sz w:val="18"/>
                <w:szCs w:val="18"/>
              </w:rPr>
              <w:t>Higher education</w:t>
            </w:r>
            <w:r w:rsidR="6525E5A5" w:rsidRPr="00AB4A23">
              <w:rPr>
                <w:sz w:val="16"/>
                <w:szCs w:val="16"/>
                <w:vertAlign w:val="superscript"/>
              </w:rPr>
              <w:t xml:space="preserve"> a</w:t>
            </w:r>
          </w:p>
        </w:tc>
        <w:tc>
          <w:tcPr>
            <w:tcW w:w="1855" w:type="dxa"/>
            <w:tcBorders>
              <w:top w:val="nil"/>
              <w:left w:val="nil"/>
              <w:bottom w:val="nil"/>
              <w:right w:val="nil"/>
            </w:tcBorders>
            <w:shd w:val="clear" w:color="auto" w:fill="auto"/>
          </w:tcPr>
          <w:p w14:paraId="5EE4DF7A" w14:textId="2F1A6BFD"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8.5 (40)</w:t>
            </w:r>
          </w:p>
        </w:tc>
        <w:tc>
          <w:tcPr>
            <w:tcW w:w="1998" w:type="dxa"/>
            <w:tcBorders>
              <w:top w:val="nil"/>
              <w:left w:val="nil"/>
              <w:bottom w:val="nil"/>
              <w:right w:val="nil"/>
            </w:tcBorders>
            <w:shd w:val="clear" w:color="auto" w:fill="auto"/>
          </w:tcPr>
          <w:p w14:paraId="0D5E357F" w14:textId="1480CE63"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20.1 (43)</w:t>
            </w:r>
          </w:p>
        </w:tc>
        <w:tc>
          <w:tcPr>
            <w:tcW w:w="1234" w:type="dxa"/>
            <w:tcBorders>
              <w:top w:val="nil"/>
              <w:left w:val="nil"/>
              <w:bottom w:val="nil"/>
              <w:right w:val="nil"/>
            </w:tcBorders>
            <w:shd w:val="clear" w:color="auto" w:fill="auto"/>
          </w:tcPr>
          <w:p w14:paraId="72370B5F" w14:textId="6C50391B"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12.2 (8</w:t>
            </w:r>
            <w:r w:rsidR="006247F2" w:rsidRPr="00AB4A23">
              <w:rPr>
                <w:sz w:val="18"/>
                <w:szCs w:val="18"/>
              </w:rPr>
              <w:t>3</w:t>
            </w:r>
            <w:r w:rsidRPr="00AB4A23">
              <w:rPr>
                <w:sz w:val="18"/>
                <w:szCs w:val="18"/>
              </w:rPr>
              <w:t>)</w:t>
            </w:r>
          </w:p>
        </w:tc>
      </w:tr>
      <w:tr w:rsidR="00F374DD" w:rsidRPr="00AB4A23" w14:paraId="0A694E2F"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6F377066" w14:textId="65AA2C57" w:rsidR="00F374DD" w:rsidRPr="00AB4A23" w:rsidRDefault="00F374DD" w:rsidP="6EC053A5">
            <w:pPr>
              <w:rPr>
                <w:sz w:val="16"/>
                <w:szCs w:val="16"/>
              </w:rPr>
            </w:pPr>
            <w:r w:rsidRPr="00AB4A23">
              <w:rPr>
                <w:b w:val="0"/>
                <w:bCs w:val="0"/>
                <w:sz w:val="18"/>
                <w:szCs w:val="18"/>
              </w:rPr>
              <w:t>Highest wealth quintile</w:t>
            </w:r>
            <w:r w:rsidR="6288D6A7" w:rsidRPr="00AB4A23">
              <w:rPr>
                <w:sz w:val="16"/>
                <w:szCs w:val="16"/>
                <w:vertAlign w:val="superscript"/>
              </w:rPr>
              <w:t xml:space="preserve"> b</w:t>
            </w:r>
          </w:p>
        </w:tc>
        <w:tc>
          <w:tcPr>
            <w:tcW w:w="1855" w:type="dxa"/>
            <w:tcBorders>
              <w:top w:val="nil"/>
              <w:left w:val="nil"/>
              <w:bottom w:val="nil"/>
              <w:right w:val="nil"/>
            </w:tcBorders>
            <w:shd w:val="clear" w:color="auto" w:fill="auto"/>
          </w:tcPr>
          <w:p w14:paraId="3CDFDF7B" w14:textId="5812A85E"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17.6 (82)</w:t>
            </w:r>
          </w:p>
        </w:tc>
        <w:tc>
          <w:tcPr>
            <w:tcW w:w="1998" w:type="dxa"/>
            <w:tcBorders>
              <w:top w:val="nil"/>
              <w:left w:val="nil"/>
              <w:bottom w:val="nil"/>
              <w:right w:val="nil"/>
            </w:tcBorders>
            <w:shd w:val="clear" w:color="auto" w:fill="auto"/>
          </w:tcPr>
          <w:p w14:paraId="738D5735" w14:textId="0C26E601"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28.6 (61)</w:t>
            </w:r>
          </w:p>
        </w:tc>
        <w:tc>
          <w:tcPr>
            <w:tcW w:w="1234" w:type="dxa"/>
            <w:tcBorders>
              <w:top w:val="nil"/>
              <w:left w:val="nil"/>
              <w:bottom w:val="nil"/>
              <w:right w:val="nil"/>
            </w:tcBorders>
            <w:shd w:val="clear" w:color="auto" w:fill="auto"/>
          </w:tcPr>
          <w:p w14:paraId="1057912E" w14:textId="597C8469"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21.0 (143)</w:t>
            </w:r>
          </w:p>
        </w:tc>
      </w:tr>
      <w:tr w:rsidR="00F374DD" w:rsidRPr="00AB4A23" w14:paraId="762F9F36"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04E90498" w14:textId="46318DCF" w:rsidR="00F374DD" w:rsidRPr="00AB4A23" w:rsidRDefault="00F374DD" w:rsidP="6EC053A5">
            <w:pPr>
              <w:rPr>
                <w:sz w:val="16"/>
                <w:szCs w:val="16"/>
              </w:rPr>
            </w:pPr>
            <w:r w:rsidRPr="00AB4A23">
              <w:rPr>
                <w:b w:val="0"/>
                <w:bCs w:val="0"/>
                <w:sz w:val="18"/>
                <w:szCs w:val="18"/>
              </w:rPr>
              <w:t>Currently working</w:t>
            </w:r>
            <w:r w:rsidR="26F15EFA" w:rsidRPr="00AB4A23">
              <w:rPr>
                <w:sz w:val="16"/>
                <w:szCs w:val="16"/>
                <w:vertAlign w:val="superscript"/>
              </w:rPr>
              <w:t xml:space="preserve"> b</w:t>
            </w:r>
          </w:p>
        </w:tc>
        <w:tc>
          <w:tcPr>
            <w:tcW w:w="1855" w:type="dxa"/>
            <w:tcBorders>
              <w:top w:val="nil"/>
              <w:left w:val="nil"/>
              <w:bottom w:val="nil"/>
              <w:right w:val="nil"/>
            </w:tcBorders>
            <w:shd w:val="clear" w:color="auto" w:fill="auto"/>
          </w:tcPr>
          <w:p w14:paraId="7A61F270" w14:textId="3AD5578B"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97.3 (452)</w:t>
            </w:r>
          </w:p>
        </w:tc>
        <w:tc>
          <w:tcPr>
            <w:tcW w:w="1998" w:type="dxa"/>
            <w:tcBorders>
              <w:top w:val="nil"/>
              <w:left w:val="nil"/>
              <w:bottom w:val="nil"/>
              <w:right w:val="nil"/>
            </w:tcBorders>
            <w:shd w:val="clear" w:color="auto" w:fill="auto"/>
          </w:tcPr>
          <w:p w14:paraId="1A9EADDF" w14:textId="0A0366D6"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90.6 (193)</w:t>
            </w:r>
          </w:p>
        </w:tc>
        <w:tc>
          <w:tcPr>
            <w:tcW w:w="1234" w:type="dxa"/>
            <w:tcBorders>
              <w:top w:val="nil"/>
              <w:left w:val="nil"/>
              <w:bottom w:val="nil"/>
              <w:right w:val="nil"/>
            </w:tcBorders>
            <w:shd w:val="clear" w:color="auto" w:fill="auto"/>
          </w:tcPr>
          <w:p w14:paraId="54810F2A" w14:textId="68F602A0"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95.2 (645)</w:t>
            </w:r>
          </w:p>
        </w:tc>
      </w:tr>
      <w:tr w:rsidR="00F374DD" w:rsidRPr="00AB4A23" w14:paraId="565B4476"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1BFBDC78" w14:textId="603C72B5" w:rsidR="00F374DD" w:rsidRPr="00AB4A23" w:rsidRDefault="00F374DD" w:rsidP="6EC053A5">
            <w:pPr>
              <w:rPr>
                <w:sz w:val="16"/>
                <w:szCs w:val="16"/>
              </w:rPr>
            </w:pPr>
            <w:r w:rsidRPr="00AB4A23">
              <w:rPr>
                <w:b w:val="0"/>
                <w:bCs w:val="0"/>
                <w:sz w:val="18"/>
                <w:szCs w:val="18"/>
              </w:rPr>
              <w:t>In professional or managerial employment</w:t>
            </w:r>
            <w:r w:rsidR="02E07D04" w:rsidRPr="00AB4A23">
              <w:rPr>
                <w:sz w:val="16"/>
                <w:szCs w:val="16"/>
                <w:vertAlign w:val="superscript"/>
              </w:rPr>
              <w:t xml:space="preserve"> b</w:t>
            </w:r>
          </w:p>
        </w:tc>
        <w:tc>
          <w:tcPr>
            <w:tcW w:w="1855" w:type="dxa"/>
            <w:tcBorders>
              <w:top w:val="nil"/>
              <w:left w:val="nil"/>
              <w:bottom w:val="nil"/>
              <w:right w:val="nil"/>
            </w:tcBorders>
            <w:shd w:val="clear" w:color="auto" w:fill="auto"/>
          </w:tcPr>
          <w:p w14:paraId="2845B931" w14:textId="02B10FC7"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6.0 (28)</w:t>
            </w:r>
          </w:p>
        </w:tc>
        <w:tc>
          <w:tcPr>
            <w:tcW w:w="1998" w:type="dxa"/>
            <w:tcBorders>
              <w:top w:val="nil"/>
              <w:left w:val="nil"/>
              <w:bottom w:val="nil"/>
              <w:right w:val="nil"/>
            </w:tcBorders>
            <w:shd w:val="clear" w:color="auto" w:fill="auto"/>
          </w:tcPr>
          <w:p w14:paraId="15DE5F3A" w14:textId="38B76C0D"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12.8 (27)</w:t>
            </w:r>
          </w:p>
        </w:tc>
        <w:tc>
          <w:tcPr>
            <w:tcW w:w="1234" w:type="dxa"/>
            <w:tcBorders>
              <w:top w:val="nil"/>
              <w:left w:val="nil"/>
              <w:bottom w:val="nil"/>
              <w:right w:val="nil"/>
            </w:tcBorders>
            <w:shd w:val="clear" w:color="auto" w:fill="auto"/>
          </w:tcPr>
          <w:p w14:paraId="0EF7E00E" w14:textId="4EE87573"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8.1 (55)</w:t>
            </w:r>
          </w:p>
        </w:tc>
      </w:tr>
      <w:tr w:rsidR="00F374DD" w:rsidRPr="00AB4A23" w14:paraId="1A2A79A0"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single" w:sz="4" w:space="0" w:color="999999"/>
              <w:right w:val="nil"/>
            </w:tcBorders>
            <w:shd w:val="clear" w:color="auto" w:fill="auto"/>
          </w:tcPr>
          <w:p w14:paraId="62E13D9E" w14:textId="7EC1C377" w:rsidR="00F374DD" w:rsidRPr="00AB4A23" w:rsidRDefault="00F374DD" w:rsidP="6EC053A5">
            <w:pPr>
              <w:rPr>
                <w:sz w:val="16"/>
                <w:szCs w:val="16"/>
              </w:rPr>
            </w:pPr>
            <w:r w:rsidRPr="00AB4A23">
              <w:rPr>
                <w:b w:val="0"/>
                <w:bCs w:val="0"/>
                <w:sz w:val="18"/>
                <w:szCs w:val="18"/>
              </w:rPr>
              <w:t>Ever had sexual intercourse</w:t>
            </w:r>
            <w:r w:rsidR="14062772" w:rsidRPr="00AB4A23">
              <w:rPr>
                <w:sz w:val="16"/>
                <w:szCs w:val="16"/>
                <w:vertAlign w:val="superscript"/>
              </w:rPr>
              <w:t xml:space="preserve"> a</w:t>
            </w:r>
          </w:p>
        </w:tc>
        <w:tc>
          <w:tcPr>
            <w:tcW w:w="1855" w:type="dxa"/>
            <w:tcBorders>
              <w:top w:val="nil"/>
              <w:left w:val="nil"/>
              <w:bottom w:val="single" w:sz="4" w:space="0" w:color="999999"/>
              <w:right w:val="nil"/>
            </w:tcBorders>
            <w:shd w:val="clear" w:color="auto" w:fill="auto"/>
          </w:tcPr>
          <w:p w14:paraId="7605CFA1" w14:textId="2E7BE4CE"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100.0 (464)</w:t>
            </w:r>
          </w:p>
        </w:tc>
        <w:tc>
          <w:tcPr>
            <w:tcW w:w="1998" w:type="dxa"/>
            <w:tcBorders>
              <w:top w:val="nil"/>
              <w:left w:val="nil"/>
              <w:bottom w:val="single" w:sz="4" w:space="0" w:color="999999"/>
              <w:right w:val="nil"/>
            </w:tcBorders>
            <w:shd w:val="clear" w:color="auto" w:fill="auto"/>
          </w:tcPr>
          <w:p w14:paraId="57FB4FA5" w14:textId="2D898480"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21.6 (46)</w:t>
            </w:r>
          </w:p>
        </w:tc>
        <w:tc>
          <w:tcPr>
            <w:tcW w:w="1234" w:type="dxa"/>
            <w:tcBorders>
              <w:top w:val="nil"/>
              <w:left w:val="nil"/>
              <w:bottom w:val="single" w:sz="4" w:space="0" w:color="999999"/>
              <w:right w:val="nil"/>
            </w:tcBorders>
            <w:shd w:val="clear" w:color="auto" w:fill="auto"/>
          </w:tcPr>
          <w:p w14:paraId="5F2B4608" w14:textId="789495CD"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75.3 (510)</w:t>
            </w:r>
          </w:p>
        </w:tc>
      </w:tr>
      <w:tr w:rsidR="000C1AE0" w:rsidRPr="00AB4A23" w14:paraId="77A7F03B"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left w:val="nil"/>
              <w:bottom w:val="single" w:sz="4" w:space="0" w:color="999999"/>
              <w:right w:val="nil"/>
            </w:tcBorders>
            <w:shd w:val="clear" w:color="auto" w:fill="auto"/>
          </w:tcPr>
          <w:p w14:paraId="6A88A4FF" w14:textId="323E47C1" w:rsidR="000C1AE0" w:rsidRPr="00AB4A23" w:rsidRDefault="000C1AE0" w:rsidP="007163B5">
            <w:pPr>
              <w:rPr>
                <w:sz w:val="18"/>
                <w:szCs w:val="18"/>
              </w:rPr>
            </w:pPr>
            <w:r w:rsidRPr="00AB4A23">
              <w:rPr>
                <w:sz w:val="18"/>
                <w:szCs w:val="18"/>
              </w:rPr>
              <w:t xml:space="preserve">35-39 </w:t>
            </w:r>
            <w:r w:rsidR="00F374DD" w:rsidRPr="00AB4A23">
              <w:rPr>
                <w:sz w:val="18"/>
                <w:szCs w:val="18"/>
              </w:rPr>
              <w:t>y</w:t>
            </w:r>
            <w:r w:rsidRPr="00AB4A23">
              <w:rPr>
                <w:sz w:val="18"/>
                <w:szCs w:val="18"/>
              </w:rPr>
              <w:t>ears</w:t>
            </w:r>
          </w:p>
        </w:tc>
        <w:tc>
          <w:tcPr>
            <w:tcW w:w="1855" w:type="dxa"/>
            <w:tcBorders>
              <w:left w:val="nil"/>
              <w:bottom w:val="single" w:sz="4" w:space="0" w:color="999999"/>
              <w:right w:val="nil"/>
            </w:tcBorders>
            <w:shd w:val="clear" w:color="auto" w:fill="auto"/>
          </w:tcPr>
          <w:p w14:paraId="172EBB7B" w14:textId="6B41A8C1" w:rsidR="000C1AE0" w:rsidRPr="00AB4A23" w:rsidRDefault="000C1AE0" w:rsidP="007163B5">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n</w:t>
            </w:r>
            <w:r w:rsidRPr="00AB4A23">
              <w:rPr>
                <w:b/>
                <w:sz w:val="18"/>
                <w:szCs w:val="18"/>
              </w:rPr>
              <w:t xml:space="preserve"> = </w:t>
            </w:r>
            <w:r w:rsidR="00FB52A5" w:rsidRPr="00AB4A23">
              <w:rPr>
                <w:b/>
                <w:sz w:val="18"/>
                <w:szCs w:val="18"/>
              </w:rPr>
              <w:t>608</w:t>
            </w:r>
          </w:p>
        </w:tc>
        <w:tc>
          <w:tcPr>
            <w:tcW w:w="1998" w:type="dxa"/>
            <w:tcBorders>
              <w:left w:val="nil"/>
              <w:bottom w:val="single" w:sz="4" w:space="0" w:color="999999"/>
              <w:right w:val="nil"/>
            </w:tcBorders>
            <w:shd w:val="clear" w:color="auto" w:fill="auto"/>
          </w:tcPr>
          <w:p w14:paraId="76DB2649" w14:textId="6BDD3FE7" w:rsidR="000C1AE0" w:rsidRPr="00AB4A23" w:rsidRDefault="000C1AE0" w:rsidP="007163B5">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n</w:t>
            </w:r>
            <w:r w:rsidRPr="00AB4A23">
              <w:rPr>
                <w:b/>
                <w:sz w:val="18"/>
                <w:szCs w:val="18"/>
              </w:rPr>
              <w:t xml:space="preserve"> = </w:t>
            </w:r>
            <w:r w:rsidR="00FB52A5" w:rsidRPr="00AB4A23">
              <w:rPr>
                <w:b/>
                <w:sz w:val="18"/>
                <w:szCs w:val="18"/>
              </w:rPr>
              <w:t>71</w:t>
            </w:r>
          </w:p>
        </w:tc>
        <w:tc>
          <w:tcPr>
            <w:tcW w:w="1234" w:type="dxa"/>
            <w:tcBorders>
              <w:left w:val="nil"/>
              <w:bottom w:val="single" w:sz="4" w:space="0" w:color="999999"/>
              <w:right w:val="nil"/>
            </w:tcBorders>
            <w:shd w:val="clear" w:color="auto" w:fill="auto"/>
          </w:tcPr>
          <w:p w14:paraId="5058BF19" w14:textId="642BE954" w:rsidR="000C1AE0" w:rsidRPr="00AB4A23" w:rsidRDefault="000C1AE0" w:rsidP="007163B5">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n</w:t>
            </w:r>
            <w:r w:rsidRPr="00AB4A23">
              <w:rPr>
                <w:b/>
                <w:sz w:val="18"/>
                <w:szCs w:val="18"/>
              </w:rPr>
              <w:t xml:space="preserve"> = </w:t>
            </w:r>
            <w:r w:rsidR="00FB52A5" w:rsidRPr="00AB4A23">
              <w:rPr>
                <w:b/>
                <w:sz w:val="18"/>
                <w:szCs w:val="18"/>
              </w:rPr>
              <w:t>679</w:t>
            </w:r>
          </w:p>
        </w:tc>
      </w:tr>
      <w:tr w:rsidR="00F374DD" w:rsidRPr="00AB4A23" w14:paraId="114A95A4"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left w:val="nil"/>
              <w:bottom w:val="nil"/>
              <w:right w:val="nil"/>
            </w:tcBorders>
            <w:shd w:val="clear" w:color="auto" w:fill="auto"/>
          </w:tcPr>
          <w:p w14:paraId="00B7F296" w14:textId="1A53814B" w:rsidR="00F374DD" w:rsidRPr="00AB4A23" w:rsidRDefault="00F374DD" w:rsidP="00F374DD">
            <w:pPr>
              <w:rPr>
                <w:b w:val="0"/>
                <w:sz w:val="18"/>
                <w:szCs w:val="18"/>
              </w:rPr>
            </w:pPr>
            <w:r w:rsidRPr="00AB4A23">
              <w:rPr>
                <w:b w:val="0"/>
                <w:sz w:val="18"/>
                <w:szCs w:val="18"/>
              </w:rPr>
              <w:t>Urban</w:t>
            </w:r>
          </w:p>
        </w:tc>
        <w:tc>
          <w:tcPr>
            <w:tcW w:w="1855" w:type="dxa"/>
            <w:tcBorders>
              <w:left w:val="nil"/>
              <w:bottom w:val="nil"/>
              <w:right w:val="nil"/>
            </w:tcBorders>
            <w:shd w:val="clear" w:color="auto" w:fill="auto"/>
          </w:tcPr>
          <w:p w14:paraId="2BE20E61" w14:textId="3618936F"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27.5 (167)</w:t>
            </w:r>
          </w:p>
        </w:tc>
        <w:tc>
          <w:tcPr>
            <w:tcW w:w="1998" w:type="dxa"/>
            <w:tcBorders>
              <w:left w:val="nil"/>
              <w:bottom w:val="nil"/>
              <w:right w:val="nil"/>
            </w:tcBorders>
            <w:shd w:val="clear" w:color="auto" w:fill="auto"/>
          </w:tcPr>
          <w:p w14:paraId="1A4E6753" w14:textId="16050D4E"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3</w:t>
            </w:r>
            <w:r w:rsidR="006247F2" w:rsidRPr="00AB4A23">
              <w:rPr>
                <w:sz w:val="18"/>
                <w:szCs w:val="18"/>
              </w:rPr>
              <w:t>6.6</w:t>
            </w:r>
            <w:r w:rsidRPr="00AB4A23">
              <w:rPr>
                <w:sz w:val="18"/>
                <w:szCs w:val="18"/>
              </w:rPr>
              <w:t xml:space="preserve"> (26</w:t>
            </w:r>
            <w:r w:rsidR="006247F2" w:rsidRPr="00AB4A23">
              <w:rPr>
                <w:sz w:val="18"/>
                <w:szCs w:val="18"/>
              </w:rPr>
              <w:t>)</w:t>
            </w:r>
          </w:p>
        </w:tc>
        <w:tc>
          <w:tcPr>
            <w:tcW w:w="1234" w:type="dxa"/>
            <w:tcBorders>
              <w:left w:val="nil"/>
              <w:bottom w:val="nil"/>
              <w:right w:val="nil"/>
            </w:tcBorders>
            <w:shd w:val="clear" w:color="auto" w:fill="auto"/>
          </w:tcPr>
          <w:p w14:paraId="4CDE9017" w14:textId="4D0FFDC8"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28.4</w:t>
            </w:r>
            <w:r w:rsidR="00F374DD" w:rsidRPr="00AB4A23">
              <w:rPr>
                <w:sz w:val="18"/>
                <w:szCs w:val="18"/>
              </w:rPr>
              <w:t xml:space="preserve"> (</w:t>
            </w:r>
            <w:r w:rsidRPr="00AB4A23">
              <w:rPr>
                <w:sz w:val="18"/>
                <w:szCs w:val="18"/>
              </w:rPr>
              <w:t>193)</w:t>
            </w:r>
          </w:p>
        </w:tc>
      </w:tr>
      <w:tr w:rsidR="00F374DD" w:rsidRPr="00AB4A23" w14:paraId="32216756"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755B771D" w14:textId="7987B772" w:rsidR="00F374DD" w:rsidRPr="00AB4A23" w:rsidRDefault="00F374DD" w:rsidP="00F374DD">
            <w:pPr>
              <w:rPr>
                <w:b w:val="0"/>
                <w:sz w:val="18"/>
                <w:szCs w:val="18"/>
              </w:rPr>
            </w:pPr>
            <w:r w:rsidRPr="00AB4A23">
              <w:rPr>
                <w:b w:val="0"/>
                <w:sz w:val="18"/>
                <w:szCs w:val="18"/>
              </w:rPr>
              <w:t>Higher education</w:t>
            </w:r>
          </w:p>
        </w:tc>
        <w:tc>
          <w:tcPr>
            <w:tcW w:w="1855" w:type="dxa"/>
            <w:tcBorders>
              <w:top w:val="nil"/>
              <w:left w:val="nil"/>
              <w:bottom w:val="nil"/>
              <w:right w:val="nil"/>
            </w:tcBorders>
            <w:shd w:val="clear" w:color="auto" w:fill="auto"/>
          </w:tcPr>
          <w:p w14:paraId="50F578C3" w14:textId="1712A79E"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8.2 (50)</w:t>
            </w:r>
          </w:p>
        </w:tc>
        <w:tc>
          <w:tcPr>
            <w:tcW w:w="1998" w:type="dxa"/>
            <w:tcBorders>
              <w:top w:val="nil"/>
              <w:left w:val="nil"/>
              <w:bottom w:val="nil"/>
              <w:right w:val="nil"/>
            </w:tcBorders>
            <w:shd w:val="clear" w:color="auto" w:fill="auto"/>
          </w:tcPr>
          <w:p w14:paraId="7426B9F6" w14:textId="66958FCA"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9.9</w:t>
            </w:r>
            <w:r w:rsidR="00F374DD" w:rsidRPr="00AB4A23">
              <w:rPr>
                <w:sz w:val="18"/>
                <w:szCs w:val="18"/>
              </w:rPr>
              <w:t xml:space="preserve"> (7)</w:t>
            </w:r>
          </w:p>
        </w:tc>
        <w:tc>
          <w:tcPr>
            <w:tcW w:w="1234" w:type="dxa"/>
            <w:tcBorders>
              <w:top w:val="nil"/>
              <w:left w:val="nil"/>
              <w:bottom w:val="nil"/>
              <w:right w:val="nil"/>
            </w:tcBorders>
            <w:shd w:val="clear" w:color="auto" w:fill="auto"/>
          </w:tcPr>
          <w:p w14:paraId="0CB90C81" w14:textId="75281F12"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8.4 (57)</w:t>
            </w:r>
          </w:p>
        </w:tc>
      </w:tr>
      <w:tr w:rsidR="00F374DD" w:rsidRPr="00AB4A23" w14:paraId="24D137DD"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13980D9E" w14:textId="12BA307F" w:rsidR="00F374DD" w:rsidRPr="00AB4A23" w:rsidRDefault="00F374DD" w:rsidP="00F374DD">
            <w:pPr>
              <w:rPr>
                <w:b w:val="0"/>
                <w:sz w:val="18"/>
                <w:szCs w:val="18"/>
              </w:rPr>
            </w:pPr>
            <w:r w:rsidRPr="00AB4A23">
              <w:rPr>
                <w:b w:val="0"/>
                <w:sz w:val="18"/>
                <w:szCs w:val="18"/>
              </w:rPr>
              <w:t>Highest wealth quintile</w:t>
            </w:r>
          </w:p>
        </w:tc>
        <w:tc>
          <w:tcPr>
            <w:tcW w:w="1855" w:type="dxa"/>
            <w:tcBorders>
              <w:top w:val="nil"/>
              <w:left w:val="nil"/>
              <w:bottom w:val="nil"/>
              <w:right w:val="nil"/>
            </w:tcBorders>
            <w:shd w:val="clear" w:color="auto" w:fill="auto"/>
          </w:tcPr>
          <w:p w14:paraId="4B4F30F4" w14:textId="046855F8"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18.9 (115)</w:t>
            </w:r>
          </w:p>
        </w:tc>
        <w:tc>
          <w:tcPr>
            <w:tcW w:w="1998" w:type="dxa"/>
            <w:tcBorders>
              <w:top w:val="nil"/>
              <w:left w:val="nil"/>
              <w:bottom w:val="nil"/>
              <w:right w:val="nil"/>
            </w:tcBorders>
            <w:shd w:val="clear" w:color="auto" w:fill="auto"/>
          </w:tcPr>
          <w:p w14:paraId="3815E738" w14:textId="0BE33222"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19.</w:t>
            </w:r>
            <w:r w:rsidR="006247F2" w:rsidRPr="00AB4A23">
              <w:rPr>
                <w:sz w:val="18"/>
                <w:szCs w:val="18"/>
              </w:rPr>
              <w:t>7</w:t>
            </w:r>
            <w:r w:rsidRPr="00AB4A23">
              <w:rPr>
                <w:sz w:val="18"/>
                <w:szCs w:val="18"/>
              </w:rPr>
              <w:t xml:space="preserve"> (14)</w:t>
            </w:r>
          </w:p>
        </w:tc>
        <w:tc>
          <w:tcPr>
            <w:tcW w:w="1234" w:type="dxa"/>
            <w:tcBorders>
              <w:top w:val="nil"/>
              <w:left w:val="nil"/>
              <w:bottom w:val="nil"/>
              <w:right w:val="nil"/>
            </w:tcBorders>
            <w:shd w:val="clear" w:color="auto" w:fill="auto"/>
          </w:tcPr>
          <w:p w14:paraId="3B541C5F" w14:textId="043E91D2"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18.9 (129)</w:t>
            </w:r>
          </w:p>
        </w:tc>
      </w:tr>
      <w:tr w:rsidR="00F374DD" w:rsidRPr="00AB4A23" w14:paraId="7B0FE36C"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0958DA7A" w14:textId="26070C75" w:rsidR="00F374DD" w:rsidRPr="00AB4A23" w:rsidRDefault="00F374DD" w:rsidP="00F374DD">
            <w:pPr>
              <w:rPr>
                <w:b w:val="0"/>
                <w:sz w:val="18"/>
                <w:szCs w:val="18"/>
              </w:rPr>
            </w:pPr>
            <w:r w:rsidRPr="00AB4A23">
              <w:rPr>
                <w:b w:val="0"/>
                <w:sz w:val="18"/>
                <w:szCs w:val="18"/>
              </w:rPr>
              <w:t>Currently working</w:t>
            </w:r>
          </w:p>
        </w:tc>
        <w:tc>
          <w:tcPr>
            <w:tcW w:w="1855" w:type="dxa"/>
            <w:tcBorders>
              <w:top w:val="nil"/>
              <w:left w:val="nil"/>
              <w:bottom w:val="nil"/>
              <w:right w:val="nil"/>
            </w:tcBorders>
            <w:shd w:val="clear" w:color="auto" w:fill="auto"/>
          </w:tcPr>
          <w:p w14:paraId="30C22ED9" w14:textId="05EB8385"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95.7 (582)</w:t>
            </w:r>
          </w:p>
        </w:tc>
        <w:tc>
          <w:tcPr>
            <w:tcW w:w="1998" w:type="dxa"/>
            <w:tcBorders>
              <w:top w:val="nil"/>
              <w:left w:val="nil"/>
              <w:bottom w:val="nil"/>
              <w:right w:val="nil"/>
            </w:tcBorders>
            <w:shd w:val="clear" w:color="auto" w:fill="auto"/>
          </w:tcPr>
          <w:p w14:paraId="248BFAF9" w14:textId="7775B0A1"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95.</w:t>
            </w:r>
            <w:r w:rsidR="006247F2" w:rsidRPr="00AB4A23">
              <w:rPr>
                <w:sz w:val="18"/>
                <w:szCs w:val="18"/>
              </w:rPr>
              <w:t>8</w:t>
            </w:r>
            <w:r w:rsidRPr="00AB4A23">
              <w:rPr>
                <w:sz w:val="18"/>
                <w:szCs w:val="18"/>
              </w:rPr>
              <w:t xml:space="preserve"> (68)</w:t>
            </w:r>
          </w:p>
        </w:tc>
        <w:tc>
          <w:tcPr>
            <w:tcW w:w="1234" w:type="dxa"/>
            <w:tcBorders>
              <w:top w:val="nil"/>
              <w:left w:val="nil"/>
              <w:bottom w:val="nil"/>
              <w:right w:val="nil"/>
            </w:tcBorders>
            <w:shd w:val="clear" w:color="auto" w:fill="auto"/>
          </w:tcPr>
          <w:p w14:paraId="2927E884" w14:textId="50CA5996"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95.7 (650)</w:t>
            </w:r>
          </w:p>
        </w:tc>
      </w:tr>
      <w:tr w:rsidR="00F374DD" w:rsidRPr="00AB4A23" w14:paraId="671A9317"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2B948D6A" w14:textId="7905FF4E" w:rsidR="00F374DD" w:rsidRPr="00AB4A23" w:rsidRDefault="00F374DD" w:rsidP="00F374DD">
            <w:pPr>
              <w:rPr>
                <w:b w:val="0"/>
                <w:sz w:val="18"/>
                <w:szCs w:val="18"/>
              </w:rPr>
            </w:pPr>
            <w:r w:rsidRPr="00AB4A23">
              <w:rPr>
                <w:b w:val="0"/>
                <w:sz w:val="18"/>
                <w:szCs w:val="18"/>
              </w:rPr>
              <w:t>In professional or managerial employment</w:t>
            </w:r>
          </w:p>
        </w:tc>
        <w:tc>
          <w:tcPr>
            <w:tcW w:w="1855" w:type="dxa"/>
            <w:tcBorders>
              <w:top w:val="nil"/>
              <w:left w:val="nil"/>
              <w:bottom w:val="nil"/>
              <w:right w:val="nil"/>
            </w:tcBorders>
            <w:shd w:val="clear" w:color="auto" w:fill="auto"/>
          </w:tcPr>
          <w:p w14:paraId="7D01D3A0" w14:textId="661AF236"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9.2 (56)</w:t>
            </w:r>
          </w:p>
        </w:tc>
        <w:tc>
          <w:tcPr>
            <w:tcW w:w="1998" w:type="dxa"/>
            <w:tcBorders>
              <w:top w:val="nil"/>
              <w:left w:val="nil"/>
              <w:bottom w:val="nil"/>
              <w:right w:val="nil"/>
            </w:tcBorders>
            <w:shd w:val="clear" w:color="auto" w:fill="auto"/>
          </w:tcPr>
          <w:p w14:paraId="4A20A333" w14:textId="7620460C"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8.</w:t>
            </w:r>
            <w:r w:rsidRPr="00AB4A23">
              <w:rPr>
                <w:sz w:val="18"/>
                <w:szCs w:val="18"/>
              </w:rPr>
              <w:t>5</w:t>
            </w:r>
            <w:r w:rsidR="00F374DD" w:rsidRPr="00AB4A23">
              <w:rPr>
                <w:sz w:val="18"/>
                <w:szCs w:val="18"/>
              </w:rPr>
              <w:t xml:space="preserve"> (6)</w:t>
            </w:r>
          </w:p>
        </w:tc>
        <w:tc>
          <w:tcPr>
            <w:tcW w:w="1234" w:type="dxa"/>
            <w:tcBorders>
              <w:top w:val="nil"/>
              <w:left w:val="nil"/>
              <w:bottom w:val="nil"/>
              <w:right w:val="nil"/>
            </w:tcBorders>
            <w:shd w:val="clear" w:color="auto" w:fill="auto"/>
          </w:tcPr>
          <w:p w14:paraId="6121C1F4" w14:textId="5203BB14"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9.1 (62)</w:t>
            </w:r>
          </w:p>
        </w:tc>
      </w:tr>
      <w:tr w:rsidR="00F374DD" w:rsidRPr="00AB4A23" w14:paraId="38EC2C5E"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single" w:sz="4" w:space="0" w:color="999999"/>
              <w:right w:val="nil"/>
            </w:tcBorders>
            <w:shd w:val="clear" w:color="auto" w:fill="auto"/>
          </w:tcPr>
          <w:p w14:paraId="572E14EA" w14:textId="4AA5A1F1" w:rsidR="00F374DD" w:rsidRPr="00AB4A23" w:rsidRDefault="00F374DD" w:rsidP="6EC053A5">
            <w:pPr>
              <w:rPr>
                <w:sz w:val="16"/>
                <w:szCs w:val="16"/>
              </w:rPr>
            </w:pPr>
            <w:r w:rsidRPr="00AB4A23">
              <w:rPr>
                <w:b w:val="0"/>
                <w:bCs w:val="0"/>
                <w:sz w:val="18"/>
                <w:szCs w:val="18"/>
              </w:rPr>
              <w:t>Ever had sexual intercourse</w:t>
            </w:r>
            <w:r w:rsidR="18D4CA97" w:rsidRPr="00AB4A23">
              <w:rPr>
                <w:sz w:val="16"/>
                <w:szCs w:val="16"/>
                <w:vertAlign w:val="superscript"/>
              </w:rPr>
              <w:t xml:space="preserve"> a</w:t>
            </w:r>
          </w:p>
        </w:tc>
        <w:tc>
          <w:tcPr>
            <w:tcW w:w="1855" w:type="dxa"/>
            <w:tcBorders>
              <w:top w:val="nil"/>
              <w:left w:val="nil"/>
              <w:bottom w:val="single" w:sz="4" w:space="0" w:color="999999"/>
              <w:right w:val="nil"/>
            </w:tcBorders>
            <w:shd w:val="clear" w:color="auto" w:fill="auto"/>
          </w:tcPr>
          <w:p w14:paraId="1DE545ED" w14:textId="67E9478C"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99.8 (607)</w:t>
            </w:r>
          </w:p>
        </w:tc>
        <w:tc>
          <w:tcPr>
            <w:tcW w:w="1998" w:type="dxa"/>
            <w:tcBorders>
              <w:top w:val="nil"/>
              <w:left w:val="nil"/>
              <w:bottom w:val="single" w:sz="4" w:space="0" w:color="999999"/>
              <w:right w:val="nil"/>
            </w:tcBorders>
            <w:shd w:val="clear" w:color="auto" w:fill="auto"/>
          </w:tcPr>
          <w:p w14:paraId="7FB864AB" w14:textId="0A17FCF3"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23.9 (17)</w:t>
            </w:r>
          </w:p>
        </w:tc>
        <w:tc>
          <w:tcPr>
            <w:tcW w:w="1234" w:type="dxa"/>
            <w:tcBorders>
              <w:top w:val="nil"/>
              <w:left w:val="nil"/>
              <w:bottom w:val="single" w:sz="4" w:space="0" w:color="999999"/>
              <w:right w:val="nil"/>
            </w:tcBorders>
            <w:shd w:val="clear" w:color="auto" w:fill="auto"/>
          </w:tcPr>
          <w:p w14:paraId="5FFAF093" w14:textId="122223E7"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91.8 (624)</w:t>
            </w:r>
          </w:p>
        </w:tc>
      </w:tr>
      <w:tr w:rsidR="000C1AE0" w:rsidRPr="00AB4A23" w14:paraId="43500F89"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left w:val="nil"/>
              <w:bottom w:val="single" w:sz="4" w:space="0" w:color="999999"/>
              <w:right w:val="nil"/>
            </w:tcBorders>
            <w:shd w:val="clear" w:color="auto" w:fill="auto"/>
          </w:tcPr>
          <w:p w14:paraId="576EDA61" w14:textId="01105431" w:rsidR="000C1AE0" w:rsidRPr="00AB4A23" w:rsidRDefault="000C1AE0" w:rsidP="007163B5">
            <w:pPr>
              <w:rPr>
                <w:sz w:val="18"/>
                <w:szCs w:val="18"/>
              </w:rPr>
            </w:pPr>
            <w:r w:rsidRPr="00AB4A23">
              <w:rPr>
                <w:sz w:val="18"/>
                <w:szCs w:val="18"/>
              </w:rPr>
              <w:t xml:space="preserve">45-49 </w:t>
            </w:r>
            <w:r w:rsidR="00F374DD" w:rsidRPr="00AB4A23">
              <w:rPr>
                <w:sz w:val="18"/>
                <w:szCs w:val="18"/>
              </w:rPr>
              <w:t>y</w:t>
            </w:r>
            <w:r w:rsidRPr="00AB4A23">
              <w:rPr>
                <w:sz w:val="18"/>
                <w:szCs w:val="18"/>
              </w:rPr>
              <w:t xml:space="preserve">ears </w:t>
            </w:r>
          </w:p>
        </w:tc>
        <w:tc>
          <w:tcPr>
            <w:tcW w:w="1855" w:type="dxa"/>
            <w:tcBorders>
              <w:left w:val="nil"/>
              <w:bottom w:val="single" w:sz="4" w:space="0" w:color="999999"/>
              <w:right w:val="nil"/>
            </w:tcBorders>
            <w:shd w:val="clear" w:color="auto" w:fill="auto"/>
          </w:tcPr>
          <w:p w14:paraId="52BC98F9" w14:textId="02E20B79" w:rsidR="000C1AE0" w:rsidRPr="00AB4A23" w:rsidRDefault="000C1AE0" w:rsidP="00AB1362">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n</w:t>
            </w:r>
            <w:r w:rsidRPr="00AB4A23">
              <w:rPr>
                <w:b/>
                <w:sz w:val="18"/>
                <w:szCs w:val="18"/>
              </w:rPr>
              <w:t xml:space="preserve"> = </w:t>
            </w:r>
            <w:r w:rsidR="00AB1362" w:rsidRPr="00AB4A23">
              <w:rPr>
                <w:b/>
                <w:sz w:val="18"/>
                <w:szCs w:val="18"/>
              </w:rPr>
              <w:t>541</w:t>
            </w:r>
          </w:p>
        </w:tc>
        <w:tc>
          <w:tcPr>
            <w:tcW w:w="1998" w:type="dxa"/>
            <w:tcBorders>
              <w:left w:val="nil"/>
              <w:bottom w:val="single" w:sz="4" w:space="0" w:color="999999"/>
              <w:right w:val="nil"/>
            </w:tcBorders>
            <w:shd w:val="clear" w:color="auto" w:fill="auto"/>
          </w:tcPr>
          <w:p w14:paraId="28456B37" w14:textId="6E213CD5" w:rsidR="000C1AE0" w:rsidRPr="00AB4A23" w:rsidRDefault="000C1AE0" w:rsidP="00AB1362">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n</w:t>
            </w:r>
            <w:r w:rsidRPr="00AB4A23">
              <w:rPr>
                <w:b/>
                <w:sz w:val="18"/>
                <w:szCs w:val="18"/>
              </w:rPr>
              <w:t xml:space="preserve"> = </w:t>
            </w:r>
            <w:r w:rsidR="00AB1362" w:rsidRPr="00AB4A23">
              <w:rPr>
                <w:b/>
                <w:sz w:val="18"/>
                <w:szCs w:val="18"/>
              </w:rPr>
              <w:t>30</w:t>
            </w:r>
          </w:p>
        </w:tc>
        <w:tc>
          <w:tcPr>
            <w:tcW w:w="1234" w:type="dxa"/>
            <w:tcBorders>
              <w:left w:val="nil"/>
              <w:bottom w:val="single" w:sz="4" w:space="0" w:color="999999"/>
              <w:right w:val="nil"/>
            </w:tcBorders>
            <w:shd w:val="clear" w:color="auto" w:fill="auto"/>
          </w:tcPr>
          <w:p w14:paraId="0A2EDFE5" w14:textId="63128CB0" w:rsidR="000C1AE0" w:rsidRPr="00AB4A23" w:rsidRDefault="000C1AE0" w:rsidP="00AB1362">
            <w:pPr>
              <w:cnfStyle w:val="000000000000" w:firstRow="0" w:lastRow="0" w:firstColumn="0" w:lastColumn="0" w:oddVBand="0" w:evenVBand="0" w:oddHBand="0" w:evenHBand="0" w:firstRowFirstColumn="0" w:firstRowLastColumn="0" w:lastRowFirstColumn="0" w:lastRowLastColumn="0"/>
              <w:rPr>
                <w:b/>
                <w:sz w:val="18"/>
                <w:szCs w:val="18"/>
              </w:rPr>
            </w:pPr>
            <w:r w:rsidRPr="00AB4A23">
              <w:rPr>
                <w:b/>
                <w:i/>
                <w:sz w:val="18"/>
                <w:szCs w:val="18"/>
              </w:rPr>
              <w:t>n</w:t>
            </w:r>
            <w:r w:rsidRPr="00AB4A23">
              <w:rPr>
                <w:b/>
                <w:sz w:val="18"/>
                <w:szCs w:val="18"/>
              </w:rPr>
              <w:t xml:space="preserve"> = </w:t>
            </w:r>
            <w:r w:rsidR="00AB1362" w:rsidRPr="00AB4A23">
              <w:rPr>
                <w:b/>
                <w:sz w:val="18"/>
                <w:szCs w:val="18"/>
              </w:rPr>
              <w:t>571</w:t>
            </w:r>
          </w:p>
        </w:tc>
      </w:tr>
      <w:tr w:rsidR="00F374DD" w:rsidRPr="00AB4A23" w14:paraId="23CCE746"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left w:val="nil"/>
              <w:bottom w:val="nil"/>
              <w:right w:val="nil"/>
            </w:tcBorders>
            <w:shd w:val="clear" w:color="auto" w:fill="auto"/>
          </w:tcPr>
          <w:p w14:paraId="7170CF36" w14:textId="6A7A7FEA" w:rsidR="00F374DD" w:rsidRPr="00AB4A23" w:rsidRDefault="00F374DD" w:rsidP="00F374DD">
            <w:pPr>
              <w:rPr>
                <w:b w:val="0"/>
                <w:sz w:val="18"/>
                <w:szCs w:val="18"/>
              </w:rPr>
            </w:pPr>
            <w:r w:rsidRPr="00AB4A23">
              <w:rPr>
                <w:b w:val="0"/>
                <w:sz w:val="18"/>
                <w:szCs w:val="18"/>
              </w:rPr>
              <w:t>Urban</w:t>
            </w:r>
          </w:p>
        </w:tc>
        <w:tc>
          <w:tcPr>
            <w:tcW w:w="1855" w:type="dxa"/>
            <w:tcBorders>
              <w:left w:val="nil"/>
              <w:bottom w:val="nil"/>
              <w:right w:val="nil"/>
            </w:tcBorders>
            <w:shd w:val="clear" w:color="auto" w:fill="auto"/>
          </w:tcPr>
          <w:p w14:paraId="0FCA3FA9" w14:textId="4746E296"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26.5 (144)</w:t>
            </w:r>
          </w:p>
        </w:tc>
        <w:tc>
          <w:tcPr>
            <w:tcW w:w="1998" w:type="dxa"/>
            <w:tcBorders>
              <w:left w:val="nil"/>
              <w:bottom w:val="nil"/>
              <w:right w:val="nil"/>
            </w:tcBorders>
            <w:shd w:val="clear" w:color="auto" w:fill="auto"/>
          </w:tcPr>
          <w:p w14:paraId="5CF8DF61" w14:textId="788A22FA"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w:t>
            </w:r>
            <w:r w:rsidR="006247F2" w:rsidRPr="00AB4A23">
              <w:rPr>
                <w:sz w:val="18"/>
                <w:szCs w:val="18"/>
              </w:rPr>
              <w:t>6.7</w:t>
            </w:r>
            <w:r w:rsidRPr="00AB4A23">
              <w:rPr>
                <w:sz w:val="18"/>
                <w:szCs w:val="18"/>
              </w:rPr>
              <w:t xml:space="preserve"> (8)</w:t>
            </w:r>
          </w:p>
        </w:tc>
        <w:tc>
          <w:tcPr>
            <w:tcW w:w="1234" w:type="dxa"/>
            <w:tcBorders>
              <w:left w:val="nil"/>
              <w:bottom w:val="nil"/>
              <w:right w:val="nil"/>
            </w:tcBorders>
            <w:shd w:val="clear" w:color="auto" w:fill="auto"/>
          </w:tcPr>
          <w:p w14:paraId="529E73CA" w14:textId="1D82128C"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26.5 (151)</w:t>
            </w:r>
          </w:p>
        </w:tc>
      </w:tr>
      <w:tr w:rsidR="00F374DD" w:rsidRPr="00AB4A23" w14:paraId="64749C76" w14:textId="77777777" w:rsidTr="42171E9E">
        <w:trPr>
          <w:trHeight w:val="234"/>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06D12892" w14:textId="666CB67F" w:rsidR="00F374DD" w:rsidRPr="00AB4A23" w:rsidRDefault="00F374DD" w:rsidP="00F374DD">
            <w:pPr>
              <w:rPr>
                <w:b w:val="0"/>
                <w:sz w:val="18"/>
                <w:szCs w:val="18"/>
              </w:rPr>
            </w:pPr>
            <w:r w:rsidRPr="00AB4A23">
              <w:rPr>
                <w:b w:val="0"/>
                <w:sz w:val="18"/>
                <w:szCs w:val="18"/>
              </w:rPr>
              <w:t>Higher education</w:t>
            </w:r>
          </w:p>
        </w:tc>
        <w:tc>
          <w:tcPr>
            <w:tcW w:w="1855" w:type="dxa"/>
            <w:tcBorders>
              <w:top w:val="nil"/>
              <w:left w:val="nil"/>
              <w:bottom w:val="nil"/>
              <w:right w:val="nil"/>
            </w:tcBorders>
            <w:shd w:val="clear" w:color="auto" w:fill="auto"/>
          </w:tcPr>
          <w:p w14:paraId="210E2F19" w14:textId="343515A0"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4.3 (23)</w:t>
            </w:r>
          </w:p>
        </w:tc>
        <w:tc>
          <w:tcPr>
            <w:tcW w:w="1998" w:type="dxa"/>
            <w:tcBorders>
              <w:top w:val="nil"/>
              <w:left w:val="nil"/>
              <w:bottom w:val="nil"/>
              <w:right w:val="nil"/>
            </w:tcBorders>
            <w:shd w:val="clear" w:color="auto" w:fill="auto"/>
          </w:tcPr>
          <w:p w14:paraId="3831A58E" w14:textId="73A212B4"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6.6</w:t>
            </w:r>
            <w:r w:rsidR="00F374DD" w:rsidRPr="00AB4A23">
              <w:rPr>
                <w:sz w:val="18"/>
                <w:szCs w:val="18"/>
              </w:rPr>
              <w:t xml:space="preserve"> (2)</w:t>
            </w:r>
          </w:p>
        </w:tc>
        <w:tc>
          <w:tcPr>
            <w:tcW w:w="1234" w:type="dxa"/>
            <w:tcBorders>
              <w:top w:val="nil"/>
              <w:left w:val="nil"/>
              <w:bottom w:val="nil"/>
              <w:right w:val="nil"/>
            </w:tcBorders>
            <w:shd w:val="clear" w:color="auto" w:fill="auto"/>
          </w:tcPr>
          <w:p w14:paraId="63A8F966" w14:textId="7EA01072"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4.4 (25)</w:t>
            </w:r>
          </w:p>
        </w:tc>
      </w:tr>
      <w:tr w:rsidR="00F374DD" w:rsidRPr="00AB4A23" w14:paraId="71B5F9FD"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616E6714" w14:textId="2BB48B2A" w:rsidR="00F374DD" w:rsidRPr="00AB4A23" w:rsidRDefault="00F374DD" w:rsidP="00F374DD">
            <w:pPr>
              <w:rPr>
                <w:b w:val="0"/>
                <w:sz w:val="18"/>
                <w:szCs w:val="18"/>
              </w:rPr>
            </w:pPr>
            <w:r w:rsidRPr="00AB4A23">
              <w:rPr>
                <w:b w:val="0"/>
                <w:sz w:val="18"/>
                <w:szCs w:val="18"/>
              </w:rPr>
              <w:t>Highest wealth quintile</w:t>
            </w:r>
          </w:p>
        </w:tc>
        <w:tc>
          <w:tcPr>
            <w:tcW w:w="1855" w:type="dxa"/>
            <w:tcBorders>
              <w:top w:val="nil"/>
              <w:left w:val="nil"/>
              <w:bottom w:val="nil"/>
              <w:right w:val="nil"/>
            </w:tcBorders>
            <w:shd w:val="clear" w:color="auto" w:fill="auto"/>
          </w:tcPr>
          <w:p w14:paraId="6375509E" w14:textId="7FF7CD70"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16.9 (92)</w:t>
            </w:r>
          </w:p>
        </w:tc>
        <w:tc>
          <w:tcPr>
            <w:tcW w:w="1998" w:type="dxa"/>
            <w:tcBorders>
              <w:top w:val="nil"/>
              <w:left w:val="nil"/>
              <w:bottom w:val="nil"/>
              <w:right w:val="nil"/>
            </w:tcBorders>
            <w:shd w:val="clear" w:color="auto" w:fill="auto"/>
          </w:tcPr>
          <w:p w14:paraId="26A29BE3" w14:textId="484B82D4"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2</w:t>
            </w:r>
            <w:r w:rsidR="006247F2" w:rsidRPr="00AB4A23">
              <w:rPr>
                <w:sz w:val="18"/>
                <w:szCs w:val="18"/>
              </w:rPr>
              <w:t>6.7</w:t>
            </w:r>
            <w:r w:rsidRPr="00AB4A23">
              <w:rPr>
                <w:sz w:val="18"/>
                <w:szCs w:val="18"/>
              </w:rPr>
              <w:t xml:space="preserve"> (8)</w:t>
            </w:r>
          </w:p>
        </w:tc>
        <w:tc>
          <w:tcPr>
            <w:tcW w:w="1234" w:type="dxa"/>
            <w:tcBorders>
              <w:top w:val="nil"/>
              <w:left w:val="nil"/>
              <w:bottom w:val="nil"/>
              <w:right w:val="nil"/>
            </w:tcBorders>
            <w:shd w:val="clear" w:color="auto" w:fill="auto"/>
          </w:tcPr>
          <w:p w14:paraId="474308D0" w14:textId="2CF82618"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17.5 (100)</w:t>
            </w:r>
          </w:p>
        </w:tc>
      </w:tr>
      <w:tr w:rsidR="00F374DD" w:rsidRPr="00AB4A23" w14:paraId="382033CF"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6D44445C" w14:textId="0C1ADE10" w:rsidR="00F374DD" w:rsidRPr="00AB4A23" w:rsidRDefault="00F374DD" w:rsidP="00F374DD">
            <w:pPr>
              <w:rPr>
                <w:b w:val="0"/>
                <w:sz w:val="18"/>
                <w:szCs w:val="18"/>
              </w:rPr>
            </w:pPr>
            <w:r w:rsidRPr="00AB4A23">
              <w:rPr>
                <w:b w:val="0"/>
                <w:sz w:val="18"/>
                <w:szCs w:val="18"/>
              </w:rPr>
              <w:t>Currently working</w:t>
            </w:r>
          </w:p>
        </w:tc>
        <w:tc>
          <w:tcPr>
            <w:tcW w:w="1855" w:type="dxa"/>
            <w:tcBorders>
              <w:top w:val="nil"/>
              <w:left w:val="nil"/>
              <w:bottom w:val="nil"/>
              <w:right w:val="nil"/>
            </w:tcBorders>
            <w:shd w:val="clear" w:color="auto" w:fill="auto"/>
          </w:tcPr>
          <w:p w14:paraId="6EFF7B86" w14:textId="2FE93089"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94.8 (513)</w:t>
            </w:r>
          </w:p>
        </w:tc>
        <w:tc>
          <w:tcPr>
            <w:tcW w:w="1998" w:type="dxa"/>
            <w:tcBorders>
              <w:top w:val="nil"/>
              <w:left w:val="nil"/>
              <w:bottom w:val="nil"/>
              <w:right w:val="nil"/>
            </w:tcBorders>
            <w:shd w:val="clear" w:color="auto" w:fill="auto"/>
          </w:tcPr>
          <w:p w14:paraId="5A32B87E" w14:textId="7DC5CE45"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9</w:t>
            </w:r>
            <w:r w:rsidR="006247F2" w:rsidRPr="00AB4A23">
              <w:rPr>
                <w:sz w:val="18"/>
                <w:szCs w:val="18"/>
              </w:rPr>
              <w:t>0</w:t>
            </w:r>
            <w:r w:rsidRPr="00AB4A23">
              <w:rPr>
                <w:sz w:val="18"/>
                <w:szCs w:val="18"/>
              </w:rPr>
              <w:t>.0 (27)</w:t>
            </w:r>
          </w:p>
        </w:tc>
        <w:tc>
          <w:tcPr>
            <w:tcW w:w="1234" w:type="dxa"/>
            <w:tcBorders>
              <w:top w:val="nil"/>
              <w:left w:val="nil"/>
              <w:bottom w:val="nil"/>
              <w:right w:val="nil"/>
            </w:tcBorders>
            <w:shd w:val="clear" w:color="auto" w:fill="auto"/>
          </w:tcPr>
          <w:p w14:paraId="66DC9A81" w14:textId="177F2C9A"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94.6 (540)</w:t>
            </w:r>
          </w:p>
        </w:tc>
      </w:tr>
      <w:tr w:rsidR="00F374DD" w:rsidRPr="00AB4A23" w14:paraId="775310C9" w14:textId="77777777" w:rsidTr="42171E9E">
        <w:trPr>
          <w:trHeight w:val="241"/>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nil"/>
              <w:right w:val="nil"/>
            </w:tcBorders>
            <w:shd w:val="clear" w:color="auto" w:fill="auto"/>
          </w:tcPr>
          <w:p w14:paraId="46706A16" w14:textId="288731B1" w:rsidR="00F374DD" w:rsidRPr="00AB4A23" w:rsidRDefault="00F374DD" w:rsidP="00F374DD">
            <w:pPr>
              <w:rPr>
                <w:b w:val="0"/>
                <w:sz w:val="18"/>
                <w:szCs w:val="18"/>
              </w:rPr>
            </w:pPr>
            <w:r w:rsidRPr="00AB4A23">
              <w:rPr>
                <w:b w:val="0"/>
                <w:sz w:val="18"/>
                <w:szCs w:val="18"/>
              </w:rPr>
              <w:t>In professional or managerial employment</w:t>
            </w:r>
          </w:p>
        </w:tc>
        <w:tc>
          <w:tcPr>
            <w:tcW w:w="1855" w:type="dxa"/>
            <w:tcBorders>
              <w:top w:val="nil"/>
              <w:left w:val="nil"/>
              <w:bottom w:val="nil"/>
              <w:right w:val="nil"/>
            </w:tcBorders>
            <w:shd w:val="clear" w:color="auto" w:fill="auto"/>
          </w:tcPr>
          <w:p w14:paraId="61A29852" w14:textId="7AAE921F"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7.0 (39)</w:t>
            </w:r>
          </w:p>
        </w:tc>
        <w:tc>
          <w:tcPr>
            <w:tcW w:w="1998" w:type="dxa"/>
            <w:tcBorders>
              <w:top w:val="nil"/>
              <w:left w:val="nil"/>
              <w:bottom w:val="nil"/>
              <w:right w:val="nil"/>
            </w:tcBorders>
            <w:shd w:val="clear" w:color="auto" w:fill="auto"/>
          </w:tcPr>
          <w:p w14:paraId="35BA62D2" w14:textId="652E6384"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0.0 (0)</w:t>
            </w:r>
          </w:p>
        </w:tc>
        <w:tc>
          <w:tcPr>
            <w:tcW w:w="1234" w:type="dxa"/>
            <w:tcBorders>
              <w:top w:val="nil"/>
              <w:left w:val="nil"/>
              <w:bottom w:val="nil"/>
              <w:right w:val="nil"/>
            </w:tcBorders>
            <w:shd w:val="clear" w:color="auto" w:fill="auto"/>
          </w:tcPr>
          <w:p w14:paraId="4A6DF4BF" w14:textId="5F064C08" w:rsidR="00F374DD" w:rsidRPr="00AB4A23" w:rsidRDefault="006247F2"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 xml:space="preserve">  </w:t>
            </w:r>
            <w:r w:rsidR="00F374DD" w:rsidRPr="00AB4A23">
              <w:rPr>
                <w:sz w:val="18"/>
                <w:szCs w:val="18"/>
              </w:rPr>
              <w:t>6.7 (39)</w:t>
            </w:r>
          </w:p>
        </w:tc>
      </w:tr>
      <w:tr w:rsidR="00F374DD" w:rsidRPr="00AB4A23" w14:paraId="74297289" w14:textId="77777777" w:rsidTr="42171E9E">
        <w:trPr>
          <w:trHeight w:val="234"/>
        </w:trPr>
        <w:tc>
          <w:tcPr>
            <w:cnfStyle w:val="001000000000" w:firstRow="0" w:lastRow="0" w:firstColumn="1" w:lastColumn="0" w:oddVBand="0" w:evenVBand="0" w:oddHBand="0" w:evenHBand="0" w:firstRowFirstColumn="0" w:firstRowLastColumn="0" w:lastRowFirstColumn="0" w:lastRowLastColumn="0"/>
            <w:tcW w:w="3991" w:type="dxa"/>
            <w:tcBorders>
              <w:top w:val="nil"/>
              <w:left w:val="nil"/>
              <w:bottom w:val="single" w:sz="4" w:space="0" w:color="999999"/>
              <w:right w:val="nil"/>
            </w:tcBorders>
            <w:shd w:val="clear" w:color="auto" w:fill="auto"/>
          </w:tcPr>
          <w:p w14:paraId="725D6944" w14:textId="7294B394" w:rsidR="00F374DD" w:rsidRPr="00AB4A23" w:rsidRDefault="00F374DD" w:rsidP="6EC053A5">
            <w:pPr>
              <w:rPr>
                <w:sz w:val="16"/>
                <w:szCs w:val="16"/>
              </w:rPr>
            </w:pPr>
            <w:r w:rsidRPr="00AB4A23">
              <w:rPr>
                <w:b w:val="0"/>
                <w:bCs w:val="0"/>
                <w:sz w:val="18"/>
                <w:szCs w:val="18"/>
              </w:rPr>
              <w:t>Ever had sexual intercourse</w:t>
            </w:r>
            <w:r w:rsidR="0CCDC2B2" w:rsidRPr="00AB4A23">
              <w:rPr>
                <w:sz w:val="16"/>
                <w:szCs w:val="16"/>
                <w:vertAlign w:val="superscript"/>
              </w:rPr>
              <w:t xml:space="preserve"> a</w:t>
            </w:r>
          </w:p>
        </w:tc>
        <w:tc>
          <w:tcPr>
            <w:tcW w:w="1855" w:type="dxa"/>
            <w:tcBorders>
              <w:top w:val="nil"/>
              <w:left w:val="nil"/>
              <w:bottom w:val="single" w:sz="4" w:space="0" w:color="auto"/>
              <w:right w:val="nil"/>
            </w:tcBorders>
            <w:shd w:val="clear" w:color="auto" w:fill="auto"/>
          </w:tcPr>
          <w:p w14:paraId="049C57EF" w14:textId="09AE6E01"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100.0 (541)</w:t>
            </w:r>
          </w:p>
        </w:tc>
        <w:tc>
          <w:tcPr>
            <w:tcW w:w="1998" w:type="dxa"/>
            <w:tcBorders>
              <w:top w:val="nil"/>
              <w:left w:val="nil"/>
              <w:bottom w:val="single" w:sz="4" w:space="0" w:color="auto"/>
              <w:right w:val="nil"/>
            </w:tcBorders>
            <w:shd w:val="clear" w:color="auto" w:fill="auto"/>
          </w:tcPr>
          <w:p w14:paraId="7CE6139C" w14:textId="673155B1"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w:t>
            </w:r>
            <w:r w:rsidR="006247F2" w:rsidRPr="00AB4A23">
              <w:rPr>
                <w:sz w:val="18"/>
                <w:szCs w:val="18"/>
              </w:rPr>
              <w:t>3</w:t>
            </w:r>
            <w:r w:rsidRPr="00AB4A23">
              <w:rPr>
                <w:sz w:val="18"/>
                <w:szCs w:val="18"/>
              </w:rPr>
              <w:t>.</w:t>
            </w:r>
            <w:r w:rsidR="006247F2" w:rsidRPr="00AB4A23">
              <w:rPr>
                <w:sz w:val="18"/>
                <w:szCs w:val="18"/>
              </w:rPr>
              <w:t>3</w:t>
            </w:r>
            <w:r w:rsidRPr="00AB4A23">
              <w:rPr>
                <w:sz w:val="18"/>
                <w:szCs w:val="18"/>
              </w:rPr>
              <w:t xml:space="preserve"> (4)</w:t>
            </w:r>
          </w:p>
        </w:tc>
        <w:tc>
          <w:tcPr>
            <w:tcW w:w="1234" w:type="dxa"/>
            <w:tcBorders>
              <w:top w:val="nil"/>
              <w:left w:val="nil"/>
              <w:bottom w:val="single" w:sz="4" w:space="0" w:color="auto"/>
              <w:right w:val="nil"/>
            </w:tcBorders>
            <w:shd w:val="clear" w:color="auto" w:fill="auto"/>
          </w:tcPr>
          <w:p w14:paraId="218B32D2" w14:textId="2428928E" w:rsidR="00F374DD" w:rsidRPr="00AB4A23" w:rsidRDefault="00F374DD" w:rsidP="00F374DD">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95.4 (545)</w:t>
            </w:r>
          </w:p>
        </w:tc>
      </w:tr>
    </w:tbl>
    <w:p w14:paraId="0500D6D8" w14:textId="16E46DC2" w:rsidR="00B65035" w:rsidRPr="00AB4A23" w:rsidRDefault="2BC3CDDC" w:rsidP="6F34886E">
      <w:pPr>
        <w:rPr>
          <w:sz w:val="16"/>
          <w:szCs w:val="16"/>
        </w:rPr>
      </w:pPr>
      <w:proofErr w:type="spellStart"/>
      <w:r w:rsidRPr="00AB4A23">
        <w:rPr>
          <w:sz w:val="16"/>
          <w:szCs w:val="16"/>
          <w:vertAlign w:val="superscript"/>
        </w:rPr>
        <w:t>a</w:t>
      </w:r>
      <w:r w:rsidR="00B65035" w:rsidRPr="00AB4A23">
        <w:rPr>
          <w:sz w:val="16"/>
          <w:szCs w:val="16"/>
        </w:rPr>
        <w:t>p</w:t>
      </w:r>
      <w:proofErr w:type="spellEnd"/>
      <w:r w:rsidR="00B65035" w:rsidRPr="00AB4A23">
        <w:rPr>
          <w:sz w:val="16"/>
          <w:szCs w:val="16"/>
        </w:rPr>
        <w:t>-value for chi-</w:t>
      </w:r>
      <w:proofErr w:type="spellStart"/>
      <w:r w:rsidR="00B65035" w:rsidRPr="00AB4A23">
        <w:rPr>
          <w:sz w:val="16"/>
          <w:szCs w:val="16"/>
        </w:rPr>
        <w:t>sq</w:t>
      </w:r>
      <w:proofErr w:type="spellEnd"/>
      <w:r w:rsidR="00B65035" w:rsidRPr="00AB4A23">
        <w:rPr>
          <w:sz w:val="16"/>
          <w:szCs w:val="16"/>
        </w:rPr>
        <w:t xml:space="preserve"> test </w:t>
      </w:r>
      <w:r w:rsidR="00545367" w:rsidRPr="00AB4A23">
        <w:rPr>
          <w:sz w:val="16"/>
          <w:szCs w:val="16"/>
        </w:rPr>
        <w:t>≤</w:t>
      </w:r>
      <w:r w:rsidR="00B65035" w:rsidRPr="00AB4A23">
        <w:rPr>
          <w:sz w:val="16"/>
          <w:szCs w:val="16"/>
        </w:rPr>
        <w:t>0.001</w:t>
      </w:r>
    </w:p>
    <w:p w14:paraId="363EE10A" w14:textId="6BF08620" w:rsidR="74FB656F" w:rsidRPr="00AB4A23" w:rsidRDefault="74FB656F" w:rsidP="6F34886E">
      <w:pPr>
        <w:rPr>
          <w:sz w:val="16"/>
          <w:szCs w:val="16"/>
        </w:rPr>
      </w:pPr>
      <w:proofErr w:type="spellStart"/>
      <w:r w:rsidRPr="00AB4A23">
        <w:rPr>
          <w:sz w:val="16"/>
          <w:szCs w:val="16"/>
          <w:vertAlign w:val="superscript"/>
        </w:rPr>
        <w:t>b</w:t>
      </w:r>
      <w:r w:rsidR="6FC08BCE" w:rsidRPr="00AB4A23">
        <w:rPr>
          <w:sz w:val="16"/>
          <w:szCs w:val="16"/>
        </w:rPr>
        <w:t>p</w:t>
      </w:r>
      <w:proofErr w:type="spellEnd"/>
      <w:r w:rsidR="6FC08BCE" w:rsidRPr="00AB4A23">
        <w:rPr>
          <w:sz w:val="16"/>
          <w:szCs w:val="16"/>
        </w:rPr>
        <w:t>-value for chi-</w:t>
      </w:r>
      <w:proofErr w:type="spellStart"/>
      <w:r w:rsidR="6FC08BCE" w:rsidRPr="00AB4A23">
        <w:rPr>
          <w:sz w:val="16"/>
          <w:szCs w:val="16"/>
        </w:rPr>
        <w:t>sq</w:t>
      </w:r>
      <w:proofErr w:type="spellEnd"/>
      <w:r w:rsidR="6FC08BCE" w:rsidRPr="00AB4A23">
        <w:rPr>
          <w:sz w:val="16"/>
          <w:szCs w:val="16"/>
        </w:rPr>
        <w:t xml:space="preserve"> test ≤0.05</w:t>
      </w:r>
    </w:p>
    <w:p w14:paraId="631C3391" w14:textId="06FEB367" w:rsidR="6EC053A5" w:rsidRPr="00AB4A23" w:rsidRDefault="6EC053A5" w:rsidP="6EC053A5">
      <w:pPr>
        <w:rPr>
          <w:sz w:val="16"/>
          <w:szCs w:val="16"/>
        </w:rPr>
      </w:pPr>
    </w:p>
    <w:p w14:paraId="3ED8CAA1" w14:textId="77777777" w:rsidR="00F374DD" w:rsidRPr="00AB4A23" w:rsidRDefault="00F374DD" w:rsidP="00E064AD">
      <w:pPr>
        <w:rPr>
          <w:sz w:val="18"/>
          <w:szCs w:val="18"/>
        </w:rPr>
      </w:pPr>
    </w:p>
    <w:p w14:paraId="5ACCCF8D" w14:textId="7696B316" w:rsidR="00B3445E" w:rsidRPr="00AB4A23" w:rsidRDefault="007D54D9" w:rsidP="00F374DD">
      <w:pPr>
        <w:rPr>
          <w:sz w:val="20"/>
          <w:szCs w:val="20"/>
        </w:rPr>
      </w:pPr>
      <w:r w:rsidRPr="00AB4A23">
        <w:rPr>
          <w:sz w:val="20"/>
          <w:szCs w:val="20"/>
        </w:rPr>
        <w:t xml:space="preserve">Data </w:t>
      </w:r>
      <w:r w:rsidR="00F374DD" w:rsidRPr="00AB4A23">
        <w:rPr>
          <w:sz w:val="20"/>
          <w:szCs w:val="20"/>
        </w:rPr>
        <w:t>Source: Myanmar Demographic and Health Survey, 2015-2016 (</w:t>
      </w:r>
      <w:r w:rsidR="00146433" w:rsidRPr="00AB4A23">
        <w:rPr>
          <w:sz w:val="20"/>
          <w:szCs w:val="20"/>
        </w:rPr>
        <w:t>Ministry of Health and Sports and ICF</w:t>
      </w:r>
      <w:r w:rsidR="00F374DD" w:rsidRPr="00AB4A23">
        <w:rPr>
          <w:sz w:val="20"/>
          <w:szCs w:val="20"/>
        </w:rPr>
        <w:t xml:space="preserve"> 2017)</w:t>
      </w:r>
    </w:p>
    <w:p w14:paraId="0F9616BF" w14:textId="0BF355F6" w:rsidR="00700D23" w:rsidRDefault="00700D23">
      <w:pPr>
        <w:rPr>
          <w:sz w:val="18"/>
          <w:szCs w:val="18"/>
        </w:rPr>
        <w:sectPr w:rsidR="00700D23">
          <w:headerReference w:type="default" r:id="rId21"/>
          <w:pgSz w:w="11906" w:h="16838"/>
          <w:pgMar w:top="1440" w:right="1440" w:bottom="1440" w:left="1440" w:header="708" w:footer="708" w:gutter="0"/>
          <w:cols w:space="708"/>
          <w:docGrid w:linePitch="360"/>
        </w:sectPr>
      </w:pPr>
    </w:p>
    <w:p w14:paraId="63EABAEB" w14:textId="5E936000" w:rsidR="00466B17" w:rsidRPr="00AB4A23" w:rsidRDefault="000C1AE0" w:rsidP="00700D23">
      <w:pPr>
        <w:pStyle w:val="Tabletitle"/>
      </w:pPr>
      <w:r w:rsidRPr="00AB4A23">
        <w:lastRenderedPageBreak/>
        <w:t xml:space="preserve">Table </w:t>
      </w:r>
      <w:r w:rsidR="1AFCDEB9" w:rsidRPr="00AB4A23">
        <w:t>4</w:t>
      </w:r>
      <w:r w:rsidRPr="00AB4A23">
        <w:t>. Effect of select</w:t>
      </w:r>
      <w:r w:rsidR="007A0A10" w:rsidRPr="00AB4A23">
        <w:t>ed</w:t>
      </w:r>
      <w:r w:rsidRPr="00AB4A23">
        <w:t xml:space="preserve"> soci</w:t>
      </w:r>
      <w:r w:rsidR="007A0A10" w:rsidRPr="00AB4A23">
        <w:t xml:space="preserve">al, economic and </w:t>
      </w:r>
      <w:r w:rsidR="006C5E90" w:rsidRPr="00AB4A23">
        <w:t>d</w:t>
      </w:r>
      <w:r w:rsidRPr="00AB4A23">
        <w:t xml:space="preserve">emographic characteristics on marriage hazards for men and women </w:t>
      </w:r>
      <w:r w:rsidR="009242B0" w:rsidRPr="00AB4A23">
        <w:t xml:space="preserve">between the ages of 20 and 49 </w:t>
      </w:r>
      <w:r w:rsidRPr="00AB4A23">
        <w:t>in Myanmar</w:t>
      </w:r>
    </w:p>
    <w:tbl>
      <w:tblPr>
        <w:tblStyle w:val="GridTable1Light"/>
        <w:tblW w:w="13958" w:type="dxa"/>
        <w:tblLook w:val="04A0" w:firstRow="1" w:lastRow="0" w:firstColumn="1" w:lastColumn="0" w:noHBand="0" w:noVBand="1"/>
      </w:tblPr>
      <w:tblGrid>
        <w:gridCol w:w="4395"/>
        <w:gridCol w:w="1417"/>
        <w:gridCol w:w="992"/>
        <w:gridCol w:w="1276"/>
        <w:gridCol w:w="1134"/>
        <w:gridCol w:w="1276"/>
        <w:gridCol w:w="1134"/>
        <w:gridCol w:w="1276"/>
        <w:gridCol w:w="1058"/>
      </w:tblGrid>
      <w:tr w:rsidR="00700D23" w:rsidRPr="00AB4A23" w14:paraId="1514E6B3" w14:textId="77777777" w:rsidTr="00700D23">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395" w:type="dxa"/>
            <w:tcBorders>
              <w:left w:val="nil"/>
              <w:bottom w:val="nil"/>
              <w:right w:val="single" w:sz="4" w:space="0" w:color="auto"/>
            </w:tcBorders>
          </w:tcPr>
          <w:p w14:paraId="42FACCD3" w14:textId="77777777" w:rsidR="00700D23" w:rsidRPr="00AB4A23" w:rsidRDefault="00700D23" w:rsidP="42171E9E">
            <w:pPr>
              <w:rPr>
                <w:sz w:val="18"/>
                <w:szCs w:val="18"/>
              </w:rPr>
            </w:pPr>
          </w:p>
        </w:tc>
        <w:tc>
          <w:tcPr>
            <w:tcW w:w="4819" w:type="dxa"/>
            <w:gridSpan w:val="4"/>
            <w:tcBorders>
              <w:left w:val="single" w:sz="4" w:space="0" w:color="auto"/>
              <w:bottom w:val="nil"/>
              <w:right w:val="single" w:sz="4" w:space="0" w:color="auto"/>
            </w:tcBorders>
          </w:tcPr>
          <w:p w14:paraId="077AF900" w14:textId="528E5A42" w:rsidR="00700D23" w:rsidRPr="00450982" w:rsidRDefault="00700D23" w:rsidP="42171E9E">
            <w:pPr>
              <w:jc w:val="center"/>
              <w:cnfStyle w:val="100000000000" w:firstRow="1"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Model 1</w:t>
            </w:r>
          </w:p>
        </w:tc>
        <w:tc>
          <w:tcPr>
            <w:tcW w:w="4744" w:type="dxa"/>
            <w:gridSpan w:val="4"/>
            <w:tcBorders>
              <w:left w:val="single" w:sz="4" w:space="0" w:color="auto"/>
              <w:bottom w:val="nil"/>
              <w:right w:val="nil"/>
            </w:tcBorders>
          </w:tcPr>
          <w:p w14:paraId="791AD2C6" w14:textId="284DC3A8" w:rsidR="00700D23" w:rsidRPr="00AB4A23" w:rsidRDefault="00700D23" w:rsidP="42171E9E">
            <w:pPr>
              <w:jc w:val="center"/>
              <w:cnfStyle w:val="100000000000" w:firstRow="1" w:lastRow="0" w:firstColumn="0" w:lastColumn="0" w:oddVBand="0" w:evenVBand="0" w:oddHBand="0" w:evenHBand="0" w:firstRowFirstColumn="0" w:firstRowLastColumn="0" w:lastRowFirstColumn="0" w:lastRowLastColumn="0"/>
              <w:rPr>
                <w:sz w:val="18"/>
                <w:szCs w:val="18"/>
              </w:rPr>
            </w:pPr>
            <w:r w:rsidRPr="00450982">
              <w:rPr>
                <w:sz w:val="18"/>
                <w:szCs w:val="18"/>
                <w:highlight w:val="yellow"/>
              </w:rPr>
              <w:t>Model 2</w:t>
            </w:r>
          </w:p>
        </w:tc>
      </w:tr>
      <w:tr w:rsidR="00700D23" w:rsidRPr="00AB4A23" w14:paraId="73CCB789" w14:textId="4A904D5D"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left w:val="nil"/>
              <w:bottom w:val="nil"/>
              <w:right w:val="single" w:sz="4" w:space="0" w:color="auto"/>
            </w:tcBorders>
          </w:tcPr>
          <w:p w14:paraId="5B9F6962" w14:textId="77777777" w:rsidR="00700D23" w:rsidRPr="00AB4A23" w:rsidRDefault="00700D23" w:rsidP="00700D23">
            <w:pPr>
              <w:rPr>
                <w:sz w:val="18"/>
                <w:szCs w:val="18"/>
              </w:rPr>
            </w:pPr>
          </w:p>
        </w:tc>
        <w:tc>
          <w:tcPr>
            <w:tcW w:w="2409" w:type="dxa"/>
            <w:gridSpan w:val="2"/>
            <w:tcBorders>
              <w:left w:val="single" w:sz="4" w:space="0" w:color="auto"/>
              <w:bottom w:val="nil"/>
              <w:right w:val="single" w:sz="4" w:space="0" w:color="auto"/>
            </w:tcBorders>
          </w:tcPr>
          <w:p w14:paraId="066A2574" w14:textId="335AE538" w:rsidR="00700D23" w:rsidRPr="00450982" w:rsidRDefault="00700D23" w:rsidP="00700D23">
            <w:pPr>
              <w:jc w:val="cente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Women</w:t>
            </w:r>
          </w:p>
        </w:tc>
        <w:tc>
          <w:tcPr>
            <w:tcW w:w="2410" w:type="dxa"/>
            <w:gridSpan w:val="2"/>
            <w:tcBorders>
              <w:left w:val="single" w:sz="4" w:space="0" w:color="auto"/>
              <w:bottom w:val="nil"/>
              <w:right w:val="single" w:sz="4" w:space="0" w:color="auto"/>
            </w:tcBorders>
          </w:tcPr>
          <w:p w14:paraId="6E31490F" w14:textId="7CE8B4F8" w:rsidR="00700D23" w:rsidRPr="00450982" w:rsidRDefault="00700D23" w:rsidP="00700D23">
            <w:pPr>
              <w:jc w:val="cente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Men</w:t>
            </w:r>
          </w:p>
        </w:tc>
        <w:tc>
          <w:tcPr>
            <w:tcW w:w="2410" w:type="dxa"/>
            <w:gridSpan w:val="2"/>
            <w:tcBorders>
              <w:left w:val="single" w:sz="4" w:space="0" w:color="auto"/>
              <w:bottom w:val="nil"/>
              <w:right w:val="single" w:sz="4" w:space="0" w:color="auto"/>
            </w:tcBorders>
          </w:tcPr>
          <w:p w14:paraId="2A3A8C8B" w14:textId="4C29BEB8" w:rsidR="00700D23" w:rsidRPr="00AB4A23" w:rsidRDefault="00700D23" w:rsidP="00700D23">
            <w:pPr>
              <w:jc w:val="cente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Women</w:t>
            </w:r>
          </w:p>
        </w:tc>
        <w:tc>
          <w:tcPr>
            <w:tcW w:w="2334" w:type="dxa"/>
            <w:gridSpan w:val="2"/>
            <w:tcBorders>
              <w:left w:val="single" w:sz="4" w:space="0" w:color="auto"/>
              <w:bottom w:val="nil"/>
              <w:right w:val="nil"/>
            </w:tcBorders>
          </w:tcPr>
          <w:p w14:paraId="1CF4CC38" w14:textId="788677ED" w:rsidR="00700D23" w:rsidRPr="00450982" w:rsidRDefault="00700D23" w:rsidP="00700D23">
            <w:pPr>
              <w:jc w:val="cente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Men</w:t>
            </w:r>
          </w:p>
        </w:tc>
      </w:tr>
      <w:tr w:rsidR="00700D23" w:rsidRPr="00AB4A23" w14:paraId="7A87025F" w14:textId="2F0A22C1"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single" w:sz="4" w:space="0" w:color="999999"/>
              <w:right w:val="single" w:sz="4" w:space="0" w:color="auto"/>
            </w:tcBorders>
          </w:tcPr>
          <w:p w14:paraId="1415B874" w14:textId="77777777" w:rsidR="00700D23" w:rsidRPr="00AB4A23" w:rsidRDefault="00700D23" w:rsidP="00700D23">
            <w:pPr>
              <w:rPr>
                <w:sz w:val="18"/>
                <w:szCs w:val="18"/>
              </w:rPr>
            </w:pPr>
          </w:p>
        </w:tc>
        <w:tc>
          <w:tcPr>
            <w:tcW w:w="1417" w:type="dxa"/>
            <w:tcBorders>
              <w:top w:val="nil"/>
              <w:left w:val="single" w:sz="4" w:space="0" w:color="auto"/>
              <w:bottom w:val="single" w:sz="4" w:space="0" w:color="999999"/>
              <w:right w:val="nil"/>
            </w:tcBorders>
          </w:tcPr>
          <w:p w14:paraId="2051E9CC" w14:textId="024429AD"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b/>
                <w:bCs/>
                <w:sz w:val="18"/>
                <w:szCs w:val="18"/>
                <w:highlight w:val="yellow"/>
              </w:rPr>
              <w:t>Hazard ratio</w:t>
            </w:r>
          </w:p>
        </w:tc>
        <w:tc>
          <w:tcPr>
            <w:tcW w:w="992" w:type="dxa"/>
            <w:tcBorders>
              <w:top w:val="nil"/>
              <w:left w:val="nil"/>
              <w:bottom w:val="single" w:sz="4" w:space="0" w:color="999999"/>
              <w:right w:val="single" w:sz="4" w:space="0" w:color="auto"/>
            </w:tcBorders>
          </w:tcPr>
          <w:p w14:paraId="0182FEAC" w14:textId="0BFF82A1"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b/>
                <w:bCs/>
                <w:i/>
                <w:iCs/>
                <w:sz w:val="18"/>
                <w:szCs w:val="18"/>
                <w:highlight w:val="yellow"/>
              </w:rPr>
              <w:t>p</w:t>
            </w:r>
            <w:r w:rsidRPr="00450982">
              <w:rPr>
                <w:b/>
                <w:bCs/>
                <w:sz w:val="18"/>
                <w:szCs w:val="18"/>
                <w:highlight w:val="yellow"/>
              </w:rPr>
              <w:t>-value</w:t>
            </w:r>
          </w:p>
        </w:tc>
        <w:tc>
          <w:tcPr>
            <w:tcW w:w="1276" w:type="dxa"/>
            <w:tcBorders>
              <w:top w:val="nil"/>
              <w:left w:val="single" w:sz="4" w:space="0" w:color="auto"/>
              <w:bottom w:val="single" w:sz="4" w:space="0" w:color="999999"/>
              <w:right w:val="nil"/>
            </w:tcBorders>
          </w:tcPr>
          <w:p w14:paraId="1970AB82" w14:textId="5CE1BF9F"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b/>
                <w:bCs/>
                <w:sz w:val="18"/>
                <w:szCs w:val="18"/>
                <w:highlight w:val="yellow"/>
              </w:rPr>
              <w:t>Hazard ratio</w:t>
            </w:r>
          </w:p>
        </w:tc>
        <w:tc>
          <w:tcPr>
            <w:tcW w:w="1134" w:type="dxa"/>
            <w:tcBorders>
              <w:top w:val="nil"/>
              <w:left w:val="nil"/>
              <w:bottom w:val="single" w:sz="4" w:space="0" w:color="999999"/>
              <w:right w:val="single" w:sz="4" w:space="0" w:color="auto"/>
            </w:tcBorders>
          </w:tcPr>
          <w:p w14:paraId="12705559" w14:textId="03973C6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b/>
                <w:bCs/>
                <w:i/>
                <w:iCs/>
                <w:sz w:val="18"/>
                <w:szCs w:val="18"/>
                <w:highlight w:val="yellow"/>
              </w:rPr>
              <w:t>p</w:t>
            </w:r>
            <w:r w:rsidRPr="00450982">
              <w:rPr>
                <w:b/>
                <w:bCs/>
                <w:sz w:val="18"/>
                <w:szCs w:val="18"/>
                <w:highlight w:val="yellow"/>
              </w:rPr>
              <w:t>-value</w:t>
            </w:r>
          </w:p>
        </w:tc>
        <w:tc>
          <w:tcPr>
            <w:tcW w:w="1276" w:type="dxa"/>
            <w:tcBorders>
              <w:top w:val="nil"/>
              <w:left w:val="single" w:sz="4" w:space="0" w:color="auto"/>
              <w:bottom w:val="single" w:sz="4" w:space="0" w:color="999999"/>
              <w:right w:val="nil"/>
            </w:tcBorders>
          </w:tcPr>
          <w:p w14:paraId="1C29028A" w14:textId="5BF4F077"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b/>
                <w:bCs/>
                <w:i/>
                <w:iCs/>
                <w:sz w:val="18"/>
                <w:szCs w:val="18"/>
              </w:rPr>
            </w:pPr>
            <w:r w:rsidRPr="00AB4A23">
              <w:rPr>
                <w:b/>
                <w:bCs/>
                <w:sz w:val="18"/>
                <w:szCs w:val="18"/>
              </w:rPr>
              <w:t>Hazard ratio</w:t>
            </w:r>
          </w:p>
        </w:tc>
        <w:tc>
          <w:tcPr>
            <w:tcW w:w="1134" w:type="dxa"/>
            <w:tcBorders>
              <w:top w:val="nil"/>
              <w:left w:val="nil"/>
              <w:bottom w:val="single" w:sz="4" w:space="0" w:color="999999"/>
              <w:right w:val="single" w:sz="4" w:space="0" w:color="auto"/>
            </w:tcBorders>
          </w:tcPr>
          <w:p w14:paraId="5A2C06E9" w14:textId="5EB9F625"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b/>
                <w:bCs/>
                <w:i/>
                <w:iCs/>
                <w:sz w:val="18"/>
                <w:szCs w:val="18"/>
              </w:rPr>
            </w:pPr>
            <w:r w:rsidRPr="00AB4A23">
              <w:rPr>
                <w:b/>
                <w:bCs/>
                <w:i/>
                <w:iCs/>
                <w:sz w:val="18"/>
                <w:szCs w:val="18"/>
              </w:rPr>
              <w:t>p</w:t>
            </w:r>
            <w:r w:rsidRPr="00AB4A23">
              <w:rPr>
                <w:b/>
                <w:bCs/>
                <w:sz w:val="18"/>
                <w:szCs w:val="18"/>
              </w:rPr>
              <w:t>-value</w:t>
            </w:r>
          </w:p>
        </w:tc>
        <w:tc>
          <w:tcPr>
            <w:tcW w:w="1276" w:type="dxa"/>
            <w:tcBorders>
              <w:top w:val="nil"/>
              <w:left w:val="single" w:sz="4" w:space="0" w:color="auto"/>
              <w:bottom w:val="single" w:sz="4" w:space="0" w:color="999999"/>
              <w:right w:val="nil"/>
            </w:tcBorders>
          </w:tcPr>
          <w:p w14:paraId="4B016BA2" w14:textId="2584A8B4"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b/>
                <w:bCs/>
                <w:i/>
                <w:iCs/>
                <w:sz w:val="18"/>
                <w:szCs w:val="18"/>
                <w:highlight w:val="yellow"/>
              </w:rPr>
            </w:pPr>
            <w:r w:rsidRPr="00450982">
              <w:rPr>
                <w:b/>
                <w:bCs/>
                <w:sz w:val="18"/>
                <w:szCs w:val="18"/>
                <w:highlight w:val="yellow"/>
              </w:rPr>
              <w:t>Hazard ratio</w:t>
            </w:r>
          </w:p>
        </w:tc>
        <w:tc>
          <w:tcPr>
            <w:tcW w:w="1058" w:type="dxa"/>
            <w:tcBorders>
              <w:top w:val="nil"/>
              <w:left w:val="nil"/>
              <w:bottom w:val="single" w:sz="4" w:space="0" w:color="999999"/>
              <w:right w:val="nil"/>
            </w:tcBorders>
          </w:tcPr>
          <w:p w14:paraId="32E4226D" w14:textId="6D48CBA4"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b/>
                <w:bCs/>
                <w:i/>
                <w:iCs/>
                <w:sz w:val="18"/>
                <w:szCs w:val="18"/>
                <w:highlight w:val="yellow"/>
              </w:rPr>
            </w:pPr>
            <w:r w:rsidRPr="00450982">
              <w:rPr>
                <w:b/>
                <w:bCs/>
                <w:i/>
                <w:iCs/>
                <w:sz w:val="18"/>
                <w:szCs w:val="18"/>
                <w:highlight w:val="yellow"/>
              </w:rPr>
              <w:t>p</w:t>
            </w:r>
            <w:r w:rsidRPr="00450982">
              <w:rPr>
                <w:b/>
                <w:bCs/>
                <w:sz w:val="18"/>
                <w:szCs w:val="18"/>
                <w:highlight w:val="yellow"/>
              </w:rPr>
              <w:t>-value</w:t>
            </w:r>
          </w:p>
        </w:tc>
      </w:tr>
      <w:tr w:rsidR="00700D23" w:rsidRPr="00AB4A23" w14:paraId="242E0E88" w14:textId="408AD235"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single" w:sz="4" w:space="0" w:color="999999"/>
              <w:left w:val="nil"/>
              <w:bottom w:val="nil"/>
              <w:right w:val="single" w:sz="4" w:space="0" w:color="auto"/>
            </w:tcBorders>
          </w:tcPr>
          <w:p w14:paraId="52DDBA26" w14:textId="77777777" w:rsidR="00700D23" w:rsidRPr="00AB4A23" w:rsidRDefault="00700D23" w:rsidP="00700D23">
            <w:pPr>
              <w:rPr>
                <w:sz w:val="18"/>
                <w:szCs w:val="18"/>
              </w:rPr>
            </w:pPr>
            <w:r w:rsidRPr="00AB4A23">
              <w:rPr>
                <w:sz w:val="18"/>
                <w:szCs w:val="18"/>
              </w:rPr>
              <w:t>Age Cohort</w:t>
            </w:r>
          </w:p>
        </w:tc>
        <w:tc>
          <w:tcPr>
            <w:tcW w:w="1417" w:type="dxa"/>
            <w:tcBorders>
              <w:top w:val="single" w:sz="4" w:space="0" w:color="999999"/>
              <w:left w:val="single" w:sz="4" w:space="0" w:color="auto"/>
              <w:bottom w:val="nil"/>
              <w:right w:val="nil"/>
            </w:tcBorders>
          </w:tcPr>
          <w:p w14:paraId="1F3B2703"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992" w:type="dxa"/>
            <w:tcBorders>
              <w:top w:val="single" w:sz="4" w:space="0" w:color="999999"/>
              <w:left w:val="nil"/>
              <w:bottom w:val="nil"/>
              <w:right w:val="single" w:sz="4" w:space="0" w:color="auto"/>
            </w:tcBorders>
          </w:tcPr>
          <w:p w14:paraId="3B546473"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276" w:type="dxa"/>
            <w:tcBorders>
              <w:top w:val="single" w:sz="4" w:space="0" w:color="999999"/>
              <w:left w:val="single" w:sz="4" w:space="0" w:color="auto"/>
              <w:bottom w:val="nil"/>
              <w:right w:val="nil"/>
            </w:tcBorders>
          </w:tcPr>
          <w:p w14:paraId="2F9E58C2"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134" w:type="dxa"/>
            <w:tcBorders>
              <w:top w:val="single" w:sz="4" w:space="0" w:color="999999"/>
              <w:left w:val="nil"/>
              <w:bottom w:val="nil"/>
              <w:right w:val="single" w:sz="4" w:space="0" w:color="auto"/>
            </w:tcBorders>
          </w:tcPr>
          <w:p w14:paraId="68BFE12B"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276" w:type="dxa"/>
            <w:tcBorders>
              <w:top w:val="single" w:sz="4" w:space="0" w:color="999999"/>
              <w:left w:val="single" w:sz="4" w:space="0" w:color="auto"/>
              <w:bottom w:val="nil"/>
              <w:right w:val="nil"/>
            </w:tcBorders>
          </w:tcPr>
          <w:p w14:paraId="0F63E788" w14:textId="77777777"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Borders>
              <w:top w:val="single" w:sz="4" w:space="0" w:color="999999"/>
              <w:left w:val="nil"/>
              <w:bottom w:val="nil"/>
              <w:right w:val="single" w:sz="4" w:space="0" w:color="auto"/>
            </w:tcBorders>
          </w:tcPr>
          <w:p w14:paraId="0E04E83F" w14:textId="77777777"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p>
        </w:tc>
        <w:tc>
          <w:tcPr>
            <w:tcW w:w="1276" w:type="dxa"/>
            <w:tcBorders>
              <w:top w:val="single" w:sz="4" w:space="0" w:color="999999"/>
              <w:left w:val="single" w:sz="4" w:space="0" w:color="auto"/>
              <w:bottom w:val="nil"/>
              <w:right w:val="nil"/>
            </w:tcBorders>
          </w:tcPr>
          <w:p w14:paraId="3CEC98C4"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058" w:type="dxa"/>
            <w:tcBorders>
              <w:top w:val="single" w:sz="4" w:space="0" w:color="999999"/>
              <w:left w:val="nil"/>
              <w:bottom w:val="nil"/>
              <w:right w:val="nil"/>
            </w:tcBorders>
          </w:tcPr>
          <w:p w14:paraId="28AF13D2"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700D23" w:rsidRPr="00AB4A23" w14:paraId="3D07EB9C" w14:textId="34CA119F"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6748FFDB" w14:textId="77777777" w:rsidR="00700D23" w:rsidRPr="00AB4A23" w:rsidRDefault="00700D23" w:rsidP="00700D23">
            <w:pPr>
              <w:ind w:left="313"/>
              <w:rPr>
                <w:sz w:val="18"/>
                <w:szCs w:val="18"/>
              </w:rPr>
            </w:pPr>
            <w:r w:rsidRPr="00AB4A23">
              <w:rPr>
                <w:sz w:val="18"/>
                <w:szCs w:val="18"/>
              </w:rPr>
              <w:t>20-24</w:t>
            </w:r>
          </w:p>
        </w:tc>
        <w:tc>
          <w:tcPr>
            <w:tcW w:w="1417" w:type="dxa"/>
            <w:tcBorders>
              <w:top w:val="nil"/>
              <w:left w:val="single" w:sz="4" w:space="0" w:color="auto"/>
              <w:bottom w:val="nil"/>
              <w:right w:val="nil"/>
            </w:tcBorders>
          </w:tcPr>
          <w:p w14:paraId="768C5C55" w14:textId="7DBDCF71"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0.90</w:t>
            </w:r>
          </w:p>
        </w:tc>
        <w:tc>
          <w:tcPr>
            <w:tcW w:w="992" w:type="dxa"/>
            <w:tcBorders>
              <w:top w:val="nil"/>
              <w:left w:val="nil"/>
              <w:bottom w:val="nil"/>
              <w:right w:val="single" w:sz="4" w:space="0" w:color="auto"/>
            </w:tcBorders>
          </w:tcPr>
          <w:p w14:paraId="01BF18AD" w14:textId="79C6483B"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0.058</w:t>
            </w:r>
          </w:p>
        </w:tc>
        <w:tc>
          <w:tcPr>
            <w:tcW w:w="1276" w:type="dxa"/>
            <w:tcBorders>
              <w:top w:val="nil"/>
              <w:left w:val="single" w:sz="4" w:space="0" w:color="auto"/>
              <w:bottom w:val="nil"/>
              <w:right w:val="nil"/>
            </w:tcBorders>
          </w:tcPr>
          <w:p w14:paraId="1B2258A0" w14:textId="11CC179F"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0.87</w:t>
            </w:r>
          </w:p>
        </w:tc>
        <w:tc>
          <w:tcPr>
            <w:tcW w:w="1134" w:type="dxa"/>
            <w:tcBorders>
              <w:top w:val="nil"/>
              <w:left w:val="nil"/>
              <w:bottom w:val="nil"/>
              <w:right w:val="single" w:sz="4" w:space="0" w:color="auto"/>
            </w:tcBorders>
          </w:tcPr>
          <w:p w14:paraId="0FAEB950" w14:textId="4A8A937B"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0.181</w:t>
            </w:r>
          </w:p>
        </w:tc>
        <w:tc>
          <w:tcPr>
            <w:tcW w:w="1276" w:type="dxa"/>
            <w:tcBorders>
              <w:top w:val="nil"/>
              <w:left w:val="single" w:sz="4" w:space="0" w:color="auto"/>
              <w:bottom w:val="nil"/>
              <w:right w:val="nil"/>
            </w:tcBorders>
          </w:tcPr>
          <w:p w14:paraId="39733C6A" w14:textId="190EFFD6"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0.90</w:t>
            </w:r>
          </w:p>
        </w:tc>
        <w:tc>
          <w:tcPr>
            <w:tcW w:w="1134" w:type="dxa"/>
            <w:tcBorders>
              <w:top w:val="nil"/>
              <w:left w:val="nil"/>
              <w:bottom w:val="nil"/>
              <w:right w:val="single" w:sz="4" w:space="0" w:color="auto"/>
            </w:tcBorders>
          </w:tcPr>
          <w:p w14:paraId="52291F3E" w14:textId="6F79813E"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0.070</w:t>
            </w:r>
          </w:p>
        </w:tc>
        <w:tc>
          <w:tcPr>
            <w:tcW w:w="1276" w:type="dxa"/>
            <w:tcBorders>
              <w:top w:val="nil"/>
              <w:left w:val="single" w:sz="4" w:space="0" w:color="auto"/>
              <w:bottom w:val="nil"/>
              <w:right w:val="nil"/>
            </w:tcBorders>
          </w:tcPr>
          <w:p w14:paraId="229A6D51" w14:textId="640ED952"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0.88</w:t>
            </w:r>
          </w:p>
        </w:tc>
        <w:tc>
          <w:tcPr>
            <w:tcW w:w="1058" w:type="dxa"/>
            <w:tcBorders>
              <w:top w:val="nil"/>
              <w:left w:val="nil"/>
              <w:bottom w:val="nil"/>
              <w:right w:val="nil"/>
            </w:tcBorders>
          </w:tcPr>
          <w:p w14:paraId="4712E218" w14:textId="7B175FF7"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0.211</w:t>
            </w:r>
          </w:p>
        </w:tc>
      </w:tr>
      <w:tr w:rsidR="00700D23" w:rsidRPr="00AB4A23" w14:paraId="2B3A6988" w14:textId="231124E3"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73E68654" w14:textId="77777777" w:rsidR="00700D23" w:rsidRPr="00AB4A23" w:rsidRDefault="00700D23" w:rsidP="00700D23">
            <w:pPr>
              <w:ind w:left="313"/>
              <w:rPr>
                <w:sz w:val="18"/>
                <w:szCs w:val="18"/>
              </w:rPr>
            </w:pPr>
            <w:r w:rsidRPr="00AB4A23">
              <w:rPr>
                <w:sz w:val="18"/>
                <w:szCs w:val="18"/>
              </w:rPr>
              <w:t>25-29</w:t>
            </w:r>
          </w:p>
        </w:tc>
        <w:tc>
          <w:tcPr>
            <w:tcW w:w="1417" w:type="dxa"/>
            <w:tcBorders>
              <w:top w:val="nil"/>
              <w:left w:val="single" w:sz="4" w:space="0" w:color="auto"/>
              <w:bottom w:val="nil"/>
              <w:right w:val="nil"/>
            </w:tcBorders>
          </w:tcPr>
          <w:p w14:paraId="6DBC295E" w14:textId="49E72C12"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1.04</w:t>
            </w:r>
          </w:p>
        </w:tc>
        <w:tc>
          <w:tcPr>
            <w:tcW w:w="992" w:type="dxa"/>
            <w:tcBorders>
              <w:top w:val="nil"/>
              <w:left w:val="nil"/>
              <w:bottom w:val="nil"/>
              <w:right w:val="single" w:sz="4" w:space="0" w:color="auto"/>
            </w:tcBorders>
          </w:tcPr>
          <w:p w14:paraId="668BE7DE" w14:textId="085C0F58"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0.380</w:t>
            </w:r>
          </w:p>
        </w:tc>
        <w:tc>
          <w:tcPr>
            <w:tcW w:w="1276" w:type="dxa"/>
            <w:tcBorders>
              <w:top w:val="nil"/>
              <w:left w:val="single" w:sz="4" w:space="0" w:color="auto"/>
              <w:bottom w:val="nil"/>
              <w:right w:val="nil"/>
            </w:tcBorders>
          </w:tcPr>
          <w:p w14:paraId="204B1F12" w14:textId="405A4F3F"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0.97</w:t>
            </w:r>
          </w:p>
        </w:tc>
        <w:tc>
          <w:tcPr>
            <w:tcW w:w="1134" w:type="dxa"/>
            <w:tcBorders>
              <w:top w:val="nil"/>
              <w:left w:val="nil"/>
              <w:bottom w:val="nil"/>
              <w:right w:val="single" w:sz="4" w:space="0" w:color="auto"/>
            </w:tcBorders>
          </w:tcPr>
          <w:p w14:paraId="7CF3ACD5" w14:textId="0F5D0D39"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0.699</w:t>
            </w:r>
          </w:p>
        </w:tc>
        <w:tc>
          <w:tcPr>
            <w:tcW w:w="1276" w:type="dxa"/>
            <w:tcBorders>
              <w:top w:val="nil"/>
              <w:left w:val="single" w:sz="4" w:space="0" w:color="auto"/>
              <w:bottom w:val="nil"/>
              <w:right w:val="nil"/>
            </w:tcBorders>
          </w:tcPr>
          <w:p w14:paraId="176C467C" w14:textId="236012D3"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1.05</w:t>
            </w:r>
          </w:p>
        </w:tc>
        <w:tc>
          <w:tcPr>
            <w:tcW w:w="1134" w:type="dxa"/>
            <w:tcBorders>
              <w:top w:val="nil"/>
              <w:left w:val="nil"/>
              <w:bottom w:val="nil"/>
              <w:right w:val="single" w:sz="4" w:space="0" w:color="auto"/>
            </w:tcBorders>
          </w:tcPr>
          <w:p w14:paraId="18196A0B" w14:textId="37BEE053"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0.307</w:t>
            </w:r>
          </w:p>
        </w:tc>
        <w:tc>
          <w:tcPr>
            <w:tcW w:w="1276" w:type="dxa"/>
            <w:tcBorders>
              <w:top w:val="nil"/>
              <w:left w:val="single" w:sz="4" w:space="0" w:color="auto"/>
              <w:bottom w:val="nil"/>
              <w:right w:val="nil"/>
            </w:tcBorders>
          </w:tcPr>
          <w:p w14:paraId="74926E77" w14:textId="4A7F36F8"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0.97</w:t>
            </w:r>
          </w:p>
        </w:tc>
        <w:tc>
          <w:tcPr>
            <w:tcW w:w="1058" w:type="dxa"/>
            <w:tcBorders>
              <w:top w:val="nil"/>
              <w:left w:val="nil"/>
              <w:bottom w:val="nil"/>
              <w:right w:val="nil"/>
            </w:tcBorders>
          </w:tcPr>
          <w:p w14:paraId="63C0DD52" w14:textId="7A11578D"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0.713</w:t>
            </w:r>
          </w:p>
        </w:tc>
      </w:tr>
      <w:tr w:rsidR="00700D23" w:rsidRPr="00AB4A23" w14:paraId="2DA0BC76" w14:textId="49112E6C"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7AEF4D83" w14:textId="77777777" w:rsidR="00700D23" w:rsidRPr="00AB4A23" w:rsidRDefault="00700D23" w:rsidP="00700D23">
            <w:pPr>
              <w:ind w:left="313"/>
              <w:rPr>
                <w:sz w:val="18"/>
                <w:szCs w:val="18"/>
              </w:rPr>
            </w:pPr>
            <w:r w:rsidRPr="00AB4A23">
              <w:rPr>
                <w:sz w:val="18"/>
                <w:szCs w:val="18"/>
              </w:rPr>
              <w:t>30-34</w:t>
            </w:r>
          </w:p>
        </w:tc>
        <w:tc>
          <w:tcPr>
            <w:tcW w:w="1417" w:type="dxa"/>
            <w:tcBorders>
              <w:top w:val="nil"/>
              <w:left w:val="single" w:sz="4" w:space="0" w:color="auto"/>
              <w:bottom w:val="nil"/>
              <w:right w:val="nil"/>
            </w:tcBorders>
          </w:tcPr>
          <w:p w14:paraId="497D82E4" w14:textId="2F52B414"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1.00</w:t>
            </w:r>
          </w:p>
        </w:tc>
        <w:tc>
          <w:tcPr>
            <w:tcW w:w="992" w:type="dxa"/>
            <w:tcBorders>
              <w:top w:val="nil"/>
              <w:left w:val="nil"/>
              <w:bottom w:val="nil"/>
              <w:right w:val="single" w:sz="4" w:space="0" w:color="auto"/>
            </w:tcBorders>
          </w:tcPr>
          <w:p w14:paraId="6F1338AC" w14:textId="419F26AD"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0.944</w:t>
            </w:r>
          </w:p>
        </w:tc>
        <w:tc>
          <w:tcPr>
            <w:tcW w:w="1276" w:type="dxa"/>
            <w:tcBorders>
              <w:top w:val="nil"/>
              <w:left w:val="single" w:sz="4" w:space="0" w:color="auto"/>
              <w:bottom w:val="nil"/>
              <w:right w:val="nil"/>
            </w:tcBorders>
          </w:tcPr>
          <w:p w14:paraId="4F720223" w14:textId="187A0042"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0.91</w:t>
            </w:r>
          </w:p>
        </w:tc>
        <w:tc>
          <w:tcPr>
            <w:tcW w:w="1134" w:type="dxa"/>
            <w:tcBorders>
              <w:top w:val="nil"/>
              <w:left w:val="nil"/>
              <w:bottom w:val="nil"/>
              <w:right w:val="single" w:sz="4" w:space="0" w:color="auto"/>
            </w:tcBorders>
          </w:tcPr>
          <w:p w14:paraId="63C8E908" w14:textId="5DA26477"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0.196</w:t>
            </w:r>
          </w:p>
        </w:tc>
        <w:tc>
          <w:tcPr>
            <w:tcW w:w="1276" w:type="dxa"/>
            <w:tcBorders>
              <w:top w:val="nil"/>
              <w:left w:val="single" w:sz="4" w:space="0" w:color="auto"/>
              <w:bottom w:val="nil"/>
              <w:right w:val="nil"/>
            </w:tcBorders>
          </w:tcPr>
          <w:p w14:paraId="729B962B" w14:textId="30B0A86B"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1.00</w:t>
            </w:r>
          </w:p>
        </w:tc>
        <w:tc>
          <w:tcPr>
            <w:tcW w:w="1134" w:type="dxa"/>
            <w:tcBorders>
              <w:top w:val="nil"/>
              <w:left w:val="nil"/>
              <w:bottom w:val="nil"/>
              <w:right w:val="single" w:sz="4" w:space="0" w:color="auto"/>
            </w:tcBorders>
          </w:tcPr>
          <w:p w14:paraId="78FBC26B" w14:textId="0439E9AA"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0.988</w:t>
            </w:r>
          </w:p>
        </w:tc>
        <w:tc>
          <w:tcPr>
            <w:tcW w:w="1276" w:type="dxa"/>
            <w:tcBorders>
              <w:top w:val="nil"/>
              <w:left w:val="single" w:sz="4" w:space="0" w:color="auto"/>
              <w:bottom w:val="nil"/>
              <w:right w:val="nil"/>
            </w:tcBorders>
          </w:tcPr>
          <w:p w14:paraId="7D95E1F0" w14:textId="2E6CBC6F"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0.91</w:t>
            </w:r>
          </w:p>
        </w:tc>
        <w:tc>
          <w:tcPr>
            <w:tcW w:w="1058" w:type="dxa"/>
            <w:tcBorders>
              <w:top w:val="nil"/>
              <w:left w:val="nil"/>
              <w:bottom w:val="nil"/>
              <w:right w:val="nil"/>
            </w:tcBorders>
          </w:tcPr>
          <w:p w14:paraId="332ED2EE" w14:textId="2C3D8117"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0.189</w:t>
            </w:r>
          </w:p>
        </w:tc>
      </w:tr>
      <w:tr w:rsidR="00700D23" w:rsidRPr="00AB4A23" w14:paraId="7DC1E9FB" w14:textId="2605D4B5"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0A6ACB92" w14:textId="77777777" w:rsidR="00700D23" w:rsidRPr="00AB4A23" w:rsidRDefault="00700D23" w:rsidP="00700D23">
            <w:pPr>
              <w:ind w:left="313"/>
              <w:rPr>
                <w:sz w:val="18"/>
                <w:szCs w:val="18"/>
              </w:rPr>
            </w:pPr>
            <w:r w:rsidRPr="00AB4A23">
              <w:rPr>
                <w:sz w:val="18"/>
                <w:szCs w:val="18"/>
              </w:rPr>
              <w:t>35-39</w:t>
            </w:r>
          </w:p>
        </w:tc>
        <w:tc>
          <w:tcPr>
            <w:tcW w:w="1417" w:type="dxa"/>
            <w:tcBorders>
              <w:top w:val="nil"/>
              <w:left w:val="single" w:sz="4" w:space="0" w:color="auto"/>
              <w:bottom w:val="nil"/>
              <w:right w:val="nil"/>
            </w:tcBorders>
          </w:tcPr>
          <w:p w14:paraId="3E104534" w14:textId="2A77A574"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0.97</w:t>
            </w:r>
          </w:p>
        </w:tc>
        <w:tc>
          <w:tcPr>
            <w:tcW w:w="992" w:type="dxa"/>
            <w:tcBorders>
              <w:top w:val="nil"/>
              <w:left w:val="nil"/>
              <w:bottom w:val="nil"/>
              <w:right w:val="single" w:sz="4" w:space="0" w:color="auto"/>
            </w:tcBorders>
          </w:tcPr>
          <w:p w14:paraId="113BB954" w14:textId="6737A2A8"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0.484</w:t>
            </w:r>
          </w:p>
        </w:tc>
        <w:tc>
          <w:tcPr>
            <w:tcW w:w="1276" w:type="dxa"/>
            <w:tcBorders>
              <w:top w:val="nil"/>
              <w:left w:val="single" w:sz="4" w:space="0" w:color="auto"/>
              <w:bottom w:val="nil"/>
              <w:right w:val="nil"/>
            </w:tcBorders>
          </w:tcPr>
          <w:p w14:paraId="3B419266" w14:textId="4BC0DA3C"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0.93</w:t>
            </w:r>
          </w:p>
        </w:tc>
        <w:tc>
          <w:tcPr>
            <w:tcW w:w="1134" w:type="dxa"/>
            <w:tcBorders>
              <w:top w:val="nil"/>
              <w:left w:val="nil"/>
              <w:bottom w:val="nil"/>
              <w:right w:val="single" w:sz="4" w:space="0" w:color="auto"/>
            </w:tcBorders>
          </w:tcPr>
          <w:p w14:paraId="5D9A2673" w14:textId="10DDDDB3"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0.318</w:t>
            </w:r>
          </w:p>
        </w:tc>
        <w:tc>
          <w:tcPr>
            <w:tcW w:w="1276" w:type="dxa"/>
            <w:tcBorders>
              <w:top w:val="nil"/>
              <w:left w:val="single" w:sz="4" w:space="0" w:color="auto"/>
              <w:bottom w:val="nil"/>
              <w:right w:val="nil"/>
            </w:tcBorders>
          </w:tcPr>
          <w:p w14:paraId="56276072" w14:textId="3CC5DB9A"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0.97</w:t>
            </w:r>
          </w:p>
        </w:tc>
        <w:tc>
          <w:tcPr>
            <w:tcW w:w="1134" w:type="dxa"/>
            <w:tcBorders>
              <w:top w:val="nil"/>
              <w:left w:val="nil"/>
              <w:bottom w:val="nil"/>
              <w:right w:val="single" w:sz="4" w:space="0" w:color="auto"/>
            </w:tcBorders>
          </w:tcPr>
          <w:p w14:paraId="3FBFAF18" w14:textId="0D86694E"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0.501</w:t>
            </w:r>
          </w:p>
        </w:tc>
        <w:tc>
          <w:tcPr>
            <w:tcW w:w="1276" w:type="dxa"/>
            <w:tcBorders>
              <w:top w:val="nil"/>
              <w:left w:val="single" w:sz="4" w:space="0" w:color="auto"/>
              <w:bottom w:val="nil"/>
              <w:right w:val="nil"/>
            </w:tcBorders>
          </w:tcPr>
          <w:p w14:paraId="6FE81E87" w14:textId="1D0A0FD9"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0.93</w:t>
            </w:r>
          </w:p>
        </w:tc>
        <w:tc>
          <w:tcPr>
            <w:tcW w:w="1058" w:type="dxa"/>
            <w:tcBorders>
              <w:top w:val="nil"/>
              <w:left w:val="nil"/>
              <w:bottom w:val="nil"/>
              <w:right w:val="nil"/>
            </w:tcBorders>
          </w:tcPr>
          <w:p w14:paraId="48BDE2FE" w14:textId="516DDDB3"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0.305</w:t>
            </w:r>
          </w:p>
        </w:tc>
      </w:tr>
      <w:tr w:rsidR="00700D23" w:rsidRPr="00AB4A23" w14:paraId="0A4D472E" w14:textId="4176B796"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133A4B15" w14:textId="77777777" w:rsidR="00700D23" w:rsidRPr="00AB4A23" w:rsidRDefault="00700D23" w:rsidP="00700D23">
            <w:pPr>
              <w:ind w:left="313"/>
              <w:rPr>
                <w:sz w:val="18"/>
                <w:szCs w:val="18"/>
              </w:rPr>
            </w:pPr>
            <w:r w:rsidRPr="00AB4A23">
              <w:rPr>
                <w:sz w:val="18"/>
                <w:szCs w:val="18"/>
              </w:rPr>
              <w:t>40-44</w:t>
            </w:r>
          </w:p>
        </w:tc>
        <w:tc>
          <w:tcPr>
            <w:tcW w:w="1417" w:type="dxa"/>
            <w:tcBorders>
              <w:top w:val="nil"/>
              <w:left w:val="single" w:sz="4" w:space="0" w:color="auto"/>
              <w:bottom w:val="nil"/>
              <w:right w:val="nil"/>
            </w:tcBorders>
          </w:tcPr>
          <w:p w14:paraId="3E5F12B6" w14:textId="4B0932B8"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1.02</w:t>
            </w:r>
          </w:p>
        </w:tc>
        <w:tc>
          <w:tcPr>
            <w:tcW w:w="992" w:type="dxa"/>
            <w:tcBorders>
              <w:top w:val="nil"/>
              <w:left w:val="nil"/>
              <w:bottom w:val="nil"/>
              <w:right w:val="single" w:sz="4" w:space="0" w:color="auto"/>
            </w:tcBorders>
          </w:tcPr>
          <w:p w14:paraId="605D9ECA" w14:textId="6F8BB5DA"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0.605</w:t>
            </w:r>
          </w:p>
        </w:tc>
        <w:tc>
          <w:tcPr>
            <w:tcW w:w="1276" w:type="dxa"/>
            <w:tcBorders>
              <w:top w:val="nil"/>
              <w:left w:val="single" w:sz="4" w:space="0" w:color="auto"/>
              <w:bottom w:val="nil"/>
              <w:right w:val="nil"/>
            </w:tcBorders>
          </w:tcPr>
          <w:p w14:paraId="02A1A0F3" w14:textId="4DBAF8D3"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0.94</w:t>
            </w:r>
          </w:p>
        </w:tc>
        <w:tc>
          <w:tcPr>
            <w:tcW w:w="1134" w:type="dxa"/>
            <w:tcBorders>
              <w:top w:val="nil"/>
              <w:left w:val="nil"/>
              <w:bottom w:val="nil"/>
              <w:right w:val="single" w:sz="4" w:space="0" w:color="auto"/>
            </w:tcBorders>
          </w:tcPr>
          <w:p w14:paraId="0DA83D88" w14:textId="119338E0"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0.341</w:t>
            </w:r>
          </w:p>
        </w:tc>
        <w:tc>
          <w:tcPr>
            <w:tcW w:w="1276" w:type="dxa"/>
            <w:tcBorders>
              <w:top w:val="nil"/>
              <w:left w:val="single" w:sz="4" w:space="0" w:color="auto"/>
              <w:bottom w:val="nil"/>
              <w:right w:val="nil"/>
            </w:tcBorders>
          </w:tcPr>
          <w:p w14:paraId="2AFA2F7C" w14:textId="78829E50"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1.03</w:t>
            </w:r>
          </w:p>
        </w:tc>
        <w:tc>
          <w:tcPr>
            <w:tcW w:w="1134" w:type="dxa"/>
            <w:tcBorders>
              <w:top w:val="nil"/>
              <w:left w:val="nil"/>
              <w:bottom w:val="nil"/>
              <w:right w:val="single" w:sz="4" w:space="0" w:color="auto"/>
            </w:tcBorders>
          </w:tcPr>
          <w:p w14:paraId="32817567" w14:textId="4600601E"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0.574</w:t>
            </w:r>
          </w:p>
        </w:tc>
        <w:tc>
          <w:tcPr>
            <w:tcW w:w="1276" w:type="dxa"/>
            <w:tcBorders>
              <w:top w:val="nil"/>
              <w:left w:val="single" w:sz="4" w:space="0" w:color="auto"/>
              <w:bottom w:val="nil"/>
              <w:right w:val="nil"/>
            </w:tcBorders>
          </w:tcPr>
          <w:p w14:paraId="2FB4F6B5" w14:textId="481754BC"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0.93</w:t>
            </w:r>
          </w:p>
        </w:tc>
        <w:tc>
          <w:tcPr>
            <w:tcW w:w="1058" w:type="dxa"/>
            <w:tcBorders>
              <w:top w:val="nil"/>
              <w:left w:val="nil"/>
              <w:bottom w:val="nil"/>
              <w:right w:val="nil"/>
            </w:tcBorders>
          </w:tcPr>
          <w:p w14:paraId="026DD7E1" w14:textId="430C9736"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0.319</w:t>
            </w:r>
          </w:p>
        </w:tc>
      </w:tr>
      <w:tr w:rsidR="00700D23" w:rsidRPr="00AB4A23" w14:paraId="0D056CA4" w14:textId="03577E62"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51B05FBD" w14:textId="77777777" w:rsidR="00700D23" w:rsidRPr="00AB4A23" w:rsidRDefault="00700D23" w:rsidP="00700D23">
            <w:pPr>
              <w:ind w:left="313"/>
              <w:rPr>
                <w:sz w:val="18"/>
                <w:szCs w:val="18"/>
              </w:rPr>
            </w:pPr>
            <w:r w:rsidRPr="00AB4A23">
              <w:rPr>
                <w:sz w:val="18"/>
                <w:szCs w:val="18"/>
              </w:rPr>
              <w:t>45-49 (reference category)</w:t>
            </w:r>
          </w:p>
        </w:tc>
        <w:tc>
          <w:tcPr>
            <w:tcW w:w="1417" w:type="dxa"/>
            <w:tcBorders>
              <w:top w:val="nil"/>
              <w:left w:val="single" w:sz="4" w:space="0" w:color="auto"/>
              <w:bottom w:val="nil"/>
              <w:right w:val="nil"/>
            </w:tcBorders>
          </w:tcPr>
          <w:p w14:paraId="7655C00E" w14:textId="04E06865"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992" w:type="dxa"/>
            <w:tcBorders>
              <w:top w:val="nil"/>
              <w:left w:val="nil"/>
              <w:bottom w:val="nil"/>
              <w:right w:val="single" w:sz="4" w:space="0" w:color="auto"/>
            </w:tcBorders>
          </w:tcPr>
          <w:p w14:paraId="52B5D697" w14:textId="2DA8D7E8"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276" w:type="dxa"/>
            <w:tcBorders>
              <w:top w:val="nil"/>
              <w:left w:val="single" w:sz="4" w:space="0" w:color="auto"/>
              <w:bottom w:val="nil"/>
              <w:right w:val="nil"/>
            </w:tcBorders>
          </w:tcPr>
          <w:p w14:paraId="24F6424A" w14:textId="1D67EFDA"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134" w:type="dxa"/>
            <w:tcBorders>
              <w:top w:val="nil"/>
              <w:left w:val="nil"/>
              <w:bottom w:val="nil"/>
              <w:right w:val="single" w:sz="4" w:space="0" w:color="auto"/>
            </w:tcBorders>
          </w:tcPr>
          <w:p w14:paraId="1659C5C9" w14:textId="5E2CB0E8"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276" w:type="dxa"/>
            <w:tcBorders>
              <w:top w:val="nil"/>
              <w:left w:val="single" w:sz="4" w:space="0" w:color="auto"/>
              <w:bottom w:val="nil"/>
              <w:right w:val="nil"/>
            </w:tcBorders>
          </w:tcPr>
          <w:p w14:paraId="35343FD1" w14:textId="17743EE2"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w:t>
            </w:r>
          </w:p>
        </w:tc>
        <w:tc>
          <w:tcPr>
            <w:tcW w:w="1134" w:type="dxa"/>
            <w:tcBorders>
              <w:top w:val="nil"/>
              <w:left w:val="nil"/>
              <w:bottom w:val="nil"/>
              <w:right w:val="single" w:sz="4" w:space="0" w:color="auto"/>
            </w:tcBorders>
          </w:tcPr>
          <w:p w14:paraId="5D17AA40" w14:textId="619D31BA"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w:t>
            </w:r>
          </w:p>
        </w:tc>
        <w:tc>
          <w:tcPr>
            <w:tcW w:w="1276" w:type="dxa"/>
            <w:tcBorders>
              <w:top w:val="nil"/>
              <w:left w:val="single" w:sz="4" w:space="0" w:color="auto"/>
              <w:bottom w:val="nil"/>
              <w:right w:val="nil"/>
            </w:tcBorders>
          </w:tcPr>
          <w:p w14:paraId="173A23CE" w14:textId="26C95715"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058" w:type="dxa"/>
            <w:tcBorders>
              <w:top w:val="nil"/>
              <w:left w:val="nil"/>
              <w:bottom w:val="nil"/>
              <w:right w:val="nil"/>
            </w:tcBorders>
          </w:tcPr>
          <w:p w14:paraId="4E982674" w14:textId="509A7077"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r>
      <w:tr w:rsidR="00700D23" w:rsidRPr="00AB4A23" w14:paraId="5F0F827D" w14:textId="174AB1E6"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24258108" w14:textId="77777777" w:rsidR="00700D23" w:rsidRPr="00AB4A23" w:rsidRDefault="00700D23" w:rsidP="00700D23">
            <w:pPr>
              <w:rPr>
                <w:sz w:val="18"/>
                <w:szCs w:val="18"/>
              </w:rPr>
            </w:pPr>
            <w:r w:rsidRPr="00AB4A23">
              <w:rPr>
                <w:sz w:val="18"/>
                <w:szCs w:val="18"/>
              </w:rPr>
              <w:t>Education</w:t>
            </w:r>
          </w:p>
        </w:tc>
        <w:tc>
          <w:tcPr>
            <w:tcW w:w="1417" w:type="dxa"/>
            <w:tcBorders>
              <w:top w:val="nil"/>
              <w:left w:val="single" w:sz="4" w:space="0" w:color="auto"/>
              <w:bottom w:val="nil"/>
              <w:right w:val="nil"/>
            </w:tcBorders>
          </w:tcPr>
          <w:p w14:paraId="4DD3E540"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992" w:type="dxa"/>
            <w:tcBorders>
              <w:top w:val="nil"/>
              <w:left w:val="nil"/>
              <w:bottom w:val="nil"/>
              <w:right w:val="single" w:sz="4" w:space="0" w:color="auto"/>
            </w:tcBorders>
          </w:tcPr>
          <w:p w14:paraId="550E9DD1"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276" w:type="dxa"/>
            <w:tcBorders>
              <w:top w:val="nil"/>
              <w:left w:val="single" w:sz="4" w:space="0" w:color="auto"/>
              <w:bottom w:val="nil"/>
              <w:right w:val="nil"/>
            </w:tcBorders>
          </w:tcPr>
          <w:p w14:paraId="2CC94566"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134" w:type="dxa"/>
            <w:tcBorders>
              <w:top w:val="nil"/>
              <w:left w:val="nil"/>
              <w:bottom w:val="nil"/>
              <w:right w:val="single" w:sz="4" w:space="0" w:color="auto"/>
            </w:tcBorders>
          </w:tcPr>
          <w:p w14:paraId="4078382A"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276" w:type="dxa"/>
            <w:tcBorders>
              <w:top w:val="nil"/>
              <w:left w:val="single" w:sz="4" w:space="0" w:color="auto"/>
              <w:bottom w:val="nil"/>
              <w:right w:val="nil"/>
            </w:tcBorders>
          </w:tcPr>
          <w:p w14:paraId="29E09061" w14:textId="77777777"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Borders>
              <w:top w:val="nil"/>
              <w:left w:val="nil"/>
              <w:bottom w:val="nil"/>
              <w:right w:val="single" w:sz="4" w:space="0" w:color="auto"/>
            </w:tcBorders>
          </w:tcPr>
          <w:p w14:paraId="237C59EC" w14:textId="77777777"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p>
        </w:tc>
        <w:tc>
          <w:tcPr>
            <w:tcW w:w="1276" w:type="dxa"/>
            <w:tcBorders>
              <w:top w:val="nil"/>
              <w:left w:val="single" w:sz="4" w:space="0" w:color="auto"/>
              <w:bottom w:val="nil"/>
              <w:right w:val="nil"/>
            </w:tcBorders>
          </w:tcPr>
          <w:p w14:paraId="388ACA1E"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058" w:type="dxa"/>
            <w:tcBorders>
              <w:top w:val="nil"/>
              <w:left w:val="nil"/>
              <w:bottom w:val="nil"/>
              <w:right w:val="nil"/>
            </w:tcBorders>
          </w:tcPr>
          <w:p w14:paraId="2797721D"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700D23" w:rsidRPr="00AB4A23" w14:paraId="1519F966" w14:textId="3BF413E3"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710DF071" w14:textId="77777777" w:rsidR="00700D23" w:rsidRPr="00AB4A23" w:rsidRDefault="00700D23" w:rsidP="00700D23">
            <w:pPr>
              <w:ind w:left="313"/>
              <w:rPr>
                <w:sz w:val="18"/>
                <w:szCs w:val="18"/>
              </w:rPr>
            </w:pPr>
            <w:r w:rsidRPr="00AB4A23">
              <w:rPr>
                <w:sz w:val="18"/>
                <w:szCs w:val="18"/>
              </w:rPr>
              <w:t>None (reference category)</w:t>
            </w:r>
          </w:p>
        </w:tc>
        <w:tc>
          <w:tcPr>
            <w:tcW w:w="1417" w:type="dxa"/>
            <w:tcBorders>
              <w:top w:val="nil"/>
              <w:left w:val="single" w:sz="4" w:space="0" w:color="auto"/>
              <w:bottom w:val="nil"/>
              <w:right w:val="nil"/>
            </w:tcBorders>
          </w:tcPr>
          <w:p w14:paraId="3ECE02A2" w14:textId="76D88386"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992" w:type="dxa"/>
            <w:tcBorders>
              <w:top w:val="nil"/>
              <w:left w:val="nil"/>
              <w:bottom w:val="nil"/>
              <w:right w:val="single" w:sz="4" w:space="0" w:color="auto"/>
            </w:tcBorders>
          </w:tcPr>
          <w:p w14:paraId="0047C3C4" w14:textId="44E96E89"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276" w:type="dxa"/>
            <w:tcBorders>
              <w:top w:val="nil"/>
              <w:left w:val="single" w:sz="4" w:space="0" w:color="auto"/>
              <w:bottom w:val="nil"/>
              <w:right w:val="nil"/>
            </w:tcBorders>
          </w:tcPr>
          <w:p w14:paraId="5C2DF18C" w14:textId="4F3C25E0"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134" w:type="dxa"/>
            <w:tcBorders>
              <w:top w:val="nil"/>
              <w:left w:val="nil"/>
              <w:bottom w:val="nil"/>
              <w:right w:val="single" w:sz="4" w:space="0" w:color="auto"/>
            </w:tcBorders>
          </w:tcPr>
          <w:p w14:paraId="69985C4E" w14:textId="1A82D772"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276" w:type="dxa"/>
            <w:tcBorders>
              <w:top w:val="nil"/>
              <w:left w:val="single" w:sz="4" w:space="0" w:color="auto"/>
              <w:bottom w:val="nil"/>
              <w:right w:val="nil"/>
            </w:tcBorders>
          </w:tcPr>
          <w:p w14:paraId="43635955" w14:textId="66898D4D"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w:t>
            </w:r>
          </w:p>
        </w:tc>
        <w:tc>
          <w:tcPr>
            <w:tcW w:w="1134" w:type="dxa"/>
            <w:tcBorders>
              <w:top w:val="nil"/>
              <w:left w:val="nil"/>
              <w:bottom w:val="nil"/>
              <w:right w:val="single" w:sz="4" w:space="0" w:color="auto"/>
            </w:tcBorders>
          </w:tcPr>
          <w:p w14:paraId="65504AE9" w14:textId="45FEAFEB"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w:t>
            </w:r>
          </w:p>
        </w:tc>
        <w:tc>
          <w:tcPr>
            <w:tcW w:w="1276" w:type="dxa"/>
            <w:tcBorders>
              <w:top w:val="nil"/>
              <w:left w:val="single" w:sz="4" w:space="0" w:color="auto"/>
              <w:bottom w:val="nil"/>
              <w:right w:val="nil"/>
            </w:tcBorders>
          </w:tcPr>
          <w:p w14:paraId="7A8646D1" w14:textId="62B654F9"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058" w:type="dxa"/>
            <w:tcBorders>
              <w:top w:val="nil"/>
              <w:left w:val="nil"/>
              <w:bottom w:val="nil"/>
              <w:right w:val="nil"/>
            </w:tcBorders>
          </w:tcPr>
          <w:p w14:paraId="1DABCEE6" w14:textId="3C90538B"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r>
      <w:tr w:rsidR="00700D23" w:rsidRPr="00AB4A23" w14:paraId="413DE95B" w14:textId="0A1F2015"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20818876" w14:textId="77777777" w:rsidR="00700D23" w:rsidRPr="00AB4A23" w:rsidRDefault="00700D23" w:rsidP="00700D23">
            <w:pPr>
              <w:ind w:left="313"/>
              <w:rPr>
                <w:sz w:val="18"/>
                <w:szCs w:val="18"/>
              </w:rPr>
            </w:pPr>
            <w:r w:rsidRPr="00AB4A23">
              <w:rPr>
                <w:sz w:val="18"/>
                <w:szCs w:val="18"/>
              </w:rPr>
              <w:t>Primary</w:t>
            </w:r>
          </w:p>
        </w:tc>
        <w:tc>
          <w:tcPr>
            <w:tcW w:w="1417" w:type="dxa"/>
            <w:tcBorders>
              <w:top w:val="nil"/>
              <w:left w:val="single" w:sz="4" w:space="0" w:color="auto"/>
              <w:bottom w:val="nil"/>
              <w:right w:val="nil"/>
            </w:tcBorders>
          </w:tcPr>
          <w:p w14:paraId="245CD882" w14:textId="5843D4F7"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0.77</w:t>
            </w:r>
          </w:p>
        </w:tc>
        <w:tc>
          <w:tcPr>
            <w:tcW w:w="992" w:type="dxa"/>
            <w:tcBorders>
              <w:top w:val="nil"/>
              <w:left w:val="nil"/>
              <w:bottom w:val="nil"/>
              <w:right w:val="single" w:sz="4" w:space="0" w:color="auto"/>
            </w:tcBorders>
          </w:tcPr>
          <w:p w14:paraId="18EAAB33" w14:textId="71D318B0"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7DB6914D" w14:textId="783C65B9"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0.95</w:t>
            </w:r>
          </w:p>
        </w:tc>
        <w:tc>
          <w:tcPr>
            <w:tcW w:w="1134" w:type="dxa"/>
            <w:tcBorders>
              <w:top w:val="nil"/>
              <w:left w:val="nil"/>
              <w:bottom w:val="nil"/>
              <w:right w:val="single" w:sz="4" w:space="0" w:color="auto"/>
            </w:tcBorders>
          </w:tcPr>
          <w:p w14:paraId="5FF125A4" w14:textId="51B07C52"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0.507</w:t>
            </w:r>
          </w:p>
        </w:tc>
        <w:tc>
          <w:tcPr>
            <w:tcW w:w="1276" w:type="dxa"/>
            <w:tcBorders>
              <w:top w:val="nil"/>
              <w:left w:val="single" w:sz="4" w:space="0" w:color="auto"/>
              <w:bottom w:val="nil"/>
              <w:right w:val="nil"/>
            </w:tcBorders>
          </w:tcPr>
          <w:p w14:paraId="7852E8CF" w14:textId="56AFA841"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0.85</w:t>
            </w:r>
          </w:p>
        </w:tc>
        <w:tc>
          <w:tcPr>
            <w:tcW w:w="1134" w:type="dxa"/>
            <w:tcBorders>
              <w:top w:val="nil"/>
              <w:left w:val="nil"/>
              <w:bottom w:val="nil"/>
              <w:right w:val="single" w:sz="4" w:space="0" w:color="auto"/>
            </w:tcBorders>
          </w:tcPr>
          <w:p w14:paraId="7A6F470B" w14:textId="2BD6B64F"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0.027</w:t>
            </w:r>
          </w:p>
        </w:tc>
        <w:tc>
          <w:tcPr>
            <w:tcW w:w="1276" w:type="dxa"/>
            <w:tcBorders>
              <w:top w:val="nil"/>
              <w:left w:val="single" w:sz="4" w:space="0" w:color="auto"/>
              <w:bottom w:val="nil"/>
              <w:right w:val="nil"/>
            </w:tcBorders>
          </w:tcPr>
          <w:p w14:paraId="09D566E0" w14:textId="3DBDC631"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1.46</w:t>
            </w:r>
          </w:p>
        </w:tc>
        <w:tc>
          <w:tcPr>
            <w:tcW w:w="1058" w:type="dxa"/>
            <w:tcBorders>
              <w:top w:val="nil"/>
              <w:left w:val="nil"/>
              <w:bottom w:val="nil"/>
              <w:right w:val="nil"/>
            </w:tcBorders>
          </w:tcPr>
          <w:p w14:paraId="671E749B" w14:textId="73124B77"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0.110</w:t>
            </w:r>
          </w:p>
        </w:tc>
      </w:tr>
      <w:tr w:rsidR="00700D23" w:rsidRPr="00AB4A23" w14:paraId="564D9772" w14:textId="77C0E4F5"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7F2E2DA8" w14:textId="77777777" w:rsidR="00700D23" w:rsidRPr="00AB4A23" w:rsidRDefault="00700D23" w:rsidP="00700D23">
            <w:pPr>
              <w:ind w:left="313"/>
              <w:rPr>
                <w:sz w:val="18"/>
                <w:szCs w:val="18"/>
              </w:rPr>
            </w:pPr>
            <w:r w:rsidRPr="00AB4A23">
              <w:rPr>
                <w:sz w:val="18"/>
                <w:szCs w:val="18"/>
              </w:rPr>
              <w:t>Secondary</w:t>
            </w:r>
          </w:p>
        </w:tc>
        <w:tc>
          <w:tcPr>
            <w:tcW w:w="1417" w:type="dxa"/>
            <w:tcBorders>
              <w:top w:val="nil"/>
              <w:left w:val="single" w:sz="4" w:space="0" w:color="auto"/>
              <w:bottom w:val="nil"/>
              <w:right w:val="nil"/>
            </w:tcBorders>
          </w:tcPr>
          <w:p w14:paraId="299A91ED" w14:textId="78B9F08D"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0.63</w:t>
            </w:r>
          </w:p>
        </w:tc>
        <w:tc>
          <w:tcPr>
            <w:tcW w:w="992" w:type="dxa"/>
            <w:tcBorders>
              <w:top w:val="nil"/>
              <w:left w:val="nil"/>
              <w:bottom w:val="nil"/>
              <w:right w:val="single" w:sz="4" w:space="0" w:color="auto"/>
            </w:tcBorders>
          </w:tcPr>
          <w:p w14:paraId="29DCE95F" w14:textId="104E5AF2"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1AF1A4CD" w14:textId="6C1406CB"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0.76</w:t>
            </w:r>
          </w:p>
        </w:tc>
        <w:tc>
          <w:tcPr>
            <w:tcW w:w="1134" w:type="dxa"/>
            <w:tcBorders>
              <w:top w:val="nil"/>
              <w:left w:val="nil"/>
              <w:bottom w:val="nil"/>
              <w:right w:val="single" w:sz="4" w:space="0" w:color="auto"/>
            </w:tcBorders>
          </w:tcPr>
          <w:p w14:paraId="434C044B" w14:textId="57558A36"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065B2078" w14:textId="671CAF5E"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0.73</w:t>
            </w:r>
          </w:p>
        </w:tc>
        <w:tc>
          <w:tcPr>
            <w:tcW w:w="1134" w:type="dxa"/>
            <w:tcBorders>
              <w:top w:val="nil"/>
              <w:left w:val="nil"/>
              <w:bottom w:val="nil"/>
              <w:right w:val="single" w:sz="4" w:space="0" w:color="auto"/>
            </w:tcBorders>
          </w:tcPr>
          <w:p w14:paraId="075A7105" w14:textId="52808B9A"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≤0.001</w:t>
            </w:r>
          </w:p>
        </w:tc>
        <w:tc>
          <w:tcPr>
            <w:tcW w:w="1276" w:type="dxa"/>
            <w:tcBorders>
              <w:top w:val="nil"/>
              <w:left w:val="single" w:sz="4" w:space="0" w:color="auto"/>
              <w:bottom w:val="nil"/>
              <w:right w:val="nil"/>
            </w:tcBorders>
          </w:tcPr>
          <w:p w14:paraId="0B7A47E4" w14:textId="7D4CD8B5"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0.76</w:t>
            </w:r>
          </w:p>
        </w:tc>
        <w:tc>
          <w:tcPr>
            <w:tcW w:w="1058" w:type="dxa"/>
            <w:tcBorders>
              <w:top w:val="nil"/>
              <w:left w:val="nil"/>
              <w:bottom w:val="nil"/>
              <w:right w:val="nil"/>
            </w:tcBorders>
          </w:tcPr>
          <w:p w14:paraId="3E1C909A" w14:textId="58A21A7A"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0.315</w:t>
            </w:r>
          </w:p>
        </w:tc>
      </w:tr>
      <w:tr w:rsidR="00700D23" w:rsidRPr="00AB4A23" w14:paraId="3FCDF749" w14:textId="6DE9541F"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79B7E752" w14:textId="77777777" w:rsidR="00700D23" w:rsidRPr="00AB4A23" w:rsidRDefault="00700D23" w:rsidP="00700D23">
            <w:pPr>
              <w:ind w:left="313"/>
              <w:rPr>
                <w:sz w:val="18"/>
                <w:szCs w:val="18"/>
              </w:rPr>
            </w:pPr>
            <w:r w:rsidRPr="00AB4A23">
              <w:rPr>
                <w:sz w:val="18"/>
                <w:szCs w:val="18"/>
              </w:rPr>
              <w:t>Higher</w:t>
            </w:r>
          </w:p>
        </w:tc>
        <w:tc>
          <w:tcPr>
            <w:tcW w:w="1417" w:type="dxa"/>
            <w:tcBorders>
              <w:top w:val="nil"/>
              <w:left w:val="single" w:sz="4" w:space="0" w:color="auto"/>
              <w:bottom w:val="nil"/>
              <w:right w:val="nil"/>
            </w:tcBorders>
          </w:tcPr>
          <w:p w14:paraId="1F323F1C" w14:textId="76BC42C5"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0.40</w:t>
            </w:r>
          </w:p>
        </w:tc>
        <w:tc>
          <w:tcPr>
            <w:tcW w:w="992" w:type="dxa"/>
            <w:tcBorders>
              <w:top w:val="nil"/>
              <w:left w:val="nil"/>
              <w:bottom w:val="nil"/>
              <w:right w:val="single" w:sz="4" w:space="0" w:color="auto"/>
            </w:tcBorders>
          </w:tcPr>
          <w:p w14:paraId="65ABD4A2" w14:textId="2903A3FF"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0C09454A" w14:textId="716367CC"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0.47</w:t>
            </w:r>
          </w:p>
        </w:tc>
        <w:tc>
          <w:tcPr>
            <w:tcW w:w="1134" w:type="dxa"/>
            <w:tcBorders>
              <w:top w:val="nil"/>
              <w:left w:val="nil"/>
              <w:bottom w:val="nil"/>
              <w:right w:val="single" w:sz="4" w:space="0" w:color="auto"/>
            </w:tcBorders>
          </w:tcPr>
          <w:p w14:paraId="5AB3D3B7" w14:textId="0D91E424"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4F55661A" w14:textId="287886B6"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0.52</w:t>
            </w:r>
          </w:p>
        </w:tc>
        <w:tc>
          <w:tcPr>
            <w:tcW w:w="1134" w:type="dxa"/>
            <w:tcBorders>
              <w:top w:val="nil"/>
              <w:left w:val="nil"/>
              <w:bottom w:val="nil"/>
              <w:right w:val="single" w:sz="4" w:space="0" w:color="auto"/>
            </w:tcBorders>
          </w:tcPr>
          <w:p w14:paraId="4225A9F6" w14:textId="32D4BFF2"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≤0.001</w:t>
            </w:r>
          </w:p>
        </w:tc>
        <w:tc>
          <w:tcPr>
            <w:tcW w:w="1276" w:type="dxa"/>
            <w:tcBorders>
              <w:top w:val="nil"/>
              <w:left w:val="single" w:sz="4" w:space="0" w:color="auto"/>
              <w:bottom w:val="nil"/>
              <w:right w:val="nil"/>
            </w:tcBorders>
          </w:tcPr>
          <w:p w14:paraId="752974B3" w14:textId="49228004"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0.12</w:t>
            </w:r>
          </w:p>
        </w:tc>
        <w:tc>
          <w:tcPr>
            <w:tcW w:w="1058" w:type="dxa"/>
            <w:tcBorders>
              <w:top w:val="nil"/>
              <w:left w:val="nil"/>
              <w:bottom w:val="nil"/>
              <w:right w:val="nil"/>
            </w:tcBorders>
          </w:tcPr>
          <w:p w14:paraId="2B4D2ABD" w14:textId="21524E09"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0.014</w:t>
            </w:r>
          </w:p>
        </w:tc>
      </w:tr>
      <w:tr w:rsidR="00700D23" w:rsidRPr="00AB4A23" w14:paraId="03FEC838" w14:textId="703A565E"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215DF54A" w14:textId="77777777" w:rsidR="00700D23" w:rsidRPr="00AB4A23" w:rsidRDefault="00700D23" w:rsidP="00700D23">
            <w:pPr>
              <w:rPr>
                <w:sz w:val="18"/>
                <w:szCs w:val="18"/>
              </w:rPr>
            </w:pPr>
            <w:r w:rsidRPr="00AB4A23">
              <w:rPr>
                <w:sz w:val="18"/>
                <w:szCs w:val="18"/>
              </w:rPr>
              <w:t>Currently working</w:t>
            </w:r>
          </w:p>
        </w:tc>
        <w:tc>
          <w:tcPr>
            <w:tcW w:w="1417" w:type="dxa"/>
            <w:tcBorders>
              <w:top w:val="nil"/>
              <w:left w:val="single" w:sz="4" w:space="0" w:color="auto"/>
              <w:bottom w:val="nil"/>
              <w:right w:val="nil"/>
            </w:tcBorders>
          </w:tcPr>
          <w:p w14:paraId="2C97EBBB" w14:textId="5274DEA7"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0.76</w:t>
            </w:r>
          </w:p>
        </w:tc>
        <w:tc>
          <w:tcPr>
            <w:tcW w:w="992" w:type="dxa"/>
            <w:tcBorders>
              <w:top w:val="nil"/>
              <w:left w:val="nil"/>
              <w:bottom w:val="nil"/>
              <w:right w:val="single" w:sz="4" w:space="0" w:color="auto"/>
            </w:tcBorders>
          </w:tcPr>
          <w:p w14:paraId="5B3B2239" w14:textId="688E88C1"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069CD4E1" w14:textId="13A0F13C"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1.41</w:t>
            </w:r>
          </w:p>
        </w:tc>
        <w:tc>
          <w:tcPr>
            <w:tcW w:w="1134" w:type="dxa"/>
            <w:tcBorders>
              <w:top w:val="nil"/>
              <w:left w:val="nil"/>
              <w:bottom w:val="nil"/>
              <w:right w:val="single" w:sz="4" w:space="0" w:color="auto"/>
            </w:tcBorders>
          </w:tcPr>
          <w:p w14:paraId="499F6BFE" w14:textId="331F0ACD"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523E13DA" w14:textId="26D479DD"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0.89</w:t>
            </w:r>
          </w:p>
        </w:tc>
        <w:tc>
          <w:tcPr>
            <w:tcW w:w="1134" w:type="dxa"/>
            <w:tcBorders>
              <w:top w:val="nil"/>
              <w:left w:val="nil"/>
              <w:bottom w:val="nil"/>
              <w:right w:val="single" w:sz="4" w:space="0" w:color="auto"/>
            </w:tcBorders>
          </w:tcPr>
          <w:p w14:paraId="465AD5DF" w14:textId="4053C9AF"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0.131</w:t>
            </w:r>
          </w:p>
        </w:tc>
        <w:tc>
          <w:tcPr>
            <w:tcW w:w="1276" w:type="dxa"/>
            <w:tcBorders>
              <w:top w:val="nil"/>
              <w:left w:val="single" w:sz="4" w:space="0" w:color="auto"/>
              <w:bottom w:val="nil"/>
              <w:right w:val="nil"/>
            </w:tcBorders>
          </w:tcPr>
          <w:p w14:paraId="306FE2AD" w14:textId="44B45F40"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1.57</w:t>
            </w:r>
          </w:p>
        </w:tc>
        <w:tc>
          <w:tcPr>
            <w:tcW w:w="1058" w:type="dxa"/>
            <w:tcBorders>
              <w:top w:val="nil"/>
              <w:left w:val="nil"/>
              <w:bottom w:val="nil"/>
              <w:right w:val="nil"/>
            </w:tcBorders>
          </w:tcPr>
          <w:p w14:paraId="09105720" w14:textId="0DD0EEE8"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0.027</w:t>
            </w:r>
          </w:p>
        </w:tc>
      </w:tr>
      <w:tr w:rsidR="00700D23" w:rsidRPr="00AB4A23" w14:paraId="1252839F" w14:textId="7FA8FA27"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0AEAF202" w14:textId="7A10301D" w:rsidR="00700D23" w:rsidRPr="00AB4A23" w:rsidRDefault="00700D23" w:rsidP="00700D23">
            <w:pPr>
              <w:rPr>
                <w:sz w:val="18"/>
                <w:szCs w:val="18"/>
              </w:rPr>
            </w:pPr>
            <w:r w:rsidRPr="00AB4A23">
              <w:rPr>
                <w:sz w:val="18"/>
                <w:szCs w:val="18"/>
              </w:rPr>
              <w:t>Rural residency</w:t>
            </w:r>
          </w:p>
        </w:tc>
        <w:tc>
          <w:tcPr>
            <w:tcW w:w="1417" w:type="dxa"/>
            <w:tcBorders>
              <w:top w:val="nil"/>
              <w:left w:val="single" w:sz="4" w:space="0" w:color="auto"/>
              <w:bottom w:val="nil"/>
              <w:right w:val="nil"/>
            </w:tcBorders>
          </w:tcPr>
          <w:p w14:paraId="7252E5DB" w14:textId="33A4C314"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1.18</w:t>
            </w:r>
          </w:p>
        </w:tc>
        <w:tc>
          <w:tcPr>
            <w:tcW w:w="992" w:type="dxa"/>
            <w:tcBorders>
              <w:top w:val="nil"/>
              <w:left w:val="nil"/>
              <w:bottom w:val="nil"/>
              <w:right w:val="single" w:sz="4" w:space="0" w:color="auto"/>
            </w:tcBorders>
          </w:tcPr>
          <w:p w14:paraId="7148E610" w14:textId="637EB43F"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14AED60C" w14:textId="1BA581F6"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1.15</w:t>
            </w:r>
          </w:p>
        </w:tc>
        <w:tc>
          <w:tcPr>
            <w:tcW w:w="1134" w:type="dxa"/>
            <w:tcBorders>
              <w:top w:val="nil"/>
              <w:left w:val="nil"/>
              <w:bottom w:val="nil"/>
              <w:right w:val="single" w:sz="4" w:space="0" w:color="auto"/>
            </w:tcBorders>
          </w:tcPr>
          <w:p w14:paraId="125642EF" w14:textId="2033C469"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0.016</w:t>
            </w:r>
          </w:p>
        </w:tc>
        <w:tc>
          <w:tcPr>
            <w:tcW w:w="1276" w:type="dxa"/>
            <w:tcBorders>
              <w:top w:val="nil"/>
              <w:left w:val="single" w:sz="4" w:space="0" w:color="auto"/>
              <w:bottom w:val="nil"/>
              <w:right w:val="nil"/>
            </w:tcBorders>
          </w:tcPr>
          <w:p w14:paraId="038D30D3" w14:textId="0A7B78B4"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1.18</w:t>
            </w:r>
          </w:p>
        </w:tc>
        <w:tc>
          <w:tcPr>
            <w:tcW w:w="1134" w:type="dxa"/>
            <w:tcBorders>
              <w:top w:val="nil"/>
              <w:left w:val="nil"/>
              <w:bottom w:val="nil"/>
              <w:right w:val="single" w:sz="4" w:space="0" w:color="auto"/>
            </w:tcBorders>
          </w:tcPr>
          <w:p w14:paraId="661CE96E" w14:textId="3DD24BC3"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≤0.001</w:t>
            </w:r>
          </w:p>
        </w:tc>
        <w:tc>
          <w:tcPr>
            <w:tcW w:w="1276" w:type="dxa"/>
            <w:tcBorders>
              <w:top w:val="nil"/>
              <w:left w:val="single" w:sz="4" w:space="0" w:color="auto"/>
              <w:bottom w:val="nil"/>
              <w:right w:val="nil"/>
            </w:tcBorders>
          </w:tcPr>
          <w:p w14:paraId="23B67817" w14:textId="60CCC2E1"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1.15</w:t>
            </w:r>
          </w:p>
        </w:tc>
        <w:tc>
          <w:tcPr>
            <w:tcW w:w="1058" w:type="dxa"/>
            <w:tcBorders>
              <w:top w:val="nil"/>
              <w:left w:val="nil"/>
              <w:bottom w:val="nil"/>
              <w:right w:val="nil"/>
            </w:tcBorders>
          </w:tcPr>
          <w:p w14:paraId="1091AB1F" w14:textId="7B4D3B12"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0.018</w:t>
            </w:r>
          </w:p>
        </w:tc>
      </w:tr>
      <w:tr w:rsidR="00700D23" w:rsidRPr="00AB4A23" w14:paraId="39C28E6B" w14:textId="65AE535F"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4DEFFF8E" w14:textId="05F5FD25" w:rsidR="00700D23" w:rsidRPr="00AB4A23" w:rsidRDefault="00700D23" w:rsidP="00700D23">
            <w:pPr>
              <w:rPr>
                <w:b w:val="0"/>
                <w:bCs w:val="0"/>
                <w:sz w:val="18"/>
                <w:szCs w:val="18"/>
              </w:rPr>
            </w:pPr>
            <w:r w:rsidRPr="00AB4A23">
              <w:rPr>
                <w:sz w:val="18"/>
                <w:szCs w:val="18"/>
              </w:rPr>
              <w:t>Wealth quintile</w:t>
            </w:r>
          </w:p>
        </w:tc>
        <w:tc>
          <w:tcPr>
            <w:tcW w:w="1417" w:type="dxa"/>
            <w:tcBorders>
              <w:top w:val="nil"/>
              <w:left w:val="single" w:sz="4" w:space="0" w:color="auto"/>
              <w:bottom w:val="nil"/>
              <w:right w:val="nil"/>
            </w:tcBorders>
          </w:tcPr>
          <w:p w14:paraId="0B2BBCDC"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992" w:type="dxa"/>
            <w:tcBorders>
              <w:top w:val="nil"/>
              <w:left w:val="nil"/>
              <w:bottom w:val="nil"/>
              <w:right w:val="single" w:sz="4" w:space="0" w:color="auto"/>
            </w:tcBorders>
          </w:tcPr>
          <w:p w14:paraId="27F90855"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276" w:type="dxa"/>
            <w:tcBorders>
              <w:top w:val="nil"/>
              <w:left w:val="single" w:sz="4" w:space="0" w:color="auto"/>
              <w:bottom w:val="nil"/>
              <w:right w:val="nil"/>
            </w:tcBorders>
          </w:tcPr>
          <w:p w14:paraId="17C17880"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134" w:type="dxa"/>
            <w:tcBorders>
              <w:top w:val="nil"/>
              <w:left w:val="nil"/>
              <w:bottom w:val="nil"/>
              <w:right w:val="single" w:sz="4" w:space="0" w:color="auto"/>
            </w:tcBorders>
          </w:tcPr>
          <w:p w14:paraId="7438953F"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276" w:type="dxa"/>
            <w:tcBorders>
              <w:top w:val="nil"/>
              <w:left w:val="single" w:sz="4" w:space="0" w:color="auto"/>
              <w:bottom w:val="nil"/>
              <w:right w:val="nil"/>
            </w:tcBorders>
          </w:tcPr>
          <w:p w14:paraId="4A48B389" w14:textId="77777777"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Borders>
              <w:top w:val="nil"/>
              <w:left w:val="nil"/>
              <w:bottom w:val="nil"/>
              <w:right w:val="single" w:sz="4" w:space="0" w:color="auto"/>
            </w:tcBorders>
          </w:tcPr>
          <w:p w14:paraId="65645AF7" w14:textId="77777777"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p>
        </w:tc>
        <w:tc>
          <w:tcPr>
            <w:tcW w:w="1276" w:type="dxa"/>
            <w:tcBorders>
              <w:top w:val="nil"/>
              <w:left w:val="single" w:sz="4" w:space="0" w:color="auto"/>
              <w:bottom w:val="nil"/>
              <w:right w:val="nil"/>
            </w:tcBorders>
          </w:tcPr>
          <w:p w14:paraId="41C0495E"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058" w:type="dxa"/>
            <w:tcBorders>
              <w:top w:val="nil"/>
              <w:left w:val="nil"/>
              <w:bottom w:val="nil"/>
              <w:right w:val="nil"/>
            </w:tcBorders>
          </w:tcPr>
          <w:p w14:paraId="6BC15926"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700D23" w:rsidRPr="00AB4A23" w14:paraId="036BD47D" w14:textId="79AAD987"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2CC33824" w14:textId="27916899" w:rsidR="00700D23" w:rsidRPr="00AB4A23" w:rsidRDefault="00700D23" w:rsidP="00700D23">
            <w:pPr>
              <w:ind w:left="312"/>
              <w:rPr>
                <w:sz w:val="18"/>
                <w:szCs w:val="18"/>
              </w:rPr>
            </w:pPr>
            <w:r w:rsidRPr="00AB4A23">
              <w:rPr>
                <w:sz w:val="18"/>
                <w:szCs w:val="18"/>
              </w:rPr>
              <w:t>Poorest (reference category)</w:t>
            </w:r>
          </w:p>
        </w:tc>
        <w:tc>
          <w:tcPr>
            <w:tcW w:w="1417" w:type="dxa"/>
            <w:tcBorders>
              <w:top w:val="nil"/>
              <w:left w:val="single" w:sz="4" w:space="0" w:color="auto"/>
              <w:bottom w:val="nil"/>
              <w:right w:val="nil"/>
            </w:tcBorders>
          </w:tcPr>
          <w:p w14:paraId="584D94AB" w14:textId="3A6E3B46"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992" w:type="dxa"/>
            <w:tcBorders>
              <w:top w:val="nil"/>
              <w:left w:val="nil"/>
              <w:bottom w:val="nil"/>
              <w:right w:val="single" w:sz="4" w:space="0" w:color="auto"/>
            </w:tcBorders>
          </w:tcPr>
          <w:p w14:paraId="334D4AEC" w14:textId="2D837A2D"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276" w:type="dxa"/>
            <w:tcBorders>
              <w:top w:val="nil"/>
              <w:left w:val="single" w:sz="4" w:space="0" w:color="auto"/>
              <w:bottom w:val="nil"/>
              <w:right w:val="nil"/>
            </w:tcBorders>
          </w:tcPr>
          <w:p w14:paraId="374021AB" w14:textId="6A304B26"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134" w:type="dxa"/>
            <w:tcBorders>
              <w:top w:val="nil"/>
              <w:left w:val="nil"/>
              <w:bottom w:val="nil"/>
              <w:right w:val="single" w:sz="4" w:space="0" w:color="auto"/>
            </w:tcBorders>
          </w:tcPr>
          <w:p w14:paraId="3258601C" w14:textId="2EE1E133"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276" w:type="dxa"/>
            <w:tcBorders>
              <w:top w:val="nil"/>
              <w:left w:val="single" w:sz="4" w:space="0" w:color="auto"/>
              <w:bottom w:val="nil"/>
              <w:right w:val="nil"/>
            </w:tcBorders>
          </w:tcPr>
          <w:p w14:paraId="74708650" w14:textId="47B13E6C"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w:t>
            </w:r>
          </w:p>
        </w:tc>
        <w:tc>
          <w:tcPr>
            <w:tcW w:w="1134" w:type="dxa"/>
            <w:tcBorders>
              <w:top w:val="nil"/>
              <w:left w:val="nil"/>
              <w:bottom w:val="nil"/>
              <w:right w:val="single" w:sz="4" w:space="0" w:color="auto"/>
            </w:tcBorders>
          </w:tcPr>
          <w:p w14:paraId="7746744A" w14:textId="75B4931E"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w:t>
            </w:r>
          </w:p>
        </w:tc>
        <w:tc>
          <w:tcPr>
            <w:tcW w:w="1276" w:type="dxa"/>
            <w:tcBorders>
              <w:top w:val="nil"/>
              <w:left w:val="single" w:sz="4" w:space="0" w:color="auto"/>
              <w:bottom w:val="nil"/>
              <w:right w:val="nil"/>
            </w:tcBorders>
          </w:tcPr>
          <w:p w14:paraId="19A081A7" w14:textId="1D1F4BE9"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058" w:type="dxa"/>
            <w:tcBorders>
              <w:top w:val="nil"/>
              <w:left w:val="nil"/>
              <w:bottom w:val="nil"/>
              <w:right w:val="nil"/>
            </w:tcBorders>
          </w:tcPr>
          <w:p w14:paraId="2A6802E9" w14:textId="7D40B7B6" w:rsidR="00700D23" w:rsidRPr="00450982" w:rsidRDefault="00FA6B68"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r>
      <w:tr w:rsidR="00700D23" w:rsidRPr="00AB4A23" w14:paraId="5A9C251C" w14:textId="720A6AA0"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6242678A" w14:textId="6A4F20A4" w:rsidR="00700D23" w:rsidRPr="00AB4A23" w:rsidRDefault="00700D23" w:rsidP="00700D23">
            <w:pPr>
              <w:ind w:left="312"/>
              <w:rPr>
                <w:sz w:val="18"/>
                <w:szCs w:val="18"/>
              </w:rPr>
            </w:pPr>
            <w:r w:rsidRPr="00AB4A23">
              <w:rPr>
                <w:sz w:val="18"/>
                <w:szCs w:val="18"/>
              </w:rPr>
              <w:t>Poor</w:t>
            </w:r>
          </w:p>
        </w:tc>
        <w:tc>
          <w:tcPr>
            <w:tcW w:w="1417" w:type="dxa"/>
            <w:tcBorders>
              <w:top w:val="nil"/>
              <w:left w:val="single" w:sz="4" w:space="0" w:color="auto"/>
              <w:bottom w:val="nil"/>
              <w:right w:val="nil"/>
            </w:tcBorders>
          </w:tcPr>
          <w:p w14:paraId="288AFD2A" w14:textId="5A349284"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0.80</w:t>
            </w:r>
          </w:p>
        </w:tc>
        <w:tc>
          <w:tcPr>
            <w:tcW w:w="992" w:type="dxa"/>
            <w:tcBorders>
              <w:top w:val="nil"/>
              <w:left w:val="nil"/>
              <w:bottom w:val="nil"/>
              <w:right w:val="single" w:sz="4" w:space="0" w:color="auto"/>
            </w:tcBorders>
          </w:tcPr>
          <w:p w14:paraId="771EFA8A" w14:textId="2DE5CAAA"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7A7E6881" w14:textId="143AD2DB"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0.89</w:t>
            </w:r>
          </w:p>
        </w:tc>
        <w:tc>
          <w:tcPr>
            <w:tcW w:w="1134" w:type="dxa"/>
            <w:tcBorders>
              <w:top w:val="nil"/>
              <w:left w:val="nil"/>
              <w:bottom w:val="nil"/>
              <w:right w:val="single" w:sz="4" w:space="0" w:color="auto"/>
            </w:tcBorders>
          </w:tcPr>
          <w:p w14:paraId="5E7C1E1D" w14:textId="7A47AB01"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0.060</w:t>
            </w:r>
          </w:p>
        </w:tc>
        <w:tc>
          <w:tcPr>
            <w:tcW w:w="1276" w:type="dxa"/>
            <w:tcBorders>
              <w:top w:val="nil"/>
              <w:left w:val="single" w:sz="4" w:space="0" w:color="auto"/>
              <w:bottom w:val="nil"/>
              <w:right w:val="nil"/>
            </w:tcBorders>
          </w:tcPr>
          <w:p w14:paraId="419B3782" w14:textId="2B7CD698"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0.79</w:t>
            </w:r>
          </w:p>
        </w:tc>
        <w:tc>
          <w:tcPr>
            <w:tcW w:w="1134" w:type="dxa"/>
            <w:tcBorders>
              <w:top w:val="nil"/>
              <w:left w:val="nil"/>
              <w:bottom w:val="nil"/>
              <w:right w:val="single" w:sz="4" w:space="0" w:color="auto"/>
            </w:tcBorders>
          </w:tcPr>
          <w:p w14:paraId="272909D3" w14:textId="6F413FE3"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≤0.001</w:t>
            </w:r>
          </w:p>
        </w:tc>
        <w:tc>
          <w:tcPr>
            <w:tcW w:w="1276" w:type="dxa"/>
            <w:tcBorders>
              <w:top w:val="nil"/>
              <w:left w:val="single" w:sz="4" w:space="0" w:color="auto"/>
              <w:bottom w:val="nil"/>
              <w:right w:val="nil"/>
            </w:tcBorders>
          </w:tcPr>
          <w:p w14:paraId="7B6B7FC4" w14:textId="0E964F6D"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0.89</w:t>
            </w:r>
          </w:p>
        </w:tc>
        <w:tc>
          <w:tcPr>
            <w:tcW w:w="1058" w:type="dxa"/>
            <w:tcBorders>
              <w:top w:val="nil"/>
              <w:left w:val="nil"/>
              <w:bottom w:val="nil"/>
              <w:right w:val="nil"/>
            </w:tcBorders>
          </w:tcPr>
          <w:p w14:paraId="14A97BA8" w14:textId="1D0C43E1"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0.064</w:t>
            </w:r>
          </w:p>
        </w:tc>
      </w:tr>
      <w:tr w:rsidR="00700D23" w:rsidRPr="00AB4A23" w14:paraId="64186894" w14:textId="4EB84B32"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41F97C2D" w14:textId="6BE0F89F" w:rsidR="00700D23" w:rsidRPr="00AB4A23" w:rsidRDefault="00700D23" w:rsidP="00700D23">
            <w:pPr>
              <w:ind w:left="312"/>
              <w:rPr>
                <w:sz w:val="18"/>
                <w:szCs w:val="18"/>
              </w:rPr>
            </w:pPr>
            <w:r w:rsidRPr="00AB4A23">
              <w:rPr>
                <w:sz w:val="18"/>
                <w:szCs w:val="18"/>
              </w:rPr>
              <w:t>Middle</w:t>
            </w:r>
          </w:p>
        </w:tc>
        <w:tc>
          <w:tcPr>
            <w:tcW w:w="1417" w:type="dxa"/>
            <w:tcBorders>
              <w:top w:val="nil"/>
              <w:left w:val="single" w:sz="4" w:space="0" w:color="auto"/>
              <w:bottom w:val="nil"/>
              <w:right w:val="nil"/>
            </w:tcBorders>
          </w:tcPr>
          <w:p w14:paraId="1B1D9EA5" w14:textId="12AED875"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0.74</w:t>
            </w:r>
          </w:p>
        </w:tc>
        <w:tc>
          <w:tcPr>
            <w:tcW w:w="992" w:type="dxa"/>
            <w:tcBorders>
              <w:top w:val="nil"/>
              <w:left w:val="nil"/>
              <w:bottom w:val="nil"/>
              <w:right w:val="single" w:sz="4" w:space="0" w:color="auto"/>
            </w:tcBorders>
          </w:tcPr>
          <w:p w14:paraId="5A5BE0AE" w14:textId="58B2C164"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11C74AA8" w14:textId="18873785"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0.79</w:t>
            </w:r>
          </w:p>
        </w:tc>
        <w:tc>
          <w:tcPr>
            <w:tcW w:w="1134" w:type="dxa"/>
            <w:tcBorders>
              <w:top w:val="nil"/>
              <w:left w:val="nil"/>
              <w:bottom w:val="nil"/>
              <w:right w:val="single" w:sz="4" w:space="0" w:color="auto"/>
            </w:tcBorders>
          </w:tcPr>
          <w:p w14:paraId="2587C189" w14:textId="1669A51D"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3C15E93E" w14:textId="353CC9EC"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0.74</w:t>
            </w:r>
          </w:p>
        </w:tc>
        <w:tc>
          <w:tcPr>
            <w:tcW w:w="1134" w:type="dxa"/>
            <w:tcBorders>
              <w:top w:val="nil"/>
              <w:left w:val="nil"/>
              <w:bottom w:val="nil"/>
              <w:right w:val="single" w:sz="4" w:space="0" w:color="auto"/>
            </w:tcBorders>
          </w:tcPr>
          <w:p w14:paraId="772BA7F1" w14:textId="781B3048"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≤0.001</w:t>
            </w:r>
          </w:p>
        </w:tc>
        <w:tc>
          <w:tcPr>
            <w:tcW w:w="1276" w:type="dxa"/>
            <w:tcBorders>
              <w:top w:val="nil"/>
              <w:left w:val="single" w:sz="4" w:space="0" w:color="auto"/>
              <w:bottom w:val="nil"/>
              <w:right w:val="nil"/>
            </w:tcBorders>
          </w:tcPr>
          <w:p w14:paraId="1BB72F0E" w14:textId="5DA93EED"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0.79</w:t>
            </w:r>
          </w:p>
        </w:tc>
        <w:tc>
          <w:tcPr>
            <w:tcW w:w="1058" w:type="dxa"/>
            <w:tcBorders>
              <w:top w:val="nil"/>
              <w:left w:val="nil"/>
              <w:bottom w:val="nil"/>
              <w:right w:val="nil"/>
            </w:tcBorders>
          </w:tcPr>
          <w:p w14:paraId="0F29A95D" w14:textId="79E05281"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r>
      <w:tr w:rsidR="00700D23" w:rsidRPr="00AB4A23" w14:paraId="4A84109F" w14:textId="49D1B84C"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164D7813" w14:textId="762469E7" w:rsidR="00700D23" w:rsidRPr="00AB4A23" w:rsidRDefault="00700D23" w:rsidP="00700D23">
            <w:pPr>
              <w:ind w:left="312"/>
              <w:rPr>
                <w:sz w:val="18"/>
                <w:szCs w:val="18"/>
              </w:rPr>
            </w:pPr>
            <w:r w:rsidRPr="00AB4A23">
              <w:rPr>
                <w:sz w:val="18"/>
                <w:szCs w:val="18"/>
              </w:rPr>
              <w:t>Rich</w:t>
            </w:r>
          </w:p>
        </w:tc>
        <w:tc>
          <w:tcPr>
            <w:tcW w:w="1417" w:type="dxa"/>
            <w:tcBorders>
              <w:top w:val="nil"/>
              <w:left w:val="single" w:sz="4" w:space="0" w:color="auto"/>
              <w:bottom w:val="nil"/>
              <w:right w:val="nil"/>
            </w:tcBorders>
          </w:tcPr>
          <w:p w14:paraId="35041CD0" w14:textId="17F9D2AB"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0.64</w:t>
            </w:r>
          </w:p>
        </w:tc>
        <w:tc>
          <w:tcPr>
            <w:tcW w:w="992" w:type="dxa"/>
            <w:tcBorders>
              <w:top w:val="nil"/>
              <w:left w:val="nil"/>
              <w:bottom w:val="nil"/>
              <w:right w:val="single" w:sz="4" w:space="0" w:color="auto"/>
            </w:tcBorders>
          </w:tcPr>
          <w:p w14:paraId="79D21BF8" w14:textId="6613B0A0"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0C87F315" w14:textId="51405F63"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0.75</w:t>
            </w:r>
          </w:p>
        </w:tc>
        <w:tc>
          <w:tcPr>
            <w:tcW w:w="1134" w:type="dxa"/>
            <w:tcBorders>
              <w:top w:val="nil"/>
              <w:left w:val="nil"/>
              <w:bottom w:val="nil"/>
              <w:right w:val="single" w:sz="4" w:space="0" w:color="auto"/>
            </w:tcBorders>
          </w:tcPr>
          <w:p w14:paraId="56851504" w14:textId="2D9833B4"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06BDC3C9" w14:textId="46183A49"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0.64</w:t>
            </w:r>
          </w:p>
        </w:tc>
        <w:tc>
          <w:tcPr>
            <w:tcW w:w="1134" w:type="dxa"/>
            <w:tcBorders>
              <w:top w:val="nil"/>
              <w:left w:val="nil"/>
              <w:bottom w:val="nil"/>
              <w:right w:val="single" w:sz="4" w:space="0" w:color="auto"/>
            </w:tcBorders>
          </w:tcPr>
          <w:p w14:paraId="240FA3CE" w14:textId="2A80CD60"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≤0.001</w:t>
            </w:r>
          </w:p>
        </w:tc>
        <w:tc>
          <w:tcPr>
            <w:tcW w:w="1276" w:type="dxa"/>
            <w:tcBorders>
              <w:top w:val="nil"/>
              <w:left w:val="single" w:sz="4" w:space="0" w:color="auto"/>
              <w:bottom w:val="nil"/>
              <w:right w:val="nil"/>
            </w:tcBorders>
          </w:tcPr>
          <w:p w14:paraId="2296335E" w14:textId="36469113"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0.75</w:t>
            </w:r>
          </w:p>
        </w:tc>
        <w:tc>
          <w:tcPr>
            <w:tcW w:w="1058" w:type="dxa"/>
            <w:tcBorders>
              <w:top w:val="nil"/>
              <w:left w:val="nil"/>
              <w:bottom w:val="nil"/>
              <w:right w:val="nil"/>
            </w:tcBorders>
          </w:tcPr>
          <w:p w14:paraId="0D981AEC" w14:textId="4C3863DD"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r>
      <w:tr w:rsidR="00700D23" w:rsidRPr="00AB4A23" w14:paraId="3932EDE4" w14:textId="6D735DA5"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03342C01" w14:textId="1143BF87" w:rsidR="00700D23" w:rsidRPr="00AB4A23" w:rsidRDefault="00700D23" w:rsidP="00700D23">
            <w:pPr>
              <w:ind w:left="312"/>
              <w:rPr>
                <w:sz w:val="18"/>
                <w:szCs w:val="18"/>
              </w:rPr>
            </w:pPr>
            <w:r w:rsidRPr="00AB4A23">
              <w:rPr>
                <w:sz w:val="18"/>
                <w:szCs w:val="18"/>
              </w:rPr>
              <w:t>Richest</w:t>
            </w:r>
          </w:p>
        </w:tc>
        <w:tc>
          <w:tcPr>
            <w:tcW w:w="1417" w:type="dxa"/>
            <w:tcBorders>
              <w:top w:val="nil"/>
              <w:left w:val="single" w:sz="4" w:space="0" w:color="auto"/>
              <w:bottom w:val="nil"/>
              <w:right w:val="nil"/>
            </w:tcBorders>
          </w:tcPr>
          <w:p w14:paraId="0388E355" w14:textId="45F6377C"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0.59</w:t>
            </w:r>
          </w:p>
        </w:tc>
        <w:tc>
          <w:tcPr>
            <w:tcW w:w="992" w:type="dxa"/>
            <w:tcBorders>
              <w:top w:val="nil"/>
              <w:left w:val="nil"/>
              <w:bottom w:val="nil"/>
              <w:right w:val="single" w:sz="4" w:space="0" w:color="auto"/>
            </w:tcBorders>
          </w:tcPr>
          <w:p w14:paraId="3585D381" w14:textId="11BB59B4"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6A0FB8FE" w14:textId="1AF6605E"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0.73</w:t>
            </w:r>
          </w:p>
        </w:tc>
        <w:tc>
          <w:tcPr>
            <w:tcW w:w="1134" w:type="dxa"/>
            <w:tcBorders>
              <w:top w:val="nil"/>
              <w:left w:val="nil"/>
              <w:bottom w:val="nil"/>
              <w:right w:val="single" w:sz="4" w:space="0" w:color="auto"/>
            </w:tcBorders>
          </w:tcPr>
          <w:p w14:paraId="7838E194" w14:textId="78DBC51F"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52C408B8" w14:textId="2A53A0F6"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0.59</w:t>
            </w:r>
          </w:p>
        </w:tc>
        <w:tc>
          <w:tcPr>
            <w:tcW w:w="1134" w:type="dxa"/>
            <w:tcBorders>
              <w:top w:val="nil"/>
              <w:left w:val="nil"/>
              <w:bottom w:val="nil"/>
              <w:right w:val="single" w:sz="4" w:space="0" w:color="auto"/>
            </w:tcBorders>
          </w:tcPr>
          <w:p w14:paraId="1746148C" w14:textId="6552C2F9"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≤0.001</w:t>
            </w:r>
          </w:p>
        </w:tc>
        <w:tc>
          <w:tcPr>
            <w:tcW w:w="1276" w:type="dxa"/>
            <w:tcBorders>
              <w:top w:val="nil"/>
              <w:left w:val="single" w:sz="4" w:space="0" w:color="auto"/>
              <w:bottom w:val="nil"/>
              <w:right w:val="nil"/>
            </w:tcBorders>
          </w:tcPr>
          <w:p w14:paraId="58002A1E" w14:textId="1C2E301D"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0.73</w:t>
            </w:r>
          </w:p>
        </w:tc>
        <w:tc>
          <w:tcPr>
            <w:tcW w:w="1058" w:type="dxa"/>
            <w:tcBorders>
              <w:top w:val="nil"/>
              <w:left w:val="nil"/>
              <w:bottom w:val="nil"/>
              <w:right w:val="nil"/>
            </w:tcBorders>
          </w:tcPr>
          <w:p w14:paraId="7DDC8098" w14:textId="32F87FC2"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r>
      <w:tr w:rsidR="00700D23" w:rsidRPr="00AB4A23" w14:paraId="2881749A" w14:textId="63965630"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490836B6" w14:textId="3ECE071A" w:rsidR="00700D23" w:rsidRPr="00AB4A23" w:rsidRDefault="00700D23" w:rsidP="00700D23">
            <w:pPr>
              <w:rPr>
                <w:sz w:val="18"/>
                <w:szCs w:val="18"/>
              </w:rPr>
            </w:pPr>
            <w:r w:rsidRPr="00AB4A23">
              <w:rPr>
                <w:sz w:val="18"/>
                <w:szCs w:val="18"/>
              </w:rPr>
              <w:t>Region</w:t>
            </w:r>
          </w:p>
        </w:tc>
        <w:tc>
          <w:tcPr>
            <w:tcW w:w="1417" w:type="dxa"/>
            <w:tcBorders>
              <w:top w:val="nil"/>
              <w:left w:val="single" w:sz="4" w:space="0" w:color="auto"/>
              <w:bottom w:val="nil"/>
              <w:right w:val="nil"/>
            </w:tcBorders>
          </w:tcPr>
          <w:p w14:paraId="5B27BC4E"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992" w:type="dxa"/>
            <w:tcBorders>
              <w:top w:val="nil"/>
              <w:left w:val="nil"/>
              <w:bottom w:val="nil"/>
              <w:right w:val="single" w:sz="4" w:space="0" w:color="auto"/>
            </w:tcBorders>
          </w:tcPr>
          <w:p w14:paraId="1E6FF486"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276" w:type="dxa"/>
            <w:tcBorders>
              <w:top w:val="nil"/>
              <w:left w:val="single" w:sz="4" w:space="0" w:color="auto"/>
              <w:bottom w:val="nil"/>
              <w:right w:val="nil"/>
            </w:tcBorders>
          </w:tcPr>
          <w:p w14:paraId="480479A4"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134" w:type="dxa"/>
            <w:tcBorders>
              <w:top w:val="nil"/>
              <w:left w:val="nil"/>
              <w:bottom w:val="nil"/>
              <w:right w:val="single" w:sz="4" w:space="0" w:color="auto"/>
            </w:tcBorders>
          </w:tcPr>
          <w:p w14:paraId="6EBB74EC"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276" w:type="dxa"/>
            <w:tcBorders>
              <w:top w:val="nil"/>
              <w:left w:val="single" w:sz="4" w:space="0" w:color="auto"/>
              <w:bottom w:val="nil"/>
              <w:right w:val="nil"/>
            </w:tcBorders>
          </w:tcPr>
          <w:p w14:paraId="6F6B1639" w14:textId="77777777"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Borders>
              <w:top w:val="nil"/>
              <w:left w:val="nil"/>
              <w:bottom w:val="nil"/>
              <w:right w:val="single" w:sz="4" w:space="0" w:color="auto"/>
            </w:tcBorders>
          </w:tcPr>
          <w:p w14:paraId="108B865C" w14:textId="77777777"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p>
        </w:tc>
        <w:tc>
          <w:tcPr>
            <w:tcW w:w="1276" w:type="dxa"/>
            <w:tcBorders>
              <w:top w:val="nil"/>
              <w:left w:val="single" w:sz="4" w:space="0" w:color="auto"/>
              <w:bottom w:val="nil"/>
              <w:right w:val="nil"/>
            </w:tcBorders>
          </w:tcPr>
          <w:p w14:paraId="16530197"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058" w:type="dxa"/>
            <w:tcBorders>
              <w:top w:val="nil"/>
              <w:left w:val="nil"/>
              <w:bottom w:val="nil"/>
              <w:right w:val="nil"/>
            </w:tcBorders>
          </w:tcPr>
          <w:p w14:paraId="19756275" w14:textId="77777777" w:rsidR="00700D23" w:rsidRPr="00450982" w:rsidRDefault="00700D23"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700D23" w:rsidRPr="00AB4A23" w14:paraId="52126129" w14:textId="0465661F"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709B5B2A" w14:textId="3BF445C7" w:rsidR="00700D23" w:rsidRPr="00AB4A23" w:rsidRDefault="00700D23" w:rsidP="00700D23">
            <w:pPr>
              <w:ind w:left="312"/>
              <w:rPr>
                <w:sz w:val="18"/>
                <w:szCs w:val="18"/>
              </w:rPr>
            </w:pPr>
            <w:r w:rsidRPr="00AB4A23">
              <w:rPr>
                <w:sz w:val="18"/>
                <w:szCs w:val="18"/>
              </w:rPr>
              <w:t>All Other States/Regions (reference category)</w:t>
            </w:r>
          </w:p>
        </w:tc>
        <w:tc>
          <w:tcPr>
            <w:tcW w:w="1417" w:type="dxa"/>
            <w:tcBorders>
              <w:top w:val="nil"/>
              <w:left w:val="single" w:sz="4" w:space="0" w:color="auto"/>
              <w:bottom w:val="nil"/>
              <w:right w:val="nil"/>
            </w:tcBorders>
          </w:tcPr>
          <w:p w14:paraId="13055E82" w14:textId="031AEEBA"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992" w:type="dxa"/>
            <w:tcBorders>
              <w:top w:val="nil"/>
              <w:left w:val="nil"/>
              <w:bottom w:val="nil"/>
              <w:right w:val="single" w:sz="4" w:space="0" w:color="auto"/>
            </w:tcBorders>
          </w:tcPr>
          <w:p w14:paraId="50076BA1" w14:textId="601A5E52"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276" w:type="dxa"/>
            <w:tcBorders>
              <w:top w:val="nil"/>
              <w:left w:val="single" w:sz="4" w:space="0" w:color="auto"/>
              <w:bottom w:val="nil"/>
              <w:right w:val="nil"/>
            </w:tcBorders>
          </w:tcPr>
          <w:p w14:paraId="47B8E77D" w14:textId="2BD9A973"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134" w:type="dxa"/>
            <w:tcBorders>
              <w:top w:val="nil"/>
              <w:left w:val="nil"/>
              <w:bottom w:val="nil"/>
              <w:right w:val="single" w:sz="4" w:space="0" w:color="auto"/>
            </w:tcBorders>
          </w:tcPr>
          <w:p w14:paraId="1B9584BF" w14:textId="1FC454A3"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276" w:type="dxa"/>
            <w:tcBorders>
              <w:top w:val="nil"/>
              <w:left w:val="single" w:sz="4" w:space="0" w:color="auto"/>
              <w:bottom w:val="nil"/>
              <w:right w:val="nil"/>
            </w:tcBorders>
          </w:tcPr>
          <w:p w14:paraId="347EA812" w14:textId="330EC0D8"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w:t>
            </w:r>
          </w:p>
        </w:tc>
        <w:tc>
          <w:tcPr>
            <w:tcW w:w="1134" w:type="dxa"/>
            <w:tcBorders>
              <w:top w:val="nil"/>
              <w:left w:val="nil"/>
              <w:bottom w:val="nil"/>
              <w:right w:val="single" w:sz="4" w:space="0" w:color="auto"/>
            </w:tcBorders>
          </w:tcPr>
          <w:p w14:paraId="67708499" w14:textId="5808F802"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w:t>
            </w:r>
          </w:p>
        </w:tc>
        <w:tc>
          <w:tcPr>
            <w:tcW w:w="1276" w:type="dxa"/>
            <w:tcBorders>
              <w:top w:val="nil"/>
              <w:left w:val="single" w:sz="4" w:space="0" w:color="auto"/>
              <w:bottom w:val="nil"/>
              <w:right w:val="nil"/>
            </w:tcBorders>
          </w:tcPr>
          <w:p w14:paraId="017586D6" w14:textId="6D79D0C3"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058" w:type="dxa"/>
            <w:tcBorders>
              <w:top w:val="nil"/>
              <w:left w:val="nil"/>
              <w:bottom w:val="nil"/>
              <w:right w:val="nil"/>
            </w:tcBorders>
          </w:tcPr>
          <w:p w14:paraId="410B5EA5" w14:textId="4C60E9AD"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r>
      <w:tr w:rsidR="00700D23" w:rsidRPr="00AB4A23" w14:paraId="7B50A3D2" w14:textId="293F0F78"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3774110C" w14:textId="1766F2AB" w:rsidR="00700D23" w:rsidRPr="00AB4A23" w:rsidRDefault="00700D23" w:rsidP="00700D23">
            <w:pPr>
              <w:ind w:left="312"/>
              <w:rPr>
                <w:sz w:val="18"/>
                <w:szCs w:val="18"/>
              </w:rPr>
            </w:pPr>
            <w:r w:rsidRPr="00AB4A23">
              <w:rPr>
                <w:sz w:val="18"/>
                <w:szCs w:val="18"/>
              </w:rPr>
              <w:t>Kachin</w:t>
            </w:r>
          </w:p>
        </w:tc>
        <w:tc>
          <w:tcPr>
            <w:tcW w:w="1417" w:type="dxa"/>
            <w:tcBorders>
              <w:top w:val="nil"/>
              <w:left w:val="single" w:sz="4" w:space="0" w:color="auto"/>
              <w:bottom w:val="nil"/>
              <w:right w:val="nil"/>
            </w:tcBorders>
          </w:tcPr>
          <w:p w14:paraId="7ABEC0D6" w14:textId="694D2E1A"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1.25</w:t>
            </w:r>
          </w:p>
        </w:tc>
        <w:tc>
          <w:tcPr>
            <w:tcW w:w="992" w:type="dxa"/>
            <w:tcBorders>
              <w:top w:val="nil"/>
              <w:left w:val="nil"/>
              <w:bottom w:val="nil"/>
              <w:right w:val="single" w:sz="4" w:space="0" w:color="auto"/>
            </w:tcBorders>
          </w:tcPr>
          <w:p w14:paraId="02F8DCE3" w14:textId="50EE901C"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203EAFC8" w14:textId="52B83C83"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0.92</w:t>
            </w:r>
          </w:p>
        </w:tc>
        <w:tc>
          <w:tcPr>
            <w:tcW w:w="1134" w:type="dxa"/>
            <w:tcBorders>
              <w:top w:val="nil"/>
              <w:left w:val="nil"/>
              <w:bottom w:val="nil"/>
              <w:right w:val="single" w:sz="4" w:space="0" w:color="auto"/>
            </w:tcBorders>
          </w:tcPr>
          <w:p w14:paraId="1FEA51CB" w14:textId="010EF8A2"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0.238</w:t>
            </w:r>
          </w:p>
        </w:tc>
        <w:tc>
          <w:tcPr>
            <w:tcW w:w="1276" w:type="dxa"/>
            <w:tcBorders>
              <w:top w:val="nil"/>
              <w:left w:val="single" w:sz="4" w:space="0" w:color="auto"/>
              <w:bottom w:val="nil"/>
              <w:right w:val="nil"/>
            </w:tcBorders>
          </w:tcPr>
          <w:p w14:paraId="0712E15A" w14:textId="6B1F40E3"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1.25</w:t>
            </w:r>
          </w:p>
        </w:tc>
        <w:tc>
          <w:tcPr>
            <w:tcW w:w="1134" w:type="dxa"/>
            <w:tcBorders>
              <w:top w:val="nil"/>
              <w:left w:val="nil"/>
              <w:bottom w:val="nil"/>
              <w:right w:val="single" w:sz="4" w:space="0" w:color="auto"/>
            </w:tcBorders>
          </w:tcPr>
          <w:p w14:paraId="6B8C3B0C" w14:textId="29092E57"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≤0.001</w:t>
            </w:r>
          </w:p>
        </w:tc>
        <w:tc>
          <w:tcPr>
            <w:tcW w:w="1276" w:type="dxa"/>
            <w:tcBorders>
              <w:top w:val="nil"/>
              <w:left w:val="single" w:sz="4" w:space="0" w:color="auto"/>
              <w:bottom w:val="nil"/>
              <w:right w:val="nil"/>
            </w:tcBorders>
          </w:tcPr>
          <w:p w14:paraId="5DED11C3" w14:textId="5DF29A0E"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0.92</w:t>
            </w:r>
          </w:p>
        </w:tc>
        <w:tc>
          <w:tcPr>
            <w:tcW w:w="1058" w:type="dxa"/>
            <w:tcBorders>
              <w:top w:val="nil"/>
              <w:left w:val="nil"/>
              <w:bottom w:val="nil"/>
              <w:right w:val="nil"/>
            </w:tcBorders>
          </w:tcPr>
          <w:p w14:paraId="73413E04" w14:textId="12DAFDE3"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0.230</w:t>
            </w:r>
          </w:p>
        </w:tc>
      </w:tr>
      <w:tr w:rsidR="00700D23" w:rsidRPr="00AB4A23" w14:paraId="19B263E2" w14:textId="341AB175"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399C54B2" w14:textId="0B205652" w:rsidR="00700D23" w:rsidRPr="00AB4A23" w:rsidRDefault="00700D23" w:rsidP="00700D23">
            <w:pPr>
              <w:ind w:left="312"/>
              <w:rPr>
                <w:sz w:val="18"/>
                <w:szCs w:val="18"/>
              </w:rPr>
            </w:pPr>
            <w:r w:rsidRPr="00AB4A23">
              <w:rPr>
                <w:sz w:val="18"/>
                <w:szCs w:val="18"/>
              </w:rPr>
              <w:t>Chin</w:t>
            </w:r>
          </w:p>
        </w:tc>
        <w:tc>
          <w:tcPr>
            <w:tcW w:w="1417" w:type="dxa"/>
            <w:tcBorders>
              <w:top w:val="nil"/>
              <w:left w:val="single" w:sz="4" w:space="0" w:color="auto"/>
              <w:bottom w:val="nil"/>
              <w:right w:val="nil"/>
            </w:tcBorders>
          </w:tcPr>
          <w:p w14:paraId="3D6A11C6" w14:textId="0EC27C45"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1.23</w:t>
            </w:r>
          </w:p>
        </w:tc>
        <w:tc>
          <w:tcPr>
            <w:tcW w:w="992" w:type="dxa"/>
            <w:tcBorders>
              <w:top w:val="nil"/>
              <w:left w:val="nil"/>
              <w:bottom w:val="nil"/>
              <w:right w:val="single" w:sz="4" w:space="0" w:color="auto"/>
            </w:tcBorders>
          </w:tcPr>
          <w:p w14:paraId="29389BFE" w14:textId="56261FFB"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7BC5288D" w14:textId="2105E4F1"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1.04</w:t>
            </w:r>
          </w:p>
        </w:tc>
        <w:tc>
          <w:tcPr>
            <w:tcW w:w="1134" w:type="dxa"/>
            <w:tcBorders>
              <w:top w:val="nil"/>
              <w:left w:val="nil"/>
              <w:bottom w:val="nil"/>
              <w:right w:val="single" w:sz="4" w:space="0" w:color="auto"/>
            </w:tcBorders>
          </w:tcPr>
          <w:p w14:paraId="55B19BC9" w14:textId="28469DCB"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0.689</w:t>
            </w:r>
          </w:p>
        </w:tc>
        <w:tc>
          <w:tcPr>
            <w:tcW w:w="1276" w:type="dxa"/>
            <w:tcBorders>
              <w:top w:val="nil"/>
              <w:left w:val="single" w:sz="4" w:space="0" w:color="auto"/>
              <w:bottom w:val="nil"/>
              <w:right w:val="nil"/>
            </w:tcBorders>
          </w:tcPr>
          <w:p w14:paraId="53508996" w14:textId="60438C68"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1.23</w:t>
            </w:r>
          </w:p>
        </w:tc>
        <w:tc>
          <w:tcPr>
            <w:tcW w:w="1134" w:type="dxa"/>
            <w:tcBorders>
              <w:top w:val="nil"/>
              <w:left w:val="nil"/>
              <w:bottom w:val="nil"/>
              <w:right w:val="single" w:sz="4" w:space="0" w:color="auto"/>
            </w:tcBorders>
          </w:tcPr>
          <w:p w14:paraId="043F326C" w14:textId="1A6E5297"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≤0.001</w:t>
            </w:r>
          </w:p>
        </w:tc>
        <w:tc>
          <w:tcPr>
            <w:tcW w:w="1276" w:type="dxa"/>
            <w:tcBorders>
              <w:top w:val="nil"/>
              <w:left w:val="single" w:sz="4" w:space="0" w:color="auto"/>
              <w:bottom w:val="nil"/>
              <w:right w:val="nil"/>
            </w:tcBorders>
          </w:tcPr>
          <w:p w14:paraId="36084E40" w14:textId="369A9565"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1.03</w:t>
            </w:r>
          </w:p>
        </w:tc>
        <w:tc>
          <w:tcPr>
            <w:tcW w:w="1058" w:type="dxa"/>
            <w:tcBorders>
              <w:top w:val="nil"/>
              <w:left w:val="nil"/>
              <w:bottom w:val="nil"/>
              <w:right w:val="nil"/>
            </w:tcBorders>
          </w:tcPr>
          <w:p w14:paraId="7F1693EA" w14:textId="2F96EDA4"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0.744</w:t>
            </w:r>
          </w:p>
        </w:tc>
      </w:tr>
      <w:tr w:rsidR="00700D23" w:rsidRPr="00AB4A23" w14:paraId="2687169E" w14:textId="7908BE1A"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5470E052" w14:textId="08E0EB95" w:rsidR="00700D23" w:rsidRPr="00AB4A23" w:rsidRDefault="00700D23" w:rsidP="00700D23">
            <w:pPr>
              <w:ind w:left="312"/>
              <w:rPr>
                <w:sz w:val="18"/>
                <w:szCs w:val="18"/>
              </w:rPr>
            </w:pPr>
            <w:r w:rsidRPr="00AB4A23">
              <w:rPr>
                <w:sz w:val="18"/>
                <w:szCs w:val="18"/>
              </w:rPr>
              <w:t>Mandalay</w:t>
            </w:r>
          </w:p>
        </w:tc>
        <w:tc>
          <w:tcPr>
            <w:tcW w:w="1417" w:type="dxa"/>
            <w:tcBorders>
              <w:top w:val="nil"/>
              <w:left w:val="single" w:sz="4" w:space="0" w:color="auto"/>
              <w:bottom w:val="nil"/>
              <w:right w:val="nil"/>
            </w:tcBorders>
          </w:tcPr>
          <w:p w14:paraId="095A79D1" w14:textId="2A88A3AC"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0.87</w:t>
            </w:r>
          </w:p>
        </w:tc>
        <w:tc>
          <w:tcPr>
            <w:tcW w:w="992" w:type="dxa"/>
            <w:tcBorders>
              <w:top w:val="nil"/>
              <w:left w:val="nil"/>
              <w:bottom w:val="nil"/>
              <w:right w:val="single" w:sz="4" w:space="0" w:color="auto"/>
            </w:tcBorders>
          </w:tcPr>
          <w:p w14:paraId="6EFFFA19" w14:textId="240ADC72"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0.026</w:t>
            </w:r>
          </w:p>
        </w:tc>
        <w:tc>
          <w:tcPr>
            <w:tcW w:w="1276" w:type="dxa"/>
            <w:tcBorders>
              <w:top w:val="nil"/>
              <w:left w:val="single" w:sz="4" w:space="0" w:color="auto"/>
              <w:bottom w:val="nil"/>
              <w:right w:val="nil"/>
            </w:tcBorders>
          </w:tcPr>
          <w:p w14:paraId="6D2A939B" w14:textId="5338DB55"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0.85</w:t>
            </w:r>
          </w:p>
        </w:tc>
        <w:tc>
          <w:tcPr>
            <w:tcW w:w="1134" w:type="dxa"/>
            <w:tcBorders>
              <w:top w:val="nil"/>
              <w:left w:val="nil"/>
              <w:bottom w:val="nil"/>
              <w:right w:val="single" w:sz="4" w:space="0" w:color="auto"/>
            </w:tcBorders>
          </w:tcPr>
          <w:p w14:paraId="156D8B56" w14:textId="1DD0B3BF"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0.089</w:t>
            </w:r>
          </w:p>
        </w:tc>
        <w:tc>
          <w:tcPr>
            <w:tcW w:w="1276" w:type="dxa"/>
            <w:tcBorders>
              <w:top w:val="nil"/>
              <w:left w:val="single" w:sz="4" w:space="0" w:color="auto"/>
              <w:bottom w:val="nil"/>
              <w:right w:val="nil"/>
            </w:tcBorders>
          </w:tcPr>
          <w:p w14:paraId="27AB038E" w14:textId="15633869"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0.86</w:t>
            </w:r>
          </w:p>
        </w:tc>
        <w:tc>
          <w:tcPr>
            <w:tcW w:w="1134" w:type="dxa"/>
            <w:tcBorders>
              <w:top w:val="nil"/>
              <w:left w:val="nil"/>
              <w:bottom w:val="nil"/>
              <w:right w:val="single" w:sz="4" w:space="0" w:color="auto"/>
            </w:tcBorders>
          </w:tcPr>
          <w:p w14:paraId="67B6520C" w14:textId="1A77C78C"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0.019</w:t>
            </w:r>
          </w:p>
        </w:tc>
        <w:tc>
          <w:tcPr>
            <w:tcW w:w="1276" w:type="dxa"/>
            <w:tcBorders>
              <w:top w:val="nil"/>
              <w:left w:val="single" w:sz="4" w:space="0" w:color="auto"/>
              <w:bottom w:val="nil"/>
              <w:right w:val="nil"/>
            </w:tcBorders>
          </w:tcPr>
          <w:p w14:paraId="065768A3" w14:textId="7B450CB3"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0.85</w:t>
            </w:r>
          </w:p>
        </w:tc>
        <w:tc>
          <w:tcPr>
            <w:tcW w:w="1058" w:type="dxa"/>
            <w:tcBorders>
              <w:top w:val="nil"/>
              <w:left w:val="nil"/>
              <w:bottom w:val="nil"/>
              <w:right w:val="nil"/>
            </w:tcBorders>
          </w:tcPr>
          <w:p w14:paraId="5F71F47D" w14:textId="0F6F1EDC"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0.086</w:t>
            </w:r>
          </w:p>
        </w:tc>
      </w:tr>
      <w:tr w:rsidR="00700D23" w:rsidRPr="00AB4A23" w14:paraId="675A028F" w14:textId="28C5E7A9"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1A715C4A" w14:textId="735E6C98" w:rsidR="00700D23" w:rsidRPr="00AB4A23" w:rsidRDefault="00700D23" w:rsidP="00700D23">
            <w:pPr>
              <w:ind w:left="312"/>
              <w:rPr>
                <w:sz w:val="18"/>
                <w:szCs w:val="18"/>
              </w:rPr>
            </w:pPr>
            <w:r w:rsidRPr="00AB4A23">
              <w:rPr>
                <w:sz w:val="18"/>
                <w:szCs w:val="18"/>
              </w:rPr>
              <w:t>Shan</w:t>
            </w:r>
          </w:p>
        </w:tc>
        <w:tc>
          <w:tcPr>
            <w:tcW w:w="1417" w:type="dxa"/>
            <w:tcBorders>
              <w:top w:val="nil"/>
              <w:left w:val="single" w:sz="4" w:space="0" w:color="auto"/>
              <w:bottom w:val="nil"/>
              <w:right w:val="nil"/>
            </w:tcBorders>
          </w:tcPr>
          <w:p w14:paraId="09EE53F5" w14:textId="4C6465AD"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1.41</w:t>
            </w:r>
          </w:p>
        </w:tc>
        <w:tc>
          <w:tcPr>
            <w:tcW w:w="992" w:type="dxa"/>
            <w:tcBorders>
              <w:top w:val="nil"/>
              <w:left w:val="nil"/>
              <w:bottom w:val="nil"/>
              <w:right w:val="single" w:sz="4" w:space="0" w:color="auto"/>
            </w:tcBorders>
          </w:tcPr>
          <w:p w14:paraId="1717A603" w14:textId="429D73CA"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≤0.001</w:t>
            </w:r>
          </w:p>
        </w:tc>
        <w:tc>
          <w:tcPr>
            <w:tcW w:w="1276" w:type="dxa"/>
            <w:tcBorders>
              <w:top w:val="nil"/>
              <w:left w:val="single" w:sz="4" w:space="0" w:color="auto"/>
              <w:bottom w:val="nil"/>
              <w:right w:val="nil"/>
            </w:tcBorders>
          </w:tcPr>
          <w:p w14:paraId="014889ED" w14:textId="299BB6CC"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1.12</w:t>
            </w:r>
          </w:p>
        </w:tc>
        <w:tc>
          <w:tcPr>
            <w:tcW w:w="1134" w:type="dxa"/>
            <w:tcBorders>
              <w:top w:val="nil"/>
              <w:left w:val="nil"/>
              <w:bottom w:val="nil"/>
              <w:right w:val="single" w:sz="4" w:space="0" w:color="auto"/>
            </w:tcBorders>
          </w:tcPr>
          <w:p w14:paraId="56DFEB7D" w14:textId="537D416A"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0.200</w:t>
            </w:r>
          </w:p>
        </w:tc>
        <w:tc>
          <w:tcPr>
            <w:tcW w:w="1276" w:type="dxa"/>
            <w:tcBorders>
              <w:top w:val="nil"/>
              <w:left w:val="single" w:sz="4" w:space="0" w:color="auto"/>
              <w:bottom w:val="nil"/>
              <w:right w:val="nil"/>
            </w:tcBorders>
          </w:tcPr>
          <w:p w14:paraId="2CEA9E06" w14:textId="002F1091"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1.39</w:t>
            </w:r>
          </w:p>
        </w:tc>
        <w:tc>
          <w:tcPr>
            <w:tcW w:w="1134" w:type="dxa"/>
            <w:tcBorders>
              <w:top w:val="nil"/>
              <w:left w:val="nil"/>
              <w:bottom w:val="nil"/>
              <w:right w:val="single" w:sz="4" w:space="0" w:color="auto"/>
            </w:tcBorders>
          </w:tcPr>
          <w:p w14:paraId="5CE0FA20" w14:textId="289B41D3"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≤0.001</w:t>
            </w:r>
          </w:p>
        </w:tc>
        <w:tc>
          <w:tcPr>
            <w:tcW w:w="1276" w:type="dxa"/>
            <w:tcBorders>
              <w:top w:val="nil"/>
              <w:left w:val="single" w:sz="4" w:space="0" w:color="auto"/>
              <w:bottom w:val="nil"/>
              <w:right w:val="nil"/>
            </w:tcBorders>
          </w:tcPr>
          <w:p w14:paraId="33669257" w14:textId="2553E2F6"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1.13</w:t>
            </w:r>
          </w:p>
        </w:tc>
        <w:tc>
          <w:tcPr>
            <w:tcW w:w="1058" w:type="dxa"/>
            <w:tcBorders>
              <w:top w:val="nil"/>
              <w:left w:val="nil"/>
              <w:bottom w:val="nil"/>
              <w:right w:val="nil"/>
            </w:tcBorders>
          </w:tcPr>
          <w:p w14:paraId="4B5510F7" w14:textId="0BBF82DE"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0.195</w:t>
            </w:r>
          </w:p>
        </w:tc>
      </w:tr>
      <w:tr w:rsidR="00700D23" w:rsidRPr="00AB4A23" w14:paraId="7AA7BFCE" w14:textId="534F311A" w:rsidTr="00450982">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6F32FFD1" w14:textId="2BCCAC70" w:rsidR="00700D23" w:rsidRPr="00AB4A23" w:rsidRDefault="00700D23" w:rsidP="00700D23">
            <w:pPr>
              <w:ind w:left="312"/>
              <w:rPr>
                <w:sz w:val="18"/>
                <w:szCs w:val="18"/>
              </w:rPr>
            </w:pPr>
            <w:r w:rsidRPr="00AB4A23">
              <w:rPr>
                <w:sz w:val="18"/>
                <w:szCs w:val="18"/>
              </w:rPr>
              <w:t xml:space="preserve">Nay </w:t>
            </w:r>
            <w:proofErr w:type="spellStart"/>
            <w:r w:rsidRPr="00AB4A23">
              <w:rPr>
                <w:sz w:val="18"/>
                <w:szCs w:val="18"/>
              </w:rPr>
              <w:t>Pyi</w:t>
            </w:r>
            <w:proofErr w:type="spellEnd"/>
            <w:r w:rsidRPr="00AB4A23">
              <w:rPr>
                <w:sz w:val="18"/>
                <w:szCs w:val="18"/>
              </w:rPr>
              <w:t xml:space="preserve"> Taw</w:t>
            </w:r>
          </w:p>
        </w:tc>
        <w:tc>
          <w:tcPr>
            <w:tcW w:w="1417" w:type="dxa"/>
            <w:tcBorders>
              <w:top w:val="nil"/>
              <w:left w:val="single" w:sz="4" w:space="0" w:color="auto"/>
              <w:bottom w:val="nil"/>
              <w:right w:val="nil"/>
            </w:tcBorders>
          </w:tcPr>
          <w:p w14:paraId="128CE2D9" w14:textId="535F1632"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1.20</w:t>
            </w:r>
          </w:p>
        </w:tc>
        <w:tc>
          <w:tcPr>
            <w:tcW w:w="992" w:type="dxa"/>
            <w:tcBorders>
              <w:top w:val="nil"/>
              <w:left w:val="nil"/>
              <w:bottom w:val="nil"/>
              <w:right w:val="single" w:sz="4" w:space="0" w:color="auto"/>
            </w:tcBorders>
          </w:tcPr>
          <w:p w14:paraId="41E7644A" w14:textId="076ED938" w:rsidR="00700D23" w:rsidRPr="00450982" w:rsidRDefault="00D95769"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0.002</w:t>
            </w:r>
          </w:p>
        </w:tc>
        <w:tc>
          <w:tcPr>
            <w:tcW w:w="1276" w:type="dxa"/>
            <w:tcBorders>
              <w:top w:val="nil"/>
              <w:left w:val="single" w:sz="4" w:space="0" w:color="auto"/>
              <w:bottom w:val="nil"/>
              <w:right w:val="nil"/>
            </w:tcBorders>
          </w:tcPr>
          <w:p w14:paraId="64FF5355" w14:textId="5D2AB096"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1.08</w:t>
            </w:r>
          </w:p>
        </w:tc>
        <w:tc>
          <w:tcPr>
            <w:tcW w:w="1134" w:type="dxa"/>
            <w:tcBorders>
              <w:top w:val="nil"/>
              <w:left w:val="nil"/>
              <w:bottom w:val="nil"/>
              <w:right w:val="single" w:sz="4" w:space="0" w:color="auto"/>
            </w:tcBorders>
          </w:tcPr>
          <w:p w14:paraId="322CC5A9" w14:textId="6121A154" w:rsidR="00700D23" w:rsidRPr="00450982" w:rsidRDefault="00450982"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0.387</w:t>
            </w:r>
          </w:p>
        </w:tc>
        <w:tc>
          <w:tcPr>
            <w:tcW w:w="1276" w:type="dxa"/>
            <w:tcBorders>
              <w:top w:val="nil"/>
              <w:left w:val="single" w:sz="4" w:space="0" w:color="auto"/>
              <w:bottom w:val="nil"/>
              <w:right w:val="nil"/>
            </w:tcBorders>
          </w:tcPr>
          <w:p w14:paraId="2ABB9DA5" w14:textId="67390981"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1.21</w:t>
            </w:r>
          </w:p>
        </w:tc>
        <w:tc>
          <w:tcPr>
            <w:tcW w:w="1134" w:type="dxa"/>
            <w:tcBorders>
              <w:top w:val="nil"/>
              <w:left w:val="nil"/>
              <w:bottom w:val="nil"/>
              <w:right w:val="single" w:sz="4" w:space="0" w:color="auto"/>
            </w:tcBorders>
          </w:tcPr>
          <w:p w14:paraId="54F1724A" w14:textId="122E7787" w:rsidR="00700D23" w:rsidRPr="00AB4A23" w:rsidRDefault="00700D23" w:rsidP="00700D23">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0.001</w:t>
            </w:r>
          </w:p>
        </w:tc>
        <w:tc>
          <w:tcPr>
            <w:tcW w:w="1276" w:type="dxa"/>
            <w:tcBorders>
              <w:top w:val="nil"/>
              <w:left w:val="single" w:sz="4" w:space="0" w:color="auto"/>
              <w:bottom w:val="nil"/>
              <w:right w:val="nil"/>
            </w:tcBorders>
          </w:tcPr>
          <w:p w14:paraId="2A8B176B" w14:textId="47EA0F5E"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1.08</w:t>
            </w:r>
          </w:p>
        </w:tc>
        <w:tc>
          <w:tcPr>
            <w:tcW w:w="1058" w:type="dxa"/>
            <w:tcBorders>
              <w:top w:val="nil"/>
              <w:left w:val="nil"/>
              <w:bottom w:val="nil"/>
              <w:right w:val="nil"/>
            </w:tcBorders>
          </w:tcPr>
          <w:p w14:paraId="201BA0E4" w14:textId="23AD6D43" w:rsidR="00700D23" w:rsidRPr="00450982" w:rsidRDefault="00775AB4" w:rsidP="00700D23">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0.416</w:t>
            </w:r>
          </w:p>
        </w:tc>
      </w:tr>
      <w:tr w:rsidR="00450982" w:rsidRPr="00AB4A23" w14:paraId="11B4CC90" w14:textId="77777777" w:rsidTr="00450982">
        <w:trPr>
          <w:trHeight w:val="119"/>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55D2E048" w14:textId="4EF89B70" w:rsidR="00450982" w:rsidRPr="00AB4A23" w:rsidRDefault="00450982" w:rsidP="00450982">
            <w:pPr>
              <w:rPr>
                <w:sz w:val="18"/>
                <w:szCs w:val="18"/>
              </w:rPr>
            </w:pPr>
            <w:r w:rsidRPr="00AB4A23">
              <w:rPr>
                <w:sz w:val="18"/>
                <w:szCs w:val="18"/>
              </w:rPr>
              <w:t>Education-currently working interaction</w:t>
            </w:r>
          </w:p>
        </w:tc>
        <w:tc>
          <w:tcPr>
            <w:tcW w:w="1417" w:type="dxa"/>
            <w:tcBorders>
              <w:top w:val="nil"/>
              <w:left w:val="single" w:sz="4" w:space="0" w:color="auto"/>
              <w:bottom w:val="nil"/>
              <w:right w:val="nil"/>
            </w:tcBorders>
          </w:tcPr>
          <w:p w14:paraId="15F30532" w14:textId="77777777"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992" w:type="dxa"/>
            <w:tcBorders>
              <w:top w:val="nil"/>
              <w:left w:val="nil"/>
              <w:bottom w:val="nil"/>
              <w:right w:val="single" w:sz="4" w:space="0" w:color="auto"/>
            </w:tcBorders>
          </w:tcPr>
          <w:p w14:paraId="271B1D3E" w14:textId="77777777"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276" w:type="dxa"/>
            <w:tcBorders>
              <w:top w:val="nil"/>
              <w:left w:val="single" w:sz="4" w:space="0" w:color="auto"/>
              <w:bottom w:val="nil"/>
              <w:right w:val="nil"/>
            </w:tcBorders>
          </w:tcPr>
          <w:p w14:paraId="563D9157" w14:textId="77777777"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134" w:type="dxa"/>
            <w:tcBorders>
              <w:top w:val="nil"/>
              <w:left w:val="nil"/>
              <w:bottom w:val="nil"/>
              <w:right w:val="single" w:sz="4" w:space="0" w:color="auto"/>
            </w:tcBorders>
          </w:tcPr>
          <w:p w14:paraId="12FD8AD4" w14:textId="77777777"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276" w:type="dxa"/>
            <w:tcBorders>
              <w:top w:val="nil"/>
              <w:left w:val="single" w:sz="4" w:space="0" w:color="auto"/>
              <w:bottom w:val="nil"/>
              <w:right w:val="nil"/>
            </w:tcBorders>
          </w:tcPr>
          <w:p w14:paraId="23C3A0CA" w14:textId="77777777" w:rsidR="00450982" w:rsidRPr="00AB4A23" w:rsidRDefault="00450982" w:rsidP="00450982">
            <w:pPr>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tcBorders>
              <w:top w:val="nil"/>
              <w:left w:val="nil"/>
              <w:bottom w:val="nil"/>
              <w:right w:val="single" w:sz="4" w:space="0" w:color="auto"/>
            </w:tcBorders>
          </w:tcPr>
          <w:p w14:paraId="22FC1A96" w14:textId="77777777" w:rsidR="00450982" w:rsidRPr="00AB4A23" w:rsidRDefault="00450982" w:rsidP="00450982">
            <w:pPr>
              <w:cnfStyle w:val="000000000000" w:firstRow="0" w:lastRow="0" w:firstColumn="0" w:lastColumn="0" w:oddVBand="0" w:evenVBand="0" w:oddHBand="0" w:evenHBand="0" w:firstRowFirstColumn="0" w:firstRowLastColumn="0" w:lastRowFirstColumn="0" w:lastRowLastColumn="0"/>
              <w:rPr>
                <w:sz w:val="18"/>
                <w:szCs w:val="18"/>
              </w:rPr>
            </w:pPr>
          </w:p>
        </w:tc>
        <w:tc>
          <w:tcPr>
            <w:tcW w:w="1276" w:type="dxa"/>
            <w:tcBorders>
              <w:top w:val="nil"/>
              <w:left w:val="single" w:sz="4" w:space="0" w:color="auto"/>
              <w:bottom w:val="nil"/>
              <w:right w:val="nil"/>
            </w:tcBorders>
          </w:tcPr>
          <w:p w14:paraId="3C949E9F" w14:textId="77777777"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058" w:type="dxa"/>
            <w:tcBorders>
              <w:top w:val="nil"/>
              <w:left w:val="nil"/>
              <w:bottom w:val="nil"/>
              <w:right w:val="nil"/>
            </w:tcBorders>
          </w:tcPr>
          <w:p w14:paraId="2C960118" w14:textId="77777777"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450982" w:rsidRPr="00AB4A23" w14:paraId="4444A8FE" w14:textId="77777777" w:rsidTr="00450982">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23F4EFFC" w14:textId="326FE491" w:rsidR="00450982" w:rsidRPr="00AB4A23" w:rsidRDefault="00450982" w:rsidP="00450982">
            <w:pPr>
              <w:ind w:left="312"/>
              <w:rPr>
                <w:sz w:val="18"/>
                <w:szCs w:val="18"/>
              </w:rPr>
            </w:pPr>
            <w:r w:rsidRPr="00AB4A23">
              <w:rPr>
                <w:sz w:val="18"/>
                <w:szCs w:val="18"/>
              </w:rPr>
              <w:t>Primary x Working</w:t>
            </w:r>
          </w:p>
        </w:tc>
        <w:tc>
          <w:tcPr>
            <w:tcW w:w="1417" w:type="dxa"/>
            <w:tcBorders>
              <w:top w:val="nil"/>
              <w:left w:val="single" w:sz="4" w:space="0" w:color="auto"/>
              <w:bottom w:val="nil"/>
              <w:right w:val="nil"/>
            </w:tcBorders>
          </w:tcPr>
          <w:p w14:paraId="06A75125" w14:textId="09A05018"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992" w:type="dxa"/>
            <w:tcBorders>
              <w:top w:val="nil"/>
              <w:left w:val="nil"/>
              <w:bottom w:val="nil"/>
              <w:right w:val="single" w:sz="4" w:space="0" w:color="auto"/>
            </w:tcBorders>
          </w:tcPr>
          <w:p w14:paraId="5BE0AD90" w14:textId="662D4BC8"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276" w:type="dxa"/>
            <w:tcBorders>
              <w:top w:val="nil"/>
              <w:left w:val="single" w:sz="4" w:space="0" w:color="auto"/>
              <w:bottom w:val="nil"/>
              <w:right w:val="nil"/>
            </w:tcBorders>
          </w:tcPr>
          <w:p w14:paraId="556F6532" w14:textId="72C13828"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134" w:type="dxa"/>
            <w:tcBorders>
              <w:top w:val="nil"/>
              <w:left w:val="nil"/>
              <w:bottom w:val="nil"/>
              <w:right w:val="single" w:sz="4" w:space="0" w:color="auto"/>
            </w:tcBorders>
          </w:tcPr>
          <w:p w14:paraId="2D8A20FB" w14:textId="79944413"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276" w:type="dxa"/>
            <w:tcBorders>
              <w:top w:val="nil"/>
              <w:left w:val="single" w:sz="4" w:space="0" w:color="auto"/>
              <w:bottom w:val="nil"/>
              <w:right w:val="nil"/>
            </w:tcBorders>
          </w:tcPr>
          <w:p w14:paraId="272013A7" w14:textId="48047C52" w:rsidR="00450982" w:rsidRPr="00AB4A23" w:rsidRDefault="00450982" w:rsidP="00450982">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0.87</w:t>
            </w:r>
          </w:p>
        </w:tc>
        <w:tc>
          <w:tcPr>
            <w:tcW w:w="1134" w:type="dxa"/>
            <w:tcBorders>
              <w:top w:val="nil"/>
              <w:left w:val="nil"/>
              <w:bottom w:val="nil"/>
              <w:right w:val="single" w:sz="4" w:space="0" w:color="auto"/>
            </w:tcBorders>
          </w:tcPr>
          <w:p w14:paraId="149EB8AD" w14:textId="6F223386" w:rsidR="00450982" w:rsidRPr="00AB4A23" w:rsidRDefault="00450982" w:rsidP="00450982">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0.084</w:t>
            </w:r>
          </w:p>
        </w:tc>
        <w:tc>
          <w:tcPr>
            <w:tcW w:w="1276" w:type="dxa"/>
            <w:tcBorders>
              <w:top w:val="nil"/>
              <w:left w:val="single" w:sz="4" w:space="0" w:color="auto"/>
              <w:bottom w:val="nil"/>
              <w:right w:val="nil"/>
            </w:tcBorders>
          </w:tcPr>
          <w:p w14:paraId="281F7182" w14:textId="0E1F7E70"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0.64</w:t>
            </w:r>
          </w:p>
        </w:tc>
        <w:tc>
          <w:tcPr>
            <w:tcW w:w="1058" w:type="dxa"/>
            <w:tcBorders>
              <w:top w:val="nil"/>
              <w:left w:val="nil"/>
              <w:bottom w:val="nil"/>
              <w:right w:val="nil"/>
            </w:tcBorders>
          </w:tcPr>
          <w:p w14:paraId="59524597" w14:textId="694251BF"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0.065</w:t>
            </w:r>
          </w:p>
        </w:tc>
      </w:tr>
      <w:tr w:rsidR="00450982" w:rsidRPr="00AB4A23" w14:paraId="3561B46C" w14:textId="77777777" w:rsidTr="00450982">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single" w:sz="4" w:space="0" w:color="auto"/>
            </w:tcBorders>
          </w:tcPr>
          <w:p w14:paraId="6ABDE822" w14:textId="3046FC08" w:rsidR="00450982" w:rsidRPr="00AB4A23" w:rsidRDefault="00450982" w:rsidP="00450982">
            <w:pPr>
              <w:ind w:left="312"/>
              <w:rPr>
                <w:sz w:val="18"/>
                <w:szCs w:val="18"/>
              </w:rPr>
            </w:pPr>
            <w:r w:rsidRPr="00AB4A23">
              <w:rPr>
                <w:sz w:val="18"/>
                <w:szCs w:val="18"/>
              </w:rPr>
              <w:t>Secondary x Working</w:t>
            </w:r>
          </w:p>
        </w:tc>
        <w:tc>
          <w:tcPr>
            <w:tcW w:w="1417" w:type="dxa"/>
            <w:tcBorders>
              <w:top w:val="nil"/>
              <w:left w:val="single" w:sz="4" w:space="0" w:color="auto"/>
              <w:bottom w:val="nil"/>
              <w:right w:val="nil"/>
            </w:tcBorders>
          </w:tcPr>
          <w:p w14:paraId="127F5D56" w14:textId="2E3F8B1C"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992" w:type="dxa"/>
            <w:tcBorders>
              <w:top w:val="nil"/>
              <w:left w:val="nil"/>
              <w:bottom w:val="nil"/>
              <w:right w:val="single" w:sz="4" w:space="0" w:color="auto"/>
            </w:tcBorders>
          </w:tcPr>
          <w:p w14:paraId="3B2C5ED2" w14:textId="56C88098"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276" w:type="dxa"/>
            <w:tcBorders>
              <w:top w:val="nil"/>
              <w:left w:val="single" w:sz="4" w:space="0" w:color="auto"/>
              <w:bottom w:val="nil"/>
              <w:right w:val="nil"/>
            </w:tcBorders>
          </w:tcPr>
          <w:p w14:paraId="303E6912" w14:textId="64FA35BC"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134" w:type="dxa"/>
            <w:tcBorders>
              <w:top w:val="nil"/>
              <w:left w:val="nil"/>
              <w:bottom w:val="nil"/>
              <w:right w:val="single" w:sz="4" w:space="0" w:color="auto"/>
            </w:tcBorders>
          </w:tcPr>
          <w:p w14:paraId="655195A7" w14:textId="6DEC6A6D"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276" w:type="dxa"/>
            <w:tcBorders>
              <w:top w:val="nil"/>
              <w:left w:val="single" w:sz="4" w:space="0" w:color="auto"/>
              <w:bottom w:val="nil"/>
              <w:right w:val="nil"/>
            </w:tcBorders>
          </w:tcPr>
          <w:p w14:paraId="05E717C4" w14:textId="21BBBE7A" w:rsidR="00450982" w:rsidRPr="00AB4A23" w:rsidRDefault="00450982" w:rsidP="00450982">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0.80</w:t>
            </w:r>
          </w:p>
        </w:tc>
        <w:tc>
          <w:tcPr>
            <w:tcW w:w="1134" w:type="dxa"/>
            <w:tcBorders>
              <w:top w:val="nil"/>
              <w:left w:val="nil"/>
              <w:bottom w:val="nil"/>
              <w:right w:val="single" w:sz="4" w:space="0" w:color="auto"/>
            </w:tcBorders>
          </w:tcPr>
          <w:p w14:paraId="0D87637E" w14:textId="3A8710EF" w:rsidR="00450982" w:rsidRPr="00AB4A23" w:rsidRDefault="00450982" w:rsidP="00450982">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0.006</w:t>
            </w:r>
          </w:p>
        </w:tc>
        <w:tc>
          <w:tcPr>
            <w:tcW w:w="1276" w:type="dxa"/>
            <w:tcBorders>
              <w:top w:val="nil"/>
              <w:left w:val="single" w:sz="4" w:space="0" w:color="auto"/>
              <w:bottom w:val="nil"/>
              <w:right w:val="nil"/>
            </w:tcBorders>
          </w:tcPr>
          <w:p w14:paraId="1E008F79" w14:textId="6AA166A8"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1.00</w:t>
            </w:r>
          </w:p>
        </w:tc>
        <w:tc>
          <w:tcPr>
            <w:tcW w:w="1058" w:type="dxa"/>
            <w:tcBorders>
              <w:top w:val="nil"/>
              <w:left w:val="nil"/>
              <w:bottom w:val="nil"/>
              <w:right w:val="nil"/>
            </w:tcBorders>
          </w:tcPr>
          <w:p w14:paraId="168CDF5D" w14:textId="4CEC1FF6"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0.999</w:t>
            </w:r>
          </w:p>
        </w:tc>
      </w:tr>
      <w:tr w:rsidR="00450982" w:rsidRPr="00AB4A23" w14:paraId="5C764505" w14:textId="77777777" w:rsidTr="00700D23">
        <w:trPr>
          <w:trHeight w:val="21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right w:val="single" w:sz="4" w:space="0" w:color="auto"/>
            </w:tcBorders>
          </w:tcPr>
          <w:p w14:paraId="565B898A" w14:textId="1992ED8C" w:rsidR="00450982" w:rsidRPr="00AB4A23" w:rsidRDefault="00450982" w:rsidP="00450982">
            <w:pPr>
              <w:ind w:left="312"/>
              <w:rPr>
                <w:sz w:val="18"/>
                <w:szCs w:val="18"/>
              </w:rPr>
            </w:pPr>
            <w:r w:rsidRPr="00AB4A23">
              <w:rPr>
                <w:sz w:val="18"/>
                <w:szCs w:val="18"/>
              </w:rPr>
              <w:t>Higher x Working</w:t>
            </w:r>
          </w:p>
        </w:tc>
        <w:tc>
          <w:tcPr>
            <w:tcW w:w="1417" w:type="dxa"/>
            <w:tcBorders>
              <w:top w:val="nil"/>
              <w:left w:val="single" w:sz="4" w:space="0" w:color="auto"/>
              <w:right w:val="nil"/>
            </w:tcBorders>
          </w:tcPr>
          <w:p w14:paraId="10B84CFA" w14:textId="34AFCAC8"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992" w:type="dxa"/>
            <w:tcBorders>
              <w:top w:val="nil"/>
              <w:left w:val="nil"/>
              <w:right w:val="single" w:sz="4" w:space="0" w:color="auto"/>
            </w:tcBorders>
          </w:tcPr>
          <w:p w14:paraId="096DBE22" w14:textId="570339F7"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276" w:type="dxa"/>
            <w:tcBorders>
              <w:top w:val="nil"/>
              <w:left w:val="single" w:sz="4" w:space="0" w:color="auto"/>
              <w:right w:val="nil"/>
            </w:tcBorders>
          </w:tcPr>
          <w:p w14:paraId="5223D160" w14:textId="31D3945E"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134" w:type="dxa"/>
            <w:tcBorders>
              <w:top w:val="nil"/>
              <w:left w:val="nil"/>
              <w:right w:val="single" w:sz="4" w:space="0" w:color="auto"/>
            </w:tcBorders>
          </w:tcPr>
          <w:p w14:paraId="43244477" w14:textId="1CEFB99C"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w:t>
            </w:r>
          </w:p>
        </w:tc>
        <w:tc>
          <w:tcPr>
            <w:tcW w:w="1276" w:type="dxa"/>
            <w:tcBorders>
              <w:top w:val="nil"/>
              <w:left w:val="single" w:sz="4" w:space="0" w:color="auto"/>
              <w:right w:val="nil"/>
            </w:tcBorders>
          </w:tcPr>
          <w:p w14:paraId="616354FB" w14:textId="33B058E2" w:rsidR="00450982" w:rsidRPr="00AB4A23" w:rsidRDefault="00450982" w:rsidP="00450982">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0.67</w:t>
            </w:r>
          </w:p>
        </w:tc>
        <w:tc>
          <w:tcPr>
            <w:tcW w:w="1134" w:type="dxa"/>
            <w:tcBorders>
              <w:top w:val="nil"/>
              <w:left w:val="nil"/>
              <w:right w:val="single" w:sz="4" w:space="0" w:color="auto"/>
            </w:tcBorders>
          </w:tcPr>
          <w:p w14:paraId="3AC01386" w14:textId="0F4EAD52" w:rsidR="00450982" w:rsidRPr="00AB4A23" w:rsidRDefault="00450982" w:rsidP="00450982">
            <w:pPr>
              <w:cnfStyle w:val="000000000000" w:firstRow="0" w:lastRow="0" w:firstColumn="0" w:lastColumn="0" w:oddVBand="0" w:evenVBand="0" w:oddHBand="0" w:evenHBand="0" w:firstRowFirstColumn="0" w:firstRowLastColumn="0" w:lastRowFirstColumn="0" w:lastRowLastColumn="0"/>
              <w:rPr>
                <w:sz w:val="18"/>
                <w:szCs w:val="18"/>
              </w:rPr>
            </w:pPr>
            <w:r w:rsidRPr="00AB4A23">
              <w:rPr>
                <w:sz w:val="18"/>
                <w:szCs w:val="18"/>
              </w:rPr>
              <w:t>≤0.001</w:t>
            </w:r>
          </w:p>
        </w:tc>
        <w:tc>
          <w:tcPr>
            <w:tcW w:w="1276" w:type="dxa"/>
            <w:tcBorders>
              <w:top w:val="nil"/>
              <w:left w:val="single" w:sz="4" w:space="0" w:color="auto"/>
              <w:right w:val="nil"/>
            </w:tcBorders>
          </w:tcPr>
          <w:p w14:paraId="75B9DC8F" w14:textId="585BE6BF"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3.88</w:t>
            </w:r>
          </w:p>
        </w:tc>
        <w:tc>
          <w:tcPr>
            <w:tcW w:w="1058" w:type="dxa"/>
            <w:tcBorders>
              <w:top w:val="nil"/>
              <w:left w:val="nil"/>
              <w:right w:val="nil"/>
            </w:tcBorders>
          </w:tcPr>
          <w:p w14:paraId="764F54D4" w14:textId="58B023EC" w:rsidR="00450982" w:rsidRPr="00450982" w:rsidRDefault="00450982" w:rsidP="0045098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450982">
              <w:rPr>
                <w:sz w:val="18"/>
                <w:szCs w:val="18"/>
                <w:highlight w:val="yellow"/>
              </w:rPr>
              <w:t>0.109</w:t>
            </w:r>
          </w:p>
        </w:tc>
      </w:tr>
    </w:tbl>
    <w:p w14:paraId="4EC99907" w14:textId="3F11A768" w:rsidR="006C5E90" w:rsidRPr="00AB4A23" w:rsidRDefault="007D54D9" w:rsidP="006C5E90">
      <w:pPr>
        <w:rPr>
          <w:sz w:val="20"/>
          <w:szCs w:val="20"/>
        </w:rPr>
      </w:pPr>
      <w:r w:rsidRPr="00AB4A23">
        <w:rPr>
          <w:sz w:val="20"/>
          <w:szCs w:val="20"/>
        </w:rPr>
        <w:t xml:space="preserve">Data </w:t>
      </w:r>
      <w:r w:rsidR="006C5E90" w:rsidRPr="00AB4A23">
        <w:rPr>
          <w:sz w:val="20"/>
          <w:szCs w:val="20"/>
        </w:rPr>
        <w:t>Source: Myanmar Demographic and Health Survey, 2015-2016 (</w:t>
      </w:r>
      <w:r w:rsidR="00146433" w:rsidRPr="00AB4A23">
        <w:rPr>
          <w:sz w:val="20"/>
          <w:szCs w:val="20"/>
        </w:rPr>
        <w:t>Ministry of Health and Sports and ICF</w:t>
      </w:r>
      <w:r w:rsidR="006C5E90" w:rsidRPr="00AB4A23">
        <w:rPr>
          <w:sz w:val="20"/>
          <w:szCs w:val="20"/>
        </w:rPr>
        <w:t xml:space="preserve"> 2017)</w:t>
      </w:r>
    </w:p>
    <w:p w14:paraId="0B86C5B5" w14:textId="5D94B2AF" w:rsidR="00700D23" w:rsidRDefault="00292063" w:rsidP="0AA2609C">
      <w:pPr>
        <w:spacing w:before="240"/>
        <w:rPr>
          <w:sz w:val="21"/>
          <w:szCs w:val="21"/>
        </w:rPr>
        <w:sectPr w:rsidR="00700D23" w:rsidSect="00700D23">
          <w:pgSz w:w="16838" w:h="11906" w:orient="landscape"/>
          <w:pgMar w:top="1440" w:right="1440" w:bottom="1440" w:left="1440" w:header="708" w:footer="708" w:gutter="0"/>
          <w:cols w:space="708"/>
          <w:docGrid w:linePitch="360"/>
        </w:sectPr>
      </w:pPr>
      <w:r w:rsidRPr="00AB4A23">
        <w:rPr>
          <w:sz w:val="21"/>
          <w:szCs w:val="21"/>
        </w:rPr>
        <w:t xml:space="preserve">Note: </w:t>
      </w:r>
      <w:r w:rsidR="00450982">
        <w:rPr>
          <w:sz w:val="21"/>
          <w:szCs w:val="21"/>
        </w:rPr>
        <w:t>Both women’s models include</w:t>
      </w:r>
      <w:r w:rsidRPr="00AB4A23">
        <w:rPr>
          <w:sz w:val="21"/>
          <w:szCs w:val="21"/>
        </w:rPr>
        <w:t xml:space="preserve"> </w:t>
      </w:r>
      <w:r w:rsidR="00620C85" w:rsidRPr="00AB4A23">
        <w:rPr>
          <w:sz w:val="21"/>
          <w:szCs w:val="21"/>
        </w:rPr>
        <w:t>11,044</w:t>
      </w:r>
      <w:r w:rsidRPr="00AB4A23">
        <w:rPr>
          <w:sz w:val="21"/>
          <w:szCs w:val="21"/>
        </w:rPr>
        <w:t xml:space="preserve"> women and </w:t>
      </w:r>
      <w:r w:rsidR="00450982">
        <w:rPr>
          <w:sz w:val="21"/>
          <w:szCs w:val="21"/>
        </w:rPr>
        <w:t xml:space="preserve">both men’s models include </w:t>
      </w:r>
      <w:r w:rsidR="00A2077A" w:rsidRPr="00AB4A23">
        <w:rPr>
          <w:sz w:val="21"/>
          <w:szCs w:val="21"/>
        </w:rPr>
        <w:t>3,969</w:t>
      </w:r>
      <w:r w:rsidRPr="00AB4A23">
        <w:rPr>
          <w:sz w:val="21"/>
          <w:szCs w:val="21"/>
        </w:rPr>
        <w:t xml:space="preserve"> men</w:t>
      </w:r>
      <w:r w:rsidR="00101708" w:rsidRPr="00AB4A23">
        <w:rPr>
          <w:sz w:val="21"/>
          <w:szCs w:val="21"/>
        </w:rPr>
        <w:t>.</w:t>
      </w:r>
      <w:r w:rsidR="6D0EC82B" w:rsidRPr="00AB4A23">
        <w:rPr>
          <w:sz w:val="21"/>
          <w:szCs w:val="21"/>
        </w:rPr>
        <w:t xml:space="preserve"> </w:t>
      </w:r>
    </w:p>
    <w:p w14:paraId="3233C136" w14:textId="5DDC95D1" w:rsidR="00B3445E" w:rsidRPr="00AB4A23" w:rsidRDefault="00610A71" w:rsidP="42171E9E">
      <w:pPr>
        <w:spacing w:before="240" w:line="360" w:lineRule="auto"/>
      </w:pPr>
      <w:r w:rsidRPr="00AB4A23">
        <w:lastRenderedPageBreak/>
        <w:t xml:space="preserve">Figure </w:t>
      </w:r>
      <w:r w:rsidR="528F92FB" w:rsidRPr="00AB4A23">
        <w:t>1</w:t>
      </w:r>
      <w:r w:rsidR="00E97E50" w:rsidRPr="00AB4A23">
        <w:t>. Relative risk of entering into marriage for men and women</w:t>
      </w:r>
      <w:r w:rsidR="000E4AEF" w:rsidRPr="00AB4A23">
        <w:t>, by current education level and work status</w:t>
      </w:r>
    </w:p>
    <w:p w14:paraId="32190302" w14:textId="324A312A" w:rsidR="000E4AEF" w:rsidRPr="00AB4A23" w:rsidRDefault="00610A71" w:rsidP="42171E9E">
      <w:pPr>
        <w:rPr>
          <w:sz w:val="20"/>
          <w:szCs w:val="20"/>
        </w:rPr>
      </w:pPr>
      <w:r w:rsidRPr="00AB4A23">
        <w:rPr>
          <w:noProof/>
        </w:rPr>
        <w:drawing>
          <wp:inline distT="0" distB="0" distL="0" distR="0" wp14:anchorId="1291BC83" wp14:editId="072E9B13">
            <wp:extent cx="5731510" cy="3548380"/>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tretch>
                      <a:fillRect/>
                    </a:stretch>
                  </pic:blipFill>
                  <pic:spPr>
                    <a:xfrm>
                      <a:off x="0" y="0"/>
                      <a:ext cx="5731510" cy="3548380"/>
                    </a:xfrm>
                    <a:prstGeom prst="rect">
                      <a:avLst/>
                    </a:prstGeom>
                  </pic:spPr>
                </pic:pic>
              </a:graphicData>
            </a:graphic>
          </wp:inline>
        </w:drawing>
      </w:r>
    </w:p>
    <w:p w14:paraId="075CAD24" w14:textId="096AF6A7" w:rsidR="00610A71" w:rsidRPr="00AB4A23" w:rsidRDefault="00610A71" w:rsidP="42171E9E">
      <w:pPr>
        <w:rPr>
          <w:sz w:val="20"/>
          <w:szCs w:val="20"/>
        </w:rPr>
      </w:pPr>
    </w:p>
    <w:p w14:paraId="67851D76" w14:textId="77777777" w:rsidR="00610A71" w:rsidRPr="00AB4A23" w:rsidRDefault="00610A71" w:rsidP="42171E9E">
      <w:pPr>
        <w:rPr>
          <w:sz w:val="20"/>
          <w:szCs w:val="20"/>
        </w:rPr>
      </w:pPr>
    </w:p>
    <w:p w14:paraId="2FA871A7" w14:textId="0FDEAEC4" w:rsidR="00E97E50" w:rsidRPr="00AB4A23" w:rsidRDefault="000E4AEF" w:rsidP="42171E9E">
      <w:pPr>
        <w:rPr>
          <w:sz w:val="20"/>
          <w:szCs w:val="20"/>
        </w:rPr>
      </w:pPr>
      <w:r w:rsidRPr="00AB4A23">
        <w:rPr>
          <w:sz w:val="20"/>
          <w:szCs w:val="20"/>
        </w:rPr>
        <w:t>Data Source: Myanmar Demographic and Health Survey, 2015-2016 (Ministry of Health and Sports and ICF 2017)</w:t>
      </w:r>
    </w:p>
    <w:p w14:paraId="2C6BCA6D" w14:textId="77777777" w:rsidR="00E97E50" w:rsidRPr="00064A1F" w:rsidRDefault="00E97E50" w:rsidP="00064A1F">
      <w:pPr>
        <w:spacing w:before="240" w:line="360" w:lineRule="auto"/>
      </w:pPr>
    </w:p>
    <w:sectPr w:rsidR="00E97E50" w:rsidRPr="00064A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56692" w14:textId="77777777" w:rsidR="0008779D" w:rsidRDefault="0008779D" w:rsidP="004874D7">
      <w:r>
        <w:separator/>
      </w:r>
    </w:p>
  </w:endnote>
  <w:endnote w:type="continuationSeparator" w:id="0">
    <w:p w14:paraId="0305484A" w14:textId="77777777" w:rsidR="0008779D" w:rsidRDefault="0008779D" w:rsidP="004874D7">
      <w:r>
        <w:continuationSeparator/>
      </w:r>
    </w:p>
  </w:endnote>
  <w:endnote w:type="continuationNotice" w:id="1">
    <w:p w14:paraId="770B9079" w14:textId="77777777" w:rsidR="0008779D" w:rsidRDefault="00087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AFFB9" w14:textId="04C16387" w:rsidR="003C06FB" w:rsidRDefault="003C06FB">
    <w:pPr>
      <w:pStyle w:val="Footer"/>
      <w:jc w:val="right"/>
    </w:pPr>
  </w:p>
  <w:p w14:paraId="6C09EDF5" w14:textId="77777777" w:rsidR="003C06FB" w:rsidRDefault="003C0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643149"/>
      <w:docPartObj>
        <w:docPartGallery w:val="Page Numbers (Bottom of Page)"/>
        <w:docPartUnique/>
      </w:docPartObj>
    </w:sdtPr>
    <w:sdtEndPr>
      <w:rPr>
        <w:noProof/>
      </w:rPr>
    </w:sdtEndPr>
    <w:sdtContent>
      <w:p w14:paraId="25CD0D62" w14:textId="397C5C8B" w:rsidR="003C06FB" w:rsidRDefault="003C06FB">
        <w:pPr>
          <w:pStyle w:val="Footer"/>
          <w:jc w:val="right"/>
        </w:pPr>
        <w:r>
          <w:fldChar w:fldCharType="begin"/>
        </w:r>
        <w:r>
          <w:instrText xml:space="preserve"> PAGE   \* MERGEFORMAT </w:instrText>
        </w:r>
        <w:r>
          <w:fldChar w:fldCharType="separate"/>
        </w:r>
        <w:r w:rsidR="00606E6B">
          <w:rPr>
            <w:noProof/>
          </w:rPr>
          <w:t>29</w:t>
        </w:r>
        <w:r>
          <w:rPr>
            <w:noProof/>
          </w:rPr>
          <w:fldChar w:fldCharType="end"/>
        </w:r>
      </w:p>
    </w:sdtContent>
  </w:sdt>
  <w:p w14:paraId="46872658" w14:textId="77777777" w:rsidR="003C06FB" w:rsidRDefault="003C0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E90A0" w14:textId="77777777" w:rsidR="0008779D" w:rsidRDefault="0008779D" w:rsidP="004874D7">
      <w:r>
        <w:separator/>
      </w:r>
    </w:p>
  </w:footnote>
  <w:footnote w:type="continuationSeparator" w:id="0">
    <w:p w14:paraId="6B64705A" w14:textId="77777777" w:rsidR="0008779D" w:rsidRDefault="0008779D" w:rsidP="004874D7">
      <w:r>
        <w:continuationSeparator/>
      </w:r>
    </w:p>
  </w:footnote>
  <w:footnote w:type="continuationNotice" w:id="1">
    <w:p w14:paraId="69E7CF21" w14:textId="77777777" w:rsidR="0008779D" w:rsidRDefault="000877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003C06FB" w14:paraId="674AB2AF" w14:textId="77777777" w:rsidTr="42171E9E">
      <w:tc>
        <w:tcPr>
          <w:tcW w:w="3009" w:type="dxa"/>
        </w:tcPr>
        <w:p w14:paraId="1A29D981" w14:textId="2CD08AA4" w:rsidR="003C06FB" w:rsidRDefault="003C06FB" w:rsidP="42171E9E">
          <w:pPr>
            <w:pStyle w:val="Header"/>
            <w:ind w:left="-115"/>
          </w:pPr>
        </w:p>
      </w:tc>
      <w:tc>
        <w:tcPr>
          <w:tcW w:w="3009" w:type="dxa"/>
        </w:tcPr>
        <w:p w14:paraId="749A5671" w14:textId="03905930" w:rsidR="003C06FB" w:rsidRDefault="003C06FB" w:rsidP="42171E9E">
          <w:pPr>
            <w:pStyle w:val="Header"/>
            <w:jc w:val="center"/>
          </w:pPr>
        </w:p>
      </w:tc>
      <w:tc>
        <w:tcPr>
          <w:tcW w:w="3009" w:type="dxa"/>
        </w:tcPr>
        <w:p w14:paraId="53C662C4" w14:textId="0E7124D9" w:rsidR="003C06FB" w:rsidRDefault="003C06FB" w:rsidP="42171E9E">
          <w:pPr>
            <w:pStyle w:val="Header"/>
            <w:ind w:right="-115"/>
            <w:jc w:val="right"/>
          </w:pPr>
        </w:p>
      </w:tc>
    </w:tr>
  </w:tbl>
  <w:p w14:paraId="4B730D58" w14:textId="3BCD1A3D" w:rsidR="003C06FB" w:rsidRDefault="003C06FB" w:rsidP="42171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003C06FB" w14:paraId="0EC40F3E" w14:textId="77777777" w:rsidTr="42171E9E">
      <w:tc>
        <w:tcPr>
          <w:tcW w:w="3009" w:type="dxa"/>
        </w:tcPr>
        <w:p w14:paraId="1EC0B51E" w14:textId="002157B9" w:rsidR="003C06FB" w:rsidRDefault="003C06FB" w:rsidP="42171E9E">
          <w:pPr>
            <w:pStyle w:val="Header"/>
            <w:ind w:left="-115"/>
          </w:pPr>
        </w:p>
      </w:tc>
      <w:tc>
        <w:tcPr>
          <w:tcW w:w="3009" w:type="dxa"/>
        </w:tcPr>
        <w:p w14:paraId="6864EB03" w14:textId="3DE0A679" w:rsidR="003C06FB" w:rsidRDefault="003C06FB" w:rsidP="42171E9E">
          <w:pPr>
            <w:pStyle w:val="Header"/>
            <w:jc w:val="center"/>
          </w:pPr>
        </w:p>
      </w:tc>
      <w:tc>
        <w:tcPr>
          <w:tcW w:w="3009" w:type="dxa"/>
        </w:tcPr>
        <w:p w14:paraId="72234A1C" w14:textId="534FAEC1" w:rsidR="003C06FB" w:rsidRDefault="003C06FB" w:rsidP="42171E9E">
          <w:pPr>
            <w:pStyle w:val="Header"/>
            <w:ind w:right="-115"/>
            <w:jc w:val="right"/>
          </w:pPr>
        </w:p>
      </w:tc>
    </w:tr>
  </w:tbl>
  <w:p w14:paraId="091C05FA" w14:textId="2AC2290B" w:rsidR="003C06FB" w:rsidRDefault="003C06FB" w:rsidP="42171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003C06FB" w14:paraId="44628AE9" w14:textId="77777777" w:rsidTr="42171E9E">
      <w:tc>
        <w:tcPr>
          <w:tcW w:w="3009" w:type="dxa"/>
        </w:tcPr>
        <w:p w14:paraId="47560A32" w14:textId="206D2047" w:rsidR="003C06FB" w:rsidRDefault="003C06FB" w:rsidP="42171E9E">
          <w:pPr>
            <w:pStyle w:val="Header"/>
            <w:ind w:left="-115"/>
          </w:pPr>
        </w:p>
      </w:tc>
      <w:tc>
        <w:tcPr>
          <w:tcW w:w="3009" w:type="dxa"/>
        </w:tcPr>
        <w:p w14:paraId="1C85AA94" w14:textId="58837762" w:rsidR="003C06FB" w:rsidRDefault="003C06FB" w:rsidP="42171E9E">
          <w:pPr>
            <w:pStyle w:val="Header"/>
            <w:jc w:val="center"/>
          </w:pPr>
        </w:p>
      </w:tc>
      <w:tc>
        <w:tcPr>
          <w:tcW w:w="3009" w:type="dxa"/>
        </w:tcPr>
        <w:p w14:paraId="0D428E42" w14:textId="2FAE7CAF" w:rsidR="003C06FB" w:rsidRDefault="003C06FB" w:rsidP="42171E9E">
          <w:pPr>
            <w:pStyle w:val="Header"/>
            <w:ind w:right="-115"/>
            <w:jc w:val="right"/>
          </w:pPr>
        </w:p>
      </w:tc>
    </w:tr>
  </w:tbl>
  <w:p w14:paraId="02A216DB" w14:textId="280236D5" w:rsidR="003C06FB" w:rsidRDefault="003C06FB" w:rsidP="42171E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003C06FB" w14:paraId="6B67B6E0" w14:textId="77777777" w:rsidTr="42171E9E">
      <w:tc>
        <w:tcPr>
          <w:tcW w:w="3009" w:type="dxa"/>
        </w:tcPr>
        <w:p w14:paraId="0FCF79B0" w14:textId="1FBA5AF6" w:rsidR="003C06FB" w:rsidRDefault="003C06FB" w:rsidP="42171E9E">
          <w:pPr>
            <w:pStyle w:val="Header"/>
            <w:ind w:left="-115"/>
          </w:pPr>
        </w:p>
      </w:tc>
      <w:tc>
        <w:tcPr>
          <w:tcW w:w="3009" w:type="dxa"/>
        </w:tcPr>
        <w:p w14:paraId="2CE9D1C5" w14:textId="34B05893" w:rsidR="003C06FB" w:rsidRDefault="003C06FB" w:rsidP="42171E9E">
          <w:pPr>
            <w:pStyle w:val="Header"/>
            <w:jc w:val="center"/>
          </w:pPr>
        </w:p>
      </w:tc>
      <w:tc>
        <w:tcPr>
          <w:tcW w:w="3009" w:type="dxa"/>
        </w:tcPr>
        <w:p w14:paraId="37ACB980" w14:textId="7F9122E9" w:rsidR="003C06FB" w:rsidRDefault="003C06FB" w:rsidP="42171E9E">
          <w:pPr>
            <w:pStyle w:val="Header"/>
            <w:ind w:right="-115"/>
            <w:jc w:val="right"/>
          </w:pPr>
        </w:p>
      </w:tc>
    </w:tr>
  </w:tbl>
  <w:p w14:paraId="620DF648" w14:textId="42783C33" w:rsidR="003C06FB" w:rsidRDefault="003C06FB" w:rsidP="42171E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003C06FB" w14:paraId="585333C9" w14:textId="77777777" w:rsidTr="42171E9E">
      <w:tc>
        <w:tcPr>
          <w:tcW w:w="3009" w:type="dxa"/>
        </w:tcPr>
        <w:p w14:paraId="777933A3" w14:textId="78A7ABAF" w:rsidR="003C06FB" w:rsidRDefault="003C06FB" w:rsidP="42171E9E">
          <w:pPr>
            <w:pStyle w:val="Header"/>
            <w:ind w:left="-115"/>
          </w:pPr>
        </w:p>
      </w:tc>
      <w:tc>
        <w:tcPr>
          <w:tcW w:w="3009" w:type="dxa"/>
        </w:tcPr>
        <w:p w14:paraId="5E5FE175" w14:textId="3CC60AFE" w:rsidR="003C06FB" w:rsidRDefault="003C06FB" w:rsidP="42171E9E">
          <w:pPr>
            <w:pStyle w:val="Header"/>
            <w:jc w:val="center"/>
          </w:pPr>
        </w:p>
      </w:tc>
      <w:tc>
        <w:tcPr>
          <w:tcW w:w="3009" w:type="dxa"/>
        </w:tcPr>
        <w:p w14:paraId="1E19A0EE" w14:textId="47170B1A" w:rsidR="003C06FB" w:rsidRDefault="003C06FB" w:rsidP="42171E9E">
          <w:pPr>
            <w:pStyle w:val="Header"/>
            <w:ind w:right="-115"/>
            <w:jc w:val="right"/>
          </w:pPr>
        </w:p>
      </w:tc>
    </w:tr>
  </w:tbl>
  <w:p w14:paraId="411C8E70" w14:textId="5D94C65B" w:rsidR="003C06FB" w:rsidRDefault="003C06FB" w:rsidP="42171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13174"/>
    <w:multiLevelType w:val="hybridMultilevel"/>
    <w:tmpl w:val="8ADA4820"/>
    <w:lvl w:ilvl="0" w:tplc="AEC8DDD4">
      <w:start w:val="200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226F6E"/>
    <w:multiLevelType w:val="hybridMultilevel"/>
    <w:tmpl w:val="D4509C22"/>
    <w:lvl w:ilvl="0" w:tplc="BA8C187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E5088D"/>
    <w:multiLevelType w:val="hybridMultilevel"/>
    <w:tmpl w:val="D298C846"/>
    <w:lvl w:ilvl="0" w:tplc="D67A8CB8">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BC"/>
    <w:rsid w:val="00000F5A"/>
    <w:rsid w:val="000010C9"/>
    <w:rsid w:val="00001B31"/>
    <w:rsid w:val="000106BD"/>
    <w:rsid w:val="00014B94"/>
    <w:rsid w:val="0001770C"/>
    <w:rsid w:val="00017D70"/>
    <w:rsid w:val="000230E5"/>
    <w:rsid w:val="000230F0"/>
    <w:rsid w:val="00023A9F"/>
    <w:rsid w:val="0002523C"/>
    <w:rsid w:val="0002743A"/>
    <w:rsid w:val="000313BB"/>
    <w:rsid w:val="00031508"/>
    <w:rsid w:val="00036A6B"/>
    <w:rsid w:val="00041A2F"/>
    <w:rsid w:val="00043FF8"/>
    <w:rsid w:val="00044C48"/>
    <w:rsid w:val="00045B3C"/>
    <w:rsid w:val="00046865"/>
    <w:rsid w:val="00046EE0"/>
    <w:rsid w:val="0005113F"/>
    <w:rsid w:val="00051826"/>
    <w:rsid w:val="00054D02"/>
    <w:rsid w:val="0006109B"/>
    <w:rsid w:val="00063756"/>
    <w:rsid w:val="00064A1F"/>
    <w:rsid w:val="00065413"/>
    <w:rsid w:val="00073B1A"/>
    <w:rsid w:val="0008082B"/>
    <w:rsid w:val="00081AE2"/>
    <w:rsid w:val="00082B69"/>
    <w:rsid w:val="00082BCE"/>
    <w:rsid w:val="00082BE4"/>
    <w:rsid w:val="00082F9F"/>
    <w:rsid w:val="00084146"/>
    <w:rsid w:val="000871B8"/>
    <w:rsid w:val="0008749C"/>
    <w:rsid w:val="0008779D"/>
    <w:rsid w:val="0009385C"/>
    <w:rsid w:val="00095A04"/>
    <w:rsid w:val="0009620C"/>
    <w:rsid w:val="000971F3"/>
    <w:rsid w:val="00097B05"/>
    <w:rsid w:val="000A2022"/>
    <w:rsid w:val="000A2635"/>
    <w:rsid w:val="000A2958"/>
    <w:rsid w:val="000A7F2C"/>
    <w:rsid w:val="000B095E"/>
    <w:rsid w:val="000B105A"/>
    <w:rsid w:val="000B238B"/>
    <w:rsid w:val="000B3062"/>
    <w:rsid w:val="000B544F"/>
    <w:rsid w:val="000C1A31"/>
    <w:rsid w:val="000C1AE0"/>
    <w:rsid w:val="000C1FF2"/>
    <w:rsid w:val="000C4181"/>
    <w:rsid w:val="000D1C47"/>
    <w:rsid w:val="000D34D8"/>
    <w:rsid w:val="000D5E51"/>
    <w:rsid w:val="000E0232"/>
    <w:rsid w:val="000E07F2"/>
    <w:rsid w:val="000E4318"/>
    <w:rsid w:val="000E4AEF"/>
    <w:rsid w:val="000E63DD"/>
    <w:rsid w:val="000E77F1"/>
    <w:rsid w:val="000E784A"/>
    <w:rsid w:val="000F119D"/>
    <w:rsid w:val="000F26B8"/>
    <w:rsid w:val="000F4111"/>
    <w:rsid w:val="000F47B5"/>
    <w:rsid w:val="000F4DCD"/>
    <w:rsid w:val="001005AD"/>
    <w:rsid w:val="00101708"/>
    <w:rsid w:val="00102616"/>
    <w:rsid w:val="00103249"/>
    <w:rsid w:val="001038E0"/>
    <w:rsid w:val="00103F00"/>
    <w:rsid w:val="001044E7"/>
    <w:rsid w:val="00104735"/>
    <w:rsid w:val="00104E17"/>
    <w:rsid w:val="00105B89"/>
    <w:rsid w:val="00105CEB"/>
    <w:rsid w:val="001062FC"/>
    <w:rsid w:val="001064B4"/>
    <w:rsid w:val="00106C02"/>
    <w:rsid w:val="00110DC1"/>
    <w:rsid w:val="00120C93"/>
    <w:rsid w:val="0012228D"/>
    <w:rsid w:val="00122BED"/>
    <w:rsid w:val="001255F7"/>
    <w:rsid w:val="001273DF"/>
    <w:rsid w:val="001305DB"/>
    <w:rsid w:val="001316A3"/>
    <w:rsid w:val="00133337"/>
    <w:rsid w:val="00134D3A"/>
    <w:rsid w:val="0014033D"/>
    <w:rsid w:val="00146349"/>
    <w:rsid w:val="00146433"/>
    <w:rsid w:val="00153320"/>
    <w:rsid w:val="00155E0C"/>
    <w:rsid w:val="00157346"/>
    <w:rsid w:val="001602A7"/>
    <w:rsid w:val="001602A9"/>
    <w:rsid w:val="00162824"/>
    <w:rsid w:val="00164DCE"/>
    <w:rsid w:val="00166487"/>
    <w:rsid w:val="0017282D"/>
    <w:rsid w:val="00172D1F"/>
    <w:rsid w:val="00174BF5"/>
    <w:rsid w:val="00177D03"/>
    <w:rsid w:val="001801EE"/>
    <w:rsid w:val="001818AD"/>
    <w:rsid w:val="0018718E"/>
    <w:rsid w:val="00190D43"/>
    <w:rsid w:val="00192329"/>
    <w:rsid w:val="00192E8E"/>
    <w:rsid w:val="001944AE"/>
    <w:rsid w:val="00194C09"/>
    <w:rsid w:val="00196DF0"/>
    <w:rsid w:val="001A1B51"/>
    <w:rsid w:val="001A1FAC"/>
    <w:rsid w:val="001A6E18"/>
    <w:rsid w:val="001B0955"/>
    <w:rsid w:val="001B169E"/>
    <w:rsid w:val="001B1CA9"/>
    <w:rsid w:val="001B786F"/>
    <w:rsid w:val="001C0AA8"/>
    <w:rsid w:val="001C18D8"/>
    <w:rsid w:val="001C30BB"/>
    <w:rsid w:val="001C4EC7"/>
    <w:rsid w:val="001D3418"/>
    <w:rsid w:val="001D3EB5"/>
    <w:rsid w:val="001D4ABD"/>
    <w:rsid w:val="001D56BF"/>
    <w:rsid w:val="001D70DA"/>
    <w:rsid w:val="001E15DA"/>
    <w:rsid w:val="001E4DB5"/>
    <w:rsid w:val="001F1217"/>
    <w:rsid w:val="001F5976"/>
    <w:rsid w:val="001F6BBF"/>
    <w:rsid w:val="00200791"/>
    <w:rsid w:val="00202E02"/>
    <w:rsid w:val="00211389"/>
    <w:rsid w:val="00213F9C"/>
    <w:rsid w:val="002168DF"/>
    <w:rsid w:val="0021737A"/>
    <w:rsid w:val="002178F7"/>
    <w:rsid w:val="002202D7"/>
    <w:rsid w:val="002206CA"/>
    <w:rsid w:val="00220DD7"/>
    <w:rsid w:val="00222E3A"/>
    <w:rsid w:val="00223A90"/>
    <w:rsid w:val="00230791"/>
    <w:rsid w:val="00230BE4"/>
    <w:rsid w:val="002325A3"/>
    <w:rsid w:val="00232AE6"/>
    <w:rsid w:val="00232E8F"/>
    <w:rsid w:val="00233F6D"/>
    <w:rsid w:val="00234DEC"/>
    <w:rsid w:val="0023535F"/>
    <w:rsid w:val="00236C2B"/>
    <w:rsid w:val="002371F2"/>
    <w:rsid w:val="002372BA"/>
    <w:rsid w:val="002379F9"/>
    <w:rsid w:val="002429EE"/>
    <w:rsid w:val="00243220"/>
    <w:rsid w:val="0024696C"/>
    <w:rsid w:val="00253110"/>
    <w:rsid w:val="0025541C"/>
    <w:rsid w:val="002562DD"/>
    <w:rsid w:val="002658F3"/>
    <w:rsid w:val="00265ADD"/>
    <w:rsid w:val="00266515"/>
    <w:rsid w:val="00267A5C"/>
    <w:rsid w:val="002702BE"/>
    <w:rsid w:val="002728C6"/>
    <w:rsid w:val="00272DEA"/>
    <w:rsid w:val="00274627"/>
    <w:rsid w:val="002750E3"/>
    <w:rsid w:val="00275A09"/>
    <w:rsid w:val="002820B3"/>
    <w:rsid w:val="0028339B"/>
    <w:rsid w:val="00285CD7"/>
    <w:rsid w:val="002879FF"/>
    <w:rsid w:val="00290036"/>
    <w:rsid w:val="00290439"/>
    <w:rsid w:val="00291C96"/>
    <w:rsid w:val="00291FB9"/>
    <w:rsid w:val="00292063"/>
    <w:rsid w:val="00295899"/>
    <w:rsid w:val="002A0B21"/>
    <w:rsid w:val="002A4291"/>
    <w:rsid w:val="002A5E03"/>
    <w:rsid w:val="002A64DD"/>
    <w:rsid w:val="002B020A"/>
    <w:rsid w:val="002B035B"/>
    <w:rsid w:val="002B2F0A"/>
    <w:rsid w:val="002B4FC3"/>
    <w:rsid w:val="002B775A"/>
    <w:rsid w:val="002C12D5"/>
    <w:rsid w:val="002C145D"/>
    <w:rsid w:val="002C5DC0"/>
    <w:rsid w:val="002C7F76"/>
    <w:rsid w:val="002C7FA4"/>
    <w:rsid w:val="002D06AE"/>
    <w:rsid w:val="002D082D"/>
    <w:rsid w:val="002D2669"/>
    <w:rsid w:val="002D4FA5"/>
    <w:rsid w:val="002E1DAB"/>
    <w:rsid w:val="002E545C"/>
    <w:rsid w:val="002E5579"/>
    <w:rsid w:val="002E688C"/>
    <w:rsid w:val="002F1C27"/>
    <w:rsid w:val="002F248C"/>
    <w:rsid w:val="002F7751"/>
    <w:rsid w:val="002F78B1"/>
    <w:rsid w:val="003033EF"/>
    <w:rsid w:val="0030410D"/>
    <w:rsid w:val="00304E58"/>
    <w:rsid w:val="00305B1E"/>
    <w:rsid w:val="0030652D"/>
    <w:rsid w:val="0030749E"/>
    <w:rsid w:val="0031098D"/>
    <w:rsid w:val="00312035"/>
    <w:rsid w:val="00313C1B"/>
    <w:rsid w:val="00321E3D"/>
    <w:rsid w:val="00322B55"/>
    <w:rsid w:val="003244AB"/>
    <w:rsid w:val="00326387"/>
    <w:rsid w:val="00327215"/>
    <w:rsid w:val="003402D3"/>
    <w:rsid w:val="00342241"/>
    <w:rsid w:val="00344E09"/>
    <w:rsid w:val="00345186"/>
    <w:rsid w:val="00345783"/>
    <w:rsid w:val="00350F75"/>
    <w:rsid w:val="0035203F"/>
    <w:rsid w:val="003545CC"/>
    <w:rsid w:val="003558D7"/>
    <w:rsid w:val="00357BF6"/>
    <w:rsid w:val="00357DA8"/>
    <w:rsid w:val="003638BC"/>
    <w:rsid w:val="00366D14"/>
    <w:rsid w:val="00370F44"/>
    <w:rsid w:val="0037246F"/>
    <w:rsid w:val="00372EC4"/>
    <w:rsid w:val="003736E8"/>
    <w:rsid w:val="00375402"/>
    <w:rsid w:val="003759B5"/>
    <w:rsid w:val="00381193"/>
    <w:rsid w:val="00381436"/>
    <w:rsid w:val="00383A1F"/>
    <w:rsid w:val="003857E2"/>
    <w:rsid w:val="003871B2"/>
    <w:rsid w:val="003A1FA3"/>
    <w:rsid w:val="003A2666"/>
    <w:rsid w:val="003A39B8"/>
    <w:rsid w:val="003A6AE3"/>
    <w:rsid w:val="003B1145"/>
    <w:rsid w:val="003B29B0"/>
    <w:rsid w:val="003B34D9"/>
    <w:rsid w:val="003B424F"/>
    <w:rsid w:val="003C0486"/>
    <w:rsid w:val="003C06FB"/>
    <w:rsid w:val="003C07C6"/>
    <w:rsid w:val="003C15E8"/>
    <w:rsid w:val="003C3F20"/>
    <w:rsid w:val="003C5B5D"/>
    <w:rsid w:val="003C6CA9"/>
    <w:rsid w:val="003D11DB"/>
    <w:rsid w:val="003D17C6"/>
    <w:rsid w:val="003D4CFF"/>
    <w:rsid w:val="003D71DA"/>
    <w:rsid w:val="003D7582"/>
    <w:rsid w:val="003D7CD1"/>
    <w:rsid w:val="003E4F42"/>
    <w:rsid w:val="003E6A41"/>
    <w:rsid w:val="003F3FCD"/>
    <w:rsid w:val="003F5BDE"/>
    <w:rsid w:val="0041109D"/>
    <w:rsid w:val="0041156C"/>
    <w:rsid w:val="00412E56"/>
    <w:rsid w:val="00413A6F"/>
    <w:rsid w:val="004148EA"/>
    <w:rsid w:val="00416659"/>
    <w:rsid w:val="00423A43"/>
    <w:rsid w:val="00425299"/>
    <w:rsid w:val="00426495"/>
    <w:rsid w:val="00426AC6"/>
    <w:rsid w:val="00431CB1"/>
    <w:rsid w:val="004344B9"/>
    <w:rsid w:val="0043487D"/>
    <w:rsid w:val="00437B23"/>
    <w:rsid w:val="00440DC3"/>
    <w:rsid w:val="00441893"/>
    <w:rsid w:val="004428E6"/>
    <w:rsid w:val="00450982"/>
    <w:rsid w:val="00452725"/>
    <w:rsid w:val="0046388E"/>
    <w:rsid w:val="00463E33"/>
    <w:rsid w:val="00465A5C"/>
    <w:rsid w:val="00465F43"/>
    <w:rsid w:val="00466939"/>
    <w:rsid w:val="00466B17"/>
    <w:rsid w:val="0046798C"/>
    <w:rsid w:val="00467B60"/>
    <w:rsid w:val="004718D6"/>
    <w:rsid w:val="004723FC"/>
    <w:rsid w:val="00473263"/>
    <w:rsid w:val="004742A9"/>
    <w:rsid w:val="00474318"/>
    <w:rsid w:val="00474867"/>
    <w:rsid w:val="00475265"/>
    <w:rsid w:val="004755D7"/>
    <w:rsid w:val="00475BF8"/>
    <w:rsid w:val="00476244"/>
    <w:rsid w:val="00480E94"/>
    <w:rsid w:val="0048194B"/>
    <w:rsid w:val="00482667"/>
    <w:rsid w:val="00482DE5"/>
    <w:rsid w:val="004836DF"/>
    <w:rsid w:val="004850D5"/>
    <w:rsid w:val="00485D1B"/>
    <w:rsid w:val="004874D7"/>
    <w:rsid w:val="004875E8"/>
    <w:rsid w:val="00494F18"/>
    <w:rsid w:val="004954B0"/>
    <w:rsid w:val="00495B3D"/>
    <w:rsid w:val="004968EA"/>
    <w:rsid w:val="00497716"/>
    <w:rsid w:val="004A32E3"/>
    <w:rsid w:val="004A4BEE"/>
    <w:rsid w:val="004A517D"/>
    <w:rsid w:val="004A6158"/>
    <w:rsid w:val="004B00BD"/>
    <w:rsid w:val="004B04AD"/>
    <w:rsid w:val="004B18F7"/>
    <w:rsid w:val="004B2B57"/>
    <w:rsid w:val="004B59A7"/>
    <w:rsid w:val="004C21AC"/>
    <w:rsid w:val="004C2394"/>
    <w:rsid w:val="004C2BC6"/>
    <w:rsid w:val="004C4BA3"/>
    <w:rsid w:val="004C7B0D"/>
    <w:rsid w:val="004D270F"/>
    <w:rsid w:val="004E29A5"/>
    <w:rsid w:val="004F29A1"/>
    <w:rsid w:val="004F486E"/>
    <w:rsid w:val="004F4AB1"/>
    <w:rsid w:val="004F5A80"/>
    <w:rsid w:val="004F6008"/>
    <w:rsid w:val="00501A90"/>
    <w:rsid w:val="005025DF"/>
    <w:rsid w:val="00502AC0"/>
    <w:rsid w:val="00506CCB"/>
    <w:rsid w:val="00507860"/>
    <w:rsid w:val="00511A98"/>
    <w:rsid w:val="00512E85"/>
    <w:rsid w:val="00512F59"/>
    <w:rsid w:val="0051428A"/>
    <w:rsid w:val="005176D1"/>
    <w:rsid w:val="005205E6"/>
    <w:rsid w:val="00521060"/>
    <w:rsid w:val="0052399C"/>
    <w:rsid w:val="0052406F"/>
    <w:rsid w:val="0052511D"/>
    <w:rsid w:val="00532482"/>
    <w:rsid w:val="00534DDE"/>
    <w:rsid w:val="00537994"/>
    <w:rsid w:val="00540B83"/>
    <w:rsid w:val="00545042"/>
    <w:rsid w:val="00545367"/>
    <w:rsid w:val="00550A3E"/>
    <w:rsid w:val="00551239"/>
    <w:rsid w:val="00551868"/>
    <w:rsid w:val="00552AA7"/>
    <w:rsid w:val="005538C4"/>
    <w:rsid w:val="00553AEE"/>
    <w:rsid w:val="005540A7"/>
    <w:rsid w:val="00560F40"/>
    <w:rsid w:val="0056170C"/>
    <w:rsid w:val="00562C15"/>
    <w:rsid w:val="0057350E"/>
    <w:rsid w:val="00574051"/>
    <w:rsid w:val="005743BF"/>
    <w:rsid w:val="0057526A"/>
    <w:rsid w:val="00580F5B"/>
    <w:rsid w:val="00581D4B"/>
    <w:rsid w:val="00581DF8"/>
    <w:rsid w:val="005832CD"/>
    <w:rsid w:val="00585141"/>
    <w:rsid w:val="005869FF"/>
    <w:rsid w:val="00587711"/>
    <w:rsid w:val="00587DDA"/>
    <w:rsid w:val="00590701"/>
    <w:rsid w:val="00591F5B"/>
    <w:rsid w:val="005931CB"/>
    <w:rsid w:val="00593E3E"/>
    <w:rsid w:val="00595260"/>
    <w:rsid w:val="00596694"/>
    <w:rsid w:val="005A0810"/>
    <w:rsid w:val="005A26BB"/>
    <w:rsid w:val="005B107D"/>
    <w:rsid w:val="005B2714"/>
    <w:rsid w:val="005C3786"/>
    <w:rsid w:val="005C518B"/>
    <w:rsid w:val="005C6F53"/>
    <w:rsid w:val="005C7C3C"/>
    <w:rsid w:val="005C7FBD"/>
    <w:rsid w:val="005D1F10"/>
    <w:rsid w:val="005E0524"/>
    <w:rsid w:val="005E08F9"/>
    <w:rsid w:val="005E3AF3"/>
    <w:rsid w:val="005E3BE5"/>
    <w:rsid w:val="005E3F92"/>
    <w:rsid w:val="005E4DBD"/>
    <w:rsid w:val="005E7F14"/>
    <w:rsid w:val="005F0A35"/>
    <w:rsid w:val="005F1850"/>
    <w:rsid w:val="005F2459"/>
    <w:rsid w:val="00600D0C"/>
    <w:rsid w:val="00600FD2"/>
    <w:rsid w:val="006021DF"/>
    <w:rsid w:val="00602876"/>
    <w:rsid w:val="006039E8"/>
    <w:rsid w:val="0060402A"/>
    <w:rsid w:val="0060487E"/>
    <w:rsid w:val="006069A1"/>
    <w:rsid w:val="00606E6B"/>
    <w:rsid w:val="00610A71"/>
    <w:rsid w:val="00610F69"/>
    <w:rsid w:val="0061148F"/>
    <w:rsid w:val="006131AB"/>
    <w:rsid w:val="006140E7"/>
    <w:rsid w:val="00620C85"/>
    <w:rsid w:val="006223FF"/>
    <w:rsid w:val="006247F2"/>
    <w:rsid w:val="006252E8"/>
    <w:rsid w:val="006258CB"/>
    <w:rsid w:val="0063124F"/>
    <w:rsid w:val="006329DA"/>
    <w:rsid w:val="00635338"/>
    <w:rsid w:val="006356E5"/>
    <w:rsid w:val="00640521"/>
    <w:rsid w:val="00640E9A"/>
    <w:rsid w:val="00641CFF"/>
    <w:rsid w:val="00643892"/>
    <w:rsid w:val="0064463E"/>
    <w:rsid w:val="00646765"/>
    <w:rsid w:val="006474EC"/>
    <w:rsid w:val="0065527A"/>
    <w:rsid w:val="00660119"/>
    <w:rsid w:val="0066049F"/>
    <w:rsid w:val="00660753"/>
    <w:rsid w:val="006607A2"/>
    <w:rsid w:val="00663844"/>
    <w:rsid w:val="006659B4"/>
    <w:rsid w:val="0066644A"/>
    <w:rsid w:val="00672BBB"/>
    <w:rsid w:val="00673061"/>
    <w:rsid w:val="00677643"/>
    <w:rsid w:val="00680065"/>
    <w:rsid w:val="00686DC1"/>
    <w:rsid w:val="0069175F"/>
    <w:rsid w:val="006A182C"/>
    <w:rsid w:val="006A46BB"/>
    <w:rsid w:val="006A5EE6"/>
    <w:rsid w:val="006A62B7"/>
    <w:rsid w:val="006B2A6E"/>
    <w:rsid w:val="006B3FE9"/>
    <w:rsid w:val="006B443D"/>
    <w:rsid w:val="006B5406"/>
    <w:rsid w:val="006B656C"/>
    <w:rsid w:val="006B7C52"/>
    <w:rsid w:val="006C0701"/>
    <w:rsid w:val="006C0AC8"/>
    <w:rsid w:val="006C11A2"/>
    <w:rsid w:val="006C3B44"/>
    <w:rsid w:val="006C3F9E"/>
    <w:rsid w:val="006C4BA0"/>
    <w:rsid w:val="006C5E90"/>
    <w:rsid w:val="006CF11D"/>
    <w:rsid w:val="006D0AB4"/>
    <w:rsid w:val="006D1796"/>
    <w:rsid w:val="006D2A7A"/>
    <w:rsid w:val="006D2D21"/>
    <w:rsid w:val="006D2E08"/>
    <w:rsid w:val="006D4060"/>
    <w:rsid w:val="006D4B5D"/>
    <w:rsid w:val="006D5F31"/>
    <w:rsid w:val="006D7523"/>
    <w:rsid w:val="006E22F4"/>
    <w:rsid w:val="006E4B7B"/>
    <w:rsid w:val="006F09F6"/>
    <w:rsid w:val="006F10EB"/>
    <w:rsid w:val="006F1FFF"/>
    <w:rsid w:val="006F6D48"/>
    <w:rsid w:val="006F7F5A"/>
    <w:rsid w:val="00700337"/>
    <w:rsid w:val="00700D23"/>
    <w:rsid w:val="0070234D"/>
    <w:rsid w:val="00702471"/>
    <w:rsid w:val="007037ED"/>
    <w:rsid w:val="007064FD"/>
    <w:rsid w:val="00706A8B"/>
    <w:rsid w:val="00711B40"/>
    <w:rsid w:val="00712AB9"/>
    <w:rsid w:val="007134D5"/>
    <w:rsid w:val="0071361B"/>
    <w:rsid w:val="007163B5"/>
    <w:rsid w:val="0072012E"/>
    <w:rsid w:val="007212A2"/>
    <w:rsid w:val="0072553C"/>
    <w:rsid w:val="00726073"/>
    <w:rsid w:val="00727107"/>
    <w:rsid w:val="00731C6A"/>
    <w:rsid w:val="00733A2C"/>
    <w:rsid w:val="00733ACA"/>
    <w:rsid w:val="00735A51"/>
    <w:rsid w:val="00740818"/>
    <w:rsid w:val="00742624"/>
    <w:rsid w:val="00742AE7"/>
    <w:rsid w:val="007503AE"/>
    <w:rsid w:val="007522A8"/>
    <w:rsid w:val="00753475"/>
    <w:rsid w:val="00753630"/>
    <w:rsid w:val="007600CF"/>
    <w:rsid w:val="007623D0"/>
    <w:rsid w:val="00762533"/>
    <w:rsid w:val="00763A5B"/>
    <w:rsid w:val="007667AE"/>
    <w:rsid w:val="00770DC6"/>
    <w:rsid w:val="00771590"/>
    <w:rsid w:val="007759AD"/>
    <w:rsid w:val="00775AB4"/>
    <w:rsid w:val="007815DA"/>
    <w:rsid w:val="00790462"/>
    <w:rsid w:val="0079054A"/>
    <w:rsid w:val="00792814"/>
    <w:rsid w:val="0079521B"/>
    <w:rsid w:val="00797707"/>
    <w:rsid w:val="007A0A10"/>
    <w:rsid w:val="007A1E7D"/>
    <w:rsid w:val="007A336A"/>
    <w:rsid w:val="007A59A8"/>
    <w:rsid w:val="007B087F"/>
    <w:rsid w:val="007B132B"/>
    <w:rsid w:val="007B1C61"/>
    <w:rsid w:val="007B2297"/>
    <w:rsid w:val="007B628D"/>
    <w:rsid w:val="007B70B1"/>
    <w:rsid w:val="007C0DA2"/>
    <w:rsid w:val="007C7929"/>
    <w:rsid w:val="007D2ADD"/>
    <w:rsid w:val="007D320E"/>
    <w:rsid w:val="007D4D53"/>
    <w:rsid w:val="007D54D9"/>
    <w:rsid w:val="007D74B8"/>
    <w:rsid w:val="007E05AC"/>
    <w:rsid w:val="007E227B"/>
    <w:rsid w:val="007E7C33"/>
    <w:rsid w:val="007F3BF1"/>
    <w:rsid w:val="007F456B"/>
    <w:rsid w:val="007F5B5A"/>
    <w:rsid w:val="007F7996"/>
    <w:rsid w:val="008002FA"/>
    <w:rsid w:val="00802DA5"/>
    <w:rsid w:val="00806336"/>
    <w:rsid w:val="00806B5F"/>
    <w:rsid w:val="00807924"/>
    <w:rsid w:val="008117C0"/>
    <w:rsid w:val="00813E63"/>
    <w:rsid w:val="00815C5D"/>
    <w:rsid w:val="00816825"/>
    <w:rsid w:val="00817D30"/>
    <w:rsid w:val="008228C0"/>
    <w:rsid w:val="00825209"/>
    <w:rsid w:val="00825265"/>
    <w:rsid w:val="00832EE3"/>
    <w:rsid w:val="00836585"/>
    <w:rsid w:val="008424A7"/>
    <w:rsid w:val="00842EAA"/>
    <w:rsid w:val="00843F4D"/>
    <w:rsid w:val="00847152"/>
    <w:rsid w:val="0085534E"/>
    <w:rsid w:val="00857B2C"/>
    <w:rsid w:val="00860546"/>
    <w:rsid w:val="00860CA5"/>
    <w:rsid w:val="00861E47"/>
    <w:rsid w:val="00862982"/>
    <w:rsid w:val="0086393E"/>
    <w:rsid w:val="008662BF"/>
    <w:rsid w:val="00870066"/>
    <w:rsid w:val="00870F83"/>
    <w:rsid w:val="00871235"/>
    <w:rsid w:val="0087277C"/>
    <w:rsid w:val="008742A3"/>
    <w:rsid w:val="00882219"/>
    <w:rsid w:val="00886D23"/>
    <w:rsid w:val="00886E15"/>
    <w:rsid w:val="00887743"/>
    <w:rsid w:val="00887DE7"/>
    <w:rsid w:val="00890445"/>
    <w:rsid w:val="008911B1"/>
    <w:rsid w:val="008940D1"/>
    <w:rsid w:val="0089548D"/>
    <w:rsid w:val="008A08BA"/>
    <w:rsid w:val="008A20CB"/>
    <w:rsid w:val="008A4939"/>
    <w:rsid w:val="008A5237"/>
    <w:rsid w:val="008A57D3"/>
    <w:rsid w:val="008A69E7"/>
    <w:rsid w:val="008B1AEB"/>
    <w:rsid w:val="008B2208"/>
    <w:rsid w:val="008B2224"/>
    <w:rsid w:val="008B4BA1"/>
    <w:rsid w:val="008B5AEF"/>
    <w:rsid w:val="008C08AD"/>
    <w:rsid w:val="008C0F04"/>
    <w:rsid w:val="008C12B0"/>
    <w:rsid w:val="008C24B1"/>
    <w:rsid w:val="008C39E9"/>
    <w:rsid w:val="008C52AD"/>
    <w:rsid w:val="008C5A62"/>
    <w:rsid w:val="008C77E4"/>
    <w:rsid w:val="008D0E81"/>
    <w:rsid w:val="008D6339"/>
    <w:rsid w:val="008D6515"/>
    <w:rsid w:val="008E309A"/>
    <w:rsid w:val="008E5F01"/>
    <w:rsid w:val="008E77FF"/>
    <w:rsid w:val="008F10FC"/>
    <w:rsid w:val="008F189A"/>
    <w:rsid w:val="008F2224"/>
    <w:rsid w:val="008F3174"/>
    <w:rsid w:val="008F4334"/>
    <w:rsid w:val="008F6CDA"/>
    <w:rsid w:val="009027C0"/>
    <w:rsid w:val="00903161"/>
    <w:rsid w:val="00903E82"/>
    <w:rsid w:val="00904E38"/>
    <w:rsid w:val="009074F4"/>
    <w:rsid w:val="00916CFB"/>
    <w:rsid w:val="009202E6"/>
    <w:rsid w:val="00920F43"/>
    <w:rsid w:val="00922FCA"/>
    <w:rsid w:val="009234CE"/>
    <w:rsid w:val="00923609"/>
    <w:rsid w:val="009242B0"/>
    <w:rsid w:val="00926063"/>
    <w:rsid w:val="00927B71"/>
    <w:rsid w:val="00935495"/>
    <w:rsid w:val="00937AC3"/>
    <w:rsid w:val="0094006E"/>
    <w:rsid w:val="009423DE"/>
    <w:rsid w:val="00943E5F"/>
    <w:rsid w:val="00946C96"/>
    <w:rsid w:val="00947B73"/>
    <w:rsid w:val="009515EF"/>
    <w:rsid w:val="00952B71"/>
    <w:rsid w:val="00953964"/>
    <w:rsid w:val="00963AB4"/>
    <w:rsid w:val="00963DD6"/>
    <w:rsid w:val="009642A9"/>
    <w:rsid w:val="009655F3"/>
    <w:rsid w:val="00965727"/>
    <w:rsid w:val="00965F25"/>
    <w:rsid w:val="00967EE6"/>
    <w:rsid w:val="009731C4"/>
    <w:rsid w:val="00975366"/>
    <w:rsid w:val="00976C19"/>
    <w:rsid w:val="009773D5"/>
    <w:rsid w:val="00984193"/>
    <w:rsid w:val="00991E17"/>
    <w:rsid w:val="00993985"/>
    <w:rsid w:val="00994818"/>
    <w:rsid w:val="00994C20"/>
    <w:rsid w:val="0099632B"/>
    <w:rsid w:val="009979C1"/>
    <w:rsid w:val="009A23BF"/>
    <w:rsid w:val="009A25F8"/>
    <w:rsid w:val="009A4D59"/>
    <w:rsid w:val="009A54E0"/>
    <w:rsid w:val="009A5FC0"/>
    <w:rsid w:val="009A658A"/>
    <w:rsid w:val="009A6A93"/>
    <w:rsid w:val="009B05A0"/>
    <w:rsid w:val="009B0BB6"/>
    <w:rsid w:val="009B1A90"/>
    <w:rsid w:val="009B5222"/>
    <w:rsid w:val="009B5DCB"/>
    <w:rsid w:val="009C3F4A"/>
    <w:rsid w:val="009D19E5"/>
    <w:rsid w:val="009D2E82"/>
    <w:rsid w:val="009D5257"/>
    <w:rsid w:val="009D64F4"/>
    <w:rsid w:val="009D745D"/>
    <w:rsid w:val="009E160B"/>
    <w:rsid w:val="009E1AF2"/>
    <w:rsid w:val="009E419E"/>
    <w:rsid w:val="009E6441"/>
    <w:rsid w:val="009E7983"/>
    <w:rsid w:val="009E7CAC"/>
    <w:rsid w:val="009F09E0"/>
    <w:rsid w:val="00A00418"/>
    <w:rsid w:val="00A01E5E"/>
    <w:rsid w:val="00A03CB5"/>
    <w:rsid w:val="00A0415D"/>
    <w:rsid w:val="00A114F3"/>
    <w:rsid w:val="00A12341"/>
    <w:rsid w:val="00A2077A"/>
    <w:rsid w:val="00A20944"/>
    <w:rsid w:val="00A20E99"/>
    <w:rsid w:val="00A211E1"/>
    <w:rsid w:val="00A30BC0"/>
    <w:rsid w:val="00A35C8E"/>
    <w:rsid w:val="00A35F78"/>
    <w:rsid w:val="00A3799A"/>
    <w:rsid w:val="00A37B71"/>
    <w:rsid w:val="00A40DEB"/>
    <w:rsid w:val="00A429B1"/>
    <w:rsid w:val="00A44CFC"/>
    <w:rsid w:val="00A46060"/>
    <w:rsid w:val="00A52195"/>
    <w:rsid w:val="00A5388D"/>
    <w:rsid w:val="00A6160E"/>
    <w:rsid w:val="00A63627"/>
    <w:rsid w:val="00A64CC6"/>
    <w:rsid w:val="00A651B9"/>
    <w:rsid w:val="00A7700F"/>
    <w:rsid w:val="00A820EE"/>
    <w:rsid w:val="00A843D4"/>
    <w:rsid w:val="00A84F20"/>
    <w:rsid w:val="00A879B6"/>
    <w:rsid w:val="00A90B8B"/>
    <w:rsid w:val="00A97B52"/>
    <w:rsid w:val="00AA6A91"/>
    <w:rsid w:val="00AB0E68"/>
    <w:rsid w:val="00AB1362"/>
    <w:rsid w:val="00AB3DC5"/>
    <w:rsid w:val="00AB4A23"/>
    <w:rsid w:val="00AB5011"/>
    <w:rsid w:val="00AB5550"/>
    <w:rsid w:val="00AB5AC1"/>
    <w:rsid w:val="00AB5BDF"/>
    <w:rsid w:val="00AC2077"/>
    <w:rsid w:val="00AC7DA8"/>
    <w:rsid w:val="00AC7DCD"/>
    <w:rsid w:val="00AD0792"/>
    <w:rsid w:val="00AD27CB"/>
    <w:rsid w:val="00AD2F1D"/>
    <w:rsid w:val="00AD57BD"/>
    <w:rsid w:val="00AE0BDD"/>
    <w:rsid w:val="00AE10CB"/>
    <w:rsid w:val="00AE159F"/>
    <w:rsid w:val="00AE2B20"/>
    <w:rsid w:val="00AE6DAD"/>
    <w:rsid w:val="00AE7A58"/>
    <w:rsid w:val="00AF1A8A"/>
    <w:rsid w:val="00AF2055"/>
    <w:rsid w:val="00AF2A55"/>
    <w:rsid w:val="00AF38EA"/>
    <w:rsid w:val="00AF6328"/>
    <w:rsid w:val="00AF6554"/>
    <w:rsid w:val="00B02135"/>
    <w:rsid w:val="00B02C0A"/>
    <w:rsid w:val="00B032A6"/>
    <w:rsid w:val="00B03E8C"/>
    <w:rsid w:val="00B07B1C"/>
    <w:rsid w:val="00B103FF"/>
    <w:rsid w:val="00B104F7"/>
    <w:rsid w:val="00B109AF"/>
    <w:rsid w:val="00B123CD"/>
    <w:rsid w:val="00B15A24"/>
    <w:rsid w:val="00B16283"/>
    <w:rsid w:val="00B24080"/>
    <w:rsid w:val="00B247EB"/>
    <w:rsid w:val="00B3445E"/>
    <w:rsid w:val="00B3527C"/>
    <w:rsid w:val="00B35763"/>
    <w:rsid w:val="00B36DA7"/>
    <w:rsid w:val="00B379BA"/>
    <w:rsid w:val="00B431C9"/>
    <w:rsid w:val="00B44521"/>
    <w:rsid w:val="00B44CDD"/>
    <w:rsid w:val="00B50BC9"/>
    <w:rsid w:val="00B53B3E"/>
    <w:rsid w:val="00B54EDE"/>
    <w:rsid w:val="00B55EB7"/>
    <w:rsid w:val="00B56F8D"/>
    <w:rsid w:val="00B62D7C"/>
    <w:rsid w:val="00B65035"/>
    <w:rsid w:val="00B676C8"/>
    <w:rsid w:val="00B7092B"/>
    <w:rsid w:val="00B71CAA"/>
    <w:rsid w:val="00B722FD"/>
    <w:rsid w:val="00B726DA"/>
    <w:rsid w:val="00B81690"/>
    <w:rsid w:val="00B81C2A"/>
    <w:rsid w:val="00B82709"/>
    <w:rsid w:val="00B8427D"/>
    <w:rsid w:val="00B87561"/>
    <w:rsid w:val="00B92F6D"/>
    <w:rsid w:val="00B9568D"/>
    <w:rsid w:val="00B96855"/>
    <w:rsid w:val="00B978AE"/>
    <w:rsid w:val="00BA29F1"/>
    <w:rsid w:val="00BA319E"/>
    <w:rsid w:val="00BA4922"/>
    <w:rsid w:val="00BA537B"/>
    <w:rsid w:val="00BA6DF4"/>
    <w:rsid w:val="00BA74C2"/>
    <w:rsid w:val="00BA7870"/>
    <w:rsid w:val="00BA7ED0"/>
    <w:rsid w:val="00BB0381"/>
    <w:rsid w:val="00BB10EC"/>
    <w:rsid w:val="00BB2E0A"/>
    <w:rsid w:val="00BB5DEB"/>
    <w:rsid w:val="00BB6112"/>
    <w:rsid w:val="00BB66EB"/>
    <w:rsid w:val="00BC7819"/>
    <w:rsid w:val="00BD06C3"/>
    <w:rsid w:val="00BD4192"/>
    <w:rsid w:val="00BD5E90"/>
    <w:rsid w:val="00BD5F95"/>
    <w:rsid w:val="00BE0D86"/>
    <w:rsid w:val="00BE2CA5"/>
    <w:rsid w:val="00BE55EF"/>
    <w:rsid w:val="00BE776F"/>
    <w:rsid w:val="00BF38BB"/>
    <w:rsid w:val="00BF3F19"/>
    <w:rsid w:val="00BF5649"/>
    <w:rsid w:val="00BF7B1C"/>
    <w:rsid w:val="00C01452"/>
    <w:rsid w:val="00C0266C"/>
    <w:rsid w:val="00C02CA9"/>
    <w:rsid w:val="00C12F69"/>
    <w:rsid w:val="00C13E77"/>
    <w:rsid w:val="00C1567B"/>
    <w:rsid w:val="00C1633F"/>
    <w:rsid w:val="00C16B7F"/>
    <w:rsid w:val="00C20196"/>
    <w:rsid w:val="00C209DD"/>
    <w:rsid w:val="00C20D21"/>
    <w:rsid w:val="00C216D7"/>
    <w:rsid w:val="00C231B8"/>
    <w:rsid w:val="00C24645"/>
    <w:rsid w:val="00C25869"/>
    <w:rsid w:val="00C32A37"/>
    <w:rsid w:val="00C34090"/>
    <w:rsid w:val="00C3637A"/>
    <w:rsid w:val="00C36658"/>
    <w:rsid w:val="00C40073"/>
    <w:rsid w:val="00C41220"/>
    <w:rsid w:val="00C4261B"/>
    <w:rsid w:val="00C42B72"/>
    <w:rsid w:val="00C457DC"/>
    <w:rsid w:val="00C47F75"/>
    <w:rsid w:val="00C5015A"/>
    <w:rsid w:val="00C508AF"/>
    <w:rsid w:val="00C50F01"/>
    <w:rsid w:val="00C52F2E"/>
    <w:rsid w:val="00C52FCA"/>
    <w:rsid w:val="00C53BAC"/>
    <w:rsid w:val="00C54F39"/>
    <w:rsid w:val="00C555A7"/>
    <w:rsid w:val="00C62C3E"/>
    <w:rsid w:val="00C6317D"/>
    <w:rsid w:val="00C644FB"/>
    <w:rsid w:val="00C6525C"/>
    <w:rsid w:val="00C67B10"/>
    <w:rsid w:val="00C71D2B"/>
    <w:rsid w:val="00C73155"/>
    <w:rsid w:val="00C7504C"/>
    <w:rsid w:val="00C80481"/>
    <w:rsid w:val="00C80E10"/>
    <w:rsid w:val="00C84A74"/>
    <w:rsid w:val="00C911AA"/>
    <w:rsid w:val="00C91773"/>
    <w:rsid w:val="00C924CF"/>
    <w:rsid w:val="00C94288"/>
    <w:rsid w:val="00C95088"/>
    <w:rsid w:val="00CA2C3C"/>
    <w:rsid w:val="00CA45D8"/>
    <w:rsid w:val="00CB093E"/>
    <w:rsid w:val="00CB2EA2"/>
    <w:rsid w:val="00CB38D0"/>
    <w:rsid w:val="00CB551A"/>
    <w:rsid w:val="00CB6F37"/>
    <w:rsid w:val="00CC0B5A"/>
    <w:rsid w:val="00CC2283"/>
    <w:rsid w:val="00CC3C41"/>
    <w:rsid w:val="00CD05B2"/>
    <w:rsid w:val="00CD11D1"/>
    <w:rsid w:val="00CD3147"/>
    <w:rsid w:val="00CD3F47"/>
    <w:rsid w:val="00CD5026"/>
    <w:rsid w:val="00CD57AE"/>
    <w:rsid w:val="00CD7285"/>
    <w:rsid w:val="00CE0C11"/>
    <w:rsid w:val="00CE28C0"/>
    <w:rsid w:val="00CE3E54"/>
    <w:rsid w:val="00CE3F00"/>
    <w:rsid w:val="00CE58F4"/>
    <w:rsid w:val="00CE70FD"/>
    <w:rsid w:val="00CF0E1A"/>
    <w:rsid w:val="00CF2DCE"/>
    <w:rsid w:val="00CF3475"/>
    <w:rsid w:val="00CF6861"/>
    <w:rsid w:val="00CF70C5"/>
    <w:rsid w:val="00CF7275"/>
    <w:rsid w:val="00CF7C7D"/>
    <w:rsid w:val="00D00023"/>
    <w:rsid w:val="00D03A4C"/>
    <w:rsid w:val="00D04F7F"/>
    <w:rsid w:val="00D066DA"/>
    <w:rsid w:val="00D10C06"/>
    <w:rsid w:val="00D13205"/>
    <w:rsid w:val="00D14C62"/>
    <w:rsid w:val="00D20E6E"/>
    <w:rsid w:val="00D240B4"/>
    <w:rsid w:val="00D2437E"/>
    <w:rsid w:val="00D24602"/>
    <w:rsid w:val="00D2481E"/>
    <w:rsid w:val="00D2798F"/>
    <w:rsid w:val="00D31A64"/>
    <w:rsid w:val="00D325E0"/>
    <w:rsid w:val="00D33037"/>
    <w:rsid w:val="00D331D2"/>
    <w:rsid w:val="00D36635"/>
    <w:rsid w:val="00D3786A"/>
    <w:rsid w:val="00D4101F"/>
    <w:rsid w:val="00D45653"/>
    <w:rsid w:val="00D45986"/>
    <w:rsid w:val="00D460D9"/>
    <w:rsid w:val="00D4685D"/>
    <w:rsid w:val="00D56DD8"/>
    <w:rsid w:val="00D572A4"/>
    <w:rsid w:val="00D60205"/>
    <w:rsid w:val="00D63244"/>
    <w:rsid w:val="00D65BCF"/>
    <w:rsid w:val="00D66516"/>
    <w:rsid w:val="00D66719"/>
    <w:rsid w:val="00D72687"/>
    <w:rsid w:val="00D74E9E"/>
    <w:rsid w:val="00D76098"/>
    <w:rsid w:val="00D8106E"/>
    <w:rsid w:val="00D81A47"/>
    <w:rsid w:val="00D81B0E"/>
    <w:rsid w:val="00D83D90"/>
    <w:rsid w:val="00D85A5D"/>
    <w:rsid w:val="00D86535"/>
    <w:rsid w:val="00D86F67"/>
    <w:rsid w:val="00D916BE"/>
    <w:rsid w:val="00D95769"/>
    <w:rsid w:val="00DA2600"/>
    <w:rsid w:val="00DA3087"/>
    <w:rsid w:val="00DA33D0"/>
    <w:rsid w:val="00DA4D5E"/>
    <w:rsid w:val="00DAFA82"/>
    <w:rsid w:val="00DB05CD"/>
    <w:rsid w:val="00DB1A3B"/>
    <w:rsid w:val="00DB30FD"/>
    <w:rsid w:val="00DB406D"/>
    <w:rsid w:val="00DB4163"/>
    <w:rsid w:val="00DB5B12"/>
    <w:rsid w:val="00DB5B2A"/>
    <w:rsid w:val="00DB5B6F"/>
    <w:rsid w:val="00DC2345"/>
    <w:rsid w:val="00DC2464"/>
    <w:rsid w:val="00DC3FC3"/>
    <w:rsid w:val="00DC5A06"/>
    <w:rsid w:val="00DD1346"/>
    <w:rsid w:val="00DD4540"/>
    <w:rsid w:val="00DE011D"/>
    <w:rsid w:val="00DE1AAF"/>
    <w:rsid w:val="00DE2FC5"/>
    <w:rsid w:val="00DE3115"/>
    <w:rsid w:val="00DE4CDD"/>
    <w:rsid w:val="00DF0C66"/>
    <w:rsid w:val="00DF22AC"/>
    <w:rsid w:val="00DF4274"/>
    <w:rsid w:val="00DF4810"/>
    <w:rsid w:val="00DF484A"/>
    <w:rsid w:val="00DF5B64"/>
    <w:rsid w:val="00DF66B9"/>
    <w:rsid w:val="00E0155E"/>
    <w:rsid w:val="00E016E8"/>
    <w:rsid w:val="00E01D35"/>
    <w:rsid w:val="00E03412"/>
    <w:rsid w:val="00E03737"/>
    <w:rsid w:val="00E064AD"/>
    <w:rsid w:val="00E07514"/>
    <w:rsid w:val="00E07545"/>
    <w:rsid w:val="00E10FB9"/>
    <w:rsid w:val="00E11A9D"/>
    <w:rsid w:val="00E13B00"/>
    <w:rsid w:val="00E160C0"/>
    <w:rsid w:val="00E2027D"/>
    <w:rsid w:val="00E25520"/>
    <w:rsid w:val="00E25C36"/>
    <w:rsid w:val="00E31276"/>
    <w:rsid w:val="00E33794"/>
    <w:rsid w:val="00E339DC"/>
    <w:rsid w:val="00E40A81"/>
    <w:rsid w:val="00E42FA4"/>
    <w:rsid w:val="00E46C76"/>
    <w:rsid w:val="00E470D1"/>
    <w:rsid w:val="00E52094"/>
    <w:rsid w:val="00E52E9D"/>
    <w:rsid w:val="00E53FCA"/>
    <w:rsid w:val="00E55F8E"/>
    <w:rsid w:val="00E61C06"/>
    <w:rsid w:val="00E61D8D"/>
    <w:rsid w:val="00E669FC"/>
    <w:rsid w:val="00E66AA6"/>
    <w:rsid w:val="00E70D4D"/>
    <w:rsid w:val="00E711F5"/>
    <w:rsid w:val="00E72C65"/>
    <w:rsid w:val="00E72FBD"/>
    <w:rsid w:val="00E747D0"/>
    <w:rsid w:val="00E748CC"/>
    <w:rsid w:val="00E75B25"/>
    <w:rsid w:val="00E80CA7"/>
    <w:rsid w:val="00E83192"/>
    <w:rsid w:val="00E834F3"/>
    <w:rsid w:val="00E864D6"/>
    <w:rsid w:val="00E867A6"/>
    <w:rsid w:val="00E86A37"/>
    <w:rsid w:val="00E87D66"/>
    <w:rsid w:val="00E91320"/>
    <w:rsid w:val="00E91867"/>
    <w:rsid w:val="00E95E6B"/>
    <w:rsid w:val="00E97E50"/>
    <w:rsid w:val="00E97EAE"/>
    <w:rsid w:val="00EA05FD"/>
    <w:rsid w:val="00EA1A2B"/>
    <w:rsid w:val="00EA1B77"/>
    <w:rsid w:val="00EB04D6"/>
    <w:rsid w:val="00EB263D"/>
    <w:rsid w:val="00EB2E5C"/>
    <w:rsid w:val="00EB74FC"/>
    <w:rsid w:val="00EB7A73"/>
    <w:rsid w:val="00EC0E89"/>
    <w:rsid w:val="00EC2454"/>
    <w:rsid w:val="00EC3D57"/>
    <w:rsid w:val="00EC3ED4"/>
    <w:rsid w:val="00EC5800"/>
    <w:rsid w:val="00ED0526"/>
    <w:rsid w:val="00ED2669"/>
    <w:rsid w:val="00ED2E6C"/>
    <w:rsid w:val="00ED3152"/>
    <w:rsid w:val="00ED317C"/>
    <w:rsid w:val="00ED3894"/>
    <w:rsid w:val="00ED454D"/>
    <w:rsid w:val="00EE004C"/>
    <w:rsid w:val="00EE29A5"/>
    <w:rsid w:val="00EE31C7"/>
    <w:rsid w:val="00EE54A8"/>
    <w:rsid w:val="00EE5B2B"/>
    <w:rsid w:val="00EE5F54"/>
    <w:rsid w:val="00EF0348"/>
    <w:rsid w:val="00EF11FE"/>
    <w:rsid w:val="00EF16C4"/>
    <w:rsid w:val="00EF1DE2"/>
    <w:rsid w:val="00EF1E21"/>
    <w:rsid w:val="00EF2EE6"/>
    <w:rsid w:val="00EF3DB0"/>
    <w:rsid w:val="00EF6DF1"/>
    <w:rsid w:val="00EF7BA3"/>
    <w:rsid w:val="00F009BB"/>
    <w:rsid w:val="00F00DCE"/>
    <w:rsid w:val="00F02EDC"/>
    <w:rsid w:val="00F0479A"/>
    <w:rsid w:val="00F053C2"/>
    <w:rsid w:val="00F06A4D"/>
    <w:rsid w:val="00F13E86"/>
    <w:rsid w:val="00F159FD"/>
    <w:rsid w:val="00F172FF"/>
    <w:rsid w:val="00F200CA"/>
    <w:rsid w:val="00F2252E"/>
    <w:rsid w:val="00F2399D"/>
    <w:rsid w:val="00F249D2"/>
    <w:rsid w:val="00F273CD"/>
    <w:rsid w:val="00F3188E"/>
    <w:rsid w:val="00F36535"/>
    <w:rsid w:val="00F36ACC"/>
    <w:rsid w:val="00F374DD"/>
    <w:rsid w:val="00F37A6D"/>
    <w:rsid w:val="00F41314"/>
    <w:rsid w:val="00F42884"/>
    <w:rsid w:val="00F478FC"/>
    <w:rsid w:val="00F47E7A"/>
    <w:rsid w:val="00F50318"/>
    <w:rsid w:val="00F517D1"/>
    <w:rsid w:val="00F554A1"/>
    <w:rsid w:val="00F55BBA"/>
    <w:rsid w:val="00F57221"/>
    <w:rsid w:val="00F578BC"/>
    <w:rsid w:val="00F61F1D"/>
    <w:rsid w:val="00F63108"/>
    <w:rsid w:val="00F668DE"/>
    <w:rsid w:val="00F675B0"/>
    <w:rsid w:val="00F70304"/>
    <w:rsid w:val="00F709DF"/>
    <w:rsid w:val="00F71A82"/>
    <w:rsid w:val="00F72071"/>
    <w:rsid w:val="00F72559"/>
    <w:rsid w:val="00F72F37"/>
    <w:rsid w:val="00F73FDE"/>
    <w:rsid w:val="00F751B5"/>
    <w:rsid w:val="00F760CF"/>
    <w:rsid w:val="00F815E0"/>
    <w:rsid w:val="00F83F86"/>
    <w:rsid w:val="00F846E0"/>
    <w:rsid w:val="00F8612C"/>
    <w:rsid w:val="00F871B4"/>
    <w:rsid w:val="00F90296"/>
    <w:rsid w:val="00F9073D"/>
    <w:rsid w:val="00F92AAD"/>
    <w:rsid w:val="00F96554"/>
    <w:rsid w:val="00FA351A"/>
    <w:rsid w:val="00FA356E"/>
    <w:rsid w:val="00FA3807"/>
    <w:rsid w:val="00FA5FE4"/>
    <w:rsid w:val="00FA6B68"/>
    <w:rsid w:val="00FB1C42"/>
    <w:rsid w:val="00FB52A5"/>
    <w:rsid w:val="00FB790E"/>
    <w:rsid w:val="00FC0615"/>
    <w:rsid w:val="00FC0A45"/>
    <w:rsid w:val="00FC1980"/>
    <w:rsid w:val="00FC1CCB"/>
    <w:rsid w:val="00FC2B6F"/>
    <w:rsid w:val="00FC3C56"/>
    <w:rsid w:val="00FC47C2"/>
    <w:rsid w:val="00FC4A0F"/>
    <w:rsid w:val="00FC68F4"/>
    <w:rsid w:val="00FD119E"/>
    <w:rsid w:val="00FD2B67"/>
    <w:rsid w:val="00FD4E86"/>
    <w:rsid w:val="00FD7C63"/>
    <w:rsid w:val="00FE2214"/>
    <w:rsid w:val="00FE22FB"/>
    <w:rsid w:val="00FE2404"/>
    <w:rsid w:val="00FE2F6E"/>
    <w:rsid w:val="00FE36AF"/>
    <w:rsid w:val="00FE679E"/>
    <w:rsid w:val="00FE688B"/>
    <w:rsid w:val="00FF0981"/>
    <w:rsid w:val="00FF1DBB"/>
    <w:rsid w:val="00FF1E6A"/>
    <w:rsid w:val="00FF3BD3"/>
    <w:rsid w:val="00FF3D26"/>
    <w:rsid w:val="00FF685B"/>
    <w:rsid w:val="00FF78CC"/>
    <w:rsid w:val="011D996F"/>
    <w:rsid w:val="016896B8"/>
    <w:rsid w:val="016FEC0A"/>
    <w:rsid w:val="018EE812"/>
    <w:rsid w:val="0194E108"/>
    <w:rsid w:val="020B5EF9"/>
    <w:rsid w:val="0286DCA5"/>
    <w:rsid w:val="02B8A25F"/>
    <w:rsid w:val="02E07D04"/>
    <w:rsid w:val="03205E82"/>
    <w:rsid w:val="041EFD74"/>
    <w:rsid w:val="043532DA"/>
    <w:rsid w:val="04AA11EF"/>
    <w:rsid w:val="04C88F35"/>
    <w:rsid w:val="0507789D"/>
    <w:rsid w:val="051E1757"/>
    <w:rsid w:val="05D56962"/>
    <w:rsid w:val="05E075FD"/>
    <w:rsid w:val="05EB6DA1"/>
    <w:rsid w:val="05F1E62E"/>
    <w:rsid w:val="073E4EC3"/>
    <w:rsid w:val="07637698"/>
    <w:rsid w:val="0775B32C"/>
    <w:rsid w:val="078DC45E"/>
    <w:rsid w:val="07954BFB"/>
    <w:rsid w:val="087FE132"/>
    <w:rsid w:val="08C01719"/>
    <w:rsid w:val="09D83AA8"/>
    <w:rsid w:val="0A26BA15"/>
    <w:rsid w:val="0A6EAF92"/>
    <w:rsid w:val="0AA2609C"/>
    <w:rsid w:val="0AAD1AC4"/>
    <w:rsid w:val="0ADD9303"/>
    <w:rsid w:val="0B8E3E00"/>
    <w:rsid w:val="0CCDC2B2"/>
    <w:rsid w:val="0D3A5495"/>
    <w:rsid w:val="0D452F28"/>
    <w:rsid w:val="0F1D3C39"/>
    <w:rsid w:val="0F282A4C"/>
    <w:rsid w:val="0F388429"/>
    <w:rsid w:val="0F5DCE4A"/>
    <w:rsid w:val="0F8F0AA9"/>
    <w:rsid w:val="0FDEC2DB"/>
    <w:rsid w:val="1029CF24"/>
    <w:rsid w:val="10628F03"/>
    <w:rsid w:val="111B2E29"/>
    <w:rsid w:val="122D55B8"/>
    <w:rsid w:val="122FBE45"/>
    <w:rsid w:val="13066C24"/>
    <w:rsid w:val="13EF7F39"/>
    <w:rsid w:val="14062772"/>
    <w:rsid w:val="1439FD8B"/>
    <w:rsid w:val="14713036"/>
    <w:rsid w:val="1483B7E7"/>
    <w:rsid w:val="1490F421"/>
    <w:rsid w:val="1545C6BA"/>
    <w:rsid w:val="1583F0F3"/>
    <w:rsid w:val="15A4173E"/>
    <w:rsid w:val="1662F844"/>
    <w:rsid w:val="1686292B"/>
    <w:rsid w:val="168EA561"/>
    <w:rsid w:val="16C7534D"/>
    <w:rsid w:val="16E2A6EF"/>
    <w:rsid w:val="16EDD9AC"/>
    <w:rsid w:val="16FE5FF2"/>
    <w:rsid w:val="1719E286"/>
    <w:rsid w:val="1759020B"/>
    <w:rsid w:val="1873060A"/>
    <w:rsid w:val="188E345F"/>
    <w:rsid w:val="18A1D678"/>
    <w:rsid w:val="18D4CA97"/>
    <w:rsid w:val="1A3E67CD"/>
    <w:rsid w:val="1A791798"/>
    <w:rsid w:val="1A8C56D5"/>
    <w:rsid w:val="1A9E6A3F"/>
    <w:rsid w:val="1ABCBDD2"/>
    <w:rsid w:val="1AFCDEB9"/>
    <w:rsid w:val="1B14E6D6"/>
    <w:rsid w:val="1BE0F804"/>
    <w:rsid w:val="1C710155"/>
    <w:rsid w:val="1C858875"/>
    <w:rsid w:val="1C93628A"/>
    <w:rsid w:val="1C9FF3F2"/>
    <w:rsid w:val="1CF020C5"/>
    <w:rsid w:val="1D436DAC"/>
    <w:rsid w:val="1D454DA6"/>
    <w:rsid w:val="1D46C6C9"/>
    <w:rsid w:val="1D96BCC3"/>
    <w:rsid w:val="1D9BD7D2"/>
    <w:rsid w:val="1DB6057F"/>
    <w:rsid w:val="1DB9D782"/>
    <w:rsid w:val="1EB46F29"/>
    <w:rsid w:val="1EB5EB67"/>
    <w:rsid w:val="1F3BA78C"/>
    <w:rsid w:val="1F9C75C7"/>
    <w:rsid w:val="1FEC8B20"/>
    <w:rsid w:val="2005FA11"/>
    <w:rsid w:val="2046CA41"/>
    <w:rsid w:val="20A5FD36"/>
    <w:rsid w:val="20F999BA"/>
    <w:rsid w:val="210D072B"/>
    <w:rsid w:val="21425726"/>
    <w:rsid w:val="21BF3B27"/>
    <w:rsid w:val="21E3D800"/>
    <w:rsid w:val="2223A122"/>
    <w:rsid w:val="22495C79"/>
    <w:rsid w:val="229D5A38"/>
    <w:rsid w:val="22CA21B6"/>
    <w:rsid w:val="22D12313"/>
    <w:rsid w:val="2321038F"/>
    <w:rsid w:val="2335512A"/>
    <w:rsid w:val="2338F8FB"/>
    <w:rsid w:val="2343064E"/>
    <w:rsid w:val="23BDB51D"/>
    <w:rsid w:val="23D836C9"/>
    <w:rsid w:val="2451492F"/>
    <w:rsid w:val="245D4566"/>
    <w:rsid w:val="246CB068"/>
    <w:rsid w:val="247D3F04"/>
    <w:rsid w:val="24943759"/>
    <w:rsid w:val="24FB94E0"/>
    <w:rsid w:val="2572ABCD"/>
    <w:rsid w:val="268B8417"/>
    <w:rsid w:val="26E46547"/>
    <w:rsid w:val="26F15EFA"/>
    <w:rsid w:val="271EA909"/>
    <w:rsid w:val="27785792"/>
    <w:rsid w:val="27E49BFD"/>
    <w:rsid w:val="284564F7"/>
    <w:rsid w:val="285CE1E4"/>
    <w:rsid w:val="28C31CB9"/>
    <w:rsid w:val="29014766"/>
    <w:rsid w:val="29273758"/>
    <w:rsid w:val="29448085"/>
    <w:rsid w:val="29A32E40"/>
    <w:rsid w:val="29BD85E0"/>
    <w:rsid w:val="29D7E768"/>
    <w:rsid w:val="29DE47C6"/>
    <w:rsid w:val="2A61237D"/>
    <w:rsid w:val="2AAB539E"/>
    <w:rsid w:val="2AAC4D32"/>
    <w:rsid w:val="2ABCDDB7"/>
    <w:rsid w:val="2B1A4871"/>
    <w:rsid w:val="2BC3CDDC"/>
    <w:rsid w:val="2BEB9D5F"/>
    <w:rsid w:val="2C848749"/>
    <w:rsid w:val="2C8D51F0"/>
    <w:rsid w:val="2C94B830"/>
    <w:rsid w:val="2CBD0241"/>
    <w:rsid w:val="2D06EFD4"/>
    <w:rsid w:val="2D467304"/>
    <w:rsid w:val="2D99ACF6"/>
    <w:rsid w:val="2DBA0737"/>
    <w:rsid w:val="2DC74C79"/>
    <w:rsid w:val="2E295C4D"/>
    <w:rsid w:val="2E6351A4"/>
    <w:rsid w:val="2E8814BE"/>
    <w:rsid w:val="2E917C57"/>
    <w:rsid w:val="2F08BACB"/>
    <w:rsid w:val="2FA8B5E8"/>
    <w:rsid w:val="2FF14387"/>
    <w:rsid w:val="3066C8E0"/>
    <w:rsid w:val="30F9B759"/>
    <w:rsid w:val="31421D61"/>
    <w:rsid w:val="316FF2A7"/>
    <w:rsid w:val="3172989D"/>
    <w:rsid w:val="3242767B"/>
    <w:rsid w:val="338B8E58"/>
    <w:rsid w:val="33D0EA2E"/>
    <w:rsid w:val="341D18CF"/>
    <w:rsid w:val="343BE0F9"/>
    <w:rsid w:val="34E86207"/>
    <w:rsid w:val="34FC37C0"/>
    <w:rsid w:val="359A70BA"/>
    <w:rsid w:val="35F3373B"/>
    <w:rsid w:val="360E318E"/>
    <w:rsid w:val="367B2A57"/>
    <w:rsid w:val="36990757"/>
    <w:rsid w:val="36FC556F"/>
    <w:rsid w:val="372AACBB"/>
    <w:rsid w:val="37B36786"/>
    <w:rsid w:val="3927E9A9"/>
    <w:rsid w:val="39C21AE2"/>
    <w:rsid w:val="39E7805D"/>
    <w:rsid w:val="3A5E59D5"/>
    <w:rsid w:val="3A965880"/>
    <w:rsid w:val="3A97607E"/>
    <w:rsid w:val="3B0991F3"/>
    <w:rsid w:val="3B6D3A9C"/>
    <w:rsid w:val="3BA4F530"/>
    <w:rsid w:val="3BD3B7A3"/>
    <w:rsid w:val="3C124964"/>
    <w:rsid w:val="3C2DBC9E"/>
    <w:rsid w:val="3C364273"/>
    <w:rsid w:val="3C4C7065"/>
    <w:rsid w:val="3C98F827"/>
    <w:rsid w:val="3CA938AC"/>
    <w:rsid w:val="3CAA08C6"/>
    <w:rsid w:val="3CD04B70"/>
    <w:rsid w:val="3CF91A2A"/>
    <w:rsid w:val="3D195C30"/>
    <w:rsid w:val="3D2A7007"/>
    <w:rsid w:val="3D9B5024"/>
    <w:rsid w:val="3E01A4AC"/>
    <w:rsid w:val="3E346D91"/>
    <w:rsid w:val="3E4C143C"/>
    <w:rsid w:val="3F1234BF"/>
    <w:rsid w:val="3F39B1CA"/>
    <w:rsid w:val="3FE7838D"/>
    <w:rsid w:val="3FEF8C14"/>
    <w:rsid w:val="40398914"/>
    <w:rsid w:val="40D92502"/>
    <w:rsid w:val="40E8ECD3"/>
    <w:rsid w:val="4104E547"/>
    <w:rsid w:val="4125F301"/>
    <w:rsid w:val="41A86A94"/>
    <w:rsid w:val="41ACB3F4"/>
    <w:rsid w:val="41D75A68"/>
    <w:rsid w:val="420FE36B"/>
    <w:rsid w:val="42116B51"/>
    <w:rsid w:val="42171E9E"/>
    <w:rsid w:val="424605EB"/>
    <w:rsid w:val="42EAF9D5"/>
    <w:rsid w:val="43103F16"/>
    <w:rsid w:val="4313ADE2"/>
    <w:rsid w:val="432DE6FE"/>
    <w:rsid w:val="43BFE5C6"/>
    <w:rsid w:val="43D48413"/>
    <w:rsid w:val="43DE901A"/>
    <w:rsid w:val="43E1D657"/>
    <w:rsid w:val="44304C16"/>
    <w:rsid w:val="4439BBCE"/>
    <w:rsid w:val="44411E17"/>
    <w:rsid w:val="44CFF667"/>
    <w:rsid w:val="44EFA653"/>
    <w:rsid w:val="4505394A"/>
    <w:rsid w:val="4525A821"/>
    <w:rsid w:val="45A2AE53"/>
    <w:rsid w:val="45C09BBD"/>
    <w:rsid w:val="45F1C2AB"/>
    <w:rsid w:val="45F5EE7A"/>
    <w:rsid w:val="468096A9"/>
    <w:rsid w:val="468D1FAD"/>
    <w:rsid w:val="46A25ECA"/>
    <w:rsid w:val="470B994A"/>
    <w:rsid w:val="47A3588A"/>
    <w:rsid w:val="4851CEE6"/>
    <w:rsid w:val="48D40A62"/>
    <w:rsid w:val="48D91524"/>
    <w:rsid w:val="48E3045C"/>
    <w:rsid w:val="48F1C933"/>
    <w:rsid w:val="4950B8AD"/>
    <w:rsid w:val="4999FE8F"/>
    <w:rsid w:val="49E3B92E"/>
    <w:rsid w:val="4A0F286D"/>
    <w:rsid w:val="4A6E1936"/>
    <w:rsid w:val="4ACBAAC0"/>
    <w:rsid w:val="4ADDB9D0"/>
    <w:rsid w:val="4BCA14D9"/>
    <w:rsid w:val="4BE242C2"/>
    <w:rsid w:val="4C189796"/>
    <w:rsid w:val="4C274E27"/>
    <w:rsid w:val="4C67161D"/>
    <w:rsid w:val="4CB216CC"/>
    <w:rsid w:val="4D78D88D"/>
    <w:rsid w:val="4DAA7E09"/>
    <w:rsid w:val="4DBA2A98"/>
    <w:rsid w:val="4E4EC59B"/>
    <w:rsid w:val="4EAA8CCE"/>
    <w:rsid w:val="4F760CD9"/>
    <w:rsid w:val="501E11D5"/>
    <w:rsid w:val="50495375"/>
    <w:rsid w:val="51B6EE4A"/>
    <w:rsid w:val="51E3800C"/>
    <w:rsid w:val="524D84D9"/>
    <w:rsid w:val="526D1035"/>
    <w:rsid w:val="52763EB2"/>
    <w:rsid w:val="528F92FB"/>
    <w:rsid w:val="52C5EB48"/>
    <w:rsid w:val="52D4A28F"/>
    <w:rsid w:val="52F3909E"/>
    <w:rsid w:val="536124AD"/>
    <w:rsid w:val="5389A208"/>
    <w:rsid w:val="540A5C00"/>
    <w:rsid w:val="545D7058"/>
    <w:rsid w:val="546B9728"/>
    <w:rsid w:val="550DBCC3"/>
    <w:rsid w:val="5593390B"/>
    <w:rsid w:val="5629C972"/>
    <w:rsid w:val="56360CCF"/>
    <w:rsid w:val="569C8914"/>
    <w:rsid w:val="574DEB8C"/>
    <w:rsid w:val="57589291"/>
    <w:rsid w:val="5766DACF"/>
    <w:rsid w:val="578D09F2"/>
    <w:rsid w:val="57BFA372"/>
    <w:rsid w:val="57D66F2C"/>
    <w:rsid w:val="582B4DC6"/>
    <w:rsid w:val="58798DE4"/>
    <w:rsid w:val="5883F0D8"/>
    <w:rsid w:val="58C0F277"/>
    <w:rsid w:val="594B9E5D"/>
    <w:rsid w:val="5A56B8D0"/>
    <w:rsid w:val="5AAFB64B"/>
    <w:rsid w:val="5ADCA3CF"/>
    <w:rsid w:val="5BBDC6E7"/>
    <w:rsid w:val="5C05A697"/>
    <w:rsid w:val="5C17C6D2"/>
    <w:rsid w:val="5C1F6269"/>
    <w:rsid w:val="5C569D6A"/>
    <w:rsid w:val="5C8EF11A"/>
    <w:rsid w:val="5CD91BA6"/>
    <w:rsid w:val="5CF25126"/>
    <w:rsid w:val="5D50B8B1"/>
    <w:rsid w:val="5D5A400E"/>
    <w:rsid w:val="5DEE7CD9"/>
    <w:rsid w:val="5DF479F0"/>
    <w:rsid w:val="5E1130DE"/>
    <w:rsid w:val="5E40304B"/>
    <w:rsid w:val="5E8E52F1"/>
    <w:rsid w:val="5EC9858E"/>
    <w:rsid w:val="5EE91AE5"/>
    <w:rsid w:val="5EEE42B8"/>
    <w:rsid w:val="5F338317"/>
    <w:rsid w:val="5F6A5507"/>
    <w:rsid w:val="600D1F8C"/>
    <w:rsid w:val="60256EFF"/>
    <w:rsid w:val="60B038D8"/>
    <w:rsid w:val="62288B7D"/>
    <w:rsid w:val="625581FE"/>
    <w:rsid w:val="627977E2"/>
    <w:rsid w:val="62880A9C"/>
    <w:rsid w:val="6288D6A7"/>
    <w:rsid w:val="62DB86EA"/>
    <w:rsid w:val="6311BE54"/>
    <w:rsid w:val="6334F835"/>
    <w:rsid w:val="635477F1"/>
    <w:rsid w:val="639266B3"/>
    <w:rsid w:val="63F1E36E"/>
    <w:rsid w:val="64D2C97F"/>
    <w:rsid w:val="64E1067E"/>
    <w:rsid w:val="6525E5A5"/>
    <w:rsid w:val="655F8590"/>
    <w:rsid w:val="65B8021D"/>
    <w:rsid w:val="65C4A812"/>
    <w:rsid w:val="65F8AA63"/>
    <w:rsid w:val="664F9F2B"/>
    <w:rsid w:val="6652489F"/>
    <w:rsid w:val="66606AAA"/>
    <w:rsid w:val="66A7DE63"/>
    <w:rsid w:val="66C5B330"/>
    <w:rsid w:val="66DCB9F6"/>
    <w:rsid w:val="67330E14"/>
    <w:rsid w:val="67BCA479"/>
    <w:rsid w:val="691FDB9A"/>
    <w:rsid w:val="69834E71"/>
    <w:rsid w:val="69A10879"/>
    <w:rsid w:val="69ED247E"/>
    <w:rsid w:val="6A8CEF55"/>
    <w:rsid w:val="6AD54744"/>
    <w:rsid w:val="6AF059DA"/>
    <w:rsid w:val="6AF9A70D"/>
    <w:rsid w:val="6BB7738D"/>
    <w:rsid w:val="6BBA1CAE"/>
    <w:rsid w:val="6C25BA14"/>
    <w:rsid w:val="6C509996"/>
    <w:rsid w:val="6C5E4ACC"/>
    <w:rsid w:val="6C7AE42D"/>
    <w:rsid w:val="6CF279F0"/>
    <w:rsid w:val="6D0EC82B"/>
    <w:rsid w:val="6D975829"/>
    <w:rsid w:val="6DD38A96"/>
    <w:rsid w:val="6DF8842A"/>
    <w:rsid w:val="6E5A6265"/>
    <w:rsid w:val="6EC053A5"/>
    <w:rsid w:val="6EDC8113"/>
    <w:rsid w:val="6F34886E"/>
    <w:rsid w:val="6FC08BCE"/>
    <w:rsid w:val="6FCB0D28"/>
    <w:rsid w:val="70229761"/>
    <w:rsid w:val="7040414E"/>
    <w:rsid w:val="707A6098"/>
    <w:rsid w:val="709A9D43"/>
    <w:rsid w:val="70AE5FDE"/>
    <w:rsid w:val="70E6D6A5"/>
    <w:rsid w:val="71189A6C"/>
    <w:rsid w:val="712CA91D"/>
    <w:rsid w:val="717DCB6A"/>
    <w:rsid w:val="7219F04C"/>
    <w:rsid w:val="7236994A"/>
    <w:rsid w:val="723D189F"/>
    <w:rsid w:val="726D150F"/>
    <w:rsid w:val="72C13070"/>
    <w:rsid w:val="72CCC316"/>
    <w:rsid w:val="73C08782"/>
    <w:rsid w:val="74104F1A"/>
    <w:rsid w:val="7442B7E2"/>
    <w:rsid w:val="74442DC4"/>
    <w:rsid w:val="745150B0"/>
    <w:rsid w:val="747C884D"/>
    <w:rsid w:val="748F21F0"/>
    <w:rsid w:val="74FB656F"/>
    <w:rsid w:val="753C0D20"/>
    <w:rsid w:val="7564E82E"/>
    <w:rsid w:val="75979FFC"/>
    <w:rsid w:val="759806D7"/>
    <w:rsid w:val="75A63333"/>
    <w:rsid w:val="75CC8CDC"/>
    <w:rsid w:val="769DB0AF"/>
    <w:rsid w:val="76E0128D"/>
    <w:rsid w:val="770527D7"/>
    <w:rsid w:val="7719620D"/>
    <w:rsid w:val="7724761D"/>
    <w:rsid w:val="780DF170"/>
    <w:rsid w:val="782C3BC8"/>
    <w:rsid w:val="783E2322"/>
    <w:rsid w:val="78857C1B"/>
    <w:rsid w:val="78C4C546"/>
    <w:rsid w:val="78CFFB0C"/>
    <w:rsid w:val="7963F5B1"/>
    <w:rsid w:val="79A6487E"/>
    <w:rsid w:val="7ADFA212"/>
    <w:rsid w:val="7B0DB8FC"/>
    <w:rsid w:val="7B20D967"/>
    <w:rsid w:val="7BE5DBB0"/>
    <w:rsid w:val="7DBD6524"/>
    <w:rsid w:val="7DC96659"/>
    <w:rsid w:val="7E41A225"/>
    <w:rsid w:val="7E842895"/>
    <w:rsid w:val="7F4CA4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D050"/>
  <w15:chartTrackingRefBased/>
  <w15:docId w15:val="{6AC5C6F3-0BC2-4B6B-9FAC-64026DCD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FC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A59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59A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D19E5"/>
    <w:pPr>
      <w:spacing w:after="200"/>
    </w:pPr>
    <w:rPr>
      <w:i/>
      <w:iCs/>
      <w:color w:val="44546A" w:themeColor="text2"/>
      <w:sz w:val="18"/>
      <w:szCs w:val="18"/>
    </w:rPr>
  </w:style>
  <w:style w:type="table" w:styleId="GridTable1Light">
    <w:name w:val="Grid Table 1 Light"/>
    <w:basedOn w:val="TableNormal"/>
    <w:uiPriority w:val="46"/>
    <w:rsid w:val="00D066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C3786"/>
    <w:rPr>
      <w:sz w:val="16"/>
      <w:szCs w:val="16"/>
    </w:rPr>
  </w:style>
  <w:style w:type="paragraph" w:styleId="CommentText">
    <w:name w:val="annotation text"/>
    <w:basedOn w:val="Normal"/>
    <w:link w:val="CommentTextChar"/>
    <w:uiPriority w:val="99"/>
    <w:unhideWhenUsed/>
    <w:rsid w:val="005C3786"/>
    <w:rPr>
      <w:sz w:val="20"/>
      <w:szCs w:val="20"/>
    </w:rPr>
  </w:style>
  <w:style w:type="character" w:customStyle="1" w:styleId="CommentTextChar">
    <w:name w:val="Comment Text Char"/>
    <w:basedOn w:val="DefaultParagraphFont"/>
    <w:link w:val="CommentText"/>
    <w:uiPriority w:val="99"/>
    <w:rsid w:val="005C378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C3786"/>
    <w:rPr>
      <w:b/>
      <w:bCs/>
    </w:rPr>
  </w:style>
  <w:style w:type="character" w:customStyle="1" w:styleId="CommentSubjectChar">
    <w:name w:val="Comment Subject Char"/>
    <w:basedOn w:val="CommentTextChar"/>
    <w:link w:val="CommentSubject"/>
    <w:uiPriority w:val="99"/>
    <w:semiHidden/>
    <w:rsid w:val="005C3786"/>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5C37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786"/>
    <w:rPr>
      <w:rFonts w:ascii="Segoe UI" w:eastAsia="Times New Roman" w:hAnsi="Segoe UI" w:cs="Segoe UI"/>
      <w:sz w:val="18"/>
      <w:szCs w:val="18"/>
      <w:lang w:eastAsia="en-GB"/>
    </w:rPr>
  </w:style>
  <w:style w:type="paragraph" w:styleId="Revision">
    <w:name w:val="Revision"/>
    <w:hidden/>
    <w:uiPriority w:val="99"/>
    <w:semiHidden/>
    <w:rsid w:val="0079521B"/>
    <w:pPr>
      <w:spacing w:after="0" w:line="240" w:lineRule="auto"/>
    </w:pPr>
  </w:style>
  <w:style w:type="paragraph" w:styleId="ListParagraph">
    <w:name w:val="List Paragraph"/>
    <w:basedOn w:val="Normal"/>
    <w:uiPriority w:val="34"/>
    <w:qFormat/>
    <w:rsid w:val="00F2399D"/>
    <w:pPr>
      <w:spacing w:after="160" w:line="259" w:lineRule="auto"/>
      <w:ind w:left="720"/>
      <w:contextualSpacing/>
    </w:pPr>
    <w:rPr>
      <w:rFonts w:asciiTheme="minorHAnsi" w:eastAsiaTheme="minorHAnsi" w:hAnsiTheme="minorHAnsi" w:cstheme="minorBidi"/>
      <w:sz w:val="22"/>
      <w:szCs w:val="22"/>
      <w:lang w:eastAsia="en-US"/>
    </w:rPr>
  </w:style>
  <w:style w:type="table" w:styleId="TableGridLight">
    <w:name w:val="Grid Table Light"/>
    <w:basedOn w:val="TableNormal"/>
    <w:uiPriority w:val="40"/>
    <w:rsid w:val="005832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642A9"/>
    <w:rPr>
      <w:color w:val="0563C1" w:themeColor="hyperlink"/>
      <w:u w:val="single"/>
    </w:rPr>
  </w:style>
  <w:style w:type="character" w:customStyle="1" w:styleId="apple-converted-space">
    <w:name w:val="apple-converted-space"/>
    <w:basedOn w:val="DefaultParagraphFont"/>
    <w:rsid w:val="00EC3D57"/>
  </w:style>
  <w:style w:type="character" w:customStyle="1" w:styleId="ref-journal">
    <w:name w:val="ref-journal"/>
    <w:basedOn w:val="DefaultParagraphFont"/>
    <w:rsid w:val="00EC3D57"/>
  </w:style>
  <w:style w:type="paragraph" w:customStyle="1" w:styleId="Authornames">
    <w:name w:val="Author names"/>
    <w:basedOn w:val="Normal"/>
    <w:next w:val="Normal"/>
    <w:qFormat/>
    <w:rsid w:val="00B123CD"/>
    <w:pPr>
      <w:spacing w:before="240" w:line="360" w:lineRule="auto"/>
    </w:pPr>
    <w:rPr>
      <w:sz w:val="28"/>
    </w:rPr>
  </w:style>
  <w:style w:type="paragraph" w:customStyle="1" w:styleId="Abstract">
    <w:name w:val="Abstract"/>
    <w:basedOn w:val="Normal"/>
    <w:next w:val="Keywords"/>
    <w:qFormat/>
    <w:rsid w:val="00B123CD"/>
    <w:pPr>
      <w:spacing w:before="360" w:after="300" w:line="360" w:lineRule="auto"/>
      <w:ind w:left="720" w:right="567"/>
    </w:pPr>
  </w:style>
  <w:style w:type="paragraph" w:customStyle="1" w:styleId="Keywords">
    <w:name w:val="Keywords"/>
    <w:basedOn w:val="Normal"/>
    <w:next w:val="Normal"/>
    <w:qFormat/>
    <w:rsid w:val="00B123CD"/>
    <w:pPr>
      <w:spacing w:before="240" w:after="240" w:line="360" w:lineRule="auto"/>
      <w:ind w:left="720" w:right="567"/>
    </w:pPr>
  </w:style>
  <w:style w:type="paragraph" w:customStyle="1" w:styleId="Subjectcodes">
    <w:name w:val="Subject codes"/>
    <w:basedOn w:val="Keywords"/>
    <w:next w:val="Normal"/>
    <w:qFormat/>
    <w:rsid w:val="00B123CD"/>
  </w:style>
  <w:style w:type="paragraph" w:customStyle="1" w:styleId="Affiliation">
    <w:name w:val="Affiliation"/>
    <w:basedOn w:val="Normal"/>
    <w:qFormat/>
    <w:rsid w:val="00B123CD"/>
    <w:pPr>
      <w:spacing w:before="240" w:line="360" w:lineRule="auto"/>
    </w:pPr>
    <w:rPr>
      <w:i/>
    </w:rPr>
  </w:style>
  <w:style w:type="paragraph" w:customStyle="1" w:styleId="Notesoncontributors">
    <w:name w:val="Notes on contributors"/>
    <w:basedOn w:val="Normal"/>
    <w:qFormat/>
    <w:rsid w:val="00B123CD"/>
    <w:pPr>
      <w:spacing w:before="240" w:line="360" w:lineRule="auto"/>
    </w:pPr>
  </w:style>
  <w:style w:type="paragraph" w:customStyle="1" w:styleId="Paragraph">
    <w:name w:val="Paragraph"/>
    <w:basedOn w:val="Normal"/>
    <w:next w:val="Normal"/>
    <w:qFormat/>
    <w:rsid w:val="00B123CD"/>
    <w:pPr>
      <w:widowControl w:val="0"/>
      <w:spacing w:before="240" w:line="480" w:lineRule="auto"/>
    </w:pPr>
  </w:style>
  <w:style w:type="paragraph" w:styleId="NormalWeb">
    <w:name w:val="Normal (Web)"/>
    <w:basedOn w:val="Normal"/>
    <w:uiPriority w:val="99"/>
    <w:unhideWhenUsed/>
    <w:rsid w:val="00DB1A3B"/>
    <w:pPr>
      <w:spacing w:before="100" w:beforeAutospacing="1" w:after="100" w:afterAutospacing="1"/>
    </w:pPr>
  </w:style>
  <w:style w:type="character" w:customStyle="1" w:styleId="UnresolvedMention1">
    <w:name w:val="Unresolved Mention1"/>
    <w:basedOn w:val="DefaultParagraphFont"/>
    <w:uiPriority w:val="99"/>
    <w:semiHidden/>
    <w:unhideWhenUsed/>
    <w:rsid w:val="00146433"/>
    <w:rPr>
      <w:color w:val="605E5C"/>
      <w:shd w:val="clear" w:color="auto" w:fill="E1DFDD"/>
    </w:rPr>
  </w:style>
  <w:style w:type="character" w:styleId="FollowedHyperlink">
    <w:name w:val="FollowedHyperlink"/>
    <w:basedOn w:val="DefaultParagraphFont"/>
    <w:uiPriority w:val="99"/>
    <w:semiHidden/>
    <w:unhideWhenUsed/>
    <w:rsid w:val="00A879B6"/>
    <w:rPr>
      <w:color w:val="954F72" w:themeColor="followedHyperlink"/>
      <w:u w:val="single"/>
    </w:rPr>
  </w:style>
  <w:style w:type="character" w:customStyle="1" w:styleId="Heading1Char">
    <w:name w:val="Heading 1 Char"/>
    <w:basedOn w:val="DefaultParagraphFont"/>
    <w:link w:val="Heading1"/>
    <w:uiPriority w:val="9"/>
    <w:rsid w:val="007A59A8"/>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7A59A8"/>
    <w:rPr>
      <w:rFonts w:asciiTheme="majorHAnsi" w:eastAsiaTheme="majorEastAsia" w:hAnsiTheme="majorHAnsi" w:cstheme="majorBidi"/>
      <w:color w:val="2E74B5" w:themeColor="accent1" w:themeShade="BF"/>
      <w:sz w:val="26"/>
      <w:szCs w:val="26"/>
      <w:lang w:eastAsia="en-GB"/>
    </w:rPr>
  </w:style>
  <w:style w:type="paragraph" w:customStyle="1" w:styleId="Tabletitle">
    <w:name w:val="Table title"/>
    <w:basedOn w:val="Normal"/>
    <w:next w:val="Normal"/>
    <w:qFormat/>
    <w:rsid w:val="000B3062"/>
    <w:pPr>
      <w:spacing w:before="240" w:line="360" w:lineRule="auto"/>
    </w:pPr>
  </w:style>
  <w:style w:type="paragraph" w:styleId="Header">
    <w:name w:val="header"/>
    <w:basedOn w:val="Normal"/>
    <w:link w:val="HeaderChar"/>
    <w:uiPriority w:val="99"/>
    <w:unhideWhenUsed/>
    <w:rsid w:val="004874D7"/>
    <w:pPr>
      <w:tabs>
        <w:tab w:val="center" w:pos="4513"/>
        <w:tab w:val="right" w:pos="9026"/>
      </w:tabs>
    </w:pPr>
  </w:style>
  <w:style w:type="character" w:customStyle="1" w:styleId="HeaderChar">
    <w:name w:val="Header Char"/>
    <w:basedOn w:val="DefaultParagraphFont"/>
    <w:link w:val="Header"/>
    <w:uiPriority w:val="99"/>
    <w:rsid w:val="004874D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874D7"/>
    <w:pPr>
      <w:tabs>
        <w:tab w:val="center" w:pos="4513"/>
        <w:tab w:val="right" w:pos="9026"/>
      </w:tabs>
    </w:pPr>
  </w:style>
  <w:style w:type="character" w:customStyle="1" w:styleId="FooterChar">
    <w:name w:val="Footer Char"/>
    <w:basedOn w:val="DefaultParagraphFont"/>
    <w:link w:val="Footer"/>
    <w:uiPriority w:val="99"/>
    <w:rsid w:val="004874D7"/>
    <w:rPr>
      <w:rFonts w:ascii="Times New Roman" w:eastAsia="Times New Roman" w:hAnsi="Times New Roman" w:cs="Times New Roman"/>
      <w:sz w:val="24"/>
      <w:szCs w:val="24"/>
      <w:lang w:eastAsia="en-GB"/>
    </w:rPr>
  </w:style>
  <w:style w:type="paragraph" w:customStyle="1" w:styleId="paragraph0">
    <w:name w:val="paragraph"/>
    <w:basedOn w:val="Normal"/>
    <w:rsid w:val="00051826"/>
    <w:pPr>
      <w:spacing w:before="100" w:beforeAutospacing="1" w:after="100" w:afterAutospacing="1"/>
    </w:pPr>
  </w:style>
  <w:style w:type="character" w:customStyle="1" w:styleId="normaltextrun">
    <w:name w:val="normaltextrun"/>
    <w:basedOn w:val="DefaultParagraphFont"/>
    <w:rsid w:val="00051826"/>
  </w:style>
  <w:style w:type="character" w:customStyle="1" w:styleId="eop">
    <w:name w:val="eop"/>
    <w:basedOn w:val="DefaultParagraphFont"/>
    <w:rsid w:val="00051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56318">
      <w:bodyDiv w:val="1"/>
      <w:marLeft w:val="0"/>
      <w:marRight w:val="0"/>
      <w:marTop w:val="0"/>
      <w:marBottom w:val="0"/>
      <w:divBdr>
        <w:top w:val="none" w:sz="0" w:space="0" w:color="auto"/>
        <w:left w:val="none" w:sz="0" w:space="0" w:color="auto"/>
        <w:bottom w:val="none" w:sz="0" w:space="0" w:color="auto"/>
        <w:right w:val="none" w:sz="0" w:space="0" w:color="auto"/>
      </w:divBdr>
    </w:div>
    <w:div w:id="298458455">
      <w:bodyDiv w:val="1"/>
      <w:marLeft w:val="0"/>
      <w:marRight w:val="0"/>
      <w:marTop w:val="0"/>
      <w:marBottom w:val="0"/>
      <w:divBdr>
        <w:top w:val="none" w:sz="0" w:space="0" w:color="auto"/>
        <w:left w:val="none" w:sz="0" w:space="0" w:color="auto"/>
        <w:bottom w:val="none" w:sz="0" w:space="0" w:color="auto"/>
        <w:right w:val="none" w:sz="0" w:space="0" w:color="auto"/>
      </w:divBdr>
    </w:div>
    <w:div w:id="389306735">
      <w:bodyDiv w:val="1"/>
      <w:marLeft w:val="0"/>
      <w:marRight w:val="0"/>
      <w:marTop w:val="0"/>
      <w:marBottom w:val="0"/>
      <w:divBdr>
        <w:top w:val="none" w:sz="0" w:space="0" w:color="auto"/>
        <w:left w:val="none" w:sz="0" w:space="0" w:color="auto"/>
        <w:bottom w:val="none" w:sz="0" w:space="0" w:color="auto"/>
        <w:right w:val="none" w:sz="0" w:space="0" w:color="auto"/>
      </w:divBdr>
    </w:div>
    <w:div w:id="451284792">
      <w:bodyDiv w:val="1"/>
      <w:marLeft w:val="0"/>
      <w:marRight w:val="0"/>
      <w:marTop w:val="0"/>
      <w:marBottom w:val="0"/>
      <w:divBdr>
        <w:top w:val="none" w:sz="0" w:space="0" w:color="auto"/>
        <w:left w:val="none" w:sz="0" w:space="0" w:color="auto"/>
        <w:bottom w:val="none" w:sz="0" w:space="0" w:color="auto"/>
        <w:right w:val="none" w:sz="0" w:space="0" w:color="auto"/>
      </w:divBdr>
    </w:div>
    <w:div w:id="466702640">
      <w:bodyDiv w:val="1"/>
      <w:marLeft w:val="0"/>
      <w:marRight w:val="0"/>
      <w:marTop w:val="0"/>
      <w:marBottom w:val="0"/>
      <w:divBdr>
        <w:top w:val="none" w:sz="0" w:space="0" w:color="auto"/>
        <w:left w:val="none" w:sz="0" w:space="0" w:color="auto"/>
        <w:bottom w:val="none" w:sz="0" w:space="0" w:color="auto"/>
        <w:right w:val="none" w:sz="0" w:space="0" w:color="auto"/>
      </w:divBdr>
      <w:divsChild>
        <w:div w:id="946303861">
          <w:marLeft w:val="0"/>
          <w:marRight w:val="0"/>
          <w:marTop w:val="0"/>
          <w:marBottom w:val="0"/>
          <w:divBdr>
            <w:top w:val="none" w:sz="0" w:space="0" w:color="auto"/>
            <w:left w:val="none" w:sz="0" w:space="0" w:color="auto"/>
            <w:bottom w:val="none" w:sz="0" w:space="0" w:color="auto"/>
            <w:right w:val="none" w:sz="0" w:space="0" w:color="auto"/>
          </w:divBdr>
        </w:div>
        <w:div w:id="2047364486">
          <w:marLeft w:val="0"/>
          <w:marRight w:val="0"/>
          <w:marTop w:val="0"/>
          <w:marBottom w:val="0"/>
          <w:divBdr>
            <w:top w:val="none" w:sz="0" w:space="0" w:color="auto"/>
            <w:left w:val="none" w:sz="0" w:space="0" w:color="auto"/>
            <w:bottom w:val="none" w:sz="0" w:space="0" w:color="auto"/>
            <w:right w:val="none" w:sz="0" w:space="0" w:color="auto"/>
          </w:divBdr>
        </w:div>
        <w:div w:id="631600787">
          <w:marLeft w:val="0"/>
          <w:marRight w:val="0"/>
          <w:marTop w:val="0"/>
          <w:marBottom w:val="0"/>
          <w:divBdr>
            <w:top w:val="none" w:sz="0" w:space="0" w:color="auto"/>
            <w:left w:val="none" w:sz="0" w:space="0" w:color="auto"/>
            <w:bottom w:val="none" w:sz="0" w:space="0" w:color="auto"/>
            <w:right w:val="none" w:sz="0" w:space="0" w:color="auto"/>
          </w:divBdr>
        </w:div>
      </w:divsChild>
    </w:div>
    <w:div w:id="671838475">
      <w:bodyDiv w:val="1"/>
      <w:marLeft w:val="0"/>
      <w:marRight w:val="0"/>
      <w:marTop w:val="0"/>
      <w:marBottom w:val="0"/>
      <w:divBdr>
        <w:top w:val="none" w:sz="0" w:space="0" w:color="auto"/>
        <w:left w:val="none" w:sz="0" w:space="0" w:color="auto"/>
        <w:bottom w:val="none" w:sz="0" w:space="0" w:color="auto"/>
        <w:right w:val="none" w:sz="0" w:space="0" w:color="auto"/>
      </w:divBdr>
    </w:div>
    <w:div w:id="779253373">
      <w:bodyDiv w:val="1"/>
      <w:marLeft w:val="0"/>
      <w:marRight w:val="0"/>
      <w:marTop w:val="0"/>
      <w:marBottom w:val="0"/>
      <w:divBdr>
        <w:top w:val="none" w:sz="0" w:space="0" w:color="auto"/>
        <w:left w:val="none" w:sz="0" w:space="0" w:color="auto"/>
        <w:bottom w:val="none" w:sz="0" w:space="0" w:color="auto"/>
        <w:right w:val="none" w:sz="0" w:space="0" w:color="auto"/>
      </w:divBdr>
      <w:divsChild>
        <w:div w:id="2082553428">
          <w:marLeft w:val="0"/>
          <w:marRight w:val="0"/>
          <w:marTop w:val="0"/>
          <w:marBottom w:val="0"/>
          <w:divBdr>
            <w:top w:val="none" w:sz="0" w:space="0" w:color="auto"/>
            <w:left w:val="none" w:sz="0" w:space="0" w:color="auto"/>
            <w:bottom w:val="none" w:sz="0" w:space="0" w:color="auto"/>
            <w:right w:val="none" w:sz="0" w:space="0" w:color="auto"/>
          </w:divBdr>
        </w:div>
        <w:div w:id="767122296">
          <w:marLeft w:val="0"/>
          <w:marRight w:val="0"/>
          <w:marTop w:val="0"/>
          <w:marBottom w:val="0"/>
          <w:divBdr>
            <w:top w:val="none" w:sz="0" w:space="0" w:color="auto"/>
            <w:left w:val="none" w:sz="0" w:space="0" w:color="auto"/>
            <w:bottom w:val="none" w:sz="0" w:space="0" w:color="auto"/>
            <w:right w:val="none" w:sz="0" w:space="0" w:color="auto"/>
          </w:divBdr>
        </w:div>
        <w:div w:id="658578495">
          <w:marLeft w:val="0"/>
          <w:marRight w:val="0"/>
          <w:marTop w:val="0"/>
          <w:marBottom w:val="0"/>
          <w:divBdr>
            <w:top w:val="none" w:sz="0" w:space="0" w:color="auto"/>
            <w:left w:val="none" w:sz="0" w:space="0" w:color="auto"/>
            <w:bottom w:val="none" w:sz="0" w:space="0" w:color="auto"/>
            <w:right w:val="none" w:sz="0" w:space="0" w:color="auto"/>
          </w:divBdr>
        </w:div>
        <w:div w:id="1032922842">
          <w:marLeft w:val="0"/>
          <w:marRight w:val="0"/>
          <w:marTop w:val="0"/>
          <w:marBottom w:val="0"/>
          <w:divBdr>
            <w:top w:val="none" w:sz="0" w:space="0" w:color="auto"/>
            <w:left w:val="none" w:sz="0" w:space="0" w:color="auto"/>
            <w:bottom w:val="none" w:sz="0" w:space="0" w:color="auto"/>
            <w:right w:val="none" w:sz="0" w:space="0" w:color="auto"/>
          </w:divBdr>
        </w:div>
        <w:div w:id="435104118">
          <w:marLeft w:val="0"/>
          <w:marRight w:val="0"/>
          <w:marTop w:val="0"/>
          <w:marBottom w:val="0"/>
          <w:divBdr>
            <w:top w:val="none" w:sz="0" w:space="0" w:color="auto"/>
            <w:left w:val="none" w:sz="0" w:space="0" w:color="auto"/>
            <w:bottom w:val="none" w:sz="0" w:space="0" w:color="auto"/>
            <w:right w:val="none" w:sz="0" w:space="0" w:color="auto"/>
          </w:divBdr>
        </w:div>
      </w:divsChild>
    </w:div>
    <w:div w:id="801843701">
      <w:bodyDiv w:val="1"/>
      <w:marLeft w:val="0"/>
      <w:marRight w:val="0"/>
      <w:marTop w:val="0"/>
      <w:marBottom w:val="0"/>
      <w:divBdr>
        <w:top w:val="none" w:sz="0" w:space="0" w:color="auto"/>
        <w:left w:val="none" w:sz="0" w:space="0" w:color="auto"/>
        <w:bottom w:val="none" w:sz="0" w:space="0" w:color="auto"/>
        <w:right w:val="none" w:sz="0" w:space="0" w:color="auto"/>
      </w:divBdr>
    </w:div>
    <w:div w:id="1205866389">
      <w:bodyDiv w:val="1"/>
      <w:marLeft w:val="0"/>
      <w:marRight w:val="0"/>
      <w:marTop w:val="0"/>
      <w:marBottom w:val="0"/>
      <w:divBdr>
        <w:top w:val="none" w:sz="0" w:space="0" w:color="auto"/>
        <w:left w:val="none" w:sz="0" w:space="0" w:color="auto"/>
        <w:bottom w:val="none" w:sz="0" w:space="0" w:color="auto"/>
        <w:right w:val="none" w:sz="0" w:space="0" w:color="auto"/>
      </w:divBdr>
    </w:div>
    <w:div w:id="1304506754">
      <w:bodyDiv w:val="1"/>
      <w:marLeft w:val="0"/>
      <w:marRight w:val="0"/>
      <w:marTop w:val="0"/>
      <w:marBottom w:val="0"/>
      <w:divBdr>
        <w:top w:val="none" w:sz="0" w:space="0" w:color="auto"/>
        <w:left w:val="none" w:sz="0" w:space="0" w:color="auto"/>
        <w:bottom w:val="none" w:sz="0" w:space="0" w:color="auto"/>
        <w:right w:val="none" w:sz="0" w:space="0" w:color="auto"/>
      </w:divBdr>
    </w:div>
    <w:div w:id="1374230441">
      <w:bodyDiv w:val="1"/>
      <w:marLeft w:val="0"/>
      <w:marRight w:val="0"/>
      <w:marTop w:val="0"/>
      <w:marBottom w:val="0"/>
      <w:divBdr>
        <w:top w:val="none" w:sz="0" w:space="0" w:color="auto"/>
        <w:left w:val="none" w:sz="0" w:space="0" w:color="auto"/>
        <w:bottom w:val="none" w:sz="0" w:space="0" w:color="auto"/>
        <w:right w:val="none" w:sz="0" w:space="0" w:color="auto"/>
      </w:divBdr>
      <w:divsChild>
        <w:div w:id="596017035">
          <w:marLeft w:val="0"/>
          <w:marRight w:val="0"/>
          <w:marTop w:val="0"/>
          <w:marBottom w:val="0"/>
          <w:divBdr>
            <w:top w:val="none" w:sz="0" w:space="0" w:color="auto"/>
            <w:left w:val="none" w:sz="0" w:space="0" w:color="auto"/>
            <w:bottom w:val="none" w:sz="0" w:space="0" w:color="auto"/>
            <w:right w:val="none" w:sz="0" w:space="0" w:color="auto"/>
          </w:divBdr>
        </w:div>
        <w:div w:id="348873311">
          <w:marLeft w:val="0"/>
          <w:marRight w:val="0"/>
          <w:marTop w:val="0"/>
          <w:marBottom w:val="0"/>
          <w:divBdr>
            <w:top w:val="none" w:sz="0" w:space="0" w:color="auto"/>
            <w:left w:val="none" w:sz="0" w:space="0" w:color="auto"/>
            <w:bottom w:val="none" w:sz="0" w:space="0" w:color="auto"/>
            <w:right w:val="none" w:sz="0" w:space="0" w:color="auto"/>
          </w:divBdr>
        </w:div>
        <w:div w:id="1812021202">
          <w:marLeft w:val="0"/>
          <w:marRight w:val="0"/>
          <w:marTop w:val="0"/>
          <w:marBottom w:val="0"/>
          <w:divBdr>
            <w:top w:val="none" w:sz="0" w:space="0" w:color="auto"/>
            <w:left w:val="none" w:sz="0" w:space="0" w:color="auto"/>
            <w:bottom w:val="none" w:sz="0" w:space="0" w:color="auto"/>
            <w:right w:val="none" w:sz="0" w:space="0" w:color="auto"/>
          </w:divBdr>
        </w:div>
        <w:div w:id="1722515146">
          <w:marLeft w:val="0"/>
          <w:marRight w:val="0"/>
          <w:marTop w:val="0"/>
          <w:marBottom w:val="0"/>
          <w:divBdr>
            <w:top w:val="none" w:sz="0" w:space="0" w:color="auto"/>
            <w:left w:val="none" w:sz="0" w:space="0" w:color="auto"/>
            <w:bottom w:val="none" w:sz="0" w:space="0" w:color="auto"/>
            <w:right w:val="none" w:sz="0" w:space="0" w:color="auto"/>
          </w:divBdr>
        </w:div>
        <w:div w:id="898173945">
          <w:marLeft w:val="0"/>
          <w:marRight w:val="0"/>
          <w:marTop w:val="0"/>
          <w:marBottom w:val="0"/>
          <w:divBdr>
            <w:top w:val="none" w:sz="0" w:space="0" w:color="auto"/>
            <w:left w:val="none" w:sz="0" w:space="0" w:color="auto"/>
            <w:bottom w:val="none" w:sz="0" w:space="0" w:color="auto"/>
            <w:right w:val="none" w:sz="0" w:space="0" w:color="auto"/>
          </w:divBdr>
        </w:div>
      </w:divsChild>
    </w:div>
    <w:div w:id="1515071436">
      <w:bodyDiv w:val="1"/>
      <w:marLeft w:val="0"/>
      <w:marRight w:val="0"/>
      <w:marTop w:val="0"/>
      <w:marBottom w:val="0"/>
      <w:divBdr>
        <w:top w:val="none" w:sz="0" w:space="0" w:color="auto"/>
        <w:left w:val="none" w:sz="0" w:space="0" w:color="auto"/>
        <w:bottom w:val="none" w:sz="0" w:space="0" w:color="auto"/>
        <w:right w:val="none" w:sz="0" w:space="0" w:color="auto"/>
      </w:divBdr>
    </w:div>
    <w:div w:id="1590232275">
      <w:bodyDiv w:val="1"/>
      <w:marLeft w:val="0"/>
      <w:marRight w:val="0"/>
      <w:marTop w:val="0"/>
      <w:marBottom w:val="0"/>
      <w:divBdr>
        <w:top w:val="none" w:sz="0" w:space="0" w:color="auto"/>
        <w:left w:val="none" w:sz="0" w:space="0" w:color="auto"/>
        <w:bottom w:val="none" w:sz="0" w:space="0" w:color="auto"/>
        <w:right w:val="none" w:sz="0" w:space="0" w:color="auto"/>
      </w:divBdr>
    </w:div>
    <w:div w:id="169333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rookings.edu/wp-content/uploads/2017/10/es_110117_lessons_from_rise_womens_labor_force_participation_japan_economic_analysis.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dhsprogram.com/programming/wealth%20index/Steps_to_constructing_the_new_DHS_Wealth_Index.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atabank.worldbank.or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sprogram.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ta.worldbank.org" TargetMode="External"/><Relationship Id="rId23" Type="http://schemas.openxmlformats.org/officeDocument/2006/relationships/fontTable" Target="fontTable.xml"/><Relationship Id="rId10" Type="http://schemas.openxmlformats.org/officeDocument/2006/relationships/hyperlink" Target="https://ilostat.ilo.org/dat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ata.un.org/" TargetMode="Externa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13g15\AppData\Roaming\Microsoft\Template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133FC-D03E-4381-A30E-D6F2373D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129</TotalTime>
  <Pages>1</Pages>
  <Words>9243</Words>
  <Characters>52686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A.</dc:creator>
  <cp:keywords/>
  <dc:description/>
  <cp:lastModifiedBy>Sabu Padmadas</cp:lastModifiedBy>
  <cp:revision>14</cp:revision>
  <cp:lastPrinted>2020-09-28T13:22:00Z</cp:lastPrinted>
  <dcterms:created xsi:type="dcterms:W3CDTF">2020-11-28T14:46:00Z</dcterms:created>
  <dcterms:modified xsi:type="dcterms:W3CDTF">2020-12-13T10:04:00Z</dcterms:modified>
</cp:coreProperties>
</file>