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E21AA" w14:textId="2D23F2C8" w:rsidR="00D47D37" w:rsidRDefault="00D47D37" w:rsidP="00F35F75">
      <w:pPr>
        <w:pStyle w:val="Authornames"/>
        <w:rPr>
          <w:b/>
          <w:bCs/>
        </w:rPr>
      </w:pPr>
      <w:bookmarkStart w:id="0" w:name="_Hlk53481333"/>
      <w:bookmarkStart w:id="1" w:name="_Hlk67659528"/>
      <w:r w:rsidRPr="00D47D37">
        <w:rPr>
          <w:b/>
          <w:bCs/>
        </w:rPr>
        <w:t>A rapid benchtop method to assess biofilm on marine fouling control coatings</w:t>
      </w:r>
    </w:p>
    <w:p w14:paraId="5725BF7E" w14:textId="77777777" w:rsidR="00D47D37" w:rsidRPr="00D47D37" w:rsidRDefault="00D47D37" w:rsidP="00D47D37"/>
    <w:p w14:paraId="0DDF13F9" w14:textId="2A19F44E" w:rsidR="00F35F75" w:rsidRDefault="003F0A89" w:rsidP="00F35F75">
      <w:pPr>
        <w:pStyle w:val="Authornames"/>
      </w:pPr>
      <w:r w:rsidRPr="00F961AA">
        <w:t>Simon P</w:t>
      </w:r>
      <w:r>
        <w:t>.</w:t>
      </w:r>
      <w:r w:rsidRPr="00F961AA">
        <w:t xml:space="preserve"> J</w:t>
      </w:r>
      <w:r>
        <w:t>.</w:t>
      </w:r>
      <w:r w:rsidRPr="00F961AA">
        <w:t xml:space="preserve"> Dennington</w:t>
      </w:r>
      <w:r w:rsidRPr="00F961AA">
        <w:rPr>
          <w:vertAlign w:val="superscript"/>
        </w:rPr>
        <w:t>1</w:t>
      </w:r>
      <w:r w:rsidRPr="00F961AA">
        <w:t xml:space="preserve">, </w:t>
      </w:r>
      <w:r w:rsidR="00F35F75" w:rsidRPr="00CF5D58">
        <w:t>s.p.dennington@soton.ac.uk</w:t>
      </w:r>
      <w:r w:rsidR="00F35F75">
        <w:t>. Corresponding author</w:t>
      </w:r>
    </w:p>
    <w:p w14:paraId="160EE5DC" w14:textId="687A60EC" w:rsidR="00F35F75" w:rsidRDefault="003F0A89" w:rsidP="00F35F75">
      <w:pPr>
        <w:pStyle w:val="Authornames"/>
      </w:pPr>
      <w:r>
        <w:t>Alexandra Jackson</w:t>
      </w:r>
      <w:r w:rsidRPr="0084708D">
        <w:rPr>
          <w:vertAlign w:val="superscript"/>
        </w:rPr>
        <w:t>2</w:t>
      </w:r>
      <w:r>
        <w:rPr>
          <w:vertAlign w:val="superscript"/>
        </w:rPr>
        <w:t>,3</w:t>
      </w:r>
      <w:r>
        <w:t>,</w:t>
      </w:r>
      <w:r w:rsidR="00F35F75">
        <w:t xml:space="preserve"> </w:t>
      </w:r>
      <w:r w:rsidR="00F35F75" w:rsidRPr="00F35F75">
        <w:t>A.Jackson@soton.ac.uk</w:t>
      </w:r>
    </w:p>
    <w:p w14:paraId="13FAB92D" w14:textId="07C98886" w:rsidR="00F35F75" w:rsidRDefault="003F0A89" w:rsidP="00F35F75">
      <w:pPr>
        <w:pStyle w:val="Authornames"/>
      </w:pPr>
      <w:r w:rsidRPr="00F961AA">
        <w:t>Alistair</w:t>
      </w:r>
      <w:r>
        <w:t xml:space="preserve"> A.</w:t>
      </w:r>
      <w:r w:rsidRPr="00F961AA">
        <w:t xml:space="preserve"> Finnie</w:t>
      </w:r>
      <w:r w:rsidRPr="00F961AA">
        <w:rPr>
          <w:vertAlign w:val="superscript"/>
        </w:rPr>
        <w:t>2</w:t>
      </w:r>
      <w:r w:rsidRPr="00F961AA">
        <w:t xml:space="preserve">, </w:t>
      </w:r>
      <w:r w:rsidR="00F35F75" w:rsidRPr="00F35F75">
        <w:t>Alistair.Finnie@akzonobel.com</w:t>
      </w:r>
    </w:p>
    <w:p w14:paraId="35636D92" w14:textId="7F5C2632" w:rsidR="00F35F75" w:rsidRDefault="003F0A89" w:rsidP="00F35F75">
      <w:pPr>
        <w:pStyle w:val="Authornames"/>
      </w:pPr>
      <w:r>
        <w:t>Julian A. Wharton</w:t>
      </w:r>
      <w:r w:rsidRPr="0087050D">
        <w:rPr>
          <w:vertAlign w:val="superscript"/>
        </w:rPr>
        <w:t>1</w:t>
      </w:r>
      <w:r>
        <w:t xml:space="preserve">, </w:t>
      </w:r>
      <w:r w:rsidR="00F35F75" w:rsidRPr="00F35F75">
        <w:t>J.A.Wharton@soton.ac.uk</w:t>
      </w:r>
    </w:p>
    <w:p w14:paraId="388094A2" w14:textId="57E8AEB5" w:rsidR="00F35F75" w:rsidRDefault="003F0A89" w:rsidP="00F35F75">
      <w:pPr>
        <w:pStyle w:val="Authornames"/>
      </w:pPr>
      <w:r w:rsidRPr="00F961AA">
        <w:t>Jennifer</w:t>
      </w:r>
      <w:r>
        <w:t xml:space="preserve"> E.</w:t>
      </w:r>
      <w:r w:rsidRPr="00F961AA">
        <w:t xml:space="preserve"> Longyear</w:t>
      </w:r>
      <w:r w:rsidRPr="00F961AA">
        <w:rPr>
          <w:vertAlign w:val="superscript"/>
        </w:rPr>
        <w:t>2</w:t>
      </w:r>
      <w:r w:rsidRPr="00F961AA">
        <w:t>,</w:t>
      </w:r>
      <w:r>
        <w:t xml:space="preserve"> </w:t>
      </w:r>
      <w:r w:rsidR="00C71BDE" w:rsidRPr="00C71BDE">
        <w:t>Jennifer.Longyear@akzonobel.com</w:t>
      </w:r>
    </w:p>
    <w:p w14:paraId="38EA9A59" w14:textId="2EAF0A19" w:rsidR="003F0A89" w:rsidRPr="00C71BDE" w:rsidRDefault="003F0A89" w:rsidP="00F35F75">
      <w:pPr>
        <w:pStyle w:val="Authornames"/>
      </w:pPr>
      <w:r w:rsidRPr="00F961AA">
        <w:t>Paul Stoodley</w:t>
      </w:r>
      <w:r>
        <w:rPr>
          <w:vertAlign w:val="superscript"/>
        </w:rPr>
        <w:t>, 1,3,4</w:t>
      </w:r>
      <w:r w:rsidR="00C71BDE">
        <w:t xml:space="preserve">, </w:t>
      </w:r>
      <w:r w:rsidR="009B5B67">
        <w:t>p.stoodley@soton.ac.uk</w:t>
      </w:r>
    </w:p>
    <w:p w14:paraId="27F326D3" w14:textId="77777777" w:rsidR="00F35F75" w:rsidRDefault="00F35F75" w:rsidP="00F35F75">
      <w:pPr>
        <w:pStyle w:val="BCAuthorAddress"/>
        <w:jc w:val="left"/>
      </w:pPr>
    </w:p>
    <w:p w14:paraId="7F2C805A" w14:textId="00ED3ABD" w:rsidR="003F0A89" w:rsidRPr="00902678" w:rsidRDefault="00D47D37" w:rsidP="00F35F75">
      <w:pPr>
        <w:pStyle w:val="BCAuthorAddress"/>
        <w:jc w:val="left"/>
      </w:pPr>
      <w:hyperlink r:id="rId11" w:history="1"/>
      <w:r w:rsidR="003F0A89" w:rsidRPr="00DB420A">
        <w:t>1</w:t>
      </w:r>
      <w:r w:rsidR="003F0A89" w:rsidRPr="00902678">
        <w:t>. National Centre for Advanced Tribology at Southampton (</w:t>
      </w:r>
      <w:proofErr w:type="spellStart"/>
      <w:r w:rsidR="003F0A89" w:rsidRPr="00902678">
        <w:t>nCATS</w:t>
      </w:r>
      <w:proofErr w:type="spellEnd"/>
      <w:r w:rsidR="003F0A89" w:rsidRPr="00902678">
        <w:t xml:space="preserve">), Department of Mechanical Engineering, University of Southampton, </w:t>
      </w:r>
      <w:r w:rsidR="003F0A89" w:rsidRPr="00DB420A">
        <w:t>Highfield Campus, Southampton, SO17 1BJ, UK</w:t>
      </w:r>
    </w:p>
    <w:p w14:paraId="6944F22E" w14:textId="77777777" w:rsidR="003F0A89" w:rsidRPr="00D956CE" w:rsidRDefault="003F0A89" w:rsidP="00F35F75">
      <w:pPr>
        <w:pStyle w:val="BCAuthorAddress"/>
        <w:jc w:val="left"/>
      </w:pPr>
      <w:r w:rsidRPr="00DB420A">
        <w:t xml:space="preserve">2. </w:t>
      </w:r>
      <w:r>
        <w:t>International Paint Ltd.</w:t>
      </w:r>
      <w:r w:rsidRPr="00DB420A">
        <w:t>, AkzoNob</w:t>
      </w:r>
      <w:r w:rsidRPr="0074562A">
        <w:t>el, Felling, Gateshead, Tyne &amp; Wear, NE10 0JY, UK</w:t>
      </w:r>
    </w:p>
    <w:p w14:paraId="150BC7B9" w14:textId="77777777" w:rsidR="003F0A89" w:rsidRPr="00902678" w:rsidRDefault="003F0A89" w:rsidP="00F35F75">
      <w:pPr>
        <w:pStyle w:val="BCAuthorAddress"/>
        <w:jc w:val="left"/>
      </w:pPr>
      <w:r w:rsidRPr="00902678">
        <w:t>3. National Biofilm Innovation Centre (NBIC), University of Southampton, Highfield Campus, Southampton, SO17 1BJ, UK</w:t>
      </w:r>
    </w:p>
    <w:p w14:paraId="7FF9C517" w14:textId="77777777" w:rsidR="003F0A89" w:rsidRPr="00902678" w:rsidRDefault="003F0A89" w:rsidP="00F35F75">
      <w:pPr>
        <w:pStyle w:val="BCAuthorAddress"/>
        <w:spacing w:after="0"/>
        <w:jc w:val="left"/>
      </w:pPr>
      <w:r w:rsidRPr="00902678">
        <w:t xml:space="preserve">4. Departments of Microbial Infection and Immunity and </w:t>
      </w:r>
      <w:proofErr w:type="spellStart"/>
      <w:r w:rsidRPr="00902678">
        <w:t>Orthopedics</w:t>
      </w:r>
      <w:proofErr w:type="spellEnd"/>
      <w:r w:rsidRPr="00902678">
        <w:t xml:space="preserve"> </w:t>
      </w:r>
      <w:proofErr w:type="spellStart"/>
      <w:r w:rsidRPr="00902678">
        <w:t>Center</w:t>
      </w:r>
      <w:proofErr w:type="spellEnd"/>
      <w:r w:rsidRPr="00902678">
        <w:t xml:space="preserve"> for Microbial Interface Biology, 716 Biomedical Research Tower, The Ohio State University, 460 West 12th Avenue, Columbus OH 43210, USA</w:t>
      </w:r>
    </w:p>
    <w:p w14:paraId="7D0C0757" w14:textId="77777777" w:rsidR="00C36C8B" w:rsidRDefault="00C36C8B">
      <w:pPr>
        <w:spacing w:after="160" w:line="259" w:lineRule="auto"/>
      </w:pPr>
      <w:r>
        <w:br w:type="page"/>
      </w:r>
    </w:p>
    <w:p w14:paraId="6B4D4CF5" w14:textId="7B90CCC1" w:rsidR="0002175A" w:rsidRPr="00DC77B0" w:rsidRDefault="0002175A" w:rsidP="00540348">
      <w:pPr>
        <w:pStyle w:val="BDAbstract"/>
      </w:pPr>
      <w:r w:rsidRPr="00DC77B0">
        <w:lastRenderedPageBreak/>
        <w:t>ABSTRACT</w:t>
      </w:r>
    </w:p>
    <w:bookmarkEnd w:id="0"/>
    <w:p w14:paraId="755051ED" w14:textId="3F1B3E9B" w:rsidR="009E7905" w:rsidRPr="00DC77B0" w:rsidRDefault="009E7905" w:rsidP="009E7905">
      <w:pPr>
        <w:pStyle w:val="BDAbstract"/>
      </w:pPr>
      <w:r w:rsidRPr="00DC77B0">
        <w:t xml:space="preserve">A rapid benchtop method to measure the torque associated with </w:t>
      </w:r>
      <w:r w:rsidR="00053317">
        <w:t>minidisc</w:t>
      </w:r>
      <w:r w:rsidRPr="00DC77B0">
        <w:t xml:space="preserve">s rotating in water </w:t>
      </w:r>
      <w:r w:rsidR="0008358B" w:rsidRPr="00DC77B0">
        <w:t>using a</w:t>
      </w:r>
      <w:r w:rsidR="0008358B">
        <w:t xml:space="preserve"> sensitive</w:t>
      </w:r>
      <w:r w:rsidR="0008358B" w:rsidRPr="00DC77B0">
        <w:t xml:space="preserve"> analytical rheometer </w:t>
      </w:r>
      <w:r w:rsidRPr="00DC77B0">
        <w:t xml:space="preserve">has been used to monitor the drag </w:t>
      </w:r>
      <w:r w:rsidR="004C225F">
        <w:t xml:space="preserve">caused by marine fouling </w:t>
      </w:r>
      <w:r w:rsidRPr="00DC77B0">
        <w:t>on coated discs</w:t>
      </w:r>
      <w:r w:rsidR="004C225F">
        <w:t>.</w:t>
      </w:r>
      <w:r w:rsidRPr="00DC77B0">
        <w:t xml:space="preserve"> The method was calibrated using sandpaper surfaces of known roughness. </w:t>
      </w:r>
      <w:r w:rsidR="00053317">
        <w:t>Minidisc</w:t>
      </w:r>
      <w:r w:rsidRPr="00DC77B0">
        <w:t>s coated with commercial fouling control coatings</w:t>
      </w:r>
      <w:r w:rsidR="00A347A5">
        <w:t>,</w:t>
      </w:r>
      <w:r w:rsidRPr="00DC77B0">
        <w:t xml:space="preserve"> plus a</w:t>
      </w:r>
      <w:r w:rsidR="00A347A5">
        <w:t>n inactive</w:t>
      </w:r>
      <w:r w:rsidRPr="00DC77B0">
        <w:t xml:space="preserve"> control</w:t>
      </w:r>
      <w:r w:rsidR="00A347A5">
        <w:t>,</w:t>
      </w:r>
      <w:r w:rsidRPr="00DC77B0">
        <w:t xml:space="preserve"> were exposed in an estuarine harbour. </w:t>
      </w:r>
      <w:r w:rsidR="00315B82">
        <w:t>A</w:t>
      </w:r>
      <w:r w:rsidRPr="00DC77B0">
        <w:t>fter 176 days the drag on the fouling control-coated discs</w:t>
      </w:r>
      <w:r w:rsidR="00315B82">
        <w:t>,</w:t>
      </w:r>
      <w:r w:rsidRPr="00DC77B0">
        <w:t xml:space="preserve"> </w:t>
      </w:r>
      <w:r w:rsidR="00315B82" w:rsidRPr="00DC77B0">
        <w:t>expressed as a moment coefficient</w:t>
      </w:r>
      <w:r w:rsidR="00315B82">
        <w:t>,</w:t>
      </w:r>
      <w:r w:rsidR="00315B82" w:rsidRPr="00DC77B0">
        <w:t xml:space="preserve"> </w:t>
      </w:r>
      <w:r w:rsidRPr="00DC77B0">
        <w:t xml:space="preserve">was between </w:t>
      </w:r>
      <w:r w:rsidRPr="004C5F10">
        <w:t>73% and 90%</w:t>
      </w:r>
      <w:r w:rsidRPr="00DC77B0">
        <w:t xml:space="preserve"> less than the drag on the control</w:t>
      </w:r>
      <w:r w:rsidR="00315B82">
        <w:t xml:space="preserve"> coating</w:t>
      </w:r>
      <w:r w:rsidRPr="00DC77B0">
        <w:t xml:space="preserve">. </w:t>
      </w:r>
      <w:r w:rsidR="00021682" w:rsidRPr="005B52D5">
        <w:t>The method has potential use as a screen for novel anti-fouling</w:t>
      </w:r>
      <w:r w:rsidR="00021682">
        <w:t xml:space="preserve"> and</w:t>
      </w:r>
      <w:r w:rsidR="00021682" w:rsidRPr="005B52D5">
        <w:t xml:space="preserve"> drag reducing coatings and surfaces.</w:t>
      </w:r>
      <w:r w:rsidR="00021682">
        <w:t xml:space="preserve"> </w:t>
      </w:r>
      <w:r w:rsidR="00315B82">
        <w:t>R</w:t>
      </w:r>
      <w:r w:rsidRPr="00DC77B0">
        <w:t>oughness functions derived</w:t>
      </w:r>
      <w:r w:rsidR="002D0A7D">
        <w:t xml:space="preserve"> </w:t>
      </w:r>
      <w:r w:rsidRPr="00DC77B0">
        <w:t>using Granville’s indirect similarity law</w:t>
      </w:r>
      <w:r w:rsidR="00C10966">
        <w:t xml:space="preserve"> </w:t>
      </w:r>
      <w:r w:rsidR="0096531D">
        <w:t>are si</w:t>
      </w:r>
      <w:r w:rsidR="00E16726">
        <w:t>m</w:t>
      </w:r>
      <w:r w:rsidR="0096531D">
        <w:t xml:space="preserve">ilar to patterns found in the </w:t>
      </w:r>
      <w:r w:rsidR="0008358B">
        <w:t xml:space="preserve">general hydrodynamics </w:t>
      </w:r>
      <w:r w:rsidR="0096531D">
        <w:t>literature</w:t>
      </w:r>
      <w:r w:rsidR="00E16726">
        <w:t>, and so rotational minidisc results can be considered with reference to other fouling drag datasets.</w:t>
      </w:r>
    </w:p>
    <w:p w14:paraId="2563DDF8" w14:textId="77777777" w:rsidR="009E7905" w:rsidRPr="00DC77B0" w:rsidRDefault="009E7905" w:rsidP="009E7905">
      <w:pPr>
        <w:pStyle w:val="Keywords"/>
      </w:pPr>
      <w:r w:rsidRPr="00DC77B0">
        <w:t>KEYWORDS: Biofilm, coatings, disc, rheometer, sandpaper, roughness</w:t>
      </w:r>
    </w:p>
    <w:bookmarkEnd w:id="1"/>
    <w:p w14:paraId="4D657446" w14:textId="77777777" w:rsidR="0002175A" w:rsidRPr="003D2D14" w:rsidRDefault="0002175A">
      <w:pPr>
        <w:spacing w:after="160" w:line="259" w:lineRule="auto"/>
        <w:rPr>
          <w:b/>
          <w:bCs/>
          <w:kern w:val="32"/>
          <w:szCs w:val="32"/>
        </w:rPr>
      </w:pPr>
      <w:r w:rsidRPr="00DC77B0">
        <w:br w:type="page"/>
      </w:r>
    </w:p>
    <w:p w14:paraId="482A7FEA" w14:textId="77777777" w:rsidR="0002175A" w:rsidRPr="003D2D14" w:rsidRDefault="0002175A" w:rsidP="00540348">
      <w:pPr>
        <w:pStyle w:val="Heading1"/>
        <w:rPr>
          <w:rFonts w:cs="Times New Roman"/>
        </w:rPr>
      </w:pPr>
      <w:r w:rsidRPr="003D2D14">
        <w:rPr>
          <w:rFonts w:cs="Times New Roman"/>
        </w:rPr>
        <w:lastRenderedPageBreak/>
        <w:t>INTRODUCTION</w:t>
      </w:r>
    </w:p>
    <w:p w14:paraId="217A0FB9" w14:textId="2915893E" w:rsidR="0002175A" w:rsidRPr="00DC77B0" w:rsidRDefault="0002175A" w:rsidP="00540348">
      <w:r w:rsidRPr="00DC77B0">
        <w:t xml:space="preserve">Fouling of ships’ hulls by the attachment of </w:t>
      </w:r>
      <w:r w:rsidR="00DC3304" w:rsidRPr="00DC77B0">
        <w:t xml:space="preserve">sessile </w:t>
      </w:r>
      <w:r w:rsidRPr="00DC77B0">
        <w:t xml:space="preserve">marine organisms greatly increases frictional resistance, reducing the vessel's speed or increasing fuel consumption if the same speed is maintained </w:t>
      </w:r>
      <w:r w:rsidRPr="00DC77B0">
        <w:rPr>
          <w:noProof/>
        </w:rPr>
        <w:t>(Schultz 2007)</w:t>
      </w:r>
      <w:r w:rsidRPr="00DC77B0">
        <w:t xml:space="preserve">. Traditional antifouling (AF) coatings </w:t>
      </w:r>
      <w:r w:rsidR="00B207B3" w:rsidRPr="00DC77B0">
        <w:t xml:space="preserve">for ships </w:t>
      </w:r>
      <w:r w:rsidRPr="00DC77B0">
        <w:t xml:space="preserve">contain biocides such as cuprous oxide pigment </w:t>
      </w:r>
      <w:r w:rsidRPr="00DC77B0">
        <w:rPr>
          <w:noProof/>
        </w:rPr>
        <w:t>(Yebra et al. 2004; Finnie and Williams 2010)</w:t>
      </w:r>
      <w:r w:rsidRPr="00DC77B0">
        <w:t xml:space="preserve"> </w:t>
      </w:r>
      <w:r w:rsidR="00DC3304" w:rsidRPr="00DC77B0">
        <w:t>while f</w:t>
      </w:r>
      <w:r w:rsidRPr="00DC77B0">
        <w:t xml:space="preserve">oul release coatings (FRCs) are based on elastomeric polymers which have low energy (“non-stick”) surfaces which are biocide-free and can control fouling through their physical properties alone </w:t>
      </w:r>
      <w:r w:rsidRPr="00DC77B0">
        <w:rPr>
          <w:noProof/>
        </w:rPr>
        <w:t>(Galli and Martinelli 2017)</w:t>
      </w:r>
      <w:r w:rsidRPr="00DC77B0">
        <w:t xml:space="preserve">. Although it remains a challenge for any coating to completely prevent fouling on the hulls of all vessel types and all ship operational profiles, modern </w:t>
      </w:r>
      <w:r w:rsidR="00914058" w:rsidRPr="00DC77B0">
        <w:t>fouling control (FC) coatings</w:t>
      </w:r>
      <w:r w:rsidRPr="00DC77B0">
        <w:t xml:space="preserve"> can provide an effective solution to the problem of fouling by larger organisms </w:t>
      </w:r>
      <w:r w:rsidRPr="00DC77B0">
        <w:rPr>
          <w:noProof/>
        </w:rPr>
        <w:t>(Salta et al. 2013)</w:t>
      </w:r>
      <w:r w:rsidRPr="00DC77B0">
        <w:t xml:space="preserve"> and marine biofilms (commonly referred to as “slime”) </w:t>
      </w:r>
      <w:r w:rsidRPr="00DC77B0">
        <w:rPr>
          <w:noProof/>
        </w:rPr>
        <w:t>(Muthukrishnan et al. 2014; Benschop et al. 2018)</w:t>
      </w:r>
      <w:r w:rsidR="007C24B4" w:rsidRPr="00DC77B0">
        <w:rPr>
          <w:noProof/>
        </w:rPr>
        <w:t xml:space="preserve"> although build-up of diatom slimes are a substantial drawback for </w:t>
      </w:r>
      <w:r w:rsidR="00914058" w:rsidRPr="00DC77B0">
        <w:rPr>
          <w:noProof/>
        </w:rPr>
        <w:t xml:space="preserve">predominantly hydrophobic </w:t>
      </w:r>
      <w:r w:rsidR="007C24B4" w:rsidRPr="00DC77B0">
        <w:rPr>
          <w:noProof/>
        </w:rPr>
        <w:t>FRCs (Lejars et al. 2012)</w:t>
      </w:r>
      <w:r w:rsidRPr="00DC77B0">
        <w:t>.</w:t>
      </w:r>
    </w:p>
    <w:p w14:paraId="62B9EC45" w14:textId="77777777" w:rsidR="0002175A" w:rsidRPr="00DC77B0" w:rsidRDefault="0002175A" w:rsidP="00540348"/>
    <w:p w14:paraId="5DDC8F0A" w14:textId="5DE78D71" w:rsidR="00914058" w:rsidRPr="00100BA1" w:rsidRDefault="0002175A" w:rsidP="00100BA1">
      <w:pPr>
        <w:rPr>
          <w:strike/>
          <w:sz w:val="22"/>
          <w:szCs w:val="22"/>
        </w:rPr>
      </w:pPr>
      <w:r w:rsidRPr="00DC77B0">
        <w:t xml:space="preserve">Marine biofilms are composed largely of diatoms and bacteria which cement themselves to the surface by means of a sticky extra-cellular matrix composed of polysaccharides, proteins and other biological macromolecules </w:t>
      </w:r>
      <w:r w:rsidRPr="00DC77B0">
        <w:rPr>
          <w:noProof/>
        </w:rPr>
        <w:t>(Hoagland et al. 1993)</w:t>
      </w:r>
      <w:r w:rsidRPr="00DC77B0">
        <w:t xml:space="preserve">. These biofilms form thin surface coverings that extend at most a few millimetres above the hull surface and hence are not subject to the same high moment from drag forces that larger growths such as barnacles and trailing weed are, and consequently are less easily removed </w:t>
      </w:r>
      <w:r w:rsidR="004B099E">
        <w:t xml:space="preserve">from FRCs </w:t>
      </w:r>
      <w:r w:rsidRPr="00DC77B0">
        <w:t>even when the ship is travelling at high speeds</w:t>
      </w:r>
      <w:r w:rsidR="00364312" w:rsidRPr="00DC77B0">
        <w:t xml:space="preserve"> </w:t>
      </w:r>
      <w:r w:rsidR="00163D73">
        <w:t>(</w:t>
      </w:r>
      <w:proofErr w:type="spellStart"/>
      <w:r w:rsidR="006C3151">
        <w:t>Dobretsov</w:t>
      </w:r>
      <w:proofErr w:type="spellEnd"/>
      <w:r w:rsidR="006C3151">
        <w:t xml:space="preserve"> et al. 2013;</w:t>
      </w:r>
      <w:r w:rsidR="006C3151" w:rsidRPr="006C3151">
        <w:t xml:space="preserve"> </w:t>
      </w:r>
      <w:proofErr w:type="spellStart"/>
      <w:r w:rsidR="006C3151" w:rsidRPr="00163D73">
        <w:t>Townsin</w:t>
      </w:r>
      <w:proofErr w:type="spellEnd"/>
      <w:r w:rsidR="006C3151">
        <w:t xml:space="preserve"> and Anderson</w:t>
      </w:r>
      <w:r w:rsidR="006C3151" w:rsidRPr="00DC77B0">
        <w:t xml:space="preserve"> 2009</w:t>
      </w:r>
      <w:r w:rsidR="00163D73">
        <w:t>)</w:t>
      </w:r>
      <w:r w:rsidRPr="00DC77B0">
        <w:t xml:space="preserve">. </w:t>
      </w:r>
      <w:r w:rsidR="00BC767F" w:rsidRPr="00100BA1">
        <w:t xml:space="preserve">Since biofilms can cover large areas of the hull the combined drag penalty on the whole ship may be substantial. </w:t>
      </w:r>
    </w:p>
    <w:p w14:paraId="40AFDDE8" w14:textId="77777777" w:rsidR="0002175A" w:rsidRPr="00DC77B0" w:rsidRDefault="0002175A" w:rsidP="00540348"/>
    <w:p w14:paraId="700002D7" w14:textId="24E733BA" w:rsidR="0002175A" w:rsidRPr="00DC77B0" w:rsidRDefault="0002175A">
      <w:r w:rsidRPr="00DC77B0">
        <w:lastRenderedPageBreak/>
        <w:t xml:space="preserve">In-service </w:t>
      </w:r>
      <w:r w:rsidR="00364312" w:rsidRPr="00DC77B0">
        <w:t xml:space="preserve">operational </w:t>
      </w:r>
      <w:r w:rsidRPr="00DC77B0">
        <w:t xml:space="preserve">data </w:t>
      </w:r>
      <w:r w:rsidR="00364312" w:rsidRPr="00DC77B0">
        <w:t xml:space="preserve">and accurate evaluation of hull fouling conditions </w:t>
      </w:r>
      <w:r w:rsidR="00E7295D" w:rsidRPr="00DC77B0">
        <w:t xml:space="preserve">are </w:t>
      </w:r>
      <w:r w:rsidRPr="00DC77B0">
        <w:t xml:space="preserve">difficult to obtain </w:t>
      </w:r>
      <w:r w:rsidR="00364312" w:rsidRPr="00DC77B0">
        <w:t>for ships</w:t>
      </w:r>
      <w:r w:rsidR="00F50FBC" w:rsidRPr="00F50FBC">
        <w:t xml:space="preserve"> </w:t>
      </w:r>
      <w:r w:rsidR="0008358B">
        <w:t xml:space="preserve">operating under normal </w:t>
      </w:r>
      <w:r w:rsidR="00F50FBC" w:rsidRPr="00DC77B0">
        <w:t xml:space="preserve">commercial </w:t>
      </w:r>
      <w:r w:rsidR="0008358B">
        <w:t>constraints</w:t>
      </w:r>
      <w:r w:rsidRPr="00DC77B0">
        <w:t xml:space="preserve">, therefore indirect methods must be used to estimate the frictional drag due to biofilms </w:t>
      </w:r>
      <w:r w:rsidRPr="00DC77B0">
        <w:rPr>
          <w:noProof/>
        </w:rPr>
        <w:t>(Schultz and Myers 2003)</w:t>
      </w:r>
      <w:r w:rsidRPr="00DC77B0">
        <w:t xml:space="preserve">. </w:t>
      </w:r>
      <w:r w:rsidR="00535904" w:rsidRPr="00DC77B0">
        <w:t>Velocity similarity laws for turbulent shear flows</w:t>
      </w:r>
      <w:r w:rsidR="006D03FC" w:rsidRPr="00DC77B0">
        <w:t xml:space="preserve">, as expounded by Granville </w:t>
      </w:r>
      <w:r w:rsidR="00855956" w:rsidRPr="00DC77B0">
        <w:t>(Granville 1978, 1982)</w:t>
      </w:r>
      <w:r w:rsidR="006D03FC" w:rsidRPr="00DC77B0">
        <w:t xml:space="preserve">, </w:t>
      </w:r>
      <w:r w:rsidR="00535904" w:rsidRPr="00DC77B0">
        <w:t>are then applied to these data</w:t>
      </w:r>
      <w:r w:rsidR="006D03FC" w:rsidRPr="00DC77B0">
        <w:t xml:space="preserve"> </w:t>
      </w:r>
      <w:r w:rsidR="00535904" w:rsidRPr="00DC77B0">
        <w:t xml:space="preserve">to derive roughness functions which may be used to infer ship-scale drag outcomes. </w:t>
      </w:r>
      <w:r w:rsidRPr="00AA71AD">
        <w:t>Common ways of measuring hydrodynamic drag are to use towing tanks, flow cells and rotating cylinders or discs. The 26</w:t>
      </w:r>
      <w:r w:rsidRPr="00AA71AD">
        <w:rPr>
          <w:vertAlign w:val="superscript"/>
        </w:rPr>
        <w:t>th</w:t>
      </w:r>
      <w:r w:rsidRPr="00AA71AD">
        <w:t xml:space="preserve"> International Tow</w:t>
      </w:r>
      <w:r w:rsidR="00AC5452">
        <w:t>ing</w:t>
      </w:r>
      <w:r w:rsidRPr="00AA71AD">
        <w:t xml:space="preserve"> Tank Conference </w:t>
      </w:r>
      <w:r w:rsidR="00CE5839">
        <w:t>[</w:t>
      </w:r>
      <w:r w:rsidRPr="00AA71AD">
        <w:t>ITTC</w:t>
      </w:r>
      <w:r w:rsidR="00CE5839">
        <w:t>]</w:t>
      </w:r>
      <w:r w:rsidRPr="00AA71AD">
        <w:t xml:space="preserve"> </w:t>
      </w:r>
      <w:r w:rsidRPr="00AA71AD">
        <w:rPr>
          <w:noProof/>
        </w:rPr>
        <w:t>(ITTC 2011)</w:t>
      </w:r>
      <w:r w:rsidRPr="00AA71AD">
        <w:t xml:space="preserve"> compared the practicality of various methods for measuring skin friction for rough surfaces in the marine sector and concluded that using flat plates in towing tanks offers the best combination of accuracy and complexity. </w:t>
      </w:r>
      <w:r w:rsidR="00C40C71" w:rsidRPr="00AA71AD">
        <w:t>Towing tank tests</w:t>
      </w:r>
      <w:r w:rsidR="0008358B">
        <w:t xml:space="preserve"> </w:t>
      </w:r>
      <w:r w:rsidR="0008358B" w:rsidRPr="00AA71AD">
        <w:t>are</w:t>
      </w:r>
      <w:r w:rsidR="00F50FBC" w:rsidRPr="00AA71AD">
        <w:t>,</w:t>
      </w:r>
      <w:r w:rsidR="00C40C71" w:rsidRPr="00AA71AD">
        <w:t xml:space="preserve"> </w:t>
      </w:r>
      <w:r w:rsidR="00352119" w:rsidRPr="00AA71AD">
        <w:t>however</w:t>
      </w:r>
      <w:r w:rsidR="00F50FBC" w:rsidRPr="00AA71AD">
        <w:t>,</w:t>
      </w:r>
      <w:r w:rsidR="00C40C71" w:rsidRPr="00AA71AD">
        <w:t xml:space="preserve"> </w:t>
      </w:r>
      <w:r w:rsidR="00F50FBC" w:rsidRPr="00AA71AD">
        <w:t xml:space="preserve">large scale </w:t>
      </w:r>
      <w:r w:rsidR="00DE5A4A" w:rsidRPr="00AA71AD">
        <w:t>enterprises that are</w:t>
      </w:r>
      <w:r w:rsidR="00F50FBC" w:rsidRPr="00AA71AD">
        <w:t xml:space="preserve"> </w:t>
      </w:r>
      <w:r w:rsidR="00C40C71" w:rsidRPr="00AA71AD">
        <w:t>time-consuming and expensive to carry out</w:t>
      </w:r>
      <w:r w:rsidR="00352119" w:rsidRPr="00AA71AD">
        <w:t>,</w:t>
      </w:r>
      <w:r w:rsidR="00C40C71" w:rsidRPr="00AA71AD">
        <w:t xml:space="preserve"> and speeds are usually limited to less than 10 knots. </w:t>
      </w:r>
      <w:r w:rsidR="00AA71AD" w:rsidRPr="00100BA1">
        <w:t>Rotating discs offer practical advantages over towing tank tests since they can rapidly reach high peripheral velocities and their rotational speed is easily varied without having to handle large volumes of water.</w:t>
      </w:r>
    </w:p>
    <w:p w14:paraId="531E289A" w14:textId="77777777" w:rsidR="00F93BCD" w:rsidRPr="00DC77B0" w:rsidRDefault="00F93BCD" w:rsidP="00F93BCD"/>
    <w:p w14:paraId="7F673EE8" w14:textId="3ABAFFED" w:rsidR="0044748D" w:rsidRDefault="00F93BCD" w:rsidP="0044748D">
      <w:pPr>
        <w:rPr>
          <w:sz w:val="22"/>
          <w:szCs w:val="22"/>
        </w:rPr>
      </w:pPr>
      <w:r w:rsidRPr="00100BA1">
        <w:t xml:space="preserve">The </w:t>
      </w:r>
      <w:r w:rsidR="00053317">
        <w:t>minidisc</w:t>
      </w:r>
      <w:r w:rsidRPr="00100BA1">
        <w:t xml:space="preserve"> method presented</w:t>
      </w:r>
      <w:r w:rsidR="004B099E">
        <w:t xml:space="preserve"> here</w:t>
      </w:r>
      <w:r w:rsidRPr="00100BA1">
        <w:t xml:space="preserve"> is proposed as a route for rapid </w:t>
      </w:r>
      <w:r w:rsidR="003F07B1">
        <w:t>evaluat</w:t>
      </w:r>
      <w:r w:rsidRPr="00100BA1">
        <w:t xml:space="preserve">ion of coating technologies </w:t>
      </w:r>
      <w:r w:rsidR="00B31D51" w:rsidRPr="00DC77B0">
        <w:t xml:space="preserve">that is </w:t>
      </w:r>
      <w:r w:rsidRPr="00100BA1">
        <w:t xml:space="preserve">complementary to established microfouling assessment methods. With the </w:t>
      </w:r>
      <w:r w:rsidR="00053317">
        <w:t>minidisc</w:t>
      </w:r>
      <w:r w:rsidRPr="00100BA1">
        <w:t xml:space="preserve"> method, rankings are based on a</w:t>
      </w:r>
      <w:r w:rsidR="00B31D51" w:rsidRPr="00DC77B0">
        <w:t>n experimental</w:t>
      </w:r>
      <w:r w:rsidRPr="00100BA1">
        <w:t xml:space="preserve"> drag metric rather than a</w:t>
      </w:r>
      <w:r w:rsidR="007B2A1A">
        <w:t xml:space="preserve"> simple</w:t>
      </w:r>
      <w:r w:rsidRPr="00100BA1">
        <w:t xml:space="preserve"> slime metric that is assumed to be a proxy</w:t>
      </w:r>
      <w:r w:rsidR="00B31D51" w:rsidRPr="00DC77B0">
        <w:t xml:space="preserve"> for drag</w:t>
      </w:r>
      <w:r w:rsidRPr="00100BA1">
        <w:t xml:space="preserve">.  In the best tradition of marine fouling bioassays, this method is based on small scale test pieces that can be rapidly fouled and measured. </w:t>
      </w:r>
      <w:r w:rsidR="004A7077" w:rsidRPr="00100BA1">
        <w:t xml:space="preserve">Our aim was to develop a method that is experimentally simple yet </w:t>
      </w:r>
      <w:r w:rsidR="00882D17">
        <w:t>has high precision</w:t>
      </w:r>
      <w:r w:rsidR="004A7077" w:rsidRPr="00100BA1">
        <w:t>. This was achieved by using an analytical rheometer which is operated by a single person on an open laboratory bench</w:t>
      </w:r>
      <w:r w:rsidR="004A7077">
        <w:t xml:space="preserve">. </w:t>
      </w:r>
      <w:r w:rsidR="004B099E">
        <w:t xml:space="preserve">The torque on rotating discs, </w:t>
      </w:r>
      <w:r w:rsidR="004B099E" w:rsidRPr="00DC77B0">
        <w:t>expressed as a moment coefficient (</w:t>
      </w:r>
      <w:r w:rsidR="004B099E" w:rsidRPr="00DC77B0">
        <w:rPr>
          <w:i/>
        </w:rPr>
        <w:t>C</w:t>
      </w:r>
      <w:r w:rsidR="004B099E" w:rsidRPr="00DC77B0">
        <w:rPr>
          <w:i/>
          <w:vertAlign w:val="subscript"/>
        </w:rPr>
        <w:t>m</w:t>
      </w:r>
      <w:r w:rsidR="004B099E" w:rsidRPr="00DC77B0">
        <w:t>)</w:t>
      </w:r>
      <w:r w:rsidR="004B099E">
        <w:t>, can be used directly to measure the relative</w:t>
      </w:r>
      <w:r w:rsidR="002A05A5">
        <w:t xml:space="preserve"> drag</w:t>
      </w:r>
      <w:r w:rsidR="002A05A5" w:rsidRPr="002A05A5">
        <w:t xml:space="preserve"> </w:t>
      </w:r>
      <w:r w:rsidR="002A05A5">
        <w:t xml:space="preserve">due to surface roughness. </w:t>
      </w:r>
      <w:r w:rsidR="0044748D">
        <w:t>In addition to simple</w:t>
      </w:r>
      <w:r w:rsidR="0029556E">
        <w:t xml:space="preserve"> torque</w:t>
      </w:r>
      <w:r w:rsidR="0044748D">
        <w:t xml:space="preserve"> screening of coatings, the minidisc drag data can be further </w:t>
      </w:r>
      <w:r w:rsidR="0044748D">
        <w:lastRenderedPageBreak/>
        <w:t xml:space="preserve">processed </w:t>
      </w:r>
      <w:r w:rsidR="0029556E">
        <w:t>for comparison with</w:t>
      </w:r>
      <w:r w:rsidR="0044748D">
        <w:t xml:space="preserve"> the available scientific literature and accumulated knowledge of decades of drag research </w:t>
      </w:r>
      <w:r w:rsidR="0029556E">
        <w:t>using</w:t>
      </w:r>
      <w:r w:rsidR="0044748D">
        <w:t xml:space="preserve"> </w:t>
      </w:r>
      <w:r w:rsidR="0029556E">
        <w:t>a variety</w:t>
      </w:r>
      <w:r w:rsidR="0044748D">
        <w:t xml:space="preserve"> of methods of data acquisition and mathematical treatment.  </w:t>
      </w:r>
      <w:r w:rsidR="0029556E">
        <w:t>This is accomplished via</w:t>
      </w:r>
      <w:r w:rsidR="0044748D">
        <w:t xml:space="preserve"> roughness function analysis.</w:t>
      </w:r>
    </w:p>
    <w:p w14:paraId="6CD06F84" w14:textId="77777777" w:rsidR="0002175A" w:rsidRPr="003D2D14" w:rsidRDefault="0002175A" w:rsidP="00540348">
      <w:pPr>
        <w:pStyle w:val="Heading1"/>
        <w:rPr>
          <w:rFonts w:cs="Times New Roman"/>
        </w:rPr>
      </w:pPr>
      <w:r w:rsidRPr="003D2D14">
        <w:rPr>
          <w:rFonts w:cs="Times New Roman"/>
        </w:rPr>
        <w:t>MATERIALS AND METHODS</w:t>
      </w:r>
    </w:p>
    <w:p w14:paraId="3822AA81" w14:textId="759D375C" w:rsidR="00655C8C" w:rsidRDefault="00655C8C" w:rsidP="00100BA1">
      <w:pPr>
        <w:pStyle w:val="Heading2"/>
      </w:pPr>
      <w:r>
        <w:t>Measurement system</w:t>
      </w:r>
    </w:p>
    <w:p w14:paraId="1352FBD7" w14:textId="5CD04504" w:rsidR="0002175A" w:rsidRDefault="0002175A" w:rsidP="00540348">
      <w:pPr>
        <w:rPr>
          <w:noProof/>
        </w:rPr>
      </w:pPr>
      <w:r w:rsidRPr="00DC77B0">
        <w:t xml:space="preserve">Rheometer discs </w:t>
      </w:r>
      <w:r w:rsidR="00C9010F">
        <w:t xml:space="preserve">with diameter 40mm and thickness 2mm </w:t>
      </w:r>
      <w:r w:rsidRPr="00DC77B0">
        <w:t>were machined from white polyacetal plastic rod (Delrin</w:t>
      </w:r>
      <w:r w:rsidRPr="00DC77B0">
        <w:rPr>
          <w:vertAlign w:val="superscript"/>
        </w:rPr>
        <w:t>TM</w:t>
      </w:r>
      <w:r w:rsidRPr="00DC77B0">
        <w:t xml:space="preserve">, Du Pont). This polymer </w:t>
      </w:r>
      <w:r w:rsidR="0008358B">
        <w:t xml:space="preserve">was selected because it </w:t>
      </w:r>
      <w:r w:rsidRPr="00DC77B0">
        <w:t>has</w:t>
      </w:r>
      <w:r w:rsidR="0008358B">
        <w:t xml:space="preserve"> </w:t>
      </w:r>
      <w:r w:rsidR="0008358B" w:rsidRPr="00DC77B0">
        <w:t>good dimensional stability</w:t>
      </w:r>
      <w:r w:rsidR="0008358B">
        <w:t xml:space="preserve"> and</w:t>
      </w:r>
      <w:r w:rsidRPr="00DC77B0">
        <w:t xml:space="preserve"> low water uptake</w:t>
      </w:r>
      <w:r w:rsidR="0008358B">
        <w:t xml:space="preserve"> </w:t>
      </w:r>
      <w:r w:rsidR="0008358B" w:rsidRPr="00DC77B0">
        <w:t>(&lt;1%)</w:t>
      </w:r>
      <w:r w:rsidRPr="00DC77B0">
        <w:t xml:space="preserve"> at saturation </w:t>
      </w:r>
      <w:r w:rsidRPr="00DC77B0">
        <w:rPr>
          <w:noProof/>
        </w:rPr>
        <w:t>(Sdplastics.com 2020)</w:t>
      </w:r>
    </w:p>
    <w:p w14:paraId="2B821E01" w14:textId="77777777" w:rsidR="00856E1F" w:rsidRDefault="00856E1F" w:rsidP="00540348">
      <w:pPr>
        <w:rPr>
          <w:noProof/>
        </w:rPr>
      </w:pPr>
    </w:p>
    <w:p w14:paraId="1E77D718" w14:textId="4C81105A" w:rsidR="00115266" w:rsidRPr="00DC77B0" w:rsidRDefault="00856E1F" w:rsidP="00540348">
      <w:r>
        <w:t>Fig. 1</w:t>
      </w:r>
    </w:p>
    <w:p w14:paraId="590360DA" w14:textId="77777777" w:rsidR="0002175A" w:rsidRPr="00DC77B0" w:rsidRDefault="0002175A" w:rsidP="00100BA1"/>
    <w:p w14:paraId="71A77883" w14:textId="4F4036CF" w:rsidR="0002175A" w:rsidRPr="00DC77B0" w:rsidRDefault="0002175A" w:rsidP="00540348">
      <w:r w:rsidRPr="00DC77B0">
        <w:t xml:space="preserve">The torque acting on the discs rotating in a </w:t>
      </w:r>
      <w:r w:rsidR="0008358B">
        <w:t xml:space="preserve">water </w:t>
      </w:r>
      <w:r w:rsidRPr="00DC77B0">
        <w:t xml:space="preserve">reservoir was measured </w:t>
      </w:r>
      <w:r w:rsidR="00C9010F">
        <w:t>by attaching them to</w:t>
      </w:r>
      <w:r w:rsidR="00C9010F" w:rsidRPr="00DC77B0">
        <w:t xml:space="preserve"> </w:t>
      </w:r>
      <w:r w:rsidR="00C9010F">
        <w:t xml:space="preserve">the shaft of </w:t>
      </w:r>
      <w:r w:rsidRPr="00DC77B0">
        <w:t xml:space="preserve">an analytical precision rheometer (DHR-2, TA Instruments) with torque resolution of 0.1 </w:t>
      </w:r>
      <w:proofErr w:type="spellStart"/>
      <w:r w:rsidRPr="00DC77B0">
        <w:t>nN</w:t>
      </w:r>
      <w:r w:rsidR="0074585A">
        <w:t>·</w:t>
      </w:r>
      <w:r w:rsidRPr="00DC77B0">
        <w:t>m</w:t>
      </w:r>
      <w:proofErr w:type="spellEnd"/>
      <w:r w:rsidRPr="00DC77B0">
        <w:t xml:space="preserve">. The water reservoir was cubic with sides of transparent acrylic plastic having external edge length 150 mm (147 mm internal) (Fig. 1). This size of reservoir is the largest that can be accommodated on the rheometer platen. </w:t>
      </w:r>
      <w:r w:rsidR="00C9010F">
        <w:t>Initial u</w:t>
      </w:r>
      <w:r w:rsidRPr="00DC77B0">
        <w:t>se of a</w:t>
      </w:r>
      <w:r w:rsidR="0074585A">
        <w:t>n open</w:t>
      </w:r>
      <w:r w:rsidRPr="00DC77B0">
        <w:t xml:space="preserve"> cylindrical container (glass beaker) resulted in the water being set in </w:t>
      </w:r>
      <w:r w:rsidR="0074585A">
        <w:t xml:space="preserve">rapid </w:t>
      </w:r>
      <w:r w:rsidRPr="00DC77B0">
        <w:t xml:space="preserve">circular motion by the rotating disc, forming an increasingly deep vortex around the shaft as the speed increased, which </w:t>
      </w:r>
      <w:r w:rsidR="004B1AD3">
        <w:t>resulted in</w:t>
      </w:r>
      <w:r w:rsidRPr="00DC77B0">
        <w:t xml:space="preserve"> the water overflowing the container </w:t>
      </w:r>
      <w:r w:rsidR="00C9010F">
        <w:t xml:space="preserve">even </w:t>
      </w:r>
      <w:r w:rsidRPr="00DC77B0">
        <w:t xml:space="preserve">at </w:t>
      </w:r>
      <w:r w:rsidR="00C9010F">
        <w:t>moderate</w:t>
      </w:r>
      <w:r w:rsidR="00C9010F" w:rsidRPr="00DC77B0">
        <w:t xml:space="preserve"> </w:t>
      </w:r>
      <w:r w:rsidRPr="00DC77B0">
        <w:t xml:space="preserve">speed. The square cross-section of the cubic tank prevented this, </w:t>
      </w:r>
      <w:r w:rsidR="00DC626A">
        <w:t>and</w:t>
      </w:r>
      <w:r w:rsidRPr="00DC77B0">
        <w:t xml:space="preserve"> maintained a relatively smooth water surface. Sodium chloride solution (3.5 </w:t>
      </w:r>
      <w:proofErr w:type="spellStart"/>
      <w:r w:rsidRPr="00DC77B0">
        <w:t>wt</w:t>
      </w:r>
      <w:proofErr w:type="spellEnd"/>
      <w:r w:rsidRPr="00DC77B0">
        <w:t>%) was used to maintain approximately the same osmotic pressure and kinematic viscosity as seawater. The base of the reservoir consists of a flat stainless steel plate machined to fit closely on to the thermostated platen of the rheometer to allow accurate temperature control of the water at 20</w:t>
      </w:r>
      <w:r w:rsidR="00F0557E">
        <w:t xml:space="preserve"> </w:t>
      </w:r>
      <w:r w:rsidRPr="00DC77B0">
        <w:t>°C ± 0.1</w:t>
      </w:r>
      <w:r w:rsidR="00F0557E">
        <w:t xml:space="preserve"> </w:t>
      </w:r>
      <w:r w:rsidRPr="00DC77B0">
        <w:t xml:space="preserve">°C. Maintaining a constant </w:t>
      </w:r>
      <w:r w:rsidRPr="00DC77B0">
        <w:lastRenderedPageBreak/>
        <w:t>water temperature is important owing to the strong temperature dependence of the viscosity of the water, which impacts the torque acting on the disc.</w:t>
      </w:r>
    </w:p>
    <w:p w14:paraId="40C73A51" w14:textId="55FA2CAD" w:rsidR="0002175A" w:rsidRDefault="0002175A" w:rsidP="00540348">
      <w:r w:rsidRPr="00DC77B0">
        <w:t xml:space="preserve">Discs were screwed </w:t>
      </w:r>
      <w:r w:rsidR="0074585A">
        <w:t>o</w:t>
      </w:r>
      <w:r w:rsidRPr="00DC77B0">
        <w:t xml:space="preserve">nto a threaded adapter on the rheometer shaft with the test side of each disc facing downwards at 3 cm above and parallel to the bottom of the tank. A disc rotating close to a fixed surface may be subject to a net downward force, due to the reduced pressure resulting from radial expulsion of fluid in the narrow gap below the disc </w:t>
      </w:r>
      <w:r w:rsidRPr="00DC77B0">
        <w:rPr>
          <w:noProof/>
        </w:rPr>
        <w:t>(Peters 1967)</w:t>
      </w:r>
      <w:r w:rsidRPr="00DC77B0">
        <w:t xml:space="preserve">. To avoid this effect, the distance of the disc from the bottom of the tank was determined empirically during a control run with a blank disc by minimising the magnitude of the normal force acting on the disc surface, a parameter which is recorded by the rheometer. To record the torque response of a </w:t>
      </w:r>
      <w:r w:rsidR="004B1AD3">
        <w:t xml:space="preserve"> </w:t>
      </w:r>
      <w:r w:rsidRPr="00DC77B0">
        <w:t>disc, the rotational velocity was increased from 30 rad·s</w:t>
      </w:r>
      <w:r w:rsidRPr="00DC77B0">
        <w:rPr>
          <w:vertAlign w:val="superscript"/>
        </w:rPr>
        <w:t>-1</w:t>
      </w:r>
      <w:r w:rsidRPr="00DC77B0">
        <w:t xml:space="preserve"> up to 300 rad·s</w:t>
      </w:r>
      <w:r w:rsidRPr="00DC77B0">
        <w:rPr>
          <w:vertAlign w:val="superscript"/>
        </w:rPr>
        <w:t>-1</w:t>
      </w:r>
      <w:r w:rsidRPr="00DC77B0">
        <w:t xml:space="preserve"> (maximum velocity) at increments of 15 rad·s</w:t>
      </w:r>
      <w:r w:rsidRPr="00DC77B0">
        <w:rPr>
          <w:vertAlign w:val="superscript"/>
        </w:rPr>
        <w:t>-1</w:t>
      </w:r>
      <w:r w:rsidRPr="00DC77B0">
        <w:t xml:space="preserve"> with </w:t>
      </w:r>
      <w:r w:rsidR="006F4075">
        <w:t>the speed held constant for</w:t>
      </w:r>
      <w:r w:rsidRPr="00DC77B0">
        <w:t xml:space="preserve"> 10 s at each speed. Disc rotation was stopped at the maximum velocity and after 60 s at rest the speed ramp up was repeated</w:t>
      </w:r>
      <w:r w:rsidR="009F5333">
        <w:t xml:space="preserve"> for control and sandpaper discs.</w:t>
      </w:r>
    </w:p>
    <w:p w14:paraId="1D71E6B5" w14:textId="77777777" w:rsidR="005C30FB" w:rsidRDefault="005C30FB" w:rsidP="00540348"/>
    <w:p w14:paraId="2A16D4E2" w14:textId="2BC9AB46" w:rsidR="005C30FB" w:rsidRDefault="005C30FB" w:rsidP="00100BA1">
      <w:pPr>
        <w:pStyle w:val="Heading2"/>
      </w:pPr>
      <w:r>
        <w:t>Surface roughness measurements</w:t>
      </w:r>
    </w:p>
    <w:p w14:paraId="06B3294D" w14:textId="59B64EEA" w:rsidR="005C30FB" w:rsidRPr="005C30FB" w:rsidRDefault="005C30FB" w:rsidP="00100BA1">
      <w:pPr>
        <w:ind w:firstLine="187"/>
        <w:rPr>
          <w:lang w:val="fr-FR"/>
        </w:rPr>
      </w:pPr>
      <w:proofErr w:type="spellStart"/>
      <w:r>
        <w:rPr>
          <w:lang w:val="fr-FR"/>
        </w:rPr>
        <w:t>Two</w:t>
      </w:r>
      <w:proofErr w:type="spellEnd"/>
      <w:r>
        <w:rPr>
          <w:lang w:val="fr-FR"/>
        </w:rPr>
        <w:t xml:space="preserve"> surface </w:t>
      </w:r>
      <w:proofErr w:type="spellStart"/>
      <w:r>
        <w:rPr>
          <w:lang w:val="fr-FR"/>
        </w:rPr>
        <w:t>roughness</w:t>
      </w:r>
      <w:proofErr w:type="spellEnd"/>
      <w:r>
        <w:rPr>
          <w:lang w:val="fr-FR"/>
        </w:rPr>
        <w:t xml:space="preserve"> </w:t>
      </w:r>
      <w:proofErr w:type="spellStart"/>
      <w:r>
        <w:rPr>
          <w:lang w:val="fr-FR"/>
        </w:rPr>
        <w:t>measurement</w:t>
      </w:r>
      <w:proofErr w:type="spellEnd"/>
      <w:r>
        <w:rPr>
          <w:lang w:val="fr-FR"/>
        </w:rPr>
        <w:t xml:space="preserve"> </w:t>
      </w:r>
      <w:r w:rsidR="00B73368">
        <w:rPr>
          <w:lang w:val="fr-FR"/>
        </w:rPr>
        <w:t>instruments</w:t>
      </w:r>
      <w:r>
        <w:rPr>
          <w:lang w:val="fr-FR"/>
        </w:rPr>
        <w:t xml:space="preserve"> </w:t>
      </w:r>
      <w:proofErr w:type="spellStart"/>
      <w:r>
        <w:rPr>
          <w:lang w:val="fr-FR"/>
        </w:rPr>
        <w:t>were</w:t>
      </w:r>
      <w:proofErr w:type="spellEnd"/>
      <w:r>
        <w:rPr>
          <w:lang w:val="fr-FR"/>
        </w:rPr>
        <w:t xml:space="preserve"> </w:t>
      </w:r>
      <w:proofErr w:type="spellStart"/>
      <w:r>
        <w:rPr>
          <w:lang w:val="fr-FR"/>
        </w:rPr>
        <w:t>used</w:t>
      </w:r>
      <w:proofErr w:type="spellEnd"/>
      <w:r w:rsidR="00F27E4F">
        <w:rPr>
          <w:lang w:val="fr-FR"/>
        </w:rPr>
        <w:t xml:space="preserve">, </w:t>
      </w:r>
      <w:proofErr w:type="spellStart"/>
      <w:r w:rsidR="00F27E4F">
        <w:rPr>
          <w:lang w:val="fr-FR"/>
        </w:rPr>
        <w:t>each</w:t>
      </w:r>
      <w:proofErr w:type="spellEnd"/>
      <w:r w:rsidR="00F27E4F">
        <w:rPr>
          <w:lang w:val="fr-FR"/>
        </w:rPr>
        <w:t xml:space="preserve"> of </w:t>
      </w:r>
      <w:proofErr w:type="spellStart"/>
      <w:r w:rsidR="00F27E4F">
        <w:rPr>
          <w:lang w:val="fr-FR"/>
        </w:rPr>
        <w:t>which</w:t>
      </w:r>
      <w:proofErr w:type="spellEnd"/>
      <w:r w:rsidR="00F27E4F">
        <w:rPr>
          <w:lang w:val="fr-FR"/>
        </w:rPr>
        <w:t xml:space="preserve"> </w:t>
      </w:r>
      <w:proofErr w:type="spellStart"/>
      <w:r w:rsidR="00F27E4F">
        <w:rPr>
          <w:lang w:val="fr-FR"/>
        </w:rPr>
        <w:t>provides</w:t>
      </w:r>
      <w:proofErr w:type="spellEnd"/>
      <w:r w:rsidR="00F27E4F">
        <w:rPr>
          <w:lang w:val="fr-FR"/>
        </w:rPr>
        <w:t xml:space="preserve"> multiple surface </w:t>
      </w:r>
      <w:proofErr w:type="spellStart"/>
      <w:r w:rsidR="00F27E4F">
        <w:rPr>
          <w:lang w:val="fr-FR"/>
        </w:rPr>
        <w:t>roughness</w:t>
      </w:r>
      <w:proofErr w:type="spellEnd"/>
      <w:r w:rsidR="00F27E4F">
        <w:rPr>
          <w:lang w:val="fr-FR"/>
        </w:rPr>
        <w:t xml:space="preserve"> </w:t>
      </w:r>
      <w:proofErr w:type="spellStart"/>
      <w:r w:rsidR="00F27E4F">
        <w:rPr>
          <w:lang w:val="fr-FR"/>
        </w:rPr>
        <w:t>parameters</w:t>
      </w:r>
      <w:proofErr w:type="spellEnd"/>
      <w:r w:rsidR="00F27E4F">
        <w:rPr>
          <w:lang w:val="fr-FR"/>
        </w:rPr>
        <w:t xml:space="preserve"> </w:t>
      </w:r>
      <w:proofErr w:type="spellStart"/>
      <w:r w:rsidR="00F27E4F">
        <w:rPr>
          <w:lang w:val="fr-FR"/>
        </w:rPr>
        <w:t>simultaneously</w:t>
      </w:r>
      <w:proofErr w:type="spellEnd"/>
      <w:r>
        <w:rPr>
          <w:lang w:val="fr-FR"/>
        </w:rPr>
        <w:t xml:space="preserve"> : </w:t>
      </w:r>
      <w:r w:rsidR="00014259">
        <w:rPr>
          <w:lang w:val="fr-FR"/>
        </w:rPr>
        <w:t xml:space="preserve">i) </w:t>
      </w:r>
      <w:r w:rsidRPr="00100BA1">
        <w:rPr>
          <w:lang w:val="fr-FR"/>
        </w:rPr>
        <w:t>Blue Light</w:t>
      </w:r>
      <w:r w:rsidRPr="005C30FB">
        <w:rPr>
          <w:lang w:val="fr-FR"/>
        </w:rPr>
        <w:t xml:space="preserve"> </w:t>
      </w:r>
      <w:proofErr w:type="spellStart"/>
      <w:r w:rsidRPr="005C30FB">
        <w:rPr>
          <w:lang w:val="fr-FR"/>
        </w:rPr>
        <w:t>Interferomet</w:t>
      </w:r>
      <w:r w:rsidR="00AB4A53">
        <w:rPr>
          <w:lang w:val="fr-FR"/>
        </w:rPr>
        <w:t>er</w:t>
      </w:r>
      <w:proofErr w:type="spellEnd"/>
      <w:r w:rsidRPr="005C30FB">
        <w:rPr>
          <w:lang w:val="fr-FR"/>
        </w:rPr>
        <w:t xml:space="preserve"> (</w:t>
      </w:r>
      <w:proofErr w:type="spellStart"/>
      <w:r w:rsidRPr="005C30FB">
        <w:rPr>
          <w:lang w:val="fr-FR"/>
        </w:rPr>
        <w:t>MikroCAD</w:t>
      </w:r>
      <w:proofErr w:type="spellEnd"/>
      <w:r w:rsidRPr="005C30FB">
        <w:rPr>
          <w:lang w:val="fr-FR"/>
        </w:rPr>
        <w:t>, LMI Technologies).</w:t>
      </w:r>
      <w:r>
        <w:rPr>
          <w:lang w:val="fr-FR"/>
        </w:rPr>
        <w:t xml:space="preserve"> </w:t>
      </w:r>
      <w:proofErr w:type="spellStart"/>
      <w:r>
        <w:rPr>
          <w:lang w:val="fr-FR"/>
        </w:rPr>
        <w:t>Measurement</w:t>
      </w:r>
      <w:proofErr w:type="spellEnd"/>
      <w:r>
        <w:rPr>
          <w:lang w:val="fr-FR"/>
        </w:rPr>
        <w:t xml:space="preserve"> area 26 mm x 26 mm, </w:t>
      </w:r>
      <w:proofErr w:type="spellStart"/>
      <w:r>
        <w:rPr>
          <w:lang w:val="fr-FR"/>
        </w:rPr>
        <w:t>cut</w:t>
      </w:r>
      <w:proofErr w:type="spellEnd"/>
      <w:r>
        <w:rPr>
          <w:lang w:val="fr-FR"/>
        </w:rPr>
        <w:t xml:space="preserve">-off </w:t>
      </w:r>
      <w:proofErr w:type="spellStart"/>
      <w:r>
        <w:rPr>
          <w:lang w:val="fr-FR"/>
        </w:rPr>
        <w:t>wavelength</w:t>
      </w:r>
      <w:proofErr w:type="spellEnd"/>
      <w:r>
        <w:rPr>
          <w:lang w:val="fr-FR"/>
        </w:rPr>
        <w:t xml:space="preserve">  10mm</w:t>
      </w:r>
      <w:r w:rsidR="00014259">
        <w:rPr>
          <w:lang w:val="fr-FR"/>
        </w:rPr>
        <w:t xml:space="preserve">. ii) Optical surface profiling via </w:t>
      </w:r>
      <w:proofErr w:type="spellStart"/>
      <w:r w:rsidRPr="00100BA1">
        <w:rPr>
          <w:lang w:val="fr-FR"/>
        </w:rPr>
        <w:t>Alicona</w:t>
      </w:r>
      <w:proofErr w:type="spellEnd"/>
      <w:r w:rsidRPr="005C30FB">
        <w:rPr>
          <w:lang w:val="fr-FR"/>
        </w:rPr>
        <w:t xml:space="preserve"> </w:t>
      </w:r>
      <w:proofErr w:type="spellStart"/>
      <w:r w:rsidRPr="005C30FB">
        <w:rPr>
          <w:lang w:val="fr-FR"/>
        </w:rPr>
        <w:t>Infinite</w:t>
      </w:r>
      <w:proofErr w:type="spellEnd"/>
      <w:r w:rsidRPr="005C30FB">
        <w:rPr>
          <w:lang w:val="fr-FR"/>
        </w:rPr>
        <w:t xml:space="preserve"> Focus Microscope (</w:t>
      </w:r>
      <w:proofErr w:type="spellStart"/>
      <w:r w:rsidRPr="005C30FB">
        <w:rPr>
          <w:lang w:val="fr-FR"/>
        </w:rPr>
        <w:t>Alicona</w:t>
      </w:r>
      <w:proofErr w:type="spellEnd"/>
      <w:r w:rsidRPr="005C30FB">
        <w:rPr>
          <w:lang w:val="fr-FR"/>
        </w:rPr>
        <w:t xml:space="preserve"> </w:t>
      </w:r>
      <w:proofErr w:type="spellStart"/>
      <w:r w:rsidRPr="005C30FB">
        <w:rPr>
          <w:lang w:val="fr-FR"/>
        </w:rPr>
        <w:t>GmbH</w:t>
      </w:r>
      <w:proofErr w:type="spellEnd"/>
      <w:r w:rsidRPr="005C30FB">
        <w:rPr>
          <w:lang w:val="fr-FR"/>
        </w:rPr>
        <w:t>).</w:t>
      </w:r>
    </w:p>
    <w:p w14:paraId="29B9B529" w14:textId="51B239EE" w:rsidR="005C30FB" w:rsidRDefault="00014259" w:rsidP="00100BA1">
      <w:pPr>
        <w:rPr>
          <w:lang w:val="fr-FR"/>
        </w:rPr>
      </w:pPr>
      <w:r>
        <w:rPr>
          <w:lang w:val="fr-FR"/>
        </w:rPr>
        <w:t xml:space="preserve">The </w:t>
      </w:r>
      <w:r w:rsidR="005C30FB">
        <w:rPr>
          <w:lang w:val="fr-FR"/>
        </w:rPr>
        <w:t xml:space="preserve">area </w:t>
      </w:r>
      <w:proofErr w:type="spellStart"/>
      <w:r>
        <w:rPr>
          <w:lang w:val="fr-FR"/>
        </w:rPr>
        <w:t>image</w:t>
      </w:r>
      <w:r w:rsidR="00F27E4F">
        <w:rPr>
          <w:lang w:val="fr-FR"/>
        </w:rPr>
        <w:t>d</w:t>
      </w:r>
      <w:proofErr w:type="spellEnd"/>
      <w:r>
        <w:rPr>
          <w:lang w:val="fr-FR"/>
        </w:rPr>
        <w:t xml:space="preserve"> </w:t>
      </w:r>
      <w:proofErr w:type="spellStart"/>
      <w:r>
        <w:rPr>
          <w:lang w:val="fr-FR"/>
        </w:rPr>
        <w:t>is</w:t>
      </w:r>
      <w:proofErr w:type="spellEnd"/>
      <w:r>
        <w:rPr>
          <w:lang w:val="fr-FR"/>
        </w:rPr>
        <w:t xml:space="preserve"> </w:t>
      </w:r>
      <w:proofErr w:type="spellStart"/>
      <w:r w:rsidR="005C30FB">
        <w:rPr>
          <w:lang w:val="fr-FR"/>
        </w:rPr>
        <w:t>defined</w:t>
      </w:r>
      <w:proofErr w:type="spellEnd"/>
      <w:r w:rsidR="005C30FB">
        <w:rPr>
          <w:lang w:val="fr-FR"/>
        </w:rPr>
        <w:t xml:space="preserve"> by objective power (5x, 10x or 20x)</w:t>
      </w:r>
      <w:r>
        <w:rPr>
          <w:lang w:val="fr-FR"/>
        </w:rPr>
        <w:t xml:space="preserve">. </w:t>
      </w:r>
      <w:r w:rsidR="000508E1">
        <w:rPr>
          <w:lang w:val="fr-FR"/>
        </w:rPr>
        <w:t xml:space="preserve">The </w:t>
      </w:r>
      <w:r w:rsidR="00BD7848">
        <w:rPr>
          <w:lang w:val="fr-FR"/>
        </w:rPr>
        <w:t>relevant</w:t>
      </w:r>
      <w:r w:rsidR="000508E1">
        <w:rPr>
          <w:lang w:val="fr-FR"/>
        </w:rPr>
        <w:t xml:space="preserve"> surface </w:t>
      </w:r>
      <w:proofErr w:type="spellStart"/>
      <w:r w:rsidR="000508E1">
        <w:rPr>
          <w:lang w:val="fr-FR"/>
        </w:rPr>
        <w:t>roughness</w:t>
      </w:r>
      <w:proofErr w:type="spellEnd"/>
      <w:r w:rsidR="000508E1">
        <w:rPr>
          <w:lang w:val="fr-FR"/>
        </w:rPr>
        <w:t xml:space="preserve"> </w:t>
      </w:r>
      <w:proofErr w:type="spellStart"/>
      <w:r w:rsidR="000508E1">
        <w:rPr>
          <w:lang w:val="fr-FR"/>
        </w:rPr>
        <w:t>parameters</w:t>
      </w:r>
      <w:proofErr w:type="spellEnd"/>
      <w:r w:rsidR="000508E1">
        <w:rPr>
          <w:lang w:val="fr-FR"/>
        </w:rPr>
        <w:t xml:space="preserve"> are the </w:t>
      </w:r>
      <w:proofErr w:type="spellStart"/>
      <w:r w:rsidR="00BD7848">
        <w:rPr>
          <w:lang w:val="fr-FR"/>
        </w:rPr>
        <w:t>arithmetical</w:t>
      </w:r>
      <w:proofErr w:type="spellEnd"/>
      <w:r w:rsidR="00BD7848">
        <w:rPr>
          <w:lang w:val="fr-FR"/>
        </w:rPr>
        <w:t xml:space="preserve"> </w:t>
      </w:r>
      <w:proofErr w:type="spellStart"/>
      <w:r w:rsidR="00BD7848">
        <w:rPr>
          <w:lang w:val="fr-FR"/>
        </w:rPr>
        <w:t>mean</w:t>
      </w:r>
      <w:proofErr w:type="spellEnd"/>
      <w:r w:rsidR="00BD7848">
        <w:rPr>
          <w:lang w:val="fr-FR"/>
        </w:rPr>
        <w:t xml:space="preserve"> </w:t>
      </w:r>
      <w:proofErr w:type="spellStart"/>
      <w:r w:rsidR="00BD7848">
        <w:rPr>
          <w:lang w:val="fr-FR"/>
        </w:rPr>
        <w:t>height</w:t>
      </w:r>
      <w:proofErr w:type="spellEnd"/>
      <w:r w:rsidR="00BD7848">
        <w:rPr>
          <w:lang w:val="fr-FR"/>
        </w:rPr>
        <w:t xml:space="preserve"> (Sa) and the maximum </w:t>
      </w:r>
      <w:proofErr w:type="spellStart"/>
      <w:r w:rsidR="00BD7848">
        <w:rPr>
          <w:lang w:val="fr-FR"/>
        </w:rPr>
        <w:t>peak</w:t>
      </w:r>
      <w:proofErr w:type="spellEnd"/>
      <w:r w:rsidR="00BD7848">
        <w:rPr>
          <w:lang w:val="fr-FR"/>
        </w:rPr>
        <w:t>-to-</w:t>
      </w:r>
      <w:proofErr w:type="spellStart"/>
      <w:r w:rsidR="00BD7848">
        <w:rPr>
          <w:lang w:val="fr-FR"/>
        </w:rPr>
        <w:t>trough</w:t>
      </w:r>
      <w:proofErr w:type="spellEnd"/>
      <w:r w:rsidR="00BD7848">
        <w:rPr>
          <w:lang w:val="fr-FR"/>
        </w:rPr>
        <w:t xml:space="preserve"> </w:t>
      </w:r>
      <w:proofErr w:type="spellStart"/>
      <w:r w:rsidR="00BD7848">
        <w:rPr>
          <w:lang w:val="fr-FR"/>
        </w:rPr>
        <w:t>height</w:t>
      </w:r>
      <w:proofErr w:type="spellEnd"/>
      <w:r w:rsidR="00BD7848">
        <w:rPr>
          <w:lang w:val="fr-FR"/>
        </w:rPr>
        <w:t xml:space="preserve"> (</w:t>
      </w:r>
      <w:proofErr w:type="spellStart"/>
      <w:r w:rsidR="00BD7848">
        <w:rPr>
          <w:lang w:val="fr-FR"/>
        </w:rPr>
        <w:t>Sz</w:t>
      </w:r>
      <w:proofErr w:type="spellEnd"/>
      <w:r w:rsidR="00BD7848">
        <w:rPr>
          <w:lang w:val="fr-FR"/>
        </w:rPr>
        <w:t xml:space="preserve">) for </w:t>
      </w:r>
      <w:r w:rsidR="00110EEC">
        <w:rPr>
          <w:lang w:val="fr-FR"/>
        </w:rPr>
        <w:t>the</w:t>
      </w:r>
      <w:r w:rsidR="00BD7848">
        <w:rPr>
          <w:lang w:val="fr-FR"/>
        </w:rPr>
        <w:t xml:space="preserve"> </w:t>
      </w:r>
      <w:proofErr w:type="spellStart"/>
      <w:r w:rsidR="00110EEC">
        <w:rPr>
          <w:lang w:val="fr-FR"/>
        </w:rPr>
        <w:t>defined</w:t>
      </w:r>
      <w:proofErr w:type="spellEnd"/>
      <w:r w:rsidR="00BD7848">
        <w:rPr>
          <w:lang w:val="fr-FR"/>
        </w:rPr>
        <w:t xml:space="preserve"> area. The </w:t>
      </w:r>
      <w:proofErr w:type="spellStart"/>
      <w:r w:rsidR="00BD7848">
        <w:rPr>
          <w:lang w:val="fr-FR"/>
        </w:rPr>
        <w:t>corresponding</w:t>
      </w:r>
      <w:proofErr w:type="spellEnd"/>
      <w:r w:rsidR="00BD7848">
        <w:rPr>
          <w:lang w:val="fr-FR"/>
        </w:rPr>
        <w:t xml:space="preserve"> </w:t>
      </w:r>
      <w:proofErr w:type="spellStart"/>
      <w:r w:rsidR="00BD7848">
        <w:rPr>
          <w:lang w:val="fr-FR"/>
        </w:rPr>
        <w:t>parameters</w:t>
      </w:r>
      <w:proofErr w:type="spellEnd"/>
      <w:r w:rsidR="00BD7848">
        <w:rPr>
          <w:lang w:val="fr-FR"/>
        </w:rPr>
        <w:t xml:space="preserve"> for a </w:t>
      </w:r>
      <w:proofErr w:type="spellStart"/>
      <w:r w:rsidR="00BD7848">
        <w:rPr>
          <w:lang w:val="fr-FR"/>
        </w:rPr>
        <w:t>linear</w:t>
      </w:r>
      <w:proofErr w:type="spellEnd"/>
      <w:r w:rsidR="00BD7848">
        <w:rPr>
          <w:lang w:val="fr-FR"/>
        </w:rPr>
        <w:t xml:space="preserve"> </w:t>
      </w:r>
      <w:r w:rsidR="00752490">
        <w:rPr>
          <w:lang w:val="fr-FR"/>
        </w:rPr>
        <w:t xml:space="preserve">surface </w:t>
      </w:r>
      <w:r w:rsidR="00BD7848">
        <w:rPr>
          <w:lang w:val="fr-FR"/>
        </w:rPr>
        <w:t>profile</w:t>
      </w:r>
      <w:r w:rsidR="00110EEC">
        <w:rPr>
          <w:lang w:val="fr-FR"/>
        </w:rPr>
        <w:t xml:space="preserve"> </w:t>
      </w:r>
      <w:proofErr w:type="spellStart"/>
      <w:r w:rsidR="00110EEC">
        <w:rPr>
          <w:lang w:val="fr-FR"/>
        </w:rPr>
        <w:t>between</w:t>
      </w:r>
      <w:proofErr w:type="spellEnd"/>
      <w:r w:rsidR="00110EEC">
        <w:rPr>
          <w:lang w:val="fr-FR"/>
        </w:rPr>
        <w:t xml:space="preserve"> </w:t>
      </w:r>
      <w:proofErr w:type="spellStart"/>
      <w:r w:rsidR="00110EEC">
        <w:rPr>
          <w:lang w:val="fr-FR"/>
        </w:rPr>
        <w:t>two</w:t>
      </w:r>
      <w:proofErr w:type="spellEnd"/>
      <w:r w:rsidR="00110EEC">
        <w:rPr>
          <w:lang w:val="fr-FR"/>
        </w:rPr>
        <w:t xml:space="preserve"> points</w:t>
      </w:r>
      <w:r w:rsidR="00BD7848">
        <w:rPr>
          <w:lang w:val="fr-FR"/>
        </w:rPr>
        <w:t xml:space="preserve"> are Ra and </w:t>
      </w:r>
      <w:proofErr w:type="spellStart"/>
      <w:r w:rsidR="00BD7848">
        <w:rPr>
          <w:lang w:val="fr-FR"/>
        </w:rPr>
        <w:t>R</w:t>
      </w:r>
      <w:r w:rsidR="00752490">
        <w:rPr>
          <w:lang w:val="fr-FR"/>
        </w:rPr>
        <w:t>t</w:t>
      </w:r>
      <w:proofErr w:type="spellEnd"/>
      <w:r w:rsidR="00BD7848">
        <w:rPr>
          <w:lang w:val="fr-FR"/>
        </w:rPr>
        <w:t xml:space="preserve">. </w:t>
      </w:r>
      <w:r w:rsidR="00B7554F">
        <w:rPr>
          <w:lang w:val="fr-FR"/>
        </w:rPr>
        <w:t>The</w:t>
      </w:r>
      <w:r w:rsidR="00BD7848">
        <w:rPr>
          <w:lang w:val="fr-FR"/>
        </w:rPr>
        <w:t xml:space="preserve"> </w:t>
      </w:r>
      <w:proofErr w:type="spellStart"/>
      <w:r w:rsidR="005C30FB">
        <w:rPr>
          <w:lang w:val="fr-FR"/>
        </w:rPr>
        <w:t>correlation</w:t>
      </w:r>
      <w:proofErr w:type="spellEnd"/>
      <w:r w:rsidR="005C30FB">
        <w:rPr>
          <w:lang w:val="fr-FR"/>
        </w:rPr>
        <w:t xml:space="preserve"> </w:t>
      </w:r>
      <w:proofErr w:type="spellStart"/>
      <w:r w:rsidR="005C30FB">
        <w:rPr>
          <w:lang w:val="fr-FR"/>
        </w:rPr>
        <w:t>between</w:t>
      </w:r>
      <w:proofErr w:type="spellEnd"/>
      <w:r w:rsidR="005C30FB">
        <w:rPr>
          <w:lang w:val="fr-FR"/>
        </w:rPr>
        <w:t xml:space="preserve"> </w:t>
      </w:r>
      <w:r w:rsidR="00BD7848">
        <w:rPr>
          <w:lang w:val="fr-FR"/>
        </w:rPr>
        <w:t xml:space="preserve">Sa values </w:t>
      </w:r>
      <w:proofErr w:type="spellStart"/>
      <w:r w:rsidR="00BD7848">
        <w:rPr>
          <w:lang w:val="fr-FR"/>
        </w:rPr>
        <w:t>obtained</w:t>
      </w:r>
      <w:proofErr w:type="spellEnd"/>
      <w:r w:rsidR="00BD7848">
        <w:rPr>
          <w:lang w:val="fr-FR"/>
        </w:rPr>
        <w:t xml:space="preserve"> by </w:t>
      </w:r>
      <w:r w:rsidR="005C30FB">
        <w:rPr>
          <w:lang w:val="fr-FR"/>
        </w:rPr>
        <w:t xml:space="preserve">the </w:t>
      </w:r>
      <w:proofErr w:type="spellStart"/>
      <w:r w:rsidR="00F27E4F">
        <w:rPr>
          <w:lang w:val="fr-FR"/>
        </w:rPr>
        <w:t>two</w:t>
      </w:r>
      <w:proofErr w:type="spellEnd"/>
      <w:r w:rsidR="00F27E4F">
        <w:rPr>
          <w:lang w:val="fr-FR"/>
        </w:rPr>
        <w:t xml:space="preserve"> </w:t>
      </w:r>
      <w:proofErr w:type="spellStart"/>
      <w:r w:rsidR="00F27E4F">
        <w:rPr>
          <w:lang w:val="fr-FR"/>
        </w:rPr>
        <w:t>different</w:t>
      </w:r>
      <w:proofErr w:type="spellEnd"/>
      <w:r w:rsidR="00F27E4F">
        <w:rPr>
          <w:lang w:val="fr-FR"/>
        </w:rPr>
        <w:t xml:space="preserve"> </w:t>
      </w:r>
      <w:proofErr w:type="spellStart"/>
      <w:r w:rsidR="005C30FB">
        <w:rPr>
          <w:lang w:val="fr-FR"/>
        </w:rPr>
        <w:t>measuring</w:t>
      </w:r>
      <w:proofErr w:type="spellEnd"/>
      <w:r w:rsidR="005C30FB">
        <w:rPr>
          <w:lang w:val="fr-FR"/>
        </w:rPr>
        <w:t xml:space="preserve"> </w:t>
      </w:r>
      <w:r w:rsidR="00BD7848">
        <w:rPr>
          <w:lang w:val="fr-FR"/>
        </w:rPr>
        <w:t xml:space="preserve">instruments </w:t>
      </w:r>
      <w:proofErr w:type="spellStart"/>
      <w:r>
        <w:rPr>
          <w:lang w:val="fr-FR"/>
        </w:rPr>
        <w:t>was</w:t>
      </w:r>
      <w:proofErr w:type="spellEnd"/>
      <w:r w:rsidR="005C30FB">
        <w:rPr>
          <w:lang w:val="fr-FR"/>
        </w:rPr>
        <w:t>:</w:t>
      </w:r>
    </w:p>
    <w:p w14:paraId="72BC748B" w14:textId="793656ED" w:rsidR="005C30FB" w:rsidRPr="00DC77B0" w:rsidRDefault="005C30FB" w:rsidP="00100BA1">
      <w:pPr>
        <w:ind w:left="720" w:firstLine="720"/>
      </w:pPr>
      <w:r>
        <w:rPr>
          <w:lang w:val="fr-FR"/>
        </w:rPr>
        <w:t xml:space="preserve">Sa </w:t>
      </w:r>
      <w:r w:rsidRPr="00C2413A">
        <w:rPr>
          <w:sz w:val="20"/>
          <w:szCs w:val="20"/>
          <w:vertAlign w:val="subscript"/>
          <w:lang w:val="fr-FR"/>
        </w:rPr>
        <w:t>ALICONA</w:t>
      </w:r>
      <w:r w:rsidR="00014259">
        <w:rPr>
          <w:sz w:val="20"/>
          <w:szCs w:val="20"/>
          <w:lang w:val="fr-FR"/>
        </w:rPr>
        <w:t xml:space="preserve"> (</w:t>
      </w:r>
      <w:r w:rsidR="00014259">
        <w:rPr>
          <w:lang w:val="fr-FR"/>
        </w:rPr>
        <w:sym w:font="Symbol" w:char="F06D"/>
      </w:r>
      <w:r w:rsidR="00014259">
        <w:rPr>
          <w:lang w:val="fr-FR"/>
        </w:rPr>
        <w:t>m)</w:t>
      </w:r>
      <w:r>
        <w:rPr>
          <w:lang w:val="fr-FR"/>
        </w:rPr>
        <w:t xml:space="preserve"> = 0.882 x Sa </w:t>
      </w:r>
      <w:r w:rsidRPr="00C2413A">
        <w:rPr>
          <w:sz w:val="20"/>
          <w:szCs w:val="20"/>
          <w:vertAlign w:val="subscript"/>
          <w:lang w:val="fr-FR"/>
        </w:rPr>
        <w:t>BLUE LIGHT</w:t>
      </w:r>
      <w:r>
        <w:rPr>
          <w:lang w:val="fr-FR"/>
        </w:rPr>
        <w:tab/>
      </w:r>
      <w:r w:rsidR="00014259">
        <w:rPr>
          <w:lang w:val="fr-FR"/>
        </w:rPr>
        <w:t>(</w:t>
      </w:r>
      <w:r w:rsidR="00014259">
        <w:rPr>
          <w:lang w:val="fr-FR"/>
        </w:rPr>
        <w:sym w:font="Symbol" w:char="F06D"/>
      </w:r>
      <w:r w:rsidR="00014259">
        <w:rPr>
          <w:lang w:val="fr-FR"/>
        </w:rPr>
        <w:t>m)</w:t>
      </w:r>
      <w:r>
        <w:rPr>
          <w:lang w:val="fr-FR"/>
        </w:rPr>
        <w:tab/>
      </w:r>
      <w:r w:rsidR="00014259">
        <w:rPr>
          <w:lang w:val="fr-FR"/>
        </w:rPr>
        <w:t xml:space="preserve"> </w:t>
      </w:r>
      <w:r>
        <w:rPr>
          <w:lang w:val="fr-FR"/>
        </w:rPr>
        <w:t>r</w:t>
      </w:r>
      <w:r w:rsidRPr="00C2413A">
        <w:rPr>
          <w:vertAlign w:val="superscript"/>
          <w:lang w:val="fr-FR"/>
        </w:rPr>
        <w:t>2</w:t>
      </w:r>
      <w:r>
        <w:rPr>
          <w:lang w:val="fr-FR"/>
        </w:rPr>
        <w:t xml:space="preserve"> = 0.992</w:t>
      </w:r>
    </w:p>
    <w:p w14:paraId="315BC744" w14:textId="77777777" w:rsidR="0002175A" w:rsidRPr="003D2D14" w:rsidRDefault="0002175A" w:rsidP="00540348">
      <w:pPr>
        <w:pStyle w:val="Heading2"/>
        <w:rPr>
          <w:rFonts w:cs="Times New Roman"/>
        </w:rPr>
      </w:pPr>
      <w:r w:rsidRPr="003D2D14">
        <w:rPr>
          <w:rFonts w:cs="Times New Roman"/>
        </w:rPr>
        <w:lastRenderedPageBreak/>
        <w:t>Marine coatings</w:t>
      </w:r>
    </w:p>
    <w:p w14:paraId="04CB86BE" w14:textId="54437661" w:rsidR="00056A56" w:rsidRDefault="0002175A" w:rsidP="00056A56">
      <w:pPr>
        <w:spacing w:before="100" w:beforeAutospacing="1" w:after="100" w:afterAutospacing="1"/>
        <w:rPr>
          <w:sz w:val="22"/>
          <w:szCs w:val="22"/>
        </w:rPr>
      </w:pPr>
      <w:r w:rsidRPr="00DC77B0">
        <w:t xml:space="preserve">Four commercial marine coatings produced by AkzoNobel were applied by spray to the front faces only of discs. </w:t>
      </w:r>
      <w:r w:rsidR="00056A56">
        <w:t xml:space="preserve">Each coating layer was applied with an average dry thickness of approximately 100 µm -150 µm. </w:t>
      </w:r>
    </w:p>
    <w:p w14:paraId="28F84B81" w14:textId="0EFCDFD3" w:rsidR="0002175A" w:rsidRPr="00DC77B0" w:rsidRDefault="0002175A" w:rsidP="00540348">
      <w:r w:rsidRPr="00DC77B0">
        <w:t>The coating types were:</w:t>
      </w:r>
    </w:p>
    <w:p w14:paraId="5875587F" w14:textId="77777777" w:rsidR="0002175A" w:rsidRPr="00DC77B0" w:rsidRDefault="0002175A" w:rsidP="00540348"/>
    <w:p w14:paraId="28D0E8AA" w14:textId="4959CA57" w:rsidR="0002175A" w:rsidRPr="00DC77B0" w:rsidRDefault="0002175A" w:rsidP="00540348">
      <w:r w:rsidRPr="00DC77B0">
        <w:t>ACP</w:t>
      </w:r>
      <w:r w:rsidR="0074585A">
        <w:t xml:space="preserve"> </w:t>
      </w:r>
      <w:r w:rsidR="0074585A" w:rsidRPr="00DC77B0">
        <w:t>(Control)</w:t>
      </w:r>
      <w:r w:rsidRPr="00DC77B0">
        <w:t xml:space="preserve">: </w:t>
      </w:r>
      <w:proofErr w:type="spellStart"/>
      <w:r w:rsidRPr="00DC77B0">
        <w:t>Intershield</w:t>
      </w:r>
      <w:proofErr w:type="spellEnd"/>
      <w:r w:rsidRPr="00DC77B0">
        <w:t>® 300, a</w:t>
      </w:r>
      <w:r w:rsidR="0074585A">
        <w:t xml:space="preserve"> hard</w:t>
      </w:r>
      <w:r w:rsidRPr="00DC77B0">
        <w:t xml:space="preserve"> </w:t>
      </w:r>
      <w:r w:rsidRPr="00DC77B0">
        <w:rPr>
          <w:u w:val="single"/>
        </w:rPr>
        <w:t>A</w:t>
      </w:r>
      <w:r w:rsidRPr="00DC77B0">
        <w:t>nti-</w:t>
      </w:r>
      <w:r w:rsidRPr="00DC77B0">
        <w:rPr>
          <w:u w:val="single"/>
        </w:rPr>
        <w:t>C</w:t>
      </w:r>
      <w:r w:rsidRPr="00DC77B0">
        <w:t xml:space="preserve">orrosive </w:t>
      </w:r>
      <w:r w:rsidRPr="00DC77B0">
        <w:rPr>
          <w:u w:val="single"/>
        </w:rPr>
        <w:t>P</w:t>
      </w:r>
      <w:r w:rsidRPr="00DC77B0">
        <w:t xml:space="preserve">aint </w:t>
      </w:r>
      <w:r w:rsidR="002E6040" w:rsidRPr="00DC77B0">
        <w:t>with no anticipated fouling control properties</w:t>
      </w:r>
    </w:p>
    <w:p w14:paraId="717A8424" w14:textId="77777777" w:rsidR="0002175A" w:rsidRPr="00DC77B0" w:rsidRDefault="0002175A" w:rsidP="00540348">
      <w:r w:rsidRPr="00DC77B0">
        <w:t xml:space="preserve">FRC: </w:t>
      </w:r>
      <w:proofErr w:type="spellStart"/>
      <w:r w:rsidRPr="00DC77B0">
        <w:t>Intersleek</w:t>
      </w:r>
      <w:proofErr w:type="spellEnd"/>
      <w:r w:rsidRPr="00DC77B0">
        <w:t xml:space="preserve">® 700, a first-generation silicone </w:t>
      </w:r>
      <w:r w:rsidRPr="00DC77B0">
        <w:rPr>
          <w:u w:val="single"/>
        </w:rPr>
        <w:t>F</w:t>
      </w:r>
      <w:r w:rsidRPr="00DC77B0">
        <w:t xml:space="preserve">oul </w:t>
      </w:r>
      <w:r w:rsidRPr="00DC77B0">
        <w:rPr>
          <w:u w:val="single"/>
        </w:rPr>
        <w:t>R</w:t>
      </w:r>
      <w:r w:rsidRPr="00DC77B0">
        <w:t xml:space="preserve">elease </w:t>
      </w:r>
      <w:r w:rsidRPr="00DC77B0">
        <w:rPr>
          <w:u w:val="single"/>
        </w:rPr>
        <w:t>C</w:t>
      </w:r>
      <w:r w:rsidRPr="00DC77B0">
        <w:t>oating</w:t>
      </w:r>
    </w:p>
    <w:p w14:paraId="042C56BD" w14:textId="77777777" w:rsidR="0002175A" w:rsidRPr="00DC77B0" w:rsidRDefault="0002175A" w:rsidP="00540348">
      <w:r w:rsidRPr="00DC77B0">
        <w:t xml:space="preserve">CDP: </w:t>
      </w:r>
      <w:proofErr w:type="spellStart"/>
      <w:r w:rsidRPr="00DC77B0">
        <w:t>Interspeed</w:t>
      </w:r>
      <w:proofErr w:type="spellEnd"/>
      <w:r w:rsidRPr="00DC77B0">
        <w:t xml:space="preserve">® 6200, a TBT free, </w:t>
      </w:r>
      <w:r w:rsidRPr="00DC77B0">
        <w:rPr>
          <w:u w:val="single"/>
        </w:rPr>
        <w:t>C</w:t>
      </w:r>
      <w:r w:rsidRPr="00DC77B0">
        <w:t xml:space="preserve">ontrolled </w:t>
      </w:r>
      <w:r w:rsidRPr="00DC77B0">
        <w:rPr>
          <w:u w:val="single"/>
        </w:rPr>
        <w:t>D</w:t>
      </w:r>
      <w:r w:rsidRPr="00DC77B0">
        <w:t xml:space="preserve">epletion </w:t>
      </w:r>
      <w:r w:rsidRPr="00DC77B0">
        <w:rPr>
          <w:u w:val="single"/>
        </w:rPr>
        <w:t>P</w:t>
      </w:r>
      <w:r w:rsidRPr="00DC77B0">
        <w:t>olymer self-polishing antifouling system</w:t>
      </w:r>
    </w:p>
    <w:p w14:paraId="3408354D" w14:textId="77777777" w:rsidR="0002175A" w:rsidRPr="00DC77B0" w:rsidRDefault="0002175A" w:rsidP="00540348">
      <w:r w:rsidRPr="00DC77B0">
        <w:t xml:space="preserve">SPC:  </w:t>
      </w:r>
      <w:proofErr w:type="spellStart"/>
      <w:r w:rsidRPr="00DC77B0">
        <w:t>Intersmooth</w:t>
      </w:r>
      <w:proofErr w:type="spellEnd"/>
      <w:r w:rsidRPr="00DC77B0">
        <w:t xml:space="preserve">® 7460HS SPC, a TBT free, </w:t>
      </w:r>
      <w:r w:rsidRPr="00DC77B0">
        <w:rPr>
          <w:bCs/>
          <w:u w:val="single"/>
        </w:rPr>
        <w:t>S</w:t>
      </w:r>
      <w:r w:rsidRPr="00DC77B0">
        <w:rPr>
          <w:bCs/>
        </w:rPr>
        <w:t>elf-</w:t>
      </w:r>
      <w:r w:rsidRPr="00DC77B0">
        <w:rPr>
          <w:bCs/>
          <w:u w:val="single"/>
        </w:rPr>
        <w:t>P</w:t>
      </w:r>
      <w:r w:rsidRPr="00DC77B0">
        <w:rPr>
          <w:bCs/>
        </w:rPr>
        <w:t xml:space="preserve">olishing </w:t>
      </w:r>
      <w:r w:rsidRPr="00DC77B0">
        <w:rPr>
          <w:bCs/>
          <w:u w:val="single"/>
        </w:rPr>
        <w:t>C</w:t>
      </w:r>
      <w:r w:rsidRPr="00DC77B0">
        <w:rPr>
          <w:bCs/>
        </w:rPr>
        <w:t>opolymer</w:t>
      </w:r>
      <w:r w:rsidRPr="00DC77B0">
        <w:rPr>
          <w:b/>
          <w:bCs/>
        </w:rPr>
        <w:t xml:space="preserve"> </w:t>
      </w:r>
      <w:r w:rsidRPr="00DC77B0">
        <w:rPr>
          <w:bCs/>
        </w:rPr>
        <w:t>antifouling</w:t>
      </w:r>
    </w:p>
    <w:p w14:paraId="5C128D0A" w14:textId="77777777" w:rsidR="009F5333" w:rsidRPr="003D2D14" w:rsidRDefault="009F5333" w:rsidP="009F5333">
      <w:pPr>
        <w:pStyle w:val="Heading2"/>
        <w:rPr>
          <w:rFonts w:cs="Times New Roman"/>
        </w:rPr>
      </w:pPr>
      <w:r w:rsidRPr="003D2D14">
        <w:rPr>
          <w:rFonts w:cs="Times New Roman"/>
        </w:rPr>
        <w:t>Control discs</w:t>
      </w:r>
    </w:p>
    <w:p w14:paraId="4EB9934C" w14:textId="76D5323B" w:rsidR="009F5333" w:rsidRDefault="009F5333" w:rsidP="009F5333">
      <w:r w:rsidRPr="00DC77B0">
        <w:t xml:space="preserve">Duplicate Delrin discs coated with </w:t>
      </w:r>
      <w:r>
        <w:t>the ACP control</w:t>
      </w:r>
      <w:r w:rsidRPr="00DC77B0">
        <w:t xml:space="preserve"> </w:t>
      </w:r>
      <w:r w:rsidR="002A2136">
        <w:t>gave</w:t>
      </w:r>
      <w:r w:rsidRPr="00DC77B0">
        <w:t xml:space="preserve"> </w:t>
      </w:r>
      <w:r w:rsidR="005C30FB">
        <w:t>similar torque</w:t>
      </w:r>
      <w:r w:rsidRPr="00DC77B0">
        <w:t xml:space="preserve"> responses, with mean standard deviation of 1.1</w:t>
      </w:r>
      <w:r w:rsidR="00110EEC">
        <w:t xml:space="preserve"> </w:t>
      </w:r>
      <w:r w:rsidRPr="00DC77B0">
        <w:t>% (n = 24) over the whole rotational velocity range. The mean corrected one-face torque value (</w:t>
      </w:r>
      <w:r w:rsidRPr="00DC77B0">
        <w:rPr>
          <w:i/>
        </w:rPr>
        <w:t>M</w:t>
      </w:r>
      <w:r w:rsidRPr="00DC77B0">
        <w:rPr>
          <w:i/>
          <w:vertAlign w:val="subscript"/>
        </w:rPr>
        <w:t>1</w:t>
      </w:r>
      <w:r w:rsidRPr="00DC77B0">
        <w:t xml:space="preserve"> Blank) of these discs acts as the control for the fouling exposure trials.</w:t>
      </w:r>
    </w:p>
    <w:p w14:paraId="2D244B42" w14:textId="2232BB04" w:rsidR="009F5333" w:rsidRPr="001D089C" w:rsidRDefault="00655C8C" w:rsidP="00100BA1">
      <w:pPr>
        <w:pStyle w:val="Heading2"/>
      </w:pPr>
      <w:r w:rsidRPr="001D089C">
        <w:rPr>
          <w:rFonts w:cs="Times New Roman"/>
        </w:rPr>
        <w:t>Marine fouling exposure</w:t>
      </w:r>
    </w:p>
    <w:p w14:paraId="0546FD02" w14:textId="7DFAEB11" w:rsidR="0002175A" w:rsidRDefault="0002175A" w:rsidP="00540348">
      <w:r w:rsidRPr="00DC77B0">
        <w:t>After drying/curing</w:t>
      </w:r>
      <w:r w:rsidR="000F455B">
        <w:t xml:space="preserve"> of the applied coatings</w:t>
      </w:r>
      <w:r w:rsidRPr="00DC77B0">
        <w:t xml:space="preserve">, </w:t>
      </w:r>
      <w:r w:rsidR="00D96491">
        <w:t xml:space="preserve">the surface roughness was measured by blue light </w:t>
      </w:r>
      <w:r w:rsidR="00D96491" w:rsidRPr="007E3C5F">
        <w:t>interferometry (</w:t>
      </w:r>
      <w:r w:rsidR="002847BA" w:rsidRPr="007E3C5F">
        <w:t>S</w:t>
      </w:r>
      <w:r w:rsidR="005C30FB" w:rsidRPr="00100BA1">
        <w:t>1</w:t>
      </w:r>
      <w:r w:rsidR="004C1839">
        <w:t>.1</w:t>
      </w:r>
      <w:r w:rsidR="00D96491" w:rsidRPr="007E3C5F">
        <w:t>)</w:t>
      </w:r>
      <w:r w:rsidR="00EC4617">
        <w:t xml:space="preserve"> and the torque of all discs was measured using the rheometer</w:t>
      </w:r>
      <w:r w:rsidR="00D96491">
        <w:t>. T</w:t>
      </w:r>
      <w:r w:rsidRPr="00DC77B0">
        <w:t xml:space="preserve">he coated discs were </w:t>
      </w:r>
      <w:r w:rsidR="004A5620">
        <w:t>attached</w:t>
      </w:r>
      <w:r w:rsidR="004A5620" w:rsidRPr="00DC77B0">
        <w:t xml:space="preserve"> </w:t>
      </w:r>
      <w:r w:rsidRPr="00DC77B0">
        <w:t>to four submersible Delrin sample boards in machined recesses which held the disc faces flush with the board surface</w:t>
      </w:r>
      <w:r w:rsidR="00670CD3">
        <w:t xml:space="preserve"> (Fig. 4)</w:t>
      </w:r>
      <w:r w:rsidRPr="00DC77B0">
        <w:t xml:space="preserve">. Each sample board bearing six </w:t>
      </w:r>
      <w:r w:rsidR="00BF3B04" w:rsidRPr="00DC77B0">
        <w:t xml:space="preserve">duplicates </w:t>
      </w:r>
      <w:r w:rsidRPr="00DC77B0">
        <w:t xml:space="preserve">of all four coatings (total 24 discs) was exposed to fouling in the sea for a period of </w:t>
      </w:r>
      <w:r w:rsidRPr="00DC77B0">
        <w:lastRenderedPageBreak/>
        <w:t xml:space="preserve">up to 176 days between February and August 2016. </w:t>
      </w:r>
      <w:r w:rsidR="000F455B" w:rsidRPr="00DC77B0">
        <w:t xml:space="preserve">Discs were arranged randomly on each of the four backboards to eliminate spatial effects. </w:t>
      </w:r>
      <w:r w:rsidRPr="00DC77B0">
        <w:t>The</w:t>
      </w:r>
      <w:r w:rsidR="000F455B">
        <w:t xml:space="preserve"> boards</w:t>
      </w:r>
      <w:r w:rsidRPr="00DC77B0">
        <w:t xml:space="preserve"> were immersed from a floating pontoon at the National Oceanography Centre Southampton UK (NOCS</w:t>
      </w:r>
      <w:r w:rsidR="00D90284">
        <w:t>)</w:t>
      </w:r>
      <w:r w:rsidR="007F65FA">
        <w:t>,</w:t>
      </w:r>
      <w:r w:rsidR="00D90284">
        <w:t xml:space="preserve"> location 50</w:t>
      </w:r>
      <w:r w:rsidR="007F65FA">
        <w:t>°</w:t>
      </w:r>
      <w:r w:rsidR="00D90284">
        <w:t>53</w:t>
      </w:r>
      <w:r w:rsidR="00DD1416">
        <w:sym w:font="Symbol" w:char="F0A2"/>
      </w:r>
      <w:r w:rsidR="00D90284">
        <w:t>30</w:t>
      </w:r>
      <w:r w:rsidR="00DD1416">
        <w:sym w:font="Symbol" w:char="F0B2"/>
      </w:r>
      <w:r w:rsidR="00D90284">
        <w:t>N, 1</w:t>
      </w:r>
      <w:r w:rsidR="007F65FA">
        <w:t>°</w:t>
      </w:r>
      <w:r w:rsidR="00D90284">
        <w:t>23</w:t>
      </w:r>
      <w:r w:rsidR="00DD1416">
        <w:sym w:font="Symbol" w:char="F0A2"/>
      </w:r>
      <w:r w:rsidR="00D90284">
        <w:t>40</w:t>
      </w:r>
      <w:r w:rsidR="00DD1416">
        <w:sym w:font="Symbol" w:char="F0B2"/>
      </w:r>
      <w:r w:rsidR="00D90284">
        <w:t>W,</w:t>
      </w:r>
      <w:r w:rsidRPr="00DC77B0">
        <w:t xml:space="preserve"> in an estuarine environment facing SW </w:t>
      </w:r>
      <w:r w:rsidR="004B1AD3">
        <w:t xml:space="preserve">with the top of the board </w:t>
      </w:r>
      <w:r w:rsidRPr="00DC77B0">
        <w:t>at a depth of 0.5 m. Polypropylene netting (1 cm mesh size) was fitted over each board at a height of approximately 3 cm above the surface and extending 10 cm beyond the edges to prevent fish grazing on the slime.  At the end of the relevant immersion period one sample board was permanently removed from the sea and placed in a tightly closed plastic box for transport to rheometer testing the same day. The discs were kept wet over a reservoir of seawater (but not immersed, as movement of the water during transport could wash away fouling). For testing, discs were carefully unscrewed from the sample board taking care not to touch the fouled faces, and the disc perimeter was wiped clean to remove any microfouling which might have formed.</w:t>
      </w:r>
    </w:p>
    <w:p w14:paraId="6B1F15BD" w14:textId="77777777" w:rsidR="00655C8C" w:rsidRPr="003D2D14" w:rsidRDefault="00655C8C" w:rsidP="00655C8C">
      <w:pPr>
        <w:pStyle w:val="Heading2"/>
        <w:rPr>
          <w:rFonts w:cs="Times New Roman"/>
        </w:rPr>
      </w:pPr>
      <w:r w:rsidRPr="003D2D14">
        <w:rPr>
          <w:rFonts w:cs="Times New Roman"/>
        </w:rPr>
        <w:t xml:space="preserve">Sandpaper </w:t>
      </w:r>
      <w:r>
        <w:rPr>
          <w:rFonts w:cs="Times New Roman"/>
        </w:rPr>
        <w:t>surfaces</w:t>
      </w:r>
    </w:p>
    <w:p w14:paraId="2291F404" w14:textId="0EE85E19" w:rsidR="00655C8C" w:rsidRPr="00DC77B0" w:rsidRDefault="00655C8C" w:rsidP="00655C8C">
      <w:r w:rsidRPr="00DC77B0">
        <w:t xml:space="preserve">A series of artificial surfaces with known roughness was prepared by covering disc surfaces with different grades of self-adhesive sandpaper (Draper Tools). </w:t>
      </w:r>
      <w:r w:rsidR="000176DD">
        <w:t xml:space="preserve">The </w:t>
      </w:r>
      <w:r w:rsidR="00455A7E">
        <w:t>grit</w:t>
      </w:r>
      <w:r w:rsidR="000176DD">
        <w:t xml:space="preserve"> size of the sandpapers accords with Federation of European Producers of Abrasives </w:t>
      </w:r>
      <w:r w:rsidR="00CE5839">
        <w:t>[</w:t>
      </w:r>
      <w:r w:rsidR="000176DD">
        <w:t>FEPA</w:t>
      </w:r>
      <w:r w:rsidR="00CE5839">
        <w:t>]</w:t>
      </w:r>
      <w:r w:rsidR="000176DD">
        <w:t xml:space="preserve"> standards </w:t>
      </w:r>
      <w:r w:rsidR="000176DD" w:rsidRPr="007E3C5F">
        <w:t>(</w:t>
      </w:r>
      <w:r w:rsidR="003437E1" w:rsidRPr="00100BA1">
        <w:t>S</w:t>
      </w:r>
      <w:r w:rsidR="007E3C5F" w:rsidRPr="00100BA1">
        <w:t>2</w:t>
      </w:r>
      <w:r w:rsidR="000176DD" w:rsidRPr="007E3C5F">
        <w:t>).</w:t>
      </w:r>
      <w:r w:rsidR="000176DD">
        <w:t xml:space="preserve"> </w:t>
      </w:r>
      <w:r w:rsidRPr="00DC77B0">
        <w:t xml:space="preserve">Sandpaper discs 40 mm in diameter were laser-cut to ensure exact dimensions and a smooth periphery and affixed to </w:t>
      </w:r>
      <w:r w:rsidR="00CE00F2">
        <w:t xml:space="preserve">the face side only of </w:t>
      </w:r>
      <w:r w:rsidRPr="00DC77B0">
        <w:t>disc</w:t>
      </w:r>
      <w:r w:rsidR="00CE00F2">
        <w:t>s</w:t>
      </w:r>
      <w:r w:rsidRPr="00DC77B0">
        <w:t>.</w:t>
      </w:r>
      <w:r>
        <w:t xml:space="preserve"> The added thickness and mass of sandpaper</w:t>
      </w:r>
      <w:r w:rsidRPr="00DC77B0">
        <w:t xml:space="preserve"> </w:t>
      </w:r>
      <w:r>
        <w:t xml:space="preserve">discs </w:t>
      </w:r>
      <w:r w:rsidR="00056A56">
        <w:t xml:space="preserve">or coatings </w:t>
      </w:r>
      <w:r>
        <w:t xml:space="preserve">was not considered in calculations. </w:t>
      </w:r>
      <w:r w:rsidRPr="00DC77B0">
        <w:t xml:space="preserve">Surface roughness </w:t>
      </w:r>
      <w:r w:rsidR="00D96491">
        <w:t xml:space="preserve">profiles </w:t>
      </w:r>
      <w:r w:rsidRPr="00DC77B0">
        <w:t>w</w:t>
      </w:r>
      <w:r w:rsidR="00D96491">
        <w:t>ere</w:t>
      </w:r>
      <w:r w:rsidRPr="00DC77B0">
        <w:t xml:space="preserve"> measured by focus variation microscope (</w:t>
      </w:r>
      <w:proofErr w:type="spellStart"/>
      <w:r w:rsidRPr="00DC77B0">
        <w:t>Alicona</w:t>
      </w:r>
      <w:proofErr w:type="spellEnd"/>
      <w:r w:rsidRPr="00DC77B0">
        <w:t xml:space="preserve">, GmbH) </w:t>
      </w:r>
      <w:r w:rsidR="00D96491">
        <w:t xml:space="preserve">and reported </w:t>
      </w:r>
      <w:r w:rsidRPr="00DC77B0">
        <w:t>as the mean of 10 determinations made at random points on the disc</w:t>
      </w:r>
      <w:r w:rsidR="009F483A">
        <w:t xml:space="preserve">, and by blue light interferometry using a </w:t>
      </w:r>
      <w:proofErr w:type="spellStart"/>
      <w:r w:rsidR="009F483A">
        <w:t>MikroCAD</w:t>
      </w:r>
      <w:proofErr w:type="spellEnd"/>
      <w:r w:rsidR="009F483A">
        <w:t xml:space="preserve"> (LMI Technologies) interferometer (</w:t>
      </w:r>
      <w:r w:rsidR="003437E1">
        <w:t>S</w:t>
      </w:r>
      <w:r w:rsidR="007E3C5F">
        <w:t>3</w:t>
      </w:r>
      <w:r w:rsidR="009F483A">
        <w:t xml:space="preserve">). </w:t>
      </w:r>
      <w:r w:rsidRPr="00DC77B0">
        <w:t xml:space="preserve">The </w:t>
      </w:r>
      <w:r>
        <w:t xml:space="preserve">surface </w:t>
      </w:r>
      <w:r w:rsidRPr="00DC77B0">
        <w:t xml:space="preserve">roughness parameter chosen by Schultz </w:t>
      </w:r>
      <w:r w:rsidRPr="00DC77B0">
        <w:rPr>
          <w:noProof/>
        </w:rPr>
        <w:t>(Schultz and Flack 2003)</w:t>
      </w:r>
      <w:r w:rsidRPr="00DC77B0">
        <w:t xml:space="preserve"> for roughness function calculations was the </w:t>
      </w:r>
      <w:r w:rsidRPr="00DC77B0">
        <w:lastRenderedPageBreak/>
        <w:t xml:space="preserve">maximum peak to trough roughness height </w:t>
      </w:r>
      <w:r w:rsidR="003F3995">
        <w:t xml:space="preserve">of a linear profile </w:t>
      </w:r>
      <w:r w:rsidRPr="00DC77B0">
        <w:t>(</w:t>
      </w:r>
      <w:r w:rsidRPr="00DC77B0">
        <w:rPr>
          <w:i/>
        </w:rPr>
        <w:t>Rt</w:t>
      </w:r>
      <w:r w:rsidRPr="00DC77B0">
        <w:t xml:space="preserve">) x 0.75. </w:t>
      </w:r>
      <w:r w:rsidRPr="003F3995">
        <w:t>In this work the equivalent maximum peak to trough surface height</w:t>
      </w:r>
      <w:r w:rsidR="003F3995">
        <w:t xml:space="preserve"> of an</w:t>
      </w:r>
      <w:r w:rsidRPr="003F3995">
        <w:t xml:space="preserve"> </w:t>
      </w:r>
      <w:r w:rsidR="003F3995" w:rsidRPr="00445B0B">
        <w:t xml:space="preserve">area </w:t>
      </w:r>
      <w:r w:rsidRPr="003F3995">
        <w:t>(</w:t>
      </w:r>
      <w:proofErr w:type="spellStart"/>
      <w:r w:rsidRPr="003F3995">
        <w:rPr>
          <w:i/>
          <w:iCs/>
        </w:rPr>
        <w:t>Sz</w:t>
      </w:r>
      <w:proofErr w:type="spellEnd"/>
      <w:r w:rsidRPr="003F3995">
        <w:t xml:space="preserve">) was used in place of </w:t>
      </w:r>
      <w:r w:rsidRPr="003F3995">
        <w:rPr>
          <w:i/>
          <w:iCs/>
        </w:rPr>
        <w:t>Rt</w:t>
      </w:r>
      <w:r w:rsidRPr="003F3995">
        <w:t>.</w:t>
      </w:r>
    </w:p>
    <w:p w14:paraId="75C2DE90" w14:textId="77777777" w:rsidR="00655C8C" w:rsidRPr="00DC77B0" w:rsidRDefault="00655C8C" w:rsidP="00540348"/>
    <w:p w14:paraId="0F64E024" w14:textId="77777777" w:rsidR="0002175A" w:rsidRPr="003D2D14" w:rsidRDefault="0002175A" w:rsidP="00540348">
      <w:pPr>
        <w:pStyle w:val="Heading2"/>
        <w:rPr>
          <w:rFonts w:cs="Times New Roman"/>
        </w:rPr>
      </w:pPr>
      <w:r w:rsidRPr="003D2D14">
        <w:rPr>
          <w:rFonts w:cs="Times New Roman"/>
        </w:rPr>
        <w:t>Calculation</w:t>
      </w:r>
    </w:p>
    <w:p w14:paraId="2BF77136" w14:textId="1D828D63" w:rsidR="0002175A" w:rsidRPr="00DC77B0" w:rsidRDefault="0002175A" w:rsidP="00540348">
      <w:r w:rsidRPr="00DC77B0">
        <w:t>The moment or torque coefficient (</w:t>
      </w:r>
      <w:r w:rsidRPr="00DC77B0">
        <w:rPr>
          <w:i/>
        </w:rPr>
        <w:t>C</w:t>
      </w:r>
      <w:r w:rsidRPr="00DC77B0">
        <w:rPr>
          <w:i/>
          <w:vertAlign w:val="subscript"/>
        </w:rPr>
        <w:t>m</w:t>
      </w:r>
      <w:r w:rsidRPr="00DC77B0">
        <w:t xml:space="preserve">) derived from both sides of a rotating disc is a dimensionless number defined by Granville </w:t>
      </w:r>
      <w:r w:rsidRPr="00DC77B0">
        <w:rPr>
          <w:noProof/>
        </w:rPr>
        <w:t xml:space="preserve">(Granville </w:t>
      </w:r>
      <w:r w:rsidR="00855956" w:rsidRPr="00DC77B0">
        <w:rPr>
          <w:noProof/>
        </w:rPr>
        <w:t xml:space="preserve">1978, </w:t>
      </w:r>
      <w:r w:rsidRPr="00DC77B0">
        <w:rPr>
          <w:noProof/>
        </w:rPr>
        <w:t>1982)</w:t>
      </w:r>
      <w:r w:rsidRPr="00DC77B0">
        <w:t xml:space="preserve"> as:</w:t>
      </w:r>
    </w:p>
    <w:p w14:paraId="4EBEFDEE" w14:textId="77777777" w:rsidR="0002175A" w:rsidRPr="00DC77B0" w:rsidRDefault="0002175A" w:rsidP="00540348"/>
    <w:p w14:paraId="10208116" w14:textId="77777777" w:rsidR="0002175A" w:rsidRPr="00DC77B0" w:rsidRDefault="0002175A" w:rsidP="00540348">
      <w:r w:rsidRPr="00DC77B0">
        <w:tab/>
      </w:r>
      <w:r w:rsidRPr="00DC77B0">
        <w:tab/>
      </w:r>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f>
          <m:fPr>
            <m:ctrlPr>
              <w:rPr>
                <w:rFonts w:ascii="Cambria Math" w:hAnsi="Cambria Math"/>
              </w:rPr>
            </m:ctrlPr>
          </m:fPr>
          <m:num>
            <m:r>
              <m:rPr>
                <m:sty m:val="p"/>
              </m:rPr>
              <w:rPr>
                <w:rFonts w:ascii="Cambria Math" w:hAnsi="Cambria Math"/>
              </w:rPr>
              <m:t>4</m:t>
            </m:r>
            <m:r>
              <w:rPr>
                <w:rFonts w:ascii="Cambria Math" w:hAnsi="Cambria Math"/>
              </w:rPr>
              <m:t>M</m:t>
            </m:r>
          </m:num>
          <m:den>
            <m:r>
              <w:rPr>
                <w:rFonts w:ascii="Cambria Math" w:hAnsi="Cambria Math"/>
              </w:rPr>
              <m:t>ρ</m:t>
            </m:r>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m:rPr>
                    <m:sty m:val="p"/>
                  </m:rPr>
                  <w:rPr>
                    <w:rFonts w:ascii="Cambria Math" w:hAnsi="Cambria Math"/>
                  </w:rPr>
                  <m:t>5</m:t>
                </m:r>
              </m:sup>
            </m:sSup>
            <m:r>
              <m:rPr>
                <m:sty m:val="p"/>
              </m:rPr>
              <w:rPr>
                <w:rFonts w:ascii="Cambria Math" w:hAnsi="Cambria Math"/>
              </w:rPr>
              <m:t xml:space="preserve"> (</m:t>
            </m:r>
            <m:r>
              <m:rPr>
                <m:sty m:val="p"/>
              </m:rPr>
              <w:rPr>
                <w:rFonts w:ascii="Cambria Math" w:hAnsi="Cambria Math"/>
              </w:rPr>
              <w:sym w:font="Symbol" w:char="F06A"/>
            </m:r>
            <m:sSup>
              <m:sSupPr>
                <m:ctrlPr>
                  <w:rPr>
                    <w:rFonts w:ascii="Cambria Math" w:hAnsi="Cambria Math"/>
                  </w:rPr>
                </m:ctrlPr>
              </m:sSupPr>
              <m:e>
                <m:r>
                  <w:rPr>
                    <w:rFonts w:ascii="Cambria Math" w:hAnsi="Cambria Math"/>
                  </w:rPr>
                  <m:t>ω</m:t>
                </m:r>
                <m:r>
                  <m:rPr>
                    <m:sty m:val="p"/>
                  </m:rPr>
                  <w:rPr>
                    <w:rFonts w:ascii="Cambria Math" w:hAnsi="Cambria Math"/>
                  </w:rPr>
                  <m:t>)</m:t>
                </m:r>
              </m:e>
              <m:sup>
                <m:r>
                  <m:rPr>
                    <m:sty m:val="p"/>
                  </m:rPr>
                  <w:rPr>
                    <w:rFonts w:ascii="Cambria Math" w:hAnsi="Cambria Math"/>
                  </w:rPr>
                  <m:t>2</m:t>
                </m:r>
              </m:sup>
            </m:sSup>
          </m:den>
        </m:f>
      </m:oMath>
      <w:r w:rsidRPr="00DC77B0">
        <w:tab/>
      </w:r>
      <w:r w:rsidRPr="00DC77B0">
        <w:tab/>
      </w:r>
      <w:r w:rsidRPr="00DC77B0">
        <w:tab/>
      </w:r>
      <w:r w:rsidRPr="00DC77B0">
        <w:tab/>
      </w:r>
      <w:r w:rsidRPr="00DC77B0">
        <w:tab/>
      </w:r>
      <w:r w:rsidRPr="00DC77B0">
        <w:tab/>
        <w:t>(1)</w:t>
      </w:r>
    </w:p>
    <w:p w14:paraId="4A04D281" w14:textId="77777777" w:rsidR="0002175A" w:rsidRPr="00DC77B0" w:rsidRDefault="0002175A" w:rsidP="00540348">
      <w:pPr>
        <w:pStyle w:val="NoSpacing"/>
        <w:spacing w:line="480" w:lineRule="auto"/>
        <w:rPr>
          <w:rFonts w:ascii="Times New Roman" w:hAnsi="Times New Roman"/>
          <w:sz w:val="22"/>
          <w:szCs w:val="22"/>
        </w:rPr>
      </w:pPr>
    </w:p>
    <w:p w14:paraId="360C6A78" w14:textId="2B42B226" w:rsidR="0002175A" w:rsidRPr="00DC77B0" w:rsidRDefault="0002175A" w:rsidP="00540348">
      <w:r w:rsidRPr="00DC77B0">
        <w:t xml:space="preserve">where </w:t>
      </w:r>
      <w:r w:rsidRPr="00DC77B0">
        <w:rPr>
          <w:i/>
          <w:iCs/>
        </w:rPr>
        <w:t>M</w:t>
      </w:r>
      <w:r w:rsidRPr="00DC77B0">
        <w:t xml:space="preserve"> is the moment or torque acting on one side of the rotating disc. </w:t>
      </w:r>
      <w:r w:rsidR="00B31D51" w:rsidRPr="00DC77B0">
        <w:t>Note that o</w:t>
      </w:r>
      <w:r w:rsidRPr="00DC77B0">
        <w:t xml:space="preserve">ther authors have used the notation </w:t>
      </w:r>
      <w:r w:rsidRPr="00DC77B0">
        <w:rPr>
          <w:i/>
          <w:iCs/>
        </w:rPr>
        <w:t>C</w:t>
      </w:r>
      <w:r w:rsidRPr="00DC77B0">
        <w:rPr>
          <w:i/>
          <w:iCs/>
          <w:vertAlign w:val="subscript"/>
        </w:rPr>
        <w:t>m</w:t>
      </w:r>
      <w:r w:rsidRPr="00DC77B0">
        <w:t xml:space="preserve"> to represent the momentum coefficient for one side of a disc only, e.g. Childs (Childs 2011) or</w:t>
      </w:r>
      <w:r w:rsidR="00B31D51" w:rsidRPr="00DC77B0">
        <w:t xml:space="preserve"> have used the notation</w:t>
      </w:r>
      <w:r w:rsidRPr="00DC77B0">
        <w:t xml:space="preserve"> </w:t>
      </w:r>
      <w:r w:rsidRPr="00DC77B0">
        <w:rPr>
          <w:i/>
          <w:iCs/>
        </w:rPr>
        <w:t>M</w:t>
      </w:r>
      <w:r w:rsidRPr="00DC77B0">
        <w:t xml:space="preserve"> for the torque acting on both sides of the disc (Schultz and Myers 2003). For clarity, our calculations will use subscripts to denote the number of disc sides each parameter refers to, thus:</w:t>
      </w:r>
    </w:p>
    <w:p w14:paraId="155D3BA3" w14:textId="77777777" w:rsidR="0002175A" w:rsidRPr="00DC77B0" w:rsidRDefault="0002175A" w:rsidP="00540348">
      <w:r w:rsidRPr="00DC77B0">
        <w:rPr>
          <w:i/>
        </w:rPr>
        <w:t>M</w:t>
      </w:r>
      <w:r w:rsidRPr="00DC77B0">
        <w:rPr>
          <w:i/>
          <w:vertAlign w:val="subscript"/>
        </w:rPr>
        <w:t>1</w:t>
      </w:r>
      <w:r w:rsidRPr="00DC77B0">
        <w:tab/>
        <w:t>Torque acting on one side of a rotating disc</w:t>
      </w:r>
    </w:p>
    <w:p w14:paraId="34C59EFA" w14:textId="77777777" w:rsidR="0002175A" w:rsidRPr="00DC77B0" w:rsidRDefault="0002175A" w:rsidP="00540348">
      <w:r w:rsidRPr="00DC77B0">
        <w:rPr>
          <w:i/>
        </w:rPr>
        <w:t>M</w:t>
      </w:r>
      <w:r w:rsidRPr="00DC77B0">
        <w:rPr>
          <w:i/>
          <w:vertAlign w:val="subscript"/>
        </w:rPr>
        <w:t>2</w:t>
      </w:r>
      <w:r w:rsidRPr="00DC77B0">
        <w:tab/>
        <w:t>Torque acting on both sides of a rotating disc</w:t>
      </w:r>
    </w:p>
    <w:p w14:paraId="1C70B098" w14:textId="77777777" w:rsidR="0002175A" w:rsidRPr="00DC77B0" w:rsidRDefault="0002175A" w:rsidP="00540348">
      <w:r w:rsidRPr="00DC77B0">
        <w:rPr>
          <w:i/>
        </w:rPr>
        <w:t>C</w:t>
      </w:r>
      <w:r w:rsidRPr="00DC77B0">
        <w:rPr>
          <w:i/>
          <w:vertAlign w:val="subscript"/>
        </w:rPr>
        <w:t>m1</w:t>
      </w:r>
      <w:r w:rsidRPr="00DC77B0">
        <w:tab/>
        <w:t>Moment or torque coefficient for one side of a rotating disc</w:t>
      </w:r>
    </w:p>
    <w:p w14:paraId="2A336D8B" w14:textId="77777777" w:rsidR="0002175A" w:rsidRPr="00DC77B0" w:rsidRDefault="0002175A" w:rsidP="00540348">
      <w:r w:rsidRPr="00DC77B0">
        <w:rPr>
          <w:i/>
        </w:rPr>
        <w:t>C</w:t>
      </w:r>
      <w:r w:rsidRPr="00DC77B0">
        <w:rPr>
          <w:i/>
          <w:vertAlign w:val="subscript"/>
        </w:rPr>
        <w:t>m2</w:t>
      </w:r>
      <w:r w:rsidRPr="00DC77B0">
        <w:tab/>
        <w:t>Moment or torque coefficient for two sides of a rotating disc</w:t>
      </w:r>
    </w:p>
    <w:p w14:paraId="11FE3B6D" w14:textId="77777777" w:rsidR="0002175A" w:rsidRPr="00DC77B0" w:rsidRDefault="0002175A" w:rsidP="00540348">
      <w:pPr>
        <w:pStyle w:val="NoSpacing"/>
        <w:spacing w:line="480" w:lineRule="auto"/>
        <w:rPr>
          <w:rFonts w:ascii="Times New Roman" w:hAnsi="Times New Roman"/>
          <w:sz w:val="22"/>
          <w:szCs w:val="22"/>
        </w:rPr>
      </w:pPr>
    </w:p>
    <w:p w14:paraId="2B50C46E" w14:textId="0D76191A" w:rsidR="00681EF2" w:rsidRDefault="0002175A" w:rsidP="00540348">
      <w:pPr>
        <w:pStyle w:val="NoSpacing"/>
        <w:spacing w:line="480" w:lineRule="auto"/>
        <w:rPr>
          <w:rFonts w:ascii="Times New Roman" w:eastAsia="Times New Roman" w:hAnsi="Times New Roman"/>
          <w:szCs w:val="24"/>
          <w:lang w:eastAsia="en-GB"/>
        </w:rPr>
      </w:pPr>
      <w:r w:rsidRPr="00DC77B0">
        <w:rPr>
          <w:rFonts w:ascii="Times New Roman" w:eastAsia="Times New Roman" w:hAnsi="Times New Roman"/>
          <w:szCs w:val="24"/>
          <w:lang w:eastAsia="en-GB"/>
        </w:rPr>
        <w:t xml:space="preserve">For a disc rotating in a constrained volume of fluid, a mean tangential swirling or vortex flow of the fluid will be induced in the direction of rotation, especially in cylindrical containers, which reduces the effective angular velocity of the disc relative to the fluid. The 'swirl factor' </w:t>
      </w:r>
      <w:r w:rsidRPr="00DC77B0">
        <w:rPr>
          <w:rFonts w:ascii="Times New Roman" w:eastAsia="Times New Roman" w:hAnsi="Times New Roman"/>
          <w:szCs w:val="24"/>
          <w:lang w:eastAsia="en-GB"/>
        </w:rPr>
        <w:sym w:font="Symbol" w:char="F06A"/>
      </w:r>
      <w:r w:rsidRPr="00DC77B0">
        <w:rPr>
          <w:rFonts w:ascii="Times New Roman" w:eastAsia="Times New Roman" w:hAnsi="Times New Roman"/>
          <w:szCs w:val="24"/>
          <w:lang w:eastAsia="en-GB"/>
        </w:rPr>
        <w:t xml:space="preserve"> may be determined experimentally if the disc can be operated in a large unbounded volume of water (Granville 1982).  In the configuration used by Granville and by Schultz (Schultz and </w:t>
      </w:r>
      <w:r w:rsidRPr="00DC77B0">
        <w:rPr>
          <w:rFonts w:ascii="Times New Roman" w:eastAsia="Times New Roman" w:hAnsi="Times New Roman"/>
          <w:szCs w:val="24"/>
          <w:lang w:eastAsia="en-GB"/>
        </w:rPr>
        <w:lastRenderedPageBreak/>
        <w:t xml:space="preserve">Myers 2003) with a large disc rotating in a </w:t>
      </w:r>
      <w:r w:rsidR="00D41DD1">
        <w:rPr>
          <w:rFonts w:ascii="Times New Roman" w:eastAsia="Times New Roman" w:hAnsi="Times New Roman"/>
          <w:szCs w:val="24"/>
          <w:lang w:eastAsia="en-GB"/>
        </w:rPr>
        <w:t xml:space="preserve">closed </w:t>
      </w:r>
      <w:r w:rsidRPr="00DC77B0">
        <w:rPr>
          <w:rFonts w:ascii="Times New Roman" w:eastAsia="Times New Roman" w:hAnsi="Times New Roman"/>
          <w:szCs w:val="24"/>
          <w:lang w:eastAsia="en-GB"/>
        </w:rPr>
        <w:t xml:space="preserve">cylindrical reservoir, </w:t>
      </w:r>
      <w:r w:rsidRPr="00DC77B0">
        <w:rPr>
          <w:rFonts w:ascii="Times New Roman" w:eastAsia="Times New Roman" w:hAnsi="Times New Roman"/>
          <w:szCs w:val="24"/>
          <w:lang w:eastAsia="en-GB"/>
        </w:rPr>
        <w:sym w:font="Symbol" w:char="F06A"/>
      </w:r>
      <w:r w:rsidRPr="00DC77B0">
        <w:rPr>
          <w:rFonts w:ascii="Times New Roman" w:eastAsia="Times New Roman" w:hAnsi="Times New Roman"/>
          <w:szCs w:val="24"/>
          <w:lang w:eastAsia="en-GB"/>
        </w:rPr>
        <w:t xml:space="preserve"> was experimentally determined to be 0.854. In a smaller tank as used here the value of </w:t>
      </w:r>
      <w:r w:rsidRPr="00DC77B0">
        <w:rPr>
          <w:rFonts w:ascii="Times New Roman" w:eastAsia="Times New Roman" w:hAnsi="Times New Roman"/>
          <w:szCs w:val="24"/>
          <w:lang w:eastAsia="en-GB"/>
        </w:rPr>
        <w:sym w:font="Symbol" w:char="F06A"/>
      </w:r>
      <w:r w:rsidRPr="00DC77B0">
        <w:rPr>
          <w:rFonts w:ascii="Times New Roman" w:eastAsia="Times New Roman" w:hAnsi="Times New Roman"/>
          <w:szCs w:val="24"/>
          <w:lang w:eastAsia="en-GB"/>
        </w:rPr>
        <w:t xml:space="preserve"> </w:t>
      </w:r>
      <w:r w:rsidR="00E908D9">
        <w:rPr>
          <w:rFonts w:ascii="Times New Roman" w:eastAsia="Times New Roman" w:hAnsi="Times New Roman"/>
          <w:szCs w:val="24"/>
          <w:lang w:eastAsia="en-GB"/>
        </w:rPr>
        <w:t>is</w:t>
      </w:r>
      <w:r w:rsidR="00E908D9" w:rsidRPr="00DC77B0">
        <w:rPr>
          <w:rFonts w:ascii="Times New Roman" w:eastAsia="Times New Roman" w:hAnsi="Times New Roman"/>
          <w:szCs w:val="24"/>
          <w:lang w:eastAsia="en-GB"/>
        </w:rPr>
        <w:t xml:space="preserve"> </w:t>
      </w:r>
      <w:r w:rsidRPr="00DC77B0">
        <w:rPr>
          <w:rFonts w:ascii="Times New Roman" w:eastAsia="Times New Roman" w:hAnsi="Times New Roman"/>
          <w:szCs w:val="24"/>
          <w:lang w:eastAsia="en-GB"/>
        </w:rPr>
        <w:t xml:space="preserve">be predicted to be lower </w:t>
      </w:r>
      <w:r w:rsidR="00855956" w:rsidRPr="00DC77B0">
        <w:rPr>
          <w:rFonts w:ascii="Times New Roman" w:eastAsia="Times New Roman" w:hAnsi="Times New Roman"/>
          <w:szCs w:val="24"/>
          <w:lang w:eastAsia="en-GB"/>
        </w:rPr>
        <w:t>(</w:t>
      </w:r>
      <w:r w:rsidR="002848BF" w:rsidRPr="00DC77B0">
        <w:rPr>
          <w:rFonts w:ascii="Times New Roman" w:eastAsia="Times New Roman" w:hAnsi="Times New Roman"/>
          <w:szCs w:val="24"/>
          <w:lang w:eastAsia="en-GB"/>
        </w:rPr>
        <w:t xml:space="preserve">MP </w:t>
      </w:r>
      <w:r w:rsidRPr="00DC77B0">
        <w:rPr>
          <w:rFonts w:ascii="Times New Roman" w:eastAsia="Times New Roman" w:hAnsi="Times New Roman"/>
          <w:szCs w:val="24"/>
          <w:lang w:eastAsia="en-GB"/>
        </w:rPr>
        <w:t>Schultz</w:t>
      </w:r>
      <w:r w:rsidR="002848BF" w:rsidRPr="00DC77B0">
        <w:rPr>
          <w:rFonts w:ascii="Times New Roman" w:eastAsia="Times New Roman" w:hAnsi="Times New Roman"/>
          <w:szCs w:val="24"/>
          <w:lang w:eastAsia="en-GB"/>
        </w:rPr>
        <w:t xml:space="preserve"> 2020</w:t>
      </w:r>
      <w:r w:rsidRPr="00DC77B0">
        <w:rPr>
          <w:rFonts w:ascii="Times New Roman" w:eastAsia="Times New Roman" w:hAnsi="Times New Roman"/>
          <w:szCs w:val="24"/>
          <w:lang w:eastAsia="en-GB"/>
        </w:rPr>
        <w:t xml:space="preserve"> personal communication</w:t>
      </w:r>
      <w:r w:rsidR="001C4D35" w:rsidRPr="00DC77B0">
        <w:rPr>
          <w:rFonts w:ascii="Times New Roman" w:eastAsia="Times New Roman" w:hAnsi="Times New Roman"/>
          <w:szCs w:val="24"/>
          <w:lang w:eastAsia="en-GB"/>
        </w:rPr>
        <w:t>, unreferenced</w:t>
      </w:r>
      <w:r w:rsidR="00855956" w:rsidRPr="00DC77B0">
        <w:rPr>
          <w:rFonts w:ascii="Times New Roman" w:eastAsia="Times New Roman" w:hAnsi="Times New Roman"/>
          <w:szCs w:val="24"/>
          <w:lang w:eastAsia="en-GB"/>
        </w:rPr>
        <w:t>)</w:t>
      </w:r>
      <w:r w:rsidRPr="00DC77B0">
        <w:rPr>
          <w:rFonts w:ascii="Times New Roman" w:eastAsia="Times New Roman" w:hAnsi="Times New Roman"/>
          <w:szCs w:val="24"/>
          <w:lang w:eastAsia="en-GB"/>
        </w:rPr>
        <w:t xml:space="preserve"> as the small volume of water and the proximity of the disc to the tank bottom and walls will promote more vigorous agitation and greater co-rotation of the water. </w:t>
      </w:r>
      <w:r w:rsidR="00846331">
        <w:t xml:space="preserve">The hydrodynamic flow pattern induced by our rotating disc has not been determined, but there was clearly co-rotation of the water which was visible when the disc rotation was suddenly stopped at the maximum velocity. </w:t>
      </w:r>
      <w:r w:rsidRPr="00DC77B0">
        <w:rPr>
          <w:rFonts w:ascii="Times New Roman" w:eastAsia="Times New Roman" w:hAnsi="Times New Roman"/>
          <w:szCs w:val="24"/>
          <w:lang w:eastAsia="en-GB"/>
        </w:rPr>
        <w:t xml:space="preserve">The value of </w:t>
      </w:r>
      <w:r w:rsidRPr="00DC77B0">
        <w:rPr>
          <w:rFonts w:ascii="Times New Roman" w:eastAsia="Times New Roman" w:hAnsi="Times New Roman"/>
          <w:szCs w:val="24"/>
          <w:lang w:eastAsia="en-GB"/>
        </w:rPr>
        <w:sym w:font="Symbol" w:char="F06A"/>
      </w:r>
      <w:r w:rsidRPr="00DC77B0">
        <w:rPr>
          <w:rFonts w:ascii="Times New Roman" w:eastAsia="Times New Roman" w:hAnsi="Times New Roman"/>
          <w:szCs w:val="24"/>
          <w:lang w:eastAsia="en-GB"/>
        </w:rPr>
        <w:t xml:space="preserve"> could not be </w:t>
      </w:r>
      <w:r w:rsidR="001B2A79">
        <w:rPr>
          <w:rFonts w:ascii="Times New Roman" w:eastAsia="Times New Roman" w:hAnsi="Times New Roman"/>
          <w:szCs w:val="24"/>
          <w:lang w:eastAsia="en-GB"/>
        </w:rPr>
        <w:t>experimentally</w:t>
      </w:r>
      <w:r w:rsidR="001B2A79" w:rsidRPr="00DC77B0">
        <w:rPr>
          <w:rFonts w:ascii="Times New Roman" w:eastAsia="Times New Roman" w:hAnsi="Times New Roman"/>
          <w:szCs w:val="24"/>
          <w:lang w:eastAsia="en-GB"/>
        </w:rPr>
        <w:t xml:space="preserve"> </w:t>
      </w:r>
      <w:r w:rsidRPr="00DC77B0">
        <w:rPr>
          <w:rFonts w:ascii="Times New Roman" w:eastAsia="Times New Roman" w:hAnsi="Times New Roman"/>
          <w:szCs w:val="24"/>
          <w:lang w:eastAsia="en-GB"/>
        </w:rPr>
        <w:t xml:space="preserve">determined, as the </w:t>
      </w:r>
      <w:r w:rsidR="00E1121F">
        <w:rPr>
          <w:rFonts w:ascii="Times New Roman" w:eastAsia="Times New Roman" w:hAnsi="Times New Roman"/>
          <w:szCs w:val="24"/>
          <w:lang w:eastAsia="en-GB"/>
        </w:rPr>
        <w:t xml:space="preserve">fixed </w:t>
      </w:r>
      <w:r w:rsidRPr="00DC77B0">
        <w:rPr>
          <w:rFonts w:ascii="Times New Roman" w:eastAsia="Times New Roman" w:hAnsi="Times New Roman"/>
          <w:szCs w:val="24"/>
          <w:lang w:eastAsia="en-GB"/>
        </w:rPr>
        <w:t xml:space="preserve">construction of the rheometer and the limited size of the platen makes it impossible to re-position the disc in a larger reservoir to make the necessary comparison. Instead a value of </w:t>
      </w:r>
      <w:r w:rsidRPr="00DC77B0">
        <w:rPr>
          <w:rFonts w:ascii="Times New Roman" w:eastAsia="Times New Roman" w:hAnsi="Times New Roman"/>
          <w:szCs w:val="24"/>
          <w:lang w:eastAsia="en-GB"/>
        </w:rPr>
        <w:sym w:font="Symbol" w:char="F06A"/>
      </w:r>
      <w:r w:rsidRPr="00DC77B0">
        <w:rPr>
          <w:rFonts w:ascii="Times New Roman" w:eastAsia="Times New Roman" w:hAnsi="Times New Roman"/>
          <w:szCs w:val="24"/>
          <w:lang w:eastAsia="en-GB"/>
        </w:rPr>
        <w:t xml:space="preserve"> was assigned that caused </w:t>
      </w:r>
      <w:r w:rsidR="00D41DD1">
        <w:rPr>
          <w:rFonts w:ascii="Times New Roman" w:eastAsia="Times New Roman" w:hAnsi="Times New Roman"/>
          <w:szCs w:val="24"/>
          <w:lang w:eastAsia="en-GB"/>
        </w:rPr>
        <w:t>the disc</w:t>
      </w:r>
      <w:r w:rsidR="00D41DD1" w:rsidRPr="00DC77B0">
        <w:rPr>
          <w:rFonts w:ascii="Times New Roman" w:eastAsia="Times New Roman" w:hAnsi="Times New Roman"/>
          <w:szCs w:val="24"/>
          <w:lang w:eastAsia="en-GB"/>
        </w:rPr>
        <w:t xml:space="preserve"> </w:t>
      </w:r>
      <w:r w:rsidRPr="00DC77B0">
        <w:rPr>
          <w:rFonts w:ascii="Times New Roman" w:eastAsia="Times New Roman" w:hAnsi="Times New Roman"/>
          <w:szCs w:val="24"/>
          <w:lang w:eastAsia="en-GB"/>
        </w:rPr>
        <w:t xml:space="preserve">sandpaper roughness functions to collapse onto </w:t>
      </w:r>
      <w:r w:rsidR="00E908D9">
        <w:rPr>
          <w:rFonts w:ascii="Times New Roman" w:eastAsia="Times New Roman" w:hAnsi="Times New Roman"/>
          <w:szCs w:val="24"/>
          <w:lang w:eastAsia="en-GB"/>
        </w:rPr>
        <w:t>a</w:t>
      </w:r>
      <w:r w:rsidR="00E908D9" w:rsidRPr="00DC77B0">
        <w:rPr>
          <w:rFonts w:ascii="Times New Roman" w:eastAsia="Times New Roman" w:hAnsi="Times New Roman"/>
          <w:szCs w:val="24"/>
          <w:lang w:eastAsia="en-GB"/>
        </w:rPr>
        <w:t xml:space="preserve"> </w:t>
      </w:r>
      <w:r w:rsidRPr="00DC77B0">
        <w:rPr>
          <w:rFonts w:ascii="Times New Roman" w:eastAsia="Times New Roman" w:hAnsi="Times New Roman"/>
          <w:szCs w:val="24"/>
          <w:lang w:eastAsia="en-GB"/>
        </w:rPr>
        <w:t xml:space="preserve">standard </w:t>
      </w:r>
      <w:r w:rsidR="00E908D9" w:rsidRPr="00DC77B0">
        <w:rPr>
          <w:rFonts w:ascii="Times New Roman" w:eastAsia="Times New Roman" w:hAnsi="Times New Roman"/>
          <w:szCs w:val="24"/>
          <w:lang w:eastAsia="en-GB"/>
        </w:rPr>
        <w:t>Nikuradse</w:t>
      </w:r>
      <w:r w:rsidR="00E908D9">
        <w:rPr>
          <w:rFonts w:ascii="Times New Roman" w:eastAsia="Times New Roman" w:hAnsi="Times New Roman"/>
          <w:szCs w:val="24"/>
          <w:lang w:eastAsia="en-GB"/>
        </w:rPr>
        <w:t>-type</w:t>
      </w:r>
      <w:r w:rsidR="00E908D9" w:rsidRPr="00DC77B0">
        <w:rPr>
          <w:rFonts w:ascii="Times New Roman" w:eastAsia="Times New Roman" w:hAnsi="Times New Roman"/>
          <w:szCs w:val="24"/>
          <w:lang w:eastAsia="en-GB"/>
        </w:rPr>
        <w:t xml:space="preserve"> </w:t>
      </w:r>
      <w:r w:rsidRPr="00DC77B0">
        <w:rPr>
          <w:rFonts w:ascii="Times New Roman" w:eastAsia="Times New Roman" w:hAnsi="Times New Roman"/>
          <w:szCs w:val="24"/>
          <w:lang w:eastAsia="en-GB"/>
        </w:rPr>
        <w:t>sand curve</w:t>
      </w:r>
      <w:r w:rsidR="00E908D9">
        <w:rPr>
          <w:rFonts w:ascii="Times New Roman" w:eastAsia="Times New Roman" w:hAnsi="Times New Roman"/>
          <w:szCs w:val="24"/>
          <w:lang w:eastAsia="en-GB"/>
        </w:rPr>
        <w:t>.</w:t>
      </w:r>
    </w:p>
    <w:p w14:paraId="2D4A4B90" w14:textId="77777777" w:rsidR="00681EF2" w:rsidRDefault="00681EF2" w:rsidP="00540348">
      <w:pPr>
        <w:pStyle w:val="NoSpacing"/>
        <w:spacing w:line="480" w:lineRule="auto"/>
        <w:rPr>
          <w:rFonts w:ascii="Times New Roman" w:eastAsia="Times New Roman" w:hAnsi="Times New Roman"/>
          <w:szCs w:val="24"/>
          <w:lang w:eastAsia="en-GB"/>
        </w:rPr>
      </w:pPr>
    </w:p>
    <w:p w14:paraId="1F5C000B" w14:textId="77777777" w:rsidR="0002175A" w:rsidRPr="00DC77B0" w:rsidRDefault="0002175A" w:rsidP="00540348">
      <w:r w:rsidRPr="00DC77B0">
        <w:t xml:space="preserve">Mathematical derivations of </w:t>
      </w:r>
      <w:r w:rsidRPr="00DC77B0">
        <w:rPr>
          <w:i/>
          <w:iCs/>
        </w:rPr>
        <w:t>C</w:t>
      </w:r>
      <w:r w:rsidRPr="00DC77B0">
        <w:rPr>
          <w:i/>
          <w:iCs/>
          <w:vertAlign w:val="subscript"/>
        </w:rPr>
        <w:t>m</w:t>
      </w:r>
      <w:r w:rsidRPr="00DC77B0" w:rsidDel="008F6275">
        <w:t xml:space="preserve"> </w:t>
      </w:r>
      <w:r w:rsidRPr="00DC77B0">
        <w:t xml:space="preserve">leading to eq.1 assume that edge effects, i.e. the torque contribution of the disc edge, are negligible </w:t>
      </w:r>
      <w:r w:rsidRPr="00DC77B0">
        <w:rPr>
          <w:noProof/>
        </w:rPr>
        <w:t>(Childs 2011)</w:t>
      </w:r>
      <w:r w:rsidRPr="00DC77B0">
        <w:t xml:space="preserve">. In practice, the edge of discs will generate significant drag, which depends on their thickness, as the perimeter of the disc is moving at maximum velocity. </w:t>
      </w:r>
      <w:proofErr w:type="spellStart"/>
      <w:r w:rsidRPr="00DC77B0">
        <w:t>Nelka</w:t>
      </w:r>
      <w:proofErr w:type="spellEnd"/>
      <w:r w:rsidRPr="00DC77B0">
        <w:t xml:space="preserve"> </w:t>
      </w:r>
      <w:r w:rsidRPr="00DC77B0">
        <w:rPr>
          <w:noProof/>
        </w:rPr>
        <w:t>(Nelka 1973)</w:t>
      </w:r>
      <w:r w:rsidRPr="00DC77B0">
        <w:t xml:space="preserve"> quotes a formula from Dorfman </w:t>
      </w:r>
      <w:r w:rsidRPr="00DC77B0">
        <w:rPr>
          <w:noProof/>
        </w:rPr>
        <w:t>(Dorfman 1963)</w:t>
      </w:r>
      <w:r w:rsidRPr="00DC77B0">
        <w:t xml:space="preserve"> which allows the moment coefficient (and hence torque) due to the disc edge to be estimated:</w:t>
      </w:r>
    </w:p>
    <w:p w14:paraId="277A623E" w14:textId="77777777" w:rsidR="0002175A" w:rsidRPr="00DC77B0" w:rsidRDefault="00D47D37" w:rsidP="00540348">
      <w:pPr>
        <w:jc w:val="center"/>
      </w:pPr>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sSubSup>
          <m:sSubSupPr>
            <m:ctrlPr>
              <w:rPr>
                <w:rFonts w:ascii="Cambria Math" w:hAnsi="Cambria Math"/>
              </w:rPr>
            </m:ctrlPr>
          </m:sSubSupPr>
          <m:e>
            <m:r>
              <w:rPr>
                <w:rFonts w:ascii="Cambria Math" w:hAnsi="Cambria Math"/>
              </w:rPr>
              <m:t>C</m:t>
            </m:r>
          </m:e>
          <m:sub>
            <m:r>
              <w:rPr>
                <w:rFonts w:ascii="Cambria Math" w:hAnsi="Cambria Math"/>
              </w:rPr>
              <m:t>m</m:t>
            </m:r>
          </m:sub>
          <m:sup>
            <m:r>
              <m:rPr>
                <m:sty m:val="p"/>
              </m:rPr>
              <w:rPr>
                <w:rFonts w:ascii="Cambria Math" w:hAnsi="Cambria Math"/>
              </w:rPr>
              <m:t>'</m:t>
            </m:r>
          </m:sup>
        </m:sSubSup>
        <m:r>
          <m:rPr>
            <m:sty m:val="p"/>
          </m:rPr>
          <w:rPr>
            <w:rFonts w:ascii="Cambria Math" w:hAnsi="Cambria Math"/>
          </w:rPr>
          <m:t>/</m:t>
        </m:r>
        <m:d>
          <m:dPr>
            <m:ctrlPr>
              <w:rPr>
                <w:rFonts w:ascii="Cambria Math" w:hAnsi="Cambria Math"/>
              </w:rPr>
            </m:ctrlPr>
          </m:dPr>
          <m:e>
            <m:r>
              <m:rPr>
                <m:sty m:val="p"/>
              </m:rPr>
              <w:rPr>
                <w:rFonts w:ascii="Cambria Math" w:hAnsi="Cambria Math"/>
              </w:rPr>
              <m:t xml:space="preserve">1+2.5 </m:t>
            </m:r>
            <m:f>
              <m:fPr>
                <m:ctrlPr>
                  <w:rPr>
                    <w:rFonts w:ascii="Cambria Math" w:hAnsi="Cambria Math"/>
                  </w:rPr>
                </m:ctrlPr>
              </m:fPr>
              <m:num>
                <m:r>
                  <w:rPr>
                    <w:rFonts w:ascii="Cambria Math" w:hAnsi="Cambria Math"/>
                  </w:rPr>
                  <m:t>b</m:t>
                </m:r>
              </m:num>
              <m:den>
                <m:r>
                  <w:rPr>
                    <w:rFonts w:ascii="Cambria Math" w:hAnsi="Cambria Math"/>
                  </w:rPr>
                  <m:t>r</m:t>
                </m:r>
              </m:den>
            </m:f>
          </m:e>
        </m:d>
      </m:oMath>
      <w:r w:rsidR="0002175A" w:rsidRPr="00DC77B0">
        <w:tab/>
      </w:r>
      <w:r w:rsidR="0002175A" w:rsidRPr="00DC77B0">
        <w:tab/>
      </w:r>
      <w:r w:rsidR="0002175A" w:rsidRPr="00DC77B0">
        <w:tab/>
      </w:r>
      <w:r w:rsidR="0002175A" w:rsidRPr="00DC77B0">
        <w:tab/>
      </w:r>
      <w:r w:rsidR="0002175A" w:rsidRPr="00DC77B0">
        <w:tab/>
      </w:r>
      <w:r w:rsidR="0002175A" w:rsidRPr="00DC77B0">
        <w:tab/>
        <w:t>(2)</w:t>
      </w:r>
    </w:p>
    <w:p w14:paraId="1D179980" w14:textId="77777777" w:rsidR="0002175A" w:rsidRPr="00DC77B0" w:rsidRDefault="0002175A" w:rsidP="00540348">
      <w:pPr>
        <w:contextualSpacing/>
      </w:pPr>
      <w:r w:rsidRPr="00DC77B0">
        <w:t>Where in Dorfman’s notation</w:t>
      </w:r>
    </w:p>
    <w:p w14:paraId="2D688716" w14:textId="77777777" w:rsidR="0002175A" w:rsidRPr="00DC77B0" w:rsidRDefault="0002175A" w:rsidP="00540348">
      <w:pPr>
        <w:ind w:firstLine="720"/>
        <w:contextualSpacing/>
      </w:pPr>
      <w:proofErr w:type="spellStart"/>
      <w:r w:rsidRPr="00DC77B0">
        <w:t>C'</w:t>
      </w:r>
      <w:r w:rsidRPr="00DC77B0">
        <w:rPr>
          <w:vertAlign w:val="subscript"/>
        </w:rPr>
        <w:t>m</w:t>
      </w:r>
      <w:proofErr w:type="spellEnd"/>
      <w:r w:rsidRPr="00DC77B0">
        <w:t xml:space="preserve"> is </w:t>
      </w:r>
      <w:bookmarkStart w:id="2" w:name="OLE_LINK1"/>
      <w:bookmarkStart w:id="3" w:name="OLE_LINK2"/>
      <w:r w:rsidRPr="00DC77B0">
        <w:t>moment coefficient due to the whole disc</w:t>
      </w:r>
      <w:bookmarkEnd w:id="2"/>
      <w:bookmarkEnd w:id="3"/>
      <w:r w:rsidRPr="00DC77B0">
        <w:t xml:space="preserve"> (front face, back face and edge)</w:t>
      </w:r>
    </w:p>
    <w:p w14:paraId="1E132AB1" w14:textId="547857BD" w:rsidR="0002175A" w:rsidRDefault="0002175A" w:rsidP="00540348">
      <w:pPr>
        <w:contextualSpacing/>
      </w:pPr>
      <w:r w:rsidRPr="00DC77B0">
        <w:tab/>
        <w:t>C</w:t>
      </w:r>
      <w:r w:rsidRPr="00DC77B0">
        <w:rPr>
          <w:vertAlign w:val="subscript"/>
        </w:rPr>
        <w:t>m</w:t>
      </w:r>
      <w:r w:rsidRPr="00DC77B0">
        <w:t xml:space="preserve"> is moment coefficient due to front and back disc faces only</w:t>
      </w:r>
    </w:p>
    <w:p w14:paraId="27CADB5B" w14:textId="72EA56F4" w:rsidR="00C96FD0" w:rsidRDefault="00C96FD0" w:rsidP="00540348">
      <w:pPr>
        <w:contextualSpacing/>
      </w:pPr>
      <w:r>
        <w:tab/>
        <w:t>b is disc thickness</w:t>
      </w:r>
    </w:p>
    <w:p w14:paraId="63B63CE8" w14:textId="601A25D3" w:rsidR="00C96FD0" w:rsidRPr="00DC77B0" w:rsidRDefault="00C96FD0" w:rsidP="00540348">
      <w:pPr>
        <w:contextualSpacing/>
      </w:pPr>
      <w:r>
        <w:tab/>
        <w:t>r is disc radius</w:t>
      </w:r>
    </w:p>
    <w:p w14:paraId="605977A7" w14:textId="77777777" w:rsidR="0002175A" w:rsidRPr="00DC77B0" w:rsidRDefault="0002175A" w:rsidP="00540348">
      <w:pPr>
        <w:contextualSpacing/>
        <w:rPr>
          <w:lang w:val="pt-PT"/>
        </w:rPr>
      </w:pPr>
    </w:p>
    <w:p w14:paraId="63503A13" w14:textId="77777777" w:rsidR="0002175A" w:rsidRPr="00DC77B0" w:rsidRDefault="0002175A" w:rsidP="00540348">
      <w:pPr>
        <w:contextualSpacing/>
        <w:rPr>
          <w:lang w:val="pt-PT"/>
        </w:rPr>
      </w:pPr>
      <w:r w:rsidRPr="00DC77B0">
        <w:rPr>
          <w:lang w:val="pt-PT"/>
        </w:rPr>
        <w:lastRenderedPageBreak/>
        <w:t>Substituting our disc dimensions of b = 2 mm, r = 20 mm in eq. 2</w:t>
      </w:r>
    </w:p>
    <w:p w14:paraId="17D0E723" w14:textId="77777777" w:rsidR="0002175A" w:rsidRPr="00DC77B0" w:rsidRDefault="00D47D37" w:rsidP="00540348">
      <w:pPr>
        <w:ind w:left="720" w:firstLine="720"/>
      </w:pPr>
      <m:oMath>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m:t>
                </m:r>
              </m:sub>
            </m:sSub>
          </m:num>
          <m:den>
            <m:sSub>
              <m:sSubPr>
                <m:ctrlPr>
                  <w:rPr>
                    <w:rFonts w:ascii="Cambria Math" w:hAnsi="Cambria Math"/>
                  </w:rPr>
                </m:ctrlPr>
              </m:sSubPr>
              <m:e>
                <m:r>
                  <w:rPr>
                    <w:rFonts w:ascii="Cambria Math" w:hAnsi="Cambria Math"/>
                  </w:rPr>
                  <m:t>C</m:t>
                </m:r>
                <m:r>
                  <m:rPr>
                    <m:sty m:val="p"/>
                  </m:rPr>
                  <w:rPr>
                    <w:rFonts w:ascii="Cambria Math" w:hAnsi="Cambria Math"/>
                  </w:rPr>
                  <m:t>'</m:t>
                </m:r>
              </m:e>
              <m:sub>
                <m:r>
                  <w:rPr>
                    <w:rFonts w:ascii="Cambria Math" w:hAnsi="Cambria Math"/>
                  </w:rPr>
                  <m:t>m</m:t>
                </m:r>
              </m:sub>
            </m:sSub>
          </m:den>
        </m:f>
        <m:r>
          <m:rPr>
            <m:sty m:val="p"/>
          </m:rPr>
          <w:rPr>
            <w:rFonts w:ascii="Cambria Math" w:hAnsi="Cambria Math"/>
          </w:rPr>
          <m:t>=1/</m:t>
        </m:r>
        <m:d>
          <m:dPr>
            <m:ctrlPr>
              <w:rPr>
                <w:rFonts w:ascii="Cambria Math" w:hAnsi="Cambria Math"/>
              </w:rPr>
            </m:ctrlPr>
          </m:dPr>
          <m:e>
            <m:r>
              <m:rPr>
                <m:sty m:val="p"/>
              </m:rPr>
              <w:rPr>
                <w:rFonts w:ascii="Cambria Math" w:hAnsi="Cambria Math"/>
              </w:rPr>
              <m:t xml:space="preserve">1+2.5 </m:t>
            </m:r>
            <m:f>
              <m:fPr>
                <m:ctrlPr>
                  <w:rPr>
                    <w:rFonts w:ascii="Cambria Math" w:hAnsi="Cambria Math"/>
                  </w:rPr>
                </m:ctrlPr>
              </m:fPr>
              <m:num>
                <m:r>
                  <m:rPr>
                    <m:sty m:val="p"/>
                  </m:rPr>
                  <w:rPr>
                    <w:rFonts w:ascii="Cambria Math" w:hAnsi="Cambria Math"/>
                  </w:rPr>
                  <m:t>2</m:t>
                </m:r>
              </m:num>
              <m:den>
                <m:r>
                  <m:rPr>
                    <m:sty m:val="p"/>
                  </m:rPr>
                  <w:rPr>
                    <w:rFonts w:ascii="Cambria Math" w:hAnsi="Cambria Math"/>
                  </w:rPr>
                  <m:t>20</m:t>
                </m:r>
              </m:den>
            </m:f>
          </m:e>
        </m:d>
        <m:r>
          <m:rPr>
            <m:sty m:val="p"/>
          </m:rPr>
          <w:rPr>
            <w:rFonts w:ascii="Cambria Math" w:hAnsi="Cambria Math"/>
          </w:rPr>
          <m:t>=1/1.25=0.8</m:t>
        </m:r>
      </m:oMath>
      <w:r w:rsidR="0002175A" w:rsidRPr="00DC77B0">
        <w:rPr>
          <w:rFonts w:eastAsiaTheme="minorEastAsia"/>
        </w:rPr>
        <w:tab/>
      </w:r>
      <w:r w:rsidR="0002175A" w:rsidRPr="00DC77B0">
        <w:rPr>
          <w:rFonts w:eastAsiaTheme="minorEastAsia"/>
        </w:rPr>
        <w:tab/>
      </w:r>
      <w:r w:rsidR="0002175A" w:rsidRPr="00DC77B0">
        <w:rPr>
          <w:rFonts w:eastAsiaTheme="minorEastAsia"/>
        </w:rPr>
        <w:tab/>
      </w:r>
      <w:r w:rsidR="0002175A" w:rsidRPr="00DC77B0">
        <w:rPr>
          <w:rFonts w:eastAsiaTheme="minorEastAsia"/>
        </w:rPr>
        <w:tab/>
        <w:t>(3)</w:t>
      </w:r>
    </w:p>
    <w:p w14:paraId="443FE356" w14:textId="77777777" w:rsidR="0002175A" w:rsidRPr="00DC77B0" w:rsidRDefault="0002175A" w:rsidP="00540348"/>
    <w:p w14:paraId="620127DE" w14:textId="04094713" w:rsidR="0002175A" w:rsidRPr="00DC77B0" w:rsidRDefault="0002175A" w:rsidP="00540348">
      <w:r w:rsidRPr="00DC77B0">
        <w:t xml:space="preserve">Equation 3 predicts that the front and back faces of </w:t>
      </w:r>
      <w:r w:rsidR="00E1121F">
        <w:t>a</w:t>
      </w:r>
      <w:r w:rsidR="00E1121F" w:rsidRPr="00DC77B0">
        <w:t xml:space="preserve"> </w:t>
      </w:r>
      <w:r w:rsidR="00E908D9">
        <w:t xml:space="preserve">clean unfouled blank </w:t>
      </w:r>
      <w:r w:rsidR="00E1121F">
        <w:t>mini</w:t>
      </w:r>
      <w:r w:rsidRPr="00DC77B0">
        <w:t>disc together contribute a fraction of 0.8 (80</w:t>
      </w:r>
      <w:r w:rsidR="002B30B8">
        <w:t xml:space="preserve"> </w:t>
      </w:r>
      <w:r w:rsidRPr="00DC77B0">
        <w:t>%) of the whole disc torque, so half this value (40</w:t>
      </w:r>
      <w:r w:rsidR="002B30B8">
        <w:t xml:space="preserve"> </w:t>
      </w:r>
      <w:r w:rsidRPr="00DC77B0">
        <w:t>%) can be assigned to each face, while the edge contributes the remaining 20</w:t>
      </w:r>
      <w:r w:rsidR="002B30B8">
        <w:t xml:space="preserve"> </w:t>
      </w:r>
      <w:r w:rsidRPr="00DC77B0">
        <w:t xml:space="preserve">%. The rear disc face and disc edge combined therefore give rise to (40% + 20%) = 60% of the torque of the whole blank disc, so that an estimate of the torque </w:t>
      </w:r>
      <w:r w:rsidRPr="00DC77B0">
        <w:rPr>
          <w:i/>
        </w:rPr>
        <w:t>M</w:t>
      </w:r>
      <w:r w:rsidRPr="00DC77B0">
        <w:rPr>
          <w:i/>
          <w:vertAlign w:val="subscript"/>
        </w:rPr>
        <w:t>1</w:t>
      </w:r>
      <w:r w:rsidRPr="00DC77B0">
        <w:t xml:space="preserve"> due to the front face alone of an experimental disc can be made. This is calculated </w:t>
      </w:r>
      <w:r w:rsidR="00E908D9">
        <w:t>by subtracting</w:t>
      </w:r>
      <w:r w:rsidR="00E908D9" w:rsidRPr="00DC77B0">
        <w:t xml:space="preserve"> </w:t>
      </w:r>
      <w:r w:rsidRPr="00DC77B0">
        <w:t xml:space="preserve">the torque acting on the rotating shaft alone, </w:t>
      </w:r>
      <w:r w:rsidR="00E908D9">
        <w:t>plus 60</w:t>
      </w:r>
      <w:r w:rsidR="002B30B8">
        <w:t xml:space="preserve"> </w:t>
      </w:r>
      <w:r w:rsidR="00E908D9">
        <w:t>% of</w:t>
      </w:r>
      <w:r w:rsidRPr="00DC77B0">
        <w:t xml:space="preserve"> the torque </w:t>
      </w:r>
      <w:r w:rsidR="00E908D9">
        <w:t>of a</w:t>
      </w:r>
      <w:r w:rsidRPr="00DC77B0">
        <w:t xml:space="preserve"> blank control disc, </w:t>
      </w:r>
      <w:r w:rsidR="00E908D9">
        <w:t>from the raw torque data</w:t>
      </w:r>
      <w:r w:rsidR="00113253">
        <w:t xml:space="preserve"> for any disc condition</w:t>
      </w:r>
      <w:r w:rsidR="00E908D9">
        <w:t xml:space="preserve"> </w:t>
      </w:r>
      <w:r w:rsidRPr="00DC77B0">
        <w:t xml:space="preserve">over the whole velocity regime. </w:t>
      </w:r>
    </w:p>
    <w:p w14:paraId="61635061" w14:textId="77777777" w:rsidR="0002175A" w:rsidRPr="00DC77B0" w:rsidRDefault="0002175A" w:rsidP="00540348"/>
    <w:p w14:paraId="3A0F862F" w14:textId="65E09558" w:rsidR="0002175A" w:rsidRDefault="0002175A" w:rsidP="00540348">
      <w:r w:rsidRPr="00DC77B0">
        <w:t>If</w:t>
      </w:r>
      <w:r w:rsidRPr="00DC77B0">
        <w:tab/>
      </w:r>
      <w:r w:rsidRPr="00DC77B0">
        <w:rPr>
          <w:i/>
        </w:rPr>
        <w:t>M</w:t>
      </w:r>
      <w:r w:rsidRPr="00DC77B0">
        <w:rPr>
          <w:i/>
          <w:vertAlign w:val="subscript"/>
        </w:rPr>
        <w:t>x</w:t>
      </w:r>
      <w:r w:rsidRPr="00DC77B0">
        <w:t xml:space="preserve"> = Torque for whole experimental </w:t>
      </w:r>
      <w:r w:rsidR="00E908D9">
        <w:t>geometry (</w:t>
      </w:r>
      <w:r w:rsidRPr="00DC77B0">
        <w:t>disc</w:t>
      </w:r>
      <w:r w:rsidR="00E908D9">
        <w:t xml:space="preserve"> plus shaft)</w:t>
      </w:r>
    </w:p>
    <w:p w14:paraId="7D905910" w14:textId="2253AAAF" w:rsidR="00E908D9" w:rsidRPr="00DC77B0" w:rsidRDefault="00E908D9" w:rsidP="00E908D9">
      <w:pPr>
        <w:ind w:firstLine="720"/>
      </w:pPr>
      <w:r w:rsidRPr="00DC77B0">
        <w:rPr>
          <w:i/>
        </w:rPr>
        <w:t>M</w:t>
      </w:r>
      <w:r w:rsidRPr="00DC77B0">
        <w:rPr>
          <w:i/>
          <w:vertAlign w:val="subscript"/>
        </w:rPr>
        <w:t>s</w:t>
      </w:r>
      <w:r w:rsidRPr="00DC77B0">
        <w:t xml:space="preserve"> = Torque for shaft alone</w:t>
      </w:r>
    </w:p>
    <w:p w14:paraId="009B96F7" w14:textId="77777777" w:rsidR="0002175A" w:rsidRPr="00DC77B0" w:rsidRDefault="0002175A" w:rsidP="00540348">
      <w:pPr>
        <w:ind w:firstLine="720"/>
      </w:pPr>
      <w:r w:rsidRPr="00DC77B0">
        <w:rPr>
          <w:i/>
        </w:rPr>
        <w:t>M</w:t>
      </w:r>
      <w:r w:rsidRPr="00DC77B0">
        <w:rPr>
          <w:i/>
          <w:vertAlign w:val="subscript"/>
        </w:rPr>
        <w:t>b</w:t>
      </w:r>
      <w:r w:rsidRPr="00DC77B0">
        <w:t xml:space="preserve"> = Torque for whole blank disc</w:t>
      </w:r>
    </w:p>
    <w:p w14:paraId="1CE1FEB3" w14:textId="77777777" w:rsidR="0002175A" w:rsidRPr="00DC77B0" w:rsidRDefault="00D47D37" w:rsidP="00540348">
      <w:pPr>
        <w:ind w:left="1440" w:firstLine="720"/>
      </w:pP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m:t>
            </m:r>
          </m:sub>
        </m:sSub>
        <m:r>
          <w:rPr>
            <w:rFonts w:ascii="Cambria Math" w:hAnsi="Cambria Math"/>
          </w:rPr>
          <m:t>-0.6</m:t>
        </m:r>
        <m:sSub>
          <m:sSubPr>
            <m:ctrlPr>
              <w:rPr>
                <w:rFonts w:ascii="Cambria Math" w:hAnsi="Cambria Math"/>
                <w:i/>
              </w:rPr>
            </m:ctrlPr>
          </m:sSubPr>
          <m:e>
            <m:r>
              <w:rPr>
                <w:rFonts w:ascii="Cambria Math" w:hAnsi="Cambria Math"/>
              </w:rPr>
              <m:t>M</m:t>
            </m:r>
          </m:e>
          <m:sub>
            <m:r>
              <w:rPr>
                <w:rFonts w:ascii="Cambria Math" w:hAnsi="Cambria Math"/>
              </w:rPr>
              <m:t>b</m:t>
            </m:r>
          </m:sub>
        </m:sSub>
      </m:oMath>
      <w:r w:rsidR="0002175A" w:rsidRPr="00DC77B0">
        <w:rPr>
          <w:rFonts w:eastAsiaTheme="minorEastAsia"/>
        </w:rPr>
        <w:tab/>
      </w:r>
      <w:r w:rsidR="0002175A" w:rsidRPr="00DC77B0">
        <w:rPr>
          <w:rFonts w:eastAsiaTheme="minorEastAsia"/>
        </w:rPr>
        <w:tab/>
      </w:r>
      <w:r w:rsidR="0002175A" w:rsidRPr="00DC77B0">
        <w:rPr>
          <w:rFonts w:eastAsiaTheme="minorEastAsia"/>
        </w:rPr>
        <w:tab/>
      </w:r>
      <w:r w:rsidR="0002175A" w:rsidRPr="00DC77B0">
        <w:rPr>
          <w:rFonts w:eastAsiaTheme="minorEastAsia"/>
        </w:rPr>
        <w:tab/>
        <w:t>(4)</w:t>
      </w:r>
    </w:p>
    <w:p w14:paraId="24F4E0BC" w14:textId="77777777" w:rsidR="0002175A" w:rsidRPr="00DC77B0" w:rsidRDefault="0002175A" w:rsidP="00540348"/>
    <w:p w14:paraId="615E5F9E" w14:textId="1DC1D917" w:rsidR="0002175A" w:rsidRPr="00DC77B0" w:rsidRDefault="0002175A">
      <w:r w:rsidRPr="00DC77B0">
        <w:t>Rewriting and rearranging eq. 1</w:t>
      </w:r>
    </w:p>
    <w:p w14:paraId="7C8709A2" w14:textId="77777777" w:rsidR="0002175A" w:rsidRPr="00DC77B0" w:rsidRDefault="0002175A"/>
    <w:p w14:paraId="638998DD" w14:textId="77777777" w:rsidR="0002175A" w:rsidRPr="00DC77B0" w:rsidRDefault="00D47D37" w:rsidP="00540348">
      <w:pPr>
        <w:ind w:left="1440"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m2</m:t>
                </m:r>
              </m:sub>
            </m:sSub>
            <m:r>
              <w:rPr>
                <w:rFonts w:ascii="Cambria Math" w:eastAsiaTheme="minorEastAsia" w:hAnsi="Cambria Math"/>
              </w:rPr>
              <m:t>ρ</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5</m:t>
                </m:r>
              </m:sup>
            </m:sSup>
            <m:sSup>
              <m:sSupPr>
                <m:ctrlPr>
                  <w:rPr>
                    <w:rFonts w:ascii="Cambria Math" w:eastAsiaTheme="minorEastAsia" w:hAnsi="Cambria Math"/>
                    <w:i/>
                  </w:rPr>
                </m:ctrlPr>
              </m:sSupPr>
              <m:e>
                <m:r>
                  <w:rPr>
                    <w:rFonts w:ascii="Cambria Math" w:eastAsiaTheme="minorEastAsia" w:hAnsi="Cambria Math"/>
                  </w:rPr>
                  <m:t>φ</m:t>
                </m:r>
              </m:e>
              <m:sup>
                <m:r>
                  <w:rPr>
                    <w:rFonts w:ascii="Cambria Math" w:eastAsiaTheme="minorEastAsia" w:hAnsi="Cambria Math"/>
                  </w:rPr>
                  <m:t>2</m:t>
                </m:r>
              </m:sup>
            </m:sSup>
          </m:num>
          <m:den>
            <m:r>
              <w:rPr>
                <w:rFonts w:ascii="Cambria Math" w:eastAsiaTheme="minorEastAsia" w:hAnsi="Cambria Math"/>
              </w:rPr>
              <m:t>4</m:t>
            </m:r>
          </m:den>
        </m:f>
        <m:sSup>
          <m:sSupPr>
            <m:ctrlPr>
              <w:rPr>
                <w:rFonts w:ascii="Cambria Math" w:eastAsiaTheme="minorEastAsia" w:hAnsi="Cambria Math"/>
                <w:i/>
              </w:rPr>
            </m:ctrlPr>
          </m:sSupPr>
          <m:e>
            <m:r>
              <w:rPr>
                <w:rFonts w:ascii="Cambria Math" w:eastAsiaTheme="minorEastAsia" w:hAnsi="Cambria Math"/>
              </w:rPr>
              <m:t>ω</m:t>
            </m:r>
          </m:e>
          <m:sup>
            <m:r>
              <w:rPr>
                <w:rFonts w:ascii="Cambria Math" w:eastAsiaTheme="minorEastAsia" w:hAnsi="Cambria Math"/>
              </w:rPr>
              <m:t>2</m:t>
            </m:r>
          </m:sup>
        </m:sSup>
      </m:oMath>
      <w:r w:rsidR="0002175A" w:rsidRPr="00DC77B0">
        <w:rPr>
          <w:rFonts w:eastAsiaTheme="minorEastAsia"/>
        </w:rPr>
        <w:tab/>
      </w:r>
      <w:r w:rsidR="0002175A" w:rsidRPr="00DC77B0">
        <w:rPr>
          <w:rFonts w:eastAsiaTheme="minorEastAsia"/>
        </w:rPr>
        <w:tab/>
      </w:r>
      <w:r w:rsidR="0002175A" w:rsidRPr="00DC77B0">
        <w:rPr>
          <w:rFonts w:eastAsiaTheme="minorEastAsia"/>
        </w:rPr>
        <w:tab/>
      </w:r>
      <w:r w:rsidR="0002175A" w:rsidRPr="00DC77B0">
        <w:rPr>
          <w:rFonts w:eastAsiaTheme="minorEastAsia"/>
        </w:rPr>
        <w:tab/>
      </w:r>
      <w:r w:rsidR="0002175A" w:rsidRPr="00DC77B0">
        <w:rPr>
          <w:rFonts w:eastAsiaTheme="minorEastAsia"/>
        </w:rPr>
        <w:tab/>
        <w:t>(5)</w:t>
      </w:r>
    </w:p>
    <w:p w14:paraId="738A19EA" w14:textId="3A4EE841" w:rsidR="00E1121F" w:rsidRDefault="00E1121F" w:rsidP="00E1121F">
      <w:r w:rsidRPr="00DC77B0">
        <w:t>Density of 3.5</w:t>
      </w:r>
      <w:r w:rsidR="004065B3">
        <w:t xml:space="preserve"> </w:t>
      </w:r>
      <w:r w:rsidRPr="00DC77B0">
        <w:t>% NaCl solution at 20</w:t>
      </w:r>
      <w:r w:rsidR="004065B3">
        <w:t xml:space="preserve"> </w:t>
      </w:r>
      <w:r w:rsidRPr="00DC77B0">
        <w:t>°C</w:t>
      </w:r>
      <w:r w:rsidRPr="00DC77B0">
        <w:tab/>
      </w:r>
      <w:r w:rsidRPr="00DC77B0">
        <w:tab/>
        <w:t>ρ = 102</w:t>
      </w:r>
      <w:r w:rsidR="004065B3">
        <w:t>5</w:t>
      </w:r>
      <w:r w:rsidRPr="00DC77B0">
        <w:t xml:space="preserve"> kg</w:t>
      </w:r>
      <w:r w:rsidR="004065B3">
        <w:sym w:font="Symbol" w:char="F0D7"/>
      </w:r>
      <w:r w:rsidRPr="00DC77B0">
        <w:t>m</w:t>
      </w:r>
      <w:r w:rsidRPr="00100BA1">
        <w:rPr>
          <w:vertAlign w:val="superscript"/>
        </w:rPr>
        <w:t>3</w:t>
      </w:r>
    </w:p>
    <w:p w14:paraId="0A867327" w14:textId="77777777" w:rsidR="00E1121F" w:rsidRPr="00DC77B0" w:rsidRDefault="00E1121F" w:rsidP="00E1121F"/>
    <w:p w14:paraId="76BA54E8" w14:textId="7F2A2C4A" w:rsidR="0002175A" w:rsidRPr="00DC77B0" w:rsidRDefault="0002175A" w:rsidP="00540348">
      <w:r w:rsidRPr="00DC77B0">
        <w:t xml:space="preserve">A plot of </w:t>
      </w:r>
      <w:r w:rsidRPr="00DC77B0">
        <w:rPr>
          <w:i/>
        </w:rPr>
        <w:t>M</w:t>
      </w:r>
      <w:r w:rsidRPr="00DC77B0">
        <w:rPr>
          <w:i/>
          <w:vertAlign w:val="subscript"/>
        </w:rPr>
        <w:t>1</w:t>
      </w:r>
      <w:r w:rsidRPr="00DC77B0">
        <w:t xml:space="preserve"> vs. </w:t>
      </w:r>
      <w:r w:rsidRPr="00DC77B0">
        <w:sym w:font="Symbol" w:char="F077"/>
      </w:r>
      <w:r w:rsidRPr="00DC77B0">
        <w:rPr>
          <w:vertAlign w:val="superscript"/>
        </w:rPr>
        <w:t>2</w:t>
      </w:r>
      <w:r w:rsidRPr="00DC77B0">
        <w:t xml:space="preserve"> has slope (</w:t>
      </w:r>
      <m:oMath>
        <m:sSub>
          <m:sSubPr>
            <m:ctrlPr>
              <w:rPr>
                <w:rFonts w:ascii="Cambria Math" w:hAnsi="Cambria Math"/>
                <w:i/>
              </w:rPr>
            </m:ctrlPr>
          </m:sSubPr>
          <m:e>
            <m:r>
              <w:rPr>
                <w:rFonts w:ascii="Cambria Math" w:hAnsi="Cambria Math"/>
              </w:rPr>
              <m:t>C</m:t>
            </m:r>
          </m:e>
          <m:sub>
            <m:r>
              <w:rPr>
                <w:rFonts w:ascii="Cambria Math" w:hAnsi="Cambria Math"/>
              </w:rPr>
              <m:t>m2</m:t>
            </m:r>
          </m:sub>
        </m:sSub>
        <m:r>
          <w:rPr>
            <w:rFonts w:ascii="Cambria Math" w:hAnsi="Cambria Math"/>
          </w:rPr>
          <m:t>ρ</m:t>
        </m:r>
        <m:sSup>
          <m:sSupPr>
            <m:ctrlPr>
              <w:rPr>
                <w:rFonts w:ascii="Cambria Math" w:hAnsi="Cambria Math"/>
                <w:i/>
              </w:rPr>
            </m:ctrlPr>
          </m:sSupPr>
          <m:e>
            <m:r>
              <w:rPr>
                <w:rFonts w:ascii="Cambria Math" w:hAnsi="Cambria Math"/>
              </w:rPr>
              <m:t>r</m:t>
            </m:r>
          </m:e>
          <m:sup>
            <m:r>
              <w:rPr>
                <w:rFonts w:ascii="Cambria Math" w:hAnsi="Cambria Math"/>
              </w:rPr>
              <m:t>5</m:t>
            </m:r>
          </m:sup>
        </m:sSup>
        <m:sSup>
          <m:sSupPr>
            <m:ctrlPr>
              <w:rPr>
                <w:rFonts w:ascii="Cambria Math" w:hAnsi="Cambria Math"/>
                <w:i/>
              </w:rPr>
            </m:ctrlPr>
          </m:sSupPr>
          <m:e>
            <m:r>
              <w:rPr>
                <w:rFonts w:ascii="Cambria Math" w:hAnsi="Cambria Math"/>
              </w:rPr>
              <m:t>φ</m:t>
            </m:r>
          </m:e>
          <m:sup>
            <m:r>
              <w:rPr>
                <w:rFonts w:ascii="Cambria Math" w:hAnsi="Cambria Math"/>
              </w:rPr>
              <m:t>2</m:t>
            </m:r>
          </m:sup>
        </m:sSup>
        <m:r>
          <w:rPr>
            <w:rFonts w:ascii="Cambria Math" w:hAnsi="Cambria Math"/>
          </w:rPr>
          <m:t>)/4</m:t>
        </m:r>
      </m:oMath>
      <w:r w:rsidRPr="00DC77B0">
        <w:t xml:space="preserve"> so that a value for </w:t>
      </w:r>
      <w:r w:rsidRPr="00DC77B0">
        <w:rPr>
          <w:i/>
          <w:iCs/>
        </w:rPr>
        <w:t>C</w:t>
      </w:r>
      <w:r w:rsidRPr="00DC77B0">
        <w:rPr>
          <w:i/>
          <w:iCs/>
          <w:vertAlign w:val="subscript"/>
        </w:rPr>
        <w:t>m2</w:t>
      </w:r>
      <w:r w:rsidRPr="00DC77B0">
        <w:t xml:space="preserve"> can be obtained from the value of the slope </w:t>
      </w:r>
      <w:r w:rsidR="00D41DD1">
        <w:t>at</w:t>
      </w:r>
      <w:r w:rsidR="00D41DD1" w:rsidRPr="00DC77B0">
        <w:t xml:space="preserve"> </w:t>
      </w:r>
      <w:r w:rsidRPr="00DC77B0">
        <w:t xml:space="preserve">a </w:t>
      </w:r>
      <w:r w:rsidR="00CB5D65" w:rsidRPr="00DC77B0">
        <w:t xml:space="preserve">specific </w:t>
      </w:r>
      <w:r w:rsidRPr="00DC77B0">
        <w:t>velocity.</w:t>
      </w:r>
    </w:p>
    <w:p w14:paraId="5F885F0F" w14:textId="305668C1" w:rsidR="000E6257" w:rsidRPr="00DC77B0" w:rsidRDefault="000E6257" w:rsidP="00540348"/>
    <w:p w14:paraId="47425FBA" w14:textId="1D62D5B0" w:rsidR="0002175A" w:rsidRPr="00DC77B0" w:rsidRDefault="0002175A" w:rsidP="00540348">
      <w:r w:rsidRPr="00DC77B0">
        <w:t>The rotational Reynolds Number (</w:t>
      </w:r>
      <w:proofErr w:type="spellStart"/>
      <w:r w:rsidRPr="00DC77B0">
        <w:rPr>
          <w:i/>
          <w:iCs/>
        </w:rPr>
        <w:t>Re</w:t>
      </w:r>
      <w:r w:rsidRPr="00DC77B0">
        <w:rPr>
          <w:i/>
          <w:iCs/>
          <w:vertAlign w:val="subscript"/>
        </w:rPr>
        <w:t>r</w:t>
      </w:r>
      <w:proofErr w:type="spellEnd"/>
      <w:r w:rsidRPr="00DC77B0">
        <w:t xml:space="preserve">), for a rotating disc is given by eqn. 6 </w:t>
      </w:r>
      <w:r w:rsidRPr="00DC77B0">
        <w:rPr>
          <w:noProof/>
        </w:rPr>
        <w:t>(</w:t>
      </w:r>
      <w:r w:rsidR="0020022B" w:rsidRPr="0020022B">
        <w:rPr>
          <w:noProof/>
        </w:rPr>
        <w:t xml:space="preserve">Niebles </w:t>
      </w:r>
      <w:r w:rsidRPr="0020022B">
        <w:rPr>
          <w:noProof/>
        </w:rPr>
        <w:t>Atencio and Chernoray 2019)</w:t>
      </w:r>
      <w:r w:rsidRPr="0020022B">
        <w:t>:</w:t>
      </w:r>
    </w:p>
    <w:p w14:paraId="585F4EEA" w14:textId="77777777" w:rsidR="0002175A" w:rsidRPr="00DC77B0" w:rsidRDefault="00D47D37" w:rsidP="00540348">
      <w:pPr>
        <w:ind w:left="1440" w:firstLine="720"/>
      </w:pPr>
      <m:oMath>
        <m:sSub>
          <m:sSubPr>
            <m:ctrlPr>
              <w:rPr>
                <w:rFonts w:ascii="Cambria Math" w:hAnsi="Cambria Math"/>
              </w:rPr>
            </m:ctrlPr>
          </m:sSubPr>
          <m:e>
            <m:r>
              <w:rPr>
                <w:rFonts w:ascii="Cambria Math" w:hAnsi="Cambria Math"/>
              </w:rPr>
              <m:t>Re</m:t>
            </m:r>
          </m:e>
          <m:sub>
            <m:r>
              <w:rPr>
                <w:rFonts w:ascii="Cambria Math" w:hAnsi="Cambria Math"/>
              </w:rPr>
              <m:t>r</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φω</m:t>
                </m:r>
              </m:e>
            </m:d>
            <m:sSup>
              <m:sSupPr>
                <m:ctrlPr>
                  <w:rPr>
                    <w:rFonts w:ascii="Cambria Math" w:hAnsi="Cambria Math"/>
                  </w:rPr>
                </m:ctrlPr>
              </m:sSupPr>
              <m:e>
                <m:r>
                  <w:rPr>
                    <w:rFonts w:ascii="Cambria Math" w:hAnsi="Cambria Math"/>
                  </w:rPr>
                  <m:t>r</m:t>
                </m:r>
              </m:e>
              <m:sup>
                <m:r>
                  <m:rPr>
                    <m:sty m:val="p"/>
                  </m:rPr>
                  <w:rPr>
                    <w:rFonts w:ascii="Cambria Math" w:hAnsi="Cambria Math"/>
                  </w:rPr>
                  <m:t>2</m:t>
                </m:r>
              </m:sup>
            </m:sSup>
          </m:num>
          <m:den>
            <m:r>
              <m:rPr>
                <m:sty m:val="p"/>
              </m:rPr>
              <w:rPr>
                <w:rFonts w:ascii="Cambria Math" w:hAnsi="Cambria Math"/>
              </w:rPr>
              <w:sym w:font="Symbol" w:char="F06E"/>
            </m:r>
          </m:den>
        </m:f>
      </m:oMath>
      <w:r w:rsidR="0002175A" w:rsidRPr="00DC77B0">
        <w:tab/>
      </w:r>
      <w:r w:rsidR="0002175A" w:rsidRPr="00DC77B0">
        <w:tab/>
      </w:r>
      <w:r w:rsidR="0002175A" w:rsidRPr="00DC77B0">
        <w:tab/>
      </w:r>
      <w:r w:rsidR="0002175A" w:rsidRPr="00DC77B0">
        <w:tab/>
      </w:r>
      <w:r w:rsidR="0002175A" w:rsidRPr="00DC77B0">
        <w:tab/>
      </w:r>
      <w:r w:rsidR="0002175A" w:rsidRPr="00DC77B0">
        <w:tab/>
        <w:t>(6)</w:t>
      </w:r>
    </w:p>
    <w:p w14:paraId="502BF9C4" w14:textId="05A189CD" w:rsidR="000E6257" w:rsidRDefault="0002175A" w:rsidP="00540348">
      <w:r w:rsidRPr="00DC77B0">
        <w:t>Where</w:t>
      </w:r>
    </w:p>
    <w:p w14:paraId="5692D735" w14:textId="0418F15C" w:rsidR="000E6257" w:rsidRDefault="000E6257" w:rsidP="00540348">
      <w:r>
        <w:t>F</w:t>
      </w:r>
      <w:r w:rsidR="0002175A" w:rsidRPr="00DC77B0">
        <w:t>luid kinematic viscosity (</w:t>
      </w:r>
      <w:r w:rsidR="0002175A" w:rsidRPr="00DC77B0">
        <w:sym w:font="Symbol" w:char="F06E"/>
      </w:r>
      <w:r w:rsidR="0002175A" w:rsidRPr="00DC77B0">
        <w:t>) is 1.05 x 10</w:t>
      </w:r>
      <w:r w:rsidR="0002175A" w:rsidRPr="00DC77B0">
        <w:rPr>
          <w:vertAlign w:val="superscript"/>
        </w:rPr>
        <w:t>-6</w:t>
      </w:r>
      <w:r w:rsidR="0002175A" w:rsidRPr="00DC77B0">
        <w:t xml:space="preserve"> m</w:t>
      </w:r>
      <w:r w:rsidR="0002175A" w:rsidRPr="00DC77B0">
        <w:rPr>
          <w:vertAlign w:val="superscript"/>
        </w:rPr>
        <w:t>2</w:t>
      </w:r>
      <w:r w:rsidR="0002175A" w:rsidRPr="00DC77B0">
        <w:t>·s</w:t>
      </w:r>
      <w:r w:rsidR="0002175A" w:rsidRPr="00DC77B0">
        <w:rPr>
          <w:vertAlign w:val="superscript"/>
        </w:rPr>
        <w:t>-1</w:t>
      </w:r>
      <w:r w:rsidR="0002175A" w:rsidRPr="00DC77B0">
        <w:t xml:space="preserve"> for seawater at salinity 35 g·kg</w:t>
      </w:r>
      <w:r w:rsidR="0002175A" w:rsidRPr="00DC77B0">
        <w:rPr>
          <w:vertAlign w:val="superscript"/>
        </w:rPr>
        <w:t>-1</w:t>
      </w:r>
      <w:r w:rsidR="0002175A" w:rsidRPr="00DC77B0">
        <w:t xml:space="preserve"> and temperature 20</w:t>
      </w:r>
      <w:r w:rsidR="00A26CB4">
        <w:t xml:space="preserve"> </w:t>
      </w:r>
      <w:r w:rsidR="0002175A" w:rsidRPr="00DC77B0">
        <w:t>°C</w:t>
      </w:r>
      <w:r w:rsidR="0002175A" w:rsidRPr="00DC77B0">
        <w:rPr>
          <w:rStyle w:val="CommentReference"/>
          <w:szCs w:val="24"/>
        </w:rPr>
        <w:t xml:space="preserve"> </w:t>
      </w:r>
      <w:r w:rsidR="0002175A" w:rsidRPr="00DC77B0">
        <w:rPr>
          <w:rStyle w:val="CommentReference"/>
          <w:noProof/>
          <w:sz w:val="24"/>
          <w:szCs w:val="24"/>
        </w:rPr>
        <w:t>(Kaye and Laby 1995)</w:t>
      </w:r>
      <w:r w:rsidR="0002175A" w:rsidRPr="00DC77B0">
        <w:t>.</w:t>
      </w:r>
    </w:p>
    <w:p w14:paraId="126E6E0C" w14:textId="77777777" w:rsidR="000E6257" w:rsidRDefault="000E6257" w:rsidP="00540348"/>
    <w:p w14:paraId="5B6359DF" w14:textId="58A8647B" w:rsidR="0002175A" w:rsidRPr="00DC77B0" w:rsidRDefault="0002175A" w:rsidP="00540348">
      <w:r w:rsidRPr="003B5328">
        <w:t>The range of rotational Reynolds number (</w:t>
      </w:r>
      <w:proofErr w:type="spellStart"/>
      <w:r w:rsidRPr="00620079">
        <w:rPr>
          <w:i/>
        </w:rPr>
        <w:t>Re</w:t>
      </w:r>
      <w:r w:rsidRPr="00620079">
        <w:rPr>
          <w:i/>
          <w:vertAlign w:val="subscript"/>
        </w:rPr>
        <w:t>r</w:t>
      </w:r>
      <w:proofErr w:type="spellEnd"/>
      <w:r w:rsidRPr="00620079">
        <w:t>) this apparatus operates over therefore depends on the swirl factor, the maximum attainable with no co-rotation of the water being 1.14 x 10</w:t>
      </w:r>
      <w:r w:rsidRPr="00620079">
        <w:rPr>
          <w:vertAlign w:val="superscript"/>
        </w:rPr>
        <w:t>5</w:t>
      </w:r>
      <w:r w:rsidRPr="00620079">
        <w:t xml:space="preserve"> </w:t>
      </w:r>
      <w:r w:rsidR="007F057B" w:rsidRPr="00620079">
        <w:t xml:space="preserve">when </w:t>
      </w:r>
      <w:r w:rsidRPr="003B5328">
        <w:sym w:font="Symbol" w:char="F06A"/>
      </w:r>
      <w:r w:rsidRPr="003B5328">
        <w:t xml:space="preserve"> = 1</w:t>
      </w:r>
      <w:r w:rsidRPr="00620079">
        <w:t>.</w:t>
      </w:r>
    </w:p>
    <w:p w14:paraId="0D7BAB50" w14:textId="77777777" w:rsidR="0002175A" w:rsidRPr="00DC77B0" w:rsidRDefault="0002175A" w:rsidP="00540348"/>
    <w:p w14:paraId="5C67D3BC" w14:textId="77777777" w:rsidR="0002175A" w:rsidRPr="003D2D14" w:rsidRDefault="0002175A" w:rsidP="00540348">
      <w:pPr>
        <w:pStyle w:val="Heading3"/>
        <w:rPr>
          <w:rFonts w:cs="Times New Roman"/>
        </w:rPr>
      </w:pPr>
      <w:r w:rsidRPr="003D2D14">
        <w:rPr>
          <w:rFonts w:cs="Times New Roman"/>
        </w:rPr>
        <w:t>Similarity law analysis</w:t>
      </w:r>
    </w:p>
    <w:p w14:paraId="1632AB91" w14:textId="1C6F8823" w:rsidR="0002175A" w:rsidRPr="00DC77B0" w:rsidRDefault="0002175A" w:rsidP="00540348">
      <w:r w:rsidRPr="00DC77B0">
        <w:t xml:space="preserve">The roughness functions for the rotating disk </w:t>
      </w:r>
      <w:r w:rsidR="007F057B">
        <w:t>surfaces</w:t>
      </w:r>
      <w:r w:rsidR="007F057B" w:rsidRPr="00DC77B0">
        <w:t xml:space="preserve"> </w:t>
      </w:r>
      <w:r w:rsidRPr="00DC77B0">
        <w:t xml:space="preserve">were calculated using the similarity law analysis developed by Granville </w:t>
      </w:r>
      <w:r w:rsidRPr="00DC77B0">
        <w:rPr>
          <w:noProof/>
        </w:rPr>
        <w:t xml:space="preserve">(Granville </w:t>
      </w:r>
      <w:r w:rsidR="00855956" w:rsidRPr="00DC77B0">
        <w:rPr>
          <w:noProof/>
        </w:rPr>
        <w:t xml:space="preserve">1978, </w:t>
      </w:r>
      <w:r w:rsidRPr="00DC77B0">
        <w:rPr>
          <w:noProof/>
        </w:rPr>
        <w:t>1982)</w:t>
      </w:r>
      <w:r w:rsidRPr="00DC77B0">
        <w:t xml:space="preserve">. </w:t>
      </w:r>
      <w:r w:rsidR="0089744F">
        <w:t xml:space="preserve">The roughness function is the </w:t>
      </w:r>
      <w:r w:rsidR="00B55BF6">
        <w:t xml:space="preserve">magnitude of the </w:t>
      </w:r>
      <w:r w:rsidR="0089744F">
        <w:t xml:space="preserve">downward shift in the logarithmic region of the mean velocity profile of the boundary layer that is caused by surface roughness </w:t>
      </w:r>
      <w:r w:rsidR="0089744F" w:rsidRPr="00DC77B0">
        <w:rPr>
          <w:noProof/>
        </w:rPr>
        <w:t>(Schultz and Myers 2003)</w:t>
      </w:r>
      <w:r w:rsidR="0089744F">
        <w:t>. Granville’s</w:t>
      </w:r>
      <w:r w:rsidR="0089744F" w:rsidRPr="00DC77B0">
        <w:t xml:space="preserve"> </w:t>
      </w:r>
      <w:r w:rsidRPr="00DC77B0">
        <w:t>procedure involves finding the difference in the C</w:t>
      </w:r>
      <w:r w:rsidRPr="00DC77B0">
        <w:rPr>
          <w:i/>
          <w:iCs/>
          <w:vertAlign w:val="subscript"/>
        </w:rPr>
        <w:t>m</w:t>
      </w:r>
      <w:r w:rsidRPr="00DC77B0">
        <w:t xml:space="preserve"> values of smooth and rough disks at the same value of </w:t>
      </w:r>
      <w:proofErr w:type="spellStart"/>
      <w:r w:rsidRPr="00100BA1">
        <w:rPr>
          <w:i/>
          <w:iCs/>
        </w:rPr>
        <w:t>Re</w:t>
      </w:r>
      <w:r w:rsidRPr="00100BA1">
        <w:rPr>
          <w:i/>
          <w:iCs/>
          <w:vertAlign w:val="subscript"/>
        </w:rPr>
        <w:t>r</w:t>
      </w:r>
      <w:proofErr w:type="spellEnd"/>
      <w:r w:rsidRPr="00DC77B0">
        <w:t xml:space="preserve"> </w:t>
      </w:r>
      <w:r w:rsidRPr="00DC77B0">
        <w:sym w:font="Symbol" w:char="F0D6"/>
      </w:r>
      <w:r w:rsidRPr="00DC77B0">
        <w:rPr>
          <w:i/>
          <w:iCs/>
        </w:rPr>
        <w:t>C</w:t>
      </w:r>
      <w:r w:rsidRPr="00DC77B0">
        <w:rPr>
          <w:i/>
          <w:iCs/>
          <w:vertAlign w:val="subscript"/>
        </w:rPr>
        <w:t>m</w:t>
      </w:r>
      <w:r w:rsidRPr="00DC77B0">
        <w:t xml:space="preserve"> and calculating the roughness function (</w:t>
      </w:r>
      <w:r w:rsidRPr="00DC77B0">
        <w:rPr>
          <w:i/>
          <w:iCs/>
        </w:rPr>
        <w:sym w:font="Symbol" w:char="F044"/>
      </w:r>
      <w:r w:rsidRPr="00DC77B0">
        <w:rPr>
          <w:i/>
          <w:iCs/>
        </w:rPr>
        <w:t>U</w:t>
      </w:r>
      <w:r w:rsidRPr="00DC77B0">
        <w:rPr>
          <w:i/>
          <w:iCs/>
          <w:vertAlign w:val="superscript"/>
        </w:rPr>
        <w:t>+</w:t>
      </w:r>
      <w:r w:rsidRPr="00DC77B0">
        <w:t>) and roughness Reynolds number (</w:t>
      </w:r>
      <w:r w:rsidRPr="00DC77B0">
        <w:rPr>
          <w:i/>
          <w:iCs/>
        </w:rPr>
        <w:t>k</w:t>
      </w:r>
      <w:r w:rsidRPr="00DC77B0">
        <w:rPr>
          <w:vertAlign w:val="superscript"/>
        </w:rPr>
        <w:t>+</w:t>
      </w:r>
      <w:r w:rsidRPr="00DC77B0">
        <w:t>)</w:t>
      </w:r>
      <w:r w:rsidR="0089744F">
        <w:t>, which is the ratio of the roughness length scale to the viscous length scale</w:t>
      </w:r>
      <w:r w:rsidR="00317A41">
        <w:t>,</w:t>
      </w:r>
      <w:r w:rsidRPr="00DC77B0">
        <w:t xml:space="preserve"> through an iterative solution of </w:t>
      </w:r>
      <w:proofErr w:type="spellStart"/>
      <w:r w:rsidRPr="00DC77B0">
        <w:t>eqs</w:t>
      </w:r>
      <w:proofErr w:type="spellEnd"/>
      <w:r w:rsidRPr="00DC77B0">
        <w:t>. 7 and 8</w:t>
      </w:r>
      <w:r w:rsidR="001F115D">
        <w:t>.</w:t>
      </w:r>
      <w:r w:rsidRPr="00DC77B0">
        <w:t xml:space="preserve"> </w:t>
      </w:r>
      <w:r w:rsidR="001F115D">
        <w:t>U</w:t>
      </w:r>
      <w:r w:rsidRPr="00DC77B0">
        <w:t>sing the notation in Schultz</w:t>
      </w:r>
      <w:r w:rsidR="001F115D">
        <w:t xml:space="preserve"> and Myers (2003)</w:t>
      </w:r>
      <w:r w:rsidRPr="00DC77B0">
        <w:t xml:space="preserve"> </w:t>
      </w:r>
      <w:r w:rsidR="00AE4BC8">
        <w:rPr>
          <w:noProof/>
        </w:rPr>
        <w:t xml:space="preserve"> where </w:t>
      </w:r>
      <w:r w:rsidR="00AE4BC8" w:rsidRPr="00C53DA6">
        <w:rPr>
          <w:i/>
          <w:iCs/>
          <w:noProof/>
        </w:rPr>
        <w:t>R</w:t>
      </w:r>
      <w:r w:rsidR="00AE4BC8">
        <w:rPr>
          <w:noProof/>
        </w:rPr>
        <w:t xml:space="preserve"> = radius, </w:t>
      </w:r>
      <w:r w:rsidR="00AE4BC8" w:rsidRPr="00C53DA6">
        <w:rPr>
          <w:i/>
          <w:iCs/>
          <w:noProof/>
        </w:rPr>
        <w:t>k</w:t>
      </w:r>
      <w:r w:rsidR="00AE4BC8">
        <w:rPr>
          <w:noProof/>
        </w:rPr>
        <w:t xml:space="preserve"> = surface roughness and </w:t>
      </w:r>
      <w:r w:rsidR="00AE4BC8" w:rsidRPr="00C53DA6">
        <w:rPr>
          <w:i/>
          <w:iCs/>
          <w:noProof/>
        </w:rPr>
        <w:sym w:font="Symbol" w:char="F06B"/>
      </w:r>
      <w:r w:rsidR="00AE4BC8">
        <w:rPr>
          <w:noProof/>
        </w:rPr>
        <w:t xml:space="preserve"> (kappa) = von Karman constant</w:t>
      </w:r>
      <w:r w:rsidR="00317A41">
        <w:rPr>
          <w:noProof/>
        </w:rPr>
        <w:t xml:space="preserve">, Granville’s </w:t>
      </w:r>
      <w:r w:rsidR="0007226E">
        <w:rPr>
          <w:noProof/>
        </w:rPr>
        <w:t>equations</w:t>
      </w:r>
      <w:r w:rsidR="00317A41">
        <w:rPr>
          <w:noProof/>
        </w:rPr>
        <w:t xml:space="preserve"> </w:t>
      </w:r>
      <w:r w:rsidR="0007226E">
        <w:rPr>
          <w:noProof/>
        </w:rPr>
        <w:t>are</w:t>
      </w:r>
      <w:r w:rsidRPr="00DC77B0">
        <w:t>:</w:t>
      </w:r>
    </w:p>
    <w:p w14:paraId="30EC8C1B" w14:textId="77777777" w:rsidR="0002175A" w:rsidRPr="00DC77B0" w:rsidRDefault="00D47D37" w:rsidP="00540348">
      <w:pPr>
        <w:ind w:left="1418" w:firstLine="850"/>
        <w:rPr>
          <w:rFonts w:eastAsiaTheme="minorEastAsia"/>
        </w:rPr>
      </w:pP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den>
            </m:f>
          </m:e>
        </m:d>
        <m:rad>
          <m:radPr>
            <m:degHide m:val="1"/>
            <m:ctrlPr>
              <w:rPr>
                <w:rFonts w:ascii="Cambria Math" w:hAnsi="Cambria Math"/>
                <w:i/>
              </w:rPr>
            </m:ctrlPr>
          </m:radPr>
          <m:deg/>
          <m:e>
            <m:f>
              <m:fPr>
                <m:ctrlPr>
                  <w:rPr>
                    <w:rFonts w:ascii="Cambria Math" w:hAnsi="Cambria Math"/>
                    <w:i/>
                  </w:rPr>
                </m:ctrlPr>
              </m:fPr>
              <m:num>
                <m:r>
                  <w:rPr>
                    <w:rFonts w:ascii="Cambria Math" w:hAnsi="Cambria Math"/>
                  </w:rPr>
                  <m:t>5</m:t>
                </m:r>
              </m:num>
              <m:den>
                <m:r>
                  <w:rPr>
                    <w:rFonts w:ascii="Cambria Math" w:hAnsi="Cambria Math"/>
                  </w:rPr>
                  <m:t>8π</m:t>
                </m:r>
              </m:den>
            </m:f>
            <m:r>
              <w:rPr>
                <w:rFonts w:ascii="Cambria Math" w:hAnsi="Cambria Math"/>
              </w:rPr>
              <m:t xml:space="preserve"> </m:t>
            </m:r>
          </m:e>
        </m:rad>
        <m:sSub>
          <m:sSubPr>
            <m:ctrlPr>
              <w:rPr>
                <w:rFonts w:ascii="Cambria Math" w:hAnsi="Cambria Math"/>
                <w:i/>
              </w:rPr>
            </m:ctrlPr>
          </m:sSubPr>
          <m:e>
            <m:r>
              <w:rPr>
                <w:rFonts w:ascii="Cambria Math" w:hAnsi="Cambria Math"/>
              </w:rPr>
              <m:t>Re</m:t>
            </m:r>
          </m:e>
          <m:sub>
            <m:r>
              <w:rPr>
                <w:rFonts w:ascii="Cambria Math" w:hAnsi="Cambria Math"/>
              </w:rPr>
              <m:t>R</m:t>
            </m:r>
          </m:sub>
        </m:sSub>
        <m:rad>
          <m:radPr>
            <m:degHide m:val="1"/>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m</m:t>
                </m:r>
              </m:sub>
            </m:sSub>
          </m:e>
        </m:rad>
        <m:d>
          <m:dPr>
            <m:begChr m:val="{"/>
            <m:endChr m:val="}"/>
            <m:ctrlPr>
              <w:rPr>
                <w:rFonts w:ascii="Cambria Math" w:hAnsi="Cambria Math"/>
                <w:i/>
              </w:rPr>
            </m:ctrlPr>
          </m:dPr>
          <m:e>
            <m:r>
              <w:rPr>
                <w:rFonts w:ascii="Cambria Math" w:hAnsi="Cambria Math"/>
              </w:rPr>
              <m:t>1-</m:t>
            </m:r>
            <m:d>
              <m:dPr>
                <m:begChr m:val="["/>
                <m:endChr m:val="]"/>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κ</m:t>
                    </m:r>
                  </m:den>
                </m:f>
                <m:r>
                  <w:rPr>
                    <w:rFonts w:ascii="Cambria Math" w:hAnsi="Cambria Math"/>
                  </w:rPr>
                  <m:t>-</m:t>
                </m:r>
                <m:sSup>
                  <m:sSupPr>
                    <m:ctrlPr>
                      <w:rPr>
                        <w:rFonts w:ascii="Cambria Math" w:hAnsi="Cambria Math"/>
                        <w:i/>
                      </w:rPr>
                    </m:ctrlPr>
                  </m:sSupPr>
                  <m:e>
                    <m:r>
                      <m:rPr>
                        <m:sty m:val="p"/>
                      </m:rPr>
                      <w:rPr>
                        <w:rFonts w:ascii="Cambria Math" w:hAnsi="Cambria Math"/>
                      </w:rPr>
                      <m:t>Δ</m:t>
                    </m:r>
                    <m:r>
                      <w:rPr>
                        <w:rFonts w:ascii="Cambria Math" w:hAnsi="Cambria Math"/>
                      </w:rPr>
                      <m:t>U</m:t>
                    </m:r>
                  </m:e>
                  <m:sup>
                    <m:r>
                      <w:rPr>
                        <w:rFonts w:ascii="Cambria Math" w:hAnsi="Cambria Math"/>
                      </w:rPr>
                      <m:t>+'</m:t>
                    </m:r>
                  </m:sup>
                </m:sSup>
              </m:e>
            </m:d>
            <m:sSub>
              <m:sSubPr>
                <m:ctrlPr>
                  <w:rPr>
                    <w:rFonts w:ascii="Cambria Math" w:hAnsi="Cambria Math"/>
                    <w:i/>
                  </w:rPr>
                </m:ctrlPr>
              </m:sSubPr>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m:t>
                                </m:r>
                              </m:sub>
                            </m:sSub>
                          </m:num>
                          <m:den>
                            <m:r>
                              <w:rPr>
                                <w:rFonts w:ascii="Cambria Math" w:hAnsi="Cambria Math"/>
                              </w:rPr>
                              <m:t>40π</m:t>
                            </m:r>
                          </m:den>
                        </m:f>
                      </m:e>
                    </m:rad>
                  </m:e>
                </m:d>
              </m:e>
              <m:sub>
                <m:r>
                  <w:rPr>
                    <w:rFonts w:ascii="Cambria Math" w:hAnsi="Cambria Math"/>
                  </w:rPr>
                  <m:t>R</m:t>
                </m:r>
              </m:sub>
            </m:sSub>
          </m:e>
        </m:d>
      </m:oMath>
      <w:r w:rsidR="0002175A" w:rsidRPr="00DC77B0">
        <w:rPr>
          <w:rFonts w:eastAsiaTheme="minorEastAsia"/>
        </w:rPr>
        <w:tab/>
        <w:t>(7)</w:t>
      </w:r>
    </w:p>
    <w:p w14:paraId="7DC7A4A6" w14:textId="697B3E89" w:rsidR="0002175A" w:rsidRPr="00DC77B0" w:rsidRDefault="00D47D37" w:rsidP="00540348">
      <w:pPr>
        <w:ind w:left="1418" w:firstLine="850"/>
      </w:pPr>
      <m:oMath>
        <m:sSup>
          <m:sSupPr>
            <m:ctrlPr>
              <w:rPr>
                <w:rFonts w:ascii="Cambria Math" w:hAnsi="Cambria Math"/>
                <w:i/>
              </w:rPr>
            </m:ctrlPr>
          </m:sSupPr>
          <m:e>
            <m:r>
              <m:rPr>
                <m:sty m:val="p"/>
              </m:rPr>
              <w:rPr>
                <w:rFonts w:ascii="Cambria Math" w:hAnsi="Cambria Math"/>
              </w:rPr>
              <m:t>Δ</m:t>
            </m:r>
            <m:r>
              <w:rPr>
                <w:rFonts w:ascii="Cambria Math" w:hAnsi="Cambria Math"/>
              </w:rPr>
              <m:t>U</m:t>
            </m:r>
          </m:e>
          <m:sup>
            <m:r>
              <w:rPr>
                <w:rFonts w:ascii="Cambria Math" w:hAnsi="Cambria Math"/>
              </w:rPr>
              <m:t>+</m:t>
            </m:r>
          </m:sup>
        </m:sSup>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8π</m:t>
                </m:r>
              </m:num>
              <m:den>
                <m:r>
                  <w:rPr>
                    <w:rFonts w:ascii="Cambria Math" w:hAnsi="Cambria Math"/>
                  </w:rPr>
                  <m:t>5</m:t>
                </m:r>
              </m:den>
            </m:f>
          </m:e>
        </m:rad>
        <m:d>
          <m:dPr>
            <m:begChr m:val="["/>
            <m:endChr m:val="]"/>
            <m:ctrlPr>
              <w:rPr>
                <w:rFonts w:ascii="Cambria Math" w:hAnsi="Cambria Math"/>
                <w:i/>
              </w:rPr>
            </m:ctrlPr>
          </m:dPr>
          <m:e>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m</m:t>
                                </m:r>
                              </m:sub>
                            </m:sSub>
                          </m:e>
                        </m:rad>
                      </m:den>
                    </m:f>
                  </m:e>
                </m:d>
              </m:e>
              <m:sub>
                <m:r>
                  <w:rPr>
                    <w:rFonts w:ascii="Cambria Math" w:hAnsi="Cambria Math"/>
                  </w:rPr>
                  <m:t>S</m:t>
                </m:r>
              </m:sub>
            </m:sSub>
            <m:r>
              <w:rPr>
                <w:rFonts w:ascii="Cambria Math" w:hAnsi="Cambria Math"/>
              </w:rPr>
              <m:t>-</m:t>
            </m:r>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m</m:t>
                                </m:r>
                              </m:sub>
                            </m:sSub>
                          </m:e>
                        </m:rad>
                      </m:den>
                    </m:f>
                  </m:e>
                </m:d>
              </m:e>
              <m:sub>
                <m:r>
                  <w:rPr>
                    <w:rFonts w:ascii="Cambria Math" w:hAnsi="Cambria Math"/>
                  </w:rPr>
                  <m:t>R</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sSup>
          <m:sSupPr>
            <m:ctrlPr>
              <w:rPr>
                <w:rFonts w:ascii="Cambria Math" w:hAnsi="Cambria Math"/>
                <w:i/>
              </w:rPr>
            </m:ctrlPr>
          </m:sSupPr>
          <m:e>
            <m:r>
              <m:rPr>
                <m:sty m:val="p"/>
              </m:rPr>
              <w:rPr>
                <w:rFonts w:ascii="Cambria Math" w:hAnsi="Cambria Math"/>
              </w:rPr>
              <m:t>Δ</m:t>
            </m:r>
            <m:r>
              <w:rPr>
                <w:rFonts w:ascii="Cambria Math" w:hAnsi="Cambria Math"/>
              </w:rPr>
              <m:t>U</m:t>
            </m:r>
          </m:e>
          <m:sup>
            <m:r>
              <w:rPr>
                <w:rFonts w:ascii="Cambria Math" w:hAnsi="Cambria Math"/>
              </w:rPr>
              <m:t>+'</m:t>
            </m:r>
          </m:sup>
        </m:sSup>
      </m:oMath>
      <w:r w:rsidR="0002175A" w:rsidRPr="00DC77B0">
        <w:tab/>
      </w:r>
      <w:r w:rsidR="0002175A" w:rsidRPr="00DC77B0">
        <w:tab/>
      </w:r>
      <w:r w:rsidR="0002175A" w:rsidRPr="00DC77B0">
        <w:tab/>
        <w:t>(8)</w:t>
      </w:r>
    </w:p>
    <w:p w14:paraId="19DAFC34" w14:textId="4E9054D1" w:rsidR="00E9397D" w:rsidRDefault="00CB5D65" w:rsidP="00E9397D">
      <w:r w:rsidRPr="00DC77B0">
        <w:t xml:space="preserve">Plotting </w:t>
      </w:r>
      <w:r w:rsidRPr="00DC77B0">
        <w:rPr>
          <w:i/>
          <w:iCs/>
        </w:rPr>
        <w:sym w:font="Symbol" w:char="F044"/>
      </w:r>
      <w:r w:rsidRPr="00DC77B0">
        <w:rPr>
          <w:i/>
          <w:iCs/>
        </w:rPr>
        <w:t>U</w:t>
      </w:r>
      <w:r w:rsidRPr="00DC77B0">
        <w:rPr>
          <w:i/>
          <w:iCs/>
          <w:vertAlign w:val="superscript"/>
        </w:rPr>
        <w:t>+</w:t>
      </w:r>
      <w:r w:rsidRPr="00DC77B0">
        <w:t xml:space="preserve"> against log </w:t>
      </w:r>
      <w:r w:rsidRPr="00100BA1">
        <w:rPr>
          <w:i/>
          <w:iCs/>
        </w:rPr>
        <w:t>(</w:t>
      </w:r>
      <w:r w:rsidRPr="00DC77B0">
        <w:rPr>
          <w:i/>
          <w:iCs/>
        </w:rPr>
        <w:t>k</w:t>
      </w:r>
      <w:r w:rsidRPr="00100BA1">
        <w:rPr>
          <w:i/>
          <w:iCs/>
          <w:vertAlign w:val="superscript"/>
        </w:rPr>
        <w:t>+</w:t>
      </w:r>
      <w:r w:rsidRPr="00100BA1">
        <w:rPr>
          <w:i/>
          <w:iCs/>
        </w:rPr>
        <w:t>)</w:t>
      </w:r>
      <w:r w:rsidRPr="00DC77B0">
        <w:t xml:space="preserve"> </w:t>
      </w:r>
      <w:r w:rsidR="00910977">
        <w:t>facilitates</w:t>
      </w:r>
      <w:r w:rsidRPr="00DC77B0">
        <w:t xml:space="preserve"> comparison with other published roughness function </w:t>
      </w:r>
      <w:r w:rsidRPr="003B5328">
        <w:t xml:space="preserve">results such as the </w:t>
      </w:r>
      <w:r w:rsidR="00910977" w:rsidRPr="00E9397D">
        <w:t xml:space="preserve">uniform </w:t>
      </w:r>
      <w:r w:rsidRPr="00E9397D">
        <w:t>sand curve of Nikuradse.</w:t>
      </w:r>
      <w:r w:rsidR="00681EF2" w:rsidRPr="00E9397D">
        <w:t xml:space="preserve"> </w:t>
      </w:r>
      <w:r w:rsidR="00E9397D" w:rsidRPr="00100BA1">
        <w:t>Nikuradse (Nikuradse 1933) established that frictional resistance, and hence</w:t>
      </w:r>
      <w:r w:rsidR="00D247B4">
        <w:t xml:space="preserve"> the</w:t>
      </w:r>
      <w:r w:rsidR="00E9397D" w:rsidRPr="00100BA1">
        <w:t xml:space="preserve"> roughness function, varies according to the magnitude of </w:t>
      </w:r>
      <w:r w:rsidR="00E9397D" w:rsidRPr="00100BA1">
        <w:rPr>
          <w:i/>
          <w:iCs/>
        </w:rPr>
        <w:t>k</w:t>
      </w:r>
      <w:r w:rsidR="00E9397D" w:rsidRPr="00100BA1">
        <w:rPr>
          <w:i/>
          <w:iCs/>
          <w:vertAlign w:val="superscript"/>
        </w:rPr>
        <w:t>+</w:t>
      </w:r>
      <w:r w:rsidR="00E9397D" w:rsidRPr="00100BA1">
        <w:t xml:space="preserve">. At low </w:t>
      </w:r>
      <w:r w:rsidR="00E9397D" w:rsidRPr="00100BA1">
        <w:rPr>
          <w:i/>
          <w:iCs/>
        </w:rPr>
        <w:t>k</w:t>
      </w:r>
      <w:r w:rsidR="00E9397D" w:rsidRPr="00100BA1">
        <w:rPr>
          <w:i/>
          <w:iCs/>
          <w:vertAlign w:val="superscript"/>
        </w:rPr>
        <w:t>+</w:t>
      </w:r>
      <w:r w:rsidR="00E9397D" w:rsidRPr="00100BA1">
        <w:t xml:space="preserve"> the thickness of the laminar boundary layer is still greater than the surface roughness projections, and roughness does not affect resistance. As </w:t>
      </w:r>
      <w:r w:rsidR="00E9397D" w:rsidRPr="00100BA1">
        <w:rPr>
          <w:i/>
          <w:iCs/>
        </w:rPr>
        <w:t>k</w:t>
      </w:r>
      <w:r w:rsidR="00E9397D" w:rsidRPr="00100BA1">
        <w:rPr>
          <w:i/>
          <w:iCs/>
          <w:vertAlign w:val="superscript"/>
        </w:rPr>
        <w:t>+</w:t>
      </w:r>
      <w:r w:rsidR="00E9397D" w:rsidRPr="00100BA1">
        <w:t xml:space="preserve"> increases the boundary layer thickness is reduced so that individual roughness elements extend through the</w:t>
      </w:r>
      <w:r w:rsidR="002C5372">
        <w:t xml:space="preserve"> viscous</w:t>
      </w:r>
      <w:r w:rsidR="00E9397D" w:rsidRPr="00100BA1">
        <w:t xml:space="preserve"> laminar </w:t>
      </w:r>
      <w:r w:rsidR="002C5372">
        <w:t>sub</w:t>
      </w:r>
      <w:r w:rsidR="00E9397D" w:rsidRPr="00100BA1">
        <w:t xml:space="preserve">layer and cause vortices that result in a loss of energy. At high enough </w:t>
      </w:r>
      <w:r w:rsidR="00E9397D" w:rsidRPr="00100BA1">
        <w:rPr>
          <w:i/>
          <w:iCs/>
        </w:rPr>
        <w:t>k</w:t>
      </w:r>
      <w:r w:rsidR="00E9397D" w:rsidRPr="00100BA1">
        <w:rPr>
          <w:i/>
          <w:iCs/>
          <w:vertAlign w:val="superscript"/>
        </w:rPr>
        <w:t>+</w:t>
      </w:r>
      <w:r w:rsidR="00E9397D" w:rsidRPr="00100BA1">
        <w:t xml:space="preserve"> the thickness of the boundary layer is so small that all the roughness elements project through it, giving a constant drag contribution. Thereafter </w:t>
      </w:r>
      <w:r w:rsidR="00E1121F" w:rsidRPr="00CA3F76">
        <w:t>in the fully rough flow regime</w:t>
      </w:r>
      <w:r w:rsidR="00E1121F" w:rsidRPr="00E9397D">
        <w:t xml:space="preserve"> </w:t>
      </w:r>
      <w:r w:rsidR="00E9397D" w:rsidRPr="00100BA1">
        <w:t xml:space="preserve">the resistance becomes independent of </w:t>
      </w:r>
      <w:r w:rsidR="00E9397D" w:rsidRPr="00100BA1">
        <w:rPr>
          <w:i/>
          <w:iCs/>
        </w:rPr>
        <w:t>k</w:t>
      </w:r>
      <w:r w:rsidR="00E9397D" w:rsidRPr="00100BA1">
        <w:rPr>
          <w:i/>
          <w:iCs/>
          <w:vertAlign w:val="superscript"/>
        </w:rPr>
        <w:t>+</w:t>
      </w:r>
      <w:r w:rsidR="00E9397D" w:rsidRPr="00100BA1">
        <w:t xml:space="preserve"> and depends only on the relative roughness.</w:t>
      </w:r>
    </w:p>
    <w:p w14:paraId="3C6DB3B0" w14:textId="77777777" w:rsidR="00D247B4" w:rsidRDefault="00D247B4" w:rsidP="00E9397D"/>
    <w:p w14:paraId="5E8A72D8" w14:textId="3494F244" w:rsidR="00080090" w:rsidRDefault="00E9397D" w:rsidP="00080090">
      <w:pPr>
        <w:pStyle w:val="NoSpacing"/>
        <w:spacing w:line="480" w:lineRule="auto"/>
        <w:rPr>
          <w:rFonts w:ascii="Times New Roman" w:eastAsia="Times New Roman" w:hAnsi="Times New Roman"/>
          <w:szCs w:val="24"/>
          <w:lang w:eastAsia="en-GB"/>
        </w:rPr>
      </w:pPr>
      <w:r>
        <w:t>The uniform sand</w:t>
      </w:r>
      <w:r w:rsidR="00080090" w:rsidRPr="00F527A1">
        <w:rPr>
          <w:rFonts w:ascii="Times New Roman" w:hAnsi="Times New Roman"/>
          <w:szCs w:val="24"/>
        </w:rPr>
        <w:t xml:space="preserve"> curve</w:t>
      </w:r>
      <w:r w:rsidR="007F057B">
        <w:rPr>
          <w:rFonts w:ascii="Times New Roman" w:hAnsi="Times New Roman"/>
          <w:szCs w:val="24"/>
        </w:rPr>
        <w:t xml:space="preserve"> was not directly plotted by</w:t>
      </w:r>
      <w:r w:rsidR="00080090" w:rsidRPr="00F527A1">
        <w:rPr>
          <w:rFonts w:ascii="Times New Roman" w:hAnsi="Times New Roman"/>
          <w:szCs w:val="24"/>
        </w:rPr>
        <w:t xml:space="preserve"> </w:t>
      </w:r>
      <w:r w:rsidR="007F057B" w:rsidRPr="00F527A1">
        <w:rPr>
          <w:rFonts w:ascii="Times New Roman" w:hAnsi="Times New Roman"/>
          <w:szCs w:val="24"/>
        </w:rPr>
        <w:t>Nikuradse</w:t>
      </w:r>
      <w:r w:rsidR="007F057B">
        <w:rPr>
          <w:rFonts w:ascii="Times New Roman" w:hAnsi="Times New Roman"/>
          <w:szCs w:val="24"/>
        </w:rPr>
        <w:t xml:space="preserve"> and </w:t>
      </w:r>
      <w:r w:rsidR="00080090" w:rsidRPr="00F527A1">
        <w:rPr>
          <w:rFonts w:ascii="Times New Roman" w:hAnsi="Times New Roman"/>
          <w:szCs w:val="24"/>
        </w:rPr>
        <w:t xml:space="preserve">must be constructed from </w:t>
      </w:r>
      <w:r w:rsidR="007F057B">
        <w:rPr>
          <w:rFonts w:ascii="Times New Roman" w:hAnsi="Times New Roman"/>
          <w:szCs w:val="24"/>
        </w:rPr>
        <w:t xml:space="preserve">his </w:t>
      </w:r>
      <w:r w:rsidR="00080090" w:rsidRPr="00F527A1">
        <w:rPr>
          <w:rFonts w:ascii="Times New Roman" w:hAnsi="Times New Roman"/>
          <w:szCs w:val="24"/>
        </w:rPr>
        <w:t>flow data</w:t>
      </w:r>
      <w:r w:rsidR="007F057B">
        <w:rPr>
          <w:rFonts w:ascii="Times New Roman" w:hAnsi="Times New Roman"/>
          <w:szCs w:val="24"/>
        </w:rPr>
        <w:t>.</w:t>
      </w:r>
      <w:r w:rsidR="00080090" w:rsidRPr="00F527A1">
        <w:rPr>
          <w:rFonts w:ascii="Times New Roman" w:hAnsi="Times New Roman"/>
          <w:szCs w:val="24"/>
        </w:rPr>
        <w:t xml:space="preserve"> </w:t>
      </w:r>
      <w:r w:rsidR="007F057B">
        <w:rPr>
          <w:rFonts w:ascii="Times New Roman" w:hAnsi="Times New Roman"/>
          <w:szCs w:val="24"/>
        </w:rPr>
        <w:t>I</w:t>
      </w:r>
      <w:r w:rsidR="00080090" w:rsidRPr="00DC77B0">
        <w:rPr>
          <w:rFonts w:ascii="Times New Roman" w:eastAsia="Times New Roman" w:hAnsi="Times New Roman"/>
          <w:szCs w:val="24"/>
          <w:lang w:eastAsia="en-GB"/>
        </w:rPr>
        <w:t xml:space="preserve">t has been noted </w:t>
      </w:r>
      <w:r w:rsidR="00080090" w:rsidRPr="005B2CB6">
        <w:rPr>
          <w:rFonts w:ascii="Times New Roman" w:eastAsia="Times New Roman" w:hAnsi="Times New Roman"/>
          <w:szCs w:val="24"/>
          <w:lang w:eastAsia="en-GB"/>
        </w:rPr>
        <w:t>(Niebles Atencio,</w:t>
      </w:r>
      <w:r w:rsidR="00080090" w:rsidRPr="00DC77B0">
        <w:rPr>
          <w:rFonts w:ascii="Times New Roman" w:eastAsia="Times New Roman" w:hAnsi="Times New Roman"/>
          <w:szCs w:val="24"/>
          <w:lang w:eastAsia="en-GB"/>
        </w:rPr>
        <w:t xml:space="preserve"> 2019) that there is no established agreement in the literature on a ‘true’ Nikuradse roughness function owing to the spread of the original </w:t>
      </w:r>
      <w:r w:rsidR="00080090" w:rsidRPr="00C23C63">
        <w:rPr>
          <w:rFonts w:ascii="Times New Roman" w:eastAsia="Times New Roman" w:hAnsi="Times New Roman"/>
          <w:szCs w:val="24"/>
          <w:lang w:eastAsia="en-GB"/>
        </w:rPr>
        <w:t>data. Grigson (1984) has plotted</w:t>
      </w:r>
      <w:r w:rsidR="00080090" w:rsidRPr="00DC77B0">
        <w:rPr>
          <w:rFonts w:ascii="Times New Roman" w:eastAsia="Times New Roman" w:hAnsi="Times New Roman"/>
          <w:szCs w:val="24"/>
          <w:lang w:eastAsia="en-GB"/>
        </w:rPr>
        <w:t xml:space="preserve"> </w:t>
      </w:r>
      <w:r w:rsidR="003D7B26">
        <w:rPr>
          <w:rFonts w:ascii="Times New Roman" w:eastAsia="Times New Roman" w:hAnsi="Times New Roman"/>
          <w:szCs w:val="24"/>
          <w:lang w:eastAsia="en-GB"/>
        </w:rPr>
        <w:t>an improved</w:t>
      </w:r>
      <w:r w:rsidR="00080090" w:rsidRPr="00DC77B0">
        <w:rPr>
          <w:rFonts w:ascii="Times New Roman" w:eastAsia="Times New Roman" w:hAnsi="Times New Roman"/>
          <w:szCs w:val="24"/>
          <w:lang w:eastAsia="en-GB"/>
        </w:rPr>
        <w:t xml:space="preserve"> sand roughness function curve after re-evaluating and correcting the original experimental data of Nikuradse, and comments on the excellence of the data.</w:t>
      </w:r>
    </w:p>
    <w:p w14:paraId="00D179A1" w14:textId="77777777" w:rsidR="00B813C4" w:rsidRDefault="00B813C4" w:rsidP="00080090">
      <w:pPr>
        <w:pStyle w:val="NoSpacing"/>
        <w:spacing w:line="480" w:lineRule="auto"/>
        <w:rPr>
          <w:rFonts w:ascii="Times New Roman" w:eastAsia="Times New Roman" w:hAnsi="Times New Roman"/>
          <w:szCs w:val="24"/>
          <w:lang w:eastAsia="en-GB"/>
        </w:rPr>
      </w:pPr>
    </w:p>
    <w:p w14:paraId="3C0F6BD8" w14:textId="43E56BC2" w:rsidR="00681EF2" w:rsidRDefault="00080090" w:rsidP="003D7B26">
      <w:r>
        <w:t>Various authors have developed expressions for uniformly distributed roughness functions and compared them with Nikuradse’s data.</w:t>
      </w:r>
      <w:r w:rsidR="00B813C4">
        <w:t xml:space="preserve"> </w:t>
      </w:r>
      <w:r w:rsidR="00681EF2" w:rsidRPr="00DC77B0">
        <w:t xml:space="preserve">A </w:t>
      </w:r>
      <w:r w:rsidR="003D7B26">
        <w:t>standard</w:t>
      </w:r>
      <w:r w:rsidR="00681EF2" w:rsidRPr="00DC77B0">
        <w:t xml:space="preserve"> curve can be constructed from </w:t>
      </w:r>
      <w:r w:rsidR="007F057B">
        <w:t>a set of</w:t>
      </w:r>
      <w:r w:rsidR="00681EF2" w:rsidRPr="00DC77B0">
        <w:t xml:space="preserve"> generic </w:t>
      </w:r>
      <w:r w:rsidR="00681EF2">
        <w:t xml:space="preserve">roughness function </w:t>
      </w:r>
      <w:r w:rsidR="00681EF2" w:rsidRPr="00DC77B0">
        <w:t xml:space="preserve">equations </w:t>
      </w:r>
      <w:r w:rsidR="007F057B">
        <w:t xml:space="preserve">such as those given </w:t>
      </w:r>
      <w:r w:rsidR="007F057B" w:rsidRPr="00B73351">
        <w:t>by</w:t>
      </w:r>
      <w:r w:rsidR="00681EF2" w:rsidRPr="00B73351">
        <w:t xml:space="preserve"> </w:t>
      </w:r>
      <w:proofErr w:type="spellStart"/>
      <w:r w:rsidR="00681EF2" w:rsidRPr="00B73351">
        <w:t>Cebeci</w:t>
      </w:r>
      <w:proofErr w:type="spellEnd"/>
      <w:r w:rsidR="00681EF2" w:rsidRPr="00B73351">
        <w:t xml:space="preserve"> and Bradshaw (1977</w:t>
      </w:r>
      <w:r w:rsidR="00681EF2" w:rsidRPr="00A26CB4">
        <w:t>)</w:t>
      </w:r>
      <w:r w:rsidR="00681EF2" w:rsidRPr="00DC77B0">
        <w:t xml:space="preserve"> as </w:t>
      </w:r>
      <w:r w:rsidR="00681EF2" w:rsidRPr="00DC77B0">
        <w:lastRenderedPageBreak/>
        <w:t xml:space="preserve">noted by </w:t>
      </w:r>
      <w:r w:rsidR="00681EF2" w:rsidRPr="00F15974">
        <w:t>Andersson (2020).</w:t>
      </w:r>
      <w:r w:rsidR="003D7B26">
        <w:t xml:space="preserve"> According to </w:t>
      </w:r>
      <w:proofErr w:type="spellStart"/>
      <w:r w:rsidR="003D7B26" w:rsidRPr="00DA0855">
        <w:t>Hunsucker</w:t>
      </w:r>
      <w:proofErr w:type="spellEnd"/>
      <w:r w:rsidR="003D7B26">
        <w:t xml:space="preserve"> (20</w:t>
      </w:r>
      <w:r w:rsidR="00574B07">
        <w:t>16</w:t>
      </w:r>
      <w:r w:rsidR="003D7B26">
        <w:t xml:space="preserve">), </w:t>
      </w:r>
      <w:proofErr w:type="spellStart"/>
      <w:r w:rsidR="009B014C">
        <w:t>Ligrani</w:t>
      </w:r>
      <w:proofErr w:type="spellEnd"/>
      <w:r w:rsidR="003D7B26" w:rsidRPr="00A26CB4">
        <w:t xml:space="preserve"> (1986)</w:t>
      </w:r>
      <w:r w:rsidR="003D7B26">
        <w:t xml:space="preserve"> gives a</w:t>
      </w:r>
      <w:r w:rsidR="00D247B4">
        <w:t>n</w:t>
      </w:r>
      <w:r w:rsidR="007F057B">
        <w:t xml:space="preserve"> </w:t>
      </w:r>
      <w:r w:rsidR="003D7B26">
        <w:t>expression for the Nikuradse-type roughness function which takes the form:</w:t>
      </w:r>
    </w:p>
    <w:p w14:paraId="0EA3AD63" w14:textId="77777777" w:rsidR="0082423B" w:rsidRDefault="0082423B" w:rsidP="003D7B26"/>
    <w:p w14:paraId="1DFEC264" w14:textId="34D2CC04" w:rsidR="0082423B" w:rsidRDefault="00890E89" w:rsidP="00100BA1">
      <w:pPr>
        <w:jc w:val="center"/>
      </w:pP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i/>
                      </w:rPr>
                      <w:sym w:font="Symbol" w:char="F06B"/>
                    </m:r>
                  </m:den>
                </m:f>
              </m:e>
            </m:d>
            <m:func>
              <m:funcPr>
                <m:ctrlPr>
                  <w:rPr>
                    <w:rFonts w:ascii="Cambria Math" w:hAnsi="Cambria Math"/>
                    <w:i/>
                  </w:rPr>
                </m:ctrlPr>
              </m:funcPr>
              <m:fName>
                <m:r>
                  <m:rPr>
                    <m:sty m:val="p"/>
                  </m:rPr>
                  <w:rPr>
                    <w:rFonts w:ascii="Cambria Math" w:hAnsi="Cambria Math"/>
                  </w:rPr>
                  <m:t>ln</m:t>
                </m:r>
              </m:fName>
              <m:e>
                <m:sSubSup>
                  <m:sSubSupPr>
                    <m:ctrlPr>
                      <w:rPr>
                        <w:rFonts w:ascii="Cambria Math" w:hAnsi="Cambria Math"/>
                        <w:i/>
                      </w:rPr>
                    </m:ctrlPr>
                  </m:sSubSupPr>
                  <m:e>
                    <m:r>
                      <w:rPr>
                        <w:rFonts w:ascii="Cambria Math" w:hAnsi="Cambria Math"/>
                      </w:rPr>
                      <m:t>k</m:t>
                    </m:r>
                  </m:e>
                  <m:sub>
                    <m:r>
                      <w:rPr>
                        <w:rFonts w:ascii="Cambria Math" w:hAnsi="Cambria Math"/>
                      </w:rPr>
                      <m:t>s</m:t>
                    </m:r>
                  </m:sub>
                  <m:sup>
                    <m:r>
                      <w:rPr>
                        <w:rFonts w:ascii="Cambria Math" w:hAnsi="Cambria Math"/>
                      </w:rPr>
                      <m:t>+-</m:t>
                    </m:r>
                  </m:sup>
                </m:sSubSup>
              </m:e>
            </m:fun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e>
        </m:d>
        <m:r>
          <w:rPr>
            <w:rFonts w:ascii="Cambria Math" w:hAnsi="Cambria Math"/>
          </w:rPr>
          <m:t>sin</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G</m:t>
            </m:r>
          </m:e>
        </m:d>
      </m:oMath>
      <w:r w:rsidR="002E1B74">
        <w:tab/>
      </w:r>
      <w:r w:rsidR="002E1B74">
        <w:tab/>
        <w:t>(9)</w:t>
      </w:r>
    </w:p>
    <w:p w14:paraId="1793B3C3" w14:textId="77777777" w:rsidR="002E1B74" w:rsidRDefault="002E1B74" w:rsidP="003D7B26">
      <w:pPr>
        <w:pStyle w:val="NoSpacing"/>
        <w:spacing w:line="480" w:lineRule="auto"/>
        <w:rPr>
          <w:rFonts w:ascii="Times New Roman" w:eastAsia="Times New Roman" w:hAnsi="Times New Roman"/>
          <w:szCs w:val="24"/>
          <w:lang w:eastAsia="en-GB"/>
        </w:rPr>
      </w:pPr>
    </w:p>
    <w:p w14:paraId="2EE3843D" w14:textId="6C0C61C9" w:rsidR="00154042" w:rsidRDefault="0082423B" w:rsidP="003D7B26">
      <w:pPr>
        <w:pStyle w:val="NoSpacing"/>
        <w:spacing w:line="480" w:lineRule="auto"/>
        <w:rPr>
          <w:rFonts w:ascii="Times New Roman" w:eastAsia="Times New Roman" w:hAnsi="Times New Roman"/>
          <w:szCs w:val="24"/>
          <w:lang w:eastAsia="en-GB"/>
        </w:rPr>
      </w:pPr>
      <w:r>
        <w:rPr>
          <w:rFonts w:ascii="Times New Roman" w:eastAsia="Times New Roman" w:hAnsi="Times New Roman"/>
          <w:szCs w:val="24"/>
          <w:lang w:eastAsia="en-GB"/>
        </w:rPr>
        <w:t>w</w:t>
      </w:r>
      <w:r w:rsidR="007B00D4">
        <w:rPr>
          <w:rFonts w:ascii="Times New Roman" w:eastAsia="Times New Roman" w:hAnsi="Times New Roman"/>
          <w:szCs w:val="24"/>
          <w:lang w:eastAsia="en-GB"/>
        </w:rPr>
        <w:t>here B</w:t>
      </w:r>
      <w:r w:rsidR="007B00D4" w:rsidRPr="00100BA1">
        <w:rPr>
          <w:rFonts w:ascii="Times New Roman" w:eastAsia="Times New Roman" w:hAnsi="Times New Roman"/>
          <w:szCs w:val="24"/>
          <w:vertAlign w:val="subscript"/>
          <w:lang w:eastAsia="en-GB"/>
        </w:rPr>
        <w:t>N</w:t>
      </w:r>
      <w:r w:rsidR="007B00D4">
        <w:rPr>
          <w:rFonts w:ascii="Times New Roman" w:eastAsia="Times New Roman" w:hAnsi="Times New Roman"/>
          <w:szCs w:val="24"/>
          <w:lang w:eastAsia="en-GB"/>
        </w:rPr>
        <w:t xml:space="preserve"> and B</w:t>
      </w:r>
      <w:r w:rsidR="007B00D4" w:rsidRPr="00100BA1">
        <w:rPr>
          <w:rFonts w:ascii="Times New Roman" w:eastAsia="Times New Roman" w:hAnsi="Times New Roman"/>
          <w:szCs w:val="24"/>
          <w:vertAlign w:val="subscript"/>
          <w:lang w:eastAsia="en-GB"/>
        </w:rPr>
        <w:t>1</w:t>
      </w:r>
      <w:r w:rsidR="007B00D4">
        <w:rPr>
          <w:rFonts w:ascii="Times New Roman" w:eastAsia="Times New Roman" w:hAnsi="Times New Roman"/>
          <w:szCs w:val="24"/>
          <w:lang w:eastAsia="en-GB"/>
        </w:rPr>
        <w:t xml:space="preserve"> are taken as approximately 8.5 and 5.0 respectively</w:t>
      </w:r>
      <w:r>
        <w:rPr>
          <w:rFonts w:ascii="Times New Roman" w:eastAsia="Times New Roman" w:hAnsi="Times New Roman"/>
          <w:szCs w:val="24"/>
          <w:lang w:eastAsia="en-GB"/>
        </w:rPr>
        <w:t>, and</w:t>
      </w:r>
      <w:r w:rsidR="002E1B74">
        <w:rPr>
          <w:rFonts w:ascii="Times New Roman" w:eastAsia="Times New Roman" w:hAnsi="Times New Roman"/>
          <w:szCs w:val="24"/>
          <w:lang w:eastAsia="en-GB"/>
        </w:rPr>
        <w:t xml:space="preserve"> where</w:t>
      </w:r>
      <w:r>
        <w:rPr>
          <w:rFonts w:ascii="Times New Roman" w:eastAsia="Times New Roman" w:hAnsi="Times New Roman"/>
          <w:szCs w:val="24"/>
          <w:lang w:eastAsia="en-GB"/>
        </w:rPr>
        <w:t xml:space="preserve"> t</w:t>
      </w:r>
      <w:r w:rsidR="007B00D4">
        <w:rPr>
          <w:rFonts w:ascii="Times New Roman" w:eastAsia="Times New Roman" w:hAnsi="Times New Roman"/>
          <w:szCs w:val="24"/>
          <w:lang w:eastAsia="en-GB"/>
        </w:rPr>
        <w:t>he value of G depends on the flow regime</w:t>
      </w:r>
      <w:r>
        <w:rPr>
          <w:rFonts w:ascii="Times New Roman" w:eastAsia="Times New Roman" w:hAnsi="Times New Roman"/>
          <w:szCs w:val="24"/>
          <w:lang w:eastAsia="en-GB"/>
        </w:rPr>
        <w:t>. For hydraulically smooth surface flow</w:t>
      </w:r>
      <w:r w:rsidR="00151A02">
        <w:rPr>
          <w:rFonts w:ascii="Times New Roman" w:eastAsia="Times New Roman" w:hAnsi="Times New Roman"/>
          <w:szCs w:val="24"/>
          <w:lang w:eastAsia="en-GB"/>
        </w:rPr>
        <w:t xml:space="preserve"> </w:t>
      </w:r>
      <w:r>
        <w:rPr>
          <w:rFonts w:ascii="Times New Roman" w:eastAsia="Times New Roman" w:hAnsi="Times New Roman"/>
          <w:szCs w:val="24"/>
          <w:lang w:eastAsia="en-GB"/>
        </w:rPr>
        <w:t>G</w:t>
      </w:r>
      <w:r w:rsidR="000B1482">
        <w:rPr>
          <w:rFonts w:ascii="Times New Roman" w:eastAsia="Times New Roman" w:hAnsi="Times New Roman"/>
          <w:szCs w:val="24"/>
          <w:lang w:eastAsia="en-GB"/>
        </w:rPr>
        <w:t xml:space="preserve"> </w:t>
      </w:r>
      <w:r>
        <w:rPr>
          <w:rFonts w:ascii="Times New Roman" w:eastAsia="Times New Roman" w:hAnsi="Times New Roman"/>
          <w:szCs w:val="24"/>
          <w:lang w:eastAsia="en-GB"/>
        </w:rPr>
        <w:t>=</w:t>
      </w:r>
      <w:r w:rsidR="000B1482">
        <w:rPr>
          <w:rFonts w:ascii="Times New Roman" w:eastAsia="Times New Roman" w:hAnsi="Times New Roman"/>
          <w:szCs w:val="24"/>
          <w:lang w:eastAsia="en-GB"/>
        </w:rPr>
        <w:t xml:space="preserve"> </w:t>
      </w:r>
      <w:r>
        <w:rPr>
          <w:rFonts w:ascii="Times New Roman" w:eastAsia="Times New Roman" w:hAnsi="Times New Roman"/>
          <w:szCs w:val="24"/>
          <w:lang w:eastAsia="en-GB"/>
        </w:rPr>
        <w:t>0, and for fully rough flow G</w:t>
      </w:r>
      <w:r w:rsidR="000B1482">
        <w:rPr>
          <w:rFonts w:ascii="Times New Roman" w:eastAsia="Times New Roman" w:hAnsi="Times New Roman"/>
          <w:szCs w:val="24"/>
          <w:lang w:eastAsia="en-GB"/>
        </w:rPr>
        <w:t xml:space="preserve"> </w:t>
      </w:r>
      <w:r>
        <w:rPr>
          <w:rFonts w:ascii="Times New Roman" w:eastAsia="Times New Roman" w:hAnsi="Times New Roman"/>
          <w:szCs w:val="24"/>
          <w:lang w:eastAsia="en-GB"/>
        </w:rPr>
        <w:t>=</w:t>
      </w:r>
      <w:r w:rsidR="000B1482">
        <w:rPr>
          <w:rFonts w:ascii="Times New Roman" w:eastAsia="Times New Roman" w:hAnsi="Times New Roman"/>
          <w:szCs w:val="24"/>
          <w:lang w:eastAsia="en-GB"/>
        </w:rPr>
        <w:t xml:space="preserve"> </w:t>
      </w:r>
      <w:r>
        <w:rPr>
          <w:rFonts w:ascii="Times New Roman" w:eastAsia="Times New Roman" w:hAnsi="Times New Roman"/>
          <w:szCs w:val="24"/>
          <w:lang w:eastAsia="en-GB"/>
        </w:rPr>
        <w:t xml:space="preserve">1. </w:t>
      </w:r>
      <w:r w:rsidR="00154042">
        <w:rPr>
          <w:rFonts w:ascii="Times New Roman" w:eastAsia="Times New Roman" w:hAnsi="Times New Roman"/>
          <w:szCs w:val="24"/>
          <w:lang w:eastAsia="en-GB"/>
        </w:rPr>
        <w:t>T</w:t>
      </w:r>
      <w:r>
        <w:rPr>
          <w:rFonts w:ascii="Times New Roman" w:eastAsia="Times New Roman" w:hAnsi="Times New Roman"/>
          <w:szCs w:val="24"/>
          <w:lang w:eastAsia="en-GB"/>
        </w:rPr>
        <w:t>he transitional rough flow regime</w:t>
      </w:r>
      <w:r w:rsidR="00154042">
        <w:rPr>
          <w:rFonts w:ascii="Times New Roman" w:eastAsia="Times New Roman" w:hAnsi="Times New Roman"/>
          <w:szCs w:val="24"/>
          <w:lang w:eastAsia="en-GB"/>
        </w:rPr>
        <w:t xml:space="preserve"> is taken to occur</w:t>
      </w:r>
      <w:r w:rsidR="00F9143C">
        <w:rPr>
          <w:rFonts w:ascii="Times New Roman" w:eastAsia="Times New Roman" w:hAnsi="Times New Roman"/>
          <w:szCs w:val="24"/>
          <w:lang w:eastAsia="en-GB"/>
        </w:rPr>
        <w:t xml:space="preserve"> over the range 3&lt;</w:t>
      </w:r>
      <m:oMath>
        <m:sSubSup>
          <m:sSubSupPr>
            <m:ctrlPr>
              <w:rPr>
                <w:rFonts w:ascii="Cambria Math" w:eastAsia="Times New Roman" w:hAnsi="Cambria Math"/>
                <w:i/>
                <w:szCs w:val="24"/>
                <w:lang w:eastAsia="en-GB"/>
              </w:rPr>
            </m:ctrlPr>
          </m:sSubSupPr>
          <m:e>
            <m:r>
              <w:rPr>
                <w:rFonts w:ascii="Cambria Math" w:eastAsia="Times New Roman" w:hAnsi="Cambria Math"/>
                <w:szCs w:val="24"/>
                <w:lang w:eastAsia="en-GB"/>
              </w:rPr>
              <m:t xml:space="preserve"> k</m:t>
            </m:r>
          </m:e>
          <m:sub>
            <m:r>
              <w:rPr>
                <w:rFonts w:ascii="Cambria Math" w:eastAsia="Times New Roman" w:hAnsi="Cambria Math"/>
                <w:szCs w:val="24"/>
                <w:lang w:eastAsia="en-GB"/>
              </w:rPr>
              <m:t>s</m:t>
            </m:r>
          </m:sub>
          <m:sup>
            <m:r>
              <w:rPr>
                <w:rFonts w:ascii="Cambria Math" w:eastAsia="Times New Roman" w:hAnsi="Cambria Math"/>
                <w:szCs w:val="24"/>
                <w:lang w:eastAsia="en-GB"/>
              </w:rPr>
              <m:t>+</m:t>
            </m:r>
          </m:sup>
        </m:sSubSup>
      </m:oMath>
      <w:r w:rsidR="00F9143C">
        <w:rPr>
          <w:rFonts w:ascii="Times New Roman" w:eastAsia="Times New Roman" w:hAnsi="Times New Roman"/>
          <w:szCs w:val="24"/>
          <w:lang w:eastAsia="en-GB"/>
        </w:rPr>
        <w:t>&lt;70</w:t>
      </w:r>
      <w:r w:rsidR="00154042">
        <w:rPr>
          <w:rFonts w:ascii="Times New Roman" w:eastAsia="Times New Roman" w:hAnsi="Times New Roman"/>
          <w:szCs w:val="24"/>
          <w:lang w:eastAsia="en-GB"/>
        </w:rPr>
        <w:t xml:space="preserve"> </w:t>
      </w:r>
      <w:r w:rsidR="006A103C">
        <w:rPr>
          <w:rFonts w:ascii="Times New Roman" w:eastAsia="Times New Roman" w:hAnsi="Times New Roman"/>
          <w:szCs w:val="24"/>
          <w:lang w:eastAsia="en-GB"/>
        </w:rPr>
        <w:t>(</w:t>
      </w:r>
      <w:r w:rsidR="00F9143C">
        <w:rPr>
          <w:rFonts w:ascii="Times New Roman" w:eastAsia="Times New Roman" w:hAnsi="Times New Roman"/>
          <w:szCs w:val="24"/>
          <w:lang w:eastAsia="en-GB"/>
        </w:rPr>
        <w:t>where</w:t>
      </w:r>
      <w:r w:rsidR="00154042">
        <w:rPr>
          <w:rFonts w:ascii="Times New Roman" w:eastAsia="Times New Roman" w:hAnsi="Times New Roman"/>
          <w:szCs w:val="24"/>
          <w:lang w:eastAsia="en-GB"/>
        </w:rPr>
        <w:t xml:space="preserve"> </w:t>
      </w:r>
      <m:oMath>
        <m:sSubSup>
          <m:sSubSupPr>
            <m:ctrlPr>
              <w:rPr>
                <w:rFonts w:ascii="Cambria Math" w:eastAsia="Times New Roman" w:hAnsi="Cambria Math"/>
                <w:i/>
                <w:szCs w:val="24"/>
                <w:lang w:eastAsia="en-GB"/>
              </w:rPr>
            </m:ctrlPr>
          </m:sSubSupPr>
          <m:e>
            <m:r>
              <w:rPr>
                <w:rFonts w:ascii="Cambria Math" w:eastAsia="Times New Roman" w:hAnsi="Cambria Math"/>
                <w:szCs w:val="24"/>
                <w:lang w:eastAsia="en-GB"/>
              </w:rPr>
              <m:t>k</m:t>
            </m:r>
          </m:e>
          <m:sub>
            <m:r>
              <w:rPr>
                <w:rFonts w:ascii="Cambria Math" w:eastAsia="Times New Roman" w:hAnsi="Cambria Math"/>
                <w:szCs w:val="24"/>
                <w:lang w:eastAsia="en-GB"/>
              </w:rPr>
              <m:t>s</m:t>
            </m:r>
          </m:sub>
          <m:sup>
            <m:r>
              <w:rPr>
                <w:rFonts w:ascii="Cambria Math" w:eastAsia="Times New Roman" w:hAnsi="Cambria Math"/>
                <w:szCs w:val="24"/>
                <w:lang w:eastAsia="en-GB"/>
              </w:rPr>
              <m:t>+</m:t>
            </m:r>
          </m:sup>
        </m:sSubSup>
      </m:oMath>
      <w:r w:rsidR="00F9143C">
        <w:rPr>
          <w:rFonts w:ascii="Times New Roman" w:eastAsia="Times New Roman" w:hAnsi="Times New Roman"/>
          <w:szCs w:val="24"/>
          <w:lang w:eastAsia="en-GB"/>
        </w:rPr>
        <w:t>is</w:t>
      </w:r>
      <w:r w:rsidR="00154042">
        <w:rPr>
          <w:rFonts w:ascii="Times New Roman" w:eastAsia="Times New Roman" w:hAnsi="Times New Roman"/>
          <w:szCs w:val="24"/>
          <w:lang w:eastAsia="en-GB"/>
        </w:rPr>
        <w:t xml:space="preserve"> the uniform sand roughness Reynold’s number</w:t>
      </w:r>
      <w:r w:rsidR="00F9143C">
        <w:rPr>
          <w:rFonts w:ascii="Times New Roman" w:eastAsia="Times New Roman" w:hAnsi="Times New Roman"/>
          <w:szCs w:val="24"/>
          <w:lang w:eastAsia="en-GB"/>
        </w:rPr>
        <w:t>). O</w:t>
      </w:r>
      <w:r w:rsidR="00154042">
        <w:rPr>
          <w:rFonts w:ascii="Times New Roman" w:eastAsia="Times New Roman" w:hAnsi="Times New Roman"/>
          <w:szCs w:val="24"/>
          <w:lang w:eastAsia="en-GB"/>
        </w:rPr>
        <w:t>ther authors’</w:t>
      </w:r>
      <w:r w:rsidR="00574B07">
        <w:rPr>
          <w:rFonts w:ascii="Times New Roman" w:eastAsia="Times New Roman" w:hAnsi="Times New Roman"/>
          <w:szCs w:val="24"/>
          <w:lang w:eastAsia="en-GB"/>
        </w:rPr>
        <w:t xml:space="preserve"> range</w:t>
      </w:r>
      <w:r w:rsidR="00154042">
        <w:rPr>
          <w:rFonts w:ascii="Times New Roman" w:eastAsia="Times New Roman" w:hAnsi="Times New Roman"/>
          <w:szCs w:val="24"/>
          <w:lang w:eastAsia="en-GB"/>
        </w:rPr>
        <w:t xml:space="preserve"> </w:t>
      </w:r>
      <w:r w:rsidR="00F9143C">
        <w:rPr>
          <w:rFonts w:ascii="Times New Roman" w:eastAsia="Times New Roman" w:hAnsi="Times New Roman"/>
          <w:szCs w:val="24"/>
          <w:lang w:eastAsia="en-GB"/>
        </w:rPr>
        <w:t>limits</w:t>
      </w:r>
      <w:r w:rsidR="00154042">
        <w:rPr>
          <w:rFonts w:ascii="Times New Roman" w:eastAsia="Times New Roman" w:hAnsi="Times New Roman"/>
          <w:szCs w:val="24"/>
          <w:lang w:eastAsia="en-GB"/>
        </w:rPr>
        <w:t xml:space="preserve"> vary slightly</w:t>
      </w:r>
      <w:r w:rsidR="00F9143C">
        <w:rPr>
          <w:rFonts w:ascii="Times New Roman" w:eastAsia="Times New Roman" w:hAnsi="Times New Roman"/>
          <w:szCs w:val="24"/>
          <w:lang w:eastAsia="en-GB"/>
        </w:rPr>
        <w:t xml:space="preserve"> from these</w:t>
      </w:r>
      <w:r w:rsidR="006A103C">
        <w:rPr>
          <w:rFonts w:ascii="Times New Roman" w:eastAsia="Times New Roman" w:hAnsi="Times New Roman"/>
          <w:szCs w:val="24"/>
          <w:lang w:eastAsia="en-GB"/>
        </w:rPr>
        <w:t xml:space="preserve"> values</w:t>
      </w:r>
      <w:r w:rsidR="00F9143C">
        <w:rPr>
          <w:rFonts w:ascii="Times New Roman" w:eastAsia="Times New Roman" w:hAnsi="Times New Roman"/>
          <w:szCs w:val="24"/>
          <w:lang w:eastAsia="en-GB"/>
        </w:rPr>
        <w:t xml:space="preserve"> (</w:t>
      </w:r>
      <w:proofErr w:type="spellStart"/>
      <w:r w:rsidR="005335DD">
        <w:rPr>
          <w:rFonts w:ascii="Times New Roman" w:eastAsia="Times New Roman" w:hAnsi="Times New Roman"/>
          <w:szCs w:val="24"/>
          <w:lang w:eastAsia="en-GB"/>
        </w:rPr>
        <w:t>Demirel</w:t>
      </w:r>
      <w:proofErr w:type="spellEnd"/>
      <w:r w:rsidR="005335DD">
        <w:rPr>
          <w:rFonts w:ascii="Times New Roman" w:eastAsia="Times New Roman" w:hAnsi="Times New Roman"/>
          <w:szCs w:val="24"/>
          <w:lang w:eastAsia="en-GB"/>
        </w:rPr>
        <w:t xml:space="preserve"> 2017</w:t>
      </w:r>
      <w:r w:rsidR="00F9143C">
        <w:rPr>
          <w:rFonts w:ascii="Times New Roman" w:eastAsia="Times New Roman" w:hAnsi="Times New Roman"/>
          <w:szCs w:val="24"/>
          <w:lang w:eastAsia="en-GB"/>
        </w:rPr>
        <w:t>) without significantly affecting the overall shape of the curve</w:t>
      </w:r>
      <w:r w:rsidR="00154042">
        <w:rPr>
          <w:rFonts w:ascii="Times New Roman" w:eastAsia="Times New Roman" w:hAnsi="Times New Roman"/>
          <w:szCs w:val="24"/>
          <w:lang w:eastAsia="en-GB"/>
        </w:rPr>
        <w:t>.</w:t>
      </w:r>
      <w:r w:rsidR="00910977">
        <w:rPr>
          <w:rFonts w:ascii="Times New Roman" w:eastAsia="Times New Roman" w:hAnsi="Times New Roman"/>
          <w:szCs w:val="24"/>
          <w:lang w:eastAsia="en-GB"/>
        </w:rPr>
        <w:t xml:space="preserve"> In this </w:t>
      </w:r>
      <w:r w:rsidR="002E1B74">
        <w:rPr>
          <w:rFonts w:ascii="Times New Roman" w:eastAsia="Times New Roman" w:hAnsi="Times New Roman"/>
          <w:szCs w:val="24"/>
          <w:lang w:eastAsia="en-GB"/>
        </w:rPr>
        <w:t xml:space="preserve">transitional </w:t>
      </w:r>
      <w:r w:rsidR="00020D5B">
        <w:rPr>
          <w:rFonts w:ascii="Times New Roman" w:eastAsia="Times New Roman" w:hAnsi="Times New Roman"/>
          <w:szCs w:val="24"/>
          <w:lang w:eastAsia="en-GB"/>
        </w:rPr>
        <w:t xml:space="preserve">flow </w:t>
      </w:r>
      <w:r w:rsidR="00910977">
        <w:rPr>
          <w:rFonts w:ascii="Times New Roman" w:eastAsia="Times New Roman" w:hAnsi="Times New Roman"/>
          <w:szCs w:val="24"/>
          <w:lang w:eastAsia="en-GB"/>
        </w:rPr>
        <w:t>region</w:t>
      </w:r>
      <w:r w:rsidR="006A103C">
        <w:rPr>
          <w:rFonts w:ascii="Times New Roman" w:eastAsia="Times New Roman" w:hAnsi="Times New Roman"/>
          <w:szCs w:val="24"/>
          <w:lang w:eastAsia="en-GB"/>
        </w:rPr>
        <w:t>, taking</w:t>
      </w:r>
      <w:r w:rsidR="000A0041">
        <w:rPr>
          <w:rFonts w:ascii="Times New Roman" w:eastAsia="Times New Roman" w:hAnsi="Times New Roman"/>
          <w:szCs w:val="24"/>
          <w:lang w:eastAsia="en-GB"/>
        </w:rPr>
        <w:t xml:space="preserve"> the limits as</w:t>
      </w:r>
      <w:r w:rsidR="006A103C">
        <w:rPr>
          <w:rFonts w:ascii="Times New Roman" w:eastAsia="Times New Roman" w:hAnsi="Times New Roman"/>
          <w:szCs w:val="24"/>
          <w:lang w:eastAsia="en-GB"/>
        </w:rPr>
        <w:t xml:space="preserve"> </w:t>
      </w:r>
      <w:proofErr w:type="spellStart"/>
      <w:r w:rsidR="006A103C">
        <w:rPr>
          <w:rFonts w:ascii="Times New Roman" w:eastAsia="Times New Roman" w:hAnsi="Times New Roman"/>
          <w:szCs w:val="24"/>
          <w:lang w:eastAsia="en-GB"/>
        </w:rPr>
        <w:t>k</w:t>
      </w:r>
      <w:r w:rsidR="006A103C" w:rsidRPr="00100BA1">
        <w:rPr>
          <w:rFonts w:ascii="Times New Roman" w:eastAsia="Times New Roman" w:hAnsi="Times New Roman"/>
          <w:szCs w:val="24"/>
          <w:vertAlign w:val="superscript"/>
          <w:lang w:eastAsia="en-GB"/>
        </w:rPr>
        <w:t>+</w:t>
      </w:r>
      <w:r w:rsidR="006A103C" w:rsidRPr="00100BA1">
        <w:rPr>
          <w:rFonts w:ascii="Times New Roman" w:eastAsia="Times New Roman" w:hAnsi="Times New Roman"/>
          <w:szCs w:val="24"/>
          <w:vertAlign w:val="subscript"/>
          <w:lang w:eastAsia="en-GB"/>
        </w:rPr>
        <w:t>smooth</w:t>
      </w:r>
      <w:proofErr w:type="spellEnd"/>
      <w:r w:rsidR="006A103C">
        <w:rPr>
          <w:rFonts w:ascii="Times New Roman" w:eastAsia="Times New Roman" w:hAnsi="Times New Roman"/>
          <w:szCs w:val="24"/>
          <w:lang w:eastAsia="en-GB"/>
        </w:rPr>
        <w:t xml:space="preserve"> = 3 and </w:t>
      </w:r>
      <w:proofErr w:type="spellStart"/>
      <w:r w:rsidR="006A103C">
        <w:rPr>
          <w:rFonts w:ascii="Times New Roman" w:eastAsia="Times New Roman" w:hAnsi="Times New Roman"/>
          <w:szCs w:val="24"/>
          <w:lang w:eastAsia="en-GB"/>
        </w:rPr>
        <w:t>k</w:t>
      </w:r>
      <w:r w:rsidR="006A103C" w:rsidRPr="00100BA1">
        <w:rPr>
          <w:rFonts w:ascii="Times New Roman" w:eastAsia="Times New Roman" w:hAnsi="Times New Roman"/>
          <w:szCs w:val="24"/>
          <w:vertAlign w:val="superscript"/>
          <w:lang w:eastAsia="en-GB"/>
        </w:rPr>
        <w:t>+</w:t>
      </w:r>
      <w:r w:rsidR="006A103C" w:rsidRPr="00100BA1">
        <w:rPr>
          <w:rFonts w:ascii="Times New Roman" w:eastAsia="Times New Roman" w:hAnsi="Times New Roman"/>
          <w:szCs w:val="24"/>
          <w:vertAlign w:val="subscript"/>
          <w:lang w:eastAsia="en-GB"/>
        </w:rPr>
        <w:t>rough</w:t>
      </w:r>
      <w:proofErr w:type="spellEnd"/>
      <w:r w:rsidR="006A103C">
        <w:rPr>
          <w:rFonts w:ascii="Times New Roman" w:eastAsia="Times New Roman" w:hAnsi="Times New Roman"/>
          <w:szCs w:val="24"/>
          <w:lang w:eastAsia="en-GB"/>
        </w:rPr>
        <w:t xml:space="preserve"> = 70</w:t>
      </w:r>
      <w:r w:rsidR="00910977">
        <w:rPr>
          <w:rFonts w:ascii="Times New Roman" w:eastAsia="Times New Roman" w:hAnsi="Times New Roman"/>
          <w:szCs w:val="24"/>
          <w:lang w:eastAsia="en-GB"/>
        </w:rPr>
        <w:t>:</w:t>
      </w:r>
    </w:p>
    <w:p w14:paraId="4CC7B46B" w14:textId="3250B73F" w:rsidR="0082423B" w:rsidRPr="00D364B7" w:rsidRDefault="0082423B" w:rsidP="00100BA1">
      <w:pPr>
        <w:jc w:val="center"/>
      </w:pPr>
      <m:oMath>
        <m:r>
          <w:rPr>
            <w:rFonts w:ascii="Cambria Math" w:hAnsi="Cambria Math"/>
          </w:rPr>
          <m:t>G</m:t>
        </m:r>
        <m:r>
          <m:rPr>
            <m:sty m:val="p"/>
          </m:rPr>
          <w:rPr>
            <w:rFonts w:ascii="Cambria Math" w:hAnsi="Cambria Math"/>
          </w:rPr>
          <m:t>=</m:t>
        </m:r>
        <m:f>
          <m:fPr>
            <m:ctrlPr>
              <w:rPr>
                <w:rFonts w:ascii="Cambria Math" w:hAnsi="Cambria Math"/>
              </w:rPr>
            </m:ctrlPr>
          </m:fPr>
          <m:num>
            <m:r>
              <w:rPr>
                <w:rFonts w:ascii="Cambria Math" w:hAnsi="Cambria Math"/>
              </w:rPr>
              <m:t>ln</m:t>
            </m:r>
            <m:d>
              <m:dPr>
                <m:ctrlPr>
                  <w:rPr>
                    <w:rFonts w:ascii="Cambria Math" w:hAnsi="Cambria Math"/>
                  </w:rPr>
                </m:ctrlPr>
              </m:dPr>
              <m:e>
                <m:f>
                  <m:fPr>
                    <m:type m:val="skw"/>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s</m:t>
                        </m:r>
                      </m:sub>
                      <m:sup>
                        <m:r>
                          <m:rPr>
                            <m:sty m:val="p"/>
                          </m:rPr>
                          <w:rPr>
                            <w:rFonts w:ascii="Cambria Math" w:hAnsi="Cambria Math"/>
                          </w:rPr>
                          <m:t>+</m:t>
                        </m:r>
                      </m:sup>
                    </m:sSubSup>
                  </m:num>
                  <m:den>
                    <m:sSubSup>
                      <m:sSubSupPr>
                        <m:ctrlPr>
                          <w:rPr>
                            <w:rFonts w:ascii="Cambria Math" w:hAnsi="Cambria Math"/>
                          </w:rPr>
                        </m:ctrlPr>
                      </m:sSubSupPr>
                      <m:e>
                        <m:r>
                          <w:rPr>
                            <w:rFonts w:ascii="Cambria Math" w:hAnsi="Cambria Math"/>
                          </w:rPr>
                          <m:t>k</m:t>
                        </m:r>
                      </m:e>
                      <m:sub>
                        <m:r>
                          <w:rPr>
                            <w:rFonts w:ascii="Cambria Math" w:hAnsi="Cambria Math"/>
                          </w:rPr>
                          <m:t>smooth</m:t>
                        </m:r>
                      </m:sub>
                      <m:sup>
                        <m:r>
                          <m:rPr>
                            <m:sty m:val="p"/>
                          </m:rPr>
                          <w:rPr>
                            <w:rFonts w:ascii="Cambria Math" w:hAnsi="Cambria Math"/>
                          </w:rPr>
                          <m:t>+</m:t>
                        </m:r>
                      </m:sup>
                    </m:sSubSup>
                  </m:den>
                </m:f>
              </m:e>
            </m:d>
          </m:num>
          <m:den>
            <m:r>
              <w:rPr>
                <w:rFonts w:ascii="Cambria Math" w:hAnsi="Cambria Math"/>
              </w:rPr>
              <m:t>ln</m:t>
            </m:r>
            <m:d>
              <m:dPr>
                <m:ctrlPr>
                  <w:rPr>
                    <w:rFonts w:ascii="Cambria Math" w:hAnsi="Cambria Math"/>
                  </w:rPr>
                </m:ctrlPr>
              </m:dPr>
              <m:e>
                <m:f>
                  <m:fPr>
                    <m:type m:val="skw"/>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rough</m:t>
                        </m:r>
                      </m:sub>
                      <m:sup>
                        <m:r>
                          <m:rPr>
                            <m:sty m:val="p"/>
                          </m:rPr>
                          <w:rPr>
                            <w:rFonts w:ascii="Cambria Math" w:hAnsi="Cambria Math"/>
                          </w:rPr>
                          <m:t>+</m:t>
                        </m:r>
                      </m:sup>
                    </m:sSubSup>
                  </m:num>
                  <m:den>
                    <m:sSubSup>
                      <m:sSubSupPr>
                        <m:ctrlPr>
                          <w:rPr>
                            <w:rFonts w:ascii="Cambria Math" w:hAnsi="Cambria Math"/>
                          </w:rPr>
                        </m:ctrlPr>
                      </m:sSubSupPr>
                      <m:e>
                        <m:r>
                          <w:rPr>
                            <w:rFonts w:ascii="Cambria Math" w:hAnsi="Cambria Math"/>
                          </w:rPr>
                          <m:t>k</m:t>
                        </m:r>
                      </m:e>
                      <m:sub>
                        <m:r>
                          <w:rPr>
                            <w:rFonts w:ascii="Cambria Math" w:hAnsi="Cambria Math"/>
                          </w:rPr>
                          <m:t>smooth</m:t>
                        </m:r>
                      </m:sub>
                      <m:sup>
                        <m:r>
                          <m:rPr>
                            <m:sty m:val="p"/>
                          </m:rPr>
                          <w:rPr>
                            <w:rFonts w:ascii="Cambria Math" w:hAnsi="Cambria Math"/>
                          </w:rPr>
                          <m:t>+</m:t>
                        </m:r>
                      </m:sup>
                    </m:sSubSup>
                  </m:den>
                </m:f>
              </m:e>
            </m:d>
          </m:den>
        </m:f>
      </m:oMath>
      <w:r w:rsidR="00D364B7">
        <w:tab/>
      </w:r>
      <w:r w:rsidR="00D364B7">
        <w:tab/>
      </w:r>
      <w:r w:rsidR="00D364B7">
        <w:tab/>
      </w:r>
      <w:r w:rsidR="00D364B7">
        <w:tab/>
        <w:t>(10)</w:t>
      </w:r>
    </w:p>
    <w:p w14:paraId="0E28E91B" w14:textId="77777777" w:rsidR="00154042" w:rsidRDefault="00154042" w:rsidP="00790CE2">
      <w:pPr>
        <w:rPr>
          <w:highlight w:val="yellow"/>
        </w:rPr>
      </w:pPr>
    </w:p>
    <w:p w14:paraId="29F221FA" w14:textId="13AE6025" w:rsidR="00154042" w:rsidRPr="00100BA1" w:rsidRDefault="00154042" w:rsidP="00790CE2">
      <w:r w:rsidRPr="00100BA1">
        <w:t>Equation</w:t>
      </w:r>
      <w:r w:rsidR="002E1B74" w:rsidRPr="00100BA1">
        <w:t xml:space="preserve"> 9</w:t>
      </w:r>
      <w:r w:rsidRPr="00100BA1">
        <w:t xml:space="preserve"> with the</w:t>
      </w:r>
      <w:r w:rsidR="00D364B7" w:rsidRPr="00100BA1">
        <w:t xml:space="preserve"> above</w:t>
      </w:r>
      <w:r w:rsidRPr="00100BA1">
        <w:t xml:space="preserve"> values</w:t>
      </w:r>
      <w:r w:rsidR="002E1B74" w:rsidRPr="00100BA1">
        <w:t xml:space="preserve"> for G</w:t>
      </w:r>
      <w:r w:rsidRPr="00100BA1">
        <w:t xml:space="preserve"> is </w:t>
      </w:r>
      <w:r w:rsidR="00910977" w:rsidRPr="00100BA1">
        <w:t>used to generate</w:t>
      </w:r>
      <w:r w:rsidRPr="00100BA1">
        <w:t xml:space="preserve"> the reference Nikuradse-type curve</w:t>
      </w:r>
      <w:r w:rsidR="001B2A79" w:rsidRPr="00100BA1">
        <w:t xml:space="preserve"> used in this analysis</w:t>
      </w:r>
      <w:r w:rsidR="00CB4E27" w:rsidRPr="00100BA1">
        <w:t>.</w:t>
      </w:r>
    </w:p>
    <w:p w14:paraId="1ADD2EAB" w14:textId="77777777" w:rsidR="00CB4E27" w:rsidRDefault="00CB4E27" w:rsidP="00790CE2">
      <w:pPr>
        <w:rPr>
          <w:highlight w:val="yellow"/>
        </w:rPr>
      </w:pPr>
    </w:p>
    <w:p w14:paraId="390BC5E9" w14:textId="20C3A749" w:rsidR="00790CE2" w:rsidRDefault="00790CE2" w:rsidP="00790CE2">
      <w:r w:rsidRPr="00100BA1">
        <w:t>Colebrook (1939) investigated irregular surface roughness</w:t>
      </w:r>
      <w:r w:rsidR="00910977" w:rsidRPr="00100BA1">
        <w:t xml:space="preserve"> such as that of </w:t>
      </w:r>
      <w:r w:rsidR="001B2A79">
        <w:t xml:space="preserve">corroded </w:t>
      </w:r>
      <w:r w:rsidR="00910977" w:rsidRPr="00100BA1">
        <w:t xml:space="preserve">metal </w:t>
      </w:r>
      <w:r w:rsidR="00D247B4" w:rsidRPr="003B5328">
        <w:t>pipes and</w:t>
      </w:r>
      <w:r>
        <w:t xml:space="preserve"> derived a theoretical formula for flow in the transition</w:t>
      </w:r>
      <w:r w:rsidR="005956B2">
        <w:t>al</w:t>
      </w:r>
      <w:r>
        <w:t xml:space="preserve"> region between smooth and fully rough flow regimes that differs from Nikuradse’s results. Colebrook’s formula</w:t>
      </w:r>
      <w:r w:rsidR="00EE17A4">
        <w:t xml:space="preserve">, most commonly used in the form </w:t>
      </w:r>
      <w:r w:rsidR="001F55C1">
        <w:t>of eq. 11 (</w:t>
      </w:r>
      <w:r w:rsidRPr="009D7109">
        <w:t>Andersson 2020)</w:t>
      </w:r>
      <w:r w:rsidR="00EE17A4">
        <w:t>,</w:t>
      </w:r>
      <w:r w:rsidR="00F2707F">
        <w:t xml:space="preserve"> applies to all flow conditions</w:t>
      </w:r>
      <w:r>
        <w:t>:</w:t>
      </w:r>
    </w:p>
    <w:p w14:paraId="6F39CBCD" w14:textId="19EB591B" w:rsidR="00520436" w:rsidRPr="00D364B7" w:rsidRDefault="00520436" w:rsidP="00100BA1">
      <w:pPr>
        <w:jc w:val="center"/>
      </w:pPr>
      <m:oMath>
        <m:r>
          <m:rPr>
            <m:sty m:val="p"/>
          </m:rP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m:t>
            </m:r>
          </m:sup>
        </m:sSup>
        <m:r>
          <m:rPr>
            <m:sty m:val="p"/>
          </m:rP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w:rPr>
                    <w:rFonts w:ascii="Cambria Math" w:hAnsi="Cambria Math"/>
                  </w:rPr>
                  <m:t>κ</m:t>
                </m:r>
              </m:den>
            </m:f>
          </m:e>
        </m:d>
        <m:r>
          <w:rPr>
            <w:rFonts w:ascii="Cambria Math" w:hAnsi="Cambria Math"/>
          </w:rPr>
          <m:t>ln</m:t>
        </m:r>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oMath>
      <w:r w:rsidR="00D364B7">
        <w:tab/>
      </w:r>
      <w:r w:rsidR="00D364B7">
        <w:tab/>
      </w:r>
      <w:r w:rsidR="00D364B7">
        <w:tab/>
        <w:t>(1</w:t>
      </w:r>
      <w:r w:rsidR="00EE17A4">
        <w:t>1</w:t>
      </w:r>
      <w:r w:rsidR="00D364B7">
        <w:t>)</w:t>
      </w:r>
    </w:p>
    <w:p w14:paraId="0693FAFE" w14:textId="058D02A8" w:rsidR="00790CE2" w:rsidRDefault="00790CE2" w:rsidP="00790CE2">
      <w:r>
        <w:lastRenderedPageBreak/>
        <w:t xml:space="preserve">Both the graph of </w:t>
      </w:r>
      <w:r w:rsidR="00151A02">
        <w:t>Colebrook’s</w:t>
      </w:r>
      <w:r>
        <w:t xml:space="preserve"> monotonic expression and Nikuradse’s uniform sand curve have the same slope in the fully rough regime (</w:t>
      </w:r>
      <w:r w:rsidRPr="00F527A1">
        <w:rPr>
          <w:i/>
          <w:iCs/>
        </w:rPr>
        <w:t>k</w:t>
      </w:r>
      <w:r w:rsidRPr="00F527A1">
        <w:rPr>
          <w:i/>
          <w:iCs/>
          <w:vertAlign w:val="superscript"/>
        </w:rPr>
        <w:t>+</w:t>
      </w:r>
      <w:r>
        <w:t xml:space="preserve"> &gt; approx. 70) with </w:t>
      </w:r>
      <w:r w:rsidRPr="00100BA1">
        <w:rPr>
          <w:i/>
          <w:iCs/>
        </w:rPr>
        <w:sym w:font="Symbol" w:char="F044"/>
      </w:r>
      <w:r w:rsidRPr="00100BA1">
        <w:rPr>
          <w:i/>
          <w:iCs/>
        </w:rPr>
        <w:t>U</w:t>
      </w:r>
      <w:r w:rsidRPr="00100BA1">
        <w:rPr>
          <w:i/>
          <w:iCs/>
          <w:vertAlign w:val="superscript"/>
        </w:rPr>
        <w:t>+</w:t>
      </w:r>
      <w:r>
        <w:t xml:space="preserve"> approaching zero in laminar flow (</w:t>
      </w:r>
      <w:r w:rsidRPr="00F527A1">
        <w:rPr>
          <w:i/>
          <w:iCs/>
        </w:rPr>
        <w:t>k</w:t>
      </w:r>
      <w:r w:rsidRPr="00F527A1">
        <w:rPr>
          <w:i/>
          <w:iCs/>
          <w:vertAlign w:val="superscript"/>
        </w:rPr>
        <w:t>+</w:t>
      </w:r>
      <w:r>
        <w:t xml:space="preserve"> &lt; approx. 3) but differ in form in the transitional region.</w:t>
      </w:r>
    </w:p>
    <w:p w14:paraId="6F046106" w14:textId="26241C3D" w:rsidR="0002175A" w:rsidRDefault="0002175A" w:rsidP="00540348">
      <w:pPr>
        <w:pStyle w:val="Heading1"/>
        <w:rPr>
          <w:rFonts w:cs="Times New Roman"/>
        </w:rPr>
      </w:pPr>
      <w:r w:rsidRPr="003D2D14">
        <w:rPr>
          <w:rFonts w:cs="Times New Roman"/>
        </w:rPr>
        <w:t>RESULTS</w:t>
      </w:r>
    </w:p>
    <w:p w14:paraId="21F0DE0B" w14:textId="25A14442" w:rsidR="00620079" w:rsidRPr="00100BA1" w:rsidRDefault="00620079" w:rsidP="00100BA1">
      <w:pPr>
        <w:pStyle w:val="Paragraph"/>
        <w:rPr>
          <w:i/>
          <w:iCs/>
        </w:rPr>
      </w:pPr>
      <w:r w:rsidRPr="00100BA1">
        <w:rPr>
          <w:i/>
          <w:iCs/>
        </w:rPr>
        <w:t>Sandpaper calibration</w:t>
      </w:r>
    </w:p>
    <w:p w14:paraId="160B129A" w14:textId="525C1B63" w:rsidR="0002175A" w:rsidRPr="00DC77B0" w:rsidRDefault="0002175A" w:rsidP="00540348">
      <w:pPr>
        <w:jc w:val="both"/>
      </w:pPr>
      <w:r w:rsidRPr="00DC77B0">
        <w:t>The torque on sandpaper covered discs increase</w:t>
      </w:r>
      <w:r w:rsidR="005426A2">
        <w:t>s</w:t>
      </w:r>
      <w:r w:rsidRPr="00DC77B0">
        <w:t xml:space="preserve"> with increasing roughness</w:t>
      </w:r>
      <w:r w:rsidR="00B92D0A">
        <w:t xml:space="preserve"> grade</w:t>
      </w:r>
      <w:r w:rsidRPr="00DC77B0">
        <w:t xml:space="preserve"> (Fig. 2).</w:t>
      </w:r>
    </w:p>
    <w:p w14:paraId="41D55551" w14:textId="5865302E" w:rsidR="0002175A" w:rsidRDefault="0002175A" w:rsidP="00100BA1"/>
    <w:p w14:paraId="1BCCFC73" w14:textId="0386C388" w:rsidR="00402D18" w:rsidRPr="00DC77B0" w:rsidRDefault="00856E1F" w:rsidP="00100BA1">
      <w:r>
        <w:t>Fig. 2</w:t>
      </w:r>
    </w:p>
    <w:p w14:paraId="454FB8FC" w14:textId="77777777" w:rsidR="0002175A" w:rsidRPr="00DC77B0" w:rsidRDefault="0002175A" w:rsidP="00540348">
      <w:pPr>
        <w:jc w:val="both"/>
      </w:pPr>
    </w:p>
    <w:p w14:paraId="1E787D41" w14:textId="3A5EC1A1" w:rsidR="0002175A" w:rsidRPr="00DC77B0" w:rsidRDefault="0002175A" w:rsidP="00540348">
      <w:pPr>
        <w:jc w:val="both"/>
      </w:pPr>
      <w:r w:rsidRPr="00DC77B0">
        <w:t>Even the coarsest grade 40 discs induce</w:t>
      </w:r>
      <w:r w:rsidR="00020D5B">
        <w:t xml:space="preserve">d only </w:t>
      </w:r>
      <w:r w:rsidR="00EC3A23">
        <w:t>moderate</w:t>
      </w:r>
      <w:r w:rsidRPr="00DC77B0">
        <w:t xml:space="preserve"> co-rotation of the water</w:t>
      </w:r>
      <w:r w:rsidR="00020D5B">
        <w:t xml:space="preserve"> around the shaft axis</w:t>
      </w:r>
      <w:r w:rsidRPr="00DC77B0">
        <w:t xml:space="preserve">. In cylindrical tanks, the secondary co-rotational flow that is set up in the tank due to the steady state rotation of the disk is accounted for by the swirl factor </w:t>
      </w:r>
      <w:r w:rsidRPr="00DC77B0">
        <w:sym w:font="Symbol" w:char="F06A"/>
      </w:r>
      <w:r w:rsidRPr="00DC77B0">
        <w:t xml:space="preserve">. If this cannot be experimentally determined, as in the present case, a suitable value for </w:t>
      </w:r>
      <w:r w:rsidRPr="00DC77B0">
        <w:sym w:font="Symbol" w:char="F06A"/>
      </w:r>
      <w:r w:rsidRPr="00DC77B0">
        <w:t xml:space="preserve"> may be allocated by inspection of the roughness function data, such that these may be shifted to higher or lower roughness Reynolds number (</w:t>
      </w:r>
      <w:r w:rsidRPr="00DC77B0">
        <w:rPr>
          <w:i/>
          <w:iCs/>
        </w:rPr>
        <w:t>k</w:t>
      </w:r>
      <w:r w:rsidRPr="00DC77B0">
        <w:rPr>
          <w:i/>
          <w:iCs/>
          <w:vertAlign w:val="superscript"/>
        </w:rPr>
        <w:t>+</w:t>
      </w:r>
      <w:r w:rsidRPr="00DC77B0">
        <w:t>) to collapse onto</w:t>
      </w:r>
      <w:r w:rsidR="00647496" w:rsidRPr="00DC77B0">
        <w:t xml:space="preserve"> an established curve such as</w:t>
      </w:r>
      <w:r w:rsidRPr="00DC77B0">
        <w:t xml:space="preserve"> </w:t>
      </w:r>
      <w:r w:rsidR="00665C9A" w:rsidRPr="00DC77B0">
        <w:t>th</w:t>
      </w:r>
      <w:r w:rsidR="00647496" w:rsidRPr="00DC77B0">
        <w:t>at of</w:t>
      </w:r>
      <w:r w:rsidR="009D79BA" w:rsidRPr="00DC77B0">
        <w:t xml:space="preserve"> N</w:t>
      </w:r>
      <w:r w:rsidR="00665C9A" w:rsidRPr="00DC77B0">
        <w:t>ikuradse</w:t>
      </w:r>
      <w:r w:rsidR="00956FDF">
        <w:t xml:space="preserve"> (Schultz MP, private communication, not referenced)</w:t>
      </w:r>
      <w:r w:rsidRPr="00DC77B0">
        <w:t xml:space="preserve">. Choosing the appropriate roughness length scale is an </w:t>
      </w:r>
      <w:r w:rsidR="00F2707F">
        <w:t xml:space="preserve">additional </w:t>
      </w:r>
      <w:r w:rsidRPr="00DC77B0">
        <w:t xml:space="preserve">factor that interacts with </w:t>
      </w:r>
      <w:r w:rsidRPr="00DC77B0">
        <w:sym w:font="Symbol" w:char="F06A"/>
      </w:r>
      <w:r w:rsidRPr="00DC77B0">
        <w:t xml:space="preserve"> in obtaining the appropriate </w:t>
      </w:r>
      <w:r w:rsidRPr="00DC77B0">
        <w:rPr>
          <w:i/>
          <w:iCs/>
        </w:rPr>
        <w:t>k</w:t>
      </w:r>
      <w:r w:rsidRPr="00DC77B0">
        <w:rPr>
          <w:i/>
          <w:iCs/>
          <w:vertAlign w:val="superscript"/>
        </w:rPr>
        <w:t>+</w:t>
      </w:r>
      <w:r w:rsidRPr="00DC77B0">
        <w:t xml:space="preserve"> </w:t>
      </w:r>
      <w:r w:rsidRPr="00DC77B0">
        <w:rPr>
          <w:noProof/>
        </w:rPr>
        <w:t>(Flack and Schultz 2014)</w:t>
      </w:r>
      <w:r w:rsidRPr="00DC77B0">
        <w:t xml:space="preserve">. The </w:t>
      </w:r>
      <w:r w:rsidR="00F43651">
        <w:t>factor</w:t>
      </w:r>
      <w:r w:rsidR="00F43651" w:rsidRPr="00DC77B0">
        <w:t xml:space="preserve"> </w:t>
      </w:r>
      <w:r w:rsidRPr="00DC77B0">
        <w:t xml:space="preserve">of 0.75 x peak-to-trough roughness suggested by Schultz and Flack </w:t>
      </w:r>
      <w:r w:rsidRPr="00DC77B0">
        <w:rPr>
          <w:noProof/>
        </w:rPr>
        <w:t>(Schultz and Flack 2003)</w:t>
      </w:r>
      <w:r w:rsidRPr="00DC77B0">
        <w:t xml:space="preserve"> as suitable for sand grain rough surfaces was used for the sandpaper calculations, </w:t>
      </w:r>
      <w:r w:rsidR="00F43651">
        <w:t xml:space="preserve">but </w:t>
      </w:r>
      <w:r w:rsidRPr="00DC77B0">
        <w:t>taking the area-based peak to trough roughness (</w:t>
      </w:r>
      <w:proofErr w:type="spellStart"/>
      <w:r w:rsidRPr="00DC77B0">
        <w:rPr>
          <w:i/>
          <w:iCs/>
        </w:rPr>
        <w:t>Sz</w:t>
      </w:r>
      <w:proofErr w:type="spellEnd"/>
      <w:r w:rsidRPr="00DC77B0">
        <w:t>) rather than the</w:t>
      </w:r>
      <w:r w:rsidR="00F43651">
        <w:t>ir</w:t>
      </w:r>
      <w:r w:rsidRPr="00DC77B0">
        <w:t xml:space="preserve"> linear value </w:t>
      </w:r>
      <w:r w:rsidRPr="00DC77B0">
        <w:rPr>
          <w:i/>
          <w:iCs/>
        </w:rPr>
        <w:t>Rt</w:t>
      </w:r>
      <w:r w:rsidRPr="00DC77B0">
        <w:t xml:space="preserve">. Flack </w:t>
      </w:r>
      <w:r w:rsidRPr="00DC77B0">
        <w:rPr>
          <w:noProof/>
        </w:rPr>
        <w:t>(Flack and Schultz 2014)</w:t>
      </w:r>
      <w:r w:rsidRPr="00DC77B0">
        <w:t xml:space="preserve"> </w:t>
      </w:r>
      <w:r w:rsidR="00F2707F">
        <w:t xml:space="preserve">have </w:t>
      </w:r>
      <w:r w:rsidRPr="00DC77B0">
        <w:t xml:space="preserve">suggested that a different scale or combination of scales is likely required in each flow regime. </w:t>
      </w:r>
      <w:r w:rsidR="00F2707F">
        <w:t xml:space="preserve"> With </w:t>
      </w:r>
      <w:r w:rsidR="00F2707F" w:rsidRPr="00DC77B0">
        <w:t>this roughness length scale</w:t>
      </w:r>
      <w:r w:rsidR="005426A2">
        <w:t xml:space="preserve"> fixed</w:t>
      </w:r>
      <w:r w:rsidR="00F2707F">
        <w:t>,</w:t>
      </w:r>
      <w:r w:rsidR="00F2707F" w:rsidRPr="00DC77B0">
        <w:t xml:space="preserve"> </w:t>
      </w:r>
      <w:r w:rsidR="00F2707F">
        <w:t>s</w:t>
      </w:r>
      <w:r w:rsidRPr="00DC77B0">
        <w:t xml:space="preserve">etting the value of </w:t>
      </w:r>
      <w:r w:rsidRPr="00DC77B0">
        <w:sym w:font="Symbol" w:char="F06A"/>
      </w:r>
      <w:r w:rsidRPr="00DC77B0">
        <w:t xml:space="preserve"> = 0.6</w:t>
      </w:r>
      <w:r w:rsidR="00AD3E4B">
        <w:t>0</w:t>
      </w:r>
      <w:r w:rsidRPr="00DC77B0">
        <w:t xml:space="preserve"> collapsed all the sandpaper data onto </w:t>
      </w:r>
      <w:r w:rsidR="005426A2">
        <w:t>the calculated</w:t>
      </w:r>
      <w:r w:rsidRPr="00DC77B0">
        <w:t xml:space="preserve"> </w:t>
      </w:r>
      <w:r w:rsidRPr="00DC77B0">
        <w:lastRenderedPageBreak/>
        <w:t>Nikuradse-type curve</w:t>
      </w:r>
      <w:r w:rsidR="00724298">
        <w:t xml:space="preserve">. </w:t>
      </w:r>
      <w:r w:rsidR="000B0266">
        <w:t>R</w:t>
      </w:r>
      <w:r w:rsidR="00724298">
        <w:t>oughness</w:t>
      </w:r>
      <w:r w:rsidR="00F2707F">
        <w:t xml:space="preserve"> </w:t>
      </w:r>
      <w:r w:rsidR="00724298">
        <w:t xml:space="preserve">functions for </w:t>
      </w:r>
      <w:r w:rsidR="004B2BFC">
        <w:t>four of the sandpaper</w:t>
      </w:r>
      <w:r w:rsidR="00724298">
        <w:t xml:space="preserve"> discs are shown in </w:t>
      </w:r>
      <w:r w:rsidRPr="00DC77B0">
        <w:t>Fig. 3</w:t>
      </w:r>
      <w:r w:rsidR="00724298">
        <w:t>, the other sandpaper grades fall in between these</w:t>
      </w:r>
      <w:r w:rsidR="000B0266">
        <w:t xml:space="preserve"> </w:t>
      </w:r>
      <w:r w:rsidR="004B2BFC">
        <w:t>values</w:t>
      </w:r>
      <w:r w:rsidRPr="00DC77B0">
        <w:t>.</w:t>
      </w:r>
    </w:p>
    <w:p w14:paraId="0F69FB10" w14:textId="5A938E85" w:rsidR="0002175A" w:rsidRDefault="0002175A">
      <w:pPr>
        <w:jc w:val="center"/>
      </w:pPr>
    </w:p>
    <w:p w14:paraId="16A8A5E0" w14:textId="10DDE2EB" w:rsidR="00724298" w:rsidRDefault="00856E1F" w:rsidP="00100BA1">
      <w:r>
        <w:t>Fig. 3</w:t>
      </w:r>
    </w:p>
    <w:p w14:paraId="4922C3D3" w14:textId="77777777" w:rsidR="0002175A" w:rsidRPr="00DC77B0" w:rsidRDefault="0002175A" w:rsidP="00100BA1"/>
    <w:p w14:paraId="55BF4F57" w14:textId="23797A4F" w:rsidR="0002175A" w:rsidRPr="00DC77B0" w:rsidRDefault="0002175A" w:rsidP="00540348">
      <w:pPr>
        <w:jc w:val="both"/>
      </w:pPr>
      <w:r w:rsidRPr="00DC77B0">
        <w:t>This value of 0.6</w:t>
      </w:r>
      <w:r w:rsidR="00AD3E4B">
        <w:t>0</w:t>
      </w:r>
      <w:r w:rsidRPr="00DC77B0">
        <w:t xml:space="preserve"> for </w:t>
      </w:r>
      <w:r w:rsidRPr="00DC77B0">
        <w:sym w:font="Symbol" w:char="F06A"/>
      </w:r>
      <w:r w:rsidRPr="00DC77B0">
        <w:t xml:space="preserve"> was accordingly used for all calculations, although it may not be appropriate for disc</w:t>
      </w:r>
      <w:r w:rsidR="002E50B2">
        <w:t xml:space="preserve"> roughness</w:t>
      </w:r>
      <w:r w:rsidRPr="00DC77B0">
        <w:t xml:space="preserve"> that </w:t>
      </w:r>
      <w:r w:rsidR="002E50B2">
        <w:t>is</w:t>
      </w:r>
      <w:r w:rsidR="002E50B2" w:rsidRPr="00DC77B0">
        <w:t xml:space="preserve"> </w:t>
      </w:r>
      <w:r w:rsidRPr="00DC77B0">
        <w:t xml:space="preserve">outside the range of the sandpaper grades or is </w:t>
      </w:r>
      <w:r w:rsidR="002E50B2">
        <w:t>irregular</w:t>
      </w:r>
      <w:r w:rsidRPr="00DC77B0">
        <w:t xml:space="preserve">, </w:t>
      </w:r>
      <w:r w:rsidRPr="003B5328">
        <w:t>as may be the case with macrofouling organisms.</w:t>
      </w:r>
      <w:r w:rsidR="001F0CCC">
        <w:t xml:space="preserve"> In the latter case a different swirl factor may be required.</w:t>
      </w:r>
    </w:p>
    <w:p w14:paraId="2753A6B5" w14:textId="77777777" w:rsidR="0002175A" w:rsidRPr="00DC77B0" w:rsidRDefault="0002175A" w:rsidP="00540348">
      <w:pPr>
        <w:jc w:val="both"/>
      </w:pPr>
    </w:p>
    <w:p w14:paraId="4F2F2906" w14:textId="77777777" w:rsidR="0002175A" w:rsidRPr="003D2D14" w:rsidRDefault="0002175A" w:rsidP="00540348">
      <w:pPr>
        <w:pStyle w:val="Heading2"/>
        <w:rPr>
          <w:rFonts w:cs="Times New Roman"/>
        </w:rPr>
      </w:pPr>
      <w:r w:rsidRPr="003D2D14">
        <w:rPr>
          <w:rFonts w:cs="Times New Roman"/>
        </w:rPr>
        <w:t>Coatings</w:t>
      </w:r>
    </w:p>
    <w:p w14:paraId="5F4598A7" w14:textId="7074DB3D" w:rsidR="0002175A" w:rsidRPr="00DC77B0" w:rsidRDefault="0002175A" w:rsidP="00540348">
      <w:r w:rsidRPr="00DC77B0">
        <w:t xml:space="preserve">The coatings represented four different product types: </w:t>
      </w:r>
      <w:r w:rsidR="00770084" w:rsidRPr="00DC77B0">
        <w:t xml:space="preserve">an </w:t>
      </w:r>
      <w:r w:rsidRPr="00DC77B0">
        <w:t>anti</w:t>
      </w:r>
      <w:r w:rsidR="00770084" w:rsidRPr="00DC77B0">
        <w:t>-</w:t>
      </w:r>
      <w:r w:rsidRPr="00DC77B0">
        <w:t xml:space="preserve">corrosive </w:t>
      </w:r>
      <w:r w:rsidR="00770084" w:rsidRPr="00DC77B0">
        <w:t xml:space="preserve">paint </w:t>
      </w:r>
      <w:r w:rsidRPr="00DC77B0">
        <w:t>(ACP)</w:t>
      </w:r>
      <w:r w:rsidR="00770084" w:rsidRPr="00DC77B0">
        <w:t xml:space="preserve"> that serves as an inert control</w:t>
      </w:r>
      <w:r w:rsidRPr="00DC77B0">
        <w:t xml:space="preserve">, </w:t>
      </w:r>
      <w:r w:rsidR="00770084" w:rsidRPr="00DC77B0">
        <w:t xml:space="preserve">a biocide-free </w:t>
      </w:r>
      <w:r w:rsidRPr="00DC77B0">
        <w:t xml:space="preserve">silicone foul release </w:t>
      </w:r>
      <w:r w:rsidR="00770084" w:rsidRPr="00DC77B0">
        <w:t xml:space="preserve">coating </w:t>
      </w:r>
      <w:r w:rsidRPr="00DC77B0">
        <w:t xml:space="preserve">(FRC), </w:t>
      </w:r>
      <w:r w:rsidR="00770084" w:rsidRPr="00DC77B0">
        <w:t xml:space="preserve">a </w:t>
      </w:r>
      <w:r w:rsidRPr="00DC77B0">
        <w:t xml:space="preserve">controlled depletion polymer </w:t>
      </w:r>
      <w:r w:rsidR="00770084" w:rsidRPr="00DC77B0">
        <w:t xml:space="preserve">biocidal </w:t>
      </w:r>
      <w:r w:rsidRPr="00DC77B0">
        <w:t xml:space="preserve">(CDP) and a self-polishing </w:t>
      </w:r>
      <w:r w:rsidR="00770084" w:rsidRPr="00DC77B0">
        <w:t xml:space="preserve">copolymer </w:t>
      </w:r>
      <w:r w:rsidRPr="00DC77B0">
        <w:t xml:space="preserve">biocidal coating (SPC). Freshly coated discs had </w:t>
      </w:r>
      <w:r w:rsidR="003437E1">
        <w:t xml:space="preserve">overall </w:t>
      </w:r>
      <w:r w:rsidRPr="00DC77B0">
        <w:t xml:space="preserve">average </w:t>
      </w:r>
      <w:r w:rsidRPr="00DC77B0">
        <w:rPr>
          <w:i/>
        </w:rPr>
        <w:t>Sa</w:t>
      </w:r>
      <w:r w:rsidRPr="00DC77B0">
        <w:t xml:space="preserve"> </w:t>
      </w:r>
      <w:r w:rsidR="00EE17A4">
        <w:t xml:space="preserve">= </w:t>
      </w:r>
      <w:r w:rsidRPr="00DC77B0">
        <w:t xml:space="preserve">5.3 </w:t>
      </w:r>
      <w:r w:rsidRPr="00DC77B0">
        <w:sym w:font="Symbol" w:char="F06D"/>
      </w:r>
      <w:r w:rsidRPr="00DC77B0">
        <w:t>m (S</w:t>
      </w:r>
      <w:r w:rsidR="003437E1">
        <w:t>4.1</w:t>
      </w:r>
      <w:r w:rsidRPr="00DC77B0">
        <w:t>)</w:t>
      </w:r>
      <w:r w:rsidR="000351E8">
        <w:t xml:space="preserve"> which is smoother than the uncoated </w:t>
      </w:r>
      <w:r w:rsidR="00442851">
        <w:t>polymer</w:t>
      </w:r>
      <w:r w:rsidR="000351E8">
        <w:t xml:space="preserve"> discs (</w:t>
      </w:r>
      <w:r w:rsidR="000351E8" w:rsidRPr="00DC77B0">
        <w:rPr>
          <w:i/>
        </w:rPr>
        <w:t>Sa</w:t>
      </w:r>
      <w:r w:rsidR="000351E8" w:rsidRPr="00DC77B0">
        <w:t xml:space="preserve"> </w:t>
      </w:r>
      <w:r w:rsidR="00EE17A4">
        <w:t xml:space="preserve">= </w:t>
      </w:r>
      <w:r w:rsidR="000351E8">
        <w:t>8.0</w:t>
      </w:r>
      <w:r w:rsidR="000351E8" w:rsidRPr="00DC77B0">
        <w:t xml:space="preserve"> </w:t>
      </w:r>
      <w:r w:rsidR="000351E8" w:rsidRPr="00DC77B0">
        <w:sym w:font="Symbol" w:char="F06D"/>
      </w:r>
      <w:r w:rsidR="000351E8" w:rsidRPr="00DC77B0">
        <w:t>m</w:t>
      </w:r>
      <w:r w:rsidR="000351E8">
        <w:t>)</w:t>
      </w:r>
      <w:r w:rsidR="00305072">
        <w:t xml:space="preserve">. Optical microscopy revealed some concentric groove patterns on these machined polymer disc faces which likely account for the observed surface roughness. When relatively thick polymer coatings are applied these patterns will be covered up and the dried coatings produce a smoother surface. </w:t>
      </w:r>
      <w:r w:rsidR="00B612A3">
        <w:t>Torque for the coated discs were all within ±2</w:t>
      </w:r>
      <w:r w:rsidR="00EE17A4">
        <w:t xml:space="preserve"> </w:t>
      </w:r>
      <w:r w:rsidR="00B612A3">
        <w:t>% of the overall mean</w:t>
      </w:r>
      <w:r w:rsidRPr="00DC77B0">
        <w:t xml:space="preserve">, </w:t>
      </w:r>
      <w:r w:rsidR="000351E8">
        <w:t>except for</w:t>
      </w:r>
      <w:r w:rsidR="000351E8" w:rsidRPr="00DC77B0">
        <w:t xml:space="preserve"> </w:t>
      </w:r>
      <w:r w:rsidRPr="00DC77B0">
        <w:t>the FRC</w:t>
      </w:r>
      <w:r w:rsidR="00770084" w:rsidRPr="00DC77B0">
        <w:t>-coated discs</w:t>
      </w:r>
      <w:r w:rsidRPr="00DC77B0">
        <w:t xml:space="preserve"> </w:t>
      </w:r>
      <w:r w:rsidR="000351E8">
        <w:t xml:space="preserve">which </w:t>
      </w:r>
      <w:r w:rsidRPr="00DC77B0">
        <w:t xml:space="preserve">had </w:t>
      </w:r>
      <w:r w:rsidR="00EE17A4">
        <w:t xml:space="preserve">marginally </w:t>
      </w:r>
      <w:r w:rsidRPr="00DC77B0">
        <w:t>higher torque (</w:t>
      </w:r>
      <w:r w:rsidR="000351E8">
        <w:t>106</w:t>
      </w:r>
      <w:r w:rsidR="00EE17A4">
        <w:t xml:space="preserve"> </w:t>
      </w:r>
      <w:r w:rsidRPr="00DC77B0">
        <w:t>%</w:t>
      </w:r>
      <w:r w:rsidR="000351E8">
        <w:t xml:space="preserve"> of the </w:t>
      </w:r>
      <w:r w:rsidR="00B612A3">
        <w:t>mean</w:t>
      </w:r>
      <w:r w:rsidRPr="00DC77B0">
        <w:t xml:space="preserve">) over the whole </w:t>
      </w:r>
      <w:r w:rsidR="000351E8">
        <w:t xml:space="preserve">velocity </w:t>
      </w:r>
      <w:r w:rsidRPr="00DC77B0">
        <w:t xml:space="preserve">range, corresponding to a slightly rougher initial surface condition. This suggests that the quality of application of the FRC coating to the disc may have been sub-optimal, as FRC coatings typically have lower surface </w:t>
      </w:r>
      <w:r w:rsidRPr="00DC77B0">
        <w:lastRenderedPageBreak/>
        <w:t xml:space="preserve">roughness than CDP and SPC </w:t>
      </w:r>
      <w:r w:rsidRPr="00CE5839">
        <w:t xml:space="preserve">coatings </w:t>
      </w:r>
      <w:r w:rsidRPr="00CE5839">
        <w:rPr>
          <w:noProof/>
        </w:rPr>
        <w:t>(Stenson et al. 2013)</w:t>
      </w:r>
      <w:r w:rsidRPr="00CE5839">
        <w:t>.</w:t>
      </w:r>
      <w:r w:rsidR="00442851">
        <w:t xml:space="preserve"> Waviness of the FRC surface is not likely to be a consideration in rotational motion.</w:t>
      </w:r>
    </w:p>
    <w:p w14:paraId="0BFE37D5" w14:textId="77777777" w:rsidR="0002175A" w:rsidRPr="00DC77B0" w:rsidRDefault="0002175A" w:rsidP="00540348"/>
    <w:p w14:paraId="32B08ED7" w14:textId="47844FF3" w:rsidR="0002175A" w:rsidRPr="00DC77B0" w:rsidRDefault="0002175A" w:rsidP="00540348">
      <w:r w:rsidRPr="00DC77B0">
        <w:t xml:space="preserve">During the static exposure period, each board was visually inspected at 2-week intervals and a much greater degree of fouling was observed on the inert coating throughout. After 110 days the protective polypropylene netting had heavy fouling attached, as did the </w:t>
      </w:r>
      <w:r w:rsidR="002E50B2">
        <w:t xml:space="preserve">surface of the </w:t>
      </w:r>
      <w:r w:rsidRPr="00DC77B0">
        <w:t>Delrin sample holder board. Discs coated with ACP and FRC had accumulated some hard-shelled fouling organisms (barnacles, tubeworms) while discs coated with biocidal coatings CDP and SPC had not.</w:t>
      </w:r>
    </w:p>
    <w:p w14:paraId="3A64AB3E" w14:textId="77777777" w:rsidR="0002175A" w:rsidRPr="00DC77B0" w:rsidRDefault="0002175A" w:rsidP="00540348"/>
    <w:p w14:paraId="430A3AE5" w14:textId="1A556114" w:rsidR="0002175A" w:rsidRPr="00DC77B0" w:rsidRDefault="0002175A" w:rsidP="00540348">
      <w:r w:rsidRPr="00DC77B0">
        <w:t>The protective netting on the board exposed for 176 days became completely obstructed by heavy fouling, and when the fouled netting was removed</w:t>
      </w:r>
      <w:r w:rsidR="009959B8">
        <w:t xml:space="preserve"> </w:t>
      </w:r>
      <w:r w:rsidRPr="00DC77B0">
        <w:t>the board beneath appeared cleaner than the board immersed for 110 days</w:t>
      </w:r>
      <w:r w:rsidR="00D27E2E">
        <w:t xml:space="preserve"> (Fig.4)</w:t>
      </w:r>
      <w:r w:rsidRPr="00DC77B0">
        <w:t xml:space="preserve">. While the polypropylene netting did prevent large fish from </w:t>
      </w:r>
      <w:r w:rsidR="002E50B2">
        <w:t>gaining access to the test surfaces</w:t>
      </w:r>
      <w:r w:rsidRPr="00DC77B0">
        <w:t xml:space="preserve">, small fish (blenny, </w:t>
      </w:r>
      <w:proofErr w:type="spellStart"/>
      <w:r w:rsidRPr="00DC77B0">
        <w:rPr>
          <w:i/>
        </w:rPr>
        <w:t>Lipophrys</w:t>
      </w:r>
      <w:proofErr w:type="spellEnd"/>
      <w:r w:rsidRPr="00DC77B0">
        <w:rPr>
          <w:i/>
        </w:rPr>
        <w:t xml:space="preserve"> </w:t>
      </w:r>
      <w:proofErr w:type="spellStart"/>
      <w:r w:rsidRPr="00DC77B0">
        <w:rPr>
          <w:i/>
        </w:rPr>
        <w:t>pholis</w:t>
      </w:r>
      <w:proofErr w:type="spellEnd"/>
      <w:r w:rsidRPr="00DC77B0">
        <w:t xml:space="preserve">) and crabs were found beneath the netting and these </w:t>
      </w:r>
      <w:r w:rsidR="008A6F31">
        <w:t xml:space="preserve">predators </w:t>
      </w:r>
      <w:r w:rsidRPr="00DC77B0">
        <w:t xml:space="preserve">could have </w:t>
      </w:r>
      <w:r w:rsidR="008A6F31">
        <w:t>removed some of</w:t>
      </w:r>
      <w:r w:rsidR="008A6F31" w:rsidRPr="00DC77B0">
        <w:t xml:space="preserve"> </w:t>
      </w:r>
      <w:r w:rsidRPr="00DC77B0">
        <w:t>the accumulated biofouling in the relatively sheltered environment created by the heavily fouled netting</w:t>
      </w:r>
      <w:r w:rsidR="00EC73FE">
        <w:t>.</w:t>
      </w:r>
    </w:p>
    <w:p w14:paraId="57492393" w14:textId="1D227A10" w:rsidR="000E1BC5" w:rsidRPr="00DC77B0" w:rsidRDefault="000E1BC5" w:rsidP="00100BA1"/>
    <w:p w14:paraId="16F8CD82" w14:textId="1D4D3EF6" w:rsidR="0002175A" w:rsidRDefault="001265F5" w:rsidP="00100BA1">
      <w:r>
        <w:t>Fig. 4</w:t>
      </w:r>
    </w:p>
    <w:p w14:paraId="29833D09" w14:textId="77777777" w:rsidR="00D27E2E" w:rsidRPr="00DC77B0" w:rsidRDefault="00D27E2E" w:rsidP="00100BA1"/>
    <w:p w14:paraId="61F0A800" w14:textId="768ABAF1" w:rsidR="0002175A" w:rsidRPr="00DC77B0" w:rsidRDefault="0002175A" w:rsidP="00540348">
      <w:r w:rsidRPr="00DC77B0">
        <w:t xml:space="preserve">The measured torque for each disc </w:t>
      </w:r>
      <w:r w:rsidR="00020D5B">
        <w:t xml:space="preserve">coating type </w:t>
      </w:r>
      <w:r w:rsidRPr="00DC77B0">
        <w:t>reflected the visible amount of fouling coverage, with the inert anticorrosive-coated discs having considerably higher torque throughout the whole exposure period than the fouling control coated discs. Torque values for duplicates of the SPC coated discs were all low and similar. There was a statistically significant difference (</w:t>
      </w:r>
      <w:r w:rsidRPr="00DC77B0">
        <w:rPr>
          <w:i/>
          <w:iCs/>
        </w:rPr>
        <w:t>p</w:t>
      </w:r>
      <w:r w:rsidRPr="00DC77B0">
        <w:t xml:space="preserve"> &lt;&lt; 0.05) between </w:t>
      </w:r>
      <w:r w:rsidR="002E50B2">
        <w:t xml:space="preserve">the </w:t>
      </w:r>
      <w:r w:rsidRPr="00DC77B0">
        <w:t>raw torque</w:t>
      </w:r>
      <w:r w:rsidR="002E50B2">
        <w:t xml:space="preserve"> values </w:t>
      </w:r>
      <w:r w:rsidR="002E50B2" w:rsidRPr="00DC77B0">
        <w:rPr>
          <w:i/>
        </w:rPr>
        <w:t>M</w:t>
      </w:r>
      <w:r w:rsidR="002E50B2" w:rsidRPr="00DC77B0">
        <w:rPr>
          <w:i/>
          <w:vertAlign w:val="subscript"/>
        </w:rPr>
        <w:t>1</w:t>
      </w:r>
      <w:r w:rsidRPr="00DC77B0">
        <w:t xml:space="preserve"> </w:t>
      </w:r>
      <w:r w:rsidR="00D11D13">
        <w:t xml:space="preserve">(for </w:t>
      </w:r>
      <w:r w:rsidR="00D11D13" w:rsidRPr="00DC77B0">
        <w:t>one disc face</w:t>
      </w:r>
      <w:r w:rsidR="00D11D13">
        <w:t>)</w:t>
      </w:r>
      <w:r w:rsidR="00D11D13" w:rsidRPr="00DC77B0">
        <w:t xml:space="preserve"> </w:t>
      </w:r>
      <w:r w:rsidR="00A97B93" w:rsidRPr="00DC77B0">
        <w:t xml:space="preserve">at </w:t>
      </w:r>
      <w:r w:rsidR="00A97B93" w:rsidRPr="00DC77B0">
        <w:lastRenderedPageBreak/>
        <w:t>maximum</w:t>
      </w:r>
      <w:r w:rsidRPr="00DC77B0">
        <w:t xml:space="preserve"> rotational velocity for the fouled coatings from 85 days of exposure onwards as determined by one-way ANOVA (</w:t>
      </w:r>
      <w:r w:rsidR="003F13BD" w:rsidRPr="00DC77B0">
        <w:t>S</w:t>
      </w:r>
      <w:r w:rsidR="003F13BD">
        <w:t>5</w:t>
      </w:r>
      <w:r w:rsidRPr="00DC77B0">
        <w:t xml:space="preserve">). The </w:t>
      </w:r>
      <w:r w:rsidRPr="00DC77B0">
        <w:rPr>
          <w:i/>
        </w:rPr>
        <w:t>M</w:t>
      </w:r>
      <w:r w:rsidRPr="00DC77B0">
        <w:rPr>
          <w:i/>
          <w:vertAlign w:val="subscript"/>
        </w:rPr>
        <w:t>1</w:t>
      </w:r>
      <w:r w:rsidRPr="00DC77B0">
        <w:t xml:space="preserve"> responses after 176 days</w:t>
      </w:r>
      <w:r w:rsidR="002E50B2">
        <w:t>,</w:t>
      </w:r>
      <w:r w:rsidRPr="00DC77B0">
        <w:t xml:space="preserve"> averaged over all discs for each coating type</w:t>
      </w:r>
      <w:r w:rsidR="002E50B2">
        <w:t>,</w:t>
      </w:r>
      <w:r w:rsidRPr="00DC77B0">
        <w:t xml:space="preserve"> are shown in Fig. </w:t>
      </w:r>
      <w:r w:rsidR="00722044">
        <w:t>5:</w:t>
      </w:r>
    </w:p>
    <w:p w14:paraId="6869F58B" w14:textId="077D01F1" w:rsidR="0002175A" w:rsidRDefault="0002175A" w:rsidP="00100BA1"/>
    <w:p w14:paraId="5104359D" w14:textId="61898724" w:rsidR="008C14DC" w:rsidRPr="00DC77B0" w:rsidRDefault="001265F5" w:rsidP="00100BA1">
      <w:r>
        <w:t>Fig. 5</w:t>
      </w:r>
    </w:p>
    <w:p w14:paraId="797262EC" w14:textId="77777777" w:rsidR="0002175A" w:rsidRPr="00DC77B0" w:rsidRDefault="0002175A" w:rsidP="00540348"/>
    <w:p w14:paraId="344A0221" w14:textId="1D5E1326" w:rsidR="0002175A" w:rsidRDefault="0002175A" w:rsidP="00540348">
      <w:r w:rsidRPr="00DC77B0">
        <w:t>Up to 85 days exposure,</w:t>
      </w:r>
      <w:r w:rsidR="00257ABA">
        <w:t xml:space="preserve"> </w:t>
      </w:r>
      <w:r w:rsidR="002E50B2" w:rsidRPr="00DC77B0">
        <w:rPr>
          <w:i/>
        </w:rPr>
        <w:t>M</w:t>
      </w:r>
      <w:r w:rsidR="002E50B2" w:rsidRPr="00DC77B0">
        <w:rPr>
          <w:i/>
          <w:vertAlign w:val="subscript"/>
        </w:rPr>
        <w:t>1</w:t>
      </w:r>
      <w:r w:rsidR="002E50B2">
        <w:t xml:space="preserve"> </w:t>
      </w:r>
      <w:r w:rsidR="00257ABA">
        <w:t xml:space="preserve">for all fouled discs </w:t>
      </w:r>
      <w:r w:rsidRPr="00DC77B0">
        <w:t>remained below the maximum torque recorded for the roughest sandpaper P40 grade (</w:t>
      </w:r>
      <w:r w:rsidRPr="00DC77B0">
        <w:rPr>
          <w:i/>
          <w:iCs/>
        </w:rPr>
        <w:t>M</w:t>
      </w:r>
      <w:r w:rsidRPr="00DC77B0">
        <w:rPr>
          <w:i/>
          <w:iCs/>
          <w:vertAlign w:val="subscript"/>
        </w:rPr>
        <w:t>1</w:t>
      </w:r>
      <w:r w:rsidRPr="00DC77B0">
        <w:t xml:space="preserve"> = 0.0057 </w:t>
      </w:r>
      <w:proofErr w:type="spellStart"/>
      <w:r w:rsidRPr="00DC77B0">
        <w:t>N.m</w:t>
      </w:r>
      <w:proofErr w:type="spellEnd"/>
      <w:r w:rsidRPr="00DC77B0">
        <w:t xml:space="preserve"> at 300 rad.s</w:t>
      </w:r>
      <w:r w:rsidRPr="00DC77B0">
        <w:rPr>
          <w:vertAlign w:val="superscript"/>
        </w:rPr>
        <w:t>-1</w:t>
      </w:r>
      <w:r w:rsidRPr="00DC77B0">
        <w:t xml:space="preserve">), while torque for the SPC coated discs remained below this value even after the longest exposure period. </w:t>
      </w:r>
      <w:r w:rsidR="00257ABA" w:rsidRPr="00100BA1">
        <w:t xml:space="preserve">Macrofouling was visible on the ACP and FRC discs </w:t>
      </w:r>
      <w:r w:rsidR="00257ABA">
        <w:t>from</w:t>
      </w:r>
      <w:r w:rsidR="00257ABA" w:rsidRPr="00100BA1">
        <w:t xml:space="preserve"> 85 days exposure</w:t>
      </w:r>
      <w:r w:rsidR="00257ABA">
        <w:t xml:space="preserve"> onwards</w:t>
      </w:r>
      <w:r w:rsidR="00257ABA" w:rsidRPr="00100BA1">
        <w:t xml:space="preserve">. </w:t>
      </w:r>
      <w:r w:rsidRPr="00DC77B0">
        <w:t>Torque varied greatly between heavily fouled duplicate discs, due to the natural spatial variation in fouling coverage as seen in Fig. 4. Some discs shed loose</w:t>
      </w:r>
      <w:r w:rsidR="00257ABA">
        <w:t>ly attached</w:t>
      </w:r>
      <w:r w:rsidRPr="00DC77B0">
        <w:t xml:space="preserve"> fouling when rotated, resulting in abrupt decreases in torque. This was </w:t>
      </w:r>
      <w:r w:rsidR="00257ABA">
        <w:t>observed mainly</w:t>
      </w:r>
      <w:r w:rsidRPr="00DC77B0">
        <w:t xml:space="preserve"> </w:t>
      </w:r>
      <w:r w:rsidR="00257ABA">
        <w:t>with</w:t>
      </w:r>
      <w:r w:rsidRPr="00DC77B0">
        <w:t xml:space="preserve"> the FRC coating which is designed to release fouling organisms under flow conditions. Images of two FRC-coated discs taken before and after testing </w:t>
      </w:r>
      <w:r w:rsidR="00C17644">
        <w:t xml:space="preserve">(Fig. </w:t>
      </w:r>
      <w:r w:rsidR="00722044">
        <w:t>6</w:t>
      </w:r>
      <w:r w:rsidRPr="00DC77B0">
        <w:t xml:space="preserve">) show that while no fouling organisms became detached from one of them (disc B18) a significant tubeworm casing and some minor peripheral fouling were lost from a similarly fouled </w:t>
      </w:r>
      <w:r w:rsidR="00BF3B04" w:rsidRPr="00DC77B0">
        <w:t xml:space="preserve">duplicate </w:t>
      </w:r>
      <w:r w:rsidRPr="00DC77B0">
        <w:t>(disc B17), giving rise to the step-wise decreases in torque observed (Fig.</w:t>
      </w:r>
      <w:r w:rsidR="00722044">
        <w:t>7</w:t>
      </w:r>
      <w:r w:rsidRPr="00DC77B0">
        <w:t>).</w:t>
      </w:r>
    </w:p>
    <w:p w14:paraId="5AE9B2FA" w14:textId="11E99569" w:rsidR="00C17644" w:rsidRDefault="00C17644"/>
    <w:p w14:paraId="491587B4" w14:textId="4E7DA45D" w:rsidR="00C17644" w:rsidRDefault="001265F5" w:rsidP="00100BA1">
      <w:r>
        <w:rPr>
          <w:rFonts w:cs="Times"/>
          <w:noProof/>
          <w:lang w:val="en-US"/>
        </w:rPr>
        <w:t>Fig. 6</w:t>
      </w:r>
      <w:r w:rsidR="00E72BCA">
        <w:rPr>
          <w:rFonts w:cs="Times"/>
          <w:noProof/>
          <w:lang w:val="en-US"/>
        </w:rPr>
        <w:t xml:space="preserve">      </w:t>
      </w:r>
    </w:p>
    <w:p w14:paraId="54B6ED89" w14:textId="77777777" w:rsidR="00E72BCA" w:rsidRDefault="00E72BCA" w:rsidP="00100BA1">
      <w:pPr>
        <w:jc w:val="center"/>
      </w:pPr>
    </w:p>
    <w:p w14:paraId="406E6B6D" w14:textId="2053033D" w:rsidR="00115266" w:rsidRPr="00DC77B0" w:rsidRDefault="001265F5">
      <w:r>
        <w:t>Fig. 7</w:t>
      </w:r>
    </w:p>
    <w:p w14:paraId="416F8950" w14:textId="77777777" w:rsidR="0002175A" w:rsidRPr="00DC77B0" w:rsidRDefault="0002175A" w:rsidP="00100BA1"/>
    <w:p w14:paraId="6EF398C1" w14:textId="43680605" w:rsidR="0002175A" w:rsidRDefault="0002175A" w:rsidP="00540348">
      <w:r w:rsidRPr="00DC77B0">
        <w:t xml:space="preserve">The </w:t>
      </w:r>
      <w:r w:rsidRPr="00DC77B0">
        <w:rPr>
          <w:iCs/>
        </w:rPr>
        <w:t xml:space="preserve">coefficient of momentum </w:t>
      </w:r>
      <w:r w:rsidRPr="00DC77B0">
        <w:rPr>
          <w:i/>
        </w:rPr>
        <w:t>C</w:t>
      </w:r>
      <w:r w:rsidRPr="00DC77B0">
        <w:rPr>
          <w:i/>
          <w:vertAlign w:val="subscript"/>
        </w:rPr>
        <w:t>m2</w:t>
      </w:r>
      <w:r w:rsidRPr="00DC77B0">
        <w:rPr>
          <w:i/>
        </w:rPr>
        <w:t xml:space="preserve"> </w:t>
      </w:r>
      <w:r w:rsidRPr="00DC77B0">
        <w:rPr>
          <w:iCs/>
        </w:rPr>
        <w:t>at the maximum rotational velocity was</w:t>
      </w:r>
      <w:r w:rsidRPr="00DC77B0">
        <w:t xml:space="preserve"> obtained for all coated discs throughout the exposure period and the average </w:t>
      </w:r>
      <w:r w:rsidRPr="00DC77B0">
        <w:rPr>
          <w:i/>
        </w:rPr>
        <w:t>C</w:t>
      </w:r>
      <w:r w:rsidRPr="00DC77B0">
        <w:rPr>
          <w:i/>
          <w:vertAlign w:val="subscript"/>
        </w:rPr>
        <w:t>m2</w:t>
      </w:r>
      <w:r w:rsidRPr="00DC77B0">
        <w:rPr>
          <w:i/>
        </w:rPr>
        <w:t xml:space="preserve"> </w:t>
      </w:r>
      <w:r w:rsidRPr="00DC77B0">
        <w:t xml:space="preserve">values for each coating set </w:t>
      </w:r>
      <w:r w:rsidRPr="00DC77B0">
        <w:lastRenderedPageBreak/>
        <w:t xml:space="preserve">are compared in Fig. </w:t>
      </w:r>
      <w:r w:rsidR="00722044">
        <w:t>8</w:t>
      </w:r>
      <w:r w:rsidRPr="00DC77B0">
        <w:t>. After 176 days discs coated with FRC had 7</w:t>
      </w:r>
      <w:r w:rsidR="009325E8">
        <w:t>3</w:t>
      </w:r>
      <w:r w:rsidRPr="00DC77B0">
        <w:t xml:space="preserve">% lower </w:t>
      </w:r>
      <w:r w:rsidRPr="00DC77B0">
        <w:rPr>
          <w:i/>
        </w:rPr>
        <w:t>C</w:t>
      </w:r>
      <w:r w:rsidRPr="00DC77B0">
        <w:rPr>
          <w:i/>
          <w:vertAlign w:val="subscript"/>
        </w:rPr>
        <w:t>m2</w:t>
      </w:r>
      <w:r w:rsidRPr="00DC77B0">
        <w:t xml:space="preserve"> and discs coated with CDP and SPC 8</w:t>
      </w:r>
      <w:r w:rsidR="009325E8">
        <w:t>9</w:t>
      </w:r>
      <w:r w:rsidRPr="00DC77B0">
        <w:t>% and 90% respectively lower, than discs coated with the inert control ACP.</w:t>
      </w:r>
    </w:p>
    <w:p w14:paraId="6DFA739A" w14:textId="77777777" w:rsidR="001265F5" w:rsidRDefault="001265F5" w:rsidP="00540348"/>
    <w:p w14:paraId="3E701910" w14:textId="28EC004D" w:rsidR="006A453F" w:rsidRPr="00DC77B0" w:rsidRDefault="001265F5">
      <w:r>
        <w:t>Fig. 8</w:t>
      </w:r>
    </w:p>
    <w:p w14:paraId="1B9B9699" w14:textId="7635C5B7" w:rsidR="0002175A" w:rsidRDefault="0002175A" w:rsidP="00540348"/>
    <w:p w14:paraId="025D58F9" w14:textId="72AB3FC7" w:rsidR="006A453F" w:rsidRDefault="00620079" w:rsidP="00540348">
      <w:r>
        <w:t xml:space="preserve">Roughness functions for the fouled discs gave </w:t>
      </w:r>
      <w:r w:rsidR="00505E86">
        <w:t>better</w:t>
      </w:r>
      <w:r>
        <w:t xml:space="preserve"> fits to the Colebrook irregular roughness function</w:t>
      </w:r>
      <w:r w:rsidR="008640D0">
        <w:t xml:space="preserve">, especially at low </w:t>
      </w:r>
      <w:r w:rsidR="008640D0" w:rsidRPr="00543B96">
        <w:rPr>
          <w:i/>
          <w:iCs/>
        </w:rPr>
        <w:t>k</w:t>
      </w:r>
      <w:r w:rsidR="008640D0" w:rsidRPr="00543B96">
        <w:rPr>
          <w:i/>
          <w:iCs/>
          <w:vertAlign w:val="superscript"/>
        </w:rPr>
        <w:t>+</w:t>
      </w:r>
      <w:r w:rsidR="008640D0">
        <w:t>,</w:t>
      </w:r>
      <w:r>
        <w:t xml:space="preserve"> than to the Nikuradse-type uniform sand curve. </w:t>
      </w:r>
      <w:r w:rsidR="008640D0">
        <w:t>Maintaining</w:t>
      </w:r>
      <w:r>
        <w:t xml:space="preserve"> the value of </w:t>
      </w:r>
      <w:r>
        <w:sym w:font="Symbol" w:char="F06A"/>
      </w:r>
      <w:r>
        <w:t xml:space="preserve"> = 0.6</w:t>
      </w:r>
      <w:r w:rsidR="00AD3E4B">
        <w:t>0</w:t>
      </w:r>
      <w:r>
        <w:t xml:space="preserve">, </w:t>
      </w:r>
      <w:r w:rsidR="00505E86">
        <w:t>each</w:t>
      </w:r>
      <w:r>
        <w:t xml:space="preserve"> fouled disc </w:t>
      </w:r>
      <w:r w:rsidR="00505E86">
        <w:t xml:space="preserve">roughness </w:t>
      </w:r>
      <w:r>
        <w:t xml:space="preserve">function could be </w:t>
      </w:r>
      <w:r w:rsidR="00505E86">
        <w:t xml:space="preserve">displaced along the </w:t>
      </w:r>
      <w:r w:rsidR="00505E86" w:rsidRPr="00100BA1">
        <w:rPr>
          <w:i/>
          <w:iCs/>
        </w:rPr>
        <w:t>k</w:t>
      </w:r>
      <w:r w:rsidR="00505E86" w:rsidRPr="00100BA1">
        <w:rPr>
          <w:i/>
          <w:iCs/>
          <w:vertAlign w:val="superscript"/>
        </w:rPr>
        <w:t>+</w:t>
      </w:r>
      <w:r w:rsidR="00505E86">
        <w:t xml:space="preserve"> </w:t>
      </w:r>
      <w:proofErr w:type="spellStart"/>
      <w:r w:rsidR="00505E86">
        <w:t>abcissa</w:t>
      </w:r>
      <w:proofErr w:type="spellEnd"/>
      <w:r w:rsidR="00505E86">
        <w:t xml:space="preserve"> to </w:t>
      </w:r>
      <w:r>
        <w:t xml:space="preserve">collapse onto the Colebrook curve by </w:t>
      </w:r>
      <w:r w:rsidR="00505E86">
        <w:t>assigning a suitable</w:t>
      </w:r>
      <w:r>
        <w:t xml:space="preserve"> surface roughness height</w:t>
      </w:r>
      <w:r w:rsidR="00505E86">
        <w:t xml:space="preserve">. The </w:t>
      </w:r>
      <w:r w:rsidR="00173147">
        <w:t xml:space="preserve">resulting </w:t>
      </w:r>
      <w:r w:rsidR="00505E86">
        <w:t xml:space="preserve">roughness functions for </w:t>
      </w:r>
      <w:r w:rsidR="003E77FB">
        <w:t>ACP (the most heavily macro-fouled coating) over the exposure period</w:t>
      </w:r>
      <w:r w:rsidR="00505E86">
        <w:t xml:space="preserve"> </w:t>
      </w:r>
      <w:r w:rsidR="003E77FB">
        <w:t>are</w:t>
      </w:r>
      <w:r w:rsidR="00505E86">
        <w:t xml:space="preserve"> shown in Fig. </w:t>
      </w:r>
      <w:r w:rsidR="00722044">
        <w:t>9</w:t>
      </w:r>
      <w:r w:rsidR="00505E86">
        <w:t>.</w:t>
      </w:r>
    </w:p>
    <w:p w14:paraId="2EBAACA8" w14:textId="77777777" w:rsidR="0091711D" w:rsidRDefault="0091711D" w:rsidP="00540348"/>
    <w:p w14:paraId="504963B0" w14:textId="0F3DD6C9" w:rsidR="00022C80" w:rsidRDefault="0091711D">
      <w:r>
        <w:t>Fig. 9</w:t>
      </w:r>
    </w:p>
    <w:p w14:paraId="6701D169" w14:textId="77777777" w:rsidR="006150A1" w:rsidRDefault="006150A1" w:rsidP="00540348"/>
    <w:p w14:paraId="07EEEC61" w14:textId="163D4E5A" w:rsidR="00620079" w:rsidRDefault="00505E86" w:rsidP="00540348">
      <w:r>
        <w:t xml:space="preserve">The roughness heights required to bring the </w:t>
      </w:r>
      <w:r w:rsidR="003E77FB">
        <w:t xml:space="preserve">roughness functions for all the </w:t>
      </w:r>
      <w:r>
        <w:t>fouled disc</w:t>
      </w:r>
      <w:r w:rsidR="003E77FB">
        <w:t xml:space="preserve"> exposures</w:t>
      </w:r>
      <w:r>
        <w:t xml:space="preserve"> into line with the Colebrook function </w:t>
      </w:r>
      <w:r w:rsidRPr="00B92D0A">
        <w:t xml:space="preserve">are given in Table </w:t>
      </w:r>
      <w:r w:rsidR="006A453F" w:rsidRPr="00100BA1">
        <w:t>S</w:t>
      </w:r>
      <w:r w:rsidR="003F13BD">
        <w:t>5.1</w:t>
      </w:r>
      <w:r w:rsidRPr="00B92D0A">
        <w:t xml:space="preserve"> and</w:t>
      </w:r>
      <w:r>
        <w:t xml:space="preserve"> plotted in Fig. </w:t>
      </w:r>
      <w:r w:rsidR="00EC7D88">
        <w:t>10</w:t>
      </w:r>
      <w:r>
        <w:t>.</w:t>
      </w:r>
    </w:p>
    <w:p w14:paraId="48F39741" w14:textId="77777777" w:rsidR="0091711D" w:rsidRDefault="0091711D" w:rsidP="00540348">
      <w:pPr>
        <w:rPr>
          <w:iCs/>
        </w:rPr>
      </w:pPr>
    </w:p>
    <w:p w14:paraId="252E774F" w14:textId="7A88944D" w:rsidR="00724171" w:rsidRDefault="0091711D">
      <w:pPr>
        <w:rPr>
          <w:iCs/>
        </w:rPr>
      </w:pPr>
      <w:r>
        <w:rPr>
          <w:iCs/>
        </w:rPr>
        <w:t>Fig. 10</w:t>
      </w:r>
    </w:p>
    <w:p w14:paraId="70647FB7" w14:textId="58432E5E" w:rsidR="00DA260F" w:rsidRDefault="00DA260F">
      <w:pPr>
        <w:spacing w:after="160" w:line="259" w:lineRule="auto"/>
        <w:rPr>
          <w:iCs/>
        </w:rPr>
      </w:pPr>
      <w:r>
        <w:rPr>
          <w:iCs/>
        </w:rPr>
        <w:br w:type="page"/>
      </w:r>
    </w:p>
    <w:p w14:paraId="3AED31CA" w14:textId="0059FF30" w:rsidR="0002175A" w:rsidRDefault="0002175A" w:rsidP="00540348">
      <w:pPr>
        <w:pStyle w:val="Heading1"/>
        <w:rPr>
          <w:rFonts w:cs="Times New Roman"/>
        </w:rPr>
      </w:pPr>
      <w:r w:rsidRPr="003D2D14">
        <w:rPr>
          <w:rFonts w:cs="Times New Roman"/>
        </w:rPr>
        <w:lastRenderedPageBreak/>
        <w:t>DISCUSSION</w:t>
      </w:r>
    </w:p>
    <w:p w14:paraId="179F8512" w14:textId="11F6F0BF" w:rsidR="00900594" w:rsidRDefault="00900594" w:rsidP="00100BA1">
      <w:pPr>
        <w:autoSpaceDE w:val="0"/>
        <w:autoSpaceDN w:val="0"/>
        <w:adjustRightInd w:val="0"/>
        <w:spacing w:before="100" w:after="100"/>
      </w:pPr>
      <w:r w:rsidRPr="00100BA1">
        <w:t xml:space="preserve"> </w:t>
      </w:r>
      <w:r w:rsidR="00AA4A72">
        <w:t xml:space="preserve">The primary </w:t>
      </w:r>
      <w:r w:rsidR="009238C3">
        <w:t>function</w:t>
      </w:r>
      <w:r w:rsidR="00AA4A72">
        <w:t xml:space="preserve"> of FC coatings is </w:t>
      </w:r>
      <w:r w:rsidR="009238C3">
        <w:t xml:space="preserve">to </w:t>
      </w:r>
      <w:r w:rsidR="00AA4A72">
        <w:t>reduc</w:t>
      </w:r>
      <w:r w:rsidR="009238C3">
        <w:t>e</w:t>
      </w:r>
      <w:r w:rsidR="001D089C">
        <w:t xml:space="preserve"> </w:t>
      </w:r>
      <w:r w:rsidR="00AA4A72">
        <w:t>fouling accumulation on ship hulls</w:t>
      </w:r>
      <w:r w:rsidR="001D089C">
        <w:t xml:space="preserve"> and thereby decrease the drag experienced when vessels are underway</w:t>
      </w:r>
      <w:r w:rsidR="00AA4A72">
        <w:t xml:space="preserve">. </w:t>
      </w:r>
      <w:r w:rsidR="001D089C">
        <w:t>Developing FC coatings requires extensive testing, and f</w:t>
      </w:r>
      <w:r w:rsidR="000764A6" w:rsidRPr="005B52D5">
        <w:t xml:space="preserve">or coating companies down-selection of candidate coatings is a critical process that </w:t>
      </w:r>
      <w:r w:rsidR="00AA4A72">
        <w:t xml:space="preserve">necessarily </w:t>
      </w:r>
      <w:r w:rsidR="000764A6" w:rsidRPr="005B52D5">
        <w:t>focuses costly and limited R&amp;D resource</w:t>
      </w:r>
      <w:r w:rsidR="00AA4A72">
        <w:t>s</w:t>
      </w:r>
      <w:r w:rsidR="000764A6" w:rsidRPr="005B52D5">
        <w:t xml:space="preserve"> on the most promising formulations and technologies. </w:t>
      </w:r>
      <w:r w:rsidR="001D089C">
        <w:t>Simple and reliable test methods are therefore of great interest.</w:t>
      </w:r>
      <w:r w:rsidR="000764A6" w:rsidRPr="005B52D5">
        <w:t>  </w:t>
      </w:r>
      <w:r w:rsidR="001D089C">
        <w:t>Industry and academia use v</w:t>
      </w:r>
      <w:r w:rsidR="000764A6" w:rsidRPr="005B52D5">
        <w:t xml:space="preserve">arious down-selection routes to </w:t>
      </w:r>
      <w:r w:rsidR="00AA4A72">
        <w:t xml:space="preserve">directly </w:t>
      </w:r>
      <w:r w:rsidR="000764A6" w:rsidRPr="005B52D5">
        <w:t xml:space="preserve">assess </w:t>
      </w:r>
      <w:r w:rsidR="001D089C">
        <w:t xml:space="preserve">FC coating </w:t>
      </w:r>
      <w:r w:rsidR="000764A6" w:rsidRPr="005B52D5">
        <w:t xml:space="preserve">“slime efficacy”, such as bioassays </w:t>
      </w:r>
      <w:r w:rsidR="000764A6" w:rsidRPr="00E06849">
        <w:t>(</w:t>
      </w:r>
      <w:r w:rsidR="00E06849">
        <w:t>Ramsden and Longyear 2014; Br</w:t>
      </w:r>
      <w:r w:rsidR="002817CD">
        <w:t>i</w:t>
      </w:r>
      <w:r w:rsidR="00E06849">
        <w:t>and 2009</w:t>
      </w:r>
      <w:r w:rsidR="000764A6" w:rsidRPr="00E06849">
        <w:t>)</w:t>
      </w:r>
      <w:r w:rsidR="000764A6" w:rsidRPr="005B52D5">
        <w:t xml:space="preserve">.  Bioassays provide the </w:t>
      </w:r>
      <w:r w:rsidR="00AA4A72">
        <w:t>greatest</w:t>
      </w:r>
      <w:r w:rsidR="000764A6" w:rsidRPr="005B52D5">
        <w:t xml:space="preserve"> advantage when they </w:t>
      </w:r>
      <w:r w:rsidR="001D089C">
        <w:t xml:space="preserve">are simple to perform and </w:t>
      </w:r>
      <w:r w:rsidR="000764A6" w:rsidRPr="005B52D5">
        <w:t xml:space="preserve">compress fouling time scales by being rapid to execute, </w:t>
      </w:r>
      <w:r w:rsidR="001D089C">
        <w:t xml:space="preserve">goals </w:t>
      </w:r>
      <w:r w:rsidR="000764A6" w:rsidRPr="005B52D5">
        <w:t xml:space="preserve">commonly </w:t>
      </w:r>
      <w:r w:rsidR="00AA4A72">
        <w:t xml:space="preserve">achieved </w:t>
      </w:r>
      <w:r w:rsidR="000764A6" w:rsidRPr="005B52D5">
        <w:t xml:space="preserve">by using small test pieces such as microscope slides, which can be deployed in very large parallel experiments with logistical ease. Often the measure of “efficacy” is some metric of total slime load (e.g. percentage coverage, biofilm roughness).  From a ship owner’s perspective, however, </w:t>
      </w:r>
      <w:r w:rsidR="001D089C">
        <w:t xml:space="preserve">some </w:t>
      </w:r>
      <w:r w:rsidR="000764A6" w:rsidRPr="005B52D5">
        <w:t>economic aspect of ship operational efficiency related to drag</w:t>
      </w:r>
      <w:r w:rsidR="001D089C">
        <w:t>, such as</w:t>
      </w:r>
      <w:r w:rsidR="001D089C" w:rsidRPr="001D089C">
        <w:t xml:space="preserve"> </w:t>
      </w:r>
      <w:r w:rsidR="00D97FA7">
        <w:t xml:space="preserve">projected </w:t>
      </w:r>
      <w:r w:rsidR="001D089C" w:rsidRPr="005B52D5">
        <w:t xml:space="preserve">fuel oil </w:t>
      </w:r>
      <w:r w:rsidR="00D97FA7" w:rsidRPr="005B52D5">
        <w:t>consumption</w:t>
      </w:r>
      <w:r w:rsidR="00D97FA7">
        <w:t xml:space="preserve">, </w:t>
      </w:r>
      <w:r w:rsidR="00D97FA7" w:rsidRPr="005B52D5">
        <w:t>is</w:t>
      </w:r>
      <w:r w:rsidR="000764A6" w:rsidRPr="005B52D5">
        <w:t xml:space="preserve"> a more relevant metric.</w:t>
      </w:r>
      <w:r w:rsidR="000764A6">
        <w:t xml:space="preserve"> This requires </w:t>
      </w:r>
      <w:r w:rsidR="00D97FA7">
        <w:t xml:space="preserve">experimental </w:t>
      </w:r>
      <w:r w:rsidR="000764A6">
        <w:t>measurement of hydrodynamic drag using accessible test surfaces in towing tank or rotating disc systems.</w:t>
      </w:r>
    </w:p>
    <w:p w14:paraId="60DA18C0" w14:textId="77777777" w:rsidR="000764A6" w:rsidRDefault="000764A6" w:rsidP="000764A6">
      <w:pPr>
        <w:pStyle w:val="Newparagraph"/>
        <w:ind w:firstLine="0"/>
      </w:pPr>
    </w:p>
    <w:p w14:paraId="471D7046" w14:textId="2D334C4D" w:rsidR="000764A6" w:rsidRPr="005B52D5" w:rsidRDefault="000764A6" w:rsidP="000764A6">
      <w:pPr>
        <w:rPr>
          <w:highlight w:val="yellow"/>
        </w:rPr>
      </w:pPr>
      <w:r w:rsidRPr="00100BA1">
        <w:t xml:space="preserve">Rotating discs offer practical advantages over towing tank tests since they </w:t>
      </w:r>
      <w:r w:rsidR="003F7B0C">
        <w:t xml:space="preserve">are much smaller and </w:t>
      </w:r>
      <w:r w:rsidRPr="00100BA1">
        <w:t>can rapidly reach high</w:t>
      </w:r>
      <w:r>
        <w:t>er</w:t>
      </w:r>
      <w:r w:rsidRPr="00100BA1">
        <w:t xml:space="preserve"> peripheral velocities. The resisting torque is measured with an in-line torque meter </w:t>
      </w:r>
      <w:r w:rsidRPr="00100BA1">
        <w:rPr>
          <w:noProof/>
        </w:rPr>
        <w:t>(Holm et al. 2004)</w:t>
      </w:r>
      <w:r w:rsidRPr="00100BA1">
        <w:t>. Typically disc diameters of approximately 30 cm have been used to provide a large enough surface to achieve the sensitivity to detect increases in torque due to fouling</w:t>
      </w:r>
      <w:r w:rsidR="008766A7">
        <w:t>,</w:t>
      </w:r>
      <w:r w:rsidRPr="00100BA1">
        <w:t xml:space="preserve"> and </w:t>
      </w:r>
      <w:r w:rsidR="008766A7">
        <w:t>to</w:t>
      </w:r>
      <w:r w:rsidRPr="00100BA1">
        <w:t xml:space="preserve"> achieve high rotational Reynolds numbers (</w:t>
      </w:r>
      <w:proofErr w:type="spellStart"/>
      <w:r w:rsidRPr="00100BA1">
        <w:rPr>
          <w:i/>
        </w:rPr>
        <w:t>Re</w:t>
      </w:r>
      <w:r w:rsidRPr="00100BA1">
        <w:rPr>
          <w:i/>
          <w:vertAlign w:val="subscript"/>
        </w:rPr>
        <w:t>r</w:t>
      </w:r>
      <w:proofErr w:type="spellEnd"/>
      <w:r w:rsidRPr="00100BA1">
        <w:t>) at the disc edge, approaching the range of that experienced by ships as they move through the water.</w:t>
      </w:r>
      <w:r w:rsidRPr="005B52D5">
        <w:rPr>
          <w:highlight w:val="yellow"/>
        </w:rPr>
        <w:t xml:space="preserve"> </w:t>
      </w:r>
    </w:p>
    <w:p w14:paraId="0998C298" w14:textId="5A934DA1" w:rsidR="000764A6" w:rsidRPr="001D089C" w:rsidRDefault="000764A6" w:rsidP="00100BA1">
      <w:pPr>
        <w:pStyle w:val="Newparagraph"/>
        <w:ind w:firstLine="0"/>
      </w:pPr>
    </w:p>
    <w:p w14:paraId="585EDF01" w14:textId="3A83ADD3" w:rsidR="008766A7" w:rsidRDefault="00922E19" w:rsidP="008766A7">
      <w:r w:rsidRPr="00100BA1">
        <w:lastRenderedPageBreak/>
        <w:t>Various authors have studied the drag increase due to marine biofilms</w:t>
      </w:r>
      <w:r w:rsidR="00D11D13" w:rsidRPr="00100BA1">
        <w:t xml:space="preserve"> using </w:t>
      </w:r>
      <w:r w:rsidR="00E06849" w:rsidRPr="003D2D14">
        <w:t>rotating</w:t>
      </w:r>
      <w:r w:rsidR="00D11D13" w:rsidRPr="00100BA1">
        <w:t xml:space="preserve"> discs</w:t>
      </w:r>
      <w:r w:rsidR="00E06849">
        <w:t xml:space="preserve"> of this size</w:t>
      </w:r>
      <w:r w:rsidRPr="00100BA1">
        <w:t xml:space="preserve">. </w:t>
      </w:r>
      <w:r w:rsidR="00141AD7" w:rsidRPr="00100BA1">
        <w:t xml:space="preserve">Loeb </w:t>
      </w:r>
      <w:r w:rsidR="00141AD7" w:rsidRPr="00100BA1">
        <w:rPr>
          <w:noProof/>
        </w:rPr>
        <w:t>(Loeb 1981; Loeb et al. 1984)</w:t>
      </w:r>
      <w:r w:rsidR="00141AD7" w:rsidRPr="00100BA1">
        <w:t xml:space="preserve"> studied the influence of microbial fouling films on the hydrodynamic drag of rotating discs and showed that drag increases of 10</w:t>
      </w:r>
      <w:r w:rsidR="00EE17A4">
        <w:t xml:space="preserve"> </w:t>
      </w:r>
      <w:r w:rsidR="00141AD7" w:rsidRPr="00100BA1">
        <w:t>% to 20</w:t>
      </w:r>
      <w:r w:rsidR="00EE17A4">
        <w:t xml:space="preserve"> </w:t>
      </w:r>
      <w:r w:rsidR="00141AD7" w:rsidRPr="00100BA1">
        <w:t>% could be caused by microbial slimes, while Holm (2004) found microfouling drag penalties ranging from 9</w:t>
      </w:r>
      <w:r w:rsidR="00EE17A4">
        <w:t xml:space="preserve"> </w:t>
      </w:r>
      <w:r w:rsidR="00141AD7" w:rsidRPr="00100BA1">
        <w:t>% to 29</w:t>
      </w:r>
      <w:r w:rsidR="00EE17A4">
        <w:t xml:space="preserve"> </w:t>
      </w:r>
      <w:r w:rsidR="00141AD7" w:rsidRPr="00100BA1">
        <w:t>%.</w:t>
      </w:r>
      <w:r w:rsidR="00141AD7" w:rsidRPr="003D2D14">
        <w:t xml:space="preserve"> </w:t>
      </w:r>
      <w:r w:rsidR="00141AD7" w:rsidRPr="00732A21">
        <w:t>Yeginbayeva (2019)</w:t>
      </w:r>
      <w:r w:rsidRPr="00732A21">
        <w:t xml:space="preserve"> used</w:t>
      </w:r>
      <w:r>
        <w:t xml:space="preserve"> a rotating disc device to assess fouling on 30</w:t>
      </w:r>
      <w:r w:rsidR="00EE17A4">
        <w:t xml:space="preserve"> </w:t>
      </w:r>
      <w:r>
        <w:t xml:space="preserve">cm diameter discs coated on one side with </w:t>
      </w:r>
      <w:r w:rsidR="00943573">
        <w:t xml:space="preserve">various </w:t>
      </w:r>
      <w:r>
        <w:t>commercial coatings and either exposed in the sea</w:t>
      </w:r>
      <w:r w:rsidR="001D5574">
        <w:t xml:space="preserve"> on the west coast of Sweden</w:t>
      </w:r>
      <w:r>
        <w:t xml:space="preserve"> or fouled in the laboratory.</w:t>
      </w:r>
      <w:r w:rsidR="00933AC2">
        <w:t xml:space="preserve"> Tenacious slime and algal fouling remaining on discs after initial dynamic testing resulted in from 28</w:t>
      </w:r>
      <w:r w:rsidR="00EE17A4">
        <w:t xml:space="preserve"> </w:t>
      </w:r>
      <w:r w:rsidR="00933AC2">
        <w:t>% to 41</w:t>
      </w:r>
      <w:r w:rsidR="00EE17A4">
        <w:t xml:space="preserve"> </w:t>
      </w:r>
      <w:r w:rsidR="00933AC2">
        <w:t xml:space="preserve">% increased drag in the range of test speeds 13 knots </w:t>
      </w:r>
      <w:r w:rsidR="006C5A01">
        <w:t>to</w:t>
      </w:r>
      <w:r w:rsidR="00933AC2">
        <w:t xml:space="preserve"> 26 knots.</w:t>
      </w:r>
      <w:r w:rsidR="008766A7">
        <w:t xml:space="preserve"> </w:t>
      </w:r>
      <w:r w:rsidR="008766A7" w:rsidRPr="00100BA1">
        <w:t>However, discs this size require correspondingly large tank volumes and</w:t>
      </w:r>
      <w:r w:rsidR="008766A7" w:rsidRPr="00100BA1" w:rsidDel="00BE7F90">
        <w:t xml:space="preserve"> </w:t>
      </w:r>
      <w:r w:rsidR="008766A7" w:rsidRPr="00100BA1">
        <w:t>can still be cumbersome to work with. Marine exposure and transport of these discs from an immersion site to a testing rig can be problematic and exchanging discs between tests</w:t>
      </w:r>
      <w:r w:rsidR="00A575FC">
        <w:t xml:space="preserve"> and establishing equilibrium flow</w:t>
      </w:r>
      <w:r w:rsidR="008766A7" w:rsidRPr="00100BA1">
        <w:t xml:space="preserve"> is relatively time consuming. In addition, they are not suitable for testing of expensive or exotic surface modifications because of their large surface area.</w:t>
      </w:r>
    </w:p>
    <w:p w14:paraId="089ADEBC" w14:textId="77777777" w:rsidR="00D33B07" w:rsidRDefault="00D33B07" w:rsidP="008766A7"/>
    <w:p w14:paraId="7BA4BDB4" w14:textId="3D35CBEE" w:rsidR="00D33B07" w:rsidRPr="00100BA1" w:rsidRDefault="00D33B07" w:rsidP="00100BA1">
      <w:r w:rsidRPr="00100BA1">
        <w:t>Previously the feasibility of measuring the</w:t>
      </w:r>
      <w:r w:rsidR="00722044" w:rsidRPr="00100BA1">
        <w:t xml:space="preserve"> </w:t>
      </w:r>
      <w:r w:rsidRPr="00100BA1">
        <w:t>increase of torque caused by marine biofilm fouling on small (2.5 cm diameter</w:t>
      </w:r>
      <w:r w:rsidR="003E0249">
        <w:t>, 8 mm thick</w:t>
      </w:r>
      <w:r w:rsidR="00722044" w:rsidRPr="00100BA1">
        <w:t>)</w:t>
      </w:r>
      <w:r w:rsidRPr="00100BA1">
        <w:t xml:space="preserve"> </w:t>
      </w:r>
      <w:r w:rsidR="003E0249">
        <w:t xml:space="preserve">test pieces </w:t>
      </w:r>
      <w:r w:rsidRPr="00100BA1">
        <w:t xml:space="preserve">coated with polymethyl methacrylate (PMMA) using a precision rheometer to serve as a </w:t>
      </w:r>
      <w:r w:rsidR="003E0249">
        <w:t>high</w:t>
      </w:r>
      <w:r w:rsidRPr="00100BA1">
        <w:t xml:space="preserve"> sensitivity </w:t>
      </w:r>
      <w:r w:rsidR="00EE17A4" w:rsidRPr="00A71FA2">
        <w:t>(</w:t>
      </w:r>
      <w:proofErr w:type="spellStart"/>
      <w:r w:rsidR="00EE17A4" w:rsidRPr="00A71FA2">
        <w:t>nN.m</w:t>
      </w:r>
      <w:proofErr w:type="spellEnd"/>
      <w:r w:rsidR="00EE17A4" w:rsidRPr="00A71FA2">
        <w:t>)</w:t>
      </w:r>
      <w:r w:rsidR="00EE17A4">
        <w:t xml:space="preserve"> </w:t>
      </w:r>
      <w:r w:rsidRPr="00100BA1">
        <w:t xml:space="preserve">torque monitor </w:t>
      </w:r>
      <w:r w:rsidR="00722044" w:rsidRPr="00100BA1">
        <w:t>has been reported</w:t>
      </w:r>
      <w:r w:rsidRPr="00100BA1">
        <w:t xml:space="preserve"> (Dennington et al.</w:t>
      </w:r>
      <w:r w:rsidR="00F24F6C">
        <w:t xml:space="preserve"> </w:t>
      </w:r>
      <w:r w:rsidRPr="00100BA1">
        <w:t xml:space="preserve">2015). The motivation for the present study was to refine the technique to assess the feasibility of using this method as a rapid screening tool for identifying the potential of marine coating formulations or surface modifications to reduce biofilm fouling and the associated hydrodynamic drag. </w:t>
      </w:r>
      <w:r w:rsidR="00D64F7A">
        <w:t>It is</w:t>
      </w:r>
      <w:r w:rsidRPr="00100BA1">
        <w:t xml:space="preserve"> hypothesized that this rapid and simple benchtop method would be sensitive enough to detect the progression of early fouling development as well as differences between </w:t>
      </w:r>
      <w:r w:rsidR="00D64F7A">
        <w:t xml:space="preserve">the performance of </w:t>
      </w:r>
      <w:r w:rsidRPr="00100BA1">
        <w:t xml:space="preserve">anti-corrosion paint and coatings specifically formulated to reduce fouling. To test </w:t>
      </w:r>
      <w:r w:rsidR="00722044" w:rsidRPr="00100BA1">
        <w:t xml:space="preserve">this </w:t>
      </w:r>
      <w:r w:rsidRPr="00100BA1">
        <w:lastRenderedPageBreak/>
        <w:t xml:space="preserve">hypothesis, the </w:t>
      </w:r>
      <w:r w:rsidR="00D64F7A">
        <w:t>ability of the method to differentiate the drag caused by</w:t>
      </w:r>
      <w:r w:rsidR="00D64F7A" w:rsidRPr="00856E1F">
        <w:t xml:space="preserve"> </w:t>
      </w:r>
      <w:r w:rsidR="00D64F7A">
        <w:t xml:space="preserve">various </w:t>
      </w:r>
      <w:r w:rsidRPr="00100BA1">
        <w:t xml:space="preserve">rigid roughness elements </w:t>
      </w:r>
      <w:r w:rsidR="00F24F6C" w:rsidRPr="00100BA1">
        <w:t xml:space="preserve">was determined </w:t>
      </w:r>
      <w:r w:rsidRPr="00100BA1">
        <w:t xml:space="preserve">by making measurements on </w:t>
      </w:r>
      <w:r w:rsidR="00F24F6C" w:rsidRPr="00100BA1">
        <w:t>“</w:t>
      </w:r>
      <w:r w:rsidRPr="00100BA1">
        <w:t>minidiscs</w:t>
      </w:r>
      <w:r w:rsidR="00F24F6C" w:rsidRPr="00100BA1">
        <w:t>”</w:t>
      </w:r>
      <w:r w:rsidRPr="00100BA1">
        <w:t xml:space="preserve"> coated with sandpapers of defined roughness. </w:t>
      </w:r>
      <w:r w:rsidR="00F24F6C" w:rsidRPr="00100BA1">
        <w:t>M</w:t>
      </w:r>
      <w:r w:rsidRPr="00100BA1">
        <w:t>easurements</w:t>
      </w:r>
      <w:r w:rsidR="00F24F6C" w:rsidRPr="00100BA1">
        <w:t xml:space="preserve"> were then made</w:t>
      </w:r>
      <w:r w:rsidRPr="00100BA1">
        <w:t xml:space="preserve"> on minidiscs coated with various anti-corrosion and antifouling coatings after various times of seawater immersion for up to 176 days.</w:t>
      </w:r>
    </w:p>
    <w:p w14:paraId="3F5AA8B9" w14:textId="77777777" w:rsidR="00D33B07" w:rsidRPr="00100BA1" w:rsidRDefault="00D33B07" w:rsidP="008766A7">
      <w:pPr>
        <w:rPr>
          <w:color w:val="FF0000"/>
        </w:rPr>
      </w:pPr>
    </w:p>
    <w:p w14:paraId="7D7DD29F" w14:textId="32A6ED8A" w:rsidR="00785E72" w:rsidRPr="00100BA1" w:rsidRDefault="00DA3EE3" w:rsidP="00100BA1">
      <w:r w:rsidRPr="00100BA1">
        <w:t>At the maximum rotational speed of 300 rad·s</w:t>
      </w:r>
      <w:r w:rsidRPr="00100BA1">
        <w:rPr>
          <w:vertAlign w:val="superscript"/>
        </w:rPr>
        <w:t>-1</w:t>
      </w:r>
      <w:r w:rsidRPr="00100BA1">
        <w:t xml:space="preserve"> (2865 rpm) the peripheral velocity of the </w:t>
      </w:r>
      <w:r w:rsidR="004F4852">
        <w:t>mini</w:t>
      </w:r>
      <w:r w:rsidRPr="00100BA1">
        <w:t>discs is 6 m·s</w:t>
      </w:r>
      <w:r w:rsidRPr="00100BA1">
        <w:rPr>
          <w:vertAlign w:val="superscript"/>
        </w:rPr>
        <w:t>-1</w:t>
      </w:r>
      <w:r w:rsidRPr="00100BA1">
        <w:t xml:space="preserve"> (11.7 knots), which is similar to that in a towing tank and approximates the current average speed for a merchant ship which has fallen from 15 knots in 2010 </w:t>
      </w:r>
      <w:r w:rsidRPr="00100BA1">
        <w:rPr>
          <w:noProof/>
        </w:rPr>
        <w:t>(Moritz Bollmann 2010)</w:t>
      </w:r>
      <w:r w:rsidRPr="00100BA1">
        <w:t xml:space="preserve"> by around 25% </w:t>
      </w:r>
      <w:r w:rsidRPr="00100BA1">
        <w:rPr>
          <w:noProof/>
        </w:rPr>
        <w:t>(Paris 2019)</w:t>
      </w:r>
      <w:r w:rsidRPr="00100BA1">
        <w:t xml:space="preserve">. </w:t>
      </w:r>
      <w:r w:rsidR="00BE5FB9" w:rsidRPr="00CA3F76">
        <w:t>The Reynolds number for a full-scale vessel would typically be 5</w:t>
      </w:r>
      <w:r w:rsidR="00BE5FB9">
        <w:t xml:space="preserve"> </w:t>
      </w:r>
      <w:r w:rsidR="00BE5FB9" w:rsidRPr="00CA3F76">
        <w:t>x</w:t>
      </w:r>
      <w:r w:rsidR="00BE5FB9">
        <w:t xml:space="preserve"> </w:t>
      </w:r>
      <w:r w:rsidR="00BE5FB9" w:rsidRPr="00CA3F76">
        <w:t>10</w:t>
      </w:r>
      <w:r w:rsidR="00BE5FB9" w:rsidRPr="00CA3F76">
        <w:rPr>
          <w:vertAlign w:val="superscript"/>
        </w:rPr>
        <w:t>8</w:t>
      </w:r>
      <w:r w:rsidR="00BE5FB9" w:rsidRPr="00CA3F76">
        <w:t xml:space="preserve"> - 5 x</w:t>
      </w:r>
      <w:r w:rsidR="00BE5FB9">
        <w:t xml:space="preserve"> </w:t>
      </w:r>
      <w:r w:rsidR="00BE5FB9" w:rsidRPr="00CA3F76">
        <w:t>10</w:t>
      </w:r>
      <w:r w:rsidR="00BE5FB9" w:rsidRPr="00CA3F76">
        <w:rPr>
          <w:vertAlign w:val="superscript"/>
        </w:rPr>
        <w:t>9</w:t>
      </w:r>
      <w:r w:rsidR="00BE5FB9" w:rsidRPr="00CA3F76">
        <w:t xml:space="preserve"> with that for a towing tank model one to two orders of magnitude less </w:t>
      </w:r>
      <w:r w:rsidR="00BE5FB9" w:rsidRPr="00CA3F76">
        <w:rPr>
          <w:noProof/>
        </w:rPr>
        <w:t>(Shen and Hughes 2015)</w:t>
      </w:r>
      <w:r w:rsidR="00BE5FB9" w:rsidRPr="00CA3F76">
        <w:t>.</w:t>
      </w:r>
      <w:r w:rsidRPr="00100BA1">
        <w:t xml:space="preserve"> The</w:t>
      </w:r>
      <w:r w:rsidR="001245F6">
        <w:t xml:space="preserve"> theoretical</w:t>
      </w:r>
      <w:r w:rsidRPr="00100BA1">
        <w:t xml:space="preserve"> maximum </w:t>
      </w:r>
      <w:proofErr w:type="spellStart"/>
      <w:r w:rsidRPr="00100BA1">
        <w:rPr>
          <w:i/>
        </w:rPr>
        <w:t>Re</w:t>
      </w:r>
      <w:r w:rsidRPr="00100BA1">
        <w:rPr>
          <w:i/>
          <w:vertAlign w:val="subscript"/>
        </w:rPr>
        <w:t>r</w:t>
      </w:r>
      <w:proofErr w:type="spellEnd"/>
      <w:r w:rsidRPr="00100BA1">
        <w:t xml:space="preserve"> achievable</w:t>
      </w:r>
      <w:r w:rsidR="001245F6">
        <w:t xml:space="preserve"> with the rheometer apparatus</w:t>
      </w:r>
      <w:r w:rsidRPr="00100BA1">
        <w:t xml:space="preserve"> is 1.14 x</w:t>
      </w:r>
      <w:r w:rsidR="00765A1D">
        <w:t xml:space="preserve"> </w:t>
      </w:r>
      <w:r w:rsidRPr="00100BA1">
        <w:t>10</w:t>
      </w:r>
      <w:r w:rsidRPr="00100BA1">
        <w:rPr>
          <w:vertAlign w:val="superscript"/>
        </w:rPr>
        <w:t>5</w:t>
      </w:r>
      <w:r w:rsidRPr="00100BA1">
        <w:t xml:space="preserve">, but co-rotation of the water in </w:t>
      </w:r>
      <w:r w:rsidR="00555A1D">
        <w:t>the cubic</w:t>
      </w:r>
      <w:r w:rsidRPr="00100BA1">
        <w:t xml:space="preserve"> reservoir reduces this </w:t>
      </w:r>
      <w:r w:rsidR="00555A1D">
        <w:t xml:space="preserve">to </w:t>
      </w:r>
      <w:r w:rsidR="00303C9F">
        <w:t>6.81</w:t>
      </w:r>
      <w:r w:rsidR="00555A1D">
        <w:t xml:space="preserve"> x 10</w:t>
      </w:r>
      <w:r w:rsidR="00555A1D" w:rsidRPr="00100BA1">
        <w:rPr>
          <w:vertAlign w:val="superscript"/>
        </w:rPr>
        <w:t>4</w:t>
      </w:r>
      <w:r w:rsidRPr="00100BA1">
        <w:t>.</w:t>
      </w:r>
      <w:r w:rsidR="00765A1D">
        <w:t xml:space="preserve"> For a hydrodynamically smooth disc</w:t>
      </w:r>
      <w:r w:rsidR="00FC4799">
        <w:t>,</w:t>
      </w:r>
      <w:r w:rsidR="00765A1D">
        <w:t xml:space="preserve"> </w:t>
      </w:r>
      <w:r w:rsidR="00FC4799">
        <w:t xml:space="preserve">applying Granville’s analysis </w:t>
      </w:r>
      <w:r w:rsidR="00FC4799" w:rsidRPr="000612F5">
        <w:t>(Granville PS 197</w:t>
      </w:r>
      <w:r w:rsidR="000612F5" w:rsidRPr="00100BA1">
        <w:t>3</w:t>
      </w:r>
      <w:r w:rsidR="00FC4799" w:rsidRPr="000612F5">
        <w:t>) yields</w:t>
      </w:r>
      <w:r w:rsidR="00FC4799">
        <w:t xml:space="preserve"> a corresponding</w:t>
      </w:r>
      <w:r w:rsidR="00765A1D">
        <w:t xml:space="preserve"> wall shear stress </w:t>
      </w:r>
      <w:r w:rsidR="00FC4799">
        <w:t>of</w:t>
      </w:r>
      <w:r w:rsidR="00765A1D">
        <w:t xml:space="preserve"> 2</w:t>
      </w:r>
      <w:r w:rsidR="00242A85">
        <w:t>4</w:t>
      </w:r>
      <w:r w:rsidR="00765A1D">
        <w:t xml:space="preserve"> Pa (</w:t>
      </w:r>
      <w:r w:rsidR="003437E1">
        <w:t>S</w:t>
      </w:r>
      <w:r w:rsidR="003F13BD">
        <w:t>4</w:t>
      </w:r>
      <w:r w:rsidR="00BE5FB9">
        <w:t>).</w:t>
      </w:r>
      <w:r w:rsidR="00785E72">
        <w:t xml:space="preserve"> </w:t>
      </w:r>
      <w:r w:rsidR="00785E72" w:rsidRPr="00100BA1">
        <w:t>The shear stress for an average ship or a flat plate of 100</w:t>
      </w:r>
      <w:r w:rsidR="00EE17A4">
        <w:t xml:space="preserve"> </w:t>
      </w:r>
      <w:r w:rsidR="00785E72" w:rsidRPr="00100BA1">
        <w:t>m is about 50 Pa</w:t>
      </w:r>
      <w:r w:rsidR="00785E72">
        <w:t xml:space="preserve"> </w:t>
      </w:r>
      <w:r w:rsidR="00C25C84">
        <w:t>(Yeginbayeva 2019)</w:t>
      </w:r>
      <w:r w:rsidR="00785E72" w:rsidRPr="00100BA1">
        <w:t xml:space="preserve">. Therefore, the rotational (tangential) velocity and the streamlined velocity in towing tanks are not directly comparable. </w:t>
      </w:r>
    </w:p>
    <w:p w14:paraId="1D211CB0" w14:textId="77777777" w:rsidR="00555A1D" w:rsidRDefault="00555A1D" w:rsidP="00141AD7"/>
    <w:p w14:paraId="02F2E57D" w14:textId="18FCCB70" w:rsidR="00667009" w:rsidRPr="00DC77B0" w:rsidRDefault="001D5574" w:rsidP="00667009">
      <w:r>
        <w:t xml:space="preserve">In </w:t>
      </w:r>
      <w:r w:rsidR="00980C4E">
        <w:t>the present</w:t>
      </w:r>
      <w:r>
        <w:t xml:space="preserve"> study</w:t>
      </w:r>
      <w:r w:rsidRPr="00DC77B0">
        <w:t xml:space="preserve"> </w:t>
      </w:r>
      <w:r w:rsidR="00555A1D">
        <w:t xml:space="preserve">coated </w:t>
      </w:r>
      <w:r w:rsidR="0002175A" w:rsidRPr="00DC77B0">
        <w:t>discs</w:t>
      </w:r>
      <w:r w:rsidR="00933AC2">
        <w:t xml:space="preserve"> that were</w:t>
      </w:r>
      <w:r w:rsidR="0002175A" w:rsidRPr="00DC77B0">
        <w:t xml:space="preserve"> immersed in the estuarine environment became covered with fouling over the summer exposure period. </w:t>
      </w:r>
      <w:r w:rsidR="00620079">
        <w:t>B</w:t>
      </w:r>
      <w:r w:rsidR="00622666" w:rsidRPr="00DC77B0">
        <w:t>iofilm</w:t>
      </w:r>
      <w:r w:rsidR="00620079">
        <w:t xml:space="preserve"> alone</w:t>
      </w:r>
      <w:r w:rsidR="00667009">
        <w:t xml:space="preserve"> succeeded in</w:t>
      </w:r>
      <w:r w:rsidR="00622666" w:rsidRPr="00DC77B0">
        <w:t xml:space="preserve"> </w:t>
      </w:r>
      <w:r w:rsidR="00622666">
        <w:t>colonis</w:t>
      </w:r>
      <w:r w:rsidR="00CD03E6">
        <w:t>ing</w:t>
      </w:r>
      <w:r w:rsidR="00622666">
        <w:t xml:space="preserve"> the</w:t>
      </w:r>
      <w:r w:rsidR="00622666" w:rsidRPr="00DC77B0">
        <w:t xml:space="preserve"> discs coated with the </w:t>
      </w:r>
      <w:r w:rsidR="00622666">
        <w:t xml:space="preserve">biocidal </w:t>
      </w:r>
      <w:r w:rsidR="00622666" w:rsidRPr="00DC77B0">
        <w:t>CDP and SPC</w:t>
      </w:r>
      <w:r w:rsidR="00622666">
        <w:t>, while s</w:t>
      </w:r>
      <w:r w:rsidR="00622666" w:rsidRPr="00DC77B0">
        <w:t xml:space="preserve">ome larger macrofouling organisms (barnacles and tube worms) </w:t>
      </w:r>
      <w:r w:rsidR="00622666">
        <w:t>became attached to</w:t>
      </w:r>
      <w:r w:rsidR="00622666" w:rsidRPr="00DC77B0">
        <w:t xml:space="preserve"> discs coated with ACP and FRC.</w:t>
      </w:r>
      <w:r w:rsidR="00622666">
        <w:t xml:space="preserve"> </w:t>
      </w:r>
      <w:r w:rsidR="0002175A" w:rsidRPr="00DC77B0">
        <w:t xml:space="preserve">Duplicate discs bearing </w:t>
      </w:r>
      <w:r>
        <w:t>the same</w:t>
      </w:r>
      <w:r w:rsidRPr="00DC77B0">
        <w:t xml:space="preserve"> </w:t>
      </w:r>
      <w:r w:rsidR="0002175A" w:rsidRPr="00DC77B0">
        <w:t xml:space="preserve">coating type showed </w:t>
      </w:r>
      <w:r w:rsidR="00980C4E">
        <w:t>varying</w:t>
      </w:r>
      <w:r w:rsidR="00980C4E" w:rsidRPr="00DC77B0">
        <w:t xml:space="preserve"> </w:t>
      </w:r>
      <w:r w:rsidR="0002175A" w:rsidRPr="00DC77B0">
        <w:t xml:space="preserve">levels of fouling, as is expected in biological exposures, but averaging the torque of </w:t>
      </w:r>
      <w:r w:rsidR="00555A1D">
        <w:t xml:space="preserve">these </w:t>
      </w:r>
      <w:r w:rsidR="0002175A" w:rsidRPr="00DC77B0">
        <w:t xml:space="preserve">gave </w:t>
      </w:r>
      <w:r w:rsidR="00555A1D">
        <w:t xml:space="preserve">significant results for </w:t>
      </w:r>
      <w:r w:rsidR="0002175A" w:rsidRPr="00DC77B0">
        <w:lastRenderedPageBreak/>
        <w:t>coating performance. The</w:t>
      </w:r>
      <w:r w:rsidR="007146CA">
        <w:t xml:space="preserve"> relative</w:t>
      </w:r>
      <w:r w:rsidR="0002175A" w:rsidRPr="00DC77B0">
        <w:t xml:space="preserve"> degree of fouling was </w:t>
      </w:r>
      <w:r w:rsidR="00F54182">
        <w:t>indicated</w:t>
      </w:r>
      <w:r w:rsidR="007146CA" w:rsidRPr="00DC77B0">
        <w:t xml:space="preserve"> </w:t>
      </w:r>
      <w:r w:rsidR="0002175A" w:rsidRPr="00DC77B0">
        <w:t xml:space="preserve">by the magnitude of the torque developed on rotation, expressed via the </w:t>
      </w:r>
      <w:r w:rsidR="00A251C3">
        <w:t xml:space="preserve">raw </w:t>
      </w:r>
      <w:r w:rsidR="0002175A" w:rsidRPr="00DC77B0">
        <w:t xml:space="preserve">torque or </w:t>
      </w:r>
      <w:r w:rsidR="00A251C3">
        <w:t xml:space="preserve">the </w:t>
      </w:r>
      <w:r w:rsidR="0002175A" w:rsidRPr="00DC77B0">
        <w:t xml:space="preserve">momentum coefficient. </w:t>
      </w:r>
      <w:r w:rsidR="00667009" w:rsidRPr="00DC77B0">
        <w:t xml:space="preserve">Detachment of fouling organisms </w:t>
      </w:r>
      <w:r w:rsidR="00667009">
        <w:t xml:space="preserve">from the FRC </w:t>
      </w:r>
      <w:r w:rsidR="00667009" w:rsidRPr="00DC77B0">
        <w:t xml:space="preserve">was </w:t>
      </w:r>
      <w:r w:rsidR="00F54182">
        <w:t>revealed</w:t>
      </w:r>
      <w:r w:rsidR="00667009" w:rsidRPr="00DC77B0">
        <w:t xml:space="preserve"> by sudden drops in torque</w:t>
      </w:r>
      <w:r w:rsidR="00667009">
        <w:t xml:space="preserve"> </w:t>
      </w:r>
      <w:r w:rsidR="00F54182">
        <w:t>as the rotational speed increased</w:t>
      </w:r>
      <w:r w:rsidR="00667009" w:rsidRPr="00DC77B0">
        <w:t xml:space="preserve">. Such events </w:t>
      </w:r>
      <w:r w:rsidR="00667009">
        <w:t>facilitate an estimate of the tenaciousness of fouling attachment,</w:t>
      </w:r>
      <w:r w:rsidR="00667009" w:rsidRPr="00DC77B0">
        <w:t xml:space="preserve"> but they cause difficulty in </w:t>
      </w:r>
      <w:r w:rsidR="00667009">
        <w:t>determining</w:t>
      </w:r>
      <w:r w:rsidR="00667009" w:rsidRPr="00DC77B0">
        <w:t xml:space="preserve"> the </w:t>
      </w:r>
      <w:r w:rsidR="00667009" w:rsidRPr="00DC77B0">
        <w:rPr>
          <w:i/>
        </w:rPr>
        <w:t>C</w:t>
      </w:r>
      <w:r w:rsidR="00667009" w:rsidRPr="00DC77B0">
        <w:rPr>
          <w:i/>
          <w:vertAlign w:val="subscript"/>
        </w:rPr>
        <w:t>m</w:t>
      </w:r>
      <w:r w:rsidR="00667009" w:rsidRPr="00DC77B0">
        <w:t xml:space="preserve"> at higher velocity had the fouling not detached.</w:t>
      </w:r>
      <w:r w:rsidR="00667009">
        <w:t xml:space="preserve"> C</w:t>
      </w:r>
      <w:r w:rsidR="00667009" w:rsidRPr="00DC77B0">
        <w:t xml:space="preserve">lear differences between coatings were </w:t>
      </w:r>
      <w:r w:rsidR="00667009">
        <w:t>apparent</w:t>
      </w:r>
      <w:r w:rsidR="00667009" w:rsidRPr="00DC77B0">
        <w:t xml:space="preserve"> </w:t>
      </w:r>
      <w:r w:rsidR="00667009">
        <w:t>f</w:t>
      </w:r>
      <w:r w:rsidR="00667009" w:rsidRPr="00DC77B0">
        <w:t xml:space="preserve">rom 85 days exposure onwards, with the </w:t>
      </w:r>
      <w:r w:rsidR="00667009">
        <w:t xml:space="preserve">heavily </w:t>
      </w:r>
      <w:r w:rsidR="00667009" w:rsidRPr="00DC77B0">
        <w:t xml:space="preserve">fouled anti-corrosion coating giving </w:t>
      </w:r>
      <w:r w:rsidR="00667009" w:rsidRPr="00DC77B0">
        <w:rPr>
          <w:i/>
          <w:iCs/>
        </w:rPr>
        <w:t>C</w:t>
      </w:r>
      <w:r w:rsidR="00667009" w:rsidRPr="00DC77B0">
        <w:rPr>
          <w:i/>
          <w:iCs/>
          <w:vertAlign w:val="subscript"/>
        </w:rPr>
        <w:t>m</w:t>
      </w:r>
      <w:r w:rsidR="00667009" w:rsidRPr="00DC77B0">
        <w:t xml:space="preserve"> values up to 10x higher than the fouling control coatings. </w:t>
      </w:r>
      <w:r w:rsidR="00667009">
        <w:t>The magnitude of this parameter may therefore serve as a simple relative measure of drag due to fouling</w:t>
      </w:r>
      <w:r w:rsidR="00D97FA7">
        <w:t xml:space="preserve"> when comparing coatings</w:t>
      </w:r>
      <w:r w:rsidR="00667009">
        <w:t>.</w:t>
      </w:r>
    </w:p>
    <w:p w14:paraId="51E46B51" w14:textId="77777777" w:rsidR="0002175A" w:rsidRPr="00DC77B0" w:rsidRDefault="0002175A" w:rsidP="00540348"/>
    <w:p w14:paraId="42F5E196" w14:textId="1F1F8CA7" w:rsidR="0002175A" w:rsidRPr="00DC77B0" w:rsidRDefault="00F54182" w:rsidP="00540348">
      <w:r>
        <w:t>The well-</w:t>
      </w:r>
      <w:r w:rsidR="00D97FA7">
        <w:t>characterised</w:t>
      </w:r>
      <w:r>
        <w:t xml:space="preserve"> disc geometry allows further analysis to be attempted. </w:t>
      </w:r>
      <w:r w:rsidR="00264EE5">
        <w:t xml:space="preserve">The rheometer </w:t>
      </w:r>
      <w:r w:rsidR="00D82C0C">
        <w:t xml:space="preserve">torque response </w:t>
      </w:r>
      <w:r w:rsidR="00264EE5">
        <w:t xml:space="preserve">was calibrated using sandpaper surfaces. </w:t>
      </w:r>
      <w:r w:rsidR="0002175A" w:rsidRPr="00DC77B0">
        <w:t xml:space="preserve">Applying similarity law analysis as developed by Granville </w:t>
      </w:r>
      <w:r w:rsidR="0002175A" w:rsidRPr="00DC77B0">
        <w:rPr>
          <w:noProof/>
        </w:rPr>
        <w:t xml:space="preserve">(Granville </w:t>
      </w:r>
      <w:r w:rsidR="00855956" w:rsidRPr="00DC77B0">
        <w:rPr>
          <w:noProof/>
        </w:rPr>
        <w:t xml:space="preserve">1978, </w:t>
      </w:r>
      <w:r w:rsidR="0002175A" w:rsidRPr="00DC77B0">
        <w:rPr>
          <w:noProof/>
        </w:rPr>
        <w:t>1982)</w:t>
      </w:r>
      <w:r w:rsidR="0002175A" w:rsidRPr="00DC77B0">
        <w:t xml:space="preserve"> </w:t>
      </w:r>
      <w:r w:rsidR="00353A5C">
        <w:t>allowed</w:t>
      </w:r>
      <w:r w:rsidR="00CB1A04">
        <w:t xml:space="preserve"> roughness functions for the test surfaces</w:t>
      </w:r>
      <w:r w:rsidR="00353A5C">
        <w:t xml:space="preserve"> to be estimated</w:t>
      </w:r>
      <w:r w:rsidR="00CB1A04">
        <w:t>. T</w:t>
      </w:r>
      <w:r w:rsidR="0002175A" w:rsidRPr="00DC77B0">
        <w:t>he sandpaper roughness functions could be collapse</w:t>
      </w:r>
      <w:r w:rsidR="00CD03E6">
        <w:t>d</w:t>
      </w:r>
      <w:r w:rsidR="0002175A" w:rsidRPr="00DC77B0">
        <w:t xml:space="preserve"> on to </w:t>
      </w:r>
      <w:r w:rsidR="00E17D62">
        <w:t>a</w:t>
      </w:r>
      <w:r w:rsidR="00E17D62" w:rsidRPr="00DC77B0">
        <w:t xml:space="preserve"> </w:t>
      </w:r>
      <w:r w:rsidR="0002175A" w:rsidRPr="00DC77B0">
        <w:t xml:space="preserve">standard </w:t>
      </w:r>
      <w:r w:rsidR="00E17D62">
        <w:t xml:space="preserve">Nikuradse-type </w:t>
      </w:r>
      <w:r w:rsidR="0002175A" w:rsidRPr="00DC77B0">
        <w:t xml:space="preserve">uniform sand curve by </w:t>
      </w:r>
      <w:r w:rsidR="00E17D62">
        <w:t>adjusting the magnitude of</w:t>
      </w:r>
      <w:r w:rsidR="00E17D62" w:rsidRPr="00DC77B0">
        <w:t xml:space="preserve"> </w:t>
      </w:r>
      <w:r w:rsidR="0002175A" w:rsidRPr="00DC77B0">
        <w:t xml:space="preserve">either the </w:t>
      </w:r>
      <w:r w:rsidR="00E17D62">
        <w:t xml:space="preserve">chosen </w:t>
      </w:r>
      <w:r w:rsidR="0002175A" w:rsidRPr="00DC77B0">
        <w:t xml:space="preserve">surface roughness parameter or the value of </w:t>
      </w:r>
      <w:r w:rsidR="0002175A" w:rsidRPr="00DC77B0">
        <w:sym w:font="Symbol" w:char="F06A"/>
      </w:r>
      <w:r w:rsidR="0002175A" w:rsidRPr="00DC77B0">
        <w:t xml:space="preserve">, both of which move the </w:t>
      </w:r>
      <w:r w:rsidR="0002175A" w:rsidRPr="00DC77B0">
        <w:rPr>
          <w:i/>
          <w:iCs/>
        </w:rPr>
        <w:sym w:font="Symbol" w:char="F044"/>
      </w:r>
      <w:r w:rsidR="0002175A" w:rsidRPr="00DC77B0">
        <w:rPr>
          <w:i/>
          <w:iCs/>
        </w:rPr>
        <w:t>U</w:t>
      </w:r>
      <w:r w:rsidR="0002175A" w:rsidRPr="00DC77B0">
        <w:rPr>
          <w:i/>
          <w:iCs/>
          <w:vertAlign w:val="superscript"/>
        </w:rPr>
        <w:t>+</w:t>
      </w:r>
      <w:r w:rsidR="0002175A" w:rsidRPr="00DC77B0">
        <w:t xml:space="preserve"> curves to higher or lower </w:t>
      </w:r>
      <w:r w:rsidR="0002175A" w:rsidRPr="00DC77B0">
        <w:rPr>
          <w:i/>
          <w:iCs/>
        </w:rPr>
        <w:t>k</w:t>
      </w:r>
      <w:r w:rsidR="0002175A" w:rsidRPr="00DC77B0">
        <w:rPr>
          <w:i/>
          <w:iCs/>
          <w:vertAlign w:val="superscript"/>
        </w:rPr>
        <w:t>+</w:t>
      </w:r>
      <w:r w:rsidR="0002175A" w:rsidRPr="00DC77B0">
        <w:t xml:space="preserve"> values along the abscissa. With the surface roughness parameter fixed at 0.75</w:t>
      </w:r>
      <w:r w:rsidR="001036EE" w:rsidRPr="00DC77B0">
        <w:t xml:space="preserve"> </w:t>
      </w:r>
      <w:r w:rsidR="0002175A" w:rsidRPr="00DC77B0">
        <w:t>x</w:t>
      </w:r>
      <w:r w:rsidR="001036EE" w:rsidRPr="00DC77B0">
        <w:t xml:space="preserve"> </w:t>
      </w:r>
      <w:proofErr w:type="spellStart"/>
      <w:r w:rsidR="0002175A" w:rsidRPr="00DC77B0">
        <w:t>Sz</w:t>
      </w:r>
      <w:proofErr w:type="spellEnd"/>
      <w:r w:rsidR="0002175A" w:rsidRPr="00DC77B0">
        <w:t xml:space="preserve">, the value of </w:t>
      </w:r>
      <w:r w:rsidR="0002175A" w:rsidRPr="00DC77B0">
        <w:sym w:font="Symbol" w:char="F06A"/>
      </w:r>
      <w:r w:rsidR="0002175A" w:rsidRPr="00DC77B0">
        <w:t xml:space="preserve"> was changed to </w:t>
      </w:r>
      <w:r w:rsidR="0088669D">
        <w:t>bring</w:t>
      </w:r>
      <w:r w:rsidR="0088669D" w:rsidRPr="00DC77B0">
        <w:t xml:space="preserve"> </w:t>
      </w:r>
      <w:r w:rsidR="0002175A" w:rsidRPr="00DC77B0">
        <w:t xml:space="preserve">the </w:t>
      </w:r>
      <w:r w:rsidR="0002175A" w:rsidRPr="00DC77B0">
        <w:rPr>
          <w:i/>
          <w:iCs/>
        </w:rPr>
        <w:sym w:font="Symbol" w:char="F044"/>
      </w:r>
      <w:r w:rsidR="0002175A" w:rsidRPr="00DC77B0">
        <w:rPr>
          <w:i/>
          <w:iCs/>
        </w:rPr>
        <w:t>U</w:t>
      </w:r>
      <w:r w:rsidR="0002175A" w:rsidRPr="00DC77B0">
        <w:rPr>
          <w:i/>
          <w:iCs/>
          <w:vertAlign w:val="superscript"/>
        </w:rPr>
        <w:t>+</w:t>
      </w:r>
      <w:r w:rsidR="0002175A" w:rsidRPr="00DC77B0">
        <w:t xml:space="preserve"> data </w:t>
      </w:r>
      <w:r w:rsidR="0088669D">
        <w:t>in line</w:t>
      </w:r>
      <w:r w:rsidR="0088669D" w:rsidRPr="00DC77B0">
        <w:t xml:space="preserve"> </w:t>
      </w:r>
      <w:r w:rsidR="0002175A" w:rsidRPr="00DC77B0">
        <w:t xml:space="preserve">with the uniform sand curve. The value of </w:t>
      </w:r>
      <w:r w:rsidR="0002175A" w:rsidRPr="00DC77B0">
        <w:sym w:font="Symbol" w:char="F06A"/>
      </w:r>
      <w:r w:rsidR="0002175A" w:rsidRPr="00DC77B0">
        <w:t xml:space="preserve"> = 0.6</w:t>
      </w:r>
      <w:r w:rsidR="00AD3E4B">
        <w:t>0</w:t>
      </w:r>
      <w:r w:rsidR="0002175A" w:rsidRPr="00DC77B0">
        <w:t xml:space="preserve"> which collapsed the data for all the sandpaper grades onto the uniform sand curve was used for all subsequent calculations.</w:t>
      </w:r>
      <w:r w:rsidR="00190A59">
        <w:t xml:space="preserve"> </w:t>
      </w:r>
      <w:r w:rsidR="0088669D">
        <w:t>This is necessarily an approximation, as the degree of co-rotation of the water may vary depending on the height and regularity of fouling roughness elements. However, t</w:t>
      </w:r>
      <w:r w:rsidR="00190A59">
        <w:t>he</w:t>
      </w:r>
      <w:r w:rsidR="0088669D">
        <w:t xml:space="preserve"> good</w:t>
      </w:r>
      <w:r w:rsidR="00190A59">
        <w:t xml:space="preserve"> agreement of the sandpaper results with standard sand grain roughness </w:t>
      </w:r>
      <w:r w:rsidR="0088669D">
        <w:t>data</w:t>
      </w:r>
      <w:r w:rsidR="00190A59">
        <w:t xml:space="preserve"> </w:t>
      </w:r>
      <w:r w:rsidR="00CB1A04">
        <w:t>supports</w:t>
      </w:r>
      <w:r w:rsidR="00190A59">
        <w:t xml:space="preserve"> the validity of the </w:t>
      </w:r>
      <w:r w:rsidR="00053317">
        <w:t>minidisc</w:t>
      </w:r>
      <w:r w:rsidR="00190A59">
        <w:t xml:space="preserve"> </w:t>
      </w:r>
      <w:r w:rsidR="007A7C9D">
        <w:t xml:space="preserve">measurement </w:t>
      </w:r>
      <w:r w:rsidR="00F532B3">
        <w:t>system</w:t>
      </w:r>
      <w:r w:rsidR="00933AC2">
        <w:t xml:space="preserve"> for </w:t>
      </w:r>
      <w:r w:rsidR="007A7C9D">
        <w:t>enabling further</w:t>
      </w:r>
      <w:r w:rsidR="00933AC2">
        <w:t xml:space="preserve"> hydrodynamic </w:t>
      </w:r>
      <w:r w:rsidR="0088669D">
        <w:t>analysis, at least for uniform surface roughness textures</w:t>
      </w:r>
      <w:r w:rsidR="00F532B3">
        <w:t>.</w:t>
      </w:r>
    </w:p>
    <w:p w14:paraId="6DDC0531" w14:textId="77777777" w:rsidR="0002175A" w:rsidRPr="00DC77B0" w:rsidRDefault="0002175A" w:rsidP="00540348">
      <w:bookmarkStart w:id="4" w:name="_Hlk2760950"/>
    </w:p>
    <w:p w14:paraId="5309DD4E" w14:textId="5DAF3B6C" w:rsidR="00353A5C" w:rsidRDefault="00CB1A04" w:rsidP="00540348">
      <w:r>
        <w:lastRenderedPageBreak/>
        <w:t>T</w:t>
      </w:r>
      <w:r w:rsidR="0002175A" w:rsidRPr="00DC77B0">
        <w:t xml:space="preserve">he </w:t>
      </w:r>
      <w:r>
        <w:t>roughness functions</w:t>
      </w:r>
      <w:r w:rsidRPr="00DC77B0">
        <w:t xml:space="preserve"> </w:t>
      </w:r>
      <w:r w:rsidR="0088669D">
        <w:t xml:space="preserve">of </w:t>
      </w:r>
      <w:r w:rsidR="0088669D" w:rsidRPr="00DC77B0">
        <w:t>fouled disc</w:t>
      </w:r>
      <w:r w:rsidR="0088669D">
        <w:t>s</w:t>
      </w:r>
      <w:r w:rsidR="0088669D" w:rsidRPr="00DC77B0">
        <w:t xml:space="preserve"> </w:t>
      </w:r>
      <w:r w:rsidR="0088669D">
        <w:t>showed</w:t>
      </w:r>
      <w:r w:rsidR="0088669D" w:rsidRPr="00DC77B0">
        <w:t xml:space="preserve"> </w:t>
      </w:r>
      <w:r w:rsidR="00131B72">
        <w:t>only poor</w:t>
      </w:r>
      <w:r w:rsidR="0002175A" w:rsidRPr="00DC77B0">
        <w:t xml:space="preserve"> to </w:t>
      </w:r>
      <w:r w:rsidR="00131B72">
        <w:t>moderate</w:t>
      </w:r>
      <w:r w:rsidR="00131B72" w:rsidRPr="00DC77B0">
        <w:t xml:space="preserve"> </w:t>
      </w:r>
      <w:r w:rsidR="0002175A" w:rsidRPr="00DC77B0">
        <w:t xml:space="preserve">agreement with the </w:t>
      </w:r>
      <w:r>
        <w:t>Nikuradse-type</w:t>
      </w:r>
      <w:r w:rsidRPr="00DC77B0">
        <w:t xml:space="preserve"> </w:t>
      </w:r>
      <w:r w:rsidR="0002175A" w:rsidRPr="00DC77B0">
        <w:t xml:space="preserve">sand curve. </w:t>
      </w:r>
      <w:r w:rsidR="00E17D62">
        <w:t>Schultz (Schultz and Myers 2003) has pointed out that the</w:t>
      </w:r>
      <w:r w:rsidR="00CF3949">
        <w:t xml:space="preserve"> form of the</w:t>
      </w:r>
      <w:r w:rsidR="00E17D62">
        <w:t xml:space="preserve"> roughness function is not universal for all roughness types, and </w:t>
      </w:r>
      <w:r w:rsidR="00D82C0C">
        <w:t xml:space="preserve">that </w:t>
      </w:r>
      <w:r w:rsidR="00E17D62">
        <w:t>most naturally occurring rough surfaces do not behave like closely packed uniform sand grains.</w:t>
      </w:r>
      <w:r w:rsidR="00353A5C">
        <w:t xml:space="preserve"> Roughness functions for the fouled discs </w:t>
      </w:r>
      <w:r w:rsidR="007544E2">
        <w:t xml:space="preserve">could instead be collapsed onto </w:t>
      </w:r>
      <w:r w:rsidR="00114EC7">
        <w:t>the Colebrook equation for irregular surface roughness</w:t>
      </w:r>
      <w:r w:rsidR="007544E2">
        <w:t xml:space="preserve"> by assigning appropriate values for roughness height</w:t>
      </w:r>
      <w:r w:rsidR="0088669D">
        <w:t>.</w:t>
      </w:r>
    </w:p>
    <w:p w14:paraId="3663971C" w14:textId="77777777" w:rsidR="00CD03E6" w:rsidRDefault="00CD03E6" w:rsidP="00540348"/>
    <w:p w14:paraId="016C04A0" w14:textId="0C84307B" w:rsidR="0002175A" w:rsidRDefault="00CD03E6" w:rsidP="00540348">
      <w:r>
        <w:t>Spatial d</w:t>
      </w:r>
      <w:r w:rsidRPr="00DC77B0">
        <w:t>istribution of larger fouling organisms is uneven, which will affect their contribution to the overall torque</w:t>
      </w:r>
      <w:r>
        <w:t xml:space="preserve"> of these small disc surfaces</w:t>
      </w:r>
      <w:r w:rsidRPr="00DC77B0">
        <w:t xml:space="preserve">. The </w:t>
      </w:r>
      <w:r w:rsidR="00DA196D">
        <w:t>influence</w:t>
      </w:r>
      <w:r w:rsidRPr="00DC77B0">
        <w:t xml:space="preserve"> of individual roughness elements increases with the distance from the disc centre</w:t>
      </w:r>
      <w:r>
        <w:t>,</w:t>
      </w:r>
      <w:r w:rsidRPr="00DC77B0">
        <w:t xml:space="preserve"> as an organism attached near the spinning disc periphery will move faster and exert a greater moment than if it were attached at the centre of the disc. The test method will </w:t>
      </w:r>
      <w:r w:rsidR="00D97FA7">
        <w:t xml:space="preserve">therefore </w:t>
      </w:r>
      <w:r w:rsidRPr="00DC77B0">
        <w:t xml:space="preserve">become numerically less accurate as uneven macrofouling coverage develops on the disc surface. </w:t>
      </w:r>
      <w:r w:rsidR="0002175A" w:rsidRPr="00CD03E6">
        <w:t xml:space="preserve">The criteria for validity of the wall similarity hypothesis are that the Reynolds number is suﬃciently high and the roughness is small compared to the boundary-layer thickness </w:t>
      </w:r>
      <w:r w:rsidR="0002175A" w:rsidRPr="00CD03E6">
        <w:rPr>
          <w:noProof/>
        </w:rPr>
        <w:t>(Schultz 2007)</w:t>
      </w:r>
      <w:r w:rsidR="0002175A" w:rsidRPr="00CD03E6">
        <w:t xml:space="preserve">, conditions which </w:t>
      </w:r>
      <w:r w:rsidRPr="00100BA1">
        <w:t>again may not apply</w:t>
      </w:r>
      <w:r w:rsidR="003C36D3" w:rsidRPr="00CD03E6">
        <w:t xml:space="preserve"> </w:t>
      </w:r>
      <w:r w:rsidR="0002175A" w:rsidRPr="00CD03E6">
        <w:t>for discs bearing macrofouling organisms such as barnacles</w:t>
      </w:r>
      <w:r w:rsidR="00681205">
        <w:t>, making these results questionable</w:t>
      </w:r>
      <w:r w:rsidR="0002175A" w:rsidRPr="00CD03E6">
        <w:t>.</w:t>
      </w:r>
      <w:r w:rsidR="003C36D3" w:rsidRPr="00CD03E6">
        <w:t xml:space="preserve"> </w:t>
      </w:r>
      <w:r w:rsidR="007146CA">
        <w:t>Nevertheless</w:t>
      </w:r>
      <w:r w:rsidR="00666485">
        <w:t>,</w:t>
      </w:r>
      <w:r w:rsidR="007146CA">
        <w:t xml:space="preserve"> the good fit of </w:t>
      </w:r>
      <w:r w:rsidR="00666485">
        <w:t xml:space="preserve">the fouled surfaces’ </w:t>
      </w:r>
      <w:r w:rsidR="007146CA">
        <w:t xml:space="preserve">roughness functions to the Colebrook function for irregular surface roughness suggests that </w:t>
      </w:r>
      <w:r w:rsidR="00C54E0D">
        <w:t xml:space="preserve">with further certainty regarding the swirl factor and its effect on roughness function,  </w:t>
      </w:r>
      <w:r w:rsidR="007146CA">
        <w:t xml:space="preserve">the data </w:t>
      </w:r>
      <w:r w:rsidR="00666485">
        <w:t xml:space="preserve">may be </w:t>
      </w:r>
      <w:r w:rsidR="003C36D3" w:rsidRPr="00CD03E6">
        <w:t xml:space="preserve">scalable </w:t>
      </w:r>
      <w:r w:rsidR="00666485">
        <w:t>and potentially of use in</w:t>
      </w:r>
      <w:r w:rsidR="00666485" w:rsidRPr="00CD03E6">
        <w:t xml:space="preserve"> </w:t>
      </w:r>
      <w:r w:rsidR="003C36D3" w:rsidRPr="00CD03E6">
        <w:t>estimating ship-scale drag.</w:t>
      </w:r>
      <w:r w:rsidR="00DA196D">
        <w:t xml:space="preserve"> </w:t>
      </w:r>
      <w:r w:rsidR="00DA196D" w:rsidRPr="00100BA1">
        <w:t xml:space="preserve">To further validate the utility of the method as a rapid screen for predicting the antifouling potential of coatings or </w:t>
      </w:r>
      <w:r w:rsidR="00DA196D">
        <w:t xml:space="preserve">other </w:t>
      </w:r>
      <w:r w:rsidR="00DA196D" w:rsidRPr="00100BA1">
        <w:t xml:space="preserve">surface modifications direct comparisons of different coatings should be made with the more established techniques. </w:t>
      </w:r>
    </w:p>
    <w:p w14:paraId="0D7BD831" w14:textId="77777777" w:rsidR="000E1BC5" w:rsidRPr="00DC77B0" w:rsidRDefault="000E1BC5" w:rsidP="00540348"/>
    <w:p w14:paraId="3F0243FC" w14:textId="40F5205F" w:rsidR="0002175A" w:rsidRPr="00DC77B0" w:rsidRDefault="0002175A" w:rsidP="00540348">
      <w:r w:rsidRPr="00DC77B0">
        <w:t>CONCLUSION</w:t>
      </w:r>
      <w:r w:rsidR="00E941CE">
        <w:t>S</w:t>
      </w:r>
    </w:p>
    <w:p w14:paraId="54F6F47F" w14:textId="7550B042" w:rsidR="0002175A" w:rsidRPr="003B5328" w:rsidRDefault="0002175A" w:rsidP="00540348">
      <w:pPr>
        <w:rPr>
          <w:iCs/>
        </w:rPr>
      </w:pPr>
      <w:r w:rsidRPr="00DC77B0">
        <w:lastRenderedPageBreak/>
        <w:t xml:space="preserve">Rheometry is an experimentally simple means of quantifying drag due to surface roughness on </w:t>
      </w:r>
      <w:r w:rsidR="00053317">
        <w:t>minidisc</w:t>
      </w:r>
      <w:r w:rsidRPr="00DC77B0">
        <w:t>s. It is rapid to perform, making it suitable for high throughput testing of coated surfaces. The use of polymer discs with a high radius</w:t>
      </w:r>
      <w:r w:rsidR="0019578E">
        <w:t xml:space="preserve"> to </w:t>
      </w:r>
      <w:r w:rsidRPr="00DC77B0">
        <w:t>thickness ratio maximises the sensitivity of the torque response to the condition of the disc face.</w:t>
      </w:r>
      <w:r w:rsidR="004D11AF">
        <w:t xml:space="preserve"> </w:t>
      </w:r>
      <w:r w:rsidR="004D11AF" w:rsidRPr="00DC77B0">
        <w:t xml:space="preserve">The torque resulting from the fouled face alone is used to obtain an estimate of the </w:t>
      </w:r>
      <w:r w:rsidR="004D11AF">
        <w:t xml:space="preserve">equivalent </w:t>
      </w:r>
      <w:r w:rsidR="004D11AF" w:rsidRPr="00DC77B0">
        <w:t>coefficient of momentum for a double-sided disc (</w:t>
      </w:r>
      <w:r w:rsidR="004D11AF" w:rsidRPr="00DC77B0">
        <w:rPr>
          <w:i/>
          <w:iCs/>
        </w:rPr>
        <w:t>C</w:t>
      </w:r>
      <w:r w:rsidR="004D11AF" w:rsidRPr="00DC77B0">
        <w:rPr>
          <w:i/>
          <w:iCs/>
          <w:vertAlign w:val="subscript"/>
        </w:rPr>
        <w:t>m2</w:t>
      </w:r>
      <w:r w:rsidR="004D11AF" w:rsidRPr="00DC77B0">
        <w:t>).</w:t>
      </w:r>
      <w:r w:rsidR="004D11AF">
        <w:t xml:space="preserve"> </w:t>
      </w:r>
      <w:r w:rsidRPr="00DC77B0">
        <w:t>The high sensitivity of the analytical rheometer enable</w:t>
      </w:r>
      <w:r w:rsidR="00630197">
        <w:t>s</w:t>
      </w:r>
      <w:r w:rsidR="004D11AF" w:rsidRPr="00DC77B0">
        <w:t xml:space="preserve"> </w:t>
      </w:r>
      <w:r w:rsidR="00EC0BC9">
        <w:t xml:space="preserve">very </w:t>
      </w:r>
      <w:r w:rsidR="004D11AF" w:rsidRPr="00DC77B0">
        <w:t>small differences in roughness for the as-applied coatings</w:t>
      </w:r>
      <w:r w:rsidR="00053317">
        <w:t xml:space="preserve"> to be detected</w:t>
      </w:r>
      <w:r w:rsidR="004D11AF">
        <w:t>, and</w:t>
      </w:r>
      <w:r w:rsidRPr="00DC77B0">
        <w:t xml:space="preserve"> </w:t>
      </w:r>
      <w:r w:rsidR="00053317">
        <w:t xml:space="preserve">can </w:t>
      </w:r>
      <w:r w:rsidRPr="00DC77B0">
        <w:t xml:space="preserve">easily differentiate between </w:t>
      </w:r>
      <w:r w:rsidR="00C16736">
        <w:t xml:space="preserve">statically grown </w:t>
      </w:r>
      <w:r w:rsidRPr="00DC77B0">
        <w:t xml:space="preserve">fouling </w:t>
      </w:r>
      <w:r w:rsidR="00053317">
        <w:t xml:space="preserve">accumulated </w:t>
      </w:r>
      <w:r w:rsidRPr="00DC77B0">
        <w:t xml:space="preserve">on different commercial fouling control </w:t>
      </w:r>
      <w:r w:rsidR="00D97FA7">
        <w:t>coatings</w:t>
      </w:r>
      <w:r w:rsidR="000E4F87" w:rsidRPr="00DC77B0">
        <w:t xml:space="preserve"> </w:t>
      </w:r>
      <w:r w:rsidRPr="00DC77B0">
        <w:t xml:space="preserve">exposed for varying periods in </w:t>
      </w:r>
      <w:r w:rsidR="00053317">
        <w:t>a marine estuary</w:t>
      </w:r>
      <w:r w:rsidRPr="00DC77B0">
        <w:t xml:space="preserve">. </w:t>
      </w:r>
      <w:r w:rsidR="004D11AF">
        <w:t>D</w:t>
      </w:r>
      <w:r w:rsidR="00CB4E27">
        <w:t xml:space="preserve">irectly comparing torque values, quantified as the </w:t>
      </w:r>
      <w:r w:rsidR="00CB4E27" w:rsidRPr="00DC77B0">
        <w:rPr>
          <w:i/>
        </w:rPr>
        <w:t>C</w:t>
      </w:r>
      <w:r w:rsidR="00CB4E27" w:rsidRPr="00DC77B0">
        <w:rPr>
          <w:i/>
          <w:vertAlign w:val="subscript"/>
        </w:rPr>
        <w:t>m</w:t>
      </w:r>
      <w:r w:rsidR="0019578E">
        <w:rPr>
          <w:i/>
          <w:vertAlign w:val="subscript"/>
        </w:rPr>
        <w:t>2</w:t>
      </w:r>
      <w:r w:rsidR="00CB4E27">
        <w:rPr>
          <w:iCs/>
        </w:rPr>
        <w:t xml:space="preserve">, permits rapid evaluation of relative </w:t>
      </w:r>
      <w:r w:rsidR="0019578E">
        <w:rPr>
          <w:iCs/>
        </w:rPr>
        <w:t xml:space="preserve">fouling control </w:t>
      </w:r>
      <w:r w:rsidR="00CB4E27">
        <w:rPr>
          <w:iCs/>
        </w:rPr>
        <w:t>performance.</w:t>
      </w:r>
      <w:r w:rsidR="00053317">
        <w:rPr>
          <w:iCs/>
        </w:rPr>
        <w:t xml:space="preserve"> </w:t>
      </w:r>
      <w:r w:rsidR="00053317" w:rsidRPr="00DC77B0">
        <w:t xml:space="preserve">After 176 days </w:t>
      </w:r>
      <w:r w:rsidR="00053317">
        <w:t xml:space="preserve">exposure to fouling, </w:t>
      </w:r>
      <w:r w:rsidR="00053317" w:rsidRPr="00DC77B0">
        <w:t xml:space="preserve">discs coated with FRC had </w:t>
      </w:r>
      <w:r w:rsidR="00053317" w:rsidRPr="00DC77B0">
        <w:rPr>
          <w:i/>
        </w:rPr>
        <w:t>C</w:t>
      </w:r>
      <w:r w:rsidR="00053317" w:rsidRPr="00DC77B0">
        <w:rPr>
          <w:i/>
          <w:vertAlign w:val="subscript"/>
        </w:rPr>
        <w:t>m2</w:t>
      </w:r>
      <w:r w:rsidR="00053317" w:rsidRPr="00DC77B0">
        <w:t xml:space="preserve"> values 73% lower, and discs coated with CDP and SPC 8</w:t>
      </w:r>
      <w:r w:rsidR="004C5F10">
        <w:t>9</w:t>
      </w:r>
      <w:r w:rsidR="00053317" w:rsidRPr="00DC77B0">
        <w:t>% and 90% respectively lower, than discs coated with the inert control AC</w:t>
      </w:r>
      <w:r w:rsidR="00EC3A23">
        <w:t>P.</w:t>
      </w:r>
    </w:p>
    <w:p w14:paraId="210E9B7B" w14:textId="77777777" w:rsidR="0002175A" w:rsidRPr="00DC77B0" w:rsidRDefault="0002175A" w:rsidP="00540348"/>
    <w:p w14:paraId="486F9460" w14:textId="1212A966" w:rsidR="0002175A" w:rsidRPr="00DC77B0" w:rsidRDefault="00C61831" w:rsidP="00540348">
      <w:r>
        <w:t>For</w:t>
      </w:r>
      <w:r w:rsidR="0019578E">
        <w:t xml:space="preserve"> calculations based on</w:t>
      </w:r>
      <w:r>
        <w:t xml:space="preserve"> similarity law analysis, c</w:t>
      </w:r>
      <w:r w:rsidR="0002175A" w:rsidRPr="00DC77B0">
        <w:t>o-rotation of the water</w:t>
      </w:r>
      <w:r>
        <w:t xml:space="preserve"> </w:t>
      </w:r>
      <w:r w:rsidR="004D11AF">
        <w:t xml:space="preserve">in the tank </w:t>
      </w:r>
      <w:r>
        <w:t>is an important consideration. Swirling and vortexing</w:t>
      </w:r>
      <w:r w:rsidR="0002175A" w:rsidRPr="00DC77B0">
        <w:t xml:space="preserve"> was </w:t>
      </w:r>
      <w:r w:rsidR="0093189A">
        <w:t>greatly</w:t>
      </w:r>
      <w:r w:rsidR="0093189A" w:rsidRPr="00DC77B0">
        <w:t xml:space="preserve"> </w:t>
      </w:r>
      <w:r w:rsidR="0002175A" w:rsidRPr="00DC77B0">
        <w:t>reduced</w:t>
      </w:r>
      <w:r>
        <w:t xml:space="preserve"> </w:t>
      </w:r>
      <w:r w:rsidRPr="00DC77B0">
        <w:t xml:space="preserve">in </w:t>
      </w:r>
      <w:r w:rsidR="0093189A">
        <w:t>the</w:t>
      </w:r>
      <w:r>
        <w:t xml:space="preserve"> open</w:t>
      </w:r>
      <w:r w:rsidRPr="00DC77B0">
        <w:t xml:space="preserve"> cubic tank</w:t>
      </w:r>
      <w:r w:rsidR="0002175A" w:rsidRPr="00DC77B0">
        <w:t xml:space="preserve"> compared to that in a cylindrical vessel, </w:t>
      </w:r>
      <w:r w:rsidR="0093189A">
        <w:t>although</w:t>
      </w:r>
      <w:r w:rsidR="0093189A" w:rsidRPr="00DC77B0">
        <w:t xml:space="preserve"> </w:t>
      </w:r>
      <w:r w:rsidR="0002175A" w:rsidRPr="00DC77B0">
        <w:t xml:space="preserve">moderate vortexing was still observed at higher velocities. </w:t>
      </w:r>
      <w:bookmarkStart w:id="5" w:name="_Hlk67490262"/>
      <w:r w:rsidR="006939FC">
        <w:t>The fixed construction of the rheometer does not enable the value of swirl factor to be directly determined.</w:t>
      </w:r>
      <w:bookmarkEnd w:id="5"/>
      <w:r w:rsidR="006939FC">
        <w:t xml:space="preserve"> </w:t>
      </w:r>
      <w:r w:rsidR="00D97FA7">
        <w:t>R</w:t>
      </w:r>
      <w:r w:rsidR="00393664">
        <w:t xml:space="preserve">oughness functions for </w:t>
      </w:r>
      <w:r w:rsidR="0002175A" w:rsidRPr="00DC77B0">
        <w:t xml:space="preserve">the sandpaper </w:t>
      </w:r>
      <w:r w:rsidR="00393664">
        <w:t>surfaces</w:t>
      </w:r>
      <w:r w:rsidR="00393664" w:rsidRPr="00DC77B0">
        <w:t xml:space="preserve"> </w:t>
      </w:r>
      <w:r w:rsidR="0002175A" w:rsidRPr="00DC77B0">
        <w:t xml:space="preserve">could be collapsed onto a </w:t>
      </w:r>
      <w:r w:rsidR="00393664">
        <w:t xml:space="preserve">Nikuradse-type </w:t>
      </w:r>
      <w:r w:rsidR="00393664" w:rsidRPr="00DC77B0">
        <w:t xml:space="preserve">uniform </w:t>
      </w:r>
      <w:r w:rsidR="0002175A" w:rsidRPr="00DC77B0">
        <w:t xml:space="preserve">sand curve by selecting a suitable value for the swirl factor once a suitable roughness </w:t>
      </w:r>
      <w:r w:rsidR="00C84551">
        <w:t>scale</w:t>
      </w:r>
      <w:r w:rsidR="00C84551" w:rsidRPr="00DC77B0">
        <w:t xml:space="preserve"> </w:t>
      </w:r>
      <w:r w:rsidR="0002175A" w:rsidRPr="00DC77B0">
        <w:t xml:space="preserve">had been </w:t>
      </w:r>
      <w:r w:rsidR="00C84551">
        <w:t>fixed</w:t>
      </w:r>
      <w:r w:rsidR="0002175A" w:rsidRPr="00DC77B0">
        <w:t xml:space="preserve">. </w:t>
      </w:r>
      <w:r w:rsidR="00F54A20">
        <w:t xml:space="preserve">The interdependence of these values limits the ability of this method to unambiguously provide roughness function data if the swirl factor cannot be experimentally determined, as there is a continuous range of pairings of values of this parameter and the surface roughness length factor that would give equally plausible fits. However, using the observed Nikuradse </w:t>
      </w:r>
      <w:r w:rsidR="00746B79">
        <w:t>behaviour</w:t>
      </w:r>
      <w:r w:rsidR="00F54A20">
        <w:t xml:space="preserve"> of well-characterised </w:t>
      </w:r>
      <w:r w:rsidR="00F54A20">
        <w:lastRenderedPageBreak/>
        <w:t xml:space="preserve">sandpaper surfaces to derive the swirl factor provides an acceptable estimate. </w:t>
      </w:r>
      <w:r w:rsidR="00F54A20" w:rsidRPr="00DC77B0">
        <w:t xml:space="preserve">Roughness functions for </w:t>
      </w:r>
      <w:r w:rsidR="00F54A20">
        <w:t xml:space="preserve">the </w:t>
      </w:r>
      <w:r w:rsidR="00F54A20" w:rsidRPr="00DC77B0">
        <w:t xml:space="preserve">fouled discs could be brought into </w:t>
      </w:r>
      <w:r w:rsidR="00F54A20">
        <w:t>alignment</w:t>
      </w:r>
      <w:r w:rsidR="00F54A20" w:rsidRPr="00DC77B0">
        <w:t xml:space="preserve"> with</w:t>
      </w:r>
      <w:r w:rsidR="00F54A20">
        <w:t xml:space="preserve"> Colebrook’s irregular surface roughness function</w:t>
      </w:r>
      <w:r w:rsidR="00F54A20" w:rsidRPr="00DC77B0">
        <w:t xml:space="preserve"> by</w:t>
      </w:r>
      <w:r w:rsidR="00F54A20">
        <w:t xml:space="preserve"> using the same value of swirl factor and</w:t>
      </w:r>
      <w:r w:rsidR="00F54A20" w:rsidRPr="00DC77B0">
        <w:t xml:space="preserve"> assigning a suitable roughness height.</w:t>
      </w:r>
    </w:p>
    <w:p w14:paraId="7B9C06C8" w14:textId="77777777" w:rsidR="0002175A" w:rsidRPr="00DC77B0" w:rsidRDefault="0002175A" w:rsidP="00540348"/>
    <w:p w14:paraId="2BBD13AE" w14:textId="28F26F8C" w:rsidR="0002175A" w:rsidRPr="00DC77B0" w:rsidRDefault="0002175A" w:rsidP="00540348">
      <w:r w:rsidRPr="00DC77B0">
        <w:t xml:space="preserve">While the small scale of the </w:t>
      </w:r>
      <w:r w:rsidR="00053317">
        <w:t>minidisc</w:t>
      </w:r>
      <w:r w:rsidRPr="00DC77B0">
        <w:t xml:space="preserve"> rheometer system inevitably limits the scale of the fouling that can be accommodated, our data suggest it may be a useful method for assessing the </w:t>
      </w:r>
      <w:r w:rsidR="00E463A2" w:rsidRPr="00DC77B0">
        <w:t xml:space="preserve">rate </w:t>
      </w:r>
      <w:r w:rsidRPr="00DC77B0">
        <w:t xml:space="preserve">of the initial steps of </w:t>
      </w:r>
      <w:r w:rsidR="00E463A2" w:rsidRPr="00DC77B0">
        <w:t>biomass accumulation</w:t>
      </w:r>
      <w:r w:rsidR="00393664">
        <w:t xml:space="preserve"> </w:t>
      </w:r>
      <w:r w:rsidRPr="00DC77B0">
        <w:t xml:space="preserve">and the potential for novel antifouling coatings to inhibit such fouling. </w:t>
      </w:r>
      <w:r w:rsidR="004D11AF">
        <w:t>The method is particularly suited for assessing biofilm fouling</w:t>
      </w:r>
      <w:r w:rsidR="00000879">
        <w:t xml:space="preserve"> as the size and irregular placement of macrofouling organisms may introduce uncertainty in hydrodynamic analysis</w:t>
      </w:r>
      <w:r w:rsidR="004D11AF">
        <w:t xml:space="preserve">. </w:t>
      </w:r>
      <w:r w:rsidRPr="00DC77B0">
        <w:t>Whether our calculated</w:t>
      </w:r>
      <w:r w:rsidR="00393664">
        <w:t xml:space="preserve"> </w:t>
      </w:r>
      <w:r w:rsidR="00393664">
        <w:rPr>
          <w:iCs/>
        </w:rPr>
        <w:t>roughness functions</w:t>
      </w:r>
      <w:r w:rsidRPr="00DC77B0">
        <w:rPr>
          <w:iCs/>
        </w:rPr>
        <w:t xml:space="preserve"> for fouled surfaces </w:t>
      </w:r>
      <w:r w:rsidRPr="00DC77B0">
        <w:t xml:space="preserve">could form a valid basis for </w:t>
      </w:r>
      <w:r w:rsidR="00E463A2" w:rsidRPr="00DC77B0">
        <w:t>ship scale drag predictions</w:t>
      </w:r>
      <w:r w:rsidR="004A38E1" w:rsidRPr="00DC77B0">
        <w:t xml:space="preserve"> </w:t>
      </w:r>
      <w:r w:rsidRPr="00DC77B0">
        <w:t>depends on establishing a relationship between the rotational flow in our tank and translational flow past a moving ship’s hull. This will be the subject of future studies.</w:t>
      </w:r>
    </w:p>
    <w:p w14:paraId="0FA8B8C8" w14:textId="77777777" w:rsidR="0002175A" w:rsidRPr="00DC77B0" w:rsidRDefault="0002175A" w:rsidP="00540348"/>
    <w:bookmarkEnd w:id="4"/>
    <w:p w14:paraId="56C57778" w14:textId="77777777" w:rsidR="0002175A" w:rsidRPr="003D2D14" w:rsidRDefault="0002175A" w:rsidP="00540348">
      <w:pPr>
        <w:pStyle w:val="Heading1"/>
        <w:rPr>
          <w:rFonts w:cs="Times New Roman"/>
          <w:caps/>
        </w:rPr>
      </w:pPr>
      <w:r w:rsidRPr="003D2D14">
        <w:rPr>
          <w:rFonts w:cs="Times New Roman"/>
        </w:rPr>
        <w:t>ACKNOWLEDGEMENTS</w:t>
      </w:r>
    </w:p>
    <w:p w14:paraId="7CCA86F0" w14:textId="77777777" w:rsidR="00DC25A8" w:rsidRDefault="00DC25A8">
      <w:pPr>
        <w:spacing w:after="160" w:line="259" w:lineRule="auto"/>
      </w:pPr>
    </w:p>
    <w:p w14:paraId="2670E93F" w14:textId="123405E0" w:rsidR="00DC25A8" w:rsidRDefault="00DC25A8" w:rsidP="00DC25A8">
      <w:pPr>
        <w:rPr>
          <w:sz w:val="22"/>
          <w:szCs w:val="22"/>
        </w:rPr>
      </w:pPr>
      <w:r>
        <w:t>This work was funded by a joint Innovate UK and BBSRC grant BB/P004164/1 (PS), to International Paint Ltd. (AkzoNobel) and University of Southampton under the Management and Use of Biofilms Programme, with partial funding from NBIC/BBSRC 01POC18032 (PS) to the University of Southampton in partnership with AkzoNobel and a University of Southampton EPSRC DTP award EP/R513325/1 (AJ).</w:t>
      </w:r>
    </w:p>
    <w:p w14:paraId="3C587E0C" w14:textId="50DE575E" w:rsidR="00B54351" w:rsidRDefault="00B54351">
      <w:pPr>
        <w:spacing w:after="160" w:line="259" w:lineRule="auto"/>
      </w:pPr>
      <w:r>
        <w:br w:type="page"/>
      </w:r>
    </w:p>
    <w:p w14:paraId="29E86E00" w14:textId="77777777" w:rsidR="0002175A" w:rsidRPr="00DC77B0" w:rsidRDefault="0002175A" w:rsidP="00540348">
      <w:pPr>
        <w:pStyle w:val="TDAcknowledgments"/>
      </w:pPr>
      <w:r w:rsidRPr="00DC77B0">
        <w:lastRenderedPageBreak/>
        <w:t>Thanks to:</w:t>
      </w:r>
    </w:p>
    <w:p w14:paraId="54D0AF18" w14:textId="73DDF5E1" w:rsidR="0002175A" w:rsidRPr="00DC77B0" w:rsidRDefault="0002175A" w:rsidP="00540348">
      <w:pPr>
        <w:pStyle w:val="TDAcknowledgments"/>
      </w:pPr>
      <w:proofErr w:type="spellStart"/>
      <w:r w:rsidRPr="00DC77B0">
        <w:t>Dr.</w:t>
      </w:r>
      <w:proofErr w:type="spellEnd"/>
      <w:r w:rsidRPr="00DC77B0">
        <w:t xml:space="preserve"> Clayton Price (</w:t>
      </w:r>
      <w:r w:rsidR="004756D3" w:rsidRPr="00DC77B0">
        <w:t>International Paint Ltd.</w:t>
      </w:r>
      <w:r w:rsidRPr="00DC77B0">
        <w:t xml:space="preserve">, AkzoNobel, Felling, Gateshead, Tyne &amp; Wear, NE10 0JY, UK), and </w:t>
      </w:r>
      <w:proofErr w:type="spellStart"/>
      <w:r w:rsidRPr="00DC77B0">
        <w:t>Dr.</w:t>
      </w:r>
      <w:proofErr w:type="spellEnd"/>
      <w:r w:rsidRPr="00DC77B0">
        <w:t xml:space="preserve"> </w:t>
      </w:r>
      <w:proofErr w:type="spellStart"/>
      <w:r w:rsidRPr="00DC77B0">
        <w:t>Yigit</w:t>
      </w:r>
      <w:proofErr w:type="spellEnd"/>
      <w:r w:rsidRPr="00DC77B0">
        <w:t xml:space="preserve"> Kemal </w:t>
      </w:r>
      <w:proofErr w:type="spellStart"/>
      <w:r w:rsidRPr="00DC77B0">
        <w:t>Demirel</w:t>
      </w:r>
      <w:proofErr w:type="spellEnd"/>
      <w:r w:rsidRPr="00DC77B0">
        <w:t xml:space="preserve"> (Dept. Of Naval Architecture, Ocean and Marine Engineering, University of Strathclyde, G4 0LZ, UK) for technical discussions.</w:t>
      </w:r>
    </w:p>
    <w:p w14:paraId="64DA154A" w14:textId="77777777" w:rsidR="0002175A" w:rsidRPr="00DC77B0" w:rsidRDefault="0002175A" w:rsidP="00540348">
      <w:pPr>
        <w:pStyle w:val="TDAcknowledgments"/>
      </w:pPr>
      <w:r w:rsidRPr="00DC77B0">
        <w:t>Prof. Michael P. Schultz (Dept. of Naval Architecture and Ocean Engineering, United States Naval Academy, Annapolis, USA) for assistance in understanding similarity law analysis.</w:t>
      </w:r>
    </w:p>
    <w:p w14:paraId="1D6FB577" w14:textId="252EA0BE" w:rsidR="0002175A" w:rsidRPr="00DC77B0" w:rsidRDefault="0002175A" w:rsidP="00540348">
      <w:pPr>
        <w:pStyle w:val="TDAcknowledgments"/>
        <w:rPr>
          <w:rStyle w:val="normal-c"/>
        </w:rPr>
      </w:pPr>
      <w:r w:rsidRPr="00DC77B0">
        <w:t>Adrian Walker (</w:t>
      </w:r>
      <w:r w:rsidRPr="00DC77B0">
        <w:rPr>
          <w:rStyle w:val="strong-c"/>
        </w:rPr>
        <w:t xml:space="preserve">Safire Design Engineers, </w:t>
      </w:r>
      <w:r w:rsidRPr="00DC77B0">
        <w:rPr>
          <w:rStyle w:val="normal-c"/>
        </w:rPr>
        <w:t>Unit 13 Saxon Wharf Marina, Lower York Street, Northam, Southampton, SO14 5QF, UK) for construction of discs and holders.</w:t>
      </w:r>
    </w:p>
    <w:p w14:paraId="61915A30" w14:textId="77777777" w:rsidR="0002175A" w:rsidRPr="00DC77B0" w:rsidRDefault="0002175A" w:rsidP="00540348">
      <w:pPr>
        <w:pStyle w:val="TDAcknowledgments"/>
      </w:pPr>
      <w:r w:rsidRPr="00DC77B0">
        <w:t xml:space="preserve">Joshua Marsh (The Centre for Industrial Rheology &amp; the Rheology School, The Long Barn, Lippen Lane, </w:t>
      </w:r>
      <w:proofErr w:type="spellStart"/>
      <w:r w:rsidRPr="00DC77B0">
        <w:t>Warnford</w:t>
      </w:r>
      <w:proofErr w:type="spellEnd"/>
      <w:r w:rsidRPr="00DC77B0">
        <w:t>, Hampshire, SO32 3LE, UK) for assistance in carrying out rheology measurements.</w:t>
      </w:r>
    </w:p>
    <w:p w14:paraId="203DD9FA" w14:textId="77777777" w:rsidR="0002175A" w:rsidRPr="00DC77B0" w:rsidRDefault="0002175A" w:rsidP="00540348"/>
    <w:p w14:paraId="7FE00CEE" w14:textId="77777777" w:rsidR="0002175A" w:rsidRPr="00DC77B0" w:rsidRDefault="0002175A" w:rsidP="00540348">
      <w:r w:rsidRPr="00DC77B0">
        <w:t>Robert Robinson (National Oceanography Centre, Southampton, University of Southampton Waterfront Campus, European Way, Southampton SO14 3ZH) for assistance with disc fouling exposures.</w:t>
      </w:r>
    </w:p>
    <w:p w14:paraId="515D00BE" w14:textId="77777777" w:rsidR="0002175A" w:rsidRPr="00DC77B0" w:rsidRDefault="0002175A" w:rsidP="00540348"/>
    <w:p w14:paraId="62EE6AA6" w14:textId="77777777" w:rsidR="00E51D0D" w:rsidRPr="00DC77B0" w:rsidRDefault="0002175A">
      <w:pPr>
        <w:spacing w:after="160" w:line="259" w:lineRule="auto"/>
        <w:rPr>
          <w:b/>
          <w:bCs/>
        </w:rPr>
      </w:pPr>
      <w:r w:rsidRPr="00DC77B0">
        <w:rPr>
          <w:b/>
          <w:bCs/>
        </w:rPr>
        <w:t>DECLARATION OF INTERESTS</w:t>
      </w:r>
    </w:p>
    <w:p w14:paraId="5DE3AEEA" w14:textId="77777777" w:rsidR="00E51D0D" w:rsidRPr="00DC77B0" w:rsidRDefault="00E51D0D">
      <w:pPr>
        <w:spacing w:after="160" w:line="259" w:lineRule="auto"/>
      </w:pPr>
    </w:p>
    <w:p w14:paraId="28E59CFD" w14:textId="7FFA31F3" w:rsidR="0002175A" w:rsidRPr="00DC77B0" w:rsidRDefault="00E51D0D">
      <w:pPr>
        <w:spacing w:after="160" w:line="259" w:lineRule="auto"/>
        <w:rPr>
          <w:b/>
          <w:bCs/>
        </w:rPr>
      </w:pPr>
      <w:r w:rsidRPr="00DC77B0">
        <w:t>Paul Stoodley is funded by AkzoNobel</w:t>
      </w:r>
      <w:r w:rsidR="0002175A" w:rsidRPr="00DC77B0">
        <w:rPr>
          <w:b/>
          <w:bCs/>
        </w:rPr>
        <w:br w:type="page"/>
      </w:r>
    </w:p>
    <w:p w14:paraId="0BC46D0E" w14:textId="77777777" w:rsidR="0002175A" w:rsidRPr="003D2D14" w:rsidRDefault="0002175A" w:rsidP="00540348">
      <w:pPr>
        <w:pStyle w:val="Heading1"/>
        <w:rPr>
          <w:rFonts w:cs="Times New Roman"/>
        </w:rPr>
      </w:pPr>
      <w:r w:rsidRPr="003D2D14">
        <w:rPr>
          <w:rFonts w:cs="Times New Roman"/>
        </w:rPr>
        <w:lastRenderedPageBreak/>
        <w:t>References</w:t>
      </w:r>
    </w:p>
    <w:p w14:paraId="73DADA91" w14:textId="3FAD30D3" w:rsidR="00B73351" w:rsidRPr="005C30FB" w:rsidRDefault="00B73351" w:rsidP="00540348">
      <w:pPr>
        <w:pStyle w:val="EndNoteBibliography"/>
        <w:rPr>
          <w:rFonts w:ascii="Times New Roman" w:hAnsi="Times New Roman" w:cs="Times New Roman"/>
        </w:rPr>
      </w:pPr>
      <w:r w:rsidRPr="00100BA1">
        <w:rPr>
          <w:rFonts w:ascii="Times New Roman" w:hAnsi="Times New Roman" w:cs="Times New Roman"/>
        </w:rPr>
        <w:t xml:space="preserve">Andersson J, Oliveira DR, Yeginbayeva I, Leer-Andersen M, </w:t>
      </w:r>
      <w:proofErr w:type="spellStart"/>
      <w:r w:rsidRPr="00100BA1">
        <w:rPr>
          <w:rFonts w:ascii="Times New Roman" w:hAnsi="Times New Roman" w:cs="Times New Roman"/>
          <w:noProof w:val="0"/>
        </w:rPr>
        <w:t>Bensowa</w:t>
      </w:r>
      <w:proofErr w:type="spellEnd"/>
      <w:r w:rsidRPr="00856E1F">
        <w:t xml:space="preserve"> RE.</w:t>
      </w:r>
      <w:r w:rsidRPr="00100BA1">
        <w:rPr>
          <w:rFonts w:ascii="Times New Roman" w:hAnsi="Times New Roman" w:cs="Times New Roman"/>
          <w:noProof w:val="0"/>
        </w:rPr>
        <w:t xml:space="preserve"> </w:t>
      </w:r>
      <w:r w:rsidR="009B014C" w:rsidRPr="00100BA1">
        <w:rPr>
          <w:rFonts w:ascii="Times New Roman" w:hAnsi="Times New Roman" w:cs="Times New Roman"/>
          <w:noProof w:val="0"/>
        </w:rPr>
        <w:t xml:space="preserve">2020. </w:t>
      </w:r>
      <w:r w:rsidRPr="00100BA1">
        <w:rPr>
          <w:rFonts w:ascii="Times New Roman" w:hAnsi="Times New Roman" w:cs="Times New Roman"/>
          <w:noProof w:val="0"/>
        </w:rPr>
        <w:t xml:space="preserve">Review and comparison of methods to model ship hull roughness </w:t>
      </w:r>
      <w:proofErr w:type="spellStart"/>
      <w:r w:rsidRPr="00100BA1">
        <w:rPr>
          <w:rFonts w:ascii="Times New Roman" w:hAnsi="Times New Roman" w:cs="Times New Roman"/>
          <w:noProof w:val="0"/>
        </w:rPr>
        <w:t>Appl</w:t>
      </w:r>
      <w:proofErr w:type="spellEnd"/>
      <w:r w:rsidRPr="00100BA1">
        <w:rPr>
          <w:rFonts w:ascii="Times New Roman" w:hAnsi="Times New Roman" w:cs="Times New Roman"/>
          <w:noProof w:val="0"/>
        </w:rPr>
        <w:t xml:space="preserve"> Ocean Res. 99:102-119</w:t>
      </w:r>
    </w:p>
    <w:p w14:paraId="37EA2690" w14:textId="547050DC"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Benschop HOG, Guerin AJ, Brinkmann A, Dale ML, Finnie AA, Breugem WP, Clare AS, Stübing D, Price C, Reynolds KJ. 2018. Drag-reducing riblets with fouling-release properties: development and testing. Biofouling. 34(5):532-544.</w:t>
      </w:r>
    </w:p>
    <w:p w14:paraId="5373DD98" w14:textId="37B44EB7" w:rsidR="00F51254" w:rsidRPr="005C30FB" w:rsidRDefault="00F51254" w:rsidP="00540348">
      <w:pPr>
        <w:pStyle w:val="EndNoteBibliography"/>
        <w:rPr>
          <w:rFonts w:ascii="Times New Roman" w:hAnsi="Times New Roman" w:cs="Times New Roman"/>
        </w:rPr>
      </w:pPr>
    </w:p>
    <w:p w14:paraId="1B3C8911" w14:textId="3FE45434" w:rsidR="00F51254" w:rsidRPr="005C30FB" w:rsidRDefault="00F51254" w:rsidP="00540348">
      <w:pPr>
        <w:pStyle w:val="EndNoteBibliography"/>
        <w:rPr>
          <w:rFonts w:ascii="Times New Roman" w:hAnsi="Times New Roman" w:cs="Times New Roman"/>
          <w:color w:val="222222"/>
          <w:szCs w:val="20"/>
          <w:shd w:val="clear" w:color="auto" w:fill="FFFFFF"/>
        </w:rPr>
      </w:pPr>
      <w:r w:rsidRPr="00100BA1">
        <w:rPr>
          <w:rFonts w:ascii="Times New Roman" w:hAnsi="Times New Roman" w:cs="Times New Roman"/>
          <w:color w:val="222222"/>
          <w:szCs w:val="20"/>
          <w:shd w:val="clear" w:color="auto" w:fill="FFFFFF"/>
        </w:rPr>
        <w:t>Briand JF</w:t>
      </w:r>
      <w:r w:rsidRPr="005C30FB">
        <w:rPr>
          <w:rFonts w:ascii="Times New Roman" w:hAnsi="Times New Roman" w:cs="Times New Roman"/>
          <w:color w:val="222222"/>
          <w:szCs w:val="20"/>
          <w:shd w:val="clear" w:color="auto" w:fill="FFFFFF"/>
        </w:rPr>
        <w:t>.</w:t>
      </w:r>
      <w:r w:rsidRPr="00100BA1">
        <w:rPr>
          <w:rFonts w:ascii="Times New Roman" w:hAnsi="Times New Roman" w:cs="Times New Roman"/>
          <w:color w:val="222222"/>
          <w:szCs w:val="20"/>
          <w:shd w:val="clear" w:color="auto" w:fill="FFFFFF"/>
        </w:rPr>
        <w:t xml:space="preserve"> 2009. Marine antifouling laboratory bioassays: an overview of their diversity. Biofouling</w:t>
      </w:r>
      <w:r w:rsidRPr="005C30FB">
        <w:rPr>
          <w:rFonts w:ascii="Times New Roman" w:hAnsi="Times New Roman" w:cs="Times New Roman"/>
          <w:color w:val="222222"/>
          <w:szCs w:val="20"/>
          <w:shd w:val="clear" w:color="auto" w:fill="FFFFFF"/>
        </w:rPr>
        <w:t>.</w:t>
      </w:r>
      <w:r w:rsidRPr="00100BA1">
        <w:rPr>
          <w:rFonts w:ascii="Times New Roman" w:hAnsi="Times New Roman" w:cs="Times New Roman"/>
          <w:color w:val="222222"/>
          <w:szCs w:val="20"/>
          <w:shd w:val="clear" w:color="auto" w:fill="FFFFFF"/>
        </w:rPr>
        <w:t> 25(4)</w:t>
      </w:r>
      <w:r w:rsidRPr="005C30FB">
        <w:rPr>
          <w:rFonts w:ascii="Times New Roman" w:hAnsi="Times New Roman" w:cs="Times New Roman"/>
          <w:color w:val="222222"/>
          <w:szCs w:val="20"/>
          <w:shd w:val="clear" w:color="auto" w:fill="FFFFFF"/>
        </w:rPr>
        <w:t>:</w:t>
      </w:r>
      <w:r w:rsidRPr="00100BA1">
        <w:rPr>
          <w:rFonts w:ascii="Times New Roman" w:hAnsi="Times New Roman" w:cs="Times New Roman"/>
          <w:color w:val="222222"/>
          <w:szCs w:val="20"/>
          <w:shd w:val="clear" w:color="auto" w:fill="FFFFFF"/>
        </w:rPr>
        <w:t>297-311</w:t>
      </w:r>
    </w:p>
    <w:p w14:paraId="357F3744" w14:textId="2AF1E7F9" w:rsidR="00B73351" w:rsidRPr="00100BA1" w:rsidRDefault="00B73351" w:rsidP="00540348">
      <w:pPr>
        <w:pStyle w:val="EndNoteBibliography"/>
        <w:rPr>
          <w:rFonts w:ascii="Times New Roman" w:hAnsi="Times New Roman" w:cs="Times New Roman"/>
        </w:rPr>
      </w:pPr>
    </w:p>
    <w:p w14:paraId="5F85916F" w14:textId="7236EA36" w:rsidR="00B73351" w:rsidRPr="00100BA1" w:rsidRDefault="00B73351" w:rsidP="00540348">
      <w:pPr>
        <w:pStyle w:val="EndNoteBibliography"/>
        <w:rPr>
          <w:rFonts w:ascii="Times New Roman" w:hAnsi="Times New Roman" w:cs="Times New Roman"/>
        </w:rPr>
      </w:pPr>
      <w:r w:rsidRPr="00100BA1">
        <w:rPr>
          <w:rFonts w:ascii="Times New Roman" w:hAnsi="Times New Roman" w:cs="Times New Roman"/>
        </w:rPr>
        <w:t>Cebeci T</w:t>
      </w:r>
      <w:r w:rsidRPr="005C30FB">
        <w:t>,</w:t>
      </w:r>
      <w:r w:rsidRPr="00100BA1">
        <w:rPr>
          <w:rFonts w:ascii="Times New Roman" w:hAnsi="Times New Roman" w:cs="Times New Roman"/>
        </w:rPr>
        <w:t xml:space="preserve"> Bradshaw P. 1977</w:t>
      </w:r>
      <w:r w:rsidRPr="005C30FB">
        <w:t>.</w:t>
      </w:r>
      <w:r w:rsidRPr="00100BA1">
        <w:rPr>
          <w:rFonts w:ascii="Times New Roman" w:hAnsi="Times New Roman" w:cs="Times New Roman"/>
        </w:rPr>
        <w:t xml:space="preserve"> Momentum Transfer in Boundary Layers. Hemisphere, Washington DC, 319-321.</w:t>
      </w:r>
    </w:p>
    <w:p w14:paraId="045DFFC4" w14:textId="77777777" w:rsidR="003E7B4F" w:rsidRPr="00100BA1" w:rsidRDefault="003E7B4F" w:rsidP="00540348">
      <w:pPr>
        <w:pStyle w:val="EndNoteBibliography"/>
        <w:rPr>
          <w:rFonts w:ascii="Times New Roman" w:hAnsi="Times New Roman" w:cs="Times New Roman"/>
        </w:rPr>
      </w:pPr>
    </w:p>
    <w:p w14:paraId="2CD6230D" w14:textId="3EF7B8B9"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Childs PRN. 2011. Rotational Flow. Oxford: Butterworth-Heinemann (Elsevier).</w:t>
      </w:r>
    </w:p>
    <w:p w14:paraId="4076729D" w14:textId="2112E639" w:rsidR="009B014C" w:rsidRPr="005C30FB" w:rsidRDefault="009B014C" w:rsidP="00540348">
      <w:pPr>
        <w:pStyle w:val="EndNoteBibliography"/>
        <w:rPr>
          <w:rFonts w:ascii="Times New Roman" w:hAnsi="Times New Roman" w:cs="Times New Roman"/>
        </w:rPr>
      </w:pPr>
    </w:p>
    <w:p w14:paraId="4466A735" w14:textId="77777777" w:rsidR="009B014C" w:rsidRPr="00100BA1" w:rsidRDefault="009B014C" w:rsidP="00100BA1">
      <w:pPr>
        <w:pStyle w:val="EndNoteBibliography"/>
      </w:pPr>
      <w:r w:rsidRPr="00100BA1">
        <w:rPr>
          <w:rFonts w:ascii="Times New Roman" w:hAnsi="Times New Roman" w:cs="Times New Roman"/>
        </w:rPr>
        <w:t>Colebrook CF. 1939. Turbulent Flow in Pipes, with particular reference to the</w:t>
      </w:r>
    </w:p>
    <w:p w14:paraId="6D16DEEA" w14:textId="75D0AF05" w:rsidR="009B014C" w:rsidRPr="005C30FB" w:rsidRDefault="009B014C" w:rsidP="009B014C">
      <w:pPr>
        <w:pStyle w:val="EndNoteBibliography"/>
        <w:rPr>
          <w:rFonts w:ascii="Times New Roman" w:hAnsi="Times New Roman" w:cs="Times New Roman"/>
        </w:rPr>
      </w:pPr>
      <w:r w:rsidRPr="00100BA1">
        <w:rPr>
          <w:rFonts w:ascii="Times New Roman" w:hAnsi="Times New Roman" w:cs="Times New Roman"/>
        </w:rPr>
        <w:t>Transition Region between the Smooth and Rough Pipe Laws</w:t>
      </w:r>
      <w:r w:rsidRPr="005C30FB">
        <w:rPr>
          <w:rFonts w:ascii="Times New Roman" w:hAnsi="Times New Roman" w:cs="Times New Roman"/>
        </w:rPr>
        <w:t>. Journal of the Institute of Civil Engineers. 11(5204):133-156</w:t>
      </w:r>
    </w:p>
    <w:p w14:paraId="028A9C92" w14:textId="77777777" w:rsidR="00294AF6" w:rsidRPr="005C30FB" w:rsidRDefault="00294AF6" w:rsidP="00540348">
      <w:pPr>
        <w:pStyle w:val="EndNoteBibliography"/>
        <w:rPr>
          <w:rFonts w:ascii="Times New Roman" w:hAnsi="Times New Roman" w:cs="Times New Roman"/>
        </w:rPr>
      </w:pPr>
    </w:p>
    <w:p w14:paraId="5D157C7B" w14:textId="61439FF2" w:rsidR="00294AF6" w:rsidRPr="00100BA1" w:rsidRDefault="00294AF6" w:rsidP="00540348">
      <w:pPr>
        <w:pStyle w:val="EndNoteBibliography"/>
        <w:rPr>
          <w:rFonts w:ascii="Times New Roman" w:hAnsi="Times New Roman" w:cs="Times New Roman"/>
        </w:rPr>
      </w:pPr>
      <w:r w:rsidRPr="005C30FB">
        <w:rPr>
          <w:rFonts w:ascii="Times New Roman" w:hAnsi="Times New Roman" w:cs="Times New Roman"/>
        </w:rPr>
        <w:t xml:space="preserve">Demirel YK, Turan O, Incecik A. 2017. Predicting the effect of biofouling on ship resistance using CFD. Appl </w:t>
      </w:r>
      <w:r w:rsidR="00A85A88" w:rsidRPr="005C30FB">
        <w:rPr>
          <w:rFonts w:ascii="Times New Roman" w:hAnsi="Times New Roman" w:cs="Times New Roman"/>
        </w:rPr>
        <w:t>Ocean Res. 62:100-118.</w:t>
      </w:r>
    </w:p>
    <w:p w14:paraId="4D455935" w14:textId="77777777" w:rsidR="003E7B4F" w:rsidRPr="00100BA1" w:rsidRDefault="003E7B4F" w:rsidP="00540348">
      <w:pPr>
        <w:pStyle w:val="EndNoteBibliography"/>
        <w:rPr>
          <w:rFonts w:ascii="Times New Roman" w:hAnsi="Times New Roman" w:cs="Times New Roman"/>
        </w:rPr>
      </w:pPr>
    </w:p>
    <w:p w14:paraId="2E0B812A" w14:textId="4A9A4A98"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Dennington S, Mekkhunthod P, Rides M, Gibbs D, Salta M, Stoodley V, Wharton J, Stoodley P. 2015. Miniaturized rotating disc rheometer test for rapid screening of drag reducing marine coatings. Surf Topography. 3(3)</w:t>
      </w:r>
      <w:r w:rsidR="00FF7361">
        <w:rPr>
          <w:rFonts w:ascii="Times New Roman" w:hAnsi="Times New Roman" w:cs="Times New Roman"/>
        </w:rPr>
        <w:t>:034004</w:t>
      </w:r>
    </w:p>
    <w:p w14:paraId="5F618FAC" w14:textId="2BF23056" w:rsidR="00676A30" w:rsidRPr="005C30FB" w:rsidRDefault="00676A30" w:rsidP="00540348">
      <w:pPr>
        <w:pStyle w:val="EndNoteBibliography"/>
        <w:rPr>
          <w:rFonts w:ascii="Times New Roman" w:hAnsi="Times New Roman" w:cs="Times New Roman"/>
        </w:rPr>
      </w:pPr>
    </w:p>
    <w:p w14:paraId="053510B0" w14:textId="04F6BE46" w:rsidR="00676A30" w:rsidRPr="00100BA1" w:rsidRDefault="00676A30" w:rsidP="00540348">
      <w:pPr>
        <w:pStyle w:val="EndNoteBibliography"/>
        <w:rPr>
          <w:rFonts w:ascii="Times New Roman" w:hAnsi="Times New Roman" w:cs="Times New Roman"/>
        </w:rPr>
      </w:pPr>
      <w:r w:rsidRPr="00100BA1">
        <w:rPr>
          <w:rFonts w:ascii="Times New Roman" w:hAnsi="Times New Roman" w:cs="Times New Roman"/>
        </w:rPr>
        <w:t>Dobretsov S, Raeid MM A, and Teplitski M. 2013. Mini-review: Inhibition of biofouling by marine microorganisms. Biofouling 29(4): 423-441</w:t>
      </w:r>
    </w:p>
    <w:p w14:paraId="4F8E6BDE" w14:textId="77777777" w:rsidR="003E7B4F" w:rsidRPr="00100BA1" w:rsidRDefault="003E7B4F" w:rsidP="00540348">
      <w:pPr>
        <w:pStyle w:val="EndNoteBibliography"/>
        <w:rPr>
          <w:rFonts w:ascii="Times New Roman" w:hAnsi="Times New Roman" w:cs="Times New Roman"/>
        </w:rPr>
      </w:pPr>
    </w:p>
    <w:p w14:paraId="0A670120" w14:textId="25CD1611"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Dorfman LA. 1963. Hydrodynamic Resistance and the Heat Loss of Rotating Solids. 1 ed. Oliver and Boyd; p. 1-71.</w:t>
      </w:r>
    </w:p>
    <w:p w14:paraId="47D44BAA" w14:textId="77777777" w:rsidR="003E7B4F" w:rsidRPr="00100BA1" w:rsidRDefault="003E7B4F" w:rsidP="00540348">
      <w:pPr>
        <w:pStyle w:val="EndNoteBibliography"/>
        <w:rPr>
          <w:rFonts w:ascii="Times New Roman" w:hAnsi="Times New Roman" w:cs="Times New Roman"/>
        </w:rPr>
      </w:pPr>
    </w:p>
    <w:p w14:paraId="015546EE" w14:textId="1AE07DC8"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Finnie A, Williams DN. 2010. Chapter 13, Paint and Coatings Technology for the Control of Marine Fouling. In:</w:t>
      </w:r>
      <w:r w:rsidRPr="00100BA1">
        <w:rPr>
          <w:rFonts w:ascii="Times New Roman" w:hAnsi="Times New Roman" w:cs="Times New Roman"/>
          <w:i/>
        </w:rPr>
        <w:t xml:space="preserve"> </w:t>
      </w:r>
      <w:r w:rsidRPr="00100BA1">
        <w:rPr>
          <w:rFonts w:ascii="Times New Roman" w:hAnsi="Times New Roman" w:cs="Times New Roman"/>
        </w:rPr>
        <w:t>Dürr S, Thomason JC, editors. Biofouling. Blackwell Publishing Ltd.; p. 185-206.</w:t>
      </w:r>
    </w:p>
    <w:p w14:paraId="3146270B" w14:textId="77777777" w:rsidR="003E7B4F" w:rsidRPr="00100BA1" w:rsidRDefault="003E7B4F" w:rsidP="00540348">
      <w:pPr>
        <w:pStyle w:val="EndNoteBibliography"/>
        <w:rPr>
          <w:rFonts w:ascii="Times New Roman" w:hAnsi="Times New Roman" w:cs="Times New Roman"/>
        </w:rPr>
      </w:pPr>
    </w:p>
    <w:p w14:paraId="3F8EBB74" w14:textId="6B548C1D"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Flack KA, Schultz MP. 2014. Roughness effects on wall-bounded turbulent flows. Physics of Fluids. 26(10).</w:t>
      </w:r>
    </w:p>
    <w:p w14:paraId="25901A71" w14:textId="77777777" w:rsidR="003E7B4F" w:rsidRPr="00100BA1" w:rsidRDefault="003E7B4F" w:rsidP="00540348">
      <w:pPr>
        <w:pStyle w:val="EndNoteBibliography"/>
        <w:rPr>
          <w:rFonts w:ascii="Times New Roman" w:hAnsi="Times New Roman" w:cs="Times New Roman"/>
        </w:rPr>
      </w:pPr>
    </w:p>
    <w:p w14:paraId="61BA244F" w14:textId="44B369DE"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Galli G, Martinelli E. 2017. Amphiphilic Polymer Platforms: Surface Engineering of Films for Marine Antibiofouling. Macromol Rapid Commun. 38(8).</w:t>
      </w:r>
    </w:p>
    <w:p w14:paraId="0DA2BEA8" w14:textId="6E69AE52" w:rsidR="00732A21" w:rsidRPr="005C30FB" w:rsidRDefault="00732A21" w:rsidP="00540348">
      <w:pPr>
        <w:pStyle w:val="EndNoteBibliography"/>
        <w:rPr>
          <w:rFonts w:ascii="Times New Roman" w:hAnsi="Times New Roman" w:cs="Times New Roman"/>
        </w:rPr>
      </w:pPr>
    </w:p>
    <w:p w14:paraId="5E79BFB4" w14:textId="1CB3D49C" w:rsidR="000612F5" w:rsidRPr="00100BA1" w:rsidRDefault="00732A21" w:rsidP="00100BA1">
      <w:pPr>
        <w:pStyle w:val="EndNoteBibliography"/>
        <w:rPr>
          <w:rFonts w:cs="Times New Roman"/>
        </w:rPr>
      </w:pPr>
      <w:r w:rsidRPr="00100BA1">
        <w:rPr>
          <w:rFonts w:ascii="Times New Roman" w:hAnsi="Times New Roman" w:cs="Times New Roman"/>
        </w:rPr>
        <w:t xml:space="preserve">Granville </w:t>
      </w:r>
      <w:r w:rsidR="000612F5" w:rsidRPr="00100BA1">
        <w:rPr>
          <w:rFonts w:ascii="Times New Roman" w:hAnsi="Times New Roman" w:cs="Times New Roman"/>
        </w:rPr>
        <w:t xml:space="preserve">PS. </w:t>
      </w:r>
      <w:r w:rsidRPr="00100BA1">
        <w:rPr>
          <w:rFonts w:ascii="Times New Roman" w:hAnsi="Times New Roman" w:cs="Times New Roman"/>
        </w:rPr>
        <w:t>1973</w:t>
      </w:r>
      <w:r w:rsidR="000612F5" w:rsidRPr="00100BA1">
        <w:rPr>
          <w:rFonts w:ascii="Times New Roman" w:hAnsi="Times New Roman" w:cs="Times New Roman"/>
        </w:rPr>
        <w:t xml:space="preserve">. The Torque and Turbulent Boundary Layer of Rotating Disks with Smooth and Rough Surfaces, and in Drag-Reducing Polymer Solutions. </w:t>
      </w:r>
      <w:r w:rsidR="000612F5" w:rsidRPr="00100BA1">
        <w:rPr>
          <w:rFonts w:cs="Times New Roman"/>
        </w:rPr>
        <w:t>J Ship Res</w:t>
      </w:r>
      <w:r w:rsidR="000612F5" w:rsidRPr="00100BA1">
        <w:rPr>
          <w:rFonts w:ascii="Times New Roman" w:hAnsi="Times New Roman" w:cs="Times New Roman"/>
        </w:rPr>
        <w:t xml:space="preserve"> 17 (04): 181–195.</w:t>
      </w:r>
    </w:p>
    <w:p w14:paraId="22754EA6" w14:textId="77777777" w:rsidR="003E7B4F" w:rsidRPr="00100BA1" w:rsidRDefault="003E7B4F" w:rsidP="00540348">
      <w:pPr>
        <w:pStyle w:val="EndNoteBibliography"/>
        <w:rPr>
          <w:rFonts w:ascii="Times New Roman" w:hAnsi="Times New Roman" w:cs="Times New Roman"/>
        </w:rPr>
      </w:pPr>
    </w:p>
    <w:p w14:paraId="3D0FE7D4" w14:textId="0956F420"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Granville PS. 1978. Similarity-law characterization methods for arbitrary hydrodynamic roughnesses. David W. Taylor Naval ship research and development center Bethesda. Md. 20084.</w:t>
      </w:r>
    </w:p>
    <w:p w14:paraId="67E01D7B" w14:textId="77777777" w:rsidR="003E7B4F" w:rsidRPr="00100BA1" w:rsidRDefault="003E7B4F" w:rsidP="00540348">
      <w:pPr>
        <w:pStyle w:val="EndNoteBibliography"/>
        <w:rPr>
          <w:rFonts w:ascii="Times New Roman" w:hAnsi="Times New Roman" w:cs="Times New Roman"/>
        </w:rPr>
      </w:pPr>
    </w:p>
    <w:p w14:paraId="263D96E5" w14:textId="1DFEEDF5"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Granville PS. 1982. Drag characterization method for arbitrarily rough surfaces by means of rotating disks. J Fluids Eng. 104:373-377.</w:t>
      </w:r>
    </w:p>
    <w:p w14:paraId="7892AAEA" w14:textId="77777777" w:rsidR="00C23C63" w:rsidRPr="005C30FB" w:rsidRDefault="00C23C63" w:rsidP="00540348">
      <w:pPr>
        <w:pStyle w:val="EndNoteBibliography"/>
        <w:rPr>
          <w:rFonts w:ascii="Times New Roman" w:hAnsi="Times New Roman" w:cs="Times New Roman"/>
        </w:rPr>
      </w:pPr>
    </w:p>
    <w:p w14:paraId="6A2397AE" w14:textId="4ACA60F4" w:rsidR="00C23C63" w:rsidRPr="00100BA1" w:rsidRDefault="00C23C63" w:rsidP="00540348">
      <w:pPr>
        <w:pStyle w:val="EndNoteBibliography"/>
        <w:rPr>
          <w:rFonts w:ascii="Times New Roman" w:hAnsi="Times New Roman" w:cs="Times New Roman"/>
        </w:rPr>
      </w:pPr>
      <w:r w:rsidRPr="005C30FB">
        <w:rPr>
          <w:rFonts w:ascii="Times New Roman" w:hAnsi="Times New Roman" w:cs="Times New Roman"/>
        </w:rPr>
        <w:t>Grigson CWB. 1984. Nikuradse’s experiment. AIAA Journal. 22(7):999</w:t>
      </w:r>
      <w:r w:rsidR="00083C65" w:rsidRPr="005C30FB">
        <w:rPr>
          <w:rFonts w:ascii="Times New Roman" w:hAnsi="Times New Roman" w:cs="Times New Roman"/>
        </w:rPr>
        <w:t>-1001</w:t>
      </w:r>
    </w:p>
    <w:p w14:paraId="427F487D" w14:textId="77777777" w:rsidR="003E7B4F" w:rsidRPr="00100BA1" w:rsidRDefault="003E7B4F" w:rsidP="00540348">
      <w:pPr>
        <w:pStyle w:val="EndNoteBibliography"/>
        <w:rPr>
          <w:rFonts w:ascii="Times New Roman" w:hAnsi="Times New Roman" w:cs="Times New Roman"/>
        </w:rPr>
      </w:pPr>
    </w:p>
    <w:p w14:paraId="23D291BB" w14:textId="11EE75A9"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lastRenderedPageBreak/>
        <w:t>Hoagland KD, Rosowski JR, Gretz MR, Roemer SC. 1993. Diatom Extracellular Polymeric Substances: Function, Fine Structure, Chemistry, and Physiology. J Phycol. 29(5):537-566.</w:t>
      </w:r>
    </w:p>
    <w:p w14:paraId="4008EC8B" w14:textId="3160B2A2" w:rsidR="005960B4" w:rsidRPr="005C30FB" w:rsidRDefault="005960B4" w:rsidP="00540348">
      <w:pPr>
        <w:pStyle w:val="EndNoteBibliography"/>
        <w:rPr>
          <w:rFonts w:ascii="Times New Roman" w:hAnsi="Times New Roman" w:cs="Times New Roman"/>
        </w:rPr>
      </w:pPr>
    </w:p>
    <w:p w14:paraId="602D71CC" w14:textId="042499B5"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Holm E, Schultz MP, Haslbeck E, Talbott W, Field A. 2004. Evaluation of Hydrodynamic Drag on Experimental Fouling-release Surfaces, using Rotating Disks. Biofouling 20(4):219</w:t>
      </w:r>
      <w:r w:rsidR="00C421F0" w:rsidRPr="005C30FB">
        <w:rPr>
          <w:rFonts w:ascii="Times New Roman" w:hAnsi="Times New Roman" w:cs="Times New Roman"/>
        </w:rPr>
        <w:t>-</w:t>
      </w:r>
      <w:r w:rsidRPr="00100BA1">
        <w:rPr>
          <w:rFonts w:ascii="Times New Roman" w:hAnsi="Times New Roman" w:cs="Times New Roman"/>
        </w:rPr>
        <w:t>226.</w:t>
      </w:r>
    </w:p>
    <w:p w14:paraId="52A94A33" w14:textId="54C18E69" w:rsidR="003E7B4F" w:rsidRPr="005C30FB" w:rsidRDefault="003E7B4F" w:rsidP="00540348">
      <w:pPr>
        <w:pStyle w:val="EndNoteBibliography"/>
        <w:rPr>
          <w:rFonts w:ascii="Times New Roman" w:hAnsi="Times New Roman" w:cs="Times New Roman"/>
        </w:rPr>
      </w:pPr>
    </w:p>
    <w:p w14:paraId="20813A13" w14:textId="3904E31B" w:rsidR="00574B07" w:rsidRPr="005C30FB" w:rsidRDefault="00574B07" w:rsidP="00540348">
      <w:pPr>
        <w:pStyle w:val="EndNoteBibliography"/>
        <w:rPr>
          <w:rFonts w:ascii="Times New Roman" w:hAnsi="Times New Roman" w:cs="Times New Roman"/>
        </w:rPr>
      </w:pPr>
      <w:r w:rsidRPr="005C30FB">
        <w:rPr>
          <w:rFonts w:ascii="Times New Roman" w:hAnsi="Times New Roman" w:cs="Times New Roman"/>
        </w:rPr>
        <w:t>Hunsucker JT</w:t>
      </w:r>
      <w:r w:rsidR="00331652" w:rsidRPr="005C30FB">
        <w:rPr>
          <w:rFonts w:ascii="Times New Roman" w:hAnsi="Times New Roman" w:cs="Times New Roman"/>
        </w:rPr>
        <w:t>.</w:t>
      </w:r>
      <w:r w:rsidRPr="005C30FB">
        <w:rPr>
          <w:rFonts w:ascii="Times New Roman" w:hAnsi="Times New Roman" w:cs="Times New Roman"/>
        </w:rPr>
        <w:t xml:space="preserve"> 2016. Quantification of frictional drag due to biofouling on in-service ships</w:t>
      </w:r>
      <w:r w:rsidR="00C70282" w:rsidRPr="005C30FB">
        <w:rPr>
          <w:rFonts w:ascii="Times New Roman" w:hAnsi="Times New Roman" w:cs="Times New Roman"/>
        </w:rPr>
        <w:t xml:space="preserve"> [dissertation].</w:t>
      </w:r>
      <w:r w:rsidRPr="005C30FB">
        <w:rPr>
          <w:rFonts w:ascii="Times New Roman" w:hAnsi="Times New Roman" w:cs="Times New Roman"/>
        </w:rPr>
        <w:t xml:space="preserve"> College of Engineering at Florida Institute of Technology, Miami</w:t>
      </w:r>
      <w:r w:rsidR="00C70282" w:rsidRPr="005C30FB">
        <w:rPr>
          <w:rFonts w:ascii="Times New Roman" w:hAnsi="Times New Roman" w:cs="Times New Roman"/>
        </w:rPr>
        <w:t xml:space="preserve"> (FL)</w:t>
      </w:r>
      <w:r w:rsidRPr="005C30FB">
        <w:rPr>
          <w:rFonts w:ascii="Times New Roman" w:hAnsi="Times New Roman" w:cs="Times New Roman"/>
        </w:rPr>
        <w:t>.</w:t>
      </w:r>
    </w:p>
    <w:p w14:paraId="0B8944D3" w14:textId="04CB47D9" w:rsidR="00F10B6A" w:rsidRPr="005C30FB" w:rsidRDefault="00F10B6A" w:rsidP="00540348">
      <w:pPr>
        <w:pStyle w:val="EndNoteBibliography"/>
        <w:rPr>
          <w:rFonts w:ascii="Times New Roman" w:hAnsi="Times New Roman" w:cs="Times New Roman"/>
        </w:rPr>
      </w:pPr>
    </w:p>
    <w:p w14:paraId="4A738829" w14:textId="43906B4E"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ITTC TRC. 2011. Final Report and Recommendations to the 26th ITTC. ITTC 26th Conference; Rio de Janeiro.</w:t>
      </w:r>
    </w:p>
    <w:p w14:paraId="167174F1" w14:textId="77777777" w:rsidR="003E7B4F" w:rsidRPr="00100BA1" w:rsidRDefault="003E7B4F" w:rsidP="00540348">
      <w:pPr>
        <w:pStyle w:val="EndNoteBibliography"/>
        <w:rPr>
          <w:rFonts w:ascii="Times New Roman" w:hAnsi="Times New Roman" w:cs="Times New Roman"/>
        </w:rPr>
      </w:pPr>
    </w:p>
    <w:p w14:paraId="4D3B59B2" w14:textId="19A000B8"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Kaye GWC, Laby TH. 1995. Tables of physical and chemical constants. [accessed 2016]. http://www.kayelaby.npl.co.uk/.</w:t>
      </w:r>
    </w:p>
    <w:p w14:paraId="2A484B0B" w14:textId="77777777" w:rsidR="003E7B4F" w:rsidRPr="00100BA1" w:rsidRDefault="003E7B4F" w:rsidP="00540348">
      <w:pPr>
        <w:pStyle w:val="EndNoteBibliography"/>
        <w:rPr>
          <w:rFonts w:ascii="Times New Roman" w:hAnsi="Times New Roman" w:cs="Times New Roman"/>
        </w:rPr>
      </w:pPr>
    </w:p>
    <w:p w14:paraId="78ECE278" w14:textId="14D05D15"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Lejars M, Margaillan A, Bressy C. 2012. Fouling release coatings: a nontoxic alternative to biocidal antifouling coatings. Chem Rev. 112(8):4347-4390.</w:t>
      </w:r>
    </w:p>
    <w:p w14:paraId="188F9B37" w14:textId="77777777" w:rsidR="002817CD" w:rsidRPr="005C30FB" w:rsidRDefault="002817CD" w:rsidP="00540348">
      <w:pPr>
        <w:pStyle w:val="EndNoteBibliography"/>
        <w:rPr>
          <w:rFonts w:ascii="Times New Roman" w:hAnsi="Times New Roman" w:cs="Times New Roman"/>
        </w:rPr>
      </w:pPr>
    </w:p>
    <w:p w14:paraId="4B6ABB12" w14:textId="28CA27A2" w:rsidR="00331652" w:rsidRPr="005C30FB" w:rsidRDefault="00331652" w:rsidP="00540348">
      <w:pPr>
        <w:pStyle w:val="EndNoteBibliography"/>
        <w:rPr>
          <w:rFonts w:ascii="Times New Roman" w:hAnsi="Times New Roman" w:cs="Times New Roman"/>
        </w:rPr>
      </w:pPr>
      <w:r w:rsidRPr="005C30FB">
        <w:rPr>
          <w:rFonts w:ascii="Times New Roman" w:hAnsi="Times New Roman" w:cs="Times New Roman"/>
        </w:rPr>
        <w:t>Ligrani PM, Moffat, RJ. 1986. Structure of transitionally rough and fully rough turbulent boundary layers. J Fluid Mech.162:69-98</w:t>
      </w:r>
      <w:r w:rsidR="001E3D99" w:rsidRPr="005C30FB">
        <w:rPr>
          <w:rFonts w:ascii="Times New Roman" w:hAnsi="Times New Roman" w:cs="Times New Roman"/>
        </w:rPr>
        <w:t>.</w:t>
      </w:r>
    </w:p>
    <w:p w14:paraId="43B37FA0" w14:textId="77777777" w:rsidR="00331652" w:rsidRPr="00100BA1" w:rsidRDefault="00331652" w:rsidP="00540348">
      <w:pPr>
        <w:pStyle w:val="EndNoteBibliography"/>
        <w:rPr>
          <w:rFonts w:ascii="Times New Roman" w:hAnsi="Times New Roman" w:cs="Times New Roman"/>
        </w:rPr>
      </w:pPr>
    </w:p>
    <w:p w14:paraId="32B90982" w14:textId="47753254"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Loeb G. 1981. Drag enhancement of microbial slime films on rotating discs. Washington, D.C. 20376: Naval Research Laboratory.</w:t>
      </w:r>
    </w:p>
    <w:p w14:paraId="76188991" w14:textId="77777777" w:rsidR="003E7B4F" w:rsidRPr="00100BA1" w:rsidRDefault="003E7B4F" w:rsidP="00540348">
      <w:pPr>
        <w:pStyle w:val="EndNoteBibliography"/>
        <w:rPr>
          <w:rFonts w:ascii="Times New Roman" w:hAnsi="Times New Roman" w:cs="Times New Roman"/>
        </w:rPr>
      </w:pPr>
    </w:p>
    <w:p w14:paraId="7FAE9A10" w14:textId="266283B4"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Loeb GI, Laster D, Gracik T. 1984. The Inﬂuence of Microbial Fouling Films on Hydrodynamic Drag of Rotating Discs. In:</w:t>
      </w:r>
      <w:r w:rsidRPr="00100BA1">
        <w:rPr>
          <w:rFonts w:ascii="Times New Roman" w:hAnsi="Times New Roman" w:cs="Times New Roman"/>
          <w:i/>
        </w:rPr>
        <w:t xml:space="preserve"> </w:t>
      </w:r>
      <w:r w:rsidRPr="00100BA1">
        <w:rPr>
          <w:rFonts w:ascii="Times New Roman" w:hAnsi="Times New Roman" w:cs="Times New Roman"/>
        </w:rPr>
        <w:t>Costlow JD, Tipper RC, editors. Marine Biodeterioration: An Interdisciplinary Study. Annapolis, MD, USA: Naval Institute Press; p. 88-94.</w:t>
      </w:r>
    </w:p>
    <w:p w14:paraId="2C6345F7" w14:textId="77777777" w:rsidR="003E7B4F" w:rsidRPr="00100BA1" w:rsidRDefault="003E7B4F" w:rsidP="00540348">
      <w:pPr>
        <w:pStyle w:val="EndNoteBibliography"/>
        <w:rPr>
          <w:rFonts w:ascii="Times New Roman" w:hAnsi="Times New Roman" w:cs="Times New Roman"/>
        </w:rPr>
      </w:pPr>
    </w:p>
    <w:p w14:paraId="4559115F" w14:textId="396F15A0"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Moritz Bollmann TB, Colijn</w:t>
      </w:r>
      <w:r w:rsidR="00E72799">
        <w:rPr>
          <w:rFonts w:ascii="Times New Roman" w:hAnsi="Times New Roman" w:cs="Times New Roman"/>
        </w:rPr>
        <w:t xml:space="preserve"> F</w:t>
      </w:r>
      <w:r w:rsidRPr="00100BA1">
        <w:rPr>
          <w:rFonts w:ascii="Times New Roman" w:hAnsi="Times New Roman" w:cs="Times New Roman"/>
        </w:rPr>
        <w:t>, Ebinghaus</w:t>
      </w:r>
      <w:r w:rsidR="00E72799">
        <w:rPr>
          <w:rFonts w:ascii="Times New Roman" w:hAnsi="Times New Roman" w:cs="Times New Roman"/>
        </w:rPr>
        <w:t xml:space="preserve"> R</w:t>
      </w:r>
      <w:r w:rsidRPr="00100BA1">
        <w:rPr>
          <w:rFonts w:ascii="Times New Roman" w:hAnsi="Times New Roman" w:cs="Times New Roman"/>
        </w:rPr>
        <w:t>, Froese</w:t>
      </w:r>
      <w:r w:rsidR="00E72799">
        <w:rPr>
          <w:rFonts w:ascii="Times New Roman" w:hAnsi="Times New Roman" w:cs="Times New Roman"/>
        </w:rPr>
        <w:t xml:space="preserve"> R</w:t>
      </w:r>
      <w:r w:rsidRPr="00100BA1">
        <w:rPr>
          <w:rFonts w:ascii="Times New Roman" w:hAnsi="Times New Roman" w:cs="Times New Roman"/>
        </w:rPr>
        <w:t>, Güssow</w:t>
      </w:r>
      <w:r w:rsidR="00E72799">
        <w:rPr>
          <w:rFonts w:ascii="Times New Roman" w:hAnsi="Times New Roman" w:cs="Times New Roman"/>
        </w:rPr>
        <w:t xml:space="preserve"> K</w:t>
      </w:r>
      <w:r w:rsidRPr="00100BA1">
        <w:rPr>
          <w:rFonts w:ascii="Times New Roman" w:hAnsi="Times New Roman" w:cs="Times New Roman"/>
        </w:rPr>
        <w:t>, Khalilian</w:t>
      </w:r>
      <w:r w:rsidR="00E72799">
        <w:rPr>
          <w:rFonts w:ascii="Times New Roman" w:hAnsi="Times New Roman" w:cs="Times New Roman"/>
        </w:rPr>
        <w:t xml:space="preserve"> S</w:t>
      </w:r>
      <w:r w:rsidRPr="00100BA1">
        <w:rPr>
          <w:rFonts w:ascii="Times New Roman" w:hAnsi="Times New Roman" w:cs="Times New Roman"/>
        </w:rPr>
        <w:t>, Krastel</w:t>
      </w:r>
      <w:r w:rsidR="00E72799">
        <w:rPr>
          <w:rFonts w:ascii="Times New Roman" w:hAnsi="Times New Roman" w:cs="Times New Roman"/>
        </w:rPr>
        <w:t xml:space="preserve"> S</w:t>
      </w:r>
      <w:r w:rsidRPr="00100BA1">
        <w:rPr>
          <w:rFonts w:ascii="Times New Roman" w:hAnsi="Times New Roman" w:cs="Times New Roman"/>
        </w:rPr>
        <w:t>, Körtzinger</w:t>
      </w:r>
      <w:r w:rsidR="002C7B2D">
        <w:rPr>
          <w:rFonts w:ascii="Times New Roman" w:hAnsi="Times New Roman" w:cs="Times New Roman"/>
        </w:rPr>
        <w:t xml:space="preserve"> A</w:t>
      </w:r>
      <w:r w:rsidRPr="00100BA1">
        <w:rPr>
          <w:rFonts w:ascii="Times New Roman" w:hAnsi="Times New Roman" w:cs="Times New Roman"/>
        </w:rPr>
        <w:t>, Langenbuch</w:t>
      </w:r>
      <w:r w:rsidR="002C7B2D">
        <w:rPr>
          <w:rFonts w:ascii="Times New Roman" w:hAnsi="Times New Roman" w:cs="Times New Roman"/>
        </w:rPr>
        <w:t xml:space="preserve"> M</w:t>
      </w:r>
      <w:r w:rsidRPr="00100BA1">
        <w:rPr>
          <w:rFonts w:ascii="Times New Roman" w:hAnsi="Times New Roman" w:cs="Times New Roman"/>
        </w:rPr>
        <w:t>, Latif</w:t>
      </w:r>
      <w:r w:rsidR="002C7B2D">
        <w:rPr>
          <w:rFonts w:ascii="Times New Roman" w:hAnsi="Times New Roman" w:cs="Times New Roman"/>
        </w:rPr>
        <w:t xml:space="preserve"> M</w:t>
      </w:r>
      <w:r w:rsidRPr="00100BA1">
        <w:rPr>
          <w:rFonts w:ascii="Times New Roman" w:hAnsi="Times New Roman" w:cs="Times New Roman"/>
        </w:rPr>
        <w:t xml:space="preserve">, </w:t>
      </w:r>
      <w:r w:rsidR="002C7B2D">
        <w:rPr>
          <w:rFonts w:ascii="Times New Roman" w:hAnsi="Times New Roman" w:cs="Times New Roman"/>
        </w:rPr>
        <w:t>et al</w:t>
      </w:r>
      <w:r w:rsidRPr="00100BA1">
        <w:rPr>
          <w:rFonts w:ascii="Times New Roman" w:hAnsi="Times New Roman" w:cs="Times New Roman"/>
        </w:rPr>
        <w:t>. 2010. Living with the Oceans: A Report on the State of the World's Oceans. Hamburg: The Future Ocean</w:t>
      </w:r>
      <w:r w:rsidR="005F4E92" w:rsidRPr="005C30FB">
        <w:rPr>
          <w:rFonts w:ascii="Times New Roman" w:hAnsi="Times New Roman" w:cs="Times New Roman"/>
        </w:rPr>
        <w:t>,</w:t>
      </w:r>
      <w:r w:rsidR="002C7B2D">
        <w:rPr>
          <w:rFonts w:ascii="Times New Roman" w:hAnsi="Times New Roman" w:cs="Times New Roman"/>
        </w:rPr>
        <w:t xml:space="preserve"> </w:t>
      </w:r>
      <w:r w:rsidRPr="00100BA1">
        <w:rPr>
          <w:rFonts w:ascii="Times New Roman" w:hAnsi="Times New Roman" w:cs="Times New Roman"/>
        </w:rPr>
        <w:t>The International Ocean Institute.</w:t>
      </w:r>
    </w:p>
    <w:p w14:paraId="0135511F" w14:textId="77777777" w:rsidR="003E7B4F" w:rsidRPr="00100BA1" w:rsidRDefault="003E7B4F" w:rsidP="00540348">
      <w:pPr>
        <w:pStyle w:val="EndNoteBibliography"/>
        <w:rPr>
          <w:rFonts w:ascii="Times New Roman" w:hAnsi="Times New Roman" w:cs="Times New Roman"/>
        </w:rPr>
      </w:pPr>
    </w:p>
    <w:p w14:paraId="04FC45AD" w14:textId="7575C4AF"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Muthukrishnan T, Abed RM, Dobretsov S, Kidd B, Finnie AA. 2014. Long-term microfouling on commercial biocidal fouling control coatings. Biofouling. 30(10):1155-1164.</w:t>
      </w:r>
    </w:p>
    <w:p w14:paraId="42077725" w14:textId="77777777" w:rsidR="003E7B4F" w:rsidRPr="00100BA1" w:rsidRDefault="003E7B4F" w:rsidP="00540348">
      <w:pPr>
        <w:pStyle w:val="EndNoteBibliography"/>
        <w:rPr>
          <w:rFonts w:ascii="Times New Roman" w:hAnsi="Times New Roman" w:cs="Times New Roman"/>
        </w:rPr>
      </w:pPr>
    </w:p>
    <w:p w14:paraId="5D09C15B" w14:textId="4BB0FE3E"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Nelka JJ. 1973. Evaluation of a Rotating Disk Apparatus: Drag of a Disk Rotating in a Viscous Fluid. Bethesda MD: David W Taylor naval ship research and development center ship performance dept.</w:t>
      </w:r>
    </w:p>
    <w:p w14:paraId="60166BB6" w14:textId="4960267B" w:rsidR="005B2CB6" w:rsidRPr="005C30FB" w:rsidRDefault="005B2CB6" w:rsidP="00540348">
      <w:pPr>
        <w:pStyle w:val="EndNoteBibliography"/>
        <w:rPr>
          <w:rFonts w:ascii="Times New Roman" w:hAnsi="Times New Roman" w:cs="Times New Roman"/>
        </w:rPr>
      </w:pPr>
    </w:p>
    <w:p w14:paraId="29F16B63" w14:textId="759D6AEC" w:rsidR="005B2CB6" w:rsidRPr="0030097E" w:rsidRDefault="005B2CB6" w:rsidP="005B2CB6">
      <w:pPr>
        <w:pStyle w:val="EndNoteBibliography"/>
        <w:rPr>
          <w:rFonts w:ascii="Times New Roman" w:hAnsi="Times New Roman" w:cs="Times New Roman"/>
        </w:rPr>
      </w:pPr>
      <w:r w:rsidRPr="005C30FB">
        <w:rPr>
          <w:rFonts w:ascii="Times New Roman" w:hAnsi="Times New Roman" w:cs="Times New Roman"/>
        </w:rPr>
        <w:t>Niebles Atencio BN, Chernoray V. 2019. A resolved RANS CFD approach for drag characterization of antifouling paints. Ocean Eng. 171:519-532.</w:t>
      </w:r>
    </w:p>
    <w:p w14:paraId="722DCED8" w14:textId="62652802" w:rsidR="00DD1BD9" w:rsidRPr="00100BA1" w:rsidRDefault="00DD1BD9" w:rsidP="00540348">
      <w:pPr>
        <w:pStyle w:val="EndNoteBibliography"/>
        <w:rPr>
          <w:rFonts w:ascii="Times New Roman" w:hAnsi="Times New Roman" w:cs="Times New Roman"/>
        </w:rPr>
      </w:pPr>
    </w:p>
    <w:p w14:paraId="5DBCB229" w14:textId="016142DF" w:rsidR="00DD1BD9" w:rsidRPr="00100BA1" w:rsidRDefault="00DD1BD9" w:rsidP="00540348">
      <w:pPr>
        <w:pStyle w:val="EndNoteBibliography"/>
        <w:rPr>
          <w:rFonts w:ascii="Times New Roman" w:hAnsi="Times New Roman" w:cs="Times New Roman"/>
        </w:rPr>
      </w:pPr>
      <w:r w:rsidRPr="00100BA1">
        <w:rPr>
          <w:rFonts w:ascii="Times New Roman" w:hAnsi="Times New Roman" w:cs="Times New Roman"/>
        </w:rPr>
        <w:t xml:space="preserve">Nikuradse J. 1950. Laws of flow in rough pipes: Translation of ”Stromungsgesetze in rauhen Rohren." VDI-Forschungsheft 361. Beilage zu "Forschung auf dem Gebiete des Ingenieurwesens" Ausgabe B Band 4, July/August 1933. </w:t>
      </w:r>
      <w:r w:rsidR="00C61E05" w:rsidRPr="00100BA1">
        <w:rPr>
          <w:rFonts w:ascii="Times New Roman" w:hAnsi="Times New Roman" w:cs="Times New Roman"/>
        </w:rPr>
        <w:t>Technical Memorandum 92. National Advisory Committee for Aeronautics. Washington DC, USA.</w:t>
      </w:r>
    </w:p>
    <w:p w14:paraId="4E4B0989" w14:textId="77777777" w:rsidR="003E7B4F" w:rsidRPr="00100BA1" w:rsidRDefault="003E7B4F" w:rsidP="00540348">
      <w:pPr>
        <w:pStyle w:val="EndNoteBibliography"/>
        <w:rPr>
          <w:rFonts w:ascii="Times New Roman" w:hAnsi="Times New Roman" w:cs="Times New Roman"/>
        </w:rPr>
      </w:pPr>
    </w:p>
    <w:p w14:paraId="5A4BB326" w14:textId="591E8A5B"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 xml:space="preserve">Paris C. 2019 2019-05-10. Shipowners seek to slow services to meet emissions limits. The Wall Street Journal [accessed 2020-03-28]. </w:t>
      </w:r>
      <w:hyperlink r:id="rId12" w:history="1">
        <w:r w:rsidR="003E7B4F" w:rsidRPr="00100BA1">
          <w:rPr>
            <w:rStyle w:val="Hyperlink"/>
            <w:rFonts w:ascii="Times New Roman" w:hAnsi="Times New Roman" w:cs="Times New Roman"/>
          </w:rPr>
          <w:t>https://www.wsj.com/articles/shipowners-seek-to-slow-services-to-meet-emissions-limits-11557480601</w:t>
        </w:r>
      </w:hyperlink>
      <w:r w:rsidRPr="00100BA1">
        <w:rPr>
          <w:rFonts w:ascii="Times New Roman" w:hAnsi="Times New Roman" w:cs="Times New Roman"/>
        </w:rPr>
        <w:t>.</w:t>
      </w:r>
    </w:p>
    <w:p w14:paraId="02616784" w14:textId="77777777" w:rsidR="003E7B4F" w:rsidRPr="00100BA1" w:rsidRDefault="003E7B4F" w:rsidP="00540348">
      <w:pPr>
        <w:pStyle w:val="EndNoteBibliography"/>
        <w:rPr>
          <w:rFonts w:ascii="Times New Roman" w:hAnsi="Times New Roman" w:cs="Times New Roman"/>
        </w:rPr>
      </w:pPr>
    </w:p>
    <w:p w14:paraId="252492A5" w14:textId="22A91F84"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Peters LC. 1967. Pressure distribution on a fixed surface parallel to a rotating disk</w:t>
      </w:r>
      <w:r w:rsidR="005F4E92" w:rsidRPr="005C30FB">
        <w:rPr>
          <w:rFonts w:ascii="Times New Roman" w:hAnsi="Times New Roman" w:cs="Times New Roman"/>
        </w:rPr>
        <w:t xml:space="preserve"> (dissertation)</w:t>
      </w:r>
      <w:r w:rsidRPr="00100BA1">
        <w:rPr>
          <w:rFonts w:ascii="Times New Roman" w:hAnsi="Times New Roman" w:cs="Times New Roman"/>
        </w:rPr>
        <w:t>. Iowa State University</w:t>
      </w:r>
      <w:r w:rsidR="00FB5E32" w:rsidRPr="005C30FB">
        <w:rPr>
          <w:rFonts w:ascii="Times New Roman" w:hAnsi="Times New Roman" w:cs="Times New Roman"/>
        </w:rPr>
        <w:t xml:space="preserve"> (IA)</w:t>
      </w:r>
      <w:r w:rsidRPr="00100BA1">
        <w:rPr>
          <w:rFonts w:ascii="Times New Roman" w:hAnsi="Times New Roman" w:cs="Times New Roman"/>
        </w:rPr>
        <w:t>.</w:t>
      </w:r>
    </w:p>
    <w:p w14:paraId="4D2ACE77" w14:textId="4D18A292" w:rsidR="00E40D33" w:rsidRPr="005C30FB" w:rsidRDefault="00E40D33" w:rsidP="00540348">
      <w:pPr>
        <w:pStyle w:val="EndNoteBibliography"/>
        <w:rPr>
          <w:rFonts w:ascii="Times New Roman" w:hAnsi="Times New Roman" w:cs="Times New Roman"/>
        </w:rPr>
      </w:pPr>
    </w:p>
    <w:p w14:paraId="0E8D6DAF" w14:textId="0C2D8716" w:rsidR="00E40D33" w:rsidRPr="00100BA1" w:rsidRDefault="00E40D33" w:rsidP="00100BA1">
      <w:pPr>
        <w:pStyle w:val="EndNoteBibliography"/>
        <w:rPr>
          <w:rFonts w:ascii="Times New Roman" w:hAnsi="Times New Roman" w:cs="Times New Roman"/>
        </w:rPr>
      </w:pPr>
      <w:r w:rsidRPr="00100BA1">
        <w:rPr>
          <w:rFonts w:ascii="Times New Roman" w:hAnsi="Times New Roman" w:cs="Times New Roman"/>
        </w:rPr>
        <w:lastRenderedPageBreak/>
        <w:t>Ramsden R, Longyear J. 2014. Section 2 - From laboratory to ship: pragmatic development of fouling control coatings in industry. Biofouling Methods:358.</w:t>
      </w:r>
    </w:p>
    <w:p w14:paraId="6CD75B98" w14:textId="77777777" w:rsidR="003E7B4F" w:rsidRPr="00100BA1" w:rsidRDefault="003E7B4F" w:rsidP="00540348">
      <w:pPr>
        <w:pStyle w:val="EndNoteBibliography"/>
        <w:rPr>
          <w:rFonts w:ascii="Times New Roman" w:hAnsi="Times New Roman" w:cs="Times New Roman"/>
        </w:rPr>
      </w:pPr>
    </w:p>
    <w:p w14:paraId="071A959E" w14:textId="1CE1C1D1"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Salta M, Wharton JA, Blache Y, Stokes KR, Briand JF. 2013. Marine biofilms on artificial surfaces: structure and dynamics. Environ Microbiol. 15(11):2879-2893.</w:t>
      </w:r>
    </w:p>
    <w:p w14:paraId="1BD54279" w14:textId="77777777" w:rsidR="003E7B4F" w:rsidRPr="00100BA1" w:rsidRDefault="003E7B4F" w:rsidP="00540348">
      <w:pPr>
        <w:pStyle w:val="EndNoteBibliography"/>
        <w:rPr>
          <w:rFonts w:ascii="Times New Roman" w:hAnsi="Times New Roman" w:cs="Times New Roman"/>
        </w:rPr>
      </w:pPr>
    </w:p>
    <w:p w14:paraId="21EA816D" w14:textId="5F63E3BD"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Schultz MP. 2007. Effects of coating roughness and biofouling on ship resistance and powering. Biofouling. 23(5-6):331-341.</w:t>
      </w:r>
    </w:p>
    <w:p w14:paraId="1624A3F4" w14:textId="77777777" w:rsidR="003E7B4F" w:rsidRPr="00100BA1" w:rsidRDefault="003E7B4F" w:rsidP="00540348">
      <w:pPr>
        <w:pStyle w:val="EndNoteBibliography"/>
        <w:rPr>
          <w:rFonts w:ascii="Times New Roman" w:hAnsi="Times New Roman" w:cs="Times New Roman"/>
        </w:rPr>
      </w:pPr>
    </w:p>
    <w:p w14:paraId="3C7400D3" w14:textId="4A1F71E8"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Schultz MP, Flack KA. 2003. Turbulent Boundary Layers Over Surfaces Smoothed by Sanding. J Fluids Eng. 125(5):863-870.</w:t>
      </w:r>
    </w:p>
    <w:p w14:paraId="5774E7B7" w14:textId="77777777" w:rsidR="003E7B4F" w:rsidRPr="00100BA1" w:rsidRDefault="003E7B4F" w:rsidP="00540348">
      <w:pPr>
        <w:pStyle w:val="EndNoteBibliography"/>
        <w:rPr>
          <w:rFonts w:ascii="Times New Roman" w:hAnsi="Times New Roman" w:cs="Times New Roman"/>
        </w:rPr>
      </w:pPr>
    </w:p>
    <w:p w14:paraId="49506A68" w14:textId="3AEA4E51"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Schultz MP, Myers A. 2003. Comparison of three roughness function determination methods. Experiments in Fluids. 35(4):372-379.</w:t>
      </w:r>
    </w:p>
    <w:p w14:paraId="49CB5669" w14:textId="77777777" w:rsidR="003E7B4F" w:rsidRPr="00100BA1" w:rsidRDefault="003E7B4F" w:rsidP="00540348">
      <w:pPr>
        <w:pStyle w:val="EndNoteBibliography"/>
        <w:rPr>
          <w:rFonts w:ascii="Times New Roman" w:hAnsi="Times New Roman" w:cs="Times New Roman"/>
        </w:rPr>
      </w:pPr>
    </w:p>
    <w:p w14:paraId="2D0EE3C3" w14:textId="20C72F49"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 xml:space="preserve">Sdplastics.com. 2020. National City CA 9150 USA: San Diego Plastics, Inc.; [accessed 2020 Aug 30]. </w:t>
      </w:r>
      <w:hyperlink r:id="rId13" w:history="1">
        <w:r w:rsidR="003E7B4F" w:rsidRPr="00100BA1">
          <w:rPr>
            <w:rStyle w:val="Hyperlink"/>
            <w:rFonts w:ascii="Times New Roman" w:hAnsi="Times New Roman" w:cs="Times New Roman"/>
          </w:rPr>
          <w:t>http://www.sdplastics.com/delrin/delrin[1].pdf</w:t>
        </w:r>
      </w:hyperlink>
      <w:r w:rsidRPr="00100BA1">
        <w:rPr>
          <w:rFonts w:ascii="Times New Roman" w:hAnsi="Times New Roman" w:cs="Times New Roman"/>
        </w:rPr>
        <w:t>.</w:t>
      </w:r>
    </w:p>
    <w:p w14:paraId="6E3B80AB" w14:textId="77777777" w:rsidR="003E7B4F" w:rsidRPr="00100BA1" w:rsidRDefault="003E7B4F" w:rsidP="00540348">
      <w:pPr>
        <w:pStyle w:val="EndNoteBibliography"/>
        <w:rPr>
          <w:rFonts w:ascii="Times New Roman" w:hAnsi="Times New Roman" w:cs="Times New Roman"/>
        </w:rPr>
      </w:pPr>
    </w:p>
    <w:p w14:paraId="6EB11FF0" w14:textId="456D9097"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Shen YT, Hughes MJ, inventors; US Secretary of the Navy, assignee. 2015. Ship resistance prediction using a turbulent spot inducer in model testing. USA patent US9588011B1.</w:t>
      </w:r>
    </w:p>
    <w:p w14:paraId="1750D364" w14:textId="77777777" w:rsidR="003E7B4F" w:rsidRPr="00100BA1" w:rsidRDefault="003E7B4F" w:rsidP="00540348">
      <w:pPr>
        <w:pStyle w:val="EndNoteBibliography"/>
        <w:rPr>
          <w:rFonts w:ascii="Times New Roman" w:hAnsi="Times New Roman" w:cs="Times New Roman"/>
        </w:rPr>
      </w:pPr>
    </w:p>
    <w:p w14:paraId="1C233632" w14:textId="77777777" w:rsidR="0002175A" w:rsidRPr="00100BA1" w:rsidRDefault="0002175A" w:rsidP="00540348">
      <w:pPr>
        <w:pStyle w:val="EndNoteBibliography"/>
        <w:rPr>
          <w:rFonts w:ascii="Times New Roman" w:hAnsi="Times New Roman" w:cs="Times New Roman"/>
        </w:rPr>
      </w:pPr>
      <w:r w:rsidRPr="00100BA1">
        <w:rPr>
          <w:rFonts w:ascii="Times New Roman" w:hAnsi="Times New Roman" w:cs="Times New Roman"/>
        </w:rPr>
        <w:t>Stenson P, Kidd B, Finnie A. 2013. Measurement and impact of surface topology and hydrodynamic drag of fouling control coatings. Hydro Testing Forum. The 3rd International Conference on Advanced Model Measurement Technology for the Maritime Industry (AMT'13); Gdansk, Poland.</w:t>
      </w:r>
    </w:p>
    <w:p w14:paraId="2C2BD077" w14:textId="62125C40" w:rsidR="00163D73" w:rsidRPr="005C30FB" w:rsidRDefault="00163D73" w:rsidP="00540348">
      <w:pPr>
        <w:pStyle w:val="EndNoteBibliography"/>
        <w:rPr>
          <w:rFonts w:ascii="Times New Roman" w:hAnsi="Times New Roman" w:cs="Times New Roman"/>
        </w:rPr>
      </w:pPr>
    </w:p>
    <w:p w14:paraId="48562001" w14:textId="0442B0D7" w:rsidR="00163D73" w:rsidRPr="00100BA1" w:rsidRDefault="00163D73" w:rsidP="00540348">
      <w:pPr>
        <w:pStyle w:val="EndNoteBibliography"/>
        <w:rPr>
          <w:rFonts w:ascii="Times New Roman" w:hAnsi="Times New Roman" w:cs="Times New Roman"/>
        </w:rPr>
      </w:pPr>
      <w:r w:rsidRPr="005C30FB">
        <w:rPr>
          <w:rFonts w:ascii="Times New Roman" w:hAnsi="Times New Roman" w:cs="Times New Roman"/>
        </w:rPr>
        <w:t xml:space="preserve">Townsin RL, Anderson CD. 2009. </w:t>
      </w:r>
      <w:r w:rsidR="004208F0" w:rsidRPr="005C30FB">
        <w:rPr>
          <w:rFonts w:ascii="Times New Roman" w:hAnsi="Times New Roman" w:cs="Times New Roman"/>
        </w:rPr>
        <w:t>Fouling control coatings using low surface energy, foul release technology. In: Hellio C, Yebra D, editors. Advances in Marine Antifouling Coatings and Technologies. Cambridge (UK): Woodhead Publishing; p. 693-708.</w:t>
      </w:r>
    </w:p>
    <w:p w14:paraId="769F17F2" w14:textId="77777777" w:rsidR="003E7B4F" w:rsidRPr="00100BA1" w:rsidRDefault="003E7B4F" w:rsidP="00540348">
      <w:pPr>
        <w:pStyle w:val="EndNoteBibliography"/>
        <w:rPr>
          <w:rFonts w:ascii="Times New Roman" w:hAnsi="Times New Roman" w:cs="Times New Roman"/>
        </w:rPr>
      </w:pPr>
    </w:p>
    <w:p w14:paraId="54D0EF62" w14:textId="5DE52138" w:rsidR="0002175A" w:rsidRPr="005C30FB" w:rsidRDefault="0002175A" w:rsidP="00540348">
      <w:pPr>
        <w:pStyle w:val="EndNoteBibliography"/>
        <w:rPr>
          <w:rFonts w:ascii="Times New Roman" w:hAnsi="Times New Roman" w:cs="Times New Roman"/>
        </w:rPr>
      </w:pPr>
      <w:r w:rsidRPr="00100BA1">
        <w:rPr>
          <w:rFonts w:ascii="Times New Roman" w:hAnsi="Times New Roman" w:cs="Times New Roman"/>
        </w:rPr>
        <w:t>Yebra DM, Kiil S, Dam-Johansen K. 2004. Antifouling technology—past, present and future steps towards efficient and environmentally friendly antifouling coatings. Prog Org Coat. 50(2):75-104.</w:t>
      </w:r>
    </w:p>
    <w:p w14:paraId="7B986BA6" w14:textId="581FB832" w:rsidR="009D7109" w:rsidRPr="005C30FB" w:rsidRDefault="009D7109" w:rsidP="00540348">
      <w:pPr>
        <w:pStyle w:val="EndNoteBibliography"/>
        <w:rPr>
          <w:rFonts w:ascii="Times New Roman" w:hAnsi="Times New Roman" w:cs="Times New Roman"/>
        </w:rPr>
      </w:pPr>
    </w:p>
    <w:p w14:paraId="53EA280F" w14:textId="23FF921D" w:rsidR="009D7109" w:rsidRPr="00100BA1" w:rsidRDefault="009D7109" w:rsidP="009D7109">
      <w:pPr>
        <w:pStyle w:val="EndNoteBibliography"/>
        <w:rPr>
          <w:rFonts w:ascii="Times New Roman" w:hAnsi="Times New Roman" w:cs="Times New Roman"/>
        </w:rPr>
      </w:pPr>
      <w:r w:rsidRPr="005C30FB">
        <w:rPr>
          <w:rFonts w:ascii="Times New Roman" w:hAnsi="Times New Roman" w:cs="Times New Roman"/>
        </w:rPr>
        <w:t xml:space="preserve">Yeginbayeva IA, </w:t>
      </w:r>
      <w:r w:rsidRPr="00100BA1">
        <w:rPr>
          <w:rFonts w:ascii="Times New Roman" w:hAnsi="Times New Roman" w:cs="Times New Roman"/>
        </w:rPr>
        <w:t>Granhag L, Chernoray V. 2019. A multi-aspect study of commercial coatings under the effect of surface</w:t>
      </w:r>
      <w:r w:rsidRPr="005C30FB">
        <w:rPr>
          <w:rFonts w:ascii="Times New Roman" w:hAnsi="Times New Roman" w:cs="Times New Roman"/>
        </w:rPr>
        <w:t xml:space="preserve"> </w:t>
      </w:r>
      <w:r w:rsidRPr="00100BA1">
        <w:rPr>
          <w:rFonts w:ascii="Times New Roman" w:hAnsi="Times New Roman" w:cs="Times New Roman"/>
        </w:rPr>
        <w:t>roughness and fouling. Prog Org Coat. 135:352-367</w:t>
      </w:r>
    </w:p>
    <w:p w14:paraId="557A4E15" w14:textId="77777777" w:rsidR="00E06849" w:rsidRPr="00856E1F" w:rsidRDefault="00E06849" w:rsidP="00100BA1">
      <w:pPr>
        <w:pStyle w:val="EndNoteBibliography"/>
      </w:pPr>
    </w:p>
    <w:p w14:paraId="2F9A28A0" w14:textId="06B9AD0C" w:rsidR="007803C0" w:rsidRDefault="007803C0">
      <w:pPr>
        <w:spacing w:after="160" w:line="259" w:lineRule="auto"/>
        <w:rPr>
          <w:rFonts w:cs="Arial"/>
          <w:bCs/>
          <w:i/>
          <w:szCs w:val="26"/>
        </w:rPr>
      </w:pPr>
      <w:r>
        <w:br w:type="page"/>
      </w:r>
    </w:p>
    <w:p w14:paraId="10E09325" w14:textId="77777777" w:rsidR="005960B4" w:rsidRDefault="005960B4" w:rsidP="00540348">
      <w:pPr>
        <w:pStyle w:val="Heading3"/>
        <w:rPr>
          <w:rFonts w:cs="Times New Roman"/>
          <w:b/>
          <w:bCs w:val="0"/>
          <w:i w:val="0"/>
          <w:iCs/>
        </w:rPr>
      </w:pPr>
    </w:p>
    <w:p w14:paraId="4D7FC012" w14:textId="52F80B91" w:rsidR="0002175A" w:rsidRPr="003B5328" w:rsidRDefault="0002175A" w:rsidP="00540348">
      <w:pPr>
        <w:pStyle w:val="Heading3"/>
        <w:rPr>
          <w:rFonts w:cs="Times New Roman"/>
          <w:b/>
          <w:bCs w:val="0"/>
          <w:i w:val="0"/>
          <w:iCs/>
        </w:rPr>
      </w:pPr>
      <w:r w:rsidRPr="003D2D14">
        <w:rPr>
          <w:rFonts w:cs="Times New Roman"/>
          <w:b/>
          <w:bCs w:val="0"/>
          <w:i w:val="0"/>
          <w:iCs/>
        </w:rPr>
        <w:t>Appendi</w:t>
      </w:r>
      <w:r w:rsidR="000E1BC5" w:rsidRPr="00910977">
        <w:rPr>
          <w:rFonts w:cs="Times New Roman"/>
          <w:b/>
          <w:bCs w:val="0"/>
          <w:i w:val="0"/>
          <w:iCs/>
        </w:rPr>
        <w:t>x</w:t>
      </w:r>
    </w:p>
    <w:p w14:paraId="38F845A3" w14:textId="77777777" w:rsidR="0002175A" w:rsidRPr="001D089C" w:rsidRDefault="0002175A" w:rsidP="00540348">
      <w:pPr>
        <w:pStyle w:val="Heading3"/>
        <w:rPr>
          <w:rFonts w:cs="Times New Roman"/>
        </w:rPr>
      </w:pPr>
    </w:p>
    <w:p w14:paraId="2794428D" w14:textId="77777777" w:rsidR="0002175A" w:rsidRPr="00C96FD0" w:rsidRDefault="0002175A" w:rsidP="00540348">
      <w:pPr>
        <w:pStyle w:val="Heading3"/>
        <w:rPr>
          <w:rFonts w:cs="Times New Roman"/>
        </w:rPr>
      </w:pPr>
      <w:r w:rsidRPr="0017149D">
        <w:rPr>
          <w:rFonts w:cs="Times New Roman"/>
        </w:rPr>
        <w:t>Table of Nomenclature and Units (Mass, Length, Time)</w:t>
      </w:r>
    </w:p>
    <w:p w14:paraId="7DC9E7DF" w14:textId="77777777" w:rsidR="0002175A" w:rsidRPr="00DC77B0" w:rsidRDefault="0002175A" w:rsidP="00540348"/>
    <w:p w14:paraId="45D14F3F" w14:textId="77777777" w:rsidR="0002175A" w:rsidRPr="00DC77B0" w:rsidRDefault="0002175A" w:rsidP="00540348">
      <w:r w:rsidRPr="00DC77B0">
        <w:rPr>
          <w:i/>
        </w:rPr>
        <w:t>C</w:t>
      </w:r>
      <w:r w:rsidRPr="00DC77B0">
        <w:rPr>
          <w:i/>
          <w:vertAlign w:val="subscript"/>
        </w:rPr>
        <w:t>m</w:t>
      </w:r>
      <w:r w:rsidRPr="00DC77B0">
        <w:tab/>
        <w:t>Moment or torque coefficient (-)</w:t>
      </w:r>
    </w:p>
    <w:p w14:paraId="09D9F9D5" w14:textId="77777777" w:rsidR="0002175A" w:rsidRPr="00DC77B0" w:rsidRDefault="0002175A" w:rsidP="00540348">
      <w:r w:rsidRPr="00DC77B0">
        <w:rPr>
          <w:i/>
        </w:rPr>
        <w:t>M</w:t>
      </w:r>
      <w:r w:rsidRPr="00DC77B0">
        <w:tab/>
        <w:t>Torque (L</w:t>
      </w:r>
      <w:r w:rsidRPr="00DC77B0">
        <w:rPr>
          <w:vertAlign w:val="superscript"/>
        </w:rPr>
        <w:t>2</w:t>
      </w:r>
      <w:r w:rsidRPr="00DC77B0">
        <w:t>MT</w:t>
      </w:r>
      <w:r w:rsidRPr="00DC77B0">
        <w:rPr>
          <w:vertAlign w:val="superscript"/>
        </w:rPr>
        <w:t>-2</w:t>
      </w:r>
      <w:r w:rsidRPr="00DC77B0">
        <w:t>)</w:t>
      </w:r>
    </w:p>
    <w:p w14:paraId="0A5220F8" w14:textId="77777777"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sz w:val="22"/>
          <w:szCs w:val="22"/>
        </w:rPr>
        <w:t>ρ</w:t>
      </w:r>
      <w:r w:rsidRPr="00DC77B0">
        <w:rPr>
          <w:rFonts w:ascii="Times New Roman" w:hAnsi="Times New Roman"/>
          <w:sz w:val="22"/>
          <w:szCs w:val="22"/>
        </w:rPr>
        <w:t xml:space="preserve"> </w:t>
      </w:r>
      <w:r w:rsidRPr="00DC77B0">
        <w:rPr>
          <w:rFonts w:ascii="Times New Roman" w:hAnsi="Times New Roman"/>
          <w:sz w:val="22"/>
          <w:szCs w:val="22"/>
        </w:rPr>
        <w:tab/>
        <w:t>Fluid density (ML</w:t>
      </w:r>
      <w:r w:rsidRPr="00DC77B0">
        <w:rPr>
          <w:rFonts w:ascii="Times New Roman" w:hAnsi="Times New Roman"/>
          <w:sz w:val="22"/>
          <w:szCs w:val="22"/>
          <w:vertAlign w:val="superscript"/>
        </w:rPr>
        <w:t>-3</w:t>
      </w:r>
      <w:r w:rsidRPr="00DC77B0">
        <w:rPr>
          <w:rFonts w:ascii="Times New Roman" w:hAnsi="Times New Roman"/>
          <w:sz w:val="22"/>
          <w:szCs w:val="22"/>
        </w:rPr>
        <w:t>)</w:t>
      </w:r>
    </w:p>
    <w:p w14:paraId="0BC7939A" w14:textId="77777777"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sz w:val="22"/>
          <w:szCs w:val="22"/>
        </w:rPr>
        <w:t>ω</w:t>
      </w:r>
      <w:r w:rsidRPr="00DC77B0">
        <w:rPr>
          <w:rFonts w:ascii="Times New Roman" w:hAnsi="Times New Roman"/>
          <w:sz w:val="22"/>
          <w:szCs w:val="22"/>
        </w:rPr>
        <w:t xml:space="preserve"> </w:t>
      </w:r>
      <w:r w:rsidRPr="00DC77B0">
        <w:rPr>
          <w:rFonts w:ascii="Times New Roman" w:hAnsi="Times New Roman"/>
          <w:sz w:val="22"/>
          <w:szCs w:val="22"/>
        </w:rPr>
        <w:tab/>
        <w:t>Angular velocity = RPM x 2π/60 (T</w:t>
      </w:r>
      <w:r w:rsidRPr="00DC77B0">
        <w:rPr>
          <w:rFonts w:ascii="Times New Roman" w:hAnsi="Times New Roman"/>
          <w:sz w:val="22"/>
          <w:szCs w:val="22"/>
          <w:vertAlign w:val="superscript"/>
        </w:rPr>
        <w:t>-1</w:t>
      </w:r>
      <w:r w:rsidRPr="00DC77B0">
        <w:rPr>
          <w:rFonts w:ascii="Times New Roman" w:hAnsi="Times New Roman"/>
          <w:sz w:val="22"/>
          <w:szCs w:val="22"/>
        </w:rPr>
        <w:t>)</w:t>
      </w:r>
    </w:p>
    <w:p w14:paraId="027635B1" w14:textId="77777777"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iCs/>
          <w:sz w:val="22"/>
          <w:szCs w:val="22"/>
        </w:rPr>
        <w:sym w:font="Symbol" w:char="F06A"/>
      </w:r>
      <w:r w:rsidRPr="00DC77B0">
        <w:rPr>
          <w:rFonts w:ascii="Times New Roman" w:hAnsi="Times New Roman"/>
          <w:sz w:val="22"/>
          <w:szCs w:val="22"/>
        </w:rPr>
        <w:t xml:space="preserve"> </w:t>
      </w:r>
      <w:r w:rsidRPr="00DC77B0">
        <w:rPr>
          <w:rFonts w:ascii="Times New Roman" w:hAnsi="Times New Roman"/>
          <w:sz w:val="22"/>
          <w:szCs w:val="22"/>
        </w:rPr>
        <w:tab/>
        <w:t xml:space="preserve">Swirl factor (0 &lt; </w:t>
      </w:r>
      <w:r w:rsidRPr="00DC77B0">
        <w:rPr>
          <w:rFonts w:ascii="Times New Roman" w:hAnsi="Times New Roman"/>
          <w:i/>
          <w:iCs/>
          <w:sz w:val="22"/>
          <w:szCs w:val="22"/>
        </w:rPr>
        <w:sym w:font="Symbol" w:char="F06A"/>
      </w:r>
      <w:r w:rsidRPr="00DC77B0">
        <w:rPr>
          <w:rFonts w:ascii="Times New Roman" w:hAnsi="Times New Roman"/>
          <w:sz w:val="22"/>
          <w:szCs w:val="22"/>
        </w:rPr>
        <w:t xml:space="preserve"> &lt; 1) (-)</w:t>
      </w:r>
    </w:p>
    <w:p w14:paraId="0BF68A5D" w14:textId="77777777" w:rsidR="0002175A" w:rsidRPr="00DC77B0" w:rsidRDefault="0002175A" w:rsidP="00540348">
      <w:pPr>
        <w:pStyle w:val="NoSpacing"/>
        <w:numPr>
          <w:ilvl w:val="0"/>
          <w:numId w:val="14"/>
        </w:numPr>
        <w:spacing w:line="480" w:lineRule="auto"/>
        <w:ind w:left="0" w:firstLine="0"/>
        <w:jc w:val="left"/>
        <w:rPr>
          <w:rFonts w:ascii="Times New Roman" w:hAnsi="Times New Roman"/>
          <w:sz w:val="22"/>
          <w:szCs w:val="22"/>
        </w:rPr>
      </w:pPr>
      <w:r w:rsidRPr="00DC77B0">
        <w:rPr>
          <w:rFonts w:ascii="Times New Roman" w:hAnsi="Times New Roman"/>
          <w:sz w:val="22"/>
          <w:szCs w:val="22"/>
        </w:rPr>
        <w:t>fluid kinematic viscosity (L</w:t>
      </w:r>
      <w:r w:rsidRPr="00DC77B0">
        <w:rPr>
          <w:rFonts w:ascii="Times New Roman" w:hAnsi="Times New Roman"/>
          <w:sz w:val="22"/>
          <w:szCs w:val="22"/>
          <w:vertAlign w:val="superscript"/>
        </w:rPr>
        <w:t>2</w:t>
      </w:r>
      <w:r w:rsidRPr="00DC77B0">
        <w:rPr>
          <w:rFonts w:ascii="Times New Roman" w:hAnsi="Times New Roman"/>
          <w:sz w:val="22"/>
          <w:szCs w:val="22"/>
        </w:rPr>
        <w:t>T</w:t>
      </w:r>
      <w:r w:rsidRPr="00DC77B0">
        <w:rPr>
          <w:rFonts w:ascii="Times New Roman" w:hAnsi="Times New Roman"/>
          <w:sz w:val="22"/>
          <w:szCs w:val="22"/>
          <w:vertAlign w:val="superscript"/>
        </w:rPr>
        <w:t>-1</w:t>
      </w:r>
      <w:r w:rsidRPr="00DC77B0">
        <w:rPr>
          <w:rFonts w:ascii="Times New Roman" w:hAnsi="Times New Roman"/>
          <w:sz w:val="22"/>
          <w:szCs w:val="22"/>
        </w:rPr>
        <w:t>)</w:t>
      </w:r>
    </w:p>
    <w:p w14:paraId="0C26DB12" w14:textId="77777777"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sz w:val="22"/>
          <w:szCs w:val="22"/>
        </w:rPr>
        <w:t>r</w:t>
      </w:r>
      <w:r w:rsidRPr="00DC77B0">
        <w:rPr>
          <w:rFonts w:ascii="Times New Roman" w:hAnsi="Times New Roman"/>
          <w:sz w:val="22"/>
          <w:szCs w:val="22"/>
        </w:rPr>
        <w:t xml:space="preserve"> </w:t>
      </w:r>
      <w:r w:rsidRPr="00DC77B0">
        <w:rPr>
          <w:rFonts w:ascii="Times New Roman" w:hAnsi="Times New Roman"/>
          <w:sz w:val="22"/>
          <w:szCs w:val="22"/>
        </w:rPr>
        <w:tab/>
        <w:t>Radius of the disc (L)</w:t>
      </w:r>
    </w:p>
    <w:p w14:paraId="49AEFE5F" w14:textId="77777777"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sz w:val="22"/>
          <w:szCs w:val="22"/>
        </w:rPr>
        <w:t>d</w:t>
      </w:r>
      <w:r w:rsidRPr="00DC77B0">
        <w:rPr>
          <w:rFonts w:ascii="Times New Roman" w:hAnsi="Times New Roman"/>
          <w:sz w:val="22"/>
          <w:szCs w:val="22"/>
        </w:rPr>
        <w:tab/>
        <w:t>Diameter of the disc (2r) (L)</w:t>
      </w:r>
    </w:p>
    <w:p w14:paraId="59615FF9" w14:textId="77777777"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sz w:val="22"/>
          <w:szCs w:val="22"/>
        </w:rPr>
        <w:t>b</w:t>
      </w:r>
      <w:r w:rsidRPr="00DC77B0">
        <w:rPr>
          <w:rFonts w:ascii="Times New Roman" w:hAnsi="Times New Roman"/>
          <w:sz w:val="22"/>
          <w:szCs w:val="22"/>
        </w:rPr>
        <w:tab/>
        <w:t>Thickness of the disc (L)</w:t>
      </w:r>
    </w:p>
    <w:p w14:paraId="07ABC820" w14:textId="77777777" w:rsidR="0002175A" w:rsidRPr="00DC77B0" w:rsidRDefault="0002175A" w:rsidP="00540348">
      <w:pPr>
        <w:pStyle w:val="NoSpacing"/>
        <w:spacing w:line="480" w:lineRule="auto"/>
        <w:rPr>
          <w:rFonts w:ascii="Times New Roman" w:hAnsi="Times New Roman"/>
          <w:sz w:val="22"/>
          <w:szCs w:val="22"/>
        </w:rPr>
      </w:pPr>
      <w:proofErr w:type="spellStart"/>
      <w:r w:rsidRPr="00DC77B0">
        <w:rPr>
          <w:rFonts w:ascii="Times New Roman" w:hAnsi="Times New Roman"/>
          <w:i/>
          <w:szCs w:val="24"/>
        </w:rPr>
        <w:t>Re</w:t>
      </w:r>
      <w:r w:rsidRPr="00DC77B0">
        <w:rPr>
          <w:rFonts w:ascii="Times New Roman" w:hAnsi="Times New Roman"/>
          <w:i/>
          <w:szCs w:val="24"/>
          <w:vertAlign w:val="subscript"/>
        </w:rPr>
        <w:t>r</w:t>
      </w:r>
      <w:proofErr w:type="spellEnd"/>
      <w:r w:rsidRPr="00DC77B0">
        <w:rPr>
          <w:rFonts w:ascii="Times New Roman" w:hAnsi="Times New Roman"/>
          <w:i/>
          <w:szCs w:val="24"/>
          <w:vertAlign w:val="subscript"/>
        </w:rPr>
        <w:tab/>
      </w:r>
      <w:r w:rsidRPr="00DC77B0">
        <w:rPr>
          <w:rFonts w:ascii="Times New Roman" w:hAnsi="Times New Roman"/>
          <w:sz w:val="22"/>
          <w:szCs w:val="22"/>
        </w:rPr>
        <w:t>Rotational Reynolds number (-)</w:t>
      </w:r>
    </w:p>
    <w:p w14:paraId="64291FFB" w14:textId="01D4DFA3" w:rsidR="0002175A" w:rsidRPr="00DC77B0" w:rsidRDefault="0002175A" w:rsidP="00540348">
      <w:pPr>
        <w:pStyle w:val="NoSpacing"/>
        <w:spacing w:line="480" w:lineRule="auto"/>
        <w:rPr>
          <w:rFonts w:ascii="Times New Roman" w:hAnsi="Times New Roman"/>
          <w:sz w:val="22"/>
          <w:szCs w:val="22"/>
        </w:rPr>
      </w:pPr>
      <w:r w:rsidRPr="00DC77B0">
        <w:rPr>
          <w:rFonts w:ascii="Times New Roman" w:hAnsi="Times New Roman"/>
          <w:i/>
          <w:iCs/>
          <w:sz w:val="22"/>
          <w:szCs w:val="22"/>
        </w:rPr>
        <w:sym w:font="Symbol" w:char="F044"/>
      </w:r>
      <w:r w:rsidRPr="00DC77B0">
        <w:rPr>
          <w:rFonts w:ascii="Times New Roman" w:hAnsi="Times New Roman"/>
          <w:i/>
          <w:iCs/>
          <w:sz w:val="22"/>
          <w:szCs w:val="22"/>
        </w:rPr>
        <w:t>U</w:t>
      </w:r>
      <w:r w:rsidRPr="00DC77B0">
        <w:rPr>
          <w:rFonts w:ascii="Times New Roman" w:hAnsi="Times New Roman"/>
          <w:i/>
          <w:iCs/>
          <w:sz w:val="22"/>
          <w:szCs w:val="22"/>
          <w:vertAlign w:val="superscript"/>
        </w:rPr>
        <w:t>+</w:t>
      </w:r>
      <w:r w:rsidRPr="00DC77B0">
        <w:rPr>
          <w:rFonts w:ascii="Times New Roman" w:hAnsi="Times New Roman"/>
          <w:i/>
          <w:iCs/>
          <w:sz w:val="22"/>
          <w:szCs w:val="22"/>
        </w:rPr>
        <w:tab/>
      </w:r>
      <w:r w:rsidRPr="00DC77B0">
        <w:rPr>
          <w:rFonts w:ascii="Times New Roman" w:hAnsi="Times New Roman"/>
          <w:sz w:val="22"/>
          <w:szCs w:val="22"/>
        </w:rPr>
        <w:t>Roughness function</w:t>
      </w:r>
      <w:r w:rsidR="002F4542" w:rsidRPr="00DC77B0">
        <w:rPr>
          <w:rFonts w:ascii="Times New Roman" w:hAnsi="Times New Roman"/>
          <w:sz w:val="22"/>
          <w:szCs w:val="22"/>
        </w:rPr>
        <w:t xml:space="preserve"> (-)</w:t>
      </w:r>
    </w:p>
    <w:p w14:paraId="18BCCE68" w14:textId="24673103" w:rsidR="0002175A" w:rsidRDefault="0002175A" w:rsidP="00540348">
      <w:pPr>
        <w:pStyle w:val="NoSpacing"/>
        <w:spacing w:line="480" w:lineRule="auto"/>
        <w:rPr>
          <w:rFonts w:ascii="Times New Roman" w:hAnsi="Times New Roman"/>
          <w:sz w:val="22"/>
          <w:szCs w:val="22"/>
        </w:rPr>
      </w:pPr>
      <w:r w:rsidRPr="00DC77B0">
        <w:rPr>
          <w:rFonts w:ascii="Times New Roman" w:hAnsi="Times New Roman"/>
          <w:i/>
          <w:iCs/>
          <w:sz w:val="22"/>
          <w:szCs w:val="22"/>
        </w:rPr>
        <w:t>k</w:t>
      </w:r>
      <w:r w:rsidRPr="00DC77B0">
        <w:rPr>
          <w:rFonts w:ascii="Times New Roman" w:hAnsi="Times New Roman"/>
          <w:i/>
          <w:iCs/>
          <w:sz w:val="22"/>
          <w:szCs w:val="22"/>
          <w:vertAlign w:val="superscript"/>
        </w:rPr>
        <w:t>+</w:t>
      </w:r>
      <w:r w:rsidRPr="00DC77B0">
        <w:rPr>
          <w:rFonts w:ascii="Times New Roman" w:hAnsi="Times New Roman"/>
          <w:sz w:val="22"/>
          <w:szCs w:val="22"/>
        </w:rPr>
        <w:tab/>
        <w:t>Roughness Reynolds Number</w:t>
      </w:r>
      <w:r w:rsidR="002F4542" w:rsidRPr="00DC77B0">
        <w:rPr>
          <w:rFonts w:ascii="Times New Roman" w:hAnsi="Times New Roman"/>
          <w:sz w:val="22"/>
          <w:szCs w:val="22"/>
        </w:rPr>
        <w:t xml:space="preserve"> (-)</w:t>
      </w:r>
    </w:p>
    <w:p w14:paraId="34702EB2" w14:textId="2A0060CA" w:rsidR="00AF0B73" w:rsidRDefault="00AF0B73" w:rsidP="00AF0B73">
      <w:pPr>
        <w:pStyle w:val="NoSpacing"/>
        <w:spacing w:line="480" w:lineRule="auto"/>
        <w:rPr>
          <w:rFonts w:ascii="Times New Roman" w:hAnsi="Times New Roman"/>
          <w:sz w:val="22"/>
          <w:szCs w:val="22"/>
        </w:rPr>
      </w:pPr>
      <w:proofErr w:type="spellStart"/>
      <w:r w:rsidRPr="00B12229">
        <w:rPr>
          <w:rFonts w:ascii="Times New Roman" w:hAnsi="Times New Roman"/>
          <w:i/>
          <w:iCs/>
          <w:sz w:val="22"/>
          <w:szCs w:val="22"/>
        </w:rPr>
        <w:t>k</w:t>
      </w:r>
      <w:r w:rsidRPr="00100BA1">
        <w:rPr>
          <w:rFonts w:ascii="Times New Roman" w:hAnsi="Times New Roman"/>
          <w:i/>
          <w:iCs/>
          <w:sz w:val="22"/>
          <w:szCs w:val="22"/>
          <w:vertAlign w:val="subscript"/>
        </w:rPr>
        <w:t>s</w:t>
      </w:r>
      <w:proofErr w:type="spellEnd"/>
      <w:r w:rsidRPr="00B12229">
        <w:rPr>
          <w:rFonts w:ascii="Times New Roman" w:hAnsi="Times New Roman"/>
          <w:i/>
          <w:iCs/>
          <w:sz w:val="22"/>
          <w:szCs w:val="22"/>
          <w:vertAlign w:val="superscript"/>
        </w:rPr>
        <w:t>+</w:t>
      </w:r>
      <w:r w:rsidRPr="00B12229">
        <w:rPr>
          <w:rFonts w:ascii="Times New Roman" w:hAnsi="Times New Roman"/>
          <w:sz w:val="22"/>
          <w:szCs w:val="22"/>
        </w:rPr>
        <w:tab/>
      </w:r>
      <w:r w:rsidR="00200E94" w:rsidRPr="00100BA1">
        <w:rPr>
          <w:rFonts w:ascii="Times New Roman" w:hAnsi="Times New Roman"/>
          <w:sz w:val="22"/>
          <w:szCs w:val="22"/>
        </w:rPr>
        <w:t>Uniform sand</w:t>
      </w:r>
      <w:r w:rsidRPr="00B12229">
        <w:rPr>
          <w:rFonts w:ascii="Times New Roman" w:hAnsi="Times New Roman"/>
          <w:sz w:val="22"/>
          <w:szCs w:val="22"/>
        </w:rPr>
        <w:t xml:space="preserve"> roughness Reynolds Number (-)</w:t>
      </w:r>
    </w:p>
    <w:p w14:paraId="24EA26E5" w14:textId="57F523BF" w:rsidR="00AF0B73" w:rsidRDefault="00AF0B73" w:rsidP="00540348">
      <w:pPr>
        <w:pStyle w:val="NoSpacing"/>
        <w:spacing w:line="480" w:lineRule="auto"/>
        <w:rPr>
          <w:rFonts w:ascii="Times New Roman" w:hAnsi="Times New Roman"/>
          <w:sz w:val="22"/>
          <w:szCs w:val="22"/>
        </w:rPr>
      </w:pPr>
      <w:r w:rsidRPr="00100BA1">
        <w:rPr>
          <w:rFonts w:ascii="Times New Roman" w:hAnsi="Times New Roman"/>
          <w:i/>
          <w:iCs/>
          <w:sz w:val="22"/>
          <w:szCs w:val="22"/>
        </w:rPr>
        <w:t>Ra</w:t>
      </w:r>
      <w:r w:rsidR="00B3303F">
        <w:rPr>
          <w:rFonts w:ascii="Times New Roman" w:hAnsi="Times New Roman"/>
          <w:sz w:val="22"/>
          <w:szCs w:val="22"/>
        </w:rPr>
        <w:tab/>
        <w:t>2D arithmetic surface roughness average (L)</w:t>
      </w:r>
    </w:p>
    <w:p w14:paraId="1281732A" w14:textId="7267D597" w:rsidR="00B3303F" w:rsidRDefault="00B3303F" w:rsidP="00540348">
      <w:pPr>
        <w:pStyle w:val="NoSpacing"/>
        <w:spacing w:line="480" w:lineRule="auto"/>
        <w:rPr>
          <w:rFonts w:ascii="Times New Roman" w:hAnsi="Times New Roman"/>
          <w:sz w:val="22"/>
          <w:szCs w:val="22"/>
        </w:rPr>
      </w:pPr>
      <w:r w:rsidRPr="00100BA1">
        <w:rPr>
          <w:rFonts w:ascii="Times New Roman" w:hAnsi="Times New Roman"/>
          <w:i/>
          <w:iCs/>
          <w:sz w:val="22"/>
          <w:szCs w:val="22"/>
        </w:rPr>
        <w:t>Rt</w:t>
      </w:r>
      <w:r>
        <w:rPr>
          <w:rFonts w:ascii="Times New Roman" w:hAnsi="Times New Roman"/>
          <w:sz w:val="22"/>
          <w:szCs w:val="22"/>
        </w:rPr>
        <w:tab/>
        <w:t>2D maximum peak to trough surface height (L)</w:t>
      </w:r>
    </w:p>
    <w:p w14:paraId="5E6221B6" w14:textId="6DD45617" w:rsidR="00B3303F" w:rsidRDefault="00B3303F" w:rsidP="00B3303F">
      <w:pPr>
        <w:pStyle w:val="NoSpacing"/>
        <w:spacing w:line="480" w:lineRule="auto"/>
        <w:rPr>
          <w:rFonts w:ascii="Times New Roman" w:hAnsi="Times New Roman"/>
          <w:sz w:val="22"/>
          <w:szCs w:val="22"/>
        </w:rPr>
      </w:pPr>
      <w:r>
        <w:rPr>
          <w:rFonts w:ascii="Times New Roman" w:hAnsi="Times New Roman"/>
          <w:sz w:val="22"/>
          <w:szCs w:val="22"/>
        </w:rPr>
        <w:t>Sa</w:t>
      </w:r>
      <w:r>
        <w:rPr>
          <w:rFonts w:ascii="Times New Roman" w:hAnsi="Times New Roman"/>
          <w:sz w:val="22"/>
          <w:szCs w:val="22"/>
        </w:rPr>
        <w:tab/>
        <w:t>3D arithmetic surface roughness average (L)</w:t>
      </w:r>
    </w:p>
    <w:p w14:paraId="75B43109" w14:textId="1DED2D46" w:rsidR="00B3303F" w:rsidRDefault="00B3303F" w:rsidP="00B3303F">
      <w:pPr>
        <w:pStyle w:val="NoSpacing"/>
        <w:spacing w:line="480" w:lineRule="auto"/>
        <w:rPr>
          <w:rFonts w:ascii="Times New Roman" w:hAnsi="Times New Roman"/>
          <w:sz w:val="22"/>
          <w:szCs w:val="22"/>
        </w:rPr>
      </w:pPr>
      <w:proofErr w:type="spellStart"/>
      <w:r>
        <w:rPr>
          <w:rFonts w:ascii="Times New Roman" w:hAnsi="Times New Roman"/>
          <w:sz w:val="22"/>
          <w:szCs w:val="22"/>
        </w:rPr>
        <w:t>S</w:t>
      </w:r>
      <w:r w:rsidR="003C33D3">
        <w:rPr>
          <w:rFonts w:ascii="Times New Roman" w:hAnsi="Times New Roman"/>
          <w:sz w:val="22"/>
          <w:szCs w:val="22"/>
        </w:rPr>
        <w:t>z</w:t>
      </w:r>
      <w:proofErr w:type="spellEnd"/>
      <w:r>
        <w:rPr>
          <w:rFonts w:ascii="Times New Roman" w:hAnsi="Times New Roman"/>
          <w:sz w:val="22"/>
          <w:szCs w:val="22"/>
        </w:rPr>
        <w:tab/>
        <w:t>3D maximum peak to trough surface height (L)</w:t>
      </w:r>
    </w:p>
    <w:p w14:paraId="0BB5EF12" w14:textId="745611C1" w:rsidR="00856E1F" w:rsidRDefault="00856E1F">
      <w:pPr>
        <w:spacing w:after="160" w:line="259" w:lineRule="auto"/>
        <w:rPr>
          <w:rFonts w:eastAsiaTheme="minorHAnsi"/>
          <w:sz w:val="22"/>
          <w:szCs w:val="22"/>
          <w:lang w:eastAsia="zh-CN"/>
        </w:rPr>
      </w:pPr>
      <w:r>
        <w:rPr>
          <w:sz w:val="22"/>
          <w:szCs w:val="22"/>
        </w:rPr>
        <w:br w:type="page"/>
      </w:r>
    </w:p>
    <w:p w14:paraId="24F407A2" w14:textId="2DF779D0" w:rsidR="00856E1F" w:rsidRDefault="00856E1F">
      <w:pPr>
        <w:pStyle w:val="NoSpacing"/>
        <w:spacing w:line="480" w:lineRule="auto"/>
        <w:rPr>
          <w:rFonts w:ascii="Times New Roman" w:hAnsi="Times New Roman"/>
          <w:sz w:val="22"/>
          <w:szCs w:val="22"/>
        </w:rPr>
      </w:pPr>
      <w:r>
        <w:rPr>
          <w:rFonts w:ascii="Times New Roman" w:hAnsi="Times New Roman"/>
          <w:sz w:val="22"/>
          <w:szCs w:val="22"/>
        </w:rPr>
        <w:lastRenderedPageBreak/>
        <w:t>List of Figures</w:t>
      </w:r>
    </w:p>
    <w:p w14:paraId="0A08E4E7" w14:textId="6FB9BC54" w:rsidR="00856E1F" w:rsidRPr="00100BA1" w:rsidRDefault="00856E1F" w:rsidP="00100BA1">
      <w:pPr>
        <w:pStyle w:val="Figurecaption"/>
        <w:spacing w:after="240" w:line="480" w:lineRule="auto"/>
      </w:pPr>
      <w:r w:rsidRPr="00DC77B0">
        <w:rPr>
          <w:b/>
          <w:bCs/>
        </w:rPr>
        <w:t>Fig. 1</w:t>
      </w:r>
      <w:r w:rsidRPr="00DC77B0">
        <w:t>:</w:t>
      </w:r>
      <w:r>
        <w:t xml:space="preserve"> Experimental apparatus: Rheometer with temperature-controlled water reservoir</w:t>
      </w:r>
      <w:r w:rsidR="00C630AF">
        <w:t xml:space="preserve"> </w:t>
      </w:r>
    </w:p>
    <w:p w14:paraId="19C6D452" w14:textId="77777777" w:rsidR="00856E1F" w:rsidRDefault="00856E1F" w:rsidP="00100BA1">
      <w:pPr>
        <w:pStyle w:val="Figurecaption"/>
        <w:spacing w:before="0" w:line="480" w:lineRule="auto"/>
      </w:pPr>
      <w:r w:rsidRPr="00DC77B0">
        <w:rPr>
          <w:b/>
          <w:bCs/>
        </w:rPr>
        <w:t>Fig. 2</w:t>
      </w:r>
      <w:r w:rsidRPr="00DC77B0">
        <w:t>:</w:t>
      </w:r>
      <w:r>
        <w:t xml:space="preserve"> Torque developed on one face of sandpaper covered discs vs. rotational velocity</w:t>
      </w:r>
    </w:p>
    <w:p w14:paraId="2A70C9F1" w14:textId="24A115B5" w:rsidR="00856E1F" w:rsidRDefault="00856E1F" w:rsidP="00100BA1">
      <w:pPr>
        <w:pStyle w:val="Figurecaption"/>
        <w:spacing w:after="240" w:line="480" w:lineRule="auto"/>
      </w:pPr>
      <w:r w:rsidRPr="00DC77B0">
        <w:rPr>
          <w:b/>
          <w:bCs/>
        </w:rPr>
        <w:t>Fig. 3</w:t>
      </w:r>
      <w:r>
        <w:rPr>
          <w:b/>
          <w:bCs/>
        </w:rPr>
        <w:t>:</w:t>
      </w:r>
      <w:r w:rsidRPr="00C348A9">
        <w:t xml:space="preserve"> R</w:t>
      </w:r>
      <w:r>
        <w:t>oughness functions for sandpaper discs</w:t>
      </w:r>
    </w:p>
    <w:p w14:paraId="42BCA6BF" w14:textId="77777777" w:rsidR="001265F5" w:rsidRPr="00C348A9" w:rsidRDefault="001265F5">
      <w:pPr>
        <w:rPr>
          <w:rFonts w:cs="Times"/>
        </w:rPr>
      </w:pPr>
      <w:r w:rsidRPr="00C348A9">
        <w:rPr>
          <w:rFonts w:cs="Times"/>
          <w:b/>
          <w:bCs/>
        </w:rPr>
        <w:t>Fig.4:</w:t>
      </w:r>
      <w:r w:rsidRPr="00C348A9">
        <w:rPr>
          <w:rFonts w:cs="Times"/>
        </w:rPr>
        <w:t xml:space="preserve">  Sample board with discs fouled after 176 days exposure.</w:t>
      </w:r>
    </w:p>
    <w:p w14:paraId="5A55C8A6" w14:textId="77777777" w:rsidR="001265F5" w:rsidRPr="00C348A9" w:rsidRDefault="001265F5">
      <w:pPr>
        <w:rPr>
          <w:rFonts w:cs="Times"/>
        </w:rPr>
      </w:pPr>
      <w:r w:rsidRPr="00C348A9">
        <w:rPr>
          <w:rFonts w:cs="Times"/>
        </w:rPr>
        <w:t>Above: As removed from the sea, discs in random placement.</w:t>
      </w:r>
    </w:p>
    <w:p w14:paraId="27FF6B49" w14:textId="77777777" w:rsidR="001265F5" w:rsidRPr="00C348A9" w:rsidRDefault="001265F5">
      <w:pPr>
        <w:rPr>
          <w:rFonts w:cs="Times"/>
        </w:rPr>
      </w:pPr>
      <w:r w:rsidRPr="00C348A9">
        <w:rPr>
          <w:rFonts w:cs="Times"/>
        </w:rPr>
        <w:t>Below: After rheometer testing, discs replaced in numbered order.</w:t>
      </w:r>
    </w:p>
    <w:p w14:paraId="0CC3A757" w14:textId="77777777" w:rsidR="001265F5" w:rsidRPr="00C348A9" w:rsidRDefault="001265F5" w:rsidP="00100BA1">
      <w:pPr>
        <w:spacing w:after="240"/>
        <w:rPr>
          <w:rFonts w:cs="Times"/>
        </w:rPr>
      </w:pPr>
      <w:r w:rsidRPr="00C348A9">
        <w:rPr>
          <w:rFonts w:cs="Times"/>
        </w:rPr>
        <w:t>A = ACP, B = FRP, C= CDP, D = SPC</w:t>
      </w:r>
    </w:p>
    <w:p w14:paraId="6D770083" w14:textId="77777777" w:rsidR="001265F5" w:rsidRPr="00DC77B0" w:rsidRDefault="001265F5" w:rsidP="00100BA1">
      <w:pPr>
        <w:pStyle w:val="Figurecaption"/>
        <w:spacing w:before="0" w:after="240" w:line="480" w:lineRule="auto"/>
      </w:pPr>
      <w:r w:rsidRPr="00DC77B0">
        <w:rPr>
          <w:b/>
          <w:bCs/>
        </w:rPr>
        <w:t xml:space="preserve">Fig. </w:t>
      </w:r>
      <w:r>
        <w:rPr>
          <w:b/>
          <w:bCs/>
        </w:rPr>
        <w:t>5</w:t>
      </w:r>
      <w:r w:rsidRPr="00DC77B0">
        <w:t>:</w:t>
      </w:r>
      <w:r>
        <w:t xml:space="preserve"> Torque developed on fouled coated disc faces at end of exposure period. Error bars are ±SEM (n=6).</w:t>
      </w:r>
    </w:p>
    <w:p w14:paraId="4E9ACA04" w14:textId="77777777" w:rsidR="001265F5" w:rsidRPr="00C348A9" w:rsidRDefault="001265F5">
      <w:pPr>
        <w:rPr>
          <w:rFonts w:cs="Times"/>
        </w:rPr>
      </w:pPr>
      <w:r w:rsidRPr="00C348A9">
        <w:rPr>
          <w:rFonts w:cs="Times"/>
          <w:b/>
          <w:bCs/>
        </w:rPr>
        <w:t>Fig. 6:</w:t>
      </w:r>
      <w:r w:rsidRPr="00C348A9">
        <w:rPr>
          <w:rFonts w:cs="Times"/>
        </w:rPr>
        <w:t xml:space="preserve"> Two FRC coated discs after 176 days fouling. Disc B17 (Left image pair), Disc B18 (Right image pair). Lefthand side image of each pair is </w:t>
      </w:r>
      <w:r w:rsidRPr="00C348A9">
        <w:rPr>
          <w:rFonts w:cs="Times"/>
          <w:i/>
          <w:iCs/>
        </w:rPr>
        <w:t>before</w:t>
      </w:r>
      <w:r w:rsidRPr="00C348A9">
        <w:rPr>
          <w:rFonts w:cs="Times"/>
        </w:rPr>
        <w:t xml:space="preserve"> rheometer testing, and righthand side image is </w:t>
      </w:r>
      <w:r w:rsidRPr="00C348A9">
        <w:rPr>
          <w:rFonts w:cs="Times"/>
          <w:i/>
          <w:iCs/>
        </w:rPr>
        <w:t>after</w:t>
      </w:r>
      <w:r w:rsidRPr="00C348A9">
        <w:rPr>
          <w:rFonts w:cs="Times"/>
        </w:rPr>
        <w:t xml:space="preserve"> rheometer testing</w:t>
      </w:r>
    </w:p>
    <w:p w14:paraId="633BA45E" w14:textId="77777777" w:rsidR="001265F5" w:rsidRPr="00DC77B0" w:rsidRDefault="001265F5" w:rsidP="00100BA1">
      <w:pPr>
        <w:pStyle w:val="Figurecaption"/>
        <w:spacing w:after="240" w:line="480" w:lineRule="auto"/>
      </w:pPr>
      <w:r w:rsidRPr="00DC77B0">
        <w:rPr>
          <w:b/>
          <w:bCs/>
        </w:rPr>
        <w:t xml:space="preserve">Fig. </w:t>
      </w:r>
      <w:r>
        <w:rPr>
          <w:b/>
          <w:bCs/>
        </w:rPr>
        <w:t>7</w:t>
      </w:r>
      <w:r w:rsidRPr="00DC77B0">
        <w:t>:</w:t>
      </w:r>
      <w:r>
        <w:t xml:space="preserve"> Torque response of two replicate fouled FRC discs, showing detachment of macrofouling organisms</w:t>
      </w:r>
    </w:p>
    <w:p w14:paraId="4297FE7B" w14:textId="0A98C02C" w:rsidR="001265F5" w:rsidRDefault="001265F5" w:rsidP="00100BA1">
      <w:pPr>
        <w:pStyle w:val="Figurecaption"/>
        <w:spacing w:before="0" w:after="240" w:line="480" w:lineRule="auto"/>
      </w:pPr>
      <w:r w:rsidRPr="00DC77B0">
        <w:rPr>
          <w:b/>
          <w:bCs/>
        </w:rPr>
        <w:t xml:space="preserve">Fig. </w:t>
      </w:r>
      <w:r>
        <w:rPr>
          <w:b/>
          <w:bCs/>
        </w:rPr>
        <w:t>8</w:t>
      </w:r>
      <w:r w:rsidRPr="00DC77B0">
        <w:t>:</w:t>
      </w:r>
      <w:r>
        <w:t xml:space="preserve"> Torque of fouled discs during the exposure period, divided into coating types. Error bars are ±SEM (n=6)</w:t>
      </w:r>
    </w:p>
    <w:p w14:paraId="44395604" w14:textId="77777777" w:rsidR="0091711D" w:rsidRPr="00DC77B0" w:rsidRDefault="0091711D" w:rsidP="00100BA1">
      <w:pPr>
        <w:pStyle w:val="Figurecaption"/>
        <w:spacing w:before="0" w:after="240" w:line="480" w:lineRule="auto"/>
      </w:pPr>
      <w:r w:rsidRPr="00DC77B0">
        <w:rPr>
          <w:b/>
          <w:bCs/>
        </w:rPr>
        <w:t xml:space="preserve">Fig. </w:t>
      </w:r>
      <w:r>
        <w:rPr>
          <w:b/>
          <w:bCs/>
        </w:rPr>
        <w:t>9</w:t>
      </w:r>
      <w:r w:rsidRPr="00DC77B0">
        <w:t>:</w:t>
      </w:r>
      <w:r>
        <w:t xml:space="preserve"> Roughness functions for fouled ACP discs over time</w:t>
      </w:r>
    </w:p>
    <w:p w14:paraId="3419FCF3" w14:textId="77777777" w:rsidR="0091711D" w:rsidRPr="00DC77B0" w:rsidRDefault="0091711D" w:rsidP="00100BA1">
      <w:pPr>
        <w:pStyle w:val="Figurecaption"/>
        <w:spacing w:before="0" w:line="480" w:lineRule="auto"/>
      </w:pPr>
      <w:r w:rsidRPr="00DC77B0">
        <w:rPr>
          <w:b/>
          <w:bCs/>
        </w:rPr>
        <w:t xml:space="preserve">Fig. </w:t>
      </w:r>
      <w:r>
        <w:rPr>
          <w:b/>
          <w:bCs/>
        </w:rPr>
        <w:t>10</w:t>
      </w:r>
      <w:r w:rsidRPr="00DC77B0">
        <w:t>:</w:t>
      </w:r>
      <w:r>
        <w:t xml:space="preserve"> Roughness height needed to align fouled disc roughness functions with Colebrook’s irregular roughness data</w:t>
      </w:r>
    </w:p>
    <w:p w14:paraId="07B534E1" w14:textId="736B938C" w:rsidR="0002175A" w:rsidRPr="00100BA1" w:rsidRDefault="0002175A" w:rsidP="00100BA1">
      <w:pPr>
        <w:pStyle w:val="NoSpacing"/>
        <w:spacing w:line="480" w:lineRule="auto"/>
        <w:rPr>
          <w:b/>
          <w:bCs/>
          <w:sz w:val="22"/>
          <w:szCs w:val="22"/>
        </w:rPr>
      </w:pPr>
    </w:p>
    <w:sectPr w:rsidR="0002175A" w:rsidRPr="00100BA1" w:rsidSect="002D1B7E">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B9048" w14:textId="77777777" w:rsidR="00C36C8B" w:rsidRDefault="00C36C8B">
      <w:pPr>
        <w:spacing w:line="240" w:lineRule="auto"/>
      </w:pPr>
      <w:r>
        <w:separator/>
      </w:r>
    </w:p>
  </w:endnote>
  <w:endnote w:type="continuationSeparator" w:id="0">
    <w:p w14:paraId="5BDDAEA9" w14:textId="77777777" w:rsidR="00C36C8B" w:rsidRDefault="00C36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896240"/>
      <w:docPartObj>
        <w:docPartGallery w:val="Page Numbers (Bottom of Page)"/>
        <w:docPartUnique/>
      </w:docPartObj>
    </w:sdtPr>
    <w:sdtEndPr>
      <w:rPr>
        <w:noProof/>
      </w:rPr>
    </w:sdtEndPr>
    <w:sdtContent>
      <w:p w14:paraId="17D6F30A" w14:textId="77777777" w:rsidR="00C36C8B" w:rsidRDefault="00C36C8B">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2C368BA5" w14:textId="77777777" w:rsidR="00C36C8B" w:rsidRDefault="00C3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2EDA7" w14:textId="77777777" w:rsidR="00C36C8B" w:rsidRDefault="00C36C8B">
      <w:pPr>
        <w:spacing w:line="240" w:lineRule="auto"/>
      </w:pPr>
      <w:r>
        <w:separator/>
      </w:r>
    </w:p>
  </w:footnote>
  <w:footnote w:type="continuationSeparator" w:id="0">
    <w:p w14:paraId="435CE60E" w14:textId="77777777" w:rsidR="00C36C8B" w:rsidRDefault="00C36C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11E32"/>
    <w:multiLevelType w:val="hybridMultilevel"/>
    <w:tmpl w:val="D192747C"/>
    <w:lvl w:ilvl="0" w:tplc="3CEA5E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A241E6"/>
    <w:multiLevelType w:val="hybridMultilevel"/>
    <w:tmpl w:val="030C286A"/>
    <w:lvl w:ilvl="0" w:tplc="4F0010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2B28AB"/>
    <w:multiLevelType w:val="hybridMultilevel"/>
    <w:tmpl w:val="770C9572"/>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6"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F35AE"/>
    <w:multiLevelType w:val="hybridMultilevel"/>
    <w:tmpl w:val="C3C854AA"/>
    <w:lvl w:ilvl="0" w:tplc="ED881A48">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2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DF11824"/>
    <w:multiLevelType w:val="hybridMultilevel"/>
    <w:tmpl w:val="3BEAFA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33"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34" w15:restartNumberingAfterBreak="0">
    <w:nsid w:val="44C5758F"/>
    <w:multiLevelType w:val="hybridMultilevel"/>
    <w:tmpl w:val="EBBE97D0"/>
    <w:lvl w:ilvl="0" w:tplc="F168D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5A625B"/>
    <w:multiLevelType w:val="hybridMultilevel"/>
    <w:tmpl w:val="2A00BFFA"/>
    <w:lvl w:ilvl="0" w:tplc="201E959C">
      <w:numFmt w:val="bullet"/>
      <w:lvlText w:val=""/>
      <w:lvlJc w:val="left"/>
      <w:pPr>
        <w:ind w:left="4680" w:hanging="360"/>
      </w:pPr>
      <w:rPr>
        <w:rFonts w:ascii="Symbol" w:eastAsia="Times New Roman" w:hAnsi="Symbol" w:cs="Times New Roman"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cs="Wingdings" w:hint="default"/>
      </w:rPr>
    </w:lvl>
    <w:lvl w:ilvl="3" w:tplc="08090001" w:tentative="1">
      <w:start w:val="1"/>
      <w:numFmt w:val="bullet"/>
      <w:lvlText w:val=""/>
      <w:lvlJc w:val="left"/>
      <w:pPr>
        <w:ind w:left="6840" w:hanging="360"/>
      </w:pPr>
      <w:rPr>
        <w:rFonts w:ascii="Symbol" w:hAnsi="Symbol" w:cs="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cs="Wingdings" w:hint="default"/>
      </w:rPr>
    </w:lvl>
    <w:lvl w:ilvl="6" w:tplc="08090001" w:tentative="1">
      <w:start w:val="1"/>
      <w:numFmt w:val="bullet"/>
      <w:lvlText w:val=""/>
      <w:lvlJc w:val="left"/>
      <w:pPr>
        <w:ind w:left="9000" w:hanging="360"/>
      </w:pPr>
      <w:rPr>
        <w:rFonts w:ascii="Symbol" w:hAnsi="Symbol" w:cs="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cs="Wingdings" w:hint="default"/>
      </w:rPr>
    </w:lvl>
  </w:abstractNum>
  <w:abstractNum w:abstractNumId="3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1E0BAC"/>
    <w:multiLevelType w:val="hybridMultilevel"/>
    <w:tmpl w:val="CD724266"/>
    <w:lvl w:ilvl="0" w:tplc="D1B835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32"/>
  </w:num>
  <w:num w:numId="4">
    <w:abstractNumId w:val="26"/>
  </w:num>
  <w:num w:numId="5">
    <w:abstractNumId w:val="33"/>
  </w:num>
  <w:num w:numId="6">
    <w:abstractNumId w:val="27"/>
  </w:num>
  <w:num w:numId="7">
    <w:abstractNumId w:val="25"/>
  </w:num>
  <w:num w:numId="8">
    <w:abstractNumId w:val="24"/>
  </w:num>
  <w:num w:numId="9">
    <w:abstractNumId w:val="22"/>
  </w:num>
  <w:num w:numId="10">
    <w:abstractNumId w:val="20"/>
  </w:num>
  <w:num w:numId="11">
    <w:abstractNumId w:val="16"/>
  </w:num>
  <w:num w:numId="12">
    <w:abstractNumId w:val="21"/>
  </w:num>
  <w:num w:numId="13">
    <w:abstractNumId w:val="31"/>
  </w:num>
  <w:num w:numId="14">
    <w:abstractNumId w:val="23"/>
  </w:num>
  <w:num w:numId="15">
    <w:abstractNumId w:val="41"/>
  </w:num>
  <w:num w:numId="16">
    <w:abstractNumId w:val="19"/>
  </w:num>
  <w:num w:numId="17">
    <w:abstractNumId w:val="35"/>
  </w:num>
  <w:num w:numId="18">
    <w:abstractNumId w:val="1"/>
  </w:num>
  <w:num w:numId="19">
    <w:abstractNumId w:val="2"/>
  </w:num>
  <w:num w:numId="20">
    <w:abstractNumId w:val="3"/>
  </w:num>
  <w:num w:numId="21">
    <w:abstractNumId w:val="4"/>
  </w:num>
  <w:num w:numId="22">
    <w:abstractNumId w:val="9"/>
  </w:num>
  <w:num w:numId="23">
    <w:abstractNumId w:val="5"/>
  </w:num>
  <w:num w:numId="24">
    <w:abstractNumId w:val="7"/>
  </w:num>
  <w:num w:numId="25">
    <w:abstractNumId w:val="6"/>
  </w:num>
  <w:num w:numId="26">
    <w:abstractNumId w:val="10"/>
  </w:num>
  <w:num w:numId="27">
    <w:abstractNumId w:val="8"/>
  </w:num>
  <w:num w:numId="28">
    <w:abstractNumId w:val="29"/>
  </w:num>
  <w:num w:numId="29">
    <w:abstractNumId w:val="37"/>
  </w:num>
  <w:num w:numId="30">
    <w:abstractNumId w:val="18"/>
  </w:num>
  <w:num w:numId="31">
    <w:abstractNumId w:val="28"/>
  </w:num>
  <w:num w:numId="32">
    <w:abstractNumId w:val="11"/>
  </w:num>
  <w:num w:numId="33">
    <w:abstractNumId w:val="0"/>
  </w:num>
  <w:num w:numId="34">
    <w:abstractNumId w:val="13"/>
  </w:num>
  <w:num w:numId="35">
    <w:abstractNumId w:val="30"/>
  </w:num>
  <w:num w:numId="36">
    <w:abstractNumId w:val="38"/>
  </w:num>
  <w:num w:numId="37">
    <w:abstractNumId w:val="39"/>
  </w:num>
  <w:num w:numId="38">
    <w:abstractNumId w:val="17"/>
  </w:num>
  <w:num w:numId="39">
    <w:abstractNumId w:val="40"/>
  </w:num>
  <w:num w:numId="40">
    <w:abstractNumId w:val="36"/>
  </w:num>
  <w:num w:numId="41">
    <w:abstractNumId w:val="3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2175A"/>
    <w:rsid w:val="00000879"/>
    <w:rsid w:val="00001958"/>
    <w:rsid w:val="00003C42"/>
    <w:rsid w:val="00011AC4"/>
    <w:rsid w:val="00012F9F"/>
    <w:rsid w:val="00014259"/>
    <w:rsid w:val="000176DD"/>
    <w:rsid w:val="00020D5B"/>
    <w:rsid w:val="00021682"/>
    <w:rsid w:val="0002175A"/>
    <w:rsid w:val="00022C80"/>
    <w:rsid w:val="000351E8"/>
    <w:rsid w:val="00037220"/>
    <w:rsid w:val="000476F9"/>
    <w:rsid w:val="000508E1"/>
    <w:rsid w:val="00053317"/>
    <w:rsid w:val="00056A56"/>
    <w:rsid w:val="00060E6B"/>
    <w:rsid w:val="000612F5"/>
    <w:rsid w:val="00061AAB"/>
    <w:rsid w:val="00064A1D"/>
    <w:rsid w:val="0007226E"/>
    <w:rsid w:val="0007283E"/>
    <w:rsid w:val="00076497"/>
    <w:rsid w:val="000764A6"/>
    <w:rsid w:val="000771E2"/>
    <w:rsid w:val="00080090"/>
    <w:rsid w:val="0008358B"/>
    <w:rsid w:val="00083C65"/>
    <w:rsid w:val="00086470"/>
    <w:rsid w:val="000A0041"/>
    <w:rsid w:val="000A4F55"/>
    <w:rsid w:val="000B0266"/>
    <w:rsid w:val="000B1482"/>
    <w:rsid w:val="000B5E50"/>
    <w:rsid w:val="000D53C2"/>
    <w:rsid w:val="000D60C1"/>
    <w:rsid w:val="000E1BC5"/>
    <w:rsid w:val="000E4F87"/>
    <w:rsid w:val="000E6257"/>
    <w:rsid w:val="000E635C"/>
    <w:rsid w:val="000F455B"/>
    <w:rsid w:val="000F6A23"/>
    <w:rsid w:val="00100B55"/>
    <w:rsid w:val="00100BA1"/>
    <w:rsid w:val="0010138F"/>
    <w:rsid w:val="001036EE"/>
    <w:rsid w:val="001045AC"/>
    <w:rsid w:val="00110EEC"/>
    <w:rsid w:val="0011137D"/>
    <w:rsid w:val="00113253"/>
    <w:rsid w:val="00114EC7"/>
    <w:rsid w:val="00115266"/>
    <w:rsid w:val="00117DBB"/>
    <w:rsid w:val="001245F6"/>
    <w:rsid w:val="001265F5"/>
    <w:rsid w:val="00131B72"/>
    <w:rsid w:val="00131BCB"/>
    <w:rsid w:val="0014183D"/>
    <w:rsid w:val="00141AD7"/>
    <w:rsid w:val="00150C76"/>
    <w:rsid w:val="00151A02"/>
    <w:rsid w:val="00154042"/>
    <w:rsid w:val="00163D73"/>
    <w:rsid w:val="00166CFC"/>
    <w:rsid w:val="0017149D"/>
    <w:rsid w:val="00173147"/>
    <w:rsid w:val="001854FD"/>
    <w:rsid w:val="00190A59"/>
    <w:rsid w:val="0019578E"/>
    <w:rsid w:val="001A63F2"/>
    <w:rsid w:val="001B2A79"/>
    <w:rsid w:val="001C055D"/>
    <w:rsid w:val="001C4D35"/>
    <w:rsid w:val="001D089C"/>
    <w:rsid w:val="001D4021"/>
    <w:rsid w:val="001D5007"/>
    <w:rsid w:val="001D5574"/>
    <w:rsid w:val="001E3D99"/>
    <w:rsid w:val="001E55D9"/>
    <w:rsid w:val="001E7808"/>
    <w:rsid w:val="001F0CCC"/>
    <w:rsid w:val="001F115D"/>
    <w:rsid w:val="001F55C1"/>
    <w:rsid w:val="0020022B"/>
    <w:rsid w:val="00200E94"/>
    <w:rsid w:val="002011B6"/>
    <w:rsid w:val="002017E5"/>
    <w:rsid w:val="00201B7C"/>
    <w:rsid w:val="0020265C"/>
    <w:rsid w:val="00211616"/>
    <w:rsid w:val="0022505B"/>
    <w:rsid w:val="00227B0F"/>
    <w:rsid w:val="0023217C"/>
    <w:rsid w:val="00242A85"/>
    <w:rsid w:val="00252292"/>
    <w:rsid w:val="00253EBD"/>
    <w:rsid w:val="00256B72"/>
    <w:rsid w:val="00257716"/>
    <w:rsid w:val="00257ABA"/>
    <w:rsid w:val="00263C94"/>
    <w:rsid w:val="00264EE5"/>
    <w:rsid w:val="00271C99"/>
    <w:rsid w:val="00275C69"/>
    <w:rsid w:val="002817CD"/>
    <w:rsid w:val="002847BA"/>
    <w:rsid w:val="002848BF"/>
    <w:rsid w:val="00294AF6"/>
    <w:rsid w:val="0029556E"/>
    <w:rsid w:val="00297006"/>
    <w:rsid w:val="002A05A5"/>
    <w:rsid w:val="002A2136"/>
    <w:rsid w:val="002A3C40"/>
    <w:rsid w:val="002B30B8"/>
    <w:rsid w:val="002B3ACE"/>
    <w:rsid w:val="002B58CA"/>
    <w:rsid w:val="002C0D5A"/>
    <w:rsid w:val="002C4AE0"/>
    <w:rsid w:val="002C5372"/>
    <w:rsid w:val="002C7B2D"/>
    <w:rsid w:val="002D0A7D"/>
    <w:rsid w:val="002D1B7E"/>
    <w:rsid w:val="002E1B74"/>
    <w:rsid w:val="002E50B2"/>
    <w:rsid w:val="002E6040"/>
    <w:rsid w:val="002F11E8"/>
    <w:rsid w:val="002F4542"/>
    <w:rsid w:val="002F704A"/>
    <w:rsid w:val="00303C9F"/>
    <w:rsid w:val="00304CDB"/>
    <w:rsid w:val="00305072"/>
    <w:rsid w:val="00314E82"/>
    <w:rsid w:val="00315B82"/>
    <w:rsid w:val="00317A41"/>
    <w:rsid w:val="00331652"/>
    <w:rsid w:val="003437E1"/>
    <w:rsid w:val="00352119"/>
    <w:rsid w:val="00353A5C"/>
    <w:rsid w:val="00364312"/>
    <w:rsid w:val="00365046"/>
    <w:rsid w:val="00367DD9"/>
    <w:rsid w:val="00373529"/>
    <w:rsid w:val="00393664"/>
    <w:rsid w:val="00396F87"/>
    <w:rsid w:val="003A1E27"/>
    <w:rsid w:val="003A2C5B"/>
    <w:rsid w:val="003B0152"/>
    <w:rsid w:val="003B5328"/>
    <w:rsid w:val="003C078D"/>
    <w:rsid w:val="003C337A"/>
    <w:rsid w:val="003C33D3"/>
    <w:rsid w:val="003C36D3"/>
    <w:rsid w:val="003C5FEE"/>
    <w:rsid w:val="003D25EF"/>
    <w:rsid w:val="003D2D14"/>
    <w:rsid w:val="003D52A2"/>
    <w:rsid w:val="003D5B1B"/>
    <w:rsid w:val="003D7B26"/>
    <w:rsid w:val="003E0249"/>
    <w:rsid w:val="003E0745"/>
    <w:rsid w:val="003E77FB"/>
    <w:rsid w:val="003E7B4F"/>
    <w:rsid w:val="003F07B1"/>
    <w:rsid w:val="003F0A89"/>
    <w:rsid w:val="003F0E44"/>
    <w:rsid w:val="003F0E64"/>
    <w:rsid w:val="003F13BD"/>
    <w:rsid w:val="003F3995"/>
    <w:rsid w:val="003F3B96"/>
    <w:rsid w:val="003F7628"/>
    <w:rsid w:val="003F7B0C"/>
    <w:rsid w:val="0040105A"/>
    <w:rsid w:val="00402CA3"/>
    <w:rsid w:val="00402D18"/>
    <w:rsid w:val="004032A9"/>
    <w:rsid w:val="0040509B"/>
    <w:rsid w:val="004065B3"/>
    <w:rsid w:val="004116A2"/>
    <w:rsid w:val="004131CB"/>
    <w:rsid w:val="004208C8"/>
    <w:rsid w:val="004208F0"/>
    <w:rsid w:val="004222D7"/>
    <w:rsid w:val="00423B40"/>
    <w:rsid w:val="00426EEB"/>
    <w:rsid w:val="00442851"/>
    <w:rsid w:val="0044748D"/>
    <w:rsid w:val="00455A7E"/>
    <w:rsid w:val="004651C5"/>
    <w:rsid w:val="004756D3"/>
    <w:rsid w:val="004760D1"/>
    <w:rsid w:val="00481418"/>
    <w:rsid w:val="004863A6"/>
    <w:rsid w:val="00492E5A"/>
    <w:rsid w:val="0049442B"/>
    <w:rsid w:val="004A38E1"/>
    <w:rsid w:val="004A3C5C"/>
    <w:rsid w:val="004A5620"/>
    <w:rsid w:val="004A7077"/>
    <w:rsid w:val="004B099E"/>
    <w:rsid w:val="004B1AD3"/>
    <w:rsid w:val="004B2BFC"/>
    <w:rsid w:val="004C1839"/>
    <w:rsid w:val="004C225F"/>
    <w:rsid w:val="004C25E0"/>
    <w:rsid w:val="004C5F10"/>
    <w:rsid w:val="004D0253"/>
    <w:rsid w:val="004D11AF"/>
    <w:rsid w:val="004D3937"/>
    <w:rsid w:val="004E729E"/>
    <w:rsid w:val="004F4852"/>
    <w:rsid w:val="004F4B72"/>
    <w:rsid w:val="005059C8"/>
    <w:rsid w:val="00505E86"/>
    <w:rsid w:val="00520436"/>
    <w:rsid w:val="00522941"/>
    <w:rsid w:val="005335DD"/>
    <w:rsid w:val="00535904"/>
    <w:rsid w:val="00540348"/>
    <w:rsid w:val="005426A2"/>
    <w:rsid w:val="0054443F"/>
    <w:rsid w:val="005544F6"/>
    <w:rsid w:val="00555A1D"/>
    <w:rsid w:val="0056303D"/>
    <w:rsid w:val="00571976"/>
    <w:rsid w:val="005724BB"/>
    <w:rsid w:val="00572615"/>
    <w:rsid w:val="00574B07"/>
    <w:rsid w:val="00584AC6"/>
    <w:rsid w:val="00594D05"/>
    <w:rsid w:val="005956B2"/>
    <w:rsid w:val="005960B4"/>
    <w:rsid w:val="00596565"/>
    <w:rsid w:val="005A0758"/>
    <w:rsid w:val="005A295B"/>
    <w:rsid w:val="005A54B9"/>
    <w:rsid w:val="005A6A62"/>
    <w:rsid w:val="005B2CB6"/>
    <w:rsid w:val="005C30FB"/>
    <w:rsid w:val="005D4656"/>
    <w:rsid w:val="005F4C3A"/>
    <w:rsid w:val="005F4E92"/>
    <w:rsid w:val="00603DCC"/>
    <w:rsid w:val="00607B5D"/>
    <w:rsid w:val="00607D61"/>
    <w:rsid w:val="00610E0C"/>
    <w:rsid w:val="006150A1"/>
    <w:rsid w:val="00620079"/>
    <w:rsid w:val="00622666"/>
    <w:rsid w:val="006264FF"/>
    <w:rsid w:val="00630197"/>
    <w:rsid w:val="006313DB"/>
    <w:rsid w:val="00640850"/>
    <w:rsid w:val="00647496"/>
    <w:rsid w:val="00655C8C"/>
    <w:rsid w:val="006654F4"/>
    <w:rsid w:val="00665C9A"/>
    <w:rsid w:val="00666485"/>
    <w:rsid w:val="00667009"/>
    <w:rsid w:val="00667E16"/>
    <w:rsid w:val="00670CD3"/>
    <w:rsid w:val="00673FDB"/>
    <w:rsid w:val="00676A30"/>
    <w:rsid w:val="00681205"/>
    <w:rsid w:val="00681EF2"/>
    <w:rsid w:val="006939FC"/>
    <w:rsid w:val="00694AD1"/>
    <w:rsid w:val="006A103C"/>
    <w:rsid w:val="006A453F"/>
    <w:rsid w:val="006C3151"/>
    <w:rsid w:val="006C3172"/>
    <w:rsid w:val="006C5A01"/>
    <w:rsid w:val="006D03FC"/>
    <w:rsid w:val="006D0577"/>
    <w:rsid w:val="006D3820"/>
    <w:rsid w:val="006F4075"/>
    <w:rsid w:val="006F64E4"/>
    <w:rsid w:val="006F667D"/>
    <w:rsid w:val="007050BC"/>
    <w:rsid w:val="007074AC"/>
    <w:rsid w:val="007146CA"/>
    <w:rsid w:val="00722044"/>
    <w:rsid w:val="00724171"/>
    <w:rsid w:val="00724298"/>
    <w:rsid w:val="0072522B"/>
    <w:rsid w:val="00726C7F"/>
    <w:rsid w:val="00732A21"/>
    <w:rsid w:val="00736A31"/>
    <w:rsid w:val="0074585A"/>
    <w:rsid w:val="00746B79"/>
    <w:rsid w:val="007477DE"/>
    <w:rsid w:val="00752157"/>
    <w:rsid w:val="00752490"/>
    <w:rsid w:val="007544E2"/>
    <w:rsid w:val="0075675D"/>
    <w:rsid w:val="00764998"/>
    <w:rsid w:val="00765A1D"/>
    <w:rsid w:val="00770084"/>
    <w:rsid w:val="007803C0"/>
    <w:rsid w:val="00782051"/>
    <w:rsid w:val="00785E72"/>
    <w:rsid w:val="00790CE2"/>
    <w:rsid w:val="00792AE1"/>
    <w:rsid w:val="007932F2"/>
    <w:rsid w:val="007938DE"/>
    <w:rsid w:val="007A6D76"/>
    <w:rsid w:val="007A6E49"/>
    <w:rsid w:val="007A7317"/>
    <w:rsid w:val="007A7C9D"/>
    <w:rsid w:val="007B00D4"/>
    <w:rsid w:val="007B2A1A"/>
    <w:rsid w:val="007B70E9"/>
    <w:rsid w:val="007C24B4"/>
    <w:rsid w:val="007D64BE"/>
    <w:rsid w:val="007E37C3"/>
    <w:rsid w:val="007E3C5F"/>
    <w:rsid w:val="007F003A"/>
    <w:rsid w:val="007F057B"/>
    <w:rsid w:val="007F65FA"/>
    <w:rsid w:val="007F7E8C"/>
    <w:rsid w:val="00801261"/>
    <w:rsid w:val="00801B44"/>
    <w:rsid w:val="00805B80"/>
    <w:rsid w:val="008150AA"/>
    <w:rsid w:val="0082120E"/>
    <w:rsid w:val="0082423B"/>
    <w:rsid w:val="00826367"/>
    <w:rsid w:val="0083221E"/>
    <w:rsid w:val="0084465A"/>
    <w:rsid w:val="00846331"/>
    <w:rsid w:val="0084724C"/>
    <w:rsid w:val="00855956"/>
    <w:rsid w:val="00856E1F"/>
    <w:rsid w:val="008640D0"/>
    <w:rsid w:val="00865DD8"/>
    <w:rsid w:val="008676C5"/>
    <w:rsid w:val="0087050D"/>
    <w:rsid w:val="008744F0"/>
    <w:rsid w:val="00874BA0"/>
    <w:rsid w:val="008766A7"/>
    <w:rsid w:val="00880EFE"/>
    <w:rsid w:val="00882D17"/>
    <w:rsid w:val="0088669D"/>
    <w:rsid w:val="00890788"/>
    <w:rsid w:val="00890AB4"/>
    <w:rsid w:val="00890E89"/>
    <w:rsid w:val="00894CDF"/>
    <w:rsid w:val="0089744F"/>
    <w:rsid w:val="008A6F31"/>
    <w:rsid w:val="008C14DC"/>
    <w:rsid w:val="008D05C0"/>
    <w:rsid w:val="008E0C98"/>
    <w:rsid w:val="008F03F4"/>
    <w:rsid w:val="008F3457"/>
    <w:rsid w:val="00900594"/>
    <w:rsid w:val="00910977"/>
    <w:rsid w:val="0091120C"/>
    <w:rsid w:val="00913FB6"/>
    <w:rsid w:val="00914058"/>
    <w:rsid w:val="009145F1"/>
    <w:rsid w:val="0091711D"/>
    <w:rsid w:val="00922E19"/>
    <w:rsid w:val="009238C3"/>
    <w:rsid w:val="0093189A"/>
    <w:rsid w:val="009325E8"/>
    <w:rsid w:val="00933AC2"/>
    <w:rsid w:val="00940EEA"/>
    <w:rsid w:val="00942852"/>
    <w:rsid w:val="00943573"/>
    <w:rsid w:val="009455E3"/>
    <w:rsid w:val="009460B7"/>
    <w:rsid w:val="00952D74"/>
    <w:rsid w:val="00956FDF"/>
    <w:rsid w:val="00964AD0"/>
    <w:rsid w:val="0096531D"/>
    <w:rsid w:val="009737E9"/>
    <w:rsid w:val="00980C4E"/>
    <w:rsid w:val="0098493A"/>
    <w:rsid w:val="00987B42"/>
    <w:rsid w:val="0099034F"/>
    <w:rsid w:val="009959B8"/>
    <w:rsid w:val="009B014C"/>
    <w:rsid w:val="009B5128"/>
    <w:rsid w:val="009B5B67"/>
    <w:rsid w:val="009C221E"/>
    <w:rsid w:val="009C605F"/>
    <w:rsid w:val="009D2AB8"/>
    <w:rsid w:val="009D59BA"/>
    <w:rsid w:val="009D7109"/>
    <w:rsid w:val="009D79BA"/>
    <w:rsid w:val="009E37DF"/>
    <w:rsid w:val="009E3F4F"/>
    <w:rsid w:val="009E7905"/>
    <w:rsid w:val="009F483A"/>
    <w:rsid w:val="009F5333"/>
    <w:rsid w:val="00A13710"/>
    <w:rsid w:val="00A17C56"/>
    <w:rsid w:val="00A251C3"/>
    <w:rsid w:val="00A25AAA"/>
    <w:rsid w:val="00A26CB4"/>
    <w:rsid w:val="00A34795"/>
    <w:rsid w:val="00A347A5"/>
    <w:rsid w:val="00A36386"/>
    <w:rsid w:val="00A529D7"/>
    <w:rsid w:val="00A53D47"/>
    <w:rsid w:val="00A55BB0"/>
    <w:rsid w:val="00A575FC"/>
    <w:rsid w:val="00A57EDA"/>
    <w:rsid w:val="00A61779"/>
    <w:rsid w:val="00A63A96"/>
    <w:rsid w:val="00A64198"/>
    <w:rsid w:val="00A67E1F"/>
    <w:rsid w:val="00A85445"/>
    <w:rsid w:val="00A85A88"/>
    <w:rsid w:val="00A93460"/>
    <w:rsid w:val="00A94552"/>
    <w:rsid w:val="00A94F1A"/>
    <w:rsid w:val="00A97B93"/>
    <w:rsid w:val="00AA4A72"/>
    <w:rsid w:val="00AA71AD"/>
    <w:rsid w:val="00AB4A53"/>
    <w:rsid w:val="00AC00D1"/>
    <w:rsid w:val="00AC044B"/>
    <w:rsid w:val="00AC2B16"/>
    <w:rsid w:val="00AC3187"/>
    <w:rsid w:val="00AC3BE8"/>
    <w:rsid w:val="00AC5452"/>
    <w:rsid w:val="00AD1991"/>
    <w:rsid w:val="00AD3E4B"/>
    <w:rsid w:val="00AD524D"/>
    <w:rsid w:val="00AE2B04"/>
    <w:rsid w:val="00AE4BC8"/>
    <w:rsid w:val="00AF0B73"/>
    <w:rsid w:val="00B055C9"/>
    <w:rsid w:val="00B12229"/>
    <w:rsid w:val="00B207B3"/>
    <w:rsid w:val="00B2444A"/>
    <w:rsid w:val="00B31D51"/>
    <w:rsid w:val="00B3303F"/>
    <w:rsid w:val="00B33B94"/>
    <w:rsid w:val="00B36640"/>
    <w:rsid w:val="00B54351"/>
    <w:rsid w:val="00B55868"/>
    <w:rsid w:val="00B55BF6"/>
    <w:rsid w:val="00B612A3"/>
    <w:rsid w:val="00B6205E"/>
    <w:rsid w:val="00B73351"/>
    <w:rsid w:val="00B73368"/>
    <w:rsid w:val="00B7554F"/>
    <w:rsid w:val="00B75909"/>
    <w:rsid w:val="00B76B71"/>
    <w:rsid w:val="00B813C4"/>
    <w:rsid w:val="00B8568F"/>
    <w:rsid w:val="00B875FB"/>
    <w:rsid w:val="00B92668"/>
    <w:rsid w:val="00B92D0A"/>
    <w:rsid w:val="00BA1E36"/>
    <w:rsid w:val="00BB2E3B"/>
    <w:rsid w:val="00BC2F77"/>
    <w:rsid w:val="00BC3BD4"/>
    <w:rsid w:val="00BC767F"/>
    <w:rsid w:val="00BD1792"/>
    <w:rsid w:val="00BD546F"/>
    <w:rsid w:val="00BD59C8"/>
    <w:rsid w:val="00BD7848"/>
    <w:rsid w:val="00BE5FB9"/>
    <w:rsid w:val="00BE7F90"/>
    <w:rsid w:val="00BF2647"/>
    <w:rsid w:val="00BF3B04"/>
    <w:rsid w:val="00C02FE5"/>
    <w:rsid w:val="00C1011D"/>
    <w:rsid w:val="00C10966"/>
    <w:rsid w:val="00C14E48"/>
    <w:rsid w:val="00C16736"/>
    <w:rsid w:val="00C16F46"/>
    <w:rsid w:val="00C17644"/>
    <w:rsid w:val="00C23C63"/>
    <w:rsid w:val="00C23DF8"/>
    <w:rsid w:val="00C25C84"/>
    <w:rsid w:val="00C36C8B"/>
    <w:rsid w:val="00C40C71"/>
    <w:rsid w:val="00C421F0"/>
    <w:rsid w:val="00C53DA6"/>
    <w:rsid w:val="00C54E0D"/>
    <w:rsid w:val="00C61831"/>
    <w:rsid w:val="00C61E05"/>
    <w:rsid w:val="00C62936"/>
    <w:rsid w:val="00C630AF"/>
    <w:rsid w:val="00C673F5"/>
    <w:rsid w:val="00C70282"/>
    <w:rsid w:val="00C71BDE"/>
    <w:rsid w:val="00C84551"/>
    <w:rsid w:val="00C8670B"/>
    <w:rsid w:val="00C9010F"/>
    <w:rsid w:val="00C958FA"/>
    <w:rsid w:val="00C96FD0"/>
    <w:rsid w:val="00CB1A04"/>
    <w:rsid w:val="00CB4DF9"/>
    <w:rsid w:val="00CB4E27"/>
    <w:rsid w:val="00CB5269"/>
    <w:rsid w:val="00CB5D65"/>
    <w:rsid w:val="00CD03E6"/>
    <w:rsid w:val="00CD2341"/>
    <w:rsid w:val="00CD40AE"/>
    <w:rsid w:val="00CD516B"/>
    <w:rsid w:val="00CE00F2"/>
    <w:rsid w:val="00CE5839"/>
    <w:rsid w:val="00CF0866"/>
    <w:rsid w:val="00CF3949"/>
    <w:rsid w:val="00CF5D58"/>
    <w:rsid w:val="00CF7709"/>
    <w:rsid w:val="00CF7958"/>
    <w:rsid w:val="00D04E53"/>
    <w:rsid w:val="00D05311"/>
    <w:rsid w:val="00D11D13"/>
    <w:rsid w:val="00D247B4"/>
    <w:rsid w:val="00D27E2E"/>
    <w:rsid w:val="00D33B07"/>
    <w:rsid w:val="00D34429"/>
    <w:rsid w:val="00D364B7"/>
    <w:rsid w:val="00D41DD1"/>
    <w:rsid w:val="00D43F22"/>
    <w:rsid w:val="00D47D37"/>
    <w:rsid w:val="00D64F7A"/>
    <w:rsid w:val="00D653A4"/>
    <w:rsid w:val="00D75DDD"/>
    <w:rsid w:val="00D82C0C"/>
    <w:rsid w:val="00D87B59"/>
    <w:rsid w:val="00D90284"/>
    <w:rsid w:val="00D96491"/>
    <w:rsid w:val="00D97FA7"/>
    <w:rsid w:val="00DA0855"/>
    <w:rsid w:val="00DA196D"/>
    <w:rsid w:val="00DA260F"/>
    <w:rsid w:val="00DA3EE3"/>
    <w:rsid w:val="00DA46D2"/>
    <w:rsid w:val="00DA5EED"/>
    <w:rsid w:val="00DC0853"/>
    <w:rsid w:val="00DC25A8"/>
    <w:rsid w:val="00DC3304"/>
    <w:rsid w:val="00DC626A"/>
    <w:rsid w:val="00DC649B"/>
    <w:rsid w:val="00DC6912"/>
    <w:rsid w:val="00DC77B0"/>
    <w:rsid w:val="00DD1416"/>
    <w:rsid w:val="00DD1BD9"/>
    <w:rsid w:val="00DD3B0D"/>
    <w:rsid w:val="00DD5096"/>
    <w:rsid w:val="00DE04C1"/>
    <w:rsid w:val="00DE5A4A"/>
    <w:rsid w:val="00E03535"/>
    <w:rsid w:val="00E06849"/>
    <w:rsid w:val="00E06FD6"/>
    <w:rsid w:val="00E1121F"/>
    <w:rsid w:val="00E11CC9"/>
    <w:rsid w:val="00E16726"/>
    <w:rsid w:val="00E17D62"/>
    <w:rsid w:val="00E3043F"/>
    <w:rsid w:val="00E36306"/>
    <w:rsid w:val="00E40D33"/>
    <w:rsid w:val="00E463A2"/>
    <w:rsid w:val="00E51D0D"/>
    <w:rsid w:val="00E65117"/>
    <w:rsid w:val="00E72799"/>
    <w:rsid w:val="00E7295D"/>
    <w:rsid w:val="00E72BCA"/>
    <w:rsid w:val="00E74566"/>
    <w:rsid w:val="00E857D8"/>
    <w:rsid w:val="00E85D1F"/>
    <w:rsid w:val="00E908D9"/>
    <w:rsid w:val="00E90B88"/>
    <w:rsid w:val="00E9397D"/>
    <w:rsid w:val="00E93DFB"/>
    <w:rsid w:val="00E941CE"/>
    <w:rsid w:val="00EA1105"/>
    <w:rsid w:val="00EA3641"/>
    <w:rsid w:val="00EA3CF0"/>
    <w:rsid w:val="00EB4AA5"/>
    <w:rsid w:val="00EC0BC9"/>
    <w:rsid w:val="00EC13A2"/>
    <w:rsid w:val="00EC3A23"/>
    <w:rsid w:val="00EC4617"/>
    <w:rsid w:val="00EC73FE"/>
    <w:rsid w:val="00EC7D88"/>
    <w:rsid w:val="00ED10FC"/>
    <w:rsid w:val="00ED320B"/>
    <w:rsid w:val="00EE17A4"/>
    <w:rsid w:val="00F0557E"/>
    <w:rsid w:val="00F10B6A"/>
    <w:rsid w:val="00F15974"/>
    <w:rsid w:val="00F24F6C"/>
    <w:rsid w:val="00F2707F"/>
    <w:rsid w:val="00F27E4F"/>
    <w:rsid w:val="00F30C47"/>
    <w:rsid w:val="00F35F75"/>
    <w:rsid w:val="00F43651"/>
    <w:rsid w:val="00F44BE5"/>
    <w:rsid w:val="00F453E1"/>
    <w:rsid w:val="00F50FBC"/>
    <w:rsid w:val="00F51254"/>
    <w:rsid w:val="00F532B3"/>
    <w:rsid w:val="00F54182"/>
    <w:rsid w:val="00F54A20"/>
    <w:rsid w:val="00F74049"/>
    <w:rsid w:val="00F831CE"/>
    <w:rsid w:val="00F872D3"/>
    <w:rsid w:val="00F90015"/>
    <w:rsid w:val="00F9143C"/>
    <w:rsid w:val="00F93BCD"/>
    <w:rsid w:val="00F9624B"/>
    <w:rsid w:val="00F9757C"/>
    <w:rsid w:val="00FA0885"/>
    <w:rsid w:val="00FA75A6"/>
    <w:rsid w:val="00FB129C"/>
    <w:rsid w:val="00FB20F9"/>
    <w:rsid w:val="00FB2D38"/>
    <w:rsid w:val="00FB35FD"/>
    <w:rsid w:val="00FB5230"/>
    <w:rsid w:val="00FB5E32"/>
    <w:rsid w:val="00FB7F76"/>
    <w:rsid w:val="00FC4799"/>
    <w:rsid w:val="00FC74E3"/>
    <w:rsid w:val="00FD071F"/>
    <w:rsid w:val="00FD0722"/>
    <w:rsid w:val="00FD5A72"/>
    <w:rsid w:val="00FD68E0"/>
    <w:rsid w:val="00FE6C24"/>
    <w:rsid w:val="00FE70E4"/>
    <w:rsid w:val="00FF1991"/>
    <w:rsid w:val="00FF1C96"/>
    <w:rsid w:val="00FF67E7"/>
    <w:rsid w:val="00FF736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0827"/>
  <w15:chartTrackingRefBased/>
  <w15:docId w15:val="{22CCDAC6-3445-48DF-961C-CD471AAB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5A"/>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02175A"/>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02175A"/>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02175A"/>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02175A"/>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175A"/>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02175A"/>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02175A"/>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02175A"/>
    <w:rPr>
      <w:rFonts w:ascii="Times New Roman" w:eastAsia="Times New Roman" w:hAnsi="Times New Roman" w:cs="Times New Roman"/>
      <w:bCs/>
      <w:sz w:val="24"/>
      <w:szCs w:val="28"/>
      <w:lang w:eastAsia="en-GB"/>
    </w:rPr>
  </w:style>
  <w:style w:type="character" w:styleId="CommentReference">
    <w:name w:val="annotation reference"/>
    <w:basedOn w:val="DefaultParagraphFont"/>
    <w:uiPriority w:val="99"/>
    <w:semiHidden/>
    <w:unhideWhenUsed/>
    <w:rsid w:val="0002175A"/>
    <w:rPr>
      <w:sz w:val="16"/>
      <w:szCs w:val="16"/>
    </w:rPr>
  </w:style>
  <w:style w:type="paragraph" w:styleId="CommentText">
    <w:name w:val="annotation text"/>
    <w:basedOn w:val="Normal"/>
    <w:link w:val="CommentTextChar"/>
    <w:uiPriority w:val="99"/>
    <w:unhideWhenUsed/>
    <w:rsid w:val="0002175A"/>
    <w:rPr>
      <w:sz w:val="20"/>
    </w:rPr>
  </w:style>
  <w:style w:type="character" w:customStyle="1" w:styleId="CommentTextChar">
    <w:name w:val="Comment Text Char"/>
    <w:basedOn w:val="DefaultParagraphFont"/>
    <w:link w:val="CommentText"/>
    <w:uiPriority w:val="99"/>
    <w:rsid w:val="0002175A"/>
    <w:rPr>
      <w:rFonts w:ascii="Times New Roman" w:eastAsia="Times New Roman" w:hAnsi="Times New Roman" w:cs="Times New Roman"/>
      <w:sz w:val="20"/>
      <w:szCs w:val="24"/>
      <w:lang w:eastAsia="en-GB"/>
    </w:rPr>
  </w:style>
  <w:style w:type="paragraph" w:styleId="CommentSubject">
    <w:name w:val="annotation subject"/>
    <w:basedOn w:val="CommentText"/>
    <w:next w:val="CommentText"/>
    <w:link w:val="CommentSubjectChar"/>
    <w:uiPriority w:val="99"/>
    <w:semiHidden/>
    <w:unhideWhenUsed/>
    <w:rsid w:val="0002175A"/>
    <w:rPr>
      <w:b/>
      <w:bCs/>
    </w:rPr>
  </w:style>
  <w:style w:type="character" w:customStyle="1" w:styleId="CommentSubjectChar">
    <w:name w:val="Comment Subject Char"/>
    <w:basedOn w:val="CommentTextChar"/>
    <w:link w:val="CommentSubject"/>
    <w:uiPriority w:val="99"/>
    <w:semiHidden/>
    <w:rsid w:val="0002175A"/>
    <w:rPr>
      <w:rFonts w:ascii="Times New Roman" w:eastAsia="Times New Roman" w:hAnsi="Times New Roman" w:cs="Times New Roman"/>
      <w:b/>
      <w:bCs/>
      <w:sz w:val="20"/>
      <w:szCs w:val="24"/>
      <w:lang w:eastAsia="en-GB"/>
    </w:rPr>
  </w:style>
  <w:style w:type="paragraph" w:styleId="Revision">
    <w:name w:val="Revision"/>
    <w:hidden/>
    <w:uiPriority w:val="99"/>
    <w:semiHidden/>
    <w:rsid w:val="0002175A"/>
    <w:pPr>
      <w:spacing w:after="0" w:line="240" w:lineRule="auto"/>
    </w:pPr>
    <w:rPr>
      <w:rFonts w:ascii="New York" w:eastAsia="Times New Roman" w:hAnsi="New York" w:cs="Times New Roman"/>
      <w:sz w:val="20"/>
      <w:szCs w:val="20"/>
      <w:lang w:eastAsia="zh-CN"/>
    </w:rPr>
  </w:style>
  <w:style w:type="paragraph" w:styleId="BalloonText">
    <w:name w:val="Balloon Text"/>
    <w:basedOn w:val="Normal"/>
    <w:link w:val="BalloonTextChar"/>
    <w:semiHidden/>
    <w:rsid w:val="0002175A"/>
    <w:rPr>
      <w:rFonts w:ascii="Tahoma" w:hAnsi="Tahoma" w:cs="Tahoma"/>
      <w:sz w:val="16"/>
      <w:szCs w:val="16"/>
    </w:rPr>
  </w:style>
  <w:style w:type="character" w:customStyle="1" w:styleId="BalloonTextChar">
    <w:name w:val="Balloon Text Char"/>
    <w:basedOn w:val="DefaultParagraphFont"/>
    <w:link w:val="BalloonText"/>
    <w:semiHidden/>
    <w:rsid w:val="0002175A"/>
    <w:rPr>
      <w:rFonts w:ascii="Tahoma" w:eastAsia="Times New Roman" w:hAnsi="Tahoma" w:cs="Tahoma"/>
      <w:sz w:val="16"/>
      <w:szCs w:val="16"/>
      <w:lang w:eastAsia="en-GB"/>
    </w:rPr>
  </w:style>
  <w:style w:type="paragraph" w:styleId="NoSpacing">
    <w:name w:val="No Spacing"/>
    <w:uiPriority w:val="1"/>
    <w:qFormat/>
    <w:rsid w:val="0002175A"/>
    <w:pPr>
      <w:spacing w:after="0" w:line="240" w:lineRule="auto"/>
      <w:jc w:val="both"/>
    </w:pPr>
    <w:rPr>
      <w:rFonts w:ascii="Times" w:hAnsi="Times" w:cs="Times New Roman"/>
      <w:sz w:val="24"/>
      <w:szCs w:val="20"/>
      <w:lang w:eastAsia="zh-CN"/>
    </w:rPr>
  </w:style>
  <w:style w:type="character" w:styleId="PlaceholderText">
    <w:name w:val="Placeholder Text"/>
    <w:basedOn w:val="DefaultParagraphFont"/>
    <w:uiPriority w:val="99"/>
    <w:semiHidden/>
    <w:rsid w:val="0002175A"/>
    <w:rPr>
      <w:color w:val="808080"/>
    </w:rPr>
  </w:style>
  <w:style w:type="paragraph" w:styleId="PlainText">
    <w:name w:val="Plain Text"/>
    <w:basedOn w:val="Normal"/>
    <w:link w:val="PlainTextChar"/>
    <w:uiPriority w:val="99"/>
    <w:unhideWhenUsed/>
    <w:rsid w:val="0002175A"/>
    <w:rPr>
      <w:rFonts w:ascii="Calibri" w:hAnsi="Calibri"/>
      <w:szCs w:val="21"/>
    </w:rPr>
  </w:style>
  <w:style w:type="character" w:customStyle="1" w:styleId="PlainTextChar">
    <w:name w:val="Plain Text Char"/>
    <w:basedOn w:val="DefaultParagraphFont"/>
    <w:link w:val="PlainText"/>
    <w:uiPriority w:val="99"/>
    <w:rsid w:val="0002175A"/>
    <w:rPr>
      <w:rFonts w:ascii="Calibri" w:eastAsia="Times New Roman" w:hAnsi="Calibri" w:cs="Times New Roman"/>
      <w:sz w:val="24"/>
      <w:szCs w:val="21"/>
      <w:lang w:eastAsia="en-GB"/>
    </w:rPr>
  </w:style>
  <w:style w:type="character" w:customStyle="1" w:styleId="apple-converted-space">
    <w:name w:val="apple-converted-space"/>
    <w:basedOn w:val="DefaultParagraphFont"/>
    <w:rsid w:val="0002175A"/>
  </w:style>
  <w:style w:type="character" w:styleId="Strong">
    <w:name w:val="Strong"/>
    <w:basedOn w:val="DefaultParagraphFont"/>
    <w:uiPriority w:val="22"/>
    <w:qFormat/>
    <w:rsid w:val="0002175A"/>
    <w:rPr>
      <w:b/>
      <w:bCs/>
    </w:rPr>
  </w:style>
  <w:style w:type="character" w:styleId="Hyperlink">
    <w:name w:val="Hyperlink"/>
    <w:rsid w:val="0002175A"/>
    <w:rPr>
      <w:color w:val="0000FF"/>
      <w:u w:val="single"/>
    </w:rPr>
  </w:style>
  <w:style w:type="paragraph" w:styleId="NormalWeb">
    <w:name w:val="Normal (Web)"/>
    <w:basedOn w:val="Normal"/>
    <w:uiPriority w:val="99"/>
    <w:semiHidden/>
    <w:unhideWhenUsed/>
    <w:rsid w:val="0002175A"/>
    <w:pPr>
      <w:spacing w:before="100" w:beforeAutospacing="1" w:after="100" w:afterAutospacing="1"/>
    </w:pPr>
  </w:style>
  <w:style w:type="paragraph" w:styleId="ListParagraph">
    <w:name w:val="List Paragraph"/>
    <w:basedOn w:val="Normal"/>
    <w:uiPriority w:val="34"/>
    <w:qFormat/>
    <w:rsid w:val="0002175A"/>
    <w:pPr>
      <w:ind w:left="720"/>
      <w:contextualSpacing/>
    </w:pPr>
  </w:style>
  <w:style w:type="table" w:styleId="TableGrid">
    <w:name w:val="Table Grid"/>
    <w:basedOn w:val="TableNormal"/>
    <w:uiPriority w:val="59"/>
    <w:rsid w:val="0002175A"/>
    <w:pPr>
      <w:spacing w:after="0" w:line="240" w:lineRule="auto"/>
    </w:pPr>
    <w:rPr>
      <w:rFonts w:ascii="New York" w:eastAsia="Times New Roman" w:hAnsi="New York"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c">
    <w:name w:val="strong-c"/>
    <w:basedOn w:val="DefaultParagraphFont"/>
    <w:rsid w:val="0002175A"/>
  </w:style>
  <w:style w:type="character" w:customStyle="1" w:styleId="normal-c">
    <w:name w:val="normal-c"/>
    <w:basedOn w:val="DefaultParagraphFont"/>
    <w:rsid w:val="0002175A"/>
  </w:style>
  <w:style w:type="character" w:styleId="LineNumber">
    <w:name w:val="line number"/>
    <w:basedOn w:val="DefaultParagraphFont"/>
    <w:uiPriority w:val="99"/>
    <w:semiHidden/>
    <w:unhideWhenUsed/>
    <w:rsid w:val="0002175A"/>
  </w:style>
  <w:style w:type="paragraph" w:styleId="Header">
    <w:name w:val="header"/>
    <w:basedOn w:val="Normal"/>
    <w:link w:val="HeaderChar"/>
    <w:rsid w:val="0002175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02175A"/>
    <w:rPr>
      <w:rFonts w:ascii="Times New Roman" w:eastAsia="Times New Roman" w:hAnsi="Times New Roman" w:cs="Times New Roman"/>
      <w:sz w:val="24"/>
      <w:szCs w:val="24"/>
      <w:lang w:eastAsia="en-GB"/>
    </w:rPr>
  </w:style>
  <w:style w:type="paragraph" w:styleId="Footer">
    <w:name w:val="footer"/>
    <w:basedOn w:val="Normal"/>
    <w:link w:val="FooterChar"/>
    <w:rsid w:val="0002175A"/>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02175A"/>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2175A"/>
    <w:rPr>
      <w:i/>
      <w:iCs/>
    </w:rPr>
  </w:style>
  <w:style w:type="paragraph" w:customStyle="1" w:styleId="EndNoteBibliographyTitle">
    <w:name w:val="EndNote Bibliography Title"/>
    <w:basedOn w:val="Normal"/>
    <w:link w:val="EndNoteBibliographyTitleChar"/>
    <w:rsid w:val="0002175A"/>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2175A"/>
    <w:rPr>
      <w:rFonts w:ascii="Calibri" w:eastAsia="Times New Roman" w:hAnsi="Calibri" w:cs="Calibri"/>
      <w:noProof/>
      <w:szCs w:val="24"/>
      <w:lang w:eastAsia="en-GB"/>
    </w:rPr>
  </w:style>
  <w:style w:type="paragraph" w:customStyle="1" w:styleId="EndNoteBibliography">
    <w:name w:val="EndNote Bibliography"/>
    <w:basedOn w:val="Normal"/>
    <w:link w:val="EndNoteBibliographyChar"/>
    <w:rsid w:val="0002175A"/>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02175A"/>
    <w:rPr>
      <w:rFonts w:ascii="Calibri" w:eastAsia="Times New Roman" w:hAnsi="Calibri" w:cs="Calibri"/>
      <w:noProof/>
      <w:szCs w:val="24"/>
      <w:lang w:eastAsia="en-GB"/>
    </w:rPr>
  </w:style>
  <w:style w:type="character" w:styleId="FollowedHyperlink">
    <w:name w:val="FollowedHyperlink"/>
    <w:rsid w:val="0002175A"/>
    <w:rPr>
      <w:color w:val="800080"/>
      <w:u w:val="single"/>
    </w:rPr>
  </w:style>
  <w:style w:type="paragraph" w:styleId="BodyText">
    <w:name w:val="Body Text"/>
    <w:basedOn w:val="Normal"/>
    <w:link w:val="BodyTextChar"/>
    <w:rsid w:val="0002175A"/>
    <w:pPr>
      <w:jc w:val="center"/>
    </w:pPr>
    <w:rPr>
      <w:b/>
      <w:sz w:val="40"/>
    </w:rPr>
  </w:style>
  <w:style w:type="character" w:customStyle="1" w:styleId="BodyTextChar">
    <w:name w:val="Body Text Char"/>
    <w:basedOn w:val="DefaultParagraphFont"/>
    <w:link w:val="BodyText"/>
    <w:rsid w:val="0002175A"/>
    <w:rPr>
      <w:rFonts w:ascii="Times New Roman" w:eastAsia="Times New Roman" w:hAnsi="Times New Roman" w:cs="Times New Roman"/>
      <w:b/>
      <w:sz w:val="40"/>
      <w:szCs w:val="24"/>
      <w:lang w:eastAsia="en-GB"/>
    </w:rPr>
  </w:style>
  <w:style w:type="paragraph" w:styleId="FootnoteText">
    <w:name w:val="footnote text"/>
    <w:basedOn w:val="Normal"/>
    <w:link w:val="FootnoteTextChar"/>
    <w:autoRedefine/>
    <w:rsid w:val="0002175A"/>
    <w:pPr>
      <w:ind w:left="284" w:hanging="284"/>
    </w:pPr>
    <w:rPr>
      <w:sz w:val="22"/>
      <w:szCs w:val="20"/>
    </w:rPr>
  </w:style>
  <w:style w:type="character" w:customStyle="1" w:styleId="FootnoteTextChar">
    <w:name w:val="Footnote Text Char"/>
    <w:basedOn w:val="DefaultParagraphFont"/>
    <w:link w:val="FootnoteText"/>
    <w:rsid w:val="0002175A"/>
    <w:rPr>
      <w:rFonts w:ascii="Times New Roman" w:eastAsia="Times New Roman" w:hAnsi="Times New Roman" w:cs="Times New Roman"/>
      <w:szCs w:val="20"/>
      <w:lang w:eastAsia="en-GB"/>
    </w:rPr>
  </w:style>
  <w:style w:type="paragraph" w:customStyle="1" w:styleId="TFReferencesSection">
    <w:name w:val="TF_References_Section"/>
    <w:basedOn w:val="Normal"/>
    <w:rsid w:val="0002175A"/>
    <w:pPr>
      <w:ind w:firstLine="187"/>
    </w:pPr>
  </w:style>
  <w:style w:type="paragraph" w:customStyle="1" w:styleId="TAMainText">
    <w:name w:val="TA_Main_Text"/>
    <w:basedOn w:val="Normal"/>
    <w:rsid w:val="0002175A"/>
    <w:pPr>
      <w:ind w:firstLine="202"/>
    </w:pPr>
  </w:style>
  <w:style w:type="paragraph" w:customStyle="1" w:styleId="BATitle">
    <w:name w:val="BA_Title"/>
    <w:basedOn w:val="Normal"/>
    <w:next w:val="BBAuthorName"/>
    <w:rsid w:val="0002175A"/>
    <w:pPr>
      <w:spacing w:before="720" w:after="360"/>
      <w:jc w:val="center"/>
    </w:pPr>
    <w:rPr>
      <w:sz w:val="44"/>
    </w:rPr>
  </w:style>
  <w:style w:type="paragraph" w:customStyle="1" w:styleId="BBAuthorName">
    <w:name w:val="BB_Author_Name"/>
    <w:basedOn w:val="Normal"/>
    <w:next w:val="BCAuthorAddress"/>
    <w:rsid w:val="0002175A"/>
    <w:pPr>
      <w:spacing w:after="240"/>
      <w:jc w:val="center"/>
    </w:pPr>
    <w:rPr>
      <w:i/>
    </w:rPr>
  </w:style>
  <w:style w:type="paragraph" w:customStyle="1" w:styleId="BCAuthorAddress">
    <w:name w:val="BC_Author_Address"/>
    <w:basedOn w:val="Normal"/>
    <w:next w:val="BIEmailAddress"/>
    <w:rsid w:val="0002175A"/>
    <w:pPr>
      <w:spacing w:after="240"/>
      <w:jc w:val="center"/>
    </w:pPr>
  </w:style>
  <w:style w:type="paragraph" w:customStyle="1" w:styleId="BIEmailAddress">
    <w:name w:val="BI_Email_Address"/>
    <w:basedOn w:val="Normal"/>
    <w:next w:val="AIReceivedDate"/>
    <w:rsid w:val="0002175A"/>
  </w:style>
  <w:style w:type="paragraph" w:customStyle="1" w:styleId="AIReceivedDate">
    <w:name w:val="AI_Received_Date"/>
    <w:basedOn w:val="Normal"/>
    <w:next w:val="BDAbstract"/>
    <w:rsid w:val="0002175A"/>
    <w:pPr>
      <w:spacing w:after="240"/>
    </w:pPr>
    <w:rPr>
      <w:b/>
    </w:rPr>
  </w:style>
  <w:style w:type="paragraph" w:customStyle="1" w:styleId="BDAbstract">
    <w:name w:val="BD_Abstract"/>
    <w:basedOn w:val="Normal"/>
    <w:next w:val="TAMainText"/>
    <w:rsid w:val="0002175A"/>
    <w:pPr>
      <w:spacing w:before="360" w:after="360"/>
    </w:pPr>
  </w:style>
  <w:style w:type="paragraph" w:customStyle="1" w:styleId="TDAcknowledgments">
    <w:name w:val="TD_Acknowledgments"/>
    <w:basedOn w:val="Normal"/>
    <w:next w:val="Normal"/>
    <w:rsid w:val="0002175A"/>
    <w:pPr>
      <w:spacing w:before="200"/>
      <w:ind w:firstLine="202"/>
    </w:pPr>
  </w:style>
  <w:style w:type="paragraph" w:customStyle="1" w:styleId="TESupportingInformation">
    <w:name w:val="TE_Supporting_Information"/>
    <w:basedOn w:val="Normal"/>
    <w:next w:val="Normal"/>
    <w:rsid w:val="0002175A"/>
    <w:pPr>
      <w:ind w:firstLine="187"/>
    </w:pPr>
  </w:style>
  <w:style w:type="paragraph" w:customStyle="1" w:styleId="VCSchemeTitle">
    <w:name w:val="VC_Scheme_Title"/>
    <w:basedOn w:val="Normal"/>
    <w:next w:val="Normal"/>
    <w:rsid w:val="0002175A"/>
  </w:style>
  <w:style w:type="paragraph" w:customStyle="1" w:styleId="VDTableTitle">
    <w:name w:val="VD_Table_Title"/>
    <w:basedOn w:val="Normal"/>
    <w:next w:val="Normal"/>
    <w:rsid w:val="0002175A"/>
  </w:style>
  <w:style w:type="paragraph" w:customStyle="1" w:styleId="VAFigureCaption">
    <w:name w:val="VA_Figure_Caption"/>
    <w:basedOn w:val="Normal"/>
    <w:next w:val="Normal"/>
    <w:rsid w:val="0002175A"/>
  </w:style>
  <w:style w:type="paragraph" w:customStyle="1" w:styleId="VBChartTitle">
    <w:name w:val="VB_Chart_Title"/>
    <w:basedOn w:val="Normal"/>
    <w:next w:val="Normal"/>
    <w:rsid w:val="0002175A"/>
  </w:style>
  <w:style w:type="paragraph" w:customStyle="1" w:styleId="FETableFootnote">
    <w:name w:val="FE_Table_Footnote"/>
    <w:basedOn w:val="Normal"/>
    <w:next w:val="Normal"/>
    <w:rsid w:val="0002175A"/>
    <w:pPr>
      <w:ind w:firstLine="187"/>
    </w:pPr>
  </w:style>
  <w:style w:type="paragraph" w:customStyle="1" w:styleId="FCChartFootnote">
    <w:name w:val="FC_Chart_Footnote"/>
    <w:basedOn w:val="Normal"/>
    <w:next w:val="Normal"/>
    <w:rsid w:val="0002175A"/>
    <w:pPr>
      <w:ind w:firstLine="187"/>
    </w:pPr>
  </w:style>
  <w:style w:type="paragraph" w:customStyle="1" w:styleId="FDSchemeFootnote">
    <w:name w:val="FD_Scheme_Footnote"/>
    <w:basedOn w:val="Normal"/>
    <w:next w:val="Normal"/>
    <w:rsid w:val="0002175A"/>
    <w:pPr>
      <w:ind w:firstLine="187"/>
    </w:pPr>
  </w:style>
  <w:style w:type="paragraph" w:customStyle="1" w:styleId="TCTableBody">
    <w:name w:val="TC_Table_Body"/>
    <w:basedOn w:val="Normal"/>
    <w:rsid w:val="0002175A"/>
  </w:style>
  <w:style w:type="paragraph" w:customStyle="1" w:styleId="AFTitleRunningHead">
    <w:name w:val="AF_Title_Running_Head"/>
    <w:basedOn w:val="Normal"/>
    <w:next w:val="TAMainText"/>
    <w:rsid w:val="0002175A"/>
  </w:style>
  <w:style w:type="paragraph" w:customStyle="1" w:styleId="BEAuthorBiography">
    <w:name w:val="BE_Author_Biography"/>
    <w:basedOn w:val="Normal"/>
    <w:rsid w:val="0002175A"/>
  </w:style>
  <w:style w:type="paragraph" w:customStyle="1" w:styleId="FACorrespondingAuthorFootnote">
    <w:name w:val="FA_Corresponding_Author_Footnote"/>
    <w:basedOn w:val="Normal"/>
    <w:next w:val="TAMainText"/>
    <w:rsid w:val="0002175A"/>
  </w:style>
  <w:style w:type="paragraph" w:customStyle="1" w:styleId="SNSynopsisTOC">
    <w:name w:val="SN_Synopsis_TOC"/>
    <w:basedOn w:val="Normal"/>
    <w:rsid w:val="0002175A"/>
  </w:style>
  <w:style w:type="paragraph" w:customStyle="1" w:styleId="BGKeywords">
    <w:name w:val="BG_Keywords"/>
    <w:basedOn w:val="Normal"/>
    <w:rsid w:val="0002175A"/>
  </w:style>
  <w:style w:type="paragraph" w:customStyle="1" w:styleId="BHBriefs">
    <w:name w:val="BH_Briefs"/>
    <w:basedOn w:val="Normal"/>
    <w:rsid w:val="0002175A"/>
  </w:style>
  <w:style w:type="character" w:styleId="PageNumber">
    <w:name w:val="page number"/>
    <w:basedOn w:val="DefaultParagraphFont"/>
    <w:rsid w:val="0002175A"/>
  </w:style>
  <w:style w:type="paragraph" w:customStyle="1" w:styleId="StyleFACorrespondingAuthorFootnote7pt">
    <w:name w:val="Style FA_Corresponding_Author_Footnote + 7 pt"/>
    <w:basedOn w:val="Normal"/>
    <w:next w:val="BGKeywords"/>
    <w:link w:val="StyleFACorrespondingAuthorFootnote7ptChar"/>
    <w:autoRedefine/>
    <w:rsid w:val="0002175A"/>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02175A"/>
    <w:rPr>
      <w:rFonts w:ascii="Arno Pro" w:eastAsia="Times New Roman" w:hAnsi="Arno Pro" w:cs="Times New Roman"/>
      <w:kern w:val="20"/>
      <w:sz w:val="18"/>
      <w:szCs w:val="24"/>
      <w:lang w:eastAsia="en-GB"/>
    </w:rPr>
  </w:style>
  <w:style w:type="paragraph" w:customStyle="1" w:styleId="FAAuthorInfoSubtitle">
    <w:name w:val="FA_Author_Info_Subtitle"/>
    <w:basedOn w:val="Normal"/>
    <w:link w:val="FAAuthorInfoSubtitleChar"/>
    <w:autoRedefine/>
    <w:rsid w:val="0002175A"/>
    <w:pPr>
      <w:spacing w:before="120" w:after="60"/>
    </w:pPr>
    <w:rPr>
      <w:b/>
    </w:rPr>
  </w:style>
  <w:style w:type="character" w:customStyle="1" w:styleId="FAAuthorInfoSubtitleChar">
    <w:name w:val="FA_Author_Info_Subtitle Char"/>
    <w:link w:val="FAAuthorInfoSubtitle"/>
    <w:rsid w:val="0002175A"/>
    <w:rPr>
      <w:rFonts w:ascii="Times New Roman" w:eastAsia="Times New Roman" w:hAnsi="Times New Roman" w:cs="Times New Roman"/>
      <w:b/>
      <w:sz w:val="24"/>
      <w:szCs w:val="24"/>
      <w:lang w:eastAsia="en-GB"/>
    </w:rPr>
  </w:style>
  <w:style w:type="paragraph" w:customStyle="1" w:styleId="Default">
    <w:name w:val="Default"/>
    <w:rsid w:val="0002175A"/>
    <w:pPr>
      <w:autoSpaceDE w:val="0"/>
      <w:autoSpaceDN w:val="0"/>
      <w:adjustRightInd w:val="0"/>
      <w:spacing w:after="0" w:line="240" w:lineRule="auto"/>
    </w:pPr>
    <w:rPr>
      <w:rFonts w:ascii="Symbol" w:eastAsia="Times New Roman" w:hAnsi="Symbol" w:cs="Symbol"/>
      <w:color w:val="000000"/>
      <w:sz w:val="24"/>
      <w:szCs w:val="24"/>
      <w:lang w:val="en-US"/>
    </w:rPr>
  </w:style>
  <w:style w:type="character" w:customStyle="1" w:styleId="hlfld-contribauthor">
    <w:name w:val="hlfld-contribauthor"/>
    <w:basedOn w:val="DefaultParagraphFont"/>
    <w:rsid w:val="0002175A"/>
  </w:style>
  <w:style w:type="character" w:customStyle="1" w:styleId="nlmgiven-names">
    <w:name w:val="nlm_given-names"/>
    <w:basedOn w:val="DefaultParagraphFont"/>
    <w:rsid w:val="0002175A"/>
  </w:style>
  <w:style w:type="character" w:customStyle="1" w:styleId="nlmyear">
    <w:name w:val="nlm_year"/>
    <w:basedOn w:val="DefaultParagraphFont"/>
    <w:rsid w:val="0002175A"/>
  </w:style>
  <w:style w:type="character" w:customStyle="1" w:styleId="UnresolvedMention1">
    <w:name w:val="Unresolved Mention1"/>
    <w:basedOn w:val="DefaultParagraphFont"/>
    <w:uiPriority w:val="99"/>
    <w:semiHidden/>
    <w:unhideWhenUsed/>
    <w:rsid w:val="0002175A"/>
    <w:rPr>
      <w:color w:val="808080"/>
      <w:shd w:val="clear" w:color="auto" w:fill="E6E6E6"/>
    </w:rPr>
  </w:style>
  <w:style w:type="character" w:customStyle="1" w:styleId="UnresolvedMention2">
    <w:name w:val="Unresolved Mention2"/>
    <w:basedOn w:val="DefaultParagraphFont"/>
    <w:uiPriority w:val="99"/>
    <w:semiHidden/>
    <w:unhideWhenUsed/>
    <w:rsid w:val="0002175A"/>
    <w:rPr>
      <w:color w:val="808080"/>
      <w:shd w:val="clear" w:color="auto" w:fill="E6E6E6"/>
    </w:rPr>
  </w:style>
  <w:style w:type="character" w:customStyle="1" w:styleId="UnresolvedMention3">
    <w:name w:val="Unresolved Mention3"/>
    <w:basedOn w:val="DefaultParagraphFont"/>
    <w:uiPriority w:val="99"/>
    <w:semiHidden/>
    <w:unhideWhenUsed/>
    <w:rsid w:val="0002175A"/>
    <w:rPr>
      <w:color w:val="605E5C"/>
      <w:shd w:val="clear" w:color="auto" w:fill="E1DFDD"/>
    </w:rPr>
  </w:style>
  <w:style w:type="paragraph" w:customStyle="1" w:styleId="Articletitle">
    <w:name w:val="Article title"/>
    <w:basedOn w:val="Normal"/>
    <w:next w:val="Normal"/>
    <w:qFormat/>
    <w:rsid w:val="0002175A"/>
    <w:pPr>
      <w:spacing w:after="120" w:line="360" w:lineRule="auto"/>
    </w:pPr>
    <w:rPr>
      <w:b/>
      <w:sz w:val="28"/>
    </w:rPr>
  </w:style>
  <w:style w:type="paragraph" w:customStyle="1" w:styleId="Authornames">
    <w:name w:val="Author names"/>
    <w:basedOn w:val="Normal"/>
    <w:next w:val="Normal"/>
    <w:qFormat/>
    <w:rsid w:val="0002175A"/>
    <w:pPr>
      <w:spacing w:before="240" w:line="360" w:lineRule="auto"/>
    </w:pPr>
    <w:rPr>
      <w:sz w:val="28"/>
    </w:rPr>
  </w:style>
  <w:style w:type="paragraph" w:customStyle="1" w:styleId="Affiliation">
    <w:name w:val="Affiliation"/>
    <w:basedOn w:val="Normal"/>
    <w:qFormat/>
    <w:rsid w:val="0002175A"/>
    <w:pPr>
      <w:spacing w:before="240" w:line="360" w:lineRule="auto"/>
    </w:pPr>
    <w:rPr>
      <w:i/>
    </w:rPr>
  </w:style>
  <w:style w:type="paragraph" w:customStyle="1" w:styleId="Receiveddates">
    <w:name w:val="Received dates"/>
    <w:basedOn w:val="Affiliation"/>
    <w:next w:val="Normal"/>
    <w:qFormat/>
    <w:rsid w:val="0002175A"/>
  </w:style>
  <w:style w:type="paragraph" w:customStyle="1" w:styleId="Abstract">
    <w:name w:val="Abstract"/>
    <w:basedOn w:val="Normal"/>
    <w:next w:val="Keywords"/>
    <w:qFormat/>
    <w:rsid w:val="0002175A"/>
    <w:pPr>
      <w:spacing w:before="360" w:after="300" w:line="360" w:lineRule="auto"/>
      <w:ind w:left="720" w:right="567"/>
    </w:pPr>
    <w:rPr>
      <w:sz w:val="22"/>
    </w:rPr>
  </w:style>
  <w:style w:type="paragraph" w:customStyle="1" w:styleId="Keywords">
    <w:name w:val="Keywords"/>
    <w:basedOn w:val="Normal"/>
    <w:next w:val="Paragraph"/>
    <w:qFormat/>
    <w:rsid w:val="0002175A"/>
    <w:pPr>
      <w:spacing w:before="240" w:after="240" w:line="360" w:lineRule="auto"/>
      <w:ind w:left="720" w:right="567"/>
    </w:pPr>
    <w:rPr>
      <w:sz w:val="22"/>
    </w:rPr>
  </w:style>
  <w:style w:type="paragraph" w:customStyle="1" w:styleId="Correspondencedetails">
    <w:name w:val="Correspondence details"/>
    <w:basedOn w:val="Normal"/>
    <w:qFormat/>
    <w:rsid w:val="0002175A"/>
    <w:pPr>
      <w:spacing w:before="240" w:line="360" w:lineRule="auto"/>
    </w:pPr>
  </w:style>
  <w:style w:type="paragraph" w:customStyle="1" w:styleId="Displayedquotation">
    <w:name w:val="Displayed quotation"/>
    <w:basedOn w:val="Normal"/>
    <w:qFormat/>
    <w:rsid w:val="0002175A"/>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02175A"/>
    <w:pPr>
      <w:widowControl/>
      <w:numPr>
        <w:numId w:val="28"/>
      </w:numPr>
      <w:spacing w:after="240"/>
      <w:contextualSpacing/>
    </w:pPr>
  </w:style>
  <w:style w:type="paragraph" w:customStyle="1" w:styleId="Displayedequation">
    <w:name w:val="Displayed equation"/>
    <w:basedOn w:val="Normal"/>
    <w:next w:val="Paragraph"/>
    <w:qFormat/>
    <w:rsid w:val="0002175A"/>
    <w:pPr>
      <w:tabs>
        <w:tab w:val="center" w:pos="4253"/>
        <w:tab w:val="right" w:pos="8222"/>
      </w:tabs>
      <w:spacing w:before="240" w:after="240"/>
      <w:jc w:val="center"/>
    </w:pPr>
  </w:style>
  <w:style w:type="paragraph" w:customStyle="1" w:styleId="Acknowledgements">
    <w:name w:val="Acknowledgements"/>
    <w:basedOn w:val="Normal"/>
    <w:next w:val="Normal"/>
    <w:qFormat/>
    <w:rsid w:val="0002175A"/>
    <w:pPr>
      <w:spacing w:before="120" w:line="360" w:lineRule="auto"/>
    </w:pPr>
    <w:rPr>
      <w:sz w:val="22"/>
    </w:rPr>
  </w:style>
  <w:style w:type="paragraph" w:customStyle="1" w:styleId="Tabletitle">
    <w:name w:val="Table title"/>
    <w:basedOn w:val="Normal"/>
    <w:next w:val="Normal"/>
    <w:qFormat/>
    <w:rsid w:val="0002175A"/>
    <w:pPr>
      <w:spacing w:before="240" w:line="360" w:lineRule="auto"/>
    </w:pPr>
  </w:style>
  <w:style w:type="paragraph" w:customStyle="1" w:styleId="Figurecaption">
    <w:name w:val="Figure caption"/>
    <w:basedOn w:val="Normal"/>
    <w:next w:val="Normal"/>
    <w:qFormat/>
    <w:rsid w:val="0002175A"/>
    <w:pPr>
      <w:spacing w:before="240" w:line="360" w:lineRule="auto"/>
    </w:pPr>
  </w:style>
  <w:style w:type="paragraph" w:customStyle="1" w:styleId="Footnotes">
    <w:name w:val="Footnotes"/>
    <w:basedOn w:val="Normal"/>
    <w:qFormat/>
    <w:rsid w:val="0002175A"/>
    <w:pPr>
      <w:spacing w:before="120" w:line="360" w:lineRule="auto"/>
      <w:ind w:left="482" w:hanging="482"/>
      <w:contextualSpacing/>
    </w:pPr>
    <w:rPr>
      <w:sz w:val="22"/>
    </w:rPr>
  </w:style>
  <w:style w:type="paragraph" w:customStyle="1" w:styleId="Notesoncontributors">
    <w:name w:val="Notes on contributors"/>
    <w:basedOn w:val="Normal"/>
    <w:qFormat/>
    <w:rsid w:val="0002175A"/>
    <w:pPr>
      <w:spacing w:before="240" w:line="360" w:lineRule="auto"/>
    </w:pPr>
    <w:rPr>
      <w:sz w:val="22"/>
    </w:rPr>
  </w:style>
  <w:style w:type="paragraph" w:customStyle="1" w:styleId="Normalparagraphstyle">
    <w:name w:val="Normal paragraph style"/>
    <w:basedOn w:val="Normal"/>
    <w:next w:val="Normal"/>
    <w:rsid w:val="0002175A"/>
  </w:style>
  <w:style w:type="paragraph" w:customStyle="1" w:styleId="Paragraph">
    <w:name w:val="Paragraph"/>
    <w:basedOn w:val="Normal"/>
    <w:next w:val="Newparagraph"/>
    <w:qFormat/>
    <w:rsid w:val="0002175A"/>
    <w:pPr>
      <w:widowControl w:val="0"/>
      <w:spacing w:before="240"/>
    </w:pPr>
  </w:style>
  <w:style w:type="paragraph" w:customStyle="1" w:styleId="Newparagraph">
    <w:name w:val="New paragraph"/>
    <w:basedOn w:val="Normal"/>
    <w:qFormat/>
    <w:rsid w:val="0002175A"/>
    <w:pPr>
      <w:ind w:firstLine="720"/>
    </w:pPr>
  </w:style>
  <w:style w:type="paragraph" w:styleId="NormalIndent">
    <w:name w:val="Normal Indent"/>
    <w:basedOn w:val="Normal"/>
    <w:rsid w:val="0002175A"/>
    <w:pPr>
      <w:ind w:left="720"/>
    </w:pPr>
  </w:style>
  <w:style w:type="paragraph" w:customStyle="1" w:styleId="References">
    <w:name w:val="References"/>
    <w:basedOn w:val="Normal"/>
    <w:qFormat/>
    <w:rsid w:val="0002175A"/>
    <w:pPr>
      <w:spacing w:before="120" w:line="360" w:lineRule="auto"/>
      <w:ind w:left="720" w:hanging="720"/>
      <w:contextualSpacing/>
    </w:pPr>
  </w:style>
  <w:style w:type="paragraph" w:customStyle="1" w:styleId="Subjectcodes">
    <w:name w:val="Subject codes"/>
    <w:basedOn w:val="Keywords"/>
    <w:next w:val="Paragraph"/>
    <w:qFormat/>
    <w:rsid w:val="0002175A"/>
  </w:style>
  <w:style w:type="paragraph" w:customStyle="1" w:styleId="Bulletedlist">
    <w:name w:val="Bulleted list"/>
    <w:basedOn w:val="Paragraph"/>
    <w:next w:val="Paragraph"/>
    <w:qFormat/>
    <w:rsid w:val="0002175A"/>
    <w:pPr>
      <w:widowControl/>
      <w:numPr>
        <w:numId w:val="29"/>
      </w:numPr>
      <w:spacing w:after="240"/>
      <w:contextualSpacing/>
    </w:pPr>
  </w:style>
  <w:style w:type="character" w:styleId="FootnoteReference">
    <w:name w:val="footnote reference"/>
    <w:basedOn w:val="DefaultParagraphFont"/>
    <w:rsid w:val="0002175A"/>
    <w:rPr>
      <w:vertAlign w:val="superscript"/>
    </w:rPr>
  </w:style>
  <w:style w:type="paragraph" w:styleId="EndnoteText">
    <w:name w:val="endnote text"/>
    <w:basedOn w:val="Normal"/>
    <w:link w:val="EndnoteTextChar"/>
    <w:autoRedefine/>
    <w:rsid w:val="0002175A"/>
    <w:pPr>
      <w:ind w:left="284" w:hanging="284"/>
    </w:pPr>
    <w:rPr>
      <w:sz w:val="22"/>
      <w:szCs w:val="20"/>
    </w:rPr>
  </w:style>
  <w:style w:type="character" w:customStyle="1" w:styleId="EndnoteTextChar">
    <w:name w:val="Endnote Text Char"/>
    <w:basedOn w:val="DefaultParagraphFont"/>
    <w:link w:val="EndnoteText"/>
    <w:rsid w:val="0002175A"/>
    <w:rPr>
      <w:rFonts w:ascii="Times New Roman" w:eastAsia="Times New Roman" w:hAnsi="Times New Roman" w:cs="Times New Roman"/>
      <w:szCs w:val="20"/>
      <w:lang w:eastAsia="en-GB"/>
    </w:rPr>
  </w:style>
  <w:style w:type="character" w:styleId="EndnoteReference">
    <w:name w:val="endnote reference"/>
    <w:basedOn w:val="DefaultParagraphFont"/>
    <w:rsid w:val="0002175A"/>
    <w:rPr>
      <w:vertAlign w:val="superscript"/>
    </w:rPr>
  </w:style>
  <w:style w:type="paragraph" w:customStyle="1" w:styleId="Heading4Paragraph">
    <w:name w:val="Heading 4 + Paragraph"/>
    <w:basedOn w:val="Paragraph"/>
    <w:next w:val="Newparagraph"/>
    <w:qFormat/>
    <w:rsid w:val="0002175A"/>
    <w:pPr>
      <w:widowControl/>
      <w:spacing w:before="360"/>
    </w:pPr>
  </w:style>
  <w:style w:type="character" w:styleId="UnresolvedMention">
    <w:name w:val="Unresolved Mention"/>
    <w:basedOn w:val="DefaultParagraphFont"/>
    <w:uiPriority w:val="99"/>
    <w:semiHidden/>
    <w:unhideWhenUsed/>
    <w:rsid w:val="0002175A"/>
    <w:rPr>
      <w:color w:val="605E5C"/>
      <w:shd w:val="clear" w:color="auto" w:fill="E1DFDD"/>
    </w:rPr>
  </w:style>
  <w:style w:type="character" w:customStyle="1" w:styleId="authors">
    <w:name w:val="authors"/>
    <w:basedOn w:val="DefaultParagraphFont"/>
    <w:rsid w:val="00F10B6A"/>
  </w:style>
  <w:style w:type="character" w:customStyle="1" w:styleId="Date1">
    <w:name w:val="Date1"/>
    <w:basedOn w:val="DefaultParagraphFont"/>
    <w:rsid w:val="00F10B6A"/>
  </w:style>
  <w:style w:type="character" w:customStyle="1" w:styleId="arttitle">
    <w:name w:val="art_title"/>
    <w:basedOn w:val="DefaultParagraphFont"/>
    <w:rsid w:val="00F10B6A"/>
  </w:style>
  <w:style w:type="character" w:customStyle="1" w:styleId="serialtitle">
    <w:name w:val="serial_title"/>
    <w:basedOn w:val="DefaultParagraphFont"/>
    <w:rsid w:val="00F10B6A"/>
  </w:style>
  <w:style w:type="character" w:customStyle="1" w:styleId="volumeissue">
    <w:name w:val="volume_issue"/>
    <w:basedOn w:val="DefaultParagraphFont"/>
    <w:rsid w:val="00F10B6A"/>
  </w:style>
  <w:style w:type="character" w:customStyle="1" w:styleId="pagerange">
    <w:name w:val="page_range"/>
    <w:basedOn w:val="DefaultParagraphFont"/>
    <w:rsid w:val="00F10B6A"/>
  </w:style>
  <w:style w:type="character" w:customStyle="1" w:styleId="doilink">
    <w:name w:val="doi_link"/>
    <w:basedOn w:val="DefaultParagraphFont"/>
    <w:rsid w:val="00F1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91">
      <w:bodyDiv w:val="1"/>
      <w:marLeft w:val="0"/>
      <w:marRight w:val="0"/>
      <w:marTop w:val="0"/>
      <w:marBottom w:val="0"/>
      <w:divBdr>
        <w:top w:val="none" w:sz="0" w:space="0" w:color="auto"/>
        <w:left w:val="none" w:sz="0" w:space="0" w:color="auto"/>
        <w:bottom w:val="none" w:sz="0" w:space="0" w:color="auto"/>
        <w:right w:val="none" w:sz="0" w:space="0" w:color="auto"/>
      </w:divBdr>
    </w:div>
    <w:div w:id="370611305">
      <w:bodyDiv w:val="1"/>
      <w:marLeft w:val="0"/>
      <w:marRight w:val="0"/>
      <w:marTop w:val="0"/>
      <w:marBottom w:val="0"/>
      <w:divBdr>
        <w:top w:val="none" w:sz="0" w:space="0" w:color="auto"/>
        <w:left w:val="none" w:sz="0" w:space="0" w:color="auto"/>
        <w:bottom w:val="none" w:sz="0" w:space="0" w:color="auto"/>
        <w:right w:val="none" w:sz="0" w:space="0" w:color="auto"/>
      </w:divBdr>
    </w:div>
    <w:div w:id="708991171">
      <w:bodyDiv w:val="1"/>
      <w:marLeft w:val="0"/>
      <w:marRight w:val="0"/>
      <w:marTop w:val="0"/>
      <w:marBottom w:val="0"/>
      <w:divBdr>
        <w:top w:val="none" w:sz="0" w:space="0" w:color="auto"/>
        <w:left w:val="none" w:sz="0" w:space="0" w:color="auto"/>
        <w:bottom w:val="none" w:sz="0" w:space="0" w:color="auto"/>
        <w:right w:val="none" w:sz="0" w:space="0" w:color="auto"/>
      </w:divBdr>
    </w:div>
    <w:div w:id="741761091">
      <w:bodyDiv w:val="1"/>
      <w:marLeft w:val="0"/>
      <w:marRight w:val="0"/>
      <w:marTop w:val="0"/>
      <w:marBottom w:val="0"/>
      <w:divBdr>
        <w:top w:val="none" w:sz="0" w:space="0" w:color="auto"/>
        <w:left w:val="none" w:sz="0" w:space="0" w:color="auto"/>
        <w:bottom w:val="none" w:sz="0" w:space="0" w:color="auto"/>
        <w:right w:val="none" w:sz="0" w:space="0" w:color="auto"/>
      </w:divBdr>
      <w:divsChild>
        <w:div w:id="1876700614">
          <w:marLeft w:val="0"/>
          <w:marRight w:val="0"/>
          <w:marTop w:val="0"/>
          <w:marBottom w:val="0"/>
          <w:divBdr>
            <w:top w:val="none" w:sz="0" w:space="0" w:color="auto"/>
            <w:left w:val="none" w:sz="0" w:space="0" w:color="auto"/>
            <w:bottom w:val="none" w:sz="0" w:space="0" w:color="auto"/>
            <w:right w:val="none" w:sz="0" w:space="0" w:color="auto"/>
          </w:divBdr>
        </w:div>
      </w:divsChild>
    </w:div>
    <w:div w:id="1417826656">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768622549">
      <w:bodyDiv w:val="1"/>
      <w:marLeft w:val="0"/>
      <w:marRight w:val="0"/>
      <w:marTop w:val="0"/>
      <w:marBottom w:val="0"/>
      <w:divBdr>
        <w:top w:val="none" w:sz="0" w:space="0" w:color="auto"/>
        <w:left w:val="none" w:sz="0" w:space="0" w:color="auto"/>
        <w:bottom w:val="none" w:sz="0" w:space="0" w:color="auto"/>
        <w:right w:val="none" w:sz="0" w:space="0" w:color="auto"/>
      </w:divBdr>
    </w:div>
    <w:div w:id="1837722678">
      <w:bodyDiv w:val="1"/>
      <w:marLeft w:val="0"/>
      <w:marRight w:val="0"/>
      <w:marTop w:val="0"/>
      <w:marBottom w:val="0"/>
      <w:divBdr>
        <w:top w:val="none" w:sz="0" w:space="0" w:color="auto"/>
        <w:left w:val="none" w:sz="0" w:space="0" w:color="auto"/>
        <w:bottom w:val="none" w:sz="0" w:space="0" w:color="auto"/>
        <w:right w:val="none" w:sz="0" w:space="0" w:color="auto"/>
      </w:divBdr>
    </w:div>
    <w:div w:id="20553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dplastics.com/delrin/delrin%5b1%5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sj.com/articles/shipowners-seek-to-slow-services-to-meet-emissions-limits-115574806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2F6ED46F6B944AB1357D1F6FD6289" ma:contentTypeVersion="13" ma:contentTypeDescription="Create a new document." ma:contentTypeScope="" ma:versionID="743b4971b6a4dd229cef5d3fa8969392">
  <xsd:schema xmlns:xsd="http://www.w3.org/2001/XMLSchema" xmlns:xs="http://www.w3.org/2001/XMLSchema" xmlns:p="http://schemas.microsoft.com/office/2006/metadata/properties" xmlns:ns3="698e05cf-807a-4609-b4a0-cb865f8e59ed" xmlns:ns4="ba0c42fe-c384-4e5c-8b7e-39f835aa499b" targetNamespace="http://schemas.microsoft.com/office/2006/metadata/properties" ma:root="true" ma:fieldsID="7ffc75223184aab63465f8c68bd2d1a9" ns3:_="" ns4:_="">
    <xsd:import namespace="698e05cf-807a-4609-b4a0-cb865f8e59ed"/>
    <xsd:import namespace="ba0c42fe-c384-4e5c-8b7e-39f835aa4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e05cf-807a-4609-b4a0-cb865f8e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c42fe-c384-4e5c-8b7e-39f835aa49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28B28-7795-426A-9F88-92A7EC5FB047}">
  <ds:schemaRefs>
    <ds:schemaRef ds:uri="http://schemas.openxmlformats.org/officeDocument/2006/bibliography"/>
  </ds:schemaRefs>
</ds:datastoreItem>
</file>

<file path=customXml/itemProps2.xml><?xml version="1.0" encoding="utf-8"?>
<ds:datastoreItem xmlns:ds="http://schemas.openxmlformats.org/officeDocument/2006/customXml" ds:itemID="{8E6F5FB3-7EA5-4896-A37A-BED8760F624F}">
  <ds:schemaRefs>
    <ds:schemaRef ds:uri="http://purl.org/dc/dcmitype/"/>
    <ds:schemaRef ds:uri="http://schemas.microsoft.com/office/infopath/2007/PartnerControls"/>
    <ds:schemaRef ds:uri="http://purl.org/dc/terms/"/>
    <ds:schemaRef ds:uri="ba0c42fe-c384-4e5c-8b7e-39f835aa499b"/>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98e05cf-807a-4609-b4a0-cb865f8e59ed"/>
    <ds:schemaRef ds:uri="http://www.w3.org/XML/1998/namespace"/>
  </ds:schemaRefs>
</ds:datastoreItem>
</file>

<file path=customXml/itemProps3.xml><?xml version="1.0" encoding="utf-8"?>
<ds:datastoreItem xmlns:ds="http://schemas.openxmlformats.org/officeDocument/2006/customXml" ds:itemID="{833AD6AF-9621-4C06-9EE5-9417811D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e05cf-807a-4609-b4a0-cb865f8e59ed"/>
    <ds:schemaRef ds:uri="ba0c42fe-c384-4e5c-8b7e-39f835aa4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810FD-0F2F-4AE1-9BFA-A73CED22E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7979</Words>
  <Characters>45481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Dennington</dc:creator>
  <cp:keywords/>
  <dc:description/>
  <cp:lastModifiedBy>Simon Dennington</cp:lastModifiedBy>
  <cp:revision>8</cp:revision>
  <dcterms:created xsi:type="dcterms:W3CDTF">2021-05-05T13:27:00Z</dcterms:created>
  <dcterms:modified xsi:type="dcterms:W3CDTF">2021-05-06T14:33:00Z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0x010100DEC2F6ED46F6B944AB1357D1F6FD6289</vt:lpwstr>
  </property>
</Properties>
</file>