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5BFBB" w14:textId="15ADAC47" w:rsidR="0054220A" w:rsidRPr="002B6949" w:rsidRDefault="002039E1" w:rsidP="000F6A00">
      <w:pPr>
        <w:pStyle w:val="ListParagraph"/>
        <w:ind w:left="0"/>
        <w:rPr>
          <w:b/>
          <w:bCs/>
          <w:sz w:val="24"/>
          <w:szCs w:val="24"/>
        </w:rPr>
      </w:pPr>
      <w:bookmarkStart w:id="0" w:name="_Hlk59447022"/>
      <w:bookmarkStart w:id="1" w:name="_Hlk59517352"/>
      <w:bookmarkStart w:id="2" w:name="_GoBack"/>
      <w:bookmarkEnd w:id="2"/>
      <w:r>
        <w:rPr>
          <w:b/>
          <w:bCs/>
          <w:sz w:val="24"/>
          <w:szCs w:val="24"/>
        </w:rPr>
        <w:t>Risk factors</w:t>
      </w:r>
      <w:r w:rsidR="00BE560A">
        <w:rPr>
          <w:b/>
          <w:bCs/>
          <w:sz w:val="24"/>
          <w:szCs w:val="24"/>
        </w:rPr>
        <w:t xml:space="preserve"> for</w:t>
      </w:r>
      <w:r>
        <w:rPr>
          <w:b/>
          <w:bCs/>
          <w:sz w:val="24"/>
          <w:szCs w:val="24"/>
        </w:rPr>
        <w:t xml:space="preserve"> persistent abnormality</w:t>
      </w:r>
      <w:r w:rsidR="002B6949" w:rsidRPr="002B694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on</w:t>
      </w:r>
      <w:r w:rsidR="002B6949" w:rsidRPr="002B6949">
        <w:rPr>
          <w:b/>
          <w:bCs/>
          <w:sz w:val="24"/>
          <w:szCs w:val="24"/>
        </w:rPr>
        <w:t xml:space="preserve"> chest radiograph</w:t>
      </w:r>
      <w:r>
        <w:rPr>
          <w:b/>
          <w:bCs/>
          <w:sz w:val="24"/>
          <w:szCs w:val="24"/>
        </w:rPr>
        <w:t xml:space="preserve">s </w:t>
      </w:r>
      <w:r w:rsidR="002B6949" w:rsidRPr="002B6949">
        <w:rPr>
          <w:b/>
          <w:bCs/>
          <w:sz w:val="24"/>
          <w:szCs w:val="24"/>
        </w:rPr>
        <w:t>at 12-weeks</w:t>
      </w:r>
      <w:r w:rsidR="00F02795">
        <w:rPr>
          <w:b/>
          <w:bCs/>
          <w:sz w:val="24"/>
          <w:szCs w:val="24"/>
        </w:rPr>
        <w:t xml:space="preserve"> post hospital</w:t>
      </w:r>
      <w:r w:rsidR="00BE560A">
        <w:rPr>
          <w:b/>
          <w:bCs/>
          <w:sz w:val="24"/>
          <w:szCs w:val="24"/>
        </w:rPr>
        <w:t xml:space="preserve">isation with </w:t>
      </w:r>
      <w:r w:rsidR="002B6949" w:rsidRPr="002B6949">
        <w:rPr>
          <w:b/>
          <w:bCs/>
          <w:sz w:val="24"/>
          <w:szCs w:val="24"/>
        </w:rPr>
        <w:t>PCR confirmed COVID-19</w:t>
      </w:r>
      <w:bookmarkEnd w:id="0"/>
      <w:r w:rsidR="00BE560A">
        <w:rPr>
          <w:b/>
          <w:bCs/>
          <w:sz w:val="24"/>
          <w:szCs w:val="24"/>
        </w:rPr>
        <w:t>.</w:t>
      </w:r>
    </w:p>
    <w:p w14:paraId="6EECE035" w14:textId="106246AB" w:rsidR="0054220A" w:rsidRDefault="0054220A" w:rsidP="000F6A00">
      <w:pPr>
        <w:pStyle w:val="ListParagraph"/>
        <w:ind w:left="0"/>
      </w:pPr>
    </w:p>
    <w:p w14:paraId="20FAC213" w14:textId="70A042E4" w:rsidR="00F02795" w:rsidRPr="00E924E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Authors</w:t>
      </w:r>
      <w:r w:rsidR="008E3ECD">
        <w:rPr>
          <w:b/>
          <w:bCs/>
          <w:sz w:val="24"/>
          <w:szCs w:val="24"/>
        </w:rPr>
        <w:t xml:space="preserve"> </w:t>
      </w:r>
      <w:r w:rsidR="008E3ECD" w:rsidRPr="00E924E5">
        <w:rPr>
          <w:sz w:val="24"/>
          <w:szCs w:val="24"/>
        </w:rPr>
        <w:t>TJM Wallis</w:t>
      </w:r>
      <w:r w:rsidR="00E924E5" w:rsidRPr="00E924E5">
        <w:rPr>
          <w:sz w:val="24"/>
          <w:szCs w:val="24"/>
          <w:vertAlign w:val="superscript"/>
        </w:rPr>
        <w:t>1</w:t>
      </w:r>
      <w:r w:rsidR="008E3ECD" w:rsidRPr="00E924E5">
        <w:rPr>
          <w:sz w:val="24"/>
          <w:szCs w:val="24"/>
        </w:rPr>
        <w:t>, E Heiden</w:t>
      </w:r>
      <w:r w:rsidR="00E924E5" w:rsidRPr="00E924E5">
        <w:rPr>
          <w:sz w:val="24"/>
          <w:szCs w:val="24"/>
          <w:vertAlign w:val="superscript"/>
        </w:rPr>
        <w:t>2</w:t>
      </w:r>
      <w:r w:rsidR="008E3ECD" w:rsidRPr="00E924E5">
        <w:rPr>
          <w:sz w:val="24"/>
          <w:szCs w:val="24"/>
        </w:rPr>
        <w:t>, J Horno</w:t>
      </w:r>
      <w:r w:rsidR="00E924E5" w:rsidRPr="00E924E5">
        <w:rPr>
          <w:sz w:val="24"/>
          <w:szCs w:val="24"/>
          <w:vertAlign w:val="superscript"/>
        </w:rPr>
        <w:t>2</w:t>
      </w:r>
      <w:r w:rsidR="008E3ECD" w:rsidRPr="00E924E5">
        <w:rPr>
          <w:sz w:val="24"/>
          <w:szCs w:val="24"/>
        </w:rPr>
        <w:t>, B Welham</w:t>
      </w:r>
      <w:r w:rsidR="008745DD">
        <w:rPr>
          <w:sz w:val="24"/>
          <w:szCs w:val="24"/>
          <w:vertAlign w:val="superscript"/>
        </w:rPr>
        <w:t>3</w:t>
      </w:r>
      <w:r w:rsidR="008E3ECD" w:rsidRPr="00E924E5">
        <w:rPr>
          <w:sz w:val="24"/>
          <w:szCs w:val="24"/>
        </w:rPr>
        <w:t>, H Burke</w:t>
      </w:r>
      <w:r w:rsidR="008745DD">
        <w:rPr>
          <w:sz w:val="24"/>
          <w:szCs w:val="24"/>
          <w:vertAlign w:val="superscript"/>
        </w:rPr>
        <w:t>3</w:t>
      </w:r>
      <w:r w:rsidR="008E3ECD" w:rsidRPr="00E924E5">
        <w:rPr>
          <w:sz w:val="24"/>
          <w:szCs w:val="24"/>
        </w:rPr>
        <w:t>, A Freeman</w:t>
      </w:r>
      <w:r w:rsidR="008745DD">
        <w:rPr>
          <w:sz w:val="24"/>
          <w:szCs w:val="24"/>
          <w:vertAlign w:val="superscript"/>
        </w:rPr>
        <w:t>3</w:t>
      </w:r>
      <w:r w:rsidR="008E3ECD" w:rsidRPr="00E924E5">
        <w:rPr>
          <w:sz w:val="24"/>
          <w:szCs w:val="24"/>
        </w:rPr>
        <w:t>, L Dexter</w:t>
      </w:r>
      <w:r w:rsidR="00E924E5" w:rsidRPr="00E924E5">
        <w:rPr>
          <w:sz w:val="24"/>
          <w:szCs w:val="24"/>
          <w:vertAlign w:val="superscript"/>
        </w:rPr>
        <w:t>2</w:t>
      </w:r>
      <w:r w:rsidR="008E3ECD" w:rsidRPr="00E924E5">
        <w:rPr>
          <w:sz w:val="24"/>
          <w:szCs w:val="24"/>
        </w:rPr>
        <w:t>, A Fazleen</w:t>
      </w:r>
      <w:r w:rsidR="008745DD">
        <w:rPr>
          <w:sz w:val="24"/>
          <w:szCs w:val="24"/>
          <w:vertAlign w:val="superscript"/>
        </w:rPr>
        <w:t>3</w:t>
      </w:r>
      <w:r w:rsidR="008E3ECD" w:rsidRPr="00E924E5">
        <w:rPr>
          <w:sz w:val="24"/>
          <w:szCs w:val="24"/>
        </w:rPr>
        <w:t>, A Kong</w:t>
      </w:r>
      <w:r w:rsidR="00E924E5" w:rsidRPr="00E924E5">
        <w:rPr>
          <w:sz w:val="24"/>
          <w:szCs w:val="24"/>
          <w:vertAlign w:val="superscript"/>
        </w:rPr>
        <w:t>1</w:t>
      </w:r>
      <w:r w:rsidR="008E3ECD" w:rsidRPr="00E924E5">
        <w:rPr>
          <w:sz w:val="24"/>
          <w:szCs w:val="24"/>
        </w:rPr>
        <w:t>, C McQuitty</w:t>
      </w:r>
      <w:r w:rsidR="00E924E5" w:rsidRPr="00E924E5">
        <w:rPr>
          <w:sz w:val="24"/>
          <w:szCs w:val="24"/>
          <w:vertAlign w:val="superscript"/>
        </w:rPr>
        <w:t>1</w:t>
      </w:r>
      <w:r w:rsidR="008E3ECD" w:rsidRPr="00E924E5">
        <w:rPr>
          <w:sz w:val="24"/>
          <w:szCs w:val="24"/>
        </w:rPr>
        <w:t>, M Watson</w:t>
      </w:r>
      <w:r w:rsidR="00E924E5" w:rsidRPr="00E924E5">
        <w:rPr>
          <w:sz w:val="24"/>
          <w:szCs w:val="24"/>
          <w:vertAlign w:val="superscript"/>
        </w:rPr>
        <w:t>2</w:t>
      </w:r>
      <w:r w:rsidR="008E3ECD" w:rsidRPr="00E924E5">
        <w:rPr>
          <w:sz w:val="24"/>
          <w:szCs w:val="24"/>
        </w:rPr>
        <w:t>, S Poole</w:t>
      </w:r>
      <w:r w:rsidR="00E924E5" w:rsidRPr="00E924E5">
        <w:rPr>
          <w:sz w:val="24"/>
          <w:szCs w:val="24"/>
          <w:vertAlign w:val="superscript"/>
        </w:rPr>
        <w:t>4</w:t>
      </w:r>
      <w:r w:rsidR="008E3ECD" w:rsidRPr="00E924E5">
        <w:rPr>
          <w:sz w:val="24"/>
          <w:szCs w:val="24"/>
        </w:rPr>
        <w:t>, NJ Brendish</w:t>
      </w:r>
      <w:r w:rsidR="00E924E5" w:rsidRPr="00E924E5">
        <w:rPr>
          <w:sz w:val="24"/>
          <w:szCs w:val="24"/>
          <w:vertAlign w:val="superscript"/>
        </w:rPr>
        <w:t>5</w:t>
      </w:r>
      <w:r w:rsidR="008E3ECD" w:rsidRPr="00E924E5">
        <w:rPr>
          <w:sz w:val="24"/>
          <w:szCs w:val="24"/>
        </w:rPr>
        <w:t>, TW Clark</w:t>
      </w:r>
      <w:r w:rsidR="00E924E5" w:rsidRPr="00E924E5">
        <w:rPr>
          <w:sz w:val="24"/>
          <w:szCs w:val="24"/>
          <w:vertAlign w:val="superscript"/>
        </w:rPr>
        <w:t>4</w:t>
      </w:r>
      <w:r w:rsidR="008E3ECD" w:rsidRPr="00E924E5">
        <w:rPr>
          <w:sz w:val="24"/>
          <w:szCs w:val="24"/>
        </w:rPr>
        <w:t>, TMA Wilkinson</w:t>
      </w:r>
      <w:r w:rsidR="00E924E5" w:rsidRPr="00E924E5">
        <w:rPr>
          <w:sz w:val="24"/>
          <w:szCs w:val="24"/>
          <w:vertAlign w:val="superscript"/>
        </w:rPr>
        <w:t>1</w:t>
      </w:r>
      <w:r w:rsidR="008E3ECD" w:rsidRPr="00E924E5">
        <w:rPr>
          <w:sz w:val="24"/>
          <w:szCs w:val="24"/>
        </w:rPr>
        <w:t>, MG Jones</w:t>
      </w:r>
      <w:r w:rsidR="00E924E5" w:rsidRPr="00E924E5">
        <w:rPr>
          <w:sz w:val="24"/>
          <w:szCs w:val="24"/>
          <w:vertAlign w:val="superscript"/>
        </w:rPr>
        <w:t>1</w:t>
      </w:r>
      <w:r w:rsidR="00776742">
        <w:rPr>
          <w:sz w:val="24"/>
          <w:szCs w:val="24"/>
          <w:vertAlign w:val="superscript"/>
        </w:rPr>
        <w:t>*</w:t>
      </w:r>
      <w:r w:rsidR="008E3ECD" w:rsidRPr="00E924E5">
        <w:rPr>
          <w:sz w:val="24"/>
          <w:szCs w:val="24"/>
        </w:rPr>
        <w:t xml:space="preserve"> and BG </w:t>
      </w:r>
      <w:r w:rsidR="008E3ECD" w:rsidRPr="00776742">
        <w:rPr>
          <w:sz w:val="24"/>
          <w:szCs w:val="24"/>
        </w:rPr>
        <w:t>Marshall</w:t>
      </w:r>
      <w:r w:rsidR="00E924E5" w:rsidRPr="00776742">
        <w:rPr>
          <w:sz w:val="24"/>
          <w:szCs w:val="24"/>
          <w:vertAlign w:val="superscript"/>
        </w:rPr>
        <w:t>1</w:t>
      </w:r>
      <w:r w:rsidR="00776742">
        <w:rPr>
          <w:sz w:val="24"/>
          <w:szCs w:val="24"/>
          <w:vertAlign w:val="superscript"/>
        </w:rPr>
        <w:t>*</w:t>
      </w:r>
    </w:p>
    <w:bookmarkEnd w:id="1"/>
    <w:p w14:paraId="56D4F42C" w14:textId="153486C6" w:rsidR="00F0279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1B23143A" w14:textId="6FFC054B" w:rsidR="00F0279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Affiliations</w:t>
      </w:r>
    </w:p>
    <w:p w14:paraId="420CD4CD" w14:textId="77777777" w:rsidR="00E924E5" w:rsidRDefault="00E924E5" w:rsidP="00E924E5">
      <w:pPr>
        <w:pStyle w:val="ListParagraph"/>
        <w:numPr>
          <w:ilvl w:val="0"/>
          <w:numId w:val="3"/>
        </w:numPr>
      </w:pPr>
      <w:r>
        <w:t xml:space="preserve">Department of Respiratory Medicine and </w:t>
      </w:r>
      <w:r w:rsidRPr="00885FD4">
        <w:t>Southampton NIHR Biomedical Research Centre</w:t>
      </w:r>
      <w:r>
        <w:t>, University Hospital Southampton and School of Clinical and Experimental Sciences, Faculty of Medicine, University of Southampton, Southampton UK</w:t>
      </w:r>
    </w:p>
    <w:p w14:paraId="014C8874" w14:textId="77777777" w:rsidR="00E924E5" w:rsidRDefault="00E924E5" w:rsidP="00E924E5">
      <w:pPr>
        <w:pStyle w:val="ListParagraph"/>
        <w:numPr>
          <w:ilvl w:val="0"/>
          <w:numId w:val="3"/>
        </w:numPr>
      </w:pPr>
      <w:r>
        <w:t>Department of Respiratory Medicine, University Hospital Southampton, Southampton UK</w:t>
      </w:r>
    </w:p>
    <w:p w14:paraId="701B84A8" w14:textId="77777777" w:rsidR="00E924E5" w:rsidRDefault="00E924E5" w:rsidP="00E924E5">
      <w:pPr>
        <w:pStyle w:val="ListParagraph"/>
        <w:numPr>
          <w:ilvl w:val="0"/>
          <w:numId w:val="3"/>
        </w:numPr>
      </w:pPr>
      <w:r>
        <w:t>Department of Respiratory Medicine, University Hospital Southampton and School of Clinical and Experimental Sciences, Faculty of Medicine, University of Southampton, Southampton, UK</w:t>
      </w:r>
    </w:p>
    <w:p w14:paraId="6ABD1BEA" w14:textId="77777777" w:rsidR="00E924E5" w:rsidRDefault="00E924E5" w:rsidP="00E924E5">
      <w:pPr>
        <w:pStyle w:val="ListParagraph"/>
        <w:numPr>
          <w:ilvl w:val="0"/>
          <w:numId w:val="3"/>
        </w:numPr>
      </w:pPr>
      <w:r w:rsidRPr="00D90F41">
        <w:t>Department of Infection</w:t>
      </w:r>
      <w:r>
        <w:t xml:space="preserve"> and</w:t>
      </w:r>
      <w:r w:rsidRPr="00885FD4">
        <w:t xml:space="preserve"> Southampton NIHR Biomedical Research Centre</w:t>
      </w:r>
      <w:r>
        <w:t>, University Hospital Southampton and School of Clinical and Experimental Sciences, Faculty of Medicine, University of Southampton, Southampton UK</w:t>
      </w:r>
    </w:p>
    <w:p w14:paraId="58E8B48D" w14:textId="16B5A577" w:rsidR="00A1080B" w:rsidRPr="00A1080B" w:rsidRDefault="00E924E5" w:rsidP="00A1080B">
      <w:pPr>
        <w:pStyle w:val="ListParagraph"/>
        <w:numPr>
          <w:ilvl w:val="0"/>
          <w:numId w:val="3"/>
        </w:numPr>
      </w:pPr>
      <w:r w:rsidRPr="00D90F41">
        <w:t>Department of Infection</w:t>
      </w:r>
      <w:r>
        <w:t>, University Hospital Southampton and School of Clinical and Experimental Sciences, Faculty of Medicine, University of Southampton, Southampton U</w:t>
      </w:r>
      <w:r w:rsidR="00A1080B">
        <w:t>K</w:t>
      </w:r>
    </w:p>
    <w:p w14:paraId="3264047C" w14:textId="51999474" w:rsidR="00E924E5" w:rsidRDefault="00A1080B" w:rsidP="00B556EC">
      <w:pPr>
        <w:pStyle w:val="ListParagraph"/>
        <w:ind w:left="0"/>
        <w:jc w:val="both"/>
      </w:pPr>
      <w:r>
        <w:t>*</w:t>
      </w:r>
      <w:r w:rsidR="00776742">
        <w:t>T</w:t>
      </w:r>
      <w:r w:rsidR="00776742" w:rsidRPr="00D76F69">
        <w:t>hese authors contributed equally</w:t>
      </w:r>
    </w:p>
    <w:p w14:paraId="6AD0B384" w14:textId="6383BB4C" w:rsidR="00F0279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FB545A0" w14:textId="2ACC7248" w:rsidR="00F0279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Words</w:t>
      </w:r>
      <w:r w:rsidR="008E3ECD">
        <w:rPr>
          <w:b/>
          <w:bCs/>
          <w:sz w:val="24"/>
          <w:szCs w:val="24"/>
        </w:rPr>
        <w:t xml:space="preserve"> COVID-19, SARS-CoV</w:t>
      </w:r>
      <w:r w:rsidR="0085245F">
        <w:rPr>
          <w:b/>
          <w:bCs/>
          <w:sz w:val="24"/>
          <w:szCs w:val="24"/>
        </w:rPr>
        <w:t>-</w:t>
      </w:r>
      <w:r w:rsidR="008E3ECD">
        <w:rPr>
          <w:b/>
          <w:bCs/>
          <w:sz w:val="24"/>
          <w:szCs w:val="24"/>
        </w:rPr>
        <w:t xml:space="preserve">2, Follow-up Study, </w:t>
      </w:r>
      <w:r w:rsidR="00C9502C">
        <w:rPr>
          <w:b/>
          <w:bCs/>
          <w:sz w:val="24"/>
          <w:szCs w:val="24"/>
        </w:rPr>
        <w:t xml:space="preserve">Chest radiograph, </w:t>
      </w:r>
      <w:r w:rsidR="008E3ECD">
        <w:rPr>
          <w:b/>
          <w:bCs/>
          <w:sz w:val="24"/>
          <w:szCs w:val="24"/>
        </w:rPr>
        <w:t>LDH</w:t>
      </w:r>
      <w:r w:rsidR="00C9502C">
        <w:rPr>
          <w:b/>
          <w:bCs/>
          <w:sz w:val="24"/>
          <w:szCs w:val="24"/>
        </w:rPr>
        <w:t xml:space="preserve">, </w:t>
      </w:r>
    </w:p>
    <w:p w14:paraId="034681AC" w14:textId="77777777" w:rsidR="00F02795" w:rsidRDefault="00F02795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5C10617E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B6D8AA0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2315825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16FC6D0D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59FCDEF2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0CDC8A1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A3D496D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F7A7BF5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605B3E7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0966DF9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4A97D39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0C746187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971559E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8A829B7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AAE2E82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D1374A5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723159F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83398F4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86E0B06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C4E2643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09203858" w14:textId="77777777" w:rsidR="00C06387" w:rsidRDefault="00C06387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486D9F9" w14:textId="1B00CF5F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  <w:r>
        <w:rPr>
          <w:b/>
          <w:bCs/>
          <w:sz w:val="24"/>
          <w:szCs w:val="24"/>
        </w:rPr>
        <w:lastRenderedPageBreak/>
        <w:t>A</w:t>
      </w:r>
      <w:r w:rsidRPr="00070A5F">
        <w:rPr>
          <w:b/>
          <w:bCs/>
        </w:rPr>
        <w:t>bstract</w:t>
      </w:r>
      <w:r w:rsidR="00E51861">
        <w:rPr>
          <w:b/>
          <w:bCs/>
        </w:rPr>
        <w:t xml:space="preserve"> </w:t>
      </w:r>
    </w:p>
    <w:p w14:paraId="4A6B7EA1" w14:textId="1A74CAF9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</w:p>
    <w:p w14:paraId="0D9B8016" w14:textId="221CF78F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  <w:r w:rsidRPr="00070A5F">
        <w:rPr>
          <w:b/>
          <w:bCs/>
        </w:rPr>
        <w:t>Background</w:t>
      </w:r>
    </w:p>
    <w:p w14:paraId="2B53CDE3" w14:textId="2C687082" w:rsidR="0062389F" w:rsidRPr="00070A5F" w:rsidRDefault="0062389F" w:rsidP="0062389F">
      <w:r w:rsidRPr="00070A5F">
        <w:t xml:space="preserve">The long-term consequences of COVID-19 </w:t>
      </w:r>
      <w:r w:rsidR="00BE560A">
        <w:t>remain unclear. There is concern</w:t>
      </w:r>
      <w:r w:rsidRPr="00070A5F">
        <w:t xml:space="preserve"> </w:t>
      </w:r>
      <w:r w:rsidR="0018720C" w:rsidRPr="00070A5F">
        <w:t xml:space="preserve">a proportion of </w:t>
      </w:r>
      <w:r w:rsidRPr="00070A5F">
        <w:t xml:space="preserve">patients </w:t>
      </w:r>
      <w:r w:rsidR="00141128">
        <w:t>will</w:t>
      </w:r>
      <w:r w:rsidRPr="00070A5F">
        <w:t xml:space="preserve"> progress to develop pulmonary fibrosis. We aimed to assess the temporal change in CXR infiltrates in a cohort of patients</w:t>
      </w:r>
      <w:r w:rsidR="00F02795">
        <w:t xml:space="preserve"> following hospitalisation</w:t>
      </w:r>
      <w:r w:rsidRPr="00070A5F">
        <w:t xml:space="preserve"> </w:t>
      </w:r>
      <w:r w:rsidR="00141128">
        <w:t>for</w:t>
      </w:r>
      <w:r w:rsidRPr="00070A5F">
        <w:t xml:space="preserve"> COVID-19.</w:t>
      </w:r>
    </w:p>
    <w:p w14:paraId="538286AC" w14:textId="454C784A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  <w:r w:rsidRPr="00070A5F">
        <w:rPr>
          <w:b/>
          <w:bCs/>
        </w:rPr>
        <w:t>Methods</w:t>
      </w:r>
    </w:p>
    <w:p w14:paraId="797C2759" w14:textId="12E37782" w:rsidR="0062389F" w:rsidRPr="00070A5F" w:rsidRDefault="002D374F" w:rsidP="0062389F">
      <w:r w:rsidRPr="00070A5F">
        <w:t>We conducted a s</w:t>
      </w:r>
      <w:r w:rsidR="0062389F" w:rsidRPr="00070A5F">
        <w:t xml:space="preserve">ingle-centre prospective cohort study </w:t>
      </w:r>
      <w:r w:rsidRPr="00070A5F">
        <w:t>of</w:t>
      </w:r>
      <w:r w:rsidR="0062389F" w:rsidRPr="00070A5F">
        <w:t xml:space="preserve"> patients admitted to University </w:t>
      </w:r>
      <w:r w:rsidR="00F44A44">
        <w:t>Ho</w:t>
      </w:r>
      <w:r w:rsidR="00F01EC2">
        <w:t>s</w:t>
      </w:r>
      <w:r w:rsidR="00F44A44">
        <w:t>pital Southampton</w:t>
      </w:r>
      <w:r w:rsidR="0062389F" w:rsidRPr="00070A5F">
        <w:t xml:space="preserve"> </w:t>
      </w:r>
      <w:r w:rsidR="00E704E8" w:rsidRPr="00070A5F">
        <w:t xml:space="preserve">with confirmed SARS-CoV2 infection </w:t>
      </w:r>
      <w:r w:rsidR="0062389F" w:rsidRPr="00070A5F">
        <w:t>between 20</w:t>
      </w:r>
      <w:r w:rsidR="0062389F" w:rsidRPr="00070A5F">
        <w:rPr>
          <w:vertAlign w:val="superscript"/>
        </w:rPr>
        <w:t>th</w:t>
      </w:r>
      <w:r w:rsidR="0062389F" w:rsidRPr="00070A5F">
        <w:t xml:space="preserve"> March</w:t>
      </w:r>
      <w:r w:rsidR="00141128">
        <w:t xml:space="preserve"> </w:t>
      </w:r>
      <w:r w:rsidR="0062389F" w:rsidRPr="00070A5F">
        <w:t xml:space="preserve">– </w:t>
      </w:r>
      <w:r w:rsidR="00BE560A">
        <w:t>3</w:t>
      </w:r>
      <w:r w:rsidR="00BE560A" w:rsidRPr="00BE560A">
        <w:rPr>
          <w:vertAlign w:val="superscript"/>
        </w:rPr>
        <w:t>rd</w:t>
      </w:r>
      <w:r w:rsidR="00BE560A">
        <w:t xml:space="preserve"> </w:t>
      </w:r>
      <w:r w:rsidR="0062389F" w:rsidRPr="00070A5F">
        <w:t>June 2020</w:t>
      </w:r>
      <w:r w:rsidRPr="00070A5F">
        <w:t xml:space="preserve">. </w:t>
      </w:r>
      <w:r w:rsidR="004F0F54">
        <w:t>Patients</w:t>
      </w:r>
      <w:r w:rsidR="0062389F" w:rsidRPr="00070A5F">
        <w:t xml:space="preserve"> </w:t>
      </w:r>
      <w:r w:rsidRPr="00070A5F">
        <w:t>were</w:t>
      </w:r>
      <w:r w:rsidR="0062389F" w:rsidRPr="00070A5F">
        <w:t xml:space="preserve"> approached </w:t>
      </w:r>
      <w:r w:rsidR="004F0F54">
        <w:t>for</w:t>
      </w:r>
      <w:r w:rsidR="0062389F" w:rsidRPr="00070A5F">
        <w:t xml:space="preserve"> standard-of-care follow-up </w:t>
      </w:r>
      <w:r w:rsidRPr="00070A5F">
        <w:t>12-weeks after hospital</w:t>
      </w:r>
      <w:r w:rsidR="00BE560A">
        <w:t>isation</w:t>
      </w:r>
      <w:r w:rsidR="0062389F" w:rsidRPr="00070A5F">
        <w:t xml:space="preserve">. </w:t>
      </w:r>
      <w:r w:rsidR="00070A5F" w:rsidRPr="00070A5F">
        <w:t>I</w:t>
      </w:r>
      <w:r w:rsidRPr="00070A5F">
        <w:t xml:space="preserve">npatient and follow-up </w:t>
      </w:r>
      <w:r w:rsidR="00070A5F" w:rsidRPr="00070A5F">
        <w:t>CXRs</w:t>
      </w:r>
      <w:r w:rsidRPr="00070A5F">
        <w:t xml:space="preserve"> </w:t>
      </w:r>
      <w:r w:rsidR="0062389F" w:rsidRPr="00070A5F">
        <w:t xml:space="preserve">were scored by the assessing clinician for </w:t>
      </w:r>
      <w:r w:rsidR="0018720C" w:rsidRPr="00070A5F">
        <w:t xml:space="preserve">extent </w:t>
      </w:r>
      <w:r w:rsidR="0062389F" w:rsidRPr="00070A5F">
        <w:t>of pulmonary infiltrates</w:t>
      </w:r>
      <w:r w:rsidR="00153644">
        <w:t>;</w:t>
      </w:r>
      <w:r w:rsidR="0062389F" w:rsidRPr="00070A5F">
        <w:t xml:space="preserve"> 0-4 </w:t>
      </w:r>
      <w:r w:rsidR="00141128">
        <w:t xml:space="preserve">per </w:t>
      </w:r>
      <w:r w:rsidR="0062389F" w:rsidRPr="00070A5F">
        <w:t>lung</w:t>
      </w:r>
      <w:r w:rsidR="002039E1">
        <w:t xml:space="preserve"> (Nil=0, &lt;25%=1, 25-50%=2, 51-75%=3, &gt;75%=4)</w:t>
      </w:r>
      <w:r w:rsidR="0062389F" w:rsidRPr="00070A5F">
        <w:t xml:space="preserve">. </w:t>
      </w:r>
    </w:p>
    <w:p w14:paraId="42515591" w14:textId="77777777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</w:p>
    <w:p w14:paraId="5C6A0874" w14:textId="05F15BC0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  <w:r w:rsidRPr="00070A5F">
        <w:rPr>
          <w:b/>
          <w:bCs/>
        </w:rPr>
        <w:t xml:space="preserve">Results </w:t>
      </w:r>
    </w:p>
    <w:p w14:paraId="175987DB" w14:textId="6CFF2F05" w:rsidR="00441FB2" w:rsidRPr="00070A5F" w:rsidRDefault="00441FB2" w:rsidP="007E31D5">
      <w:r w:rsidRPr="00070A5F">
        <w:t xml:space="preserve">101 patients with paired </w:t>
      </w:r>
      <w:r w:rsidR="00070A5F" w:rsidRPr="00070A5F">
        <w:t>CXRs</w:t>
      </w:r>
      <w:r w:rsidRPr="00070A5F">
        <w:t xml:space="preserve"> were include</w:t>
      </w:r>
      <w:r w:rsidR="002D374F" w:rsidRPr="00070A5F">
        <w:t>d</w:t>
      </w:r>
      <w:r w:rsidRPr="00070A5F">
        <w:t xml:space="preserve">. </w:t>
      </w:r>
      <w:r w:rsidR="0062389F" w:rsidRPr="00070A5F">
        <w:t>Demographics</w:t>
      </w:r>
      <w:r w:rsidR="0018720C" w:rsidRPr="00070A5F">
        <w:t>:</w:t>
      </w:r>
      <w:r w:rsidR="0062389F" w:rsidRPr="00070A5F">
        <w:t xml:space="preserve"> 53% male with a median (IQR) age </w:t>
      </w:r>
      <w:r w:rsidR="002D374F" w:rsidRPr="00070A5F">
        <w:t>53.0</w:t>
      </w:r>
      <w:r w:rsidR="00E704E8" w:rsidRPr="00070A5F">
        <w:t xml:space="preserve"> </w:t>
      </w:r>
      <w:r w:rsidR="002D374F" w:rsidRPr="00070A5F">
        <w:t xml:space="preserve">(45-63) years </w:t>
      </w:r>
      <w:r w:rsidR="0062389F" w:rsidRPr="00070A5F">
        <w:t>and length of stay</w:t>
      </w:r>
      <w:r w:rsidR="002D374F" w:rsidRPr="00070A5F">
        <w:t xml:space="preserve"> 9 (5-17.5)</w:t>
      </w:r>
      <w:r w:rsidR="00E704E8" w:rsidRPr="00070A5F">
        <w:t xml:space="preserve"> days</w:t>
      </w:r>
      <w:r w:rsidR="002D374F" w:rsidRPr="00070A5F">
        <w:t xml:space="preserve">. The median </w:t>
      </w:r>
      <w:r w:rsidR="00523984">
        <w:t>CXR</w:t>
      </w:r>
      <w:r w:rsidR="002D374F" w:rsidRPr="00070A5F">
        <w:t xml:space="preserve"> follow-up interval was 82 (77-86) </w:t>
      </w:r>
      <w:r w:rsidR="00E704E8" w:rsidRPr="00070A5F">
        <w:t xml:space="preserve">days </w:t>
      </w:r>
      <w:r w:rsidR="002D374F" w:rsidRPr="00070A5F">
        <w:t>with</w:t>
      </w:r>
      <w:r w:rsidR="0062389F" w:rsidRPr="00070A5F">
        <w:t xml:space="preserve"> </w:t>
      </w:r>
      <w:r w:rsidR="002D374F" w:rsidRPr="00070A5F">
        <w:t>m</w:t>
      </w:r>
      <w:r w:rsidR="0062389F" w:rsidRPr="00070A5F">
        <w:t xml:space="preserve">edian baseline and follow-up </w:t>
      </w:r>
      <w:r w:rsidR="00523984">
        <w:t>CXR</w:t>
      </w:r>
      <w:r w:rsidR="0062389F" w:rsidRPr="00070A5F">
        <w:t xml:space="preserve"> score</w:t>
      </w:r>
      <w:r w:rsidR="002D374F" w:rsidRPr="00070A5F">
        <w:t xml:space="preserve">s of 4.0 (3-5) </w:t>
      </w:r>
      <w:r w:rsidR="0062389F" w:rsidRPr="00070A5F">
        <w:t xml:space="preserve">and </w:t>
      </w:r>
      <w:r w:rsidR="002D374F" w:rsidRPr="00070A5F">
        <w:t>0.</w:t>
      </w:r>
      <w:r w:rsidR="009372A1" w:rsidRPr="00070A5F">
        <w:t>0</w:t>
      </w:r>
      <w:r w:rsidR="002D374F" w:rsidRPr="00070A5F">
        <w:t xml:space="preserve"> (0-1) </w:t>
      </w:r>
      <w:r w:rsidR="0062389F" w:rsidRPr="00070A5F">
        <w:t xml:space="preserve">respectively. 32% </w:t>
      </w:r>
      <w:r w:rsidR="00E704E8" w:rsidRPr="00070A5F">
        <w:t xml:space="preserve">of patients </w:t>
      </w:r>
      <w:r w:rsidR="0062389F" w:rsidRPr="00070A5F">
        <w:t xml:space="preserve">had persistent </w:t>
      </w:r>
      <w:r w:rsidR="009372A1" w:rsidRPr="00070A5F">
        <w:t xml:space="preserve">CXR </w:t>
      </w:r>
      <w:r w:rsidR="00523984">
        <w:t xml:space="preserve">abnormality </w:t>
      </w:r>
      <w:r w:rsidR="0062389F" w:rsidRPr="00070A5F">
        <w:t>at 12-week</w:t>
      </w:r>
      <w:r w:rsidR="00BE560A">
        <w:t>s</w:t>
      </w:r>
      <w:r w:rsidR="0062389F" w:rsidRPr="00070A5F">
        <w:t>.</w:t>
      </w:r>
      <w:r w:rsidR="00AD45E7" w:rsidRPr="00070A5F">
        <w:t xml:space="preserve"> In multivariate analysis length of stay</w:t>
      </w:r>
      <w:r w:rsidR="00BE560A">
        <w:t xml:space="preserve"> (LOS)</w:t>
      </w:r>
      <w:r w:rsidR="00AD45E7" w:rsidRPr="00070A5F">
        <w:t>,</w:t>
      </w:r>
      <w:r w:rsidR="002039E1">
        <w:t xml:space="preserve"> </w:t>
      </w:r>
      <w:r w:rsidR="0062389F" w:rsidRPr="00070A5F">
        <w:t>smoking</w:t>
      </w:r>
      <w:r w:rsidR="00BE560A">
        <w:t xml:space="preserve">-status </w:t>
      </w:r>
      <w:r w:rsidR="00AD45E7" w:rsidRPr="00070A5F">
        <w:t>and ob</w:t>
      </w:r>
      <w:r w:rsidR="0062389F" w:rsidRPr="00070A5F">
        <w:t xml:space="preserve">esity </w:t>
      </w:r>
      <w:r w:rsidR="00AD45E7" w:rsidRPr="00070A5F">
        <w:t xml:space="preserve">were identified as </w:t>
      </w:r>
      <w:r w:rsidR="00523984">
        <w:t xml:space="preserve">independent </w:t>
      </w:r>
      <w:r w:rsidR="0062389F" w:rsidRPr="00070A5F">
        <w:t>risk</w:t>
      </w:r>
      <w:r w:rsidR="00AD45E7" w:rsidRPr="00070A5F">
        <w:t xml:space="preserve"> factors for persistent </w:t>
      </w:r>
      <w:r w:rsidR="00523984">
        <w:t xml:space="preserve">CXR </w:t>
      </w:r>
      <w:r w:rsidR="004813BB">
        <w:t>abnormality</w:t>
      </w:r>
      <w:r w:rsidR="00AD45E7" w:rsidRPr="00070A5F">
        <w:t>.</w:t>
      </w:r>
      <w:r w:rsidR="0062389F" w:rsidRPr="00070A5F">
        <w:t xml:space="preserve"> Serum </w:t>
      </w:r>
      <w:r w:rsidR="0018720C" w:rsidRPr="00070A5F">
        <w:t xml:space="preserve">LDH </w:t>
      </w:r>
      <w:r w:rsidR="0062389F" w:rsidRPr="00070A5F">
        <w:t xml:space="preserve">was significantly higher at baseline and </w:t>
      </w:r>
      <w:r w:rsidR="00873997">
        <w:t xml:space="preserve">at </w:t>
      </w:r>
      <w:r w:rsidR="0062389F" w:rsidRPr="00070A5F">
        <w:t xml:space="preserve">follow-up in patients with </w:t>
      </w:r>
      <w:r w:rsidR="004813BB">
        <w:t>CXR</w:t>
      </w:r>
      <w:r w:rsidR="0062389F" w:rsidRPr="00070A5F">
        <w:t xml:space="preserve"> </w:t>
      </w:r>
      <w:r w:rsidR="00873997">
        <w:t>abnormalities</w:t>
      </w:r>
      <w:r w:rsidR="00873997" w:rsidRPr="00070A5F">
        <w:t xml:space="preserve"> </w:t>
      </w:r>
      <w:r w:rsidR="0062389F" w:rsidRPr="00070A5F">
        <w:t>compared to those with resolution.</w:t>
      </w:r>
      <w:r w:rsidR="009372A1" w:rsidRPr="00070A5F">
        <w:t xml:space="preserve"> </w:t>
      </w:r>
      <w:r w:rsidR="00F01EC2">
        <w:t>A</w:t>
      </w:r>
      <w:r w:rsidR="009372A1" w:rsidRPr="00070A5F">
        <w:t xml:space="preserve"> </w:t>
      </w:r>
      <w:r w:rsidR="00AF7897">
        <w:t xml:space="preserve">5-point </w:t>
      </w:r>
      <w:r w:rsidR="009372A1" w:rsidRPr="00070A5F">
        <w:t xml:space="preserve">composite </w:t>
      </w:r>
      <w:r w:rsidR="00F01EC2">
        <w:t xml:space="preserve">risk </w:t>
      </w:r>
      <w:r w:rsidR="009372A1" w:rsidRPr="00070A5F">
        <w:t>score</w:t>
      </w:r>
      <w:r w:rsidR="00AF7897">
        <w:t xml:space="preserve"> (</w:t>
      </w:r>
      <w:r w:rsidR="00827857">
        <w:t>1</w:t>
      </w:r>
      <w:r w:rsidR="008E3ECD">
        <w:t>-</w:t>
      </w:r>
      <w:r w:rsidR="00827857">
        <w:t xml:space="preserve">point </w:t>
      </w:r>
      <w:r w:rsidR="008E3ECD">
        <w:t>each</w:t>
      </w:r>
      <w:r w:rsidR="00827857">
        <w:t>;</w:t>
      </w:r>
      <w:r w:rsidR="00AF7897">
        <w:t xml:space="preserve"> </w:t>
      </w:r>
      <w:r w:rsidR="00BE560A">
        <w:t>LOS</w:t>
      </w:r>
      <w:r w:rsidR="00AF7897">
        <w:rPr>
          <w:rFonts w:cstheme="minorHAnsi"/>
        </w:rPr>
        <w:t>≥</w:t>
      </w:r>
      <w:r w:rsidR="00AF7897">
        <w:t>15 days, Level 2</w:t>
      </w:r>
      <w:r w:rsidR="00BE560A">
        <w:t>/</w:t>
      </w:r>
      <w:r w:rsidR="00AF7897">
        <w:t xml:space="preserve">3 admission, LDH&gt;750 U/L, </w:t>
      </w:r>
      <w:r w:rsidR="00BE560A">
        <w:t>o</w:t>
      </w:r>
      <w:r w:rsidR="00AF7897">
        <w:t>besity and smoking</w:t>
      </w:r>
      <w:r w:rsidR="00BE560A">
        <w:t>-</w:t>
      </w:r>
      <w:r w:rsidR="00AF7897">
        <w:t>status)</w:t>
      </w:r>
      <w:r w:rsidR="009372A1" w:rsidRPr="00070A5F">
        <w:t xml:space="preserve"> strongly predicted risk of persistent</w:t>
      </w:r>
      <w:r w:rsidR="00E13F96">
        <w:t xml:space="preserve"> radiograph</w:t>
      </w:r>
      <w:r w:rsidR="009372A1" w:rsidRPr="00070A5F">
        <w:t xml:space="preserve"> </w:t>
      </w:r>
      <w:r w:rsidR="00E13F96">
        <w:t>abnormality</w:t>
      </w:r>
      <w:r w:rsidR="009372A1" w:rsidRPr="00070A5F">
        <w:t xml:space="preserve"> </w:t>
      </w:r>
      <w:r w:rsidR="004813BB">
        <w:t>(</w:t>
      </w:r>
      <w:r w:rsidR="009372A1" w:rsidRPr="00070A5F">
        <w:t>0.8</w:t>
      </w:r>
      <w:r w:rsidR="004813BB">
        <w:t>1)</w:t>
      </w:r>
      <w:r w:rsidR="004F0F54">
        <w:t>.</w:t>
      </w:r>
    </w:p>
    <w:p w14:paraId="34F3561E" w14:textId="763B9696" w:rsidR="00441FB2" w:rsidRPr="00070A5F" w:rsidRDefault="00441FB2" w:rsidP="00B556EC">
      <w:pPr>
        <w:pStyle w:val="ListParagraph"/>
        <w:ind w:left="0"/>
        <w:jc w:val="both"/>
        <w:rPr>
          <w:b/>
          <w:bCs/>
        </w:rPr>
      </w:pPr>
    </w:p>
    <w:p w14:paraId="670CE297" w14:textId="6F3D8F47" w:rsidR="00441FB2" w:rsidRPr="00070A5F" w:rsidRDefault="004F0F54" w:rsidP="00B556EC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Conclusion</w:t>
      </w:r>
    </w:p>
    <w:p w14:paraId="777B0DC2" w14:textId="16BE5AC2" w:rsidR="00441FB2" w:rsidRPr="00070A5F" w:rsidRDefault="0062389F" w:rsidP="00B556EC">
      <w:pPr>
        <w:pStyle w:val="ListParagraph"/>
        <w:ind w:left="0"/>
        <w:jc w:val="both"/>
      </w:pPr>
      <w:r w:rsidRPr="00070A5F">
        <w:t xml:space="preserve">Persistent </w:t>
      </w:r>
      <w:r w:rsidR="009372A1" w:rsidRPr="00070A5F">
        <w:t>CXR</w:t>
      </w:r>
      <w:r w:rsidRPr="00070A5F">
        <w:t xml:space="preserve"> </w:t>
      </w:r>
      <w:r w:rsidR="0093696E">
        <w:t>abnormality 12-weeks post COVID-19</w:t>
      </w:r>
      <w:r w:rsidR="004F0F54">
        <w:t xml:space="preserve"> </w:t>
      </w:r>
      <w:r w:rsidR="0093696E">
        <w:t xml:space="preserve">was </w:t>
      </w:r>
      <w:r w:rsidRPr="00070A5F">
        <w:t>common</w:t>
      </w:r>
      <w:r w:rsidR="0093696E">
        <w:t xml:space="preserve"> in this cohort.</w:t>
      </w:r>
      <w:r w:rsidR="00E704E8" w:rsidRPr="00070A5F">
        <w:t xml:space="preserve"> </w:t>
      </w:r>
      <w:r w:rsidR="00BE560A">
        <w:t>LOS</w:t>
      </w:r>
      <w:r w:rsidRPr="00070A5F">
        <w:t>, obesity</w:t>
      </w:r>
      <w:r w:rsidR="0077433F">
        <w:t xml:space="preserve">, </w:t>
      </w:r>
      <w:r w:rsidR="00895818">
        <w:t xml:space="preserve">increased serum </w:t>
      </w:r>
      <w:r w:rsidR="0077433F">
        <w:t xml:space="preserve">LDH, and </w:t>
      </w:r>
      <w:r w:rsidRPr="00070A5F">
        <w:t>smoking</w:t>
      </w:r>
      <w:r w:rsidR="00BE560A">
        <w:t>-</w:t>
      </w:r>
      <w:r w:rsidR="00B5609C">
        <w:t>status</w:t>
      </w:r>
      <w:r w:rsidRPr="00070A5F">
        <w:t xml:space="preserve"> were risk factors for </w:t>
      </w:r>
      <w:r w:rsidR="00BE560A">
        <w:t>radiograph</w:t>
      </w:r>
      <w:r w:rsidR="0077433F">
        <w:t xml:space="preserve"> </w:t>
      </w:r>
      <w:r w:rsidR="00153644">
        <w:t>abnormality</w:t>
      </w:r>
      <w:r w:rsidRPr="00070A5F">
        <w:t xml:space="preserve">. These </w:t>
      </w:r>
      <w:r w:rsidR="00895818">
        <w:t>findings</w:t>
      </w:r>
      <w:r w:rsidR="00895818" w:rsidRPr="00070A5F">
        <w:t xml:space="preserve"> </w:t>
      </w:r>
      <w:r w:rsidR="0018720C" w:rsidRPr="00070A5F">
        <w:t xml:space="preserve">require further </w:t>
      </w:r>
      <w:r w:rsidR="0093696E">
        <w:t xml:space="preserve">prospective </w:t>
      </w:r>
      <w:r w:rsidR="00E704E8" w:rsidRPr="00070A5F">
        <w:t>validation</w:t>
      </w:r>
      <w:r w:rsidRPr="00070A5F">
        <w:t>.</w:t>
      </w:r>
    </w:p>
    <w:p w14:paraId="7B2CAA9C" w14:textId="38EB7A89" w:rsidR="00441FB2" w:rsidRDefault="00441FB2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CC89BA2" w14:textId="770762BA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1636158" w14:textId="0C9A5CD7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18E85EED" w14:textId="258E7421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509DB25" w14:textId="46290D62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FF33481" w14:textId="203212C8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C0734EF" w14:textId="7B868A17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36C8951" w14:textId="25DCD719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24349880" w14:textId="10CB25BE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5C73A930" w14:textId="5C2E74FF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D4B3D50" w14:textId="4A7C2EBB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1919A1C4" w14:textId="075F89EA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73A81D6" w14:textId="6D73B475" w:rsidR="002E2E19" w:rsidRDefault="002E2E19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0ADEE61E" w14:textId="77777777" w:rsidR="00FA50C1" w:rsidRDefault="00FA50C1" w:rsidP="00B556EC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8EFB8CC" w14:textId="26BEF0BE" w:rsidR="00A1080B" w:rsidRDefault="00A108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List of abbreviations</w:t>
      </w:r>
    </w:p>
    <w:p w14:paraId="06265EAD" w14:textId="61AD2A03" w:rsidR="001849D8" w:rsidRPr="001849D8" w:rsidRDefault="001849D8">
      <w:pPr>
        <w:contextualSpacing/>
      </w:pPr>
      <w:r w:rsidRPr="001849D8">
        <w:t>95%CI -</w:t>
      </w:r>
      <w:r w:rsidR="00332441">
        <w:t xml:space="preserve"> </w:t>
      </w:r>
      <w:r w:rsidRPr="001849D8">
        <w:t>95% Confidence interval</w:t>
      </w:r>
    </w:p>
    <w:p w14:paraId="2DF3C94B" w14:textId="76B1919F" w:rsidR="001B52C0" w:rsidRPr="001849D8" w:rsidRDefault="001B52C0" w:rsidP="001B52C0">
      <w:pPr>
        <w:spacing w:line="240" w:lineRule="auto"/>
        <w:contextualSpacing/>
      </w:pPr>
      <w:r w:rsidRPr="001849D8">
        <w:t>AP</w:t>
      </w:r>
      <w:r w:rsidR="00401830" w:rsidRPr="001849D8">
        <w:t>- anteroposterior</w:t>
      </w:r>
    </w:p>
    <w:p w14:paraId="2A9C1FE7" w14:textId="605E2408" w:rsidR="00762270" w:rsidRPr="00762270" w:rsidRDefault="00762270" w:rsidP="001B52C0">
      <w:pPr>
        <w:spacing w:line="240" w:lineRule="auto"/>
        <w:contextualSpacing/>
      </w:pPr>
      <w:r w:rsidRPr="001849D8">
        <w:t xml:space="preserve">AUROC </w:t>
      </w:r>
      <w:r w:rsidR="00AC4D85">
        <w:t>–</w:t>
      </w:r>
      <w:r w:rsidRPr="001849D8">
        <w:t xml:space="preserve"> </w:t>
      </w:r>
      <w:r w:rsidR="00AC4D85">
        <w:t xml:space="preserve">area under the </w:t>
      </w:r>
      <w:r w:rsidRPr="001849D8">
        <w:t>receiver operating characteristic</w:t>
      </w:r>
      <w:r w:rsidRPr="00762270">
        <w:t xml:space="preserve"> curve</w:t>
      </w:r>
    </w:p>
    <w:p w14:paraId="504B565E" w14:textId="79DECBDF" w:rsidR="001B52C0" w:rsidRPr="00762270" w:rsidRDefault="001B52C0" w:rsidP="001B52C0">
      <w:pPr>
        <w:spacing w:line="240" w:lineRule="auto"/>
        <w:contextualSpacing/>
      </w:pPr>
      <w:r w:rsidRPr="00762270">
        <w:t>BMI</w:t>
      </w:r>
      <w:r w:rsidR="00762270" w:rsidRPr="00762270">
        <w:t xml:space="preserve"> – body mass index (kg.m</w:t>
      </w:r>
      <w:r w:rsidR="00762270" w:rsidRPr="00762270">
        <w:rPr>
          <w:vertAlign w:val="superscript"/>
        </w:rPr>
        <w:t>-2</w:t>
      </w:r>
      <w:r w:rsidR="00762270" w:rsidRPr="00762270">
        <w:t>)</w:t>
      </w:r>
    </w:p>
    <w:p w14:paraId="270F7679" w14:textId="45A30A11" w:rsidR="00762270" w:rsidRPr="00762270" w:rsidRDefault="00762270" w:rsidP="001B52C0">
      <w:pPr>
        <w:spacing w:line="240" w:lineRule="auto"/>
        <w:contextualSpacing/>
      </w:pPr>
      <w:r w:rsidRPr="00762270">
        <w:t>CONSORT - Consolidated Standards of Reporting Trials</w:t>
      </w:r>
    </w:p>
    <w:p w14:paraId="5230AFE0" w14:textId="375CBFEF" w:rsidR="001B52C0" w:rsidRPr="00762270" w:rsidRDefault="001B52C0" w:rsidP="001B52C0">
      <w:pPr>
        <w:spacing w:line="240" w:lineRule="auto"/>
        <w:contextualSpacing/>
      </w:pPr>
      <w:r w:rsidRPr="00762270">
        <w:t>COPD</w:t>
      </w:r>
      <w:r w:rsidR="00762270" w:rsidRPr="00762270">
        <w:t>- Chronic obstructive pulmonary disease</w:t>
      </w:r>
    </w:p>
    <w:p w14:paraId="1DACED3D" w14:textId="3C4C3D67" w:rsidR="001B52C0" w:rsidRPr="00762270" w:rsidRDefault="001B52C0" w:rsidP="001B52C0">
      <w:pPr>
        <w:spacing w:line="240" w:lineRule="auto"/>
        <w:contextualSpacing/>
      </w:pPr>
      <w:r w:rsidRPr="00762270">
        <w:t>COVID-19</w:t>
      </w:r>
      <w:r w:rsidR="00762270" w:rsidRPr="00762270">
        <w:t xml:space="preserve"> - coronavirus disease 2019</w:t>
      </w:r>
    </w:p>
    <w:p w14:paraId="5DBB0026" w14:textId="1EC9356F" w:rsidR="001B52C0" w:rsidRPr="00762270" w:rsidRDefault="001B52C0" w:rsidP="001B52C0">
      <w:pPr>
        <w:spacing w:line="240" w:lineRule="auto"/>
        <w:contextualSpacing/>
      </w:pPr>
      <w:r w:rsidRPr="00762270">
        <w:t>CT</w:t>
      </w:r>
      <w:r w:rsidR="00762270" w:rsidRPr="00762270">
        <w:t xml:space="preserve"> - computerised tomography</w:t>
      </w:r>
    </w:p>
    <w:p w14:paraId="09F14322" w14:textId="6312CB95" w:rsidR="001B52C0" w:rsidRDefault="001B52C0" w:rsidP="001B52C0">
      <w:pPr>
        <w:spacing w:line="240" w:lineRule="auto"/>
        <w:contextualSpacing/>
      </w:pPr>
      <w:r w:rsidRPr="00762270">
        <w:t>CXR</w:t>
      </w:r>
      <w:r w:rsidR="00762270" w:rsidRPr="00762270">
        <w:t xml:space="preserve"> - chest radiograph</w:t>
      </w:r>
    </w:p>
    <w:p w14:paraId="63190D69" w14:textId="3C60EC0A" w:rsidR="001849D8" w:rsidRPr="00762270" w:rsidRDefault="001849D8" w:rsidP="001B52C0">
      <w:pPr>
        <w:spacing w:line="240" w:lineRule="auto"/>
        <w:contextualSpacing/>
      </w:pPr>
      <w:r>
        <w:t>HR- Hazard Ratio</w:t>
      </w:r>
    </w:p>
    <w:p w14:paraId="42B8A069" w14:textId="40BEEE5C" w:rsidR="00762270" w:rsidRPr="00762270" w:rsidRDefault="00762270" w:rsidP="00A1080B">
      <w:pPr>
        <w:spacing w:line="240" w:lineRule="auto"/>
        <w:contextualSpacing/>
      </w:pPr>
      <w:r w:rsidRPr="00762270">
        <w:t>IQR - interquartile range</w:t>
      </w:r>
    </w:p>
    <w:p w14:paraId="33A4CA5A" w14:textId="65DDF2BE" w:rsidR="00A1080B" w:rsidRPr="00762270" w:rsidRDefault="00A1080B" w:rsidP="00A1080B">
      <w:pPr>
        <w:spacing w:line="240" w:lineRule="auto"/>
        <w:contextualSpacing/>
      </w:pPr>
      <w:r w:rsidRPr="00762270">
        <w:t>LDH</w:t>
      </w:r>
      <w:r w:rsidR="00762270" w:rsidRPr="00762270">
        <w:t xml:space="preserve"> - Lactate dehydrogenase</w:t>
      </w:r>
    </w:p>
    <w:p w14:paraId="5FFF8327" w14:textId="3E35F839" w:rsidR="00762270" w:rsidRPr="00762270" w:rsidRDefault="00762270" w:rsidP="00762270">
      <w:pPr>
        <w:spacing w:line="240" w:lineRule="auto"/>
        <w:contextualSpacing/>
      </w:pPr>
      <w:r w:rsidRPr="00762270">
        <w:t xml:space="preserve">Level 2 - </w:t>
      </w:r>
      <w:r w:rsidRPr="00762270">
        <w:rPr>
          <w:rFonts w:ascii="Calibri" w:hAnsi="Calibri" w:cs="Calibri"/>
        </w:rPr>
        <w:t xml:space="preserve">High </w:t>
      </w:r>
      <w:r>
        <w:rPr>
          <w:rFonts w:ascii="Calibri" w:hAnsi="Calibri" w:cs="Calibri"/>
        </w:rPr>
        <w:t>d</w:t>
      </w:r>
      <w:r w:rsidRPr="00762270">
        <w:rPr>
          <w:rFonts w:ascii="Calibri" w:hAnsi="Calibri" w:cs="Calibri"/>
        </w:rPr>
        <w:t xml:space="preserve">ependency </w:t>
      </w:r>
      <w:r>
        <w:rPr>
          <w:rFonts w:ascii="Calibri" w:hAnsi="Calibri" w:cs="Calibri"/>
        </w:rPr>
        <w:t>f</w:t>
      </w:r>
      <w:r w:rsidRPr="00762270">
        <w:rPr>
          <w:rFonts w:ascii="Calibri" w:hAnsi="Calibri" w:cs="Calibri"/>
        </w:rPr>
        <w:t xml:space="preserve">acility </w:t>
      </w:r>
    </w:p>
    <w:p w14:paraId="21053644" w14:textId="2AB69525" w:rsidR="00762270" w:rsidRPr="00762270" w:rsidRDefault="00762270" w:rsidP="00A1080B">
      <w:pPr>
        <w:spacing w:line="240" w:lineRule="auto"/>
        <w:contextualSpacing/>
      </w:pPr>
      <w:r w:rsidRPr="00762270">
        <w:t>Level 3</w:t>
      </w:r>
      <w:r>
        <w:t xml:space="preserve"> – Intensive </w:t>
      </w:r>
      <w:r w:rsidR="001E0F2B">
        <w:t>c</w:t>
      </w:r>
      <w:r>
        <w:t>are facility</w:t>
      </w:r>
    </w:p>
    <w:p w14:paraId="7C7DAA83" w14:textId="11D84C2C" w:rsidR="00A1080B" w:rsidRPr="00762270" w:rsidRDefault="00A1080B" w:rsidP="00A1080B">
      <w:pPr>
        <w:spacing w:line="240" w:lineRule="auto"/>
        <w:contextualSpacing/>
      </w:pPr>
      <w:r w:rsidRPr="00762270">
        <w:t>LOS</w:t>
      </w:r>
      <w:r w:rsidR="00762270">
        <w:t xml:space="preserve"> – Length of stay</w:t>
      </w:r>
    </w:p>
    <w:p w14:paraId="6B401CB3" w14:textId="7ADB5C64" w:rsidR="00762270" w:rsidRPr="00762270" w:rsidRDefault="00762270" w:rsidP="00762270">
      <w:pPr>
        <w:spacing w:line="240" w:lineRule="auto"/>
        <w:contextualSpacing/>
      </w:pPr>
      <w:r w:rsidRPr="00762270">
        <w:t>MERS</w:t>
      </w:r>
      <w:r>
        <w:t xml:space="preserve"> - </w:t>
      </w:r>
      <w:r w:rsidRPr="00762270">
        <w:t xml:space="preserve">Middle </w:t>
      </w:r>
      <w:r w:rsidR="00401830">
        <w:t>e</w:t>
      </w:r>
      <w:r w:rsidRPr="00762270">
        <w:t xml:space="preserve">ast </w:t>
      </w:r>
      <w:r w:rsidR="00401830">
        <w:t>r</w:t>
      </w:r>
      <w:r w:rsidRPr="00762270">
        <w:t xml:space="preserve">espiratory </w:t>
      </w:r>
      <w:r w:rsidR="00401830">
        <w:t>s</w:t>
      </w:r>
      <w:r w:rsidRPr="00762270">
        <w:t>yndrome</w:t>
      </w:r>
    </w:p>
    <w:p w14:paraId="49708F46" w14:textId="273D0DC7" w:rsidR="00762270" w:rsidRPr="00762270" w:rsidRDefault="00762270" w:rsidP="00A1080B">
      <w:pPr>
        <w:spacing w:line="240" w:lineRule="auto"/>
        <w:contextualSpacing/>
      </w:pPr>
      <w:r w:rsidRPr="00762270">
        <w:t>SARS</w:t>
      </w:r>
      <w:r>
        <w:t xml:space="preserve"> - </w:t>
      </w:r>
      <w:r w:rsidRPr="00762270">
        <w:t xml:space="preserve">Severe </w:t>
      </w:r>
      <w:r w:rsidR="00401830">
        <w:t>a</w:t>
      </w:r>
      <w:r w:rsidRPr="00762270">
        <w:t xml:space="preserve">cute </w:t>
      </w:r>
      <w:r w:rsidR="00401830">
        <w:t>r</w:t>
      </w:r>
      <w:r w:rsidRPr="00762270">
        <w:t xml:space="preserve">espiratory </w:t>
      </w:r>
      <w:r w:rsidR="00401830">
        <w:t>s</w:t>
      </w:r>
      <w:r w:rsidRPr="00762270">
        <w:t>yndrome</w:t>
      </w:r>
    </w:p>
    <w:p w14:paraId="3EE2D9A7" w14:textId="39846E61" w:rsidR="00A1080B" w:rsidRPr="00762270" w:rsidRDefault="00A1080B" w:rsidP="00A1080B">
      <w:pPr>
        <w:spacing w:line="240" w:lineRule="auto"/>
        <w:contextualSpacing/>
      </w:pPr>
      <w:r w:rsidRPr="00762270">
        <w:t>SARS-CoV</w:t>
      </w:r>
      <w:r w:rsidR="001E0F2B">
        <w:t>-</w:t>
      </w:r>
      <w:r w:rsidRPr="00762270">
        <w:t>2</w:t>
      </w:r>
      <w:r w:rsidR="00762270">
        <w:t xml:space="preserve"> -</w:t>
      </w:r>
      <w:r w:rsidR="00762270" w:rsidRPr="00762270">
        <w:t xml:space="preserve"> </w:t>
      </w:r>
      <w:r w:rsidR="00401830">
        <w:t>S</w:t>
      </w:r>
      <w:r w:rsidR="00762270" w:rsidRPr="00762270">
        <w:t>evere acute respiratory syndrome coronavirus 2</w:t>
      </w:r>
    </w:p>
    <w:p w14:paraId="13E2060D" w14:textId="10CB9259" w:rsidR="00762270" w:rsidRPr="00762270" w:rsidRDefault="00762270" w:rsidP="00762270">
      <w:pPr>
        <w:spacing w:line="240" w:lineRule="auto"/>
        <w:contextualSpacing/>
      </w:pPr>
      <w:r w:rsidRPr="00762270">
        <w:t>PA</w:t>
      </w:r>
      <w:r>
        <w:t xml:space="preserve"> – posterioanterior</w:t>
      </w:r>
    </w:p>
    <w:p w14:paraId="23388590" w14:textId="03820DD5" w:rsidR="00A1080B" w:rsidRPr="00762270" w:rsidRDefault="00A1080B" w:rsidP="00A1080B">
      <w:pPr>
        <w:spacing w:line="240" w:lineRule="auto"/>
        <w:contextualSpacing/>
      </w:pPr>
      <w:r w:rsidRPr="00762270">
        <w:t>PCR</w:t>
      </w:r>
      <w:r w:rsidR="00762270">
        <w:t xml:space="preserve"> - </w:t>
      </w:r>
      <w:r w:rsidR="00762270" w:rsidRPr="00762270">
        <w:t>Polymerase chain reaction</w:t>
      </w:r>
    </w:p>
    <w:p w14:paraId="3C85BDE9" w14:textId="6D0EF88B" w:rsidR="001B52C0" w:rsidRPr="00762270" w:rsidRDefault="00762270" w:rsidP="00A1080B">
      <w:pPr>
        <w:spacing w:line="240" w:lineRule="auto"/>
        <w:contextualSpacing/>
      </w:pPr>
      <w:r w:rsidRPr="00762270">
        <w:t>POCT</w:t>
      </w:r>
      <w:r>
        <w:t xml:space="preserve"> </w:t>
      </w:r>
      <w:r w:rsidR="0085245F">
        <w:t>–</w:t>
      </w:r>
      <w:r>
        <w:t xml:space="preserve"> </w:t>
      </w:r>
      <w:r w:rsidRPr="00762270">
        <w:t>Point</w:t>
      </w:r>
      <w:r w:rsidR="0085245F">
        <w:t>-</w:t>
      </w:r>
      <w:r w:rsidRPr="00762270">
        <w:t>of</w:t>
      </w:r>
      <w:r w:rsidR="0085245F">
        <w:t>-</w:t>
      </w:r>
      <w:r w:rsidR="00401830">
        <w:t>c</w:t>
      </w:r>
      <w:r w:rsidRPr="00762270">
        <w:t xml:space="preserve">are </w:t>
      </w:r>
      <w:r w:rsidR="00401830">
        <w:t>t</w:t>
      </w:r>
      <w:r w:rsidRPr="00762270">
        <w:t>esting</w:t>
      </w:r>
    </w:p>
    <w:p w14:paraId="154D97FB" w14:textId="098A566A" w:rsidR="00762270" w:rsidRPr="00762270" w:rsidRDefault="00762270">
      <w:pPr>
        <w:rPr>
          <w:b/>
          <w:bCs/>
        </w:rPr>
      </w:pPr>
      <w:r w:rsidRPr="00762270">
        <w:t>UHSFT</w:t>
      </w:r>
      <w:r>
        <w:t xml:space="preserve"> – University Hospitals Southampton NHS Foundation Trust</w:t>
      </w:r>
    </w:p>
    <w:p w14:paraId="3A19846C" w14:textId="2A169B47" w:rsidR="00176EFE" w:rsidRPr="00401830" w:rsidRDefault="00176EFE">
      <w:pPr>
        <w:rPr>
          <w:b/>
          <w:bCs/>
        </w:rPr>
      </w:pPr>
      <w:r w:rsidRPr="00401830">
        <w:rPr>
          <w:b/>
          <w:bCs/>
        </w:rPr>
        <w:t>Declarations</w:t>
      </w:r>
    </w:p>
    <w:p w14:paraId="404FA9CA" w14:textId="1E74A184" w:rsidR="00176EFE" w:rsidRPr="00401830" w:rsidRDefault="00176EFE">
      <w:pPr>
        <w:rPr>
          <w:b/>
          <w:bCs/>
        </w:rPr>
      </w:pPr>
      <w:r w:rsidRPr="00401830">
        <w:rPr>
          <w:b/>
          <w:bCs/>
        </w:rPr>
        <w:t>Ethics approval and consent to participate</w:t>
      </w:r>
    </w:p>
    <w:p w14:paraId="7B6510B4" w14:textId="0E26B8B3" w:rsidR="00176EFE" w:rsidRPr="008B740A" w:rsidRDefault="00176EFE">
      <w:pPr>
        <w:rPr>
          <w:rFonts w:cstheme="minorHAnsi"/>
          <w:b/>
          <w:bCs/>
          <w:color w:val="000000" w:themeColor="text1"/>
        </w:rPr>
      </w:pPr>
      <w:r w:rsidRPr="008B740A">
        <w:rPr>
          <w:rFonts w:cstheme="minorHAnsi"/>
          <w:color w:val="000000" w:themeColor="text1"/>
          <w:shd w:val="clear" w:color="auto" w:fill="FFFFFF"/>
        </w:rPr>
        <w:t>The study was approved by the South-Central Hampshire A Research Ethics Committee: REC reference 19/SC/0138, on the 16th March 2020. No patient identifiable data is included in this manuscript.</w:t>
      </w:r>
    </w:p>
    <w:p w14:paraId="5C8B69EF" w14:textId="77777777" w:rsidR="00176EFE" w:rsidRPr="00401830" w:rsidRDefault="00176EFE" w:rsidP="00176EFE">
      <w:pPr>
        <w:rPr>
          <w:b/>
          <w:bCs/>
        </w:rPr>
      </w:pPr>
      <w:r w:rsidRPr="00401830">
        <w:rPr>
          <w:b/>
          <w:bCs/>
        </w:rPr>
        <w:t>Consent for publication</w:t>
      </w:r>
    </w:p>
    <w:p w14:paraId="333B016A" w14:textId="62F8AB6C" w:rsidR="00176EFE" w:rsidRPr="00401830" w:rsidRDefault="00176EFE" w:rsidP="00176EFE">
      <w:r w:rsidRPr="00401830">
        <w:t>Not applicable.</w:t>
      </w:r>
    </w:p>
    <w:p w14:paraId="78D530C3" w14:textId="1DF228AE" w:rsidR="00176EFE" w:rsidRPr="00401830" w:rsidRDefault="00176EFE" w:rsidP="00176EFE">
      <w:pPr>
        <w:rPr>
          <w:b/>
          <w:bCs/>
        </w:rPr>
      </w:pPr>
      <w:r w:rsidRPr="00401830">
        <w:rPr>
          <w:b/>
          <w:bCs/>
        </w:rPr>
        <w:t>Availability of data and materials</w:t>
      </w:r>
    </w:p>
    <w:p w14:paraId="17475729" w14:textId="7E707D3E" w:rsidR="00176EFE" w:rsidRPr="00401830" w:rsidRDefault="00176EFE" w:rsidP="00176EFE">
      <w:r w:rsidRPr="00401830">
        <w:t>All data generated or analysed during this study are included in this published article [and its supplementary information files]</w:t>
      </w:r>
    </w:p>
    <w:p w14:paraId="059A8FFC" w14:textId="00C1908D" w:rsidR="00A1080B" w:rsidRPr="00401830" w:rsidRDefault="00176EFE">
      <w:pPr>
        <w:rPr>
          <w:b/>
          <w:bCs/>
        </w:rPr>
      </w:pPr>
      <w:r w:rsidRPr="00401830">
        <w:rPr>
          <w:b/>
          <w:bCs/>
        </w:rPr>
        <w:t>Competing interests</w:t>
      </w:r>
    </w:p>
    <w:p w14:paraId="6BC931F9" w14:textId="77777777" w:rsidR="00176EFE" w:rsidRPr="00401830" w:rsidRDefault="00A1080B">
      <w:r w:rsidRPr="00401830">
        <w:t>The authors have no competing interests to declare</w:t>
      </w:r>
    </w:p>
    <w:p w14:paraId="0B5B0CD2" w14:textId="77777777" w:rsidR="00176EFE" w:rsidRPr="00401830" w:rsidRDefault="00176EFE">
      <w:pPr>
        <w:rPr>
          <w:b/>
          <w:bCs/>
        </w:rPr>
      </w:pPr>
      <w:r w:rsidRPr="00401830">
        <w:rPr>
          <w:b/>
          <w:bCs/>
        </w:rPr>
        <w:t>Funding</w:t>
      </w:r>
    </w:p>
    <w:p w14:paraId="6E5D4BE2" w14:textId="61AB1857" w:rsidR="00176EFE" w:rsidRPr="00401830" w:rsidRDefault="00176EFE">
      <w:r w:rsidRPr="00401830">
        <w:t xml:space="preserve">The corresponding author TJMW receives a research fellowship </w:t>
      </w:r>
      <w:r w:rsidR="00401830" w:rsidRPr="00401830">
        <w:t xml:space="preserve">grant </w:t>
      </w:r>
      <w:r w:rsidRPr="00401830">
        <w:t xml:space="preserve">from the NIHR Southampton Clinical Research Facility (Southampton, UK) </w:t>
      </w:r>
    </w:p>
    <w:p w14:paraId="14CB4A43" w14:textId="77777777" w:rsidR="00176EFE" w:rsidRPr="00401830" w:rsidRDefault="00176EFE">
      <w:pPr>
        <w:rPr>
          <w:b/>
          <w:bCs/>
        </w:rPr>
      </w:pPr>
      <w:r w:rsidRPr="00401830">
        <w:rPr>
          <w:b/>
          <w:bCs/>
        </w:rPr>
        <w:t>Authors’ contributions</w:t>
      </w:r>
    </w:p>
    <w:p w14:paraId="4651C2AB" w14:textId="35D894AB" w:rsidR="006B1C90" w:rsidRPr="00401830" w:rsidRDefault="006B1C90">
      <w:r w:rsidRPr="00401830">
        <w:t>TW constructed and executed the data analysis plan</w:t>
      </w:r>
      <w:r w:rsidR="00401830" w:rsidRPr="00401830">
        <w:t xml:space="preserve"> and drafted the manuscript</w:t>
      </w:r>
    </w:p>
    <w:p w14:paraId="4CF087CB" w14:textId="7261F008" w:rsidR="006B1C90" w:rsidRPr="00401830" w:rsidRDefault="00176EFE">
      <w:r w:rsidRPr="00401830">
        <w:lastRenderedPageBreak/>
        <w:t>TW</w:t>
      </w:r>
      <w:r w:rsidR="006B1C90" w:rsidRPr="00401830">
        <w:t>,</w:t>
      </w:r>
      <w:r w:rsidRPr="00401830">
        <w:t xml:space="preserve"> EH</w:t>
      </w:r>
      <w:r w:rsidR="006B1C90" w:rsidRPr="00401830">
        <w:t>,</w:t>
      </w:r>
      <w:r w:rsidRPr="00401830">
        <w:t xml:space="preserve"> JH</w:t>
      </w:r>
      <w:r w:rsidR="006B1C90" w:rsidRPr="00401830">
        <w:t>,</w:t>
      </w:r>
      <w:r w:rsidRPr="00401830">
        <w:t xml:space="preserve"> BW, HB</w:t>
      </w:r>
      <w:r w:rsidR="006B1C90" w:rsidRPr="00401830">
        <w:t xml:space="preserve">, AF, LD, </w:t>
      </w:r>
      <w:proofErr w:type="spellStart"/>
      <w:r w:rsidR="006B1C90" w:rsidRPr="00401830">
        <w:t>A.Freeman</w:t>
      </w:r>
      <w:proofErr w:type="spellEnd"/>
      <w:r w:rsidR="006B1C90" w:rsidRPr="00401830">
        <w:t xml:space="preserve"> </w:t>
      </w:r>
      <w:proofErr w:type="spellStart"/>
      <w:r w:rsidR="006B1C90" w:rsidRPr="00401830">
        <w:t>A.Fazleen</w:t>
      </w:r>
      <w:proofErr w:type="spellEnd"/>
      <w:r w:rsidR="006B1C90" w:rsidRPr="00401830">
        <w:t xml:space="preserve">, AK, </w:t>
      </w:r>
      <w:proofErr w:type="spellStart"/>
      <w:r w:rsidR="006B1C90" w:rsidRPr="00401830">
        <w:t>CMc</w:t>
      </w:r>
      <w:r w:rsidR="0085245F">
        <w:t>Q</w:t>
      </w:r>
      <w:proofErr w:type="spellEnd"/>
      <w:r w:rsidR="006B1C90" w:rsidRPr="00401830">
        <w:t>, MW</w:t>
      </w:r>
      <w:r w:rsidR="00401830" w:rsidRPr="00401830">
        <w:t xml:space="preserve"> and</w:t>
      </w:r>
      <w:r w:rsidR="006B1C90" w:rsidRPr="00401830">
        <w:t xml:space="preserve"> BGM –</w:t>
      </w:r>
      <w:r w:rsidR="00401830" w:rsidRPr="00401830">
        <w:t xml:space="preserve"> conducted clinical follow-up appointments and</w:t>
      </w:r>
      <w:r w:rsidR="006B1C90" w:rsidRPr="00401830">
        <w:t xml:space="preserve"> collected data</w:t>
      </w:r>
      <w:r w:rsidR="00401830" w:rsidRPr="00401830">
        <w:t>.</w:t>
      </w:r>
      <w:r w:rsidR="006B1C90" w:rsidRPr="00401830">
        <w:t xml:space="preserve"> </w:t>
      </w:r>
    </w:p>
    <w:p w14:paraId="18D8DA20" w14:textId="53CB09B4" w:rsidR="006B1C90" w:rsidRPr="00401830" w:rsidRDefault="006B1C90">
      <w:r w:rsidRPr="00401830">
        <w:t>SP and NJB, designed and implemented the CoV-19POC study</w:t>
      </w:r>
    </w:p>
    <w:p w14:paraId="7A43995F" w14:textId="06810F4B" w:rsidR="006B1C90" w:rsidRPr="00401830" w:rsidRDefault="006B1C90">
      <w:r w:rsidRPr="00401830">
        <w:t>TWC was responsible for the conception and oversight of the CoV-19POC stud</w:t>
      </w:r>
      <w:r w:rsidR="00401830" w:rsidRPr="00401830">
        <w:t>y</w:t>
      </w:r>
    </w:p>
    <w:p w14:paraId="6D3F98CA" w14:textId="7981A95B" w:rsidR="00424CA0" w:rsidRPr="00401830" w:rsidRDefault="00424CA0">
      <w:r w:rsidRPr="00401830">
        <w:t xml:space="preserve">HB and </w:t>
      </w:r>
      <w:proofErr w:type="spellStart"/>
      <w:r w:rsidRPr="00401830">
        <w:t>A.Freeman</w:t>
      </w:r>
      <w:proofErr w:type="spellEnd"/>
      <w:r w:rsidRPr="00401830">
        <w:t xml:space="preserve"> were responsible for the design and implementation of the Southampton REACT study</w:t>
      </w:r>
      <w:r w:rsidR="00401830" w:rsidRPr="00401830">
        <w:t>.</w:t>
      </w:r>
      <w:r w:rsidRPr="00401830">
        <w:t xml:space="preserve"> </w:t>
      </w:r>
    </w:p>
    <w:p w14:paraId="3E845F61" w14:textId="766EE426" w:rsidR="00424CA0" w:rsidRPr="00401830" w:rsidRDefault="00424CA0">
      <w:r w:rsidRPr="00401830">
        <w:t xml:space="preserve">TMAW was responsible for the conception and oversight of the Southampton REACT study </w:t>
      </w:r>
    </w:p>
    <w:p w14:paraId="06D7C138" w14:textId="4B6A0D13" w:rsidR="00176EFE" w:rsidRPr="00401830" w:rsidRDefault="006B1C90">
      <w:r w:rsidRPr="00401830">
        <w:t xml:space="preserve">HB, </w:t>
      </w:r>
      <w:proofErr w:type="spellStart"/>
      <w:r w:rsidRPr="00401830">
        <w:t>A.Freeman</w:t>
      </w:r>
      <w:proofErr w:type="spellEnd"/>
      <w:r w:rsidRPr="00401830">
        <w:t xml:space="preserve">, TMAW, MGJ, BGM </w:t>
      </w:r>
      <w:r w:rsidR="00424CA0" w:rsidRPr="00401830">
        <w:t xml:space="preserve">were responsible for review and </w:t>
      </w:r>
      <w:r w:rsidRPr="00401830">
        <w:t>drafting of the manuscript.</w:t>
      </w:r>
    </w:p>
    <w:p w14:paraId="79E5095D" w14:textId="0A345BF7" w:rsidR="00424CA0" w:rsidRPr="00401830" w:rsidRDefault="00424CA0">
      <w:r w:rsidRPr="00401830">
        <w:t>TW,</w:t>
      </w:r>
      <w:r w:rsidR="004E4108">
        <w:t xml:space="preserve"> EH,</w:t>
      </w:r>
      <w:r w:rsidRPr="00401830">
        <w:t xml:space="preserve"> MGJ and BGM were involved in the overall study conception</w:t>
      </w:r>
    </w:p>
    <w:p w14:paraId="604BF87F" w14:textId="385A43BA" w:rsidR="006B1C90" w:rsidRPr="00401830" w:rsidRDefault="006B1C90">
      <w:r w:rsidRPr="00401830">
        <w:t>All authors read and approved the final manuscript.</w:t>
      </w:r>
    </w:p>
    <w:p w14:paraId="393516EE" w14:textId="22D2AA30" w:rsidR="00176EFE" w:rsidRPr="00401830" w:rsidRDefault="00176EFE">
      <w:pPr>
        <w:rPr>
          <w:b/>
          <w:bCs/>
        </w:rPr>
      </w:pPr>
      <w:r w:rsidRPr="00401830">
        <w:rPr>
          <w:b/>
          <w:bCs/>
        </w:rPr>
        <w:t>Author Information</w:t>
      </w:r>
    </w:p>
    <w:p w14:paraId="23856E87" w14:textId="77777777" w:rsidR="00424CA0" w:rsidRPr="00401830" w:rsidRDefault="00176EFE">
      <w:r w:rsidRPr="00401830">
        <w:t>MG Jones and BG Marshall contributed equally to this work</w:t>
      </w:r>
    </w:p>
    <w:p w14:paraId="730AC6A4" w14:textId="7F7379E9" w:rsidR="00424CA0" w:rsidRDefault="00424CA0" w:rsidP="00424CA0">
      <w:pPr>
        <w:pStyle w:val="ListParagraph"/>
        <w:ind w:left="0"/>
        <w:jc w:val="both"/>
      </w:pPr>
      <w:r w:rsidRPr="00424CA0">
        <w:rPr>
          <w:b/>
          <w:bCs/>
        </w:rPr>
        <w:t>Corresponding author</w:t>
      </w:r>
      <w:r>
        <w:t xml:space="preserve"> </w:t>
      </w:r>
    </w:p>
    <w:p w14:paraId="15B8D1C0" w14:textId="77777777" w:rsidR="004E4108" w:rsidRPr="00B95C55" w:rsidRDefault="004E4108" w:rsidP="004E4108">
      <w:r w:rsidRPr="00B95C55">
        <w:t>Corresponding Author: Dr Tim Wallis NIHR Southampton Biomedical Research Centre Research Fellow. MP218 D-Level South Academic Block University Hospital Southampton SO16 6YD. email timothy.wallis@soton.ac.uk</w:t>
      </w:r>
    </w:p>
    <w:p w14:paraId="6AEDD2DE" w14:textId="682BFB16" w:rsidR="00424CA0" w:rsidRPr="00424CA0" w:rsidRDefault="00424CA0" w:rsidP="00424CA0">
      <w:pPr>
        <w:pStyle w:val="ListParagraph"/>
        <w:ind w:left="0"/>
        <w:jc w:val="both"/>
        <w:rPr>
          <w:b/>
          <w:bCs/>
        </w:rPr>
      </w:pPr>
    </w:p>
    <w:p w14:paraId="7A4C5E92" w14:textId="5AD8D155" w:rsidR="00424CA0" w:rsidRPr="00424CA0" w:rsidRDefault="00424CA0" w:rsidP="00424CA0">
      <w:pPr>
        <w:pStyle w:val="ListParagraph"/>
        <w:ind w:left="0"/>
        <w:jc w:val="both"/>
        <w:rPr>
          <w:b/>
          <w:bCs/>
        </w:rPr>
      </w:pPr>
      <w:r w:rsidRPr="00424CA0">
        <w:rPr>
          <w:b/>
          <w:bCs/>
        </w:rPr>
        <w:t>Acknowledgments</w:t>
      </w:r>
    </w:p>
    <w:p w14:paraId="6FC08D8C" w14:textId="7F315B38" w:rsidR="00F671BE" w:rsidRPr="00176EFE" w:rsidRDefault="00F671BE">
      <w:pPr>
        <w:rPr>
          <w:sz w:val="24"/>
          <w:szCs w:val="24"/>
        </w:rPr>
      </w:pPr>
      <w:r w:rsidRPr="00176EFE">
        <w:rPr>
          <w:sz w:val="24"/>
          <w:szCs w:val="24"/>
        </w:rPr>
        <w:br w:type="page"/>
      </w:r>
    </w:p>
    <w:p w14:paraId="253DD9E0" w14:textId="60EFEF6A" w:rsidR="0054220A" w:rsidRPr="00672622" w:rsidRDefault="0054220A" w:rsidP="00332441">
      <w:pPr>
        <w:pStyle w:val="ListParagraph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672622">
        <w:rPr>
          <w:b/>
          <w:bCs/>
          <w:sz w:val="24"/>
          <w:szCs w:val="24"/>
        </w:rPr>
        <w:lastRenderedPageBreak/>
        <w:t>Introduction</w:t>
      </w:r>
    </w:p>
    <w:p w14:paraId="7F24E3D6" w14:textId="14BBB9EC" w:rsidR="00672622" w:rsidRDefault="00672622" w:rsidP="00332441">
      <w:pPr>
        <w:spacing w:line="360" w:lineRule="auto"/>
        <w:jc w:val="both"/>
      </w:pPr>
      <w:r>
        <w:t>The longer</w:t>
      </w:r>
      <w:r w:rsidR="0099292D">
        <w:t>-</w:t>
      </w:r>
      <w:r>
        <w:t>term consequences of COVID-19</w:t>
      </w:r>
      <w:r w:rsidR="009C3615">
        <w:t>,</w:t>
      </w:r>
      <w:r w:rsidR="00141128">
        <w:t xml:space="preserve"> the disease</w:t>
      </w:r>
      <w:r w:rsidR="009C3615">
        <w:t xml:space="preserve"> </w:t>
      </w:r>
      <w:r>
        <w:t>caused by infection with severe acute respiratory syndrome coronavirus 2 (SARS-CoV-2)</w:t>
      </w:r>
      <w:r w:rsidR="009C3615">
        <w:t>,</w:t>
      </w:r>
      <w:r>
        <w:t xml:space="preserve"> remain unclear. Long term progression to pulmonary fibrosis ha</w:t>
      </w:r>
      <w:r w:rsidR="007265E2">
        <w:t>s</w:t>
      </w:r>
      <w:r>
        <w:t xml:space="preserve"> previously been identified following infection with other </w:t>
      </w:r>
      <w:r w:rsidR="00332441">
        <w:t>species</w:t>
      </w:r>
      <w:r>
        <w:t xml:space="preserve"> of the coronavirus family e.g. </w:t>
      </w:r>
      <w:r w:rsidR="002B6949">
        <w:t>severe</w:t>
      </w:r>
      <w:r>
        <w:t xml:space="preserve"> acute respiratory syndrome (SARS</w:t>
      </w:r>
      <w:r w:rsidR="0085245F">
        <w:t>-CoV-1</w:t>
      </w:r>
      <w:r>
        <w:t>) and Middle East respiratory syndrome (MERS</w:t>
      </w:r>
      <w:r w:rsidR="0085245F">
        <w:t>-</w:t>
      </w:r>
      <w:proofErr w:type="spellStart"/>
      <w:r w:rsidR="0085245F">
        <w:t>CoV</w:t>
      </w:r>
      <w:proofErr w:type="spellEnd"/>
      <w:r>
        <w:t>)</w:t>
      </w:r>
      <w:r w:rsidR="00E13F96">
        <w:t xml:space="preserve"> </w:t>
      </w:r>
      <w:r>
        <w:fldChar w:fldCharType="begin"/>
      </w:r>
      <w:r>
        <w:instrText xml:space="preserve"> ADDIN EN.CITE &lt;EndNote&gt;&lt;Cite&gt;&lt;Author&gt;Spagnolo&lt;/Author&gt;&lt;RecNum&gt;1&lt;/RecNum&gt;&lt;DisplayText&gt;(1)&lt;/DisplayText&gt;&lt;record&gt;&lt;rec-number&gt;1&lt;/rec-number&gt;&lt;foreign-keys&gt;&lt;key app="EN" db-id="dstpzdzfizwasdex5voxsdxk5wrawv9rz9zt" timestamp="1591710827"&gt;1&lt;/key&gt;&lt;/foreign-keys&gt;&lt;ref-type name="Journal Article"&gt;17&lt;/ref-type&gt;&lt;contributors&gt;&lt;authors&gt;&lt;author&gt;Spagnolo, Paolo&lt;/author&gt;&lt;author&gt;Balestro, Elisabetta&lt;/author&gt;&lt;author&gt;Aliberti, Stefano&lt;/author&gt;&lt;author&gt;Cocconcelli, Elisabetta&lt;/author&gt;&lt;author&gt;Biondini, Davide&lt;/author&gt;&lt;author&gt;Casa, Giovanni Della&lt;/author&gt;&lt;author&gt;Sverzellati, Nicola&lt;/author&gt;&lt;author&gt;Maher, Toby M.&lt;/author&gt;&lt;/authors&gt;&lt;/contributors&gt;&lt;titles&gt;&lt;title&gt;Pulmonary fibrosis secondary to COVID-19: a call to arms?&lt;/title&gt;&lt;secondary-title&gt;The Lancet Respiratory Medicine&lt;/secondary-title&gt;&lt;/titles&gt;&lt;periodical&gt;&lt;full-title&gt;The Lancet Respiratory Medicine&lt;/full-title&gt;&lt;/periodical&gt;&lt;dates&gt;&lt;/dates&gt;&lt;publisher&gt;Elsevier&lt;/publisher&gt;&lt;isbn&gt;2213-2600&lt;/isbn&gt;&lt;urls&gt;&lt;related-urls&gt;&lt;url&gt;https://doi.org/10.1016/S2213-2600(20)30222-8&lt;/url&gt;&lt;/related-urls&gt;&lt;/urls&gt;&lt;electronic-resource-num&gt;10.1016/S2213-2600(20)30222-8&lt;/electronic-resource-num&gt;&lt;access-date&gt;2020/06/09&lt;/access-date&gt;&lt;/record&gt;&lt;/Cite&gt;&lt;/EndNote&gt;</w:instrText>
      </w:r>
      <w:r>
        <w:fldChar w:fldCharType="separate"/>
      </w:r>
      <w:r>
        <w:rPr>
          <w:noProof/>
        </w:rPr>
        <w:t>(1)</w:t>
      </w:r>
      <w:r>
        <w:fldChar w:fldCharType="end"/>
      </w:r>
      <w:r>
        <w:t>. Consequently</w:t>
      </w:r>
      <w:r w:rsidR="0018720C">
        <w:t>,</w:t>
      </w:r>
      <w:r>
        <w:t xml:space="preserve"> early in the</w:t>
      </w:r>
      <w:r w:rsidR="00807C48">
        <w:t xml:space="preserve"> COVID-19</w:t>
      </w:r>
      <w:r>
        <w:t xml:space="preserve"> pandemic</w:t>
      </w:r>
      <w:r w:rsidR="0018720C">
        <w:t>,</w:t>
      </w:r>
      <w:r>
        <w:t xml:space="preserve"> </w:t>
      </w:r>
      <w:r w:rsidR="0065579E">
        <w:t>consensus</w:t>
      </w:r>
      <w:r>
        <w:t xml:space="preserve"> guidelines </w:t>
      </w:r>
      <w:r w:rsidR="00F671BE">
        <w:t>based upon expert opinion were</w:t>
      </w:r>
      <w:r w:rsidR="0089043B">
        <w:t xml:space="preserve"> </w:t>
      </w:r>
      <w:r>
        <w:t xml:space="preserve">published </w:t>
      </w:r>
      <w:r w:rsidR="00F671BE">
        <w:t>proposing</w:t>
      </w:r>
      <w:r w:rsidR="00873997">
        <w:t xml:space="preserve"> </w:t>
      </w:r>
      <w:r>
        <w:t xml:space="preserve">follow-up strategies for patients with COVID-19 to </w:t>
      </w:r>
      <w:r w:rsidR="004F0F54">
        <w:t xml:space="preserve">monitor patients for </w:t>
      </w:r>
      <w:r>
        <w:t xml:space="preserve">longer term complications </w:t>
      </w:r>
      <w:r>
        <w:fldChar w:fldCharType="begin">
          <w:fldData xml:space="preserve">PEVuZE5vdGU+PENpdGU+PEF1dGhvcj5CVFM8L0F1dGhvcj48WWVhcj4yMDIwPC9ZZWFyPjxSZWNO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==
</w:fldData>
        </w:fldChar>
      </w:r>
      <w:r w:rsidR="00F72D45">
        <w:instrText xml:space="preserve"> ADDIN EN.CITE </w:instrText>
      </w:r>
      <w:r w:rsidR="00F72D45">
        <w:fldChar w:fldCharType="begin">
          <w:fldData xml:space="preserve">PEVuZE5vdGU+PENpdGU+PEF1dGhvcj5CVFM8L0F1dGhvcj48WWVhcj4yMDIwPC9ZZWFyPjxSZWNO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==
</w:fldData>
        </w:fldChar>
      </w:r>
      <w:r w:rsidR="00F72D45">
        <w:instrText xml:space="preserve"> ADDIN EN.CITE.DATA </w:instrText>
      </w:r>
      <w:r w:rsidR="00F72D45">
        <w:fldChar w:fldCharType="end"/>
      </w:r>
      <w:r>
        <w:fldChar w:fldCharType="separate"/>
      </w:r>
      <w:r w:rsidR="00B556EC">
        <w:rPr>
          <w:noProof/>
        </w:rPr>
        <w:t>(2, 3)</w:t>
      </w:r>
      <w:r>
        <w:fldChar w:fldCharType="end"/>
      </w:r>
      <w:r>
        <w:t xml:space="preserve">. </w:t>
      </w:r>
    </w:p>
    <w:p w14:paraId="7934754C" w14:textId="52F64EC5" w:rsidR="005743C3" w:rsidRDefault="00FF0C0A" w:rsidP="00332441">
      <w:pPr>
        <w:spacing w:line="360" w:lineRule="auto"/>
        <w:jc w:val="both"/>
      </w:pPr>
      <w:r>
        <w:t>S</w:t>
      </w:r>
      <w:r w:rsidR="00F61437">
        <w:t>hort</w:t>
      </w:r>
      <w:r w:rsidR="00C73D40">
        <w:t xml:space="preserve"> term follow-up </w:t>
      </w:r>
      <w:r>
        <w:t xml:space="preserve">studies of </w:t>
      </w:r>
      <w:r w:rsidR="00C73D40">
        <w:t>patients with COVID-19 ha</w:t>
      </w:r>
      <w:r w:rsidR="00F61437">
        <w:t>ve</w:t>
      </w:r>
      <w:r w:rsidR="00C73D40">
        <w:t xml:space="preserve"> demonstrated that fibrotic changes in the lungs can be detected after as little as 3 weeks in patients </w:t>
      </w:r>
      <w:r w:rsidR="0018720C">
        <w:t>across the whole</w:t>
      </w:r>
      <w:r w:rsidR="00C73D40">
        <w:t xml:space="preserve"> spectrum of disease severity </w:t>
      </w:r>
      <w:r w:rsidR="00C73D40">
        <w:fldChar w:fldCharType="begin">
          <w:fldData xml:space="preserve">PEVuZE5vdGU+PENpdGU+PEF1dGhvcj5MaTwvQXV0aG9yPjxZZWFyPjIwMjA8L1llYXI+PFJlY051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=
</w:fldData>
        </w:fldChar>
      </w:r>
      <w:r w:rsidR="00D22CB5">
        <w:instrText xml:space="preserve"> ADDIN EN.CITE </w:instrText>
      </w:r>
      <w:r w:rsidR="00D22CB5">
        <w:fldChar w:fldCharType="begin">
          <w:fldData xml:space="preserve">PEVuZE5vdGU+PENpdGU+PEF1dGhvcj5MaTwvQXV0aG9yPjxZZWFyPjIwMjA8L1llYXI+PFJlY051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=
</w:fldData>
        </w:fldChar>
      </w:r>
      <w:r w:rsidR="00D22CB5">
        <w:instrText xml:space="preserve"> ADDIN EN.CITE.DATA </w:instrText>
      </w:r>
      <w:r w:rsidR="00D22CB5">
        <w:fldChar w:fldCharType="end"/>
      </w:r>
      <w:r w:rsidR="00C73D40">
        <w:fldChar w:fldCharType="separate"/>
      </w:r>
      <w:r w:rsidR="00D22CB5">
        <w:rPr>
          <w:noProof/>
        </w:rPr>
        <w:t>(4, 5)</w:t>
      </w:r>
      <w:r w:rsidR="00C73D40">
        <w:fldChar w:fldCharType="end"/>
      </w:r>
      <w:r w:rsidR="00C73D40">
        <w:t>.</w:t>
      </w:r>
      <w:r w:rsidR="00586E4D">
        <w:t xml:space="preserve"> </w:t>
      </w:r>
      <w:r w:rsidR="00685C23">
        <w:t xml:space="preserve">Studies of </w:t>
      </w:r>
      <w:r w:rsidR="00523984">
        <w:t>medium-term</w:t>
      </w:r>
      <w:r w:rsidR="00685C23">
        <w:t xml:space="preserve"> follow-up </w:t>
      </w:r>
      <w:r w:rsidR="00523984">
        <w:t xml:space="preserve">are currently limited. </w:t>
      </w:r>
      <w:r w:rsidR="00586E4D">
        <w:t>In</w:t>
      </w:r>
      <w:r w:rsidR="00523984">
        <w:t xml:space="preserve"> a</w:t>
      </w:r>
      <w:r w:rsidR="00586E4D">
        <w:t xml:space="preserve"> real</w:t>
      </w:r>
      <w:r w:rsidR="00523984">
        <w:t>-</w:t>
      </w:r>
      <w:r w:rsidR="00586E4D">
        <w:t xml:space="preserve">world prospective follow-up study of COVID-19 survivors Mandal et al. </w:t>
      </w:r>
      <w:r w:rsidR="00523984">
        <w:t>identify persistent chest radiography abnormality in</w:t>
      </w:r>
      <w:r w:rsidR="00586E4D">
        <w:t xml:space="preserve"> 38% </w:t>
      </w:r>
      <w:r w:rsidR="00523984">
        <w:t xml:space="preserve">of </w:t>
      </w:r>
      <w:r w:rsidR="00586E4D">
        <w:t>patients at</w:t>
      </w:r>
      <w:r w:rsidR="002453AC">
        <w:t xml:space="preserve"> </w:t>
      </w:r>
      <w:r w:rsidR="00523984">
        <w:t xml:space="preserve">a </w:t>
      </w:r>
      <w:r w:rsidR="002453AC">
        <w:t>median follow-up interval of 54 days</w:t>
      </w:r>
      <w:r w:rsidR="006C3DDB">
        <w:t xml:space="preserve"> </w:t>
      </w:r>
      <w:r w:rsidR="002453AC">
        <w:fldChar w:fldCharType="begin"/>
      </w:r>
      <w:r w:rsidR="00D22CB5">
        <w:instrText xml:space="preserve"> ADDIN EN.CITE &lt;EndNote&gt;&lt;Cite&gt;&lt;Author&gt;Mandal&lt;/Author&gt;&lt;Year&gt;2020&lt;/Year&gt;&lt;RecNum&gt;484&lt;/RecNum&gt;&lt;DisplayText&gt;(6)&lt;/DisplayText&gt;&lt;record&gt;&lt;rec-number&gt;484&lt;/rec-number&gt;&lt;foreign-keys&gt;&lt;key app="EN" db-id="p9fvtfpx39zev2evef255xeg0rd02x5vsrza" timestamp="1606230144"&gt;484&lt;/key&gt;&lt;/foreign-keys&gt;&lt;ref-type name="Journal Article"&gt;17&lt;/ref-type&gt;&lt;contributors&gt;&lt;authors&gt;&lt;author&gt;Mandal, Swapna&lt;/author&gt;&lt;author&gt;Barnett, Joseph&lt;/author&gt;&lt;author&gt;Brill, Simon E&lt;/author&gt;&lt;author&gt;Brown, Jeremy S&lt;/author&gt;&lt;author&gt;Denneny, Emma K&lt;/author&gt;&lt;author&gt;Hare, Samanjit S&lt;/author&gt;&lt;author&gt;Heightman, Melissa&lt;/author&gt;&lt;author&gt;Hillman, Toby E&lt;/author&gt;&lt;author&gt;Jacob, Joseph&lt;/author&gt;&lt;author&gt;Jarvis, Hannah C&lt;/author&gt;&lt;author&gt;Lipman, Marc C I&lt;/author&gt;&lt;author&gt;Naidu, Sindhu B&lt;/author&gt;&lt;author&gt;Nair, Arjun&lt;/author&gt;&lt;author&gt;Porter, Joanna C&lt;/author&gt;&lt;author&gt;Tomlinson, Gillian S&lt;/author&gt;&lt;author&gt;Hurst, John R&lt;/author&gt;&lt;/authors&gt;&lt;/contributors&gt;&lt;titles&gt;&lt;title&gt;‘Long-COVID’: a cross-sectional study of persisting symptoms, biomarker and imaging abnormalities following hospitalisation for COVID-19&lt;/title&gt;&lt;secondary-title&gt;Thorax&lt;/secondary-title&gt;&lt;/titles&gt;&lt;periodical&gt;&lt;full-title&gt;Thorax&lt;/full-title&gt;&lt;/periodical&gt;&lt;pages&gt;thoraxjnl-2020-215818&lt;/pages&gt;&lt;dates&gt;&lt;year&gt;2020&lt;/year&gt;&lt;/dates&gt;&lt;urls&gt;&lt;related-urls&gt;&lt;url&gt;https://thorax.bmj.com/content/thoraxjnl/early/2020/11/09/thoraxjnl-2020-215818.full.pdf&lt;/url&gt;&lt;/related-urls&gt;&lt;/urls&gt;&lt;electronic-resource-num&gt;10.1136/thoraxjnl-2020-215818&lt;/electronic-resource-num&gt;&lt;/record&gt;&lt;/Cite&gt;&lt;/EndNote&gt;</w:instrText>
      </w:r>
      <w:r w:rsidR="002453AC">
        <w:fldChar w:fldCharType="separate"/>
      </w:r>
      <w:r w:rsidR="00D22CB5">
        <w:rPr>
          <w:noProof/>
        </w:rPr>
        <w:t>(6)</w:t>
      </w:r>
      <w:r w:rsidR="002453AC">
        <w:fldChar w:fldCharType="end"/>
      </w:r>
      <w:r w:rsidR="002453AC">
        <w:t>.</w:t>
      </w:r>
      <w:r w:rsidR="00586E4D">
        <w:t xml:space="preserve"> </w:t>
      </w:r>
      <w:r w:rsidR="00413336">
        <w:t>A prospective study of sixty COVID-19 survivors has identified ground</w:t>
      </w:r>
      <w:r w:rsidR="00141128">
        <w:t>-</w:t>
      </w:r>
      <w:r w:rsidR="00413336">
        <w:t xml:space="preserve">glass opacities and reticulation </w:t>
      </w:r>
      <w:r w:rsidR="00141128">
        <w:t xml:space="preserve">affecting greater than 10% lung volume </w:t>
      </w:r>
      <w:r w:rsidR="00413336">
        <w:t xml:space="preserve">on computed-tomography (CT) scanning in 55% of patients at 3-month follow-up </w:t>
      </w:r>
      <w:r w:rsidR="00413336">
        <w:fldChar w:fldCharType="begin"/>
      </w:r>
      <w:r w:rsidR="00D22CB5">
        <w:instrText xml:space="preserve"> ADDIN EN.CITE &lt;EndNote&gt;&lt;Cite&gt;&lt;Author&gt;Shah&lt;/Author&gt;&lt;Year&gt;2020&lt;/Year&gt;&lt;RecNum&gt;488&lt;/RecNum&gt;&lt;DisplayText&gt;(7)&lt;/DisplayText&gt;&lt;record&gt;&lt;rec-number&gt;488&lt;/rec-number&gt;&lt;foreign-keys&gt;&lt;key app="EN" db-id="p9fvtfpx39zev2evef255xeg0rd02x5vsrza" timestamp="1607434472"&gt;488&lt;/key&gt;&lt;/foreign-keys&gt;&lt;ref-type name="Journal Article"&gt;17&lt;/ref-type&gt;&lt;contributors&gt;&lt;authors&gt;&lt;author&gt;Shah, Aditi S&lt;/author&gt;&lt;author&gt;Wong, Alyson W&lt;/author&gt;&lt;author&gt;Hague, Cameron J&lt;/author&gt;&lt;author&gt;Murphy, Darra T&lt;/author&gt;&lt;author&gt;Johnston, James C&lt;/author&gt;&lt;author&gt;Ryerson, Christopher J&lt;/author&gt;&lt;author&gt;Carlsten, Christopher&lt;/author&gt;&lt;/authors&gt;&lt;/contributors&gt;&lt;titles&gt;&lt;title&gt;A prospective study of 12-week respiratory outcomes in COVID-19-related hospitalisations&lt;/title&gt;&lt;secondary-title&gt;Thorax&lt;/secondary-title&gt;&lt;/titles&gt;&lt;periodical&gt;&lt;full-title&gt;Thorax&lt;/full-title&gt;&lt;/periodical&gt;&lt;pages&gt;thoraxjnl-2020-216308&lt;/pages&gt;&lt;dates&gt;&lt;year&gt;2020&lt;/year&gt;&lt;/dates&gt;&lt;urls&gt;&lt;related-urls&gt;&lt;url&gt;https://thorax.bmj.com/content/thoraxjnl/early/2020/12/02/thoraxjnl-2020-216308.full.pdf&lt;/url&gt;&lt;/related-urls&gt;&lt;/urls&gt;&lt;electronic-resource-num&gt;10.1136/thoraxjnl-2020-216308&lt;/electronic-resource-num&gt;&lt;/record&gt;&lt;/Cite&gt;&lt;/EndNote&gt;</w:instrText>
      </w:r>
      <w:r w:rsidR="00413336">
        <w:fldChar w:fldCharType="separate"/>
      </w:r>
      <w:r w:rsidR="00D22CB5">
        <w:rPr>
          <w:noProof/>
        </w:rPr>
        <w:t>(7)</w:t>
      </w:r>
      <w:r w:rsidR="00413336">
        <w:fldChar w:fldCharType="end"/>
      </w:r>
      <w:r w:rsidR="00413336">
        <w:t>. Further i</w:t>
      </w:r>
      <w:r w:rsidR="00672622">
        <w:t>n</w:t>
      </w:r>
      <w:r w:rsidR="00070A5F">
        <w:t xml:space="preserve"> two</w:t>
      </w:r>
      <w:r w:rsidR="00672622">
        <w:t xml:space="preserve"> retrospective stud</w:t>
      </w:r>
      <w:r w:rsidR="001350F4">
        <w:t>ies</w:t>
      </w:r>
      <w:r w:rsidR="00A01C72">
        <w:t>,</w:t>
      </w:r>
      <w:r w:rsidR="00E13F96">
        <w:t xml:space="preserve"> </w:t>
      </w:r>
      <w:r w:rsidR="001350F4">
        <w:t xml:space="preserve">persistent </w:t>
      </w:r>
      <w:r w:rsidR="00A01C72">
        <w:t xml:space="preserve">CT abnormalities </w:t>
      </w:r>
      <w:r w:rsidR="0049318C">
        <w:t xml:space="preserve">were </w:t>
      </w:r>
      <w:r w:rsidR="001350F4">
        <w:t>identified in</w:t>
      </w:r>
      <w:r w:rsidR="007E31D5">
        <w:t xml:space="preserve"> </w:t>
      </w:r>
      <w:r w:rsidR="001350F4">
        <w:t>4</w:t>
      </w:r>
      <w:r w:rsidR="00413336">
        <w:t>2.3</w:t>
      </w:r>
      <w:r w:rsidR="001350F4">
        <w:t xml:space="preserve">% </w:t>
      </w:r>
      <w:r w:rsidR="001350F4">
        <w:fldChar w:fldCharType="begin"/>
      </w:r>
      <w:r w:rsidR="00D22CB5">
        <w:instrText xml:space="preserve"> ADDIN EN.CITE &lt;EndNote&gt;&lt;Cite&gt;&lt;Author&gt;Tabatabaei&lt;/Author&gt;&lt;Year&gt;2020&lt;/Year&gt;&lt;RecNum&gt;477&lt;/RecNum&gt;&lt;DisplayText&gt;(8)&lt;/DisplayText&gt;&lt;record&gt;&lt;rec-number&gt;477&lt;/rec-number&gt;&lt;foreign-keys&gt;&lt;key app="EN" db-id="p9fvtfpx39zev2evef255xeg0rd02x5vsrza" timestamp="1605694855"&gt;477&lt;/key&gt;&lt;/foreign-keys&gt;&lt;ref-type name="Journal Article"&gt;17&lt;/ref-type&gt;&lt;contributors&gt;&lt;authors&gt;&lt;author&gt;Tabatabaei, Seyed Mohammad Hossein&lt;/author&gt;&lt;author&gt;Rajebi, Hamid&lt;/author&gt;&lt;author&gt;Moghaddas, Fahimeh&lt;/author&gt;&lt;author&gt;Ghasemiadl, Mojtaba&lt;/author&gt;&lt;author&gt;Talari, Hamidreza&lt;/author&gt;&lt;/authors&gt;&lt;/contributors&gt;&lt;titles&gt;&lt;title&gt;Chest CT in COVID-19 pneumonia: what are the findings in mid-term follow-up?&lt;/title&gt;&lt;secondary-title&gt;Emergency Radiology&lt;/secondary-title&gt;&lt;/titles&gt;&lt;periodical&gt;&lt;full-title&gt;Emergency Radiology&lt;/full-title&gt;&lt;/periodical&gt;&lt;pages&gt;711-719&lt;/pages&gt;&lt;volume&gt;27&lt;/volume&gt;&lt;number&gt;6&lt;/number&gt;&lt;dates&gt;&lt;year&gt;2020&lt;/year&gt;&lt;pub-dates&gt;&lt;date&gt;2020/12/01&lt;/date&gt;&lt;/pub-dates&gt;&lt;/dates&gt;&lt;isbn&gt;1438-1435&lt;/isbn&gt;&lt;urls&gt;&lt;related-urls&gt;&lt;url&gt;https://doi.org/10.1007/s10140-020-01869-z&lt;/url&gt;&lt;/related-urls&gt;&lt;/urls&gt;&lt;electronic-resource-num&gt;10.1007/s10140-020-01869-z&lt;/electronic-resource-num&gt;&lt;/record&gt;&lt;/Cite&gt;&lt;/EndNote&gt;</w:instrText>
      </w:r>
      <w:r w:rsidR="001350F4">
        <w:fldChar w:fldCharType="separate"/>
      </w:r>
      <w:r w:rsidR="00D22CB5">
        <w:rPr>
          <w:noProof/>
        </w:rPr>
        <w:t>(8)</w:t>
      </w:r>
      <w:r w:rsidR="001350F4">
        <w:fldChar w:fldCharType="end"/>
      </w:r>
      <w:r w:rsidR="001350F4">
        <w:t xml:space="preserve"> and 70%</w:t>
      </w:r>
      <w:r w:rsidR="00672622">
        <w:t xml:space="preserve"> </w:t>
      </w:r>
      <w:r w:rsidR="001350F4">
        <w:fldChar w:fldCharType="begin"/>
      </w:r>
      <w:r w:rsidR="00D22CB5">
        <w:instrText xml:space="preserve"> ADDIN EN.CITE &lt;EndNote&gt;&lt;Cite&gt;&lt;Author&gt;Zhao&lt;/Author&gt;&lt;Year&gt;2020&lt;/Year&gt;&lt;RecNum&gt;478&lt;/RecNum&gt;&lt;DisplayText&gt;(9)&lt;/DisplayText&gt;&lt;record&gt;&lt;rec-number&gt;478&lt;/rec-number&gt;&lt;foreign-keys&gt;&lt;key app="EN" db-id="p9fvtfpx39zev2evef255xeg0rd02x5vsrza" timestamp="1605695530"&gt;478&lt;/key&gt;&lt;/foreign-keys&gt;&lt;ref-type name="Journal Article"&gt;17&lt;/ref-type&gt;&lt;contributors&gt;&lt;authors&gt;&lt;author&gt;Zhao, Yu-miao&lt;/author&gt;&lt;author&gt;Shang, Yao-min&lt;/author&gt;&lt;author&gt;Song, Wen-bin&lt;/author&gt;&lt;author&gt;Li, Qing-quan&lt;/author&gt;&lt;author&gt;Xie, Hua&lt;/author&gt;&lt;author&gt;Xu, Qin-fu&lt;/author&gt;&lt;author&gt;Jia, Jun-li&lt;/author&gt;&lt;author&gt;Li, Li-ming&lt;/author&gt;&lt;author&gt;Mao, Hong-li&lt;/author&gt;&lt;author&gt;Zhou, Xiu-man&lt;/author&gt;&lt;/authors&gt;&lt;/contributors&gt;&lt;titles&gt;&lt;title&gt;Follow-up study of the pulmonary function and related physiological characteristics of COVID-19 survivors three months after recovery&lt;/title&gt;&lt;secondary-title&gt;EClinicalMedicine&lt;/secondary-title&gt;&lt;/titles&gt;&lt;periodical&gt;&lt;full-title&gt;EClinicalMedicine&lt;/full-title&gt;&lt;/periodical&gt;&lt;pages&gt;100463&lt;/pages&gt;&lt;volume&gt;25&lt;/volume&gt;&lt;dates&gt;&lt;year&gt;2020&lt;/year&gt;&lt;/dates&gt;&lt;isbn&gt;2589-5370&lt;/isbn&gt;&lt;urls&gt;&lt;/urls&gt;&lt;/record&gt;&lt;/Cite&gt;&lt;/EndNote&gt;</w:instrText>
      </w:r>
      <w:r w:rsidR="001350F4">
        <w:fldChar w:fldCharType="separate"/>
      </w:r>
      <w:r w:rsidR="00D22CB5">
        <w:rPr>
          <w:noProof/>
        </w:rPr>
        <w:t>(9)</w:t>
      </w:r>
      <w:r w:rsidR="001350F4">
        <w:fldChar w:fldCharType="end"/>
      </w:r>
      <w:r w:rsidR="0049318C">
        <w:t xml:space="preserve"> of patients</w:t>
      </w:r>
      <w:r w:rsidR="00413336">
        <w:t xml:space="preserve"> at 3-months</w:t>
      </w:r>
      <w:r w:rsidR="001350F4">
        <w:t>.</w:t>
      </w:r>
      <w:r w:rsidR="00F6065B">
        <w:t xml:space="preserve"> </w:t>
      </w:r>
      <w:r w:rsidR="001350F4">
        <w:t xml:space="preserve">Zhao et al. </w:t>
      </w:r>
      <w:r w:rsidR="001350F4">
        <w:fldChar w:fldCharType="begin"/>
      </w:r>
      <w:r w:rsidR="00D22CB5">
        <w:instrText xml:space="preserve"> ADDIN EN.CITE &lt;EndNote&gt;&lt;Cite&gt;&lt;Author&gt;Zhao&lt;/Author&gt;&lt;Year&gt;2020&lt;/Year&gt;&lt;RecNum&gt;478&lt;/RecNum&gt;&lt;DisplayText&gt;(9)&lt;/DisplayText&gt;&lt;record&gt;&lt;rec-number&gt;478&lt;/rec-number&gt;&lt;foreign-keys&gt;&lt;key app="EN" db-id="p9fvtfpx39zev2evef255xeg0rd02x5vsrza" timestamp="1605695530"&gt;478&lt;/key&gt;&lt;/foreign-keys&gt;&lt;ref-type name="Journal Article"&gt;17&lt;/ref-type&gt;&lt;contributors&gt;&lt;authors&gt;&lt;author&gt;Zhao, Yu-miao&lt;/author&gt;&lt;author&gt;Shang, Yao-min&lt;/author&gt;&lt;author&gt;Song, Wen-bin&lt;/author&gt;&lt;author&gt;Li, Qing-quan&lt;/author&gt;&lt;author&gt;Xie, Hua&lt;/author&gt;&lt;author&gt;Xu, Qin-fu&lt;/author&gt;&lt;author&gt;Jia, Jun-li&lt;/author&gt;&lt;author&gt;Li, Li-ming&lt;/author&gt;&lt;author&gt;Mao, Hong-li&lt;/author&gt;&lt;author&gt;Zhou, Xiu-man&lt;/author&gt;&lt;/authors&gt;&lt;/contributors&gt;&lt;titles&gt;&lt;title&gt;Follow-up study of the pulmonary function and related physiological characteristics of COVID-19 survivors three months after recovery&lt;/title&gt;&lt;secondary-title&gt;EClinicalMedicine&lt;/secondary-title&gt;&lt;/titles&gt;&lt;periodical&gt;&lt;full-title&gt;EClinicalMedicine&lt;/full-title&gt;&lt;/periodical&gt;&lt;pages&gt;100463&lt;/pages&gt;&lt;volume&gt;25&lt;/volume&gt;&lt;dates&gt;&lt;year&gt;2020&lt;/year&gt;&lt;/dates&gt;&lt;isbn&gt;2589-5370&lt;/isbn&gt;&lt;urls&gt;&lt;/urls&gt;&lt;/record&gt;&lt;/Cite&gt;&lt;/EndNote&gt;</w:instrText>
      </w:r>
      <w:r w:rsidR="001350F4">
        <w:fldChar w:fldCharType="separate"/>
      </w:r>
      <w:r w:rsidR="00D22CB5">
        <w:rPr>
          <w:noProof/>
        </w:rPr>
        <w:t>(9)</w:t>
      </w:r>
      <w:r w:rsidR="001350F4">
        <w:fldChar w:fldCharType="end"/>
      </w:r>
      <w:r w:rsidR="001350F4">
        <w:t xml:space="preserve"> identify </w:t>
      </w:r>
      <w:r w:rsidR="009F50FA">
        <w:t>serum urea a</w:t>
      </w:r>
      <w:r w:rsidR="00153644">
        <w:t>s a</w:t>
      </w:r>
      <w:r w:rsidR="009F50FA">
        <w:t xml:space="preserve"> significant independent risk factor for </w:t>
      </w:r>
      <w:r w:rsidR="00F61437">
        <w:t xml:space="preserve">persisting </w:t>
      </w:r>
      <w:r w:rsidR="001A0AAD">
        <w:t>abnormal radiology</w:t>
      </w:r>
      <w:r w:rsidR="00807C48">
        <w:t xml:space="preserve"> at follow-up</w:t>
      </w:r>
      <w:r w:rsidR="009F50FA">
        <w:t xml:space="preserve">. </w:t>
      </w:r>
      <w:r w:rsidR="00643904">
        <w:t xml:space="preserve">Predicting patients who are at increased risk of long-term </w:t>
      </w:r>
      <w:r w:rsidR="00AC517B">
        <w:t>complications</w:t>
      </w:r>
      <w:r w:rsidR="0065579E">
        <w:t xml:space="preserve"> of COVID-19 </w:t>
      </w:r>
      <w:r w:rsidR="00643904">
        <w:t>is of clinical importance</w:t>
      </w:r>
      <w:r w:rsidR="001E0F2B">
        <w:t>.</w:t>
      </w:r>
      <w:r w:rsidR="00643904">
        <w:t xml:space="preserve"> </w:t>
      </w:r>
      <w:r w:rsidR="001E0F2B">
        <w:t>I</w:t>
      </w:r>
      <w:r w:rsidR="00643904">
        <w:t>t could help stratify patients at greater need of long-term follow-up</w:t>
      </w:r>
      <w:r w:rsidR="00AC517B">
        <w:t xml:space="preserve"> and potentially </w:t>
      </w:r>
      <w:r w:rsidR="00873997">
        <w:t>assist in streamlining</w:t>
      </w:r>
      <w:r w:rsidR="005A322A">
        <w:t xml:space="preserve"> of</w:t>
      </w:r>
      <w:r w:rsidR="00873997">
        <w:t xml:space="preserve"> </w:t>
      </w:r>
      <w:r w:rsidR="00AC517B">
        <w:t>follow-up services</w:t>
      </w:r>
      <w:r w:rsidR="00E273E0">
        <w:t xml:space="preserve"> given the large number of patients who have been hospitalised </w:t>
      </w:r>
      <w:r w:rsidR="00141128">
        <w:t>due to</w:t>
      </w:r>
      <w:r w:rsidR="00E273E0">
        <w:t xml:space="preserve"> COVID-19</w:t>
      </w:r>
      <w:r w:rsidR="00AC517B">
        <w:t>.</w:t>
      </w:r>
      <w:r w:rsidR="0088452C">
        <w:t xml:space="preserve"> </w:t>
      </w:r>
      <w:r w:rsidR="005A322A">
        <w:t>Further</w:t>
      </w:r>
      <w:r w:rsidR="0088452C">
        <w:t xml:space="preserve"> </w:t>
      </w:r>
      <w:r w:rsidR="005A322A">
        <w:t xml:space="preserve">identifying a phenotype of patients at high risk of long-term adverse outcome may facilitate targeted intervention with future disease </w:t>
      </w:r>
      <w:r w:rsidR="0097459F">
        <w:t>directed</w:t>
      </w:r>
      <w:r w:rsidR="005A322A">
        <w:t xml:space="preserve"> therapies before the onset of complications.</w:t>
      </w:r>
    </w:p>
    <w:p w14:paraId="216CCE84" w14:textId="124417DD" w:rsidR="00643904" w:rsidRDefault="00D92DDD" w:rsidP="00332441">
      <w:pPr>
        <w:spacing w:line="360" w:lineRule="auto"/>
        <w:jc w:val="both"/>
      </w:pPr>
      <w:r>
        <w:t>We</w:t>
      </w:r>
      <w:r w:rsidR="005743C3">
        <w:t xml:space="preserve"> investigated temporal changes in chest radiograph appearances in </w:t>
      </w:r>
      <w:r w:rsidR="00E704E8">
        <w:t>a cohort of</w:t>
      </w:r>
      <w:r w:rsidR="005743C3">
        <w:t xml:space="preserve"> patients hospitalised with PCR confirmed COVID-19 </w:t>
      </w:r>
      <w:r w:rsidR="00E273E0">
        <w:t>undergoing standard of care follow up</w:t>
      </w:r>
      <w:r w:rsidR="00A01C72">
        <w:t>. Our</w:t>
      </w:r>
      <w:r w:rsidR="00E83863">
        <w:t xml:space="preserve"> </w:t>
      </w:r>
      <w:r w:rsidR="00F6065B">
        <w:t>aim was to</w:t>
      </w:r>
      <w:r w:rsidR="00A01C72">
        <w:t xml:space="preserve"> </w:t>
      </w:r>
      <w:r w:rsidR="00E83863">
        <w:t>investigat</w:t>
      </w:r>
      <w:r w:rsidR="00A01C72">
        <w:t>e</w:t>
      </w:r>
      <w:r w:rsidR="00E83863">
        <w:t xml:space="preserve"> both the incidence of</w:t>
      </w:r>
      <w:r w:rsidR="00A01C72">
        <w:t>,</w:t>
      </w:r>
      <w:r w:rsidR="00E83863">
        <w:t xml:space="preserve"> and risk factors for, persistent COVID</w:t>
      </w:r>
      <w:r w:rsidR="0065579E">
        <w:t>-19</w:t>
      </w:r>
      <w:r w:rsidR="00E83863">
        <w:t xml:space="preserve"> related infiltrates at 12-week follow-up</w:t>
      </w:r>
      <w:r w:rsidR="005743C3">
        <w:t>.</w:t>
      </w:r>
      <w:r w:rsidR="004F0F54">
        <w:t xml:space="preserve"> </w:t>
      </w:r>
      <w:r w:rsidR="00E13F96">
        <w:t>A study exploring predictors of short</w:t>
      </w:r>
      <w:r w:rsidR="001A3BD6">
        <w:t>er</w:t>
      </w:r>
      <w:r w:rsidR="00E13F96">
        <w:t xml:space="preserve">-term clinical outcomes from </w:t>
      </w:r>
      <w:r w:rsidR="00B5609C">
        <w:t xml:space="preserve">a sub-group of patients in this </w:t>
      </w:r>
      <w:r w:rsidR="00E13F96">
        <w:t>cohort has been published previously</w:t>
      </w:r>
      <w:r w:rsidR="00AF7897">
        <w:fldChar w:fldCharType="begin"/>
      </w:r>
      <w:r w:rsidR="00D22CB5">
        <w:instrText xml:space="preserve"> ADDIN EN.CITE &lt;EndNote&gt;&lt;Cite&gt;&lt;Author&gt;Burke&lt;/Author&gt;&lt;Year&gt;2020&lt;/Year&gt;&lt;RecNum&gt;492&lt;/RecNum&gt;&lt;DisplayText&gt;(10)&lt;/DisplayText&gt;&lt;record&gt;&lt;rec-number&gt;492&lt;/rec-number&gt;&lt;foreign-keys&gt;&lt;key app="EN" db-id="p9fvtfpx39zev2evef255xeg0rd02x5vsrza" timestamp="1607336640"&gt;492&lt;/key&gt;&lt;/foreign-keys&gt;&lt;ref-type name="Journal Article"&gt;17&lt;/ref-type&gt;&lt;contributors&gt;&lt;authors&gt;&lt;author&gt;Burke, H.&lt;/author&gt;&lt;author&gt;Freeman, A.&lt;/author&gt;&lt;author&gt;Cellura, D. C.&lt;/author&gt;&lt;author&gt;Stuart, B. L.&lt;/author&gt;&lt;author&gt;Brendish, N. J.&lt;/author&gt;&lt;author&gt;Poole, S.&lt;/author&gt;&lt;author&gt;Borca, F.&lt;/author&gt;&lt;author&gt;Phan, H. T. T.&lt;/author&gt;&lt;author&gt;Sheard, N.&lt;/author&gt;&lt;author&gt;Williams, S.&lt;/author&gt;&lt;author&gt;Spalluto, C. M.&lt;/author&gt;&lt;author&gt;Staples, K. J.&lt;/author&gt;&lt;author&gt;Clark, T. W.&lt;/author&gt;&lt;author&gt;Wilkinson, T. M. A.&lt;/author&gt;&lt;author&gt;Wilkinson, Tom&lt;/author&gt;&lt;author&gt;Freeman, Anna&lt;/author&gt;&lt;author&gt;Burke, Hannah&lt;/author&gt;&lt;author&gt;Dushianthan, Ahilanadan&lt;/author&gt;&lt;author&gt;Celinski, Michael&lt;/author&gt;&lt;author&gt;Batchelor, James&lt;/author&gt;&lt;author&gt;Faust, Saul N.&lt;/author&gt;&lt;author&gt;Thomas, Gareth&lt;/author&gt;&lt;author&gt;Kipps, Christopher&lt;/author&gt;&lt;author&gt;on behalf of the, React Covid investigators&lt;/author&gt;&lt;/authors&gt;&lt;/contributors&gt;&lt;titles&gt;&lt;title&gt;Inflammatory phenotyping predicts clinical outcome in COVID-19&lt;/title&gt;&lt;secondary-title&gt;Respiratory Research&lt;/secondary-title&gt;&lt;/titles&gt;&lt;periodical&gt;&lt;full-title&gt;Respir Res&lt;/full-title&gt;&lt;abbr-1&gt;Respiratory research&lt;/abbr-1&gt;&lt;/periodical&gt;&lt;pages&gt;245&lt;/pages&gt;&lt;volume&gt;21&lt;/volume&gt;&lt;number&gt;1&lt;/number&gt;&lt;dates&gt;&lt;year&gt;2020&lt;/year&gt;&lt;pub-dates&gt;&lt;date&gt;2020/09/22&lt;/date&gt;&lt;/pub-dates&gt;&lt;/dates&gt;&lt;isbn&gt;1465-993X&lt;/isbn&gt;&lt;urls&gt;&lt;related-urls&gt;&lt;url&gt;https://doi.org/10.1186/s12931-020-01511-z&lt;/url&gt;&lt;/related-urls&gt;&lt;/urls&gt;&lt;electronic-resource-num&gt;10.1186/s12931-020-01511-z&lt;/electronic-resource-num&gt;&lt;/record&gt;&lt;/Cite&gt;&lt;/EndNote&gt;</w:instrText>
      </w:r>
      <w:r w:rsidR="00AF7897">
        <w:fldChar w:fldCharType="separate"/>
      </w:r>
      <w:r w:rsidR="00D22CB5">
        <w:rPr>
          <w:noProof/>
        </w:rPr>
        <w:t>(10)</w:t>
      </w:r>
      <w:r w:rsidR="00AF7897">
        <w:fldChar w:fldCharType="end"/>
      </w:r>
      <w:r w:rsidR="008B740A">
        <w:t>.</w:t>
      </w:r>
    </w:p>
    <w:p w14:paraId="108F6E05" w14:textId="77777777" w:rsidR="00643904" w:rsidRDefault="00643904" w:rsidP="00332441">
      <w:pPr>
        <w:pStyle w:val="ListParagraph"/>
        <w:spacing w:line="360" w:lineRule="auto"/>
        <w:ind w:left="0"/>
        <w:jc w:val="both"/>
      </w:pPr>
    </w:p>
    <w:p w14:paraId="551FF95E" w14:textId="663B6B47" w:rsidR="0054220A" w:rsidRPr="00AC517B" w:rsidRDefault="0054220A" w:rsidP="00332441">
      <w:pPr>
        <w:pStyle w:val="ListParagraph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AC517B">
        <w:rPr>
          <w:b/>
          <w:bCs/>
          <w:sz w:val="24"/>
          <w:szCs w:val="24"/>
        </w:rPr>
        <w:t>Methods</w:t>
      </w:r>
    </w:p>
    <w:p w14:paraId="59B26217" w14:textId="7F9441AC" w:rsidR="00125412" w:rsidRPr="002A1542" w:rsidRDefault="00DF4B41" w:rsidP="00332441">
      <w:pPr>
        <w:pStyle w:val="ListParagraph"/>
        <w:spacing w:line="360" w:lineRule="auto"/>
        <w:ind w:left="0"/>
        <w:jc w:val="both"/>
        <w:rPr>
          <w:rFonts w:ascii="Calibri" w:hAnsi="Calibri" w:cs="Calibri"/>
        </w:rPr>
      </w:pPr>
      <w:r w:rsidRPr="007E31D5">
        <w:rPr>
          <w:rFonts w:ascii="Calibri" w:hAnsi="Calibri" w:cs="Calibri"/>
        </w:rPr>
        <w:t>This was a prospective observational cohort study</w:t>
      </w:r>
      <w:r w:rsidR="00BB7EED" w:rsidRPr="007E31D5">
        <w:rPr>
          <w:rFonts w:ascii="Calibri" w:hAnsi="Calibri" w:cs="Calibri"/>
        </w:rPr>
        <w:t xml:space="preserve"> </w:t>
      </w:r>
      <w:r w:rsidR="00A345ED" w:rsidRPr="007E31D5">
        <w:rPr>
          <w:rFonts w:ascii="Calibri" w:hAnsi="Calibri" w:cs="Calibri"/>
        </w:rPr>
        <w:t xml:space="preserve">in a single academic medical centre </w:t>
      </w:r>
      <w:r w:rsidR="00BB7EED" w:rsidRPr="007E31D5">
        <w:rPr>
          <w:rFonts w:ascii="Calibri" w:hAnsi="Calibri" w:cs="Calibri"/>
        </w:rPr>
        <w:t xml:space="preserve">University </w:t>
      </w:r>
      <w:r w:rsidR="00F44A44" w:rsidRPr="007E31D5">
        <w:rPr>
          <w:rFonts w:ascii="Calibri" w:hAnsi="Calibri" w:cs="Calibri"/>
        </w:rPr>
        <w:t>Hospital Southampton</w:t>
      </w:r>
      <w:r w:rsidR="00A345ED" w:rsidRPr="007E31D5">
        <w:rPr>
          <w:rFonts w:ascii="Calibri" w:hAnsi="Calibri" w:cs="Calibri"/>
        </w:rPr>
        <w:t xml:space="preserve"> NHS Foundation Trust</w:t>
      </w:r>
      <w:r w:rsidR="00F44A44" w:rsidRPr="007E31D5">
        <w:rPr>
          <w:rFonts w:ascii="Calibri" w:hAnsi="Calibri" w:cs="Calibri"/>
        </w:rPr>
        <w:t xml:space="preserve"> (UHS</w:t>
      </w:r>
      <w:r w:rsidR="00A345ED" w:rsidRPr="007E31D5">
        <w:rPr>
          <w:rFonts w:ascii="Calibri" w:hAnsi="Calibri" w:cs="Calibri"/>
        </w:rPr>
        <w:t>FT</w:t>
      </w:r>
      <w:r w:rsidR="00F44A44" w:rsidRPr="007E31D5">
        <w:rPr>
          <w:rFonts w:ascii="Calibri" w:hAnsi="Calibri" w:cs="Calibri"/>
        </w:rPr>
        <w:t>)</w:t>
      </w:r>
      <w:r w:rsidR="00C3023B" w:rsidRPr="007E31D5">
        <w:rPr>
          <w:rFonts w:ascii="Calibri" w:hAnsi="Calibri" w:cs="Calibri"/>
        </w:rPr>
        <w:t xml:space="preserve"> of all patients undergoing </w:t>
      </w:r>
      <w:r w:rsidR="006C2DEA">
        <w:rPr>
          <w:rFonts w:ascii="Calibri" w:hAnsi="Calibri" w:cs="Calibri"/>
        </w:rPr>
        <w:t>12</w:t>
      </w:r>
      <w:r w:rsidR="00AF7897">
        <w:rPr>
          <w:rFonts w:ascii="Calibri" w:hAnsi="Calibri" w:cs="Calibri"/>
        </w:rPr>
        <w:t>-</w:t>
      </w:r>
      <w:r w:rsidR="006C2DEA">
        <w:rPr>
          <w:rFonts w:ascii="Calibri" w:hAnsi="Calibri" w:cs="Calibri"/>
        </w:rPr>
        <w:t>week</w:t>
      </w:r>
      <w:r w:rsidR="00C3023B" w:rsidRPr="007E31D5">
        <w:rPr>
          <w:rFonts w:ascii="Calibri" w:hAnsi="Calibri" w:cs="Calibri"/>
        </w:rPr>
        <w:t xml:space="preserve"> </w:t>
      </w:r>
      <w:r w:rsidR="006C2DEA">
        <w:rPr>
          <w:rFonts w:ascii="Calibri" w:hAnsi="Calibri" w:cs="Calibri"/>
        </w:rPr>
        <w:t xml:space="preserve">virtual </w:t>
      </w:r>
      <w:r w:rsidR="00C3023B" w:rsidRPr="007E31D5">
        <w:rPr>
          <w:rFonts w:ascii="Calibri" w:hAnsi="Calibri" w:cs="Calibri"/>
        </w:rPr>
        <w:t xml:space="preserve">follow up </w:t>
      </w:r>
      <w:r w:rsidR="006C2DEA">
        <w:rPr>
          <w:rFonts w:ascii="Calibri" w:hAnsi="Calibri" w:cs="Calibri"/>
        </w:rPr>
        <w:t>clinic</w:t>
      </w:r>
      <w:r w:rsidR="00C3023B" w:rsidRPr="007E31D5">
        <w:rPr>
          <w:rFonts w:ascii="Calibri" w:hAnsi="Calibri" w:cs="Calibri"/>
        </w:rPr>
        <w:t xml:space="preserve"> between 23</w:t>
      </w:r>
      <w:r w:rsidR="00C3023B" w:rsidRPr="007E31D5">
        <w:rPr>
          <w:rFonts w:ascii="Calibri" w:hAnsi="Calibri" w:cs="Calibri"/>
          <w:vertAlign w:val="superscript"/>
        </w:rPr>
        <w:t>rd</w:t>
      </w:r>
      <w:r w:rsidR="00C3023B" w:rsidRPr="007E31D5">
        <w:rPr>
          <w:rFonts w:ascii="Calibri" w:hAnsi="Calibri" w:cs="Calibri"/>
        </w:rPr>
        <w:t xml:space="preserve"> June and 1</w:t>
      </w:r>
      <w:r w:rsidR="00C3023B" w:rsidRPr="007E31D5">
        <w:rPr>
          <w:rFonts w:ascii="Calibri" w:hAnsi="Calibri" w:cs="Calibri"/>
          <w:vertAlign w:val="superscript"/>
        </w:rPr>
        <w:t>st</w:t>
      </w:r>
      <w:r w:rsidR="00C3023B" w:rsidRPr="007E31D5">
        <w:rPr>
          <w:rFonts w:ascii="Calibri" w:hAnsi="Calibri" w:cs="Calibri"/>
        </w:rPr>
        <w:t xml:space="preserve"> September 2020</w:t>
      </w:r>
      <w:r w:rsidR="00DB796C">
        <w:rPr>
          <w:rFonts w:ascii="Calibri" w:hAnsi="Calibri" w:cs="Calibri"/>
        </w:rPr>
        <w:t xml:space="preserve"> following </w:t>
      </w:r>
      <w:r w:rsidR="00D906EF">
        <w:rPr>
          <w:rFonts w:ascii="Calibri" w:hAnsi="Calibri" w:cs="Calibri"/>
        </w:rPr>
        <w:t>hospital admission</w:t>
      </w:r>
      <w:r w:rsidR="00DB796C">
        <w:rPr>
          <w:rFonts w:ascii="Calibri" w:hAnsi="Calibri" w:cs="Calibri"/>
        </w:rPr>
        <w:t xml:space="preserve"> </w:t>
      </w:r>
      <w:r w:rsidR="00D906EF">
        <w:rPr>
          <w:rFonts w:ascii="Calibri" w:hAnsi="Calibri" w:cs="Calibri"/>
        </w:rPr>
        <w:t xml:space="preserve">with </w:t>
      </w:r>
      <w:r w:rsidR="00D906EF">
        <w:rPr>
          <w:rFonts w:ascii="Calibri" w:hAnsi="Calibri" w:cs="Calibri"/>
        </w:rPr>
        <w:lastRenderedPageBreak/>
        <w:t>symptomatic</w:t>
      </w:r>
      <w:r w:rsidR="00DB796C">
        <w:rPr>
          <w:rFonts w:ascii="Calibri" w:hAnsi="Calibri" w:cs="Calibri"/>
        </w:rPr>
        <w:t xml:space="preserve"> SARS-CoV</w:t>
      </w:r>
      <w:r w:rsidR="001E0F2B">
        <w:rPr>
          <w:rFonts w:ascii="Calibri" w:hAnsi="Calibri" w:cs="Calibri"/>
        </w:rPr>
        <w:t>-</w:t>
      </w:r>
      <w:r w:rsidR="00DB796C">
        <w:rPr>
          <w:rFonts w:ascii="Calibri" w:hAnsi="Calibri" w:cs="Calibri"/>
        </w:rPr>
        <w:t xml:space="preserve">2 </w:t>
      </w:r>
      <w:r w:rsidR="00DB796C" w:rsidRPr="007E31D5">
        <w:rPr>
          <w:rFonts w:ascii="Calibri" w:hAnsi="Calibri" w:cs="Calibri"/>
          <w:color w:val="000000" w:themeColor="text1"/>
        </w:rPr>
        <w:t>infection</w:t>
      </w:r>
      <w:r w:rsidR="00C3023B" w:rsidRPr="007E31D5">
        <w:rPr>
          <w:rFonts w:ascii="Calibri" w:hAnsi="Calibri" w:cs="Calibri"/>
          <w:color w:val="000000" w:themeColor="text1"/>
        </w:rPr>
        <w:t>.</w:t>
      </w:r>
      <w:r w:rsidR="004B22DB" w:rsidRPr="007E31D5">
        <w:rPr>
          <w:rFonts w:ascii="Calibri" w:hAnsi="Calibri" w:cs="Calibri"/>
          <w:color w:val="000000" w:themeColor="text1"/>
        </w:rPr>
        <w:t xml:space="preserve"> </w:t>
      </w:r>
      <w:r w:rsidR="004B22DB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Ethical approval</w:t>
      </w:r>
      <w:r w:rsidR="006C2DEA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(REC reference </w:t>
      </w:r>
      <w:r w:rsidR="006C2DEA" w:rsidRPr="007E31D5">
        <w:rPr>
          <w:color w:val="000000" w:themeColor="text1"/>
        </w:rPr>
        <w:t>(20/HRA/2986))</w:t>
      </w:r>
      <w:r w:rsidR="004B22DB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was obtained as part of the REACT observational study of COVID-19 (a longitudinal cohort study to facilitate better understanding and management of COVID-19). Informed consent was waived because of the study design.</w:t>
      </w:r>
      <w:r w:rsidR="00125412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Data </w:t>
      </w:r>
      <w:r w:rsidR="00141128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was </w:t>
      </w:r>
      <w:r w:rsidR="00125412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collected through electronic case note review and using a real-time data analytics tool (</w:t>
      </w:r>
      <w:proofErr w:type="spellStart"/>
      <w:r w:rsidR="00125412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REal-time</w:t>
      </w:r>
      <w:proofErr w:type="spellEnd"/>
      <w:r w:rsidR="00125412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Analytics for Clinical Trials</w:t>
      </w:r>
      <w:r w:rsidR="00762270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 xml:space="preserve"> [REACT]</w:t>
      </w:r>
      <w:r w:rsidR="00125412" w:rsidRPr="007E31D5">
        <w:rPr>
          <w:rFonts w:ascii="Calibri" w:eastAsia="Times New Roman" w:hAnsi="Calibri" w:cs="Calibri"/>
          <w:color w:val="000000" w:themeColor="text1"/>
          <w:shd w:val="clear" w:color="auto" w:fill="FFFFFF"/>
          <w:lang w:eastAsia="en-GB"/>
        </w:rPr>
        <w:t>; digital Experimental Medicines Team, Manchester, UK).</w:t>
      </w:r>
    </w:p>
    <w:p w14:paraId="7C8569B3" w14:textId="2B69E7B2" w:rsidR="004B22DB" w:rsidRPr="007E31D5" w:rsidRDefault="004B22DB" w:rsidP="00332441">
      <w:pPr>
        <w:pStyle w:val="ListParagraph"/>
        <w:spacing w:line="360" w:lineRule="auto"/>
        <w:ind w:left="0"/>
        <w:jc w:val="both"/>
      </w:pPr>
    </w:p>
    <w:p w14:paraId="27DB65B4" w14:textId="4D8F7E50" w:rsidR="0057353B" w:rsidRDefault="0057353B" w:rsidP="00332441">
      <w:pPr>
        <w:pStyle w:val="ListParagraph"/>
        <w:spacing w:line="360" w:lineRule="auto"/>
        <w:ind w:left="0"/>
        <w:jc w:val="both"/>
      </w:pPr>
    </w:p>
    <w:p w14:paraId="51FC4891" w14:textId="3383FFA3" w:rsidR="00BB7EED" w:rsidRDefault="00BB7EED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 w:rsidRPr="00BB7EED">
        <w:rPr>
          <w:b/>
          <w:bCs/>
          <w:i/>
          <w:iCs/>
        </w:rPr>
        <w:t>Patient selection</w:t>
      </w:r>
    </w:p>
    <w:p w14:paraId="3FCEB76F" w14:textId="77777777" w:rsidR="00F333E9" w:rsidRDefault="00F333E9" w:rsidP="00332441">
      <w:pPr>
        <w:pStyle w:val="ListParagraph"/>
        <w:spacing w:line="360" w:lineRule="auto"/>
        <w:ind w:left="0"/>
        <w:jc w:val="both"/>
        <w:rPr>
          <w:rFonts w:ascii="Calibri" w:hAnsi="Calibri" w:cs="Calibri"/>
        </w:rPr>
      </w:pPr>
    </w:p>
    <w:p w14:paraId="7FF4FFFF" w14:textId="4E38CFAA" w:rsidR="00F333E9" w:rsidRPr="0088452C" w:rsidRDefault="00E273E0" w:rsidP="00332441">
      <w:pPr>
        <w:pStyle w:val="ListParagraph"/>
        <w:spacing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Consecutive p</w:t>
      </w:r>
      <w:r w:rsidR="006C2DEA" w:rsidRPr="00D906EF">
        <w:rPr>
          <w:rFonts w:ascii="Calibri" w:hAnsi="Calibri" w:cs="Calibri"/>
        </w:rPr>
        <w:t xml:space="preserve">atients </w:t>
      </w:r>
      <w:r>
        <w:rPr>
          <w:rFonts w:ascii="Calibri" w:hAnsi="Calibri" w:cs="Calibri"/>
        </w:rPr>
        <w:t>were invited for</w:t>
      </w:r>
      <w:r w:rsidR="006C2DEA" w:rsidRPr="00B45CE0">
        <w:rPr>
          <w:rFonts w:ascii="Calibri" w:hAnsi="Calibri" w:cs="Calibri"/>
        </w:rPr>
        <w:t xml:space="preserve"> clinic </w:t>
      </w:r>
      <w:r w:rsidR="006C2DEA" w:rsidRPr="00895818">
        <w:rPr>
          <w:rFonts w:ascii="Calibri" w:hAnsi="Calibri" w:cs="Calibri"/>
        </w:rPr>
        <w:t xml:space="preserve">follow up </w:t>
      </w:r>
      <w:r w:rsidR="006C2DEA" w:rsidRPr="00E273E0">
        <w:rPr>
          <w:rFonts w:ascii="Calibri" w:hAnsi="Calibri" w:cs="Calibri"/>
        </w:rPr>
        <w:t xml:space="preserve">by the clinical team and included all patients admitted to a Level 2 (High Dependency) or Intensive Care Facility (Level 3) at UHSFT between </w:t>
      </w:r>
      <w:r w:rsidR="006C2DEA" w:rsidRPr="007E31D5">
        <w:rPr>
          <w:rFonts w:ascii="Calibri" w:hAnsi="Calibri" w:cs="Calibri"/>
        </w:rPr>
        <w:t>20</w:t>
      </w:r>
      <w:r w:rsidR="006C2DEA" w:rsidRPr="007E31D5">
        <w:rPr>
          <w:rFonts w:ascii="Calibri" w:hAnsi="Calibri" w:cs="Calibri"/>
          <w:vertAlign w:val="superscript"/>
        </w:rPr>
        <w:t>th</w:t>
      </w:r>
      <w:r w:rsidR="006C2DEA" w:rsidRPr="007E31D5">
        <w:rPr>
          <w:rFonts w:ascii="Calibri" w:hAnsi="Calibri" w:cs="Calibri"/>
        </w:rPr>
        <w:t xml:space="preserve"> March – </w:t>
      </w:r>
      <w:r w:rsidR="00B82E3A">
        <w:rPr>
          <w:rFonts w:ascii="Calibri" w:hAnsi="Calibri" w:cs="Calibri"/>
        </w:rPr>
        <w:t>3</w:t>
      </w:r>
      <w:r w:rsidR="00B82E3A" w:rsidRPr="007E31D5">
        <w:rPr>
          <w:rFonts w:ascii="Calibri" w:hAnsi="Calibri" w:cs="Calibri"/>
          <w:vertAlign w:val="superscript"/>
        </w:rPr>
        <w:t>rd</w:t>
      </w:r>
      <w:r w:rsidR="00B82E3A">
        <w:rPr>
          <w:rFonts w:ascii="Calibri" w:hAnsi="Calibri" w:cs="Calibri"/>
        </w:rPr>
        <w:t xml:space="preserve">  </w:t>
      </w:r>
      <w:r w:rsidR="006C2DEA" w:rsidRPr="007E31D5">
        <w:rPr>
          <w:rFonts w:ascii="Calibri" w:hAnsi="Calibri" w:cs="Calibri"/>
        </w:rPr>
        <w:t xml:space="preserve">June, </w:t>
      </w:r>
      <w:r>
        <w:rPr>
          <w:rFonts w:ascii="Calibri" w:hAnsi="Calibri" w:cs="Calibri"/>
        </w:rPr>
        <w:t>all</w:t>
      </w:r>
      <w:r w:rsidR="006C2DEA" w:rsidRPr="007E31D5">
        <w:rPr>
          <w:rFonts w:ascii="Calibri" w:hAnsi="Calibri" w:cs="Calibri"/>
        </w:rPr>
        <w:t xml:space="preserve"> patient</w:t>
      </w:r>
      <w:r>
        <w:rPr>
          <w:rFonts w:ascii="Calibri" w:hAnsi="Calibri" w:cs="Calibri"/>
        </w:rPr>
        <w:t>s</w:t>
      </w:r>
      <w:r w:rsidR="006C2DEA" w:rsidRPr="007E31D5">
        <w:rPr>
          <w:rFonts w:ascii="Calibri" w:hAnsi="Calibri" w:cs="Calibri"/>
        </w:rPr>
        <w:t xml:space="preserve"> hospitalised between 1</w:t>
      </w:r>
      <w:r w:rsidR="006C2DEA" w:rsidRPr="007E31D5">
        <w:rPr>
          <w:rFonts w:ascii="Calibri" w:hAnsi="Calibri" w:cs="Calibri"/>
          <w:vertAlign w:val="superscript"/>
        </w:rPr>
        <w:t>st</w:t>
      </w:r>
      <w:r w:rsidR="006C2DEA" w:rsidRPr="007E31D5">
        <w:rPr>
          <w:rFonts w:ascii="Calibri" w:hAnsi="Calibri" w:cs="Calibri"/>
        </w:rPr>
        <w:t xml:space="preserve"> May –</w:t>
      </w:r>
      <w:r w:rsidR="00141128">
        <w:rPr>
          <w:rFonts w:ascii="Calibri" w:hAnsi="Calibri" w:cs="Calibri"/>
        </w:rPr>
        <w:t xml:space="preserve"> </w:t>
      </w:r>
      <w:r w:rsidR="00B82E3A">
        <w:rPr>
          <w:rFonts w:ascii="Calibri" w:hAnsi="Calibri" w:cs="Calibri"/>
        </w:rPr>
        <w:t>3</w:t>
      </w:r>
      <w:r w:rsidR="00B82E3A" w:rsidRPr="007E31D5">
        <w:rPr>
          <w:rFonts w:ascii="Calibri" w:hAnsi="Calibri" w:cs="Calibri"/>
          <w:vertAlign w:val="superscript"/>
        </w:rPr>
        <w:t>rd</w:t>
      </w:r>
      <w:r w:rsidR="006C2DEA" w:rsidRPr="007E31D5">
        <w:rPr>
          <w:rFonts w:ascii="Calibri" w:hAnsi="Calibri" w:cs="Calibri"/>
        </w:rPr>
        <w:t xml:space="preserve">June 2020, </w:t>
      </w:r>
      <w:r w:rsidR="00D906EF">
        <w:rPr>
          <w:rFonts w:ascii="Calibri" w:hAnsi="Calibri" w:cs="Calibri"/>
        </w:rPr>
        <w:t>and</w:t>
      </w:r>
      <w:r w:rsidR="006C2DEA" w:rsidRPr="007E31D5">
        <w:rPr>
          <w:rFonts w:ascii="Calibri" w:hAnsi="Calibri" w:cs="Calibri"/>
        </w:rPr>
        <w:t xml:space="preserve"> patients admitted between 20</w:t>
      </w:r>
      <w:r w:rsidR="006C2DEA" w:rsidRPr="007E31D5">
        <w:rPr>
          <w:rFonts w:ascii="Calibri" w:hAnsi="Calibri" w:cs="Calibri"/>
          <w:vertAlign w:val="superscript"/>
        </w:rPr>
        <w:t>th</w:t>
      </w:r>
      <w:r w:rsidR="006C2DEA" w:rsidRPr="007E31D5">
        <w:rPr>
          <w:rFonts w:ascii="Calibri" w:hAnsi="Calibri" w:cs="Calibri"/>
        </w:rPr>
        <w:t xml:space="preserve"> March  - 29</w:t>
      </w:r>
      <w:r w:rsidR="006C2DEA" w:rsidRPr="007E31D5">
        <w:rPr>
          <w:rFonts w:ascii="Calibri" w:hAnsi="Calibri" w:cs="Calibri"/>
          <w:vertAlign w:val="superscript"/>
        </w:rPr>
        <w:t>th</w:t>
      </w:r>
      <w:r w:rsidR="006C2DEA" w:rsidRPr="007E31D5">
        <w:rPr>
          <w:rFonts w:ascii="Calibri" w:hAnsi="Calibri" w:cs="Calibri"/>
        </w:rPr>
        <w:t xml:space="preserve"> April 2020 who had consented to participate in the CoV-19POC research study </w:t>
      </w:r>
      <w:r w:rsidR="006C2DEA" w:rsidRPr="007E31D5">
        <w:rPr>
          <w:rFonts w:ascii="Calibri" w:hAnsi="Calibri" w:cs="Calibri"/>
        </w:rPr>
        <w:fldChar w:fldCharType="begin"/>
      </w:r>
      <w:r w:rsidR="00D22CB5">
        <w:rPr>
          <w:rFonts w:ascii="Calibri" w:hAnsi="Calibri" w:cs="Calibri"/>
        </w:rPr>
        <w:instrText xml:space="preserve"> ADDIN EN.CITE &lt;EndNote&gt;&lt;Cite&gt;&lt;Author&gt;Brendish&lt;/Author&gt;&lt;Year&gt;2020&lt;/Year&gt;&lt;RecNum&gt;497&lt;/RecNum&gt;&lt;IDText&gt;Clinical impact of molecular point-of-care testing for suspected COVID-19 in hospital (COV-19POC): a prospective, interventional, non-randomised, controlled study&lt;/IDText&gt;&lt;DisplayText&gt;(11)&lt;/DisplayText&gt;&lt;record&gt;&lt;rec-number&gt;497&lt;/rec-number&gt;&lt;foreign-keys&gt;&lt;key app="EN" db-id="p9fvtfpx39zev2evef255xeg0rd02x5vsrza" timestamp="1604412016" guid="e5c6c7d0-84f2-4da5-a2ca-154108257d6a"&gt;497&lt;/key&gt;&lt;key app="ENWeb" db-id=""&gt;0&lt;/key&gt;&lt;/foreign-keys&gt;&lt;ref-type name="Journal Article"&gt;17&lt;/ref-type&gt;&lt;contributors&gt;&lt;authors&gt;&lt;author&gt;Brendish, Nathan J.&lt;/author&gt;&lt;author&gt;Poole, Stephen&lt;/author&gt;&lt;author&gt;Naidu, Vasanth V.&lt;/author&gt;&lt;author&gt;Mansbridge, Christopher T.&lt;/author&gt;&lt;author&gt;Norton, Nicholas J.&lt;/author&gt;&lt;author&gt;Wheeler, Helen&lt;/author&gt;&lt;author&gt;Presland, Laura&lt;/author&gt;&lt;author&gt;Kidd, Stephen&lt;/author&gt;&lt;author&gt;Cortes, Nicholas J.&lt;/author&gt;&lt;author&gt;Borca, Florina&lt;/author&gt;&lt;author&gt;Phan, Hang&lt;/author&gt;&lt;author&gt;Babbage, Gavin&lt;/author&gt;&lt;author&gt;Visseaux, Benoit&lt;/author&gt;&lt;author&gt;Ewings, Sean&lt;/author&gt;&lt;author&gt;Clark, Tristan W.&lt;/author&gt;&lt;/authors&gt;&lt;/contributors&gt;&lt;titles&gt;&lt;title&gt;Clinical impact of molecular point-of-care testing for suspected COVID-19 in hospital (COV-19POC): a prospective, interventional, non-randomised, controlled study&lt;/title&gt;&lt;secondary-title&gt;The Lancet Respiratory Medicine&lt;/secondary-title&gt;&lt;/titles&gt;&lt;periodical&gt;&lt;full-title&gt;The Lancet Respiratory Medicine&lt;/full-title&gt;&lt;/periodical&gt;&lt;dates&gt;&lt;year&gt;2020&lt;/year&gt;&lt;pub-dates&gt;&lt;date&gt;2020/10/08/&lt;/date&gt;&lt;/pub-dates&gt;&lt;/dates&gt;&lt;isbn&gt;2213-2600&lt;/isbn&gt;&lt;urls&gt;&lt;related-urls&gt;&lt;url&gt;http://www.sciencedirect.com/science/article/pii/S2213260020304549&lt;/url&gt;&lt;/related-urls&gt;&lt;/urls&gt;&lt;electronic-resource-num&gt;https://doi.org/10.1016/S2213-2600(20)30454-9&lt;/electronic-resource-num&gt;&lt;/record&gt;&lt;/Cite&gt;&lt;/EndNote&gt;</w:instrText>
      </w:r>
      <w:r w:rsidR="006C2DEA" w:rsidRPr="007E31D5">
        <w:rPr>
          <w:rFonts w:ascii="Calibri" w:hAnsi="Calibri" w:cs="Calibri"/>
        </w:rPr>
        <w:fldChar w:fldCharType="separate"/>
      </w:r>
      <w:r w:rsidR="00D22CB5">
        <w:rPr>
          <w:rFonts w:ascii="Calibri" w:hAnsi="Calibri" w:cs="Calibri"/>
          <w:noProof/>
        </w:rPr>
        <w:t>(11)</w:t>
      </w:r>
      <w:r w:rsidR="006C2DEA" w:rsidRPr="007E31D5">
        <w:rPr>
          <w:rFonts w:ascii="Calibri" w:hAnsi="Calibri" w:cs="Calibri"/>
        </w:rPr>
        <w:fldChar w:fldCharType="end"/>
      </w:r>
      <w:r w:rsidR="00F333E9" w:rsidRPr="007E31D5">
        <w:rPr>
          <w:rFonts w:ascii="Calibri" w:hAnsi="Calibri" w:cs="Calibri"/>
        </w:rPr>
        <w:t xml:space="preserve">, </w:t>
      </w:r>
      <w:r w:rsidR="00F333E9" w:rsidRPr="0088452C">
        <w:rPr>
          <w:rFonts w:ascii="Calibri" w:hAnsi="Calibri" w:cs="Calibri"/>
          <w:color w:val="333333"/>
          <w:shd w:val="clear" w:color="auto" w:fill="FFFFFF"/>
        </w:rPr>
        <w:t xml:space="preserve">a trial </w:t>
      </w:r>
      <w:r w:rsidR="00F333E9" w:rsidRPr="007E31D5">
        <w:rPr>
          <w:rFonts w:ascii="Calibri" w:hAnsi="Calibri" w:cs="Calibri"/>
          <w:color w:val="000000" w:themeColor="text1"/>
          <w:shd w:val="clear" w:color="auto" w:fill="FFFFFF"/>
        </w:rPr>
        <w:t>assessing the clinical impact of molecular POCT in patients within 24 h</w:t>
      </w:r>
      <w:r w:rsidR="00141128">
        <w:rPr>
          <w:rFonts w:ascii="Calibri" w:hAnsi="Calibri" w:cs="Calibri"/>
          <w:color w:val="000000" w:themeColor="text1"/>
          <w:shd w:val="clear" w:color="auto" w:fill="FFFFFF"/>
        </w:rPr>
        <w:t>ours</w:t>
      </w:r>
      <w:r w:rsidR="00F333E9" w:rsidRPr="007E31D5">
        <w:rPr>
          <w:rFonts w:ascii="Calibri" w:hAnsi="Calibri" w:cs="Calibri"/>
          <w:color w:val="000000" w:themeColor="text1"/>
          <w:shd w:val="clear" w:color="auto" w:fill="FFFFFF"/>
        </w:rPr>
        <w:t xml:space="preserve"> of presentation to UHSFT and </w:t>
      </w:r>
      <w:r w:rsidR="006C2DEA" w:rsidRPr="007E31D5">
        <w:rPr>
          <w:rFonts w:ascii="Calibri" w:hAnsi="Calibri" w:cs="Calibri"/>
          <w:color w:val="000000" w:themeColor="text1"/>
        </w:rPr>
        <w:t>who had serum sampling performed.</w:t>
      </w:r>
    </w:p>
    <w:p w14:paraId="23679D2A" w14:textId="77777777" w:rsidR="00B45CE0" w:rsidRDefault="00B45CE0" w:rsidP="00332441">
      <w:pPr>
        <w:pStyle w:val="ListParagraph"/>
        <w:spacing w:line="360" w:lineRule="auto"/>
        <w:ind w:left="0"/>
        <w:jc w:val="both"/>
      </w:pPr>
    </w:p>
    <w:p w14:paraId="4A44AB09" w14:textId="74837D27" w:rsidR="00B45CE0" w:rsidRPr="002A1542" w:rsidRDefault="00B45CE0" w:rsidP="00332441">
      <w:pPr>
        <w:pStyle w:val="ListParagraph"/>
        <w:spacing w:line="360" w:lineRule="auto"/>
        <w:ind w:left="0"/>
        <w:jc w:val="both"/>
      </w:pPr>
      <w:r>
        <w:t>All patients had PCR confirmed SARS-CoV</w:t>
      </w:r>
      <w:r w:rsidR="001E0F2B">
        <w:t>-</w:t>
      </w:r>
      <w:r>
        <w:t>2 infection and were aged 18-90 years. PCR testing was performed by combined nose and throat swabs either using UHSFT standard of care laboratory SARS-CoV</w:t>
      </w:r>
      <w:r w:rsidR="001E0F2B">
        <w:t>-</w:t>
      </w:r>
      <w:r>
        <w:t xml:space="preserve">2 testing or </w:t>
      </w:r>
      <w:r w:rsidRPr="00BB7EED">
        <w:t xml:space="preserve">the CE marked </w:t>
      </w:r>
      <w:proofErr w:type="spellStart"/>
      <w:r w:rsidRPr="00BB7EED">
        <w:t>QIAstat</w:t>
      </w:r>
      <w:proofErr w:type="spellEnd"/>
      <w:r w:rsidRPr="00BB7EED">
        <w:t>-Dx® Respiratory SARS-</w:t>
      </w:r>
      <w:proofErr w:type="spellStart"/>
      <w:r w:rsidRPr="00BB7EED">
        <w:t>CoV</w:t>
      </w:r>
      <w:proofErr w:type="spellEnd"/>
      <w:r w:rsidRPr="00BB7EED">
        <w:t xml:space="preserve"> Panel (Qiagen™, Manchester, UK)</w:t>
      </w:r>
      <w:r>
        <w:t xml:space="preserve"> as part of the COV</w:t>
      </w:r>
      <w:r w:rsidR="0085245F">
        <w:t>-</w:t>
      </w:r>
      <w:r>
        <w:t xml:space="preserve">19POC study as previously described </w:t>
      </w:r>
      <w:r>
        <w:fldChar w:fldCharType="begin"/>
      </w:r>
      <w:r w:rsidR="00D22CB5">
        <w:instrText xml:space="preserve"> ADDIN EN.CITE &lt;EndNote&gt;&lt;Cite&gt;&lt;Author&gt;Brendish&lt;/Author&gt;&lt;Year&gt;2020&lt;/Year&gt;&lt;RecNum&gt;497&lt;/RecNum&gt;&lt;DisplayText&gt;(11)&lt;/DisplayText&gt;&lt;record&gt;&lt;rec-number&gt;497&lt;/rec-number&gt;&lt;foreign-keys&gt;&lt;key app="EN" db-id="p9fvtfpx39zev2evef255xeg0rd02x5vsrza" timestamp="1604412016" guid="e5c6c7d0-84f2-4da5-a2ca-154108257d6a"&gt;497&lt;/key&gt;&lt;key app="ENWeb" db-id=""&gt;0&lt;/key&gt;&lt;/foreign-keys&gt;&lt;ref-type name="Journal Article"&gt;17&lt;/ref-type&gt;&lt;contributors&gt;&lt;authors&gt;&lt;author&gt;Brendish, Nathan J.&lt;/author&gt;&lt;author&gt;Poole, Stephen&lt;/author&gt;&lt;author&gt;Naidu, Vasanth V.&lt;/author&gt;&lt;author&gt;Mansbridge, Christopher T.&lt;/author&gt;&lt;author&gt;Norton, Nicholas J.&lt;/author&gt;&lt;author&gt;Wheeler, Helen&lt;/author&gt;&lt;author&gt;Presland, Laura&lt;/author&gt;&lt;author&gt;Kidd, Stephen&lt;/author&gt;&lt;author&gt;Cortes, Nicholas J.&lt;/author&gt;&lt;author&gt;Borca, Florina&lt;/author&gt;&lt;author&gt;Phan, Hang&lt;/author&gt;&lt;author&gt;Babbage, Gavin&lt;/author&gt;&lt;author&gt;Visseaux, Benoit&lt;/author&gt;&lt;author&gt;Ewings, Sean&lt;/author&gt;&lt;author&gt;Clark, Tristan W.&lt;/author&gt;&lt;/authors&gt;&lt;/contributors&gt;&lt;titles&gt;&lt;title&gt;Clinical impact of molecular point-of-care testing for suspected COVID-19 in hospital (COV-19POC): a prospective, interventional, non-randomised, controlled study&lt;/title&gt;&lt;secondary-title&gt;The Lancet Respiratory Medicine&lt;/secondary-title&gt;&lt;/titles&gt;&lt;periodical&gt;&lt;full-title&gt;The Lancet Respiratory Medicine&lt;/full-title&gt;&lt;/periodical&gt;&lt;dates&gt;&lt;year&gt;2020&lt;/year&gt;&lt;pub-dates&gt;&lt;date&gt;2020/10/08/&lt;/date&gt;&lt;/pub-dates&gt;&lt;/dates&gt;&lt;isbn&gt;2213-2600&lt;/isbn&gt;&lt;urls&gt;&lt;related-urls&gt;&lt;url&gt;http://www.sciencedirect.com/science/article/pii/S2213260020304549&lt;/url&gt;&lt;/related-urls&gt;&lt;/urls&gt;&lt;electronic-resource-num&gt;https://doi.org/10.1016/S2213-2600(20)30454-9&lt;/electronic-resource-num&gt;&lt;/record&gt;&lt;/Cite&gt;&lt;/EndNote&gt;</w:instrText>
      </w:r>
      <w:r>
        <w:fldChar w:fldCharType="separate"/>
      </w:r>
      <w:r w:rsidR="00D22CB5">
        <w:rPr>
          <w:noProof/>
        </w:rPr>
        <w:t>(11)</w:t>
      </w:r>
      <w:r>
        <w:fldChar w:fldCharType="end"/>
      </w:r>
      <w:r>
        <w:t>.</w:t>
      </w:r>
    </w:p>
    <w:p w14:paraId="50F3EE69" w14:textId="4CB02A4F" w:rsidR="00BB7EED" w:rsidRDefault="00BB7EED" w:rsidP="00332441">
      <w:pPr>
        <w:pStyle w:val="ListParagraph"/>
        <w:spacing w:line="360" w:lineRule="auto"/>
        <w:ind w:left="0"/>
        <w:jc w:val="both"/>
      </w:pPr>
    </w:p>
    <w:p w14:paraId="0245E925" w14:textId="77777777" w:rsidR="00F333E9" w:rsidRDefault="00F333E9" w:rsidP="00332441">
      <w:pPr>
        <w:pStyle w:val="ListParagraph"/>
        <w:spacing w:line="360" w:lineRule="auto"/>
        <w:ind w:left="0"/>
        <w:jc w:val="both"/>
      </w:pPr>
      <w:r>
        <w:t xml:space="preserve">Patients who were discharged to a nursing home, had severe dementia or who had metastatic malignancy with less than 1 year predicted survival as judged by the clinical team were excluded from follow-up. </w:t>
      </w:r>
    </w:p>
    <w:p w14:paraId="2F3743C4" w14:textId="762F8999" w:rsidR="00BB7EED" w:rsidRDefault="00BB7EED" w:rsidP="00332441">
      <w:pPr>
        <w:pStyle w:val="ListParagraph"/>
        <w:spacing w:line="360" w:lineRule="auto"/>
        <w:ind w:left="0"/>
        <w:jc w:val="both"/>
      </w:pPr>
    </w:p>
    <w:p w14:paraId="1C84D3EF" w14:textId="77777777" w:rsidR="00E704E8" w:rsidRDefault="00E704E8" w:rsidP="00332441">
      <w:pPr>
        <w:pStyle w:val="ListParagraph"/>
        <w:spacing w:line="360" w:lineRule="auto"/>
        <w:ind w:left="0"/>
        <w:jc w:val="both"/>
      </w:pPr>
    </w:p>
    <w:p w14:paraId="68AC205F" w14:textId="6E46956B" w:rsidR="0054220A" w:rsidRPr="00AC517B" w:rsidRDefault="0054220A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 w:rsidRPr="00AC517B">
        <w:rPr>
          <w:b/>
          <w:bCs/>
          <w:i/>
          <w:iCs/>
        </w:rPr>
        <w:t>12-week follow-up</w:t>
      </w:r>
    </w:p>
    <w:p w14:paraId="34F539A6" w14:textId="5F8840F8" w:rsidR="000C649E" w:rsidRDefault="0054220A" w:rsidP="00332441">
      <w:pPr>
        <w:pStyle w:val="ListParagraph"/>
        <w:spacing w:line="360" w:lineRule="auto"/>
        <w:ind w:left="0"/>
        <w:jc w:val="both"/>
      </w:pPr>
      <w:r>
        <w:t xml:space="preserve">All patients identified as appropriate for outpatient follow-up were invited to attend for a </w:t>
      </w:r>
      <w:r w:rsidR="0089043B">
        <w:t>c</w:t>
      </w:r>
      <w:r>
        <w:t xml:space="preserve">hest </w:t>
      </w:r>
      <w:r w:rsidR="007A11E6">
        <w:t>radiograph</w:t>
      </w:r>
      <w:r>
        <w:t xml:space="preserve"> and blood tests </w:t>
      </w:r>
      <w:r w:rsidR="00FD10B0">
        <w:t>as part of</w:t>
      </w:r>
      <w:r w:rsidR="00441FB2">
        <w:t xml:space="preserve"> their</w:t>
      </w:r>
      <w:r w:rsidR="00FD10B0">
        <w:t xml:space="preserve"> standard clinical care</w:t>
      </w:r>
      <w:r>
        <w:t xml:space="preserve"> </w:t>
      </w:r>
      <w:r w:rsidR="0018720C">
        <w:t xml:space="preserve">at the </w:t>
      </w:r>
      <w:r>
        <w:t>12-week</w:t>
      </w:r>
      <w:r w:rsidR="0018720C">
        <w:t xml:space="preserve"> timepoint</w:t>
      </w:r>
      <w:r>
        <w:t xml:space="preserve"> following </w:t>
      </w:r>
      <w:r w:rsidR="00F61437">
        <w:t xml:space="preserve">the date of </w:t>
      </w:r>
      <w:r>
        <w:t>their admission to hospital</w:t>
      </w:r>
      <w:r w:rsidR="009F059C">
        <w:t>.</w:t>
      </w:r>
      <w:r w:rsidR="007A11E6">
        <w:t xml:space="preserve"> </w:t>
      </w:r>
      <w:r w:rsidR="00F333E9">
        <w:t>Virtual follow-up appointments were then completed via telephone between 23</w:t>
      </w:r>
      <w:r w:rsidR="00F333E9" w:rsidRPr="009F059C">
        <w:rPr>
          <w:vertAlign w:val="superscript"/>
        </w:rPr>
        <w:t>rd</w:t>
      </w:r>
      <w:r w:rsidR="00F333E9">
        <w:t xml:space="preserve"> June and 1</w:t>
      </w:r>
      <w:r w:rsidR="00F333E9" w:rsidRPr="009F059C">
        <w:rPr>
          <w:vertAlign w:val="superscript"/>
        </w:rPr>
        <w:t>st</w:t>
      </w:r>
      <w:r w:rsidR="00F333E9">
        <w:t xml:space="preserve"> September 2020.</w:t>
      </w:r>
    </w:p>
    <w:p w14:paraId="379D14A4" w14:textId="32490827" w:rsidR="000C649E" w:rsidRDefault="000C649E" w:rsidP="00332441">
      <w:pPr>
        <w:pStyle w:val="ListParagraph"/>
        <w:spacing w:line="360" w:lineRule="auto"/>
        <w:ind w:left="0"/>
        <w:jc w:val="both"/>
      </w:pPr>
    </w:p>
    <w:p w14:paraId="36CA9776" w14:textId="77777777" w:rsidR="00937F02" w:rsidRDefault="00937F02" w:rsidP="00332441">
      <w:pPr>
        <w:pStyle w:val="ListParagraph"/>
        <w:spacing w:line="360" w:lineRule="auto"/>
        <w:ind w:left="0"/>
        <w:jc w:val="both"/>
      </w:pPr>
    </w:p>
    <w:p w14:paraId="6A972199" w14:textId="77777777" w:rsidR="000A3888" w:rsidRPr="00AC517B" w:rsidRDefault="000A3888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 w:rsidRPr="00AC517B">
        <w:rPr>
          <w:b/>
          <w:bCs/>
          <w:i/>
          <w:iCs/>
        </w:rPr>
        <w:lastRenderedPageBreak/>
        <w:t>Radiological Severity Scoring</w:t>
      </w:r>
    </w:p>
    <w:p w14:paraId="2BF3BAA8" w14:textId="4189D39F" w:rsidR="000A3888" w:rsidRDefault="000A3888" w:rsidP="00332441">
      <w:pPr>
        <w:pStyle w:val="ListParagraph"/>
        <w:spacing w:line="360" w:lineRule="auto"/>
        <w:ind w:left="0"/>
        <w:jc w:val="both"/>
      </w:pPr>
      <w:r>
        <w:t xml:space="preserve">Baseline and 12-week follow-up </w:t>
      </w:r>
      <w:r w:rsidR="00475455">
        <w:t>chest radiograph</w:t>
      </w:r>
      <w:r>
        <w:t>s were scored for severity by the assessing clinician at the virtual follow-up appointment. A score of 0-4 was given for each lung dependent on the extent of pulmonary infiltrates (0 = No involvement, 1=</w:t>
      </w:r>
      <w:r w:rsidR="001A3BD6">
        <w:t xml:space="preserve"> &lt;</w:t>
      </w:r>
      <w:r>
        <w:t>25%, 2=25-50%, 3 = 5</w:t>
      </w:r>
      <w:r w:rsidR="001A3BD6">
        <w:t>1</w:t>
      </w:r>
      <w:r w:rsidR="001E0F2B">
        <w:t>-</w:t>
      </w:r>
      <w:r>
        <w:t xml:space="preserve">75%, 4= </w:t>
      </w:r>
      <w:r w:rsidR="001A3BD6">
        <w:t>&gt;</w:t>
      </w:r>
      <w:r>
        <w:t>75</w:t>
      </w:r>
      <w:r w:rsidR="001A3BD6">
        <w:t>%</w:t>
      </w:r>
      <w:r>
        <w:t xml:space="preserve">) </w:t>
      </w:r>
      <w:r w:rsidR="006F55A1">
        <w:t xml:space="preserve">following the methodology of </w:t>
      </w:r>
      <w:r>
        <w:t xml:space="preserve"> Wong et al </w:t>
      </w:r>
      <w:r>
        <w:fldChar w:fldCharType="begin"/>
      </w:r>
      <w:r w:rsidR="00D22CB5">
        <w:instrText xml:space="preserve"> ADDIN EN.CITE &lt;EndNote&gt;&lt;Cite&gt;&lt;Author&gt;Wong&lt;/Author&gt;&lt;Year&gt;2020&lt;/Year&gt;&lt;RecNum&gt;496&lt;/RecNum&gt;&lt;IDText&gt;Frequency and Distribution of Chest Radiographic Findings in Patients Positive for COVID-19&lt;/IDText&gt;&lt;DisplayText&gt;(12)&lt;/DisplayText&gt;&lt;record&gt;&lt;rec-number&gt;496&lt;/rec-number&gt;&lt;foreign-keys&gt;&lt;key app="EN" db-id="p9fvtfpx39zev2evef255xeg0rd02x5vsrza" timestamp="1604412016" guid="e2d4967a-ebab-4e81-9d26-ed20b07893ed"&gt;496&lt;/key&gt;&lt;key app="ENWeb" db-id=""&gt;0&lt;/key&gt;&lt;/foreign-keys&gt;&lt;ref-type name="Journal Article"&gt;17&lt;/ref-type&gt;&lt;contributors&gt;&lt;authors&gt;&lt;author&gt;Wong, Ho Yuen Frank&lt;/author&gt;&lt;author&gt;Lam, Hiu Yin Sonia&lt;/author&gt;&lt;author&gt;Fong, Ambrose Ho-Tung&lt;/author&gt;&lt;author&gt;Leung, Siu Ting&lt;/author&gt;&lt;author&gt;Chin, Thomas Wing-Yan&lt;/author&gt;&lt;author&gt;Lo, Christine Shing Yen&lt;/author&gt;&lt;author&gt;Lui, Macy Mei-Sze&lt;/author&gt;&lt;author&gt;Lee, Jonan Chun Yin&lt;/author&gt;&lt;author&gt;Chiu, Keith Wan-Hang&lt;/author&gt;&lt;author&gt;Chung, Tom Wai-Hin&lt;/author&gt;&lt;author&gt;Lee, Elaine Yuen Phin&lt;/author&gt;&lt;author&gt;Wan, Eric Yuk Fai&lt;/author&gt;&lt;author&gt;Hung, Ivan Fan Ngai&lt;/author&gt;&lt;author&gt;Lam, Tina Poy Wing&lt;/author&gt;&lt;author&gt;Kuo, Michael D.&lt;/author&gt;&lt;author&gt;Ng, Ming-Yen&lt;/author&gt;&lt;/authors&gt;&lt;/contributors&gt;&lt;titles&gt;&lt;title&gt;Frequency and Distribution of Chest Radiographic Findings in Patients Positive for COVID-19&lt;/title&gt;&lt;secondary-title&gt;Radiology&lt;/secondary-title&gt;&lt;/titles&gt;&lt;periodical&gt;&lt;full-title&gt;Radiology&lt;/full-title&gt;&lt;/periodical&gt;&lt;pages&gt;E72-E78&lt;/pages&gt;&lt;volume&gt;296&lt;/volume&gt;&lt;number&gt;2&lt;/number&gt;&lt;dates&gt;&lt;year&gt;2020&lt;/year&gt;&lt;pub-dates&gt;&lt;date&gt;2020/08/01&lt;/date&gt;&lt;/pub-dates&gt;&lt;/dates&gt;&lt;publisher&gt;Radiological Society of North America&lt;/publisher&gt;&lt;isbn&gt;0033-8419&lt;/isbn&gt;&lt;urls&gt;&lt;related-urls&gt;&lt;url&gt;https://doi.org/10.1148/radiol.2020201160&lt;/url&gt;&lt;/related-urls&gt;&lt;/urls&gt;&lt;electronic-resource-num&gt;10.1148/radiol.2020201160&lt;/electronic-resource-num&gt;&lt;access-date&gt;2020/10/23&lt;/access-date&gt;&lt;/record&gt;&lt;/Cite&gt;&lt;/EndNote&gt;</w:instrText>
      </w:r>
      <w:r>
        <w:fldChar w:fldCharType="separate"/>
      </w:r>
      <w:r w:rsidR="00D22CB5">
        <w:rPr>
          <w:noProof/>
        </w:rPr>
        <w:t>(12)</w:t>
      </w:r>
      <w:r>
        <w:fldChar w:fldCharType="end"/>
      </w:r>
      <w:r>
        <w:t xml:space="preserve"> giving a total score ranging from 0-8. </w:t>
      </w:r>
    </w:p>
    <w:p w14:paraId="404C797A" w14:textId="77777777" w:rsidR="000A3888" w:rsidRDefault="000A3888" w:rsidP="00332441">
      <w:pPr>
        <w:pStyle w:val="ListParagraph"/>
        <w:spacing w:line="360" w:lineRule="auto"/>
        <w:ind w:left="0"/>
        <w:jc w:val="both"/>
      </w:pPr>
    </w:p>
    <w:p w14:paraId="50DD0ADF" w14:textId="79A5C2D1" w:rsidR="000A3888" w:rsidRDefault="000A3888" w:rsidP="00332441">
      <w:pPr>
        <w:pStyle w:val="ListParagraph"/>
        <w:spacing w:line="360" w:lineRule="auto"/>
        <w:ind w:left="0"/>
        <w:jc w:val="both"/>
      </w:pPr>
      <w:r>
        <w:t>The baseline chest radiographs were defined as the last film prior to patient</w:t>
      </w:r>
      <w:r w:rsidR="00F61437">
        <w:t>’</w:t>
      </w:r>
      <w:r>
        <w:t xml:space="preserve">s discharge (or the admission film if only one radiograph was performed). This was either a </w:t>
      </w:r>
      <w:r w:rsidR="00332441">
        <w:t xml:space="preserve">posteroanterior </w:t>
      </w:r>
      <w:r>
        <w:t xml:space="preserve">(PA) </w:t>
      </w:r>
      <w:r w:rsidR="00A01C72">
        <w:t>chest radiograph</w:t>
      </w:r>
      <w:r>
        <w:t xml:space="preserve"> or</w:t>
      </w:r>
      <w:r w:rsidR="00762270">
        <w:t xml:space="preserve"> </w:t>
      </w:r>
      <w:r w:rsidR="00332441">
        <w:t>anteroposterior (</w:t>
      </w:r>
      <w:r>
        <w:t>AP</w:t>
      </w:r>
      <w:r w:rsidR="00332441">
        <w:t>)</w:t>
      </w:r>
      <w:r>
        <w:t xml:space="preserve"> film dependent on which film type had been performed as standard of care. Follow-up outpatient films were </w:t>
      </w:r>
      <w:r w:rsidR="0089043B">
        <w:t xml:space="preserve">all </w:t>
      </w:r>
      <w:r w:rsidR="00F61437">
        <w:t xml:space="preserve">departmental </w:t>
      </w:r>
      <w:r>
        <w:t>PA chest radiographs</w:t>
      </w:r>
      <w:r w:rsidR="00F61437">
        <w:t>.</w:t>
      </w:r>
    </w:p>
    <w:p w14:paraId="1C908812" w14:textId="094FBA46" w:rsidR="000A3888" w:rsidRDefault="000A3888" w:rsidP="00332441">
      <w:pPr>
        <w:pStyle w:val="ListParagraph"/>
        <w:spacing w:line="360" w:lineRule="auto"/>
        <w:ind w:left="0"/>
        <w:jc w:val="both"/>
      </w:pPr>
    </w:p>
    <w:p w14:paraId="52A9BB56" w14:textId="71C46AA5" w:rsidR="00E05A0E" w:rsidRDefault="0065579E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Pathology</w:t>
      </w:r>
    </w:p>
    <w:p w14:paraId="6D19BA78" w14:textId="5CC1F901" w:rsidR="00FF715E" w:rsidRPr="007E31D5" w:rsidRDefault="00E05A0E" w:rsidP="00332441">
      <w:pPr>
        <w:pStyle w:val="ListParagraph"/>
        <w:spacing w:line="360" w:lineRule="auto"/>
        <w:ind w:left="0"/>
        <w:jc w:val="both"/>
        <w:rPr>
          <w:rFonts w:ascii="Calibri" w:hAnsi="Calibri" w:cs="Calibri"/>
        </w:rPr>
      </w:pPr>
      <w:r w:rsidRPr="007E31D5">
        <w:rPr>
          <w:rFonts w:ascii="Calibri" w:hAnsi="Calibri" w:cs="Calibri"/>
        </w:rPr>
        <w:t>Baseline</w:t>
      </w:r>
      <w:r w:rsidR="00FD10B0" w:rsidRPr="007E31D5">
        <w:rPr>
          <w:rFonts w:ascii="Calibri" w:hAnsi="Calibri" w:cs="Calibri"/>
        </w:rPr>
        <w:t xml:space="preserve"> and 12-week</w:t>
      </w:r>
      <w:r w:rsidRPr="007E31D5">
        <w:rPr>
          <w:rFonts w:ascii="Calibri" w:hAnsi="Calibri" w:cs="Calibri"/>
        </w:rPr>
        <w:t xml:space="preserve"> </w:t>
      </w:r>
      <w:r w:rsidR="009F422D" w:rsidRPr="007E31D5">
        <w:rPr>
          <w:rFonts w:ascii="Calibri" w:hAnsi="Calibri" w:cs="Calibri"/>
        </w:rPr>
        <w:t>blood</w:t>
      </w:r>
      <w:r w:rsidR="0065579E" w:rsidRPr="007E31D5">
        <w:rPr>
          <w:rFonts w:ascii="Calibri" w:hAnsi="Calibri" w:cs="Calibri"/>
        </w:rPr>
        <w:t xml:space="preserve">s </w:t>
      </w:r>
      <w:r w:rsidR="009F422D" w:rsidRPr="007E31D5">
        <w:rPr>
          <w:rFonts w:ascii="Calibri" w:hAnsi="Calibri" w:cs="Calibri"/>
        </w:rPr>
        <w:t xml:space="preserve">were taken as part of standard </w:t>
      </w:r>
      <w:r w:rsidR="00441FB2" w:rsidRPr="007E31D5">
        <w:rPr>
          <w:rFonts w:ascii="Calibri" w:hAnsi="Calibri" w:cs="Calibri"/>
        </w:rPr>
        <w:t>clinical care</w:t>
      </w:r>
      <w:r w:rsidR="009F422D" w:rsidRPr="007E31D5">
        <w:rPr>
          <w:rFonts w:ascii="Calibri" w:hAnsi="Calibri" w:cs="Calibri"/>
        </w:rPr>
        <w:t xml:space="preserve"> </w:t>
      </w:r>
      <w:r w:rsidRPr="007E31D5">
        <w:rPr>
          <w:rFonts w:ascii="Calibri" w:hAnsi="Calibri" w:cs="Calibri"/>
        </w:rPr>
        <w:t xml:space="preserve">and analysed </w:t>
      </w:r>
      <w:r w:rsidR="007A11E6" w:rsidRPr="007E31D5">
        <w:rPr>
          <w:rFonts w:ascii="Calibri" w:hAnsi="Calibri" w:cs="Calibri"/>
        </w:rPr>
        <w:t>according to local validated clinical pathology standard operating procedure</w:t>
      </w:r>
      <w:r w:rsidR="00F61437" w:rsidRPr="007E31D5">
        <w:rPr>
          <w:rFonts w:ascii="Calibri" w:hAnsi="Calibri" w:cs="Calibri"/>
        </w:rPr>
        <w:t>s</w:t>
      </w:r>
      <w:r w:rsidR="00FD10B0" w:rsidRPr="007E31D5">
        <w:rPr>
          <w:rFonts w:ascii="Calibri" w:hAnsi="Calibri" w:cs="Calibri"/>
        </w:rPr>
        <w:t xml:space="preserve"> at </w:t>
      </w:r>
      <w:r w:rsidR="00F44A44" w:rsidRPr="007E31D5">
        <w:rPr>
          <w:rFonts w:ascii="Calibri" w:hAnsi="Calibri" w:cs="Calibri"/>
        </w:rPr>
        <w:t>UHS</w:t>
      </w:r>
      <w:r w:rsidR="00A345ED">
        <w:rPr>
          <w:rFonts w:ascii="Calibri" w:hAnsi="Calibri" w:cs="Calibri"/>
        </w:rPr>
        <w:t>FT</w:t>
      </w:r>
      <w:r w:rsidR="00FD10B0" w:rsidRPr="007E31D5">
        <w:rPr>
          <w:rFonts w:ascii="Calibri" w:hAnsi="Calibri" w:cs="Calibri"/>
        </w:rPr>
        <w:t>.</w:t>
      </w:r>
      <w:r w:rsidR="00517F0C" w:rsidRPr="007E31D5">
        <w:rPr>
          <w:rFonts w:ascii="Calibri" w:hAnsi="Calibri" w:cs="Calibri"/>
        </w:rPr>
        <w:t xml:space="preserve"> </w:t>
      </w:r>
    </w:p>
    <w:p w14:paraId="3B16DAD4" w14:textId="77777777" w:rsidR="00FF715E" w:rsidRPr="00E05A0E" w:rsidRDefault="00FF715E" w:rsidP="00332441">
      <w:pPr>
        <w:pStyle w:val="ListParagraph"/>
        <w:spacing w:line="360" w:lineRule="auto"/>
        <w:ind w:left="0"/>
        <w:jc w:val="both"/>
      </w:pPr>
    </w:p>
    <w:p w14:paraId="51E8C9EB" w14:textId="77777777" w:rsidR="000A3888" w:rsidRDefault="000A3888" w:rsidP="00332441">
      <w:pPr>
        <w:pStyle w:val="ListParagraph"/>
        <w:spacing w:line="360" w:lineRule="auto"/>
        <w:ind w:left="0"/>
        <w:jc w:val="both"/>
      </w:pPr>
    </w:p>
    <w:p w14:paraId="2A77249D" w14:textId="77777777" w:rsidR="00F72D45" w:rsidRDefault="001263CD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 w:rsidRPr="00AC517B">
        <w:rPr>
          <w:b/>
          <w:bCs/>
          <w:i/>
          <w:iCs/>
        </w:rPr>
        <w:t>Statistical Methods</w:t>
      </w:r>
    </w:p>
    <w:p w14:paraId="41185517" w14:textId="26DFF33C" w:rsidR="001263CD" w:rsidRPr="00F72D45" w:rsidRDefault="001263CD" w:rsidP="00332441">
      <w:pPr>
        <w:pStyle w:val="ListParagraph"/>
        <w:spacing w:line="360" w:lineRule="auto"/>
        <w:ind w:left="0"/>
        <w:jc w:val="both"/>
        <w:rPr>
          <w:b/>
          <w:bCs/>
          <w:i/>
          <w:iCs/>
        </w:rPr>
      </w:pPr>
      <w:r>
        <w:t xml:space="preserve">Initial statistics were descriptive in nature with </w:t>
      </w:r>
      <w:r w:rsidR="00AF2D67">
        <w:t xml:space="preserve">baseline characteristics presented as frequency and percentages for categorical variables and </w:t>
      </w:r>
      <w:r>
        <w:t>median and inter-</w:t>
      </w:r>
      <w:r w:rsidR="00807C48">
        <w:t>quartile</w:t>
      </w:r>
      <w:r>
        <w:t xml:space="preserve"> range (IQR)</w:t>
      </w:r>
      <w:r w:rsidR="00AF2D67">
        <w:t xml:space="preserve"> for continuous variables</w:t>
      </w:r>
      <w:r>
        <w:t>. Between group comparisons for continuous variables were made</w:t>
      </w:r>
      <w:r w:rsidR="008412E4">
        <w:t xml:space="preserve"> using the</w:t>
      </w:r>
      <w:r>
        <w:t xml:space="preserve"> Mann-Whitney U test</w:t>
      </w:r>
      <w:r w:rsidR="008412E4">
        <w:t>.</w:t>
      </w:r>
      <w:r>
        <w:t xml:space="preserve"> </w:t>
      </w:r>
      <w:r w:rsidR="00AF2D67">
        <w:t>Spearman’s correlation coefficients were used to quantify correlations between continuous variables</w:t>
      </w:r>
      <w:r>
        <w:t>. Assessment of difference in distribution of categorical variables between independent groups was made using the Chi-squared test (χ2) or Fisher’s Exact test</w:t>
      </w:r>
      <w:r w:rsidR="0009358E">
        <w:t xml:space="preserve"> </w:t>
      </w:r>
      <w:r>
        <w:t>as appropriate.</w:t>
      </w:r>
      <w:r w:rsidR="00F72D45">
        <w:rPr>
          <w:b/>
          <w:bCs/>
          <w:i/>
          <w:iCs/>
        </w:rPr>
        <w:t xml:space="preserve"> </w:t>
      </w:r>
      <w:r w:rsidR="0073249B">
        <w:t>Time to event analysis was computed using Cox regression analysis.</w:t>
      </w:r>
      <w:r w:rsidR="009F422D">
        <w:t xml:space="preserve"> </w:t>
      </w:r>
      <w:r w:rsidR="0009358E">
        <w:t xml:space="preserve">Variables </w:t>
      </w:r>
      <w:r w:rsidR="00141128">
        <w:t xml:space="preserve">identified </w:t>
      </w:r>
      <w:r w:rsidR="0009358E">
        <w:t>with a p-value of &lt;0.2 in univariate analysis were selected for inclu</w:t>
      </w:r>
      <w:r w:rsidR="00141128">
        <w:t>sion</w:t>
      </w:r>
      <w:r w:rsidR="0009358E">
        <w:t xml:space="preserve"> in </w:t>
      </w:r>
      <w:r w:rsidR="00141128">
        <w:t xml:space="preserve">a combined </w:t>
      </w:r>
      <w:r w:rsidR="0009358E">
        <w:t>multivariate analysis. M</w:t>
      </w:r>
      <w:r w:rsidR="004F0F54" w:rsidRPr="004F0F54">
        <w:t>odel discrimination is presented using the area under the receiver operat</w:t>
      </w:r>
      <w:r w:rsidR="0009358E">
        <w:t>ing</w:t>
      </w:r>
      <w:r w:rsidR="004F0F54" w:rsidRPr="004F0F54">
        <w:t xml:space="preserve"> characteristic curve (AUROC).</w:t>
      </w:r>
      <w:r w:rsidR="008412E4">
        <w:t xml:space="preserve"> </w:t>
      </w:r>
      <w:r>
        <w:t xml:space="preserve">P values of &lt;0.05 were deemed significant. Statistical analysis was conducted using IBM®-SPSS® </w:t>
      </w:r>
      <w:r w:rsidR="0089043B">
        <w:t>(</w:t>
      </w:r>
      <w:r>
        <w:t>version 26</w:t>
      </w:r>
      <w:r w:rsidR="0089043B">
        <w:t>)</w:t>
      </w:r>
      <w:r w:rsidR="00AF2D67">
        <w:t xml:space="preserve"> and </w:t>
      </w:r>
      <w:proofErr w:type="spellStart"/>
      <w:r w:rsidR="00AF2D67" w:rsidRPr="00E3762F">
        <w:rPr>
          <w:i/>
        </w:rPr>
        <w:t>Graphpad</w:t>
      </w:r>
      <w:proofErr w:type="spellEnd"/>
      <w:r w:rsidR="00AF2D67">
        <w:t xml:space="preserve"> Prism (Version 8.4.3)</w:t>
      </w:r>
      <w:r w:rsidR="0089043B">
        <w:t>.</w:t>
      </w:r>
    </w:p>
    <w:p w14:paraId="37E4ECAF" w14:textId="77777777" w:rsidR="00517F0C" w:rsidRDefault="00517F0C" w:rsidP="00332441">
      <w:pPr>
        <w:pStyle w:val="EndNoteBibliography"/>
        <w:spacing w:after="0" w:line="360" w:lineRule="auto"/>
        <w:rPr>
          <w:b/>
          <w:bCs/>
          <w:sz w:val="24"/>
          <w:szCs w:val="24"/>
        </w:rPr>
      </w:pPr>
    </w:p>
    <w:p w14:paraId="58B880F2" w14:textId="7098FB13" w:rsidR="001263CD" w:rsidRPr="00AC517B" w:rsidRDefault="001263CD" w:rsidP="00332441">
      <w:pPr>
        <w:pStyle w:val="EndNoteBibliography"/>
        <w:spacing w:after="0" w:line="360" w:lineRule="auto"/>
        <w:rPr>
          <w:b/>
          <w:bCs/>
          <w:sz w:val="24"/>
          <w:szCs w:val="24"/>
        </w:rPr>
      </w:pPr>
      <w:r w:rsidRPr="00AC517B">
        <w:rPr>
          <w:b/>
          <w:bCs/>
          <w:sz w:val="24"/>
          <w:szCs w:val="24"/>
        </w:rPr>
        <w:t>Results</w:t>
      </w:r>
    </w:p>
    <w:p w14:paraId="267C8A77" w14:textId="77777777" w:rsidR="00F72D45" w:rsidRDefault="00F72D45" w:rsidP="00332441">
      <w:pPr>
        <w:pStyle w:val="EndNoteBibliography"/>
        <w:spacing w:after="0" w:line="360" w:lineRule="auto"/>
        <w:jc w:val="both"/>
      </w:pPr>
    </w:p>
    <w:p w14:paraId="340A5DFC" w14:textId="054AED41" w:rsidR="005375BD" w:rsidRPr="00AC517B" w:rsidRDefault="005375BD" w:rsidP="00332441">
      <w:pPr>
        <w:pStyle w:val="EndNoteBibliography"/>
        <w:spacing w:after="0" w:line="360" w:lineRule="auto"/>
        <w:jc w:val="both"/>
        <w:rPr>
          <w:b/>
          <w:bCs/>
          <w:i/>
          <w:iCs/>
        </w:rPr>
      </w:pPr>
      <w:r w:rsidRPr="00AC517B">
        <w:rPr>
          <w:b/>
          <w:bCs/>
          <w:i/>
          <w:iCs/>
        </w:rPr>
        <w:t>Baseline demographics</w:t>
      </w:r>
    </w:p>
    <w:p w14:paraId="32DF8793" w14:textId="3CA1E080" w:rsidR="00646F37" w:rsidRDefault="00646F37" w:rsidP="00332441">
      <w:pPr>
        <w:pStyle w:val="EndNoteBibliography"/>
        <w:spacing w:after="0" w:line="360" w:lineRule="auto"/>
        <w:jc w:val="both"/>
      </w:pPr>
      <w:r>
        <w:t>A total of 1</w:t>
      </w:r>
      <w:r w:rsidR="009F059C">
        <w:t>34</w:t>
      </w:r>
      <w:r>
        <w:t xml:space="preserve"> patient</w:t>
      </w:r>
      <w:r w:rsidR="00F72D45">
        <w:t>s</w:t>
      </w:r>
      <w:r>
        <w:t xml:space="preserve"> were invited for follow-up</w:t>
      </w:r>
      <w:r w:rsidR="009F059C">
        <w:t xml:space="preserve"> (</w:t>
      </w:r>
      <w:r w:rsidR="00103287">
        <w:t>10</w:t>
      </w:r>
      <w:r w:rsidR="009F059C">
        <w:t xml:space="preserve"> patients </w:t>
      </w:r>
      <w:r w:rsidR="00740FB7">
        <w:t>declined</w:t>
      </w:r>
      <w:r w:rsidR="00103287">
        <w:t xml:space="preserve"> follow-up</w:t>
      </w:r>
      <w:r w:rsidR="009F059C">
        <w:t>,</w:t>
      </w:r>
      <w:r w:rsidR="00103287">
        <w:t xml:space="preserve"> 13 patients were lost to follow-up and</w:t>
      </w:r>
      <w:r w:rsidR="009F059C">
        <w:t xml:space="preserve"> 10 patients  did not attend for </w:t>
      </w:r>
      <w:r w:rsidR="00672622">
        <w:t>c</w:t>
      </w:r>
      <w:r w:rsidR="009F059C">
        <w:t>hest radiograph</w:t>
      </w:r>
      <w:r w:rsidR="00F61437">
        <w:t>s</w:t>
      </w:r>
      <w:r w:rsidR="00103287">
        <w:t>)</w:t>
      </w:r>
      <w:r>
        <w:t xml:space="preserve">. </w:t>
      </w:r>
      <w:r w:rsidR="009F059C">
        <w:t xml:space="preserve">Therefore </w:t>
      </w:r>
      <w:r>
        <w:t>101 patients who</w:t>
      </w:r>
      <w:r w:rsidR="0018720C">
        <w:t xml:space="preserve"> </w:t>
      </w:r>
      <w:r>
        <w:lastRenderedPageBreak/>
        <w:t>had</w:t>
      </w:r>
      <w:r w:rsidR="00141128">
        <w:t xml:space="preserve"> complete data including</w:t>
      </w:r>
      <w:r>
        <w:t xml:space="preserve"> paired baseline and follow-up chest radiographs were included in the final analysis</w:t>
      </w:r>
      <w:r w:rsidR="00E03D63">
        <w:t xml:space="preserve"> (study CONSORT diagram see </w:t>
      </w:r>
      <w:r w:rsidR="00E03D63" w:rsidRPr="00E03D63">
        <w:rPr>
          <w:b/>
          <w:bCs/>
        </w:rPr>
        <w:t>Supplemental Figure 1</w:t>
      </w:r>
      <w:r w:rsidR="00E03D63">
        <w:t>)</w:t>
      </w:r>
      <w:r>
        <w:t xml:space="preserve">. </w:t>
      </w:r>
    </w:p>
    <w:p w14:paraId="27732CB3" w14:textId="0886A37A" w:rsidR="00103287" w:rsidRDefault="00103287" w:rsidP="00332441">
      <w:pPr>
        <w:pStyle w:val="EndNoteBibliography"/>
        <w:spacing w:after="0" w:line="360" w:lineRule="auto"/>
        <w:jc w:val="both"/>
      </w:pPr>
    </w:p>
    <w:p w14:paraId="545E2A78" w14:textId="672FB8A5" w:rsidR="005375BD" w:rsidRDefault="00103287" w:rsidP="00332441">
      <w:pPr>
        <w:pStyle w:val="EndNoteBibliography"/>
        <w:spacing w:after="0" w:line="360" w:lineRule="auto"/>
        <w:jc w:val="both"/>
      </w:pPr>
      <w:r>
        <w:t xml:space="preserve">Baseline demographics </w:t>
      </w:r>
      <w:r w:rsidR="002453D8">
        <w:t xml:space="preserve">for the cohort of </w:t>
      </w:r>
      <w:r w:rsidR="00F61437">
        <w:t>101 patients</w:t>
      </w:r>
      <w:r w:rsidR="00F44A44">
        <w:t xml:space="preserve"> (</w:t>
      </w:r>
      <w:r w:rsidR="00F44A44" w:rsidRPr="001A3BD6">
        <w:rPr>
          <w:b/>
          <w:bCs/>
        </w:rPr>
        <w:t>Table 1</w:t>
      </w:r>
      <w:r w:rsidR="00F44A44" w:rsidRPr="008B740A">
        <w:t>)</w:t>
      </w:r>
      <w:r w:rsidR="00F61437">
        <w:t xml:space="preserve"> </w:t>
      </w:r>
      <w:r w:rsidR="00153644" w:rsidRPr="00153644">
        <w:t>identified</w:t>
      </w:r>
      <w:r>
        <w:t xml:space="preserve"> 53.5%</w:t>
      </w:r>
      <w:r w:rsidR="00F61437">
        <w:t xml:space="preserve"> </w:t>
      </w:r>
      <w:r>
        <w:t>were males with a median (IQR) age of 53.0 (45-63) years. The median baseline to follow-up chest radiograph interval</w:t>
      </w:r>
      <w:r w:rsidR="001A3BD6">
        <w:t>,</w:t>
      </w:r>
      <w:r>
        <w:t xml:space="preserve"> and admission to virtual follow-up appointment</w:t>
      </w:r>
      <w:r w:rsidR="001A3BD6">
        <w:t>,</w:t>
      </w:r>
      <w:r>
        <w:t xml:space="preserve"> w</w:t>
      </w:r>
      <w:r w:rsidR="001A3BD6">
        <w:t>as</w:t>
      </w:r>
      <w:r>
        <w:t xml:space="preserve"> 82 (77-86) days and 96 (94-98) days respectively. The median length of stay was 9 (5-17.5) days and 48.5% (n=49) of patients were admitted to a level 2</w:t>
      </w:r>
      <w:r w:rsidR="00153644">
        <w:t xml:space="preserve"> or </w:t>
      </w:r>
      <w:r>
        <w:t>3 care facility.</w:t>
      </w:r>
      <w:r w:rsidR="00514872">
        <w:t xml:space="preserve"> </w:t>
      </w:r>
      <w:r w:rsidR="007A7CA0">
        <w:t>The majority of</w:t>
      </w:r>
      <w:r w:rsidR="002453D8">
        <w:t xml:space="preserve"> patients were </w:t>
      </w:r>
      <w:r w:rsidR="007A7CA0">
        <w:t>w</w:t>
      </w:r>
      <w:r w:rsidR="002453D8">
        <w:t>hite British eth</w:t>
      </w:r>
      <w:r w:rsidR="00873997">
        <w:t>n</w:t>
      </w:r>
      <w:r w:rsidR="002453D8">
        <w:t>icity (65%)</w:t>
      </w:r>
      <w:r w:rsidR="00F82209">
        <w:t xml:space="preserve"> and never smokers (65%)</w:t>
      </w:r>
      <w:r w:rsidR="002453D8">
        <w:t xml:space="preserve">. Common comorbities included hypertension </w:t>
      </w:r>
      <w:r w:rsidR="007A7CA0">
        <w:t>(</w:t>
      </w:r>
      <w:r w:rsidR="002453D8">
        <w:t>36%</w:t>
      </w:r>
      <w:r w:rsidR="007A7CA0">
        <w:t>)</w:t>
      </w:r>
      <w:r w:rsidR="002453D8">
        <w:t xml:space="preserve">, </w:t>
      </w:r>
      <w:r w:rsidR="00F72D45">
        <w:t>o</w:t>
      </w:r>
      <w:r w:rsidR="002453D8">
        <w:t xml:space="preserve">besity </w:t>
      </w:r>
      <w:r w:rsidR="007A7CA0">
        <w:t>[</w:t>
      </w:r>
      <w:r w:rsidR="002453D8">
        <w:t>BMI&gt;30 kg/m</w:t>
      </w:r>
      <w:r w:rsidR="002453D8">
        <w:rPr>
          <w:vertAlign w:val="superscript"/>
        </w:rPr>
        <w:t>2</w:t>
      </w:r>
      <w:r w:rsidR="007A7CA0">
        <w:t>]</w:t>
      </w:r>
      <w:r w:rsidR="002453D8">
        <w:t xml:space="preserve"> </w:t>
      </w:r>
      <w:r w:rsidR="007A7CA0">
        <w:t>(</w:t>
      </w:r>
      <w:r w:rsidR="002453D8">
        <w:t>28%</w:t>
      </w:r>
      <w:r w:rsidR="007A7CA0">
        <w:t>)</w:t>
      </w:r>
      <w:r w:rsidR="00386704">
        <w:t xml:space="preserve"> and </w:t>
      </w:r>
      <w:r w:rsidR="00F72D45">
        <w:t>d</w:t>
      </w:r>
      <w:r w:rsidR="002453D8">
        <w:t>iabetes</w:t>
      </w:r>
      <w:r w:rsidR="00E27DFF">
        <w:t xml:space="preserve"> melitus [all types] </w:t>
      </w:r>
      <w:r w:rsidR="007A7CA0">
        <w:t>(</w:t>
      </w:r>
      <w:r w:rsidR="00386704">
        <w:t>15</w:t>
      </w:r>
      <w:r w:rsidR="002453D8">
        <w:t>%</w:t>
      </w:r>
      <w:r w:rsidR="007A7CA0">
        <w:t>)</w:t>
      </w:r>
      <w:r w:rsidR="00F82209" w:rsidRPr="0091092E">
        <w:t>.</w:t>
      </w:r>
      <w:r w:rsidR="00F82209" w:rsidRPr="001A3BD6">
        <w:rPr>
          <w:b/>
          <w:bCs/>
        </w:rPr>
        <w:t xml:space="preserve"> </w:t>
      </w:r>
    </w:p>
    <w:p w14:paraId="793031DD" w14:textId="3C9077B8" w:rsidR="00475455" w:rsidRPr="0009358E" w:rsidRDefault="00475455" w:rsidP="00332441">
      <w:pPr>
        <w:pStyle w:val="EndNoteBibliography"/>
        <w:spacing w:after="0" w:line="360" w:lineRule="auto"/>
        <w:jc w:val="both"/>
      </w:pPr>
    </w:p>
    <w:p w14:paraId="0D4DAE48" w14:textId="4EAEF511" w:rsidR="00E03D63" w:rsidRPr="0009358E" w:rsidRDefault="00E03D63" w:rsidP="00332441">
      <w:pPr>
        <w:pStyle w:val="EndNoteBibliography"/>
        <w:spacing w:after="0" w:line="360" w:lineRule="auto"/>
        <w:jc w:val="both"/>
        <w:rPr>
          <w:b/>
          <w:bCs/>
          <w:i/>
          <w:iCs/>
        </w:rPr>
      </w:pPr>
      <w:r w:rsidRPr="0009358E">
        <w:rPr>
          <w:b/>
          <w:bCs/>
          <w:i/>
          <w:iCs/>
        </w:rPr>
        <w:t>Clinical Outcomes</w:t>
      </w:r>
    </w:p>
    <w:p w14:paraId="28FC7DB8" w14:textId="007CAB7B" w:rsidR="0009358E" w:rsidRPr="0009358E" w:rsidRDefault="0009358E" w:rsidP="00332441">
      <w:pPr>
        <w:pStyle w:val="EndNoteBibliography"/>
        <w:spacing w:after="0" w:line="360" w:lineRule="auto"/>
        <w:jc w:val="both"/>
        <w:rPr>
          <w:b/>
          <w:bCs/>
          <w:i/>
          <w:iCs/>
        </w:rPr>
      </w:pPr>
    </w:p>
    <w:p w14:paraId="49CB5145" w14:textId="36325D6E" w:rsidR="0009358E" w:rsidRPr="0009358E" w:rsidRDefault="00835F14" w:rsidP="00332441">
      <w:pPr>
        <w:pStyle w:val="EndNoteBibliography"/>
        <w:spacing w:after="0" w:line="360" w:lineRule="auto"/>
        <w:jc w:val="both"/>
      </w:pPr>
      <w:r>
        <w:t>At 12-week follow-up</w:t>
      </w:r>
      <w:r w:rsidR="0009358E">
        <w:t xml:space="preserve"> 65% </w:t>
      </w:r>
      <w:r>
        <w:t xml:space="preserve">(n=65) </w:t>
      </w:r>
      <w:r w:rsidR="0009358E">
        <w:t xml:space="preserve">of patients had one or more persisting symptom of which </w:t>
      </w:r>
      <w:r>
        <w:t>fatigue (41%)</w:t>
      </w:r>
      <w:r w:rsidR="0009358E">
        <w:t xml:space="preserve"> and </w:t>
      </w:r>
      <w:r>
        <w:t>breathlessness</w:t>
      </w:r>
      <w:r w:rsidR="0009358E">
        <w:t xml:space="preserve"> </w:t>
      </w:r>
      <w:r>
        <w:t xml:space="preserve">(38%) </w:t>
      </w:r>
      <w:r w:rsidR="0009358E">
        <w:t>were the most common</w:t>
      </w:r>
      <w:r>
        <w:t xml:space="preserve">. 55% (n=55) </w:t>
      </w:r>
      <w:r w:rsidR="00471A5C">
        <w:t xml:space="preserve">of patients </w:t>
      </w:r>
      <w:r>
        <w:t>were discharged following the</w:t>
      </w:r>
      <w:r w:rsidR="00471A5C">
        <w:t>ir</w:t>
      </w:r>
      <w:r>
        <w:t xml:space="preserve"> 12-week virtual clinic. </w:t>
      </w:r>
      <w:r w:rsidR="006943BC">
        <w:t xml:space="preserve"> </w:t>
      </w:r>
      <w:r w:rsidR="00FA7533">
        <w:t>A</w:t>
      </w:r>
      <w:r w:rsidR="00626B6C">
        <w:t xml:space="preserve">t the time of writing further investigations completed </w:t>
      </w:r>
      <w:r>
        <w:t xml:space="preserve"> included</w:t>
      </w:r>
      <w:r w:rsidR="006943BC">
        <w:t>;</w:t>
      </w:r>
      <w:r>
        <w:t xml:space="preserve"> pulmonary function testing</w:t>
      </w:r>
      <w:r w:rsidR="001517AA">
        <w:t xml:space="preserve"> </w:t>
      </w:r>
      <w:r w:rsidR="001D47B6">
        <w:t xml:space="preserve">(in </w:t>
      </w:r>
      <w:r w:rsidR="00626B6C">
        <w:t>36</w:t>
      </w:r>
      <w:r w:rsidR="001517AA">
        <w:t>%</w:t>
      </w:r>
      <w:r w:rsidR="001D47B6">
        <w:t xml:space="preserve"> of cohort</w:t>
      </w:r>
      <w:r w:rsidR="006943BC">
        <w:t>)</w:t>
      </w:r>
      <w:r w:rsidR="00FB2887">
        <w:t xml:space="preserve"> see </w:t>
      </w:r>
      <w:r w:rsidR="00FB2887" w:rsidRPr="00FB2887">
        <w:rPr>
          <w:b/>
          <w:bCs/>
        </w:rPr>
        <w:t>Supplemental</w:t>
      </w:r>
      <w:r w:rsidR="00FB2887">
        <w:rPr>
          <w:b/>
          <w:bCs/>
        </w:rPr>
        <w:t xml:space="preserve"> </w:t>
      </w:r>
      <w:r w:rsidR="00FB2887" w:rsidRPr="00FB2887">
        <w:rPr>
          <w:b/>
          <w:bCs/>
        </w:rPr>
        <w:t>Table 1</w:t>
      </w:r>
      <w:r>
        <w:t>,  transthoracic echocardiogram</w:t>
      </w:r>
      <w:r w:rsidR="001517AA">
        <w:t xml:space="preserve"> </w:t>
      </w:r>
      <w:r w:rsidR="006943BC">
        <w:t>(</w:t>
      </w:r>
      <w:r w:rsidR="00626B6C">
        <w:t>43</w:t>
      </w:r>
      <w:r w:rsidR="001517AA">
        <w:t>%</w:t>
      </w:r>
      <w:r w:rsidR="006943BC">
        <w:t>)</w:t>
      </w:r>
      <w:r>
        <w:t xml:space="preserve">, </w:t>
      </w:r>
      <w:r w:rsidR="008E63C8">
        <w:t>CT C</w:t>
      </w:r>
      <w:r>
        <w:t xml:space="preserve">hest </w:t>
      </w:r>
      <w:r w:rsidR="00471A5C">
        <w:t>(</w:t>
      </w:r>
      <w:r w:rsidR="00626B6C">
        <w:t>25</w:t>
      </w:r>
      <w:r w:rsidR="001517AA">
        <w:t>%</w:t>
      </w:r>
      <w:r w:rsidR="00471A5C">
        <w:t>)</w:t>
      </w:r>
      <w:r w:rsidR="006943BC">
        <w:t xml:space="preserve">, repeat blood tests </w:t>
      </w:r>
      <w:r w:rsidR="008E63C8">
        <w:t>(</w:t>
      </w:r>
      <w:r w:rsidR="00FA7533">
        <w:t>8</w:t>
      </w:r>
      <w:r w:rsidR="006943BC">
        <w:t>%</w:t>
      </w:r>
      <w:r w:rsidR="008E63C8">
        <w:t>)</w:t>
      </w:r>
      <w:r w:rsidR="006943BC">
        <w:t>, and repeat chest radiograph (</w:t>
      </w:r>
      <w:r w:rsidR="00FA7533">
        <w:t>3</w:t>
      </w:r>
      <w:r w:rsidR="006943BC">
        <w:t>%).</w:t>
      </w:r>
      <w:r w:rsidR="00626B6C">
        <w:t xml:space="preserve"> </w:t>
      </w:r>
    </w:p>
    <w:p w14:paraId="1EF5D989" w14:textId="77777777" w:rsidR="00475455" w:rsidRPr="00E03D63" w:rsidRDefault="00475455" w:rsidP="00332441">
      <w:pPr>
        <w:pStyle w:val="EndNoteBibliography"/>
        <w:spacing w:after="0" w:line="360" w:lineRule="auto"/>
        <w:jc w:val="both"/>
        <w:rPr>
          <w:b/>
          <w:bCs/>
          <w:sz w:val="24"/>
          <w:szCs w:val="24"/>
        </w:rPr>
      </w:pPr>
    </w:p>
    <w:p w14:paraId="3625AF6E" w14:textId="5D444951" w:rsidR="005375BD" w:rsidRPr="00471A5C" w:rsidRDefault="005375BD" w:rsidP="00332441">
      <w:pPr>
        <w:pStyle w:val="EndNoteBibliography"/>
        <w:spacing w:after="0" w:line="360" w:lineRule="auto"/>
        <w:jc w:val="both"/>
        <w:rPr>
          <w:b/>
          <w:bCs/>
          <w:i/>
          <w:iCs/>
        </w:rPr>
      </w:pPr>
      <w:r w:rsidRPr="00471A5C">
        <w:rPr>
          <w:b/>
          <w:bCs/>
          <w:i/>
          <w:iCs/>
        </w:rPr>
        <w:t>Chest Radiograph</w:t>
      </w:r>
      <w:r w:rsidR="007A7CA0" w:rsidRPr="00471A5C">
        <w:rPr>
          <w:b/>
          <w:bCs/>
          <w:i/>
          <w:iCs/>
        </w:rPr>
        <w:t xml:space="preserve"> Scoring</w:t>
      </w:r>
    </w:p>
    <w:p w14:paraId="1FBD89FC" w14:textId="77777777" w:rsidR="001A3BD6" w:rsidRPr="00AC517B" w:rsidRDefault="001A3BD6" w:rsidP="00332441">
      <w:pPr>
        <w:pStyle w:val="EndNoteBibliography"/>
        <w:spacing w:after="0" w:line="360" w:lineRule="auto"/>
        <w:jc w:val="both"/>
        <w:rPr>
          <w:b/>
          <w:bCs/>
          <w:i/>
          <w:iCs/>
          <w:sz w:val="24"/>
          <w:szCs w:val="24"/>
        </w:rPr>
      </w:pPr>
    </w:p>
    <w:p w14:paraId="7A8379D0" w14:textId="2A635DCE" w:rsidR="00A522D2" w:rsidRDefault="0070538D" w:rsidP="00332441">
      <w:pPr>
        <w:pStyle w:val="EndNoteBibliography"/>
        <w:spacing w:line="360" w:lineRule="auto"/>
        <w:jc w:val="both"/>
        <w:rPr>
          <w:lang w:val="en-GB"/>
        </w:rPr>
      </w:pPr>
      <w:r>
        <w:t>The median</w:t>
      </w:r>
      <w:r w:rsidR="007A7CA0">
        <w:t xml:space="preserve"> (IQR)</w:t>
      </w:r>
      <w:r>
        <w:t xml:space="preserve"> baseline chest radiograph score </w:t>
      </w:r>
      <w:r w:rsidR="00517F0C">
        <w:t>w</w:t>
      </w:r>
      <w:r w:rsidR="007A7CA0">
        <w:t>as</w:t>
      </w:r>
      <w:r>
        <w:t xml:space="preserve"> 4.0 (</w:t>
      </w:r>
      <w:r w:rsidR="00F82209">
        <w:t>3</w:t>
      </w:r>
      <w:r>
        <w:t>-5)</w:t>
      </w:r>
      <w:r w:rsidR="00F82209">
        <w:t xml:space="preserve"> with a maximum score of 8</w:t>
      </w:r>
      <w:r>
        <w:rPr>
          <w:lang w:val="en-GB"/>
        </w:rPr>
        <w:t xml:space="preserve">. At follow-up the median </w:t>
      </w:r>
      <w:r w:rsidR="007A7CA0">
        <w:rPr>
          <w:lang w:val="en-GB"/>
        </w:rPr>
        <w:t xml:space="preserve">(IQR) </w:t>
      </w:r>
      <w:r>
        <w:rPr>
          <w:lang w:val="en-GB"/>
        </w:rPr>
        <w:t>chest radiograph severity score was 0 (0-</w:t>
      </w:r>
      <w:r w:rsidR="00F82209">
        <w:rPr>
          <w:lang w:val="en-GB"/>
        </w:rPr>
        <w:t>1</w:t>
      </w:r>
      <w:r>
        <w:rPr>
          <w:lang w:val="en-GB"/>
        </w:rPr>
        <w:t xml:space="preserve">) with a maximum of </w:t>
      </w:r>
      <w:r w:rsidR="00F82209">
        <w:rPr>
          <w:lang w:val="en-GB"/>
        </w:rPr>
        <w:t>7</w:t>
      </w:r>
      <w:r>
        <w:rPr>
          <w:lang w:val="en-GB"/>
        </w:rPr>
        <w:t xml:space="preserve">. Overall </w:t>
      </w:r>
      <w:r w:rsidR="00B556EC">
        <w:rPr>
          <w:lang w:val="en-GB"/>
        </w:rPr>
        <w:t>3</w:t>
      </w:r>
      <w:r w:rsidR="00522AD7">
        <w:rPr>
          <w:lang w:val="en-GB"/>
        </w:rPr>
        <w:t>1</w:t>
      </w:r>
      <w:r w:rsidR="00DF7C2C">
        <w:rPr>
          <w:lang w:val="en-GB"/>
        </w:rPr>
        <w:t>.6</w:t>
      </w:r>
      <w:r w:rsidR="00B556EC">
        <w:rPr>
          <w:lang w:val="en-GB"/>
        </w:rPr>
        <w:t>%</w:t>
      </w:r>
      <w:r>
        <w:rPr>
          <w:lang w:val="en-GB"/>
        </w:rPr>
        <w:t xml:space="preserve"> (n=</w:t>
      </w:r>
      <w:r w:rsidR="00B556EC">
        <w:rPr>
          <w:lang w:val="en-GB"/>
        </w:rPr>
        <w:t>32</w:t>
      </w:r>
      <w:r>
        <w:rPr>
          <w:lang w:val="en-GB"/>
        </w:rPr>
        <w:t xml:space="preserve">) of patients had </w:t>
      </w:r>
      <w:r w:rsidR="00B556EC">
        <w:rPr>
          <w:lang w:val="en-GB"/>
        </w:rPr>
        <w:t>persistent chest radiograph</w:t>
      </w:r>
      <w:r>
        <w:rPr>
          <w:lang w:val="en-GB"/>
        </w:rPr>
        <w:t xml:space="preserve"> </w:t>
      </w:r>
      <w:r w:rsidR="00B556EC">
        <w:rPr>
          <w:lang w:val="en-GB"/>
        </w:rPr>
        <w:t xml:space="preserve">changes </w:t>
      </w:r>
      <w:r>
        <w:rPr>
          <w:lang w:val="en-GB"/>
        </w:rPr>
        <w:t>at follow-up. Of those with persistent chest radiograph change</w:t>
      </w:r>
      <w:r w:rsidR="007A7CA0">
        <w:rPr>
          <w:lang w:val="en-GB"/>
        </w:rPr>
        <w:t>,</w:t>
      </w:r>
      <w:r>
        <w:rPr>
          <w:lang w:val="en-GB"/>
        </w:rPr>
        <w:t xml:space="preserve"> 5</w:t>
      </w:r>
      <w:r w:rsidR="00F82209">
        <w:rPr>
          <w:lang w:val="en-GB"/>
        </w:rPr>
        <w:t>5</w:t>
      </w:r>
      <w:r>
        <w:rPr>
          <w:lang w:val="en-GB"/>
        </w:rPr>
        <w:t>% (n=</w:t>
      </w:r>
      <w:r w:rsidR="00F82209">
        <w:rPr>
          <w:lang w:val="en-GB"/>
        </w:rPr>
        <w:t>17</w:t>
      </w:r>
      <w:r>
        <w:rPr>
          <w:lang w:val="en-GB"/>
        </w:rPr>
        <w:t>)</w:t>
      </w:r>
      <w:r w:rsidR="007A7CA0">
        <w:rPr>
          <w:lang w:val="en-GB"/>
        </w:rPr>
        <w:t xml:space="preserve"> </w:t>
      </w:r>
      <w:r>
        <w:rPr>
          <w:lang w:val="en-GB"/>
        </w:rPr>
        <w:t>had a</w:t>
      </w:r>
      <w:r w:rsidR="0018720C">
        <w:rPr>
          <w:lang w:val="en-GB"/>
        </w:rPr>
        <w:t>n</w:t>
      </w:r>
      <w:r>
        <w:rPr>
          <w:lang w:val="en-GB"/>
        </w:rPr>
        <w:t xml:space="preserve"> </w:t>
      </w:r>
      <w:r w:rsidR="00F72D45">
        <w:rPr>
          <w:lang w:val="en-GB"/>
        </w:rPr>
        <w:t xml:space="preserve">infiltrate </w:t>
      </w:r>
      <w:r>
        <w:rPr>
          <w:lang w:val="en-GB"/>
        </w:rPr>
        <w:t>score of 1</w:t>
      </w:r>
      <w:r w:rsidR="00F72D45">
        <w:rPr>
          <w:lang w:val="en-GB"/>
        </w:rPr>
        <w:t>,</w:t>
      </w:r>
      <w:r>
        <w:rPr>
          <w:lang w:val="en-GB"/>
        </w:rPr>
        <w:t xml:space="preserve"> </w:t>
      </w:r>
      <w:r w:rsidR="00F82209">
        <w:rPr>
          <w:lang w:val="en-GB"/>
        </w:rPr>
        <w:t>22</w:t>
      </w:r>
      <w:r>
        <w:rPr>
          <w:lang w:val="en-GB"/>
        </w:rPr>
        <w:t>% (n=</w:t>
      </w:r>
      <w:r w:rsidR="00F82209">
        <w:rPr>
          <w:lang w:val="en-GB"/>
        </w:rPr>
        <w:t>7</w:t>
      </w:r>
      <w:r>
        <w:rPr>
          <w:lang w:val="en-GB"/>
        </w:rPr>
        <w:t>) had a score of 2</w:t>
      </w:r>
      <w:r w:rsidR="00F72D45">
        <w:rPr>
          <w:lang w:val="en-GB"/>
        </w:rPr>
        <w:t>,</w:t>
      </w:r>
      <w:r>
        <w:rPr>
          <w:lang w:val="en-GB"/>
        </w:rPr>
        <w:t xml:space="preserve"> and </w:t>
      </w:r>
      <w:r w:rsidR="00F82209">
        <w:rPr>
          <w:lang w:val="en-GB"/>
        </w:rPr>
        <w:t>23</w:t>
      </w:r>
      <w:r>
        <w:rPr>
          <w:lang w:val="en-GB"/>
        </w:rPr>
        <w:t>% (n=</w:t>
      </w:r>
      <w:r w:rsidR="00F82209">
        <w:rPr>
          <w:lang w:val="en-GB"/>
        </w:rPr>
        <w:t>8</w:t>
      </w:r>
      <w:r>
        <w:rPr>
          <w:lang w:val="en-GB"/>
        </w:rPr>
        <w:t>) had a score of 3</w:t>
      </w:r>
      <w:r w:rsidR="00F72D45">
        <w:rPr>
          <w:lang w:val="en-GB"/>
        </w:rPr>
        <w:t xml:space="preserve"> or greater</w:t>
      </w:r>
      <w:r w:rsidR="007A7CA0">
        <w:rPr>
          <w:lang w:val="en-GB"/>
        </w:rPr>
        <w:t>.</w:t>
      </w:r>
      <w:r w:rsidR="00940939">
        <w:rPr>
          <w:lang w:val="en-GB"/>
        </w:rPr>
        <w:t xml:space="preserve"> </w:t>
      </w:r>
      <w:r w:rsidR="00CB388C">
        <w:rPr>
          <w:lang w:val="en-GB"/>
        </w:rPr>
        <w:t xml:space="preserve"> There was no significant difference in</w:t>
      </w:r>
      <w:r w:rsidR="00DA20A7">
        <w:rPr>
          <w:lang w:val="en-GB"/>
        </w:rPr>
        <w:t xml:space="preserve"> the</w:t>
      </w:r>
      <w:r w:rsidR="00CB388C">
        <w:rPr>
          <w:lang w:val="en-GB"/>
        </w:rPr>
        <w:t xml:space="preserve"> median chest radiograph follow-up interval between </w:t>
      </w:r>
      <w:r w:rsidR="00DA20A7">
        <w:rPr>
          <w:lang w:val="en-GB"/>
        </w:rPr>
        <w:t xml:space="preserve">those with resolution and persistent </w:t>
      </w:r>
      <w:r w:rsidR="00154839">
        <w:rPr>
          <w:lang w:val="en-GB"/>
        </w:rPr>
        <w:t>radiograph abnormality</w:t>
      </w:r>
      <w:r w:rsidR="00CB388C">
        <w:rPr>
          <w:lang w:val="en-GB"/>
        </w:rPr>
        <w:t>; 83.0 days (76.0-99.0)</w:t>
      </w:r>
      <w:r w:rsidR="00DA20A7">
        <w:rPr>
          <w:lang w:val="en-GB"/>
        </w:rPr>
        <w:t xml:space="preserve"> versus</w:t>
      </w:r>
      <w:r w:rsidR="00CB388C">
        <w:rPr>
          <w:lang w:val="en-GB"/>
        </w:rPr>
        <w:t xml:space="preserve"> 81.5 days (65.5-87.5) </w:t>
      </w:r>
      <w:r w:rsidR="00DA20A7">
        <w:rPr>
          <w:lang w:val="en-GB"/>
        </w:rPr>
        <w:t>respectively</w:t>
      </w:r>
      <w:r w:rsidR="00CB388C">
        <w:rPr>
          <w:lang w:val="en-GB"/>
        </w:rPr>
        <w:t xml:space="preserve">, p=0.37. </w:t>
      </w:r>
      <w:r w:rsidR="006069BE">
        <w:rPr>
          <w:lang w:val="en-GB"/>
        </w:rPr>
        <w:t>At the time of writing,</w:t>
      </w:r>
      <w:r w:rsidR="001E3EB1">
        <w:rPr>
          <w:lang w:val="en-GB"/>
        </w:rPr>
        <w:t xml:space="preserve"> </w:t>
      </w:r>
      <w:r w:rsidR="006A672E">
        <w:rPr>
          <w:lang w:val="en-GB"/>
        </w:rPr>
        <w:t>14</w:t>
      </w:r>
      <w:r w:rsidR="00626B6C">
        <w:rPr>
          <w:lang w:val="en-GB"/>
        </w:rPr>
        <w:t xml:space="preserve"> </w:t>
      </w:r>
      <w:r w:rsidR="00940939">
        <w:rPr>
          <w:lang w:val="en-GB"/>
        </w:rPr>
        <w:t xml:space="preserve">patients </w:t>
      </w:r>
      <w:r w:rsidR="007160B7">
        <w:rPr>
          <w:lang w:val="en-GB"/>
        </w:rPr>
        <w:t xml:space="preserve">with </w:t>
      </w:r>
      <w:r w:rsidR="00FA7533" w:rsidRPr="00FA7533">
        <w:rPr>
          <w:lang w:val="en-GB"/>
        </w:rPr>
        <w:t>persistent</w:t>
      </w:r>
      <w:r w:rsidR="007160B7">
        <w:rPr>
          <w:lang w:val="en-GB"/>
        </w:rPr>
        <w:t xml:space="preserve"> chest radiograph </w:t>
      </w:r>
      <w:r w:rsidR="00FA7533" w:rsidRPr="00FA7533">
        <w:rPr>
          <w:lang w:val="en-GB"/>
        </w:rPr>
        <w:t>abnormality</w:t>
      </w:r>
      <w:r w:rsidR="007160B7">
        <w:rPr>
          <w:lang w:val="en-GB"/>
        </w:rPr>
        <w:t xml:space="preserve"> have </w:t>
      </w:r>
      <w:r w:rsidR="001E3EB1">
        <w:rPr>
          <w:lang w:val="en-GB"/>
        </w:rPr>
        <w:t xml:space="preserve"> </w:t>
      </w:r>
      <w:r w:rsidR="00940939">
        <w:rPr>
          <w:lang w:val="en-GB"/>
        </w:rPr>
        <w:t xml:space="preserve">proceeded to have </w:t>
      </w:r>
      <w:r w:rsidR="006069BE">
        <w:rPr>
          <w:lang w:val="en-GB"/>
        </w:rPr>
        <w:t xml:space="preserve">a </w:t>
      </w:r>
      <w:r w:rsidR="00154839">
        <w:rPr>
          <w:lang w:val="en-GB"/>
        </w:rPr>
        <w:t>chest CT</w:t>
      </w:r>
      <w:r w:rsidR="00940939">
        <w:rPr>
          <w:lang w:val="en-GB"/>
        </w:rPr>
        <w:t xml:space="preserve"> scan, </w:t>
      </w:r>
      <w:r w:rsidR="00626B6C">
        <w:rPr>
          <w:lang w:val="en-GB"/>
        </w:rPr>
        <w:t>86% (n=1</w:t>
      </w:r>
      <w:r w:rsidR="002D2DFA">
        <w:rPr>
          <w:lang w:val="en-GB"/>
        </w:rPr>
        <w:t>2</w:t>
      </w:r>
      <w:r w:rsidR="00626B6C">
        <w:rPr>
          <w:lang w:val="en-GB"/>
        </w:rPr>
        <w:t xml:space="preserve">) </w:t>
      </w:r>
      <w:r w:rsidR="00940939">
        <w:rPr>
          <w:lang w:val="en-GB"/>
        </w:rPr>
        <w:t xml:space="preserve">of which </w:t>
      </w:r>
      <w:r w:rsidR="001E3EB1">
        <w:rPr>
          <w:lang w:val="en-GB"/>
        </w:rPr>
        <w:t>have</w:t>
      </w:r>
      <w:r w:rsidR="00940939">
        <w:rPr>
          <w:lang w:val="en-GB"/>
        </w:rPr>
        <w:t xml:space="preserve"> </w:t>
      </w:r>
      <w:r w:rsidR="001E3EB1">
        <w:rPr>
          <w:lang w:val="en-GB"/>
        </w:rPr>
        <w:t xml:space="preserve">identified </w:t>
      </w:r>
      <w:r w:rsidR="00940939">
        <w:rPr>
          <w:lang w:val="en-GB"/>
        </w:rPr>
        <w:t>evidence of pulmonary fibrosis</w:t>
      </w:r>
      <w:r w:rsidR="00B5604F">
        <w:rPr>
          <w:lang w:val="en-GB"/>
        </w:rPr>
        <w:t xml:space="preserve"> (for description see </w:t>
      </w:r>
      <w:r w:rsidR="00B5604F" w:rsidRPr="00B5604F">
        <w:rPr>
          <w:b/>
          <w:bCs/>
          <w:lang w:val="en-GB"/>
        </w:rPr>
        <w:t>Supplemental Information</w:t>
      </w:r>
      <w:r w:rsidR="00B5604F">
        <w:rPr>
          <w:lang w:val="en-GB"/>
        </w:rPr>
        <w:t>)</w:t>
      </w:r>
      <w:r w:rsidR="00940939">
        <w:rPr>
          <w:lang w:val="en-GB"/>
        </w:rPr>
        <w:t>.</w:t>
      </w:r>
    </w:p>
    <w:p w14:paraId="64ADA234" w14:textId="5D635C83" w:rsidR="0007230E" w:rsidRDefault="0007230E" w:rsidP="00332441">
      <w:pPr>
        <w:pStyle w:val="EndNoteBibliography"/>
        <w:spacing w:line="360" w:lineRule="auto"/>
        <w:jc w:val="both"/>
        <w:rPr>
          <w:b/>
          <w:bCs/>
          <w:sz w:val="24"/>
          <w:szCs w:val="24"/>
          <w:lang w:val="en-GB"/>
        </w:rPr>
      </w:pPr>
    </w:p>
    <w:p w14:paraId="47E0EAE0" w14:textId="77777777" w:rsidR="0007230E" w:rsidRDefault="0007230E" w:rsidP="00332441">
      <w:pPr>
        <w:pStyle w:val="EndNoteBibliography"/>
        <w:spacing w:line="360" w:lineRule="auto"/>
        <w:jc w:val="both"/>
        <w:rPr>
          <w:b/>
          <w:bCs/>
          <w:sz w:val="24"/>
          <w:szCs w:val="24"/>
          <w:lang w:val="en-GB"/>
        </w:rPr>
      </w:pPr>
    </w:p>
    <w:p w14:paraId="572BED23" w14:textId="77777777" w:rsidR="00FA7533" w:rsidRDefault="00FA7533" w:rsidP="00332441">
      <w:pPr>
        <w:pStyle w:val="EndNoteBibliography"/>
        <w:spacing w:line="360" w:lineRule="auto"/>
        <w:jc w:val="both"/>
        <w:rPr>
          <w:b/>
          <w:bCs/>
          <w:sz w:val="24"/>
          <w:szCs w:val="24"/>
          <w:lang w:val="en-GB"/>
        </w:rPr>
      </w:pPr>
    </w:p>
    <w:p w14:paraId="0F748061" w14:textId="4B7DAA83" w:rsidR="00F72D45" w:rsidRPr="00471A5C" w:rsidRDefault="00672622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 w:rsidRPr="00471A5C">
        <w:rPr>
          <w:b/>
          <w:bCs/>
          <w:lang w:val="en-GB"/>
        </w:rPr>
        <w:lastRenderedPageBreak/>
        <w:t>Predicting p</w:t>
      </w:r>
      <w:r w:rsidR="00A522D2" w:rsidRPr="00471A5C">
        <w:rPr>
          <w:b/>
          <w:bCs/>
          <w:lang w:val="en-GB"/>
        </w:rPr>
        <w:t xml:space="preserve">ersistent chest radiograph </w:t>
      </w:r>
      <w:r w:rsidR="00154839">
        <w:rPr>
          <w:b/>
          <w:bCs/>
          <w:lang w:val="en-GB"/>
        </w:rPr>
        <w:t>abnormality</w:t>
      </w:r>
    </w:p>
    <w:p w14:paraId="7D1A13E4" w14:textId="148B9A26" w:rsidR="00401AAA" w:rsidRPr="00672622" w:rsidRDefault="00401AAA" w:rsidP="00332441">
      <w:pPr>
        <w:pStyle w:val="EndNoteBibliography"/>
        <w:spacing w:line="360" w:lineRule="auto"/>
        <w:jc w:val="both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Patients with abnormal chest radiographs at follow-up had a significantly longer </w:t>
      </w:r>
      <w:r w:rsidR="007A7CA0">
        <w:rPr>
          <w:lang w:val="en-GB"/>
        </w:rPr>
        <w:t xml:space="preserve">median </w:t>
      </w:r>
      <w:r>
        <w:rPr>
          <w:lang w:val="en-GB"/>
        </w:rPr>
        <w:t xml:space="preserve">length of stay </w:t>
      </w:r>
      <w:r w:rsidR="007A7CA0">
        <w:rPr>
          <w:lang w:val="en-GB"/>
        </w:rPr>
        <w:t>(</w:t>
      </w:r>
      <w:r>
        <w:rPr>
          <w:lang w:val="en-GB"/>
        </w:rPr>
        <w:t>20.5 days vs. 8.0 days p&lt;0.01</w:t>
      </w:r>
      <w:r w:rsidR="007A7CA0">
        <w:rPr>
          <w:lang w:val="en-GB"/>
        </w:rPr>
        <w:t>)</w:t>
      </w:r>
      <w:r>
        <w:rPr>
          <w:lang w:val="en-GB"/>
        </w:rPr>
        <w:t xml:space="preserve"> and were more lik</w:t>
      </w:r>
      <w:r w:rsidR="00154839">
        <w:rPr>
          <w:lang w:val="en-GB"/>
        </w:rPr>
        <w:t>el</w:t>
      </w:r>
      <w:r>
        <w:rPr>
          <w:lang w:val="en-GB"/>
        </w:rPr>
        <w:t xml:space="preserve">y to be </w:t>
      </w:r>
      <w:r w:rsidR="00F72D45">
        <w:rPr>
          <w:lang w:val="en-GB"/>
        </w:rPr>
        <w:t xml:space="preserve">current or previous </w:t>
      </w:r>
      <w:r>
        <w:rPr>
          <w:lang w:val="en-GB"/>
        </w:rPr>
        <w:t xml:space="preserve">smokers compared to never smokers </w:t>
      </w:r>
      <w:r w:rsidR="007A7CA0">
        <w:rPr>
          <w:lang w:val="en-GB"/>
        </w:rPr>
        <w:t>(</w:t>
      </w:r>
      <w:r>
        <w:rPr>
          <w:lang w:val="en-GB"/>
        </w:rPr>
        <w:t>56%  vs. 23% p=0.02</w:t>
      </w:r>
      <w:r w:rsidR="007A7CA0">
        <w:rPr>
          <w:lang w:val="en-GB"/>
        </w:rPr>
        <w:t>)</w:t>
      </w:r>
      <w:r>
        <w:rPr>
          <w:lang w:val="en-GB"/>
        </w:rPr>
        <w:t>. Further</w:t>
      </w:r>
      <w:r w:rsidR="0018720C">
        <w:rPr>
          <w:lang w:val="en-GB"/>
        </w:rPr>
        <w:t>more,</w:t>
      </w:r>
      <w:r>
        <w:rPr>
          <w:lang w:val="en-GB"/>
        </w:rPr>
        <w:t xml:space="preserve"> </w:t>
      </w:r>
      <w:r w:rsidR="00F72D45">
        <w:rPr>
          <w:lang w:val="en-GB"/>
        </w:rPr>
        <w:t xml:space="preserve">patients with persistent radiograph </w:t>
      </w:r>
      <w:r w:rsidR="00154839">
        <w:rPr>
          <w:lang w:val="en-GB"/>
        </w:rPr>
        <w:t>abnormality</w:t>
      </w:r>
      <w:r w:rsidR="00F72D45">
        <w:rPr>
          <w:lang w:val="en-GB"/>
        </w:rPr>
        <w:t xml:space="preserve"> were more </w:t>
      </w:r>
      <w:r w:rsidR="0018720C">
        <w:rPr>
          <w:lang w:val="en-GB"/>
        </w:rPr>
        <w:t xml:space="preserve">likely </w:t>
      </w:r>
      <w:r w:rsidR="00F72D45">
        <w:rPr>
          <w:lang w:val="en-GB"/>
        </w:rPr>
        <w:t>to have been admitted to a level 2</w:t>
      </w:r>
      <w:r w:rsidR="00DA20A7">
        <w:rPr>
          <w:lang w:val="en-GB"/>
        </w:rPr>
        <w:t xml:space="preserve"> or </w:t>
      </w:r>
      <w:r w:rsidR="00F72D45">
        <w:rPr>
          <w:lang w:val="en-GB"/>
        </w:rPr>
        <w:t>3 care facility</w:t>
      </w:r>
      <w:r>
        <w:rPr>
          <w:lang w:val="en-GB"/>
        </w:rPr>
        <w:t xml:space="preserve"> compared to those </w:t>
      </w:r>
      <w:r w:rsidR="00F72D45">
        <w:rPr>
          <w:lang w:val="en-GB"/>
        </w:rPr>
        <w:t>with complete radiograph resolution</w:t>
      </w:r>
      <w:r>
        <w:rPr>
          <w:lang w:val="en-GB"/>
        </w:rPr>
        <w:t xml:space="preserve"> (45% vs. 19%) p&lt;0.01. </w:t>
      </w:r>
      <w:r w:rsidR="00E03D63">
        <w:rPr>
          <w:lang w:val="en-GB"/>
        </w:rPr>
        <w:t xml:space="preserve">Correlation was observed between total inpatient and follow-up chest radiograph scores r=0.340 p=0.001. </w:t>
      </w:r>
      <w:r>
        <w:rPr>
          <w:lang w:val="en-GB"/>
        </w:rPr>
        <w:t xml:space="preserve">There was no significant difference between groups in </w:t>
      </w:r>
      <w:r w:rsidR="001A3BD6">
        <w:rPr>
          <w:lang w:val="en-GB"/>
        </w:rPr>
        <w:t xml:space="preserve">the </w:t>
      </w:r>
      <w:r>
        <w:rPr>
          <w:lang w:val="en-GB"/>
        </w:rPr>
        <w:t>distr</w:t>
      </w:r>
      <w:r w:rsidR="00D415A4">
        <w:rPr>
          <w:lang w:val="en-GB"/>
        </w:rPr>
        <w:t>i</w:t>
      </w:r>
      <w:r>
        <w:rPr>
          <w:lang w:val="en-GB"/>
        </w:rPr>
        <w:t>b</w:t>
      </w:r>
      <w:r w:rsidR="00D415A4">
        <w:rPr>
          <w:lang w:val="en-GB"/>
        </w:rPr>
        <w:t>u</w:t>
      </w:r>
      <w:r>
        <w:rPr>
          <w:lang w:val="en-GB"/>
        </w:rPr>
        <w:t xml:space="preserve">tion </w:t>
      </w:r>
      <w:r w:rsidR="00F72D45">
        <w:rPr>
          <w:lang w:val="en-GB"/>
        </w:rPr>
        <w:t>in</w:t>
      </w:r>
      <w:r>
        <w:rPr>
          <w:lang w:val="en-GB"/>
        </w:rPr>
        <w:t xml:space="preserve"> the use of oxygen, by past medical history</w:t>
      </w:r>
      <w:r w:rsidR="007A7CA0">
        <w:rPr>
          <w:lang w:val="en-GB"/>
        </w:rPr>
        <w:t xml:space="preserve">, </w:t>
      </w:r>
      <w:r>
        <w:rPr>
          <w:lang w:val="en-GB"/>
        </w:rPr>
        <w:t>ethnicity or in the follow-up interval between inpatient and follow-up chest radiographs (</w:t>
      </w:r>
      <w:r w:rsidRPr="00154839">
        <w:rPr>
          <w:b/>
          <w:bCs/>
          <w:lang w:val="en-GB"/>
        </w:rPr>
        <w:t xml:space="preserve">Table </w:t>
      </w:r>
      <w:r w:rsidR="00E03D63" w:rsidRPr="00154839">
        <w:rPr>
          <w:b/>
          <w:bCs/>
          <w:lang w:val="en-GB"/>
        </w:rPr>
        <w:t>1</w:t>
      </w:r>
      <w:r>
        <w:rPr>
          <w:lang w:val="en-GB"/>
        </w:rPr>
        <w:t>).</w:t>
      </w:r>
    </w:p>
    <w:p w14:paraId="0FBC986B" w14:textId="14F10F08" w:rsidR="00E27DFF" w:rsidRPr="0043744D" w:rsidRDefault="0089043B" w:rsidP="00332441">
      <w:pPr>
        <w:pStyle w:val="EndNoteBibliography"/>
        <w:spacing w:line="360" w:lineRule="auto"/>
        <w:jc w:val="both"/>
        <w:rPr>
          <w:noProof w:val="0"/>
          <w:lang w:val="en-GB"/>
        </w:rPr>
      </w:pPr>
      <w:r>
        <w:rPr>
          <w:lang w:val="en-GB"/>
        </w:rPr>
        <w:t>U</w:t>
      </w:r>
      <w:r w:rsidR="00E43B38">
        <w:rPr>
          <w:lang w:val="en-GB"/>
        </w:rPr>
        <w:t xml:space="preserve">nivariate regression analysis </w:t>
      </w:r>
      <w:r>
        <w:rPr>
          <w:lang w:val="en-GB"/>
        </w:rPr>
        <w:t xml:space="preserve">identified </w:t>
      </w:r>
      <w:r w:rsidR="00E43B38">
        <w:rPr>
          <w:lang w:val="en-GB"/>
        </w:rPr>
        <w:t>length of stay, age</w:t>
      </w:r>
      <w:r w:rsidR="00E27DFF">
        <w:rPr>
          <w:lang w:val="en-GB"/>
        </w:rPr>
        <w:t>,</w:t>
      </w:r>
      <w:r w:rsidR="00E43B38">
        <w:rPr>
          <w:lang w:val="en-GB"/>
        </w:rPr>
        <w:t xml:space="preserve"> and </w:t>
      </w:r>
      <w:r w:rsidR="00E27DFF">
        <w:rPr>
          <w:lang w:val="en-GB"/>
        </w:rPr>
        <w:t>current or ex</w:t>
      </w:r>
      <w:r w:rsidR="00E43B38">
        <w:rPr>
          <w:lang w:val="en-GB"/>
        </w:rPr>
        <w:t xml:space="preserve">-smoker status </w:t>
      </w:r>
      <w:r>
        <w:rPr>
          <w:lang w:val="en-GB"/>
        </w:rPr>
        <w:t xml:space="preserve">as </w:t>
      </w:r>
      <w:r w:rsidR="00E43B38">
        <w:rPr>
          <w:lang w:val="en-GB"/>
        </w:rPr>
        <w:t>significant risk factors for persistent chest radiograph change</w:t>
      </w:r>
      <w:r w:rsidR="00401AAA">
        <w:rPr>
          <w:lang w:val="en-GB"/>
        </w:rPr>
        <w:t xml:space="preserve"> (</w:t>
      </w:r>
      <w:r w:rsidR="00401AAA" w:rsidRPr="00154839">
        <w:rPr>
          <w:b/>
          <w:bCs/>
          <w:lang w:val="en-GB"/>
        </w:rPr>
        <w:t xml:space="preserve">Table </w:t>
      </w:r>
      <w:r w:rsidR="00E03D63" w:rsidRPr="00154839">
        <w:rPr>
          <w:b/>
          <w:bCs/>
          <w:lang w:val="en-GB"/>
        </w:rPr>
        <w:t>2</w:t>
      </w:r>
      <w:r w:rsidR="00401AAA" w:rsidRPr="00154839">
        <w:rPr>
          <w:b/>
          <w:bCs/>
          <w:lang w:val="en-GB"/>
        </w:rPr>
        <w:t>a</w:t>
      </w:r>
      <w:r w:rsidR="00401AAA">
        <w:rPr>
          <w:lang w:val="en-GB"/>
        </w:rPr>
        <w:t>)</w:t>
      </w:r>
      <w:r w:rsidR="00E43B38">
        <w:rPr>
          <w:lang w:val="en-GB"/>
        </w:rPr>
        <w:t>.</w:t>
      </w:r>
      <w:r w:rsidR="0009358E">
        <w:rPr>
          <w:lang w:val="en-GB"/>
        </w:rPr>
        <w:t xml:space="preserve"> In </w:t>
      </w:r>
      <w:r w:rsidR="00E43B38">
        <w:rPr>
          <w:lang w:val="en-GB"/>
        </w:rPr>
        <w:t xml:space="preserve">multivariate </w:t>
      </w:r>
      <w:r w:rsidR="0009358E">
        <w:rPr>
          <w:lang w:val="en-GB"/>
        </w:rPr>
        <w:t>analysis</w:t>
      </w:r>
      <w:r w:rsidR="00E43B38">
        <w:rPr>
          <w:lang w:val="en-GB"/>
        </w:rPr>
        <w:t xml:space="preserve"> </w:t>
      </w:r>
      <w:r w:rsidR="0009358E">
        <w:rPr>
          <w:lang w:val="en-GB"/>
        </w:rPr>
        <w:t>(</w:t>
      </w:r>
      <w:r w:rsidR="00154839" w:rsidRPr="00154839">
        <w:rPr>
          <w:lang w:val="en-GB"/>
        </w:rPr>
        <w:t>covariates</w:t>
      </w:r>
      <w:r w:rsidR="0009358E">
        <w:rPr>
          <w:lang w:val="en-GB"/>
        </w:rPr>
        <w:t xml:space="preserve">; </w:t>
      </w:r>
      <w:r w:rsidR="00E43B38">
        <w:rPr>
          <w:lang w:val="en-GB"/>
        </w:rPr>
        <w:t>length of stay, age</w:t>
      </w:r>
      <w:r w:rsidR="00E03D63">
        <w:rPr>
          <w:lang w:val="en-GB"/>
        </w:rPr>
        <w:t xml:space="preserve"> at admission</w:t>
      </w:r>
      <w:r w:rsidR="00E43B38">
        <w:rPr>
          <w:lang w:val="en-GB"/>
        </w:rPr>
        <w:t>, level 2</w:t>
      </w:r>
      <w:r w:rsidR="006209AF">
        <w:rPr>
          <w:lang w:val="en-GB"/>
        </w:rPr>
        <w:t xml:space="preserve"> or </w:t>
      </w:r>
      <w:r w:rsidR="00E43B38">
        <w:rPr>
          <w:lang w:val="en-GB"/>
        </w:rPr>
        <w:t xml:space="preserve">3 admission, </w:t>
      </w:r>
      <w:r w:rsidR="0043744D">
        <w:rPr>
          <w:lang w:val="en-GB"/>
        </w:rPr>
        <w:t>current or ex-</w:t>
      </w:r>
      <w:r w:rsidR="00E43B38">
        <w:rPr>
          <w:lang w:val="en-GB"/>
        </w:rPr>
        <w:t xml:space="preserve">smoking status and obesity) length of stay, </w:t>
      </w:r>
      <w:r w:rsidR="00E27DFF">
        <w:rPr>
          <w:lang w:val="en-GB"/>
        </w:rPr>
        <w:t>current or ex-</w:t>
      </w:r>
      <w:r w:rsidR="00E43B38">
        <w:rPr>
          <w:lang w:val="en-GB"/>
        </w:rPr>
        <w:t xml:space="preserve">smoking status and obesity </w:t>
      </w:r>
      <w:r w:rsidR="00154839">
        <w:rPr>
          <w:lang w:val="en-GB"/>
        </w:rPr>
        <w:t xml:space="preserve">were </w:t>
      </w:r>
      <w:r w:rsidR="00154839" w:rsidRPr="00154839">
        <w:rPr>
          <w:lang w:val="en-GB"/>
        </w:rPr>
        <w:t xml:space="preserve">identified </w:t>
      </w:r>
      <w:r w:rsidR="00E43B38">
        <w:rPr>
          <w:lang w:val="en-GB"/>
        </w:rPr>
        <w:t xml:space="preserve">as independent risk factors for persistent chest radiograph </w:t>
      </w:r>
      <w:r w:rsidR="00154839">
        <w:rPr>
          <w:lang w:val="en-GB"/>
        </w:rPr>
        <w:t>abnormality</w:t>
      </w:r>
      <w:r w:rsidR="00E43B38">
        <w:rPr>
          <w:lang w:val="en-GB"/>
        </w:rPr>
        <w:t xml:space="preserve"> </w:t>
      </w:r>
      <w:r w:rsidR="007A7CA0" w:rsidRPr="00154839">
        <w:rPr>
          <w:b/>
          <w:bCs/>
          <w:lang w:val="en-GB"/>
        </w:rPr>
        <w:t xml:space="preserve">Table </w:t>
      </w:r>
      <w:r w:rsidR="00E03D63" w:rsidRPr="00154839">
        <w:rPr>
          <w:b/>
          <w:bCs/>
          <w:lang w:val="en-GB"/>
        </w:rPr>
        <w:t>2</w:t>
      </w:r>
      <w:r w:rsidR="007A7CA0" w:rsidRPr="00154839">
        <w:rPr>
          <w:b/>
          <w:bCs/>
          <w:lang w:val="en-GB"/>
        </w:rPr>
        <w:t>b</w:t>
      </w:r>
      <w:r w:rsidR="007A7CA0">
        <w:rPr>
          <w:lang w:val="en-GB"/>
        </w:rPr>
        <w:t>.</w:t>
      </w:r>
      <w:r w:rsidR="00855B1B">
        <w:rPr>
          <w:lang w:val="en-GB"/>
        </w:rPr>
        <w:t xml:space="preserve"> </w:t>
      </w:r>
    </w:p>
    <w:p w14:paraId="64C202D4" w14:textId="01CAD830" w:rsidR="00E03D63" w:rsidRDefault="00F02795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Analysis of Laboratory Indices</w:t>
      </w:r>
    </w:p>
    <w:p w14:paraId="42BB4002" w14:textId="0C0AA53B" w:rsidR="00B556EC" w:rsidRDefault="005A322A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Baseline and follow-up pathology data are summarised in </w:t>
      </w:r>
      <w:r w:rsidRPr="00855B1B">
        <w:rPr>
          <w:b/>
          <w:bCs/>
          <w:lang w:val="en-GB"/>
        </w:rPr>
        <w:t>Table 3</w:t>
      </w:r>
      <w:r w:rsidR="00DB1D0F">
        <w:rPr>
          <w:b/>
          <w:bCs/>
          <w:lang w:val="en-GB"/>
        </w:rPr>
        <w:t>a and 3b</w:t>
      </w:r>
      <w:r>
        <w:rPr>
          <w:lang w:val="en-GB"/>
        </w:rPr>
        <w:t xml:space="preserve">. </w:t>
      </w:r>
      <w:r w:rsidR="00B00669">
        <w:rPr>
          <w:lang w:val="en-GB"/>
        </w:rPr>
        <w:t xml:space="preserve">This analysis </w:t>
      </w:r>
      <w:r w:rsidR="00154839" w:rsidRPr="00154839">
        <w:rPr>
          <w:lang w:val="en-GB"/>
        </w:rPr>
        <w:t xml:space="preserve">identified </w:t>
      </w:r>
      <w:r w:rsidR="00154839">
        <w:rPr>
          <w:lang w:val="en-GB"/>
        </w:rPr>
        <w:t>t</w:t>
      </w:r>
      <w:r w:rsidR="00B00669">
        <w:rPr>
          <w:lang w:val="en-GB"/>
        </w:rPr>
        <w:t>hat serum lactate dehydrogenase (LDH) was the only blood marker signficantly elevated in patients with persistent chest radiograph abnormality compared to those with complete resolution at both baseline</w:t>
      </w:r>
      <w:r w:rsidR="00154839">
        <w:rPr>
          <w:lang w:val="en-GB"/>
        </w:rPr>
        <w:t xml:space="preserve"> and follow-up;</w:t>
      </w:r>
      <w:r w:rsidR="00B00669">
        <w:rPr>
          <w:lang w:val="en-GB"/>
        </w:rPr>
        <w:t xml:space="preserve"> median </w:t>
      </w:r>
      <w:r w:rsidR="00154839">
        <w:rPr>
          <w:lang w:val="en-GB"/>
        </w:rPr>
        <w:t>(</w:t>
      </w:r>
      <w:r w:rsidR="00B00669">
        <w:rPr>
          <w:lang w:val="en-GB"/>
        </w:rPr>
        <w:t>IQR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959 U/L </w:t>
      </w:r>
      <w:r w:rsidR="00154839">
        <w:rPr>
          <w:lang w:val="en-GB"/>
        </w:rPr>
        <w:t>(</w:t>
      </w:r>
      <w:r w:rsidR="00B00669">
        <w:rPr>
          <w:lang w:val="en-GB"/>
        </w:rPr>
        <w:t>697-1193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vs. 679 U/L </w:t>
      </w:r>
      <w:r w:rsidR="00154839">
        <w:rPr>
          <w:lang w:val="en-GB"/>
        </w:rPr>
        <w:t>(</w:t>
      </w:r>
      <w:r w:rsidR="00B00669">
        <w:rPr>
          <w:lang w:val="en-GB"/>
        </w:rPr>
        <w:t>502-955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p=0.006 </w:t>
      </w:r>
      <w:r w:rsidR="00154839">
        <w:rPr>
          <w:lang w:val="en-GB"/>
        </w:rPr>
        <w:t>(</w:t>
      </w:r>
      <w:r w:rsidR="00B00669">
        <w:rPr>
          <w:lang w:val="en-GB"/>
        </w:rPr>
        <w:t>n=76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and 435 U/L </w:t>
      </w:r>
      <w:r w:rsidR="00154839">
        <w:rPr>
          <w:lang w:val="en-GB"/>
        </w:rPr>
        <w:t>(</w:t>
      </w:r>
      <w:r w:rsidR="00B00669">
        <w:rPr>
          <w:lang w:val="en-GB"/>
        </w:rPr>
        <w:t>359-489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vs. 373 U/L </w:t>
      </w:r>
      <w:r w:rsidR="00154839">
        <w:rPr>
          <w:lang w:val="en-GB"/>
        </w:rPr>
        <w:t>(</w:t>
      </w:r>
      <w:r w:rsidR="00B00669">
        <w:rPr>
          <w:lang w:val="en-GB"/>
        </w:rPr>
        <w:t>317-405</w:t>
      </w:r>
      <w:r w:rsidR="00154839">
        <w:rPr>
          <w:lang w:val="en-GB"/>
        </w:rPr>
        <w:t>)</w:t>
      </w:r>
      <w:r w:rsidR="00B00669">
        <w:rPr>
          <w:lang w:val="en-GB"/>
        </w:rPr>
        <w:t xml:space="preserve"> p=0.004 </w:t>
      </w:r>
      <w:r w:rsidR="00154839">
        <w:rPr>
          <w:lang w:val="en-GB"/>
        </w:rPr>
        <w:t>(</w:t>
      </w:r>
      <w:r w:rsidR="00B00669">
        <w:rPr>
          <w:lang w:val="en-GB"/>
        </w:rPr>
        <w:t>n=46</w:t>
      </w:r>
      <w:r w:rsidR="00154839">
        <w:rPr>
          <w:lang w:val="en-GB"/>
        </w:rPr>
        <w:t>) respectively</w:t>
      </w:r>
      <w:r w:rsidR="00B00669">
        <w:rPr>
          <w:lang w:val="en-GB"/>
        </w:rPr>
        <w:t xml:space="preserve"> </w:t>
      </w:r>
      <w:r w:rsidR="004F0F54" w:rsidRPr="00154839">
        <w:rPr>
          <w:b/>
          <w:bCs/>
          <w:lang w:val="en-GB"/>
        </w:rPr>
        <w:t>Figure 1</w:t>
      </w:r>
      <w:r w:rsidR="0043744D" w:rsidRPr="00154839">
        <w:rPr>
          <w:b/>
          <w:bCs/>
          <w:lang w:val="en-GB"/>
        </w:rPr>
        <w:t>a</w:t>
      </w:r>
      <w:r w:rsidR="00D76F69">
        <w:rPr>
          <w:b/>
          <w:bCs/>
          <w:lang w:val="en-GB"/>
        </w:rPr>
        <w:t xml:space="preserve"> and 1b</w:t>
      </w:r>
      <w:r w:rsidR="00D05BF1" w:rsidRPr="00154839">
        <w:rPr>
          <w:b/>
          <w:bCs/>
          <w:lang w:val="en-GB"/>
        </w:rPr>
        <w:t>.</w:t>
      </w:r>
      <w:r w:rsidR="00D05BF1">
        <w:rPr>
          <w:lang w:val="en-GB"/>
        </w:rPr>
        <w:t xml:space="preserve"> </w:t>
      </w:r>
      <w:r w:rsidR="00855B1B">
        <w:rPr>
          <w:lang w:val="en-GB"/>
        </w:rPr>
        <w:t xml:space="preserve">Further analysis of LDH </w:t>
      </w:r>
      <w:r w:rsidR="00154839">
        <w:rPr>
          <w:lang w:val="en-GB"/>
        </w:rPr>
        <w:t>results</w:t>
      </w:r>
      <w:r w:rsidR="00855B1B">
        <w:rPr>
          <w:lang w:val="en-GB"/>
        </w:rPr>
        <w:t xml:space="preserve"> </w:t>
      </w:r>
      <w:r w:rsidR="00154839" w:rsidRPr="00154839">
        <w:rPr>
          <w:lang w:val="en-GB"/>
        </w:rPr>
        <w:t>identified</w:t>
      </w:r>
      <w:r w:rsidR="00855B1B">
        <w:rPr>
          <w:lang w:val="en-GB"/>
        </w:rPr>
        <w:t xml:space="preserve"> significant correlation between</w:t>
      </w:r>
      <w:r w:rsidR="00B556EC">
        <w:rPr>
          <w:lang w:val="en-GB"/>
        </w:rPr>
        <w:t xml:space="preserve"> </w:t>
      </w:r>
      <w:r w:rsidR="00D05BF1">
        <w:rPr>
          <w:lang w:val="en-GB"/>
        </w:rPr>
        <w:t>baseline</w:t>
      </w:r>
      <w:r w:rsidR="00E27DFF">
        <w:rPr>
          <w:lang w:val="en-GB"/>
        </w:rPr>
        <w:t xml:space="preserve"> serum</w:t>
      </w:r>
      <w:r w:rsidR="00D05BF1">
        <w:rPr>
          <w:lang w:val="en-GB"/>
        </w:rPr>
        <w:t xml:space="preserve"> LDH </w:t>
      </w:r>
      <w:r w:rsidR="00B556EC">
        <w:rPr>
          <w:lang w:val="en-GB"/>
        </w:rPr>
        <w:t xml:space="preserve">levels </w:t>
      </w:r>
      <w:r w:rsidR="00855B1B">
        <w:rPr>
          <w:lang w:val="en-GB"/>
        </w:rPr>
        <w:t xml:space="preserve">and both </w:t>
      </w:r>
      <w:r w:rsidR="00D05BF1">
        <w:rPr>
          <w:lang w:val="en-GB"/>
        </w:rPr>
        <w:t xml:space="preserve">baseline and follow-up chest radiograph scores </w:t>
      </w:r>
      <w:r w:rsidR="00F266C3">
        <w:rPr>
          <w:lang w:val="en-GB"/>
        </w:rPr>
        <w:t>(</w:t>
      </w:r>
      <w:r w:rsidR="00D05BF1">
        <w:rPr>
          <w:lang w:val="en-GB"/>
        </w:rPr>
        <w:t>r=0.34</w:t>
      </w:r>
      <w:r w:rsidR="00F266C3">
        <w:rPr>
          <w:lang w:val="en-GB"/>
        </w:rPr>
        <w:t>,</w:t>
      </w:r>
      <w:r w:rsidR="00D05BF1">
        <w:rPr>
          <w:lang w:val="en-GB"/>
        </w:rPr>
        <w:t xml:space="preserve"> p=0.003 and r=0.3</w:t>
      </w:r>
      <w:r w:rsidR="00F266C3">
        <w:rPr>
          <w:lang w:val="en-GB"/>
        </w:rPr>
        <w:t xml:space="preserve">4 </w:t>
      </w:r>
      <w:r w:rsidR="00D05BF1">
        <w:rPr>
          <w:lang w:val="en-GB"/>
        </w:rPr>
        <w:t>p=0.003</w:t>
      </w:r>
      <w:r w:rsidR="00F266C3">
        <w:rPr>
          <w:lang w:val="en-GB"/>
        </w:rPr>
        <w:t xml:space="preserve"> respectively). F</w:t>
      </w:r>
      <w:r w:rsidR="00D05BF1">
        <w:rPr>
          <w:lang w:val="en-GB"/>
        </w:rPr>
        <w:t>ollow-up</w:t>
      </w:r>
      <w:r w:rsidR="00E27DFF">
        <w:rPr>
          <w:lang w:val="en-GB"/>
        </w:rPr>
        <w:t xml:space="preserve"> serum</w:t>
      </w:r>
      <w:r w:rsidR="00D05BF1">
        <w:rPr>
          <w:lang w:val="en-GB"/>
        </w:rPr>
        <w:t xml:space="preserve"> LDH </w:t>
      </w:r>
      <w:r w:rsidR="00B556EC">
        <w:rPr>
          <w:lang w:val="en-GB"/>
        </w:rPr>
        <w:t xml:space="preserve">levels </w:t>
      </w:r>
      <w:r w:rsidR="00D05BF1">
        <w:rPr>
          <w:lang w:val="en-GB"/>
        </w:rPr>
        <w:t>correlated significant</w:t>
      </w:r>
      <w:r w:rsidR="00B556EC">
        <w:rPr>
          <w:lang w:val="en-GB"/>
        </w:rPr>
        <w:t xml:space="preserve">ly </w:t>
      </w:r>
      <w:r w:rsidR="00D05BF1">
        <w:rPr>
          <w:lang w:val="en-GB"/>
        </w:rPr>
        <w:t xml:space="preserve">with follow-up chest radiograph scores </w:t>
      </w:r>
      <w:r w:rsidR="00F266C3">
        <w:rPr>
          <w:lang w:val="en-GB"/>
        </w:rPr>
        <w:t>(</w:t>
      </w:r>
      <w:r w:rsidR="00D05BF1">
        <w:rPr>
          <w:lang w:val="en-GB"/>
        </w:rPr>
        <w:t>r=0.3</w:t>
      </w:r>
      <w:r w:rsidR="00F266C3">
        <w:rPr>
          <w:lang w:val="en-GB"/>
        </w:rPr>
        <w:t>9</w:t>
      </w:r>
      <w:r w:rsidR="00D05BF1">
        <w:rPr>
          <w:lang w:val="en-GB"/>
        </w:rPr>
        <w:t xml:space="preserve"> p=0.0</w:t>
      </w:r>
      <w:r w:rsidR="0043744D">
        <w:rPr>
          <w:lang w:val="en-GB"/>
        </w:rPr>
        <w:t>0</w:t>
      </w:r>
      <w:r w:rsidR="00D05BF1">
        <w:rPr>
          <w:lang w:val="en-GB"/>
        </w:rPr>
        <w:t>7</w:t>
      </w:r>
      <w:r w:rsidR="00F266C3">
        <w:rPr>
          <w:lang w:val="en-GB"/>
        </w:rPr>
        <w:t>)</w:t>
      </w:r>
      <w:r w:rsidR="00D05BF1">
        <w:rPr>
          <w:lang w:val="en-GB"/>
        </w:rPr>
        <w:t xml:space="preserve">. </w:t>
      </w:r>
      <w:r w:rsidR="00B556EC">
        <w:rPr>
          <w:lang w:val="en-GB"/>
        </w:rPr>
        <w:t>The</w:t>
      </w:r>
      <w:r w:rsidR="00517F0C">
        <w:rPr>
          <w:lang w:val="en-GB"/>
        </w:rPr>
        <w:t xml:space="preserve"> baseline </w:t>
      </w:r>
      <w:r w:rsidR="00E27DFF">
        <w:rPr>
          <w:lang w:val="en-GB"/>
        </w:rPr>
        <w:t xml:space="preserve">serum </w:t>
      </w:r>
      <w:r w:rsidR="00517F0C">
        <w:rPr>
          <w:lang w:val="en-GB"/>
        </w:rPr>
        <w:t xml:space="preserve">LDH was </w:t>
      </w:r>
      <w:r w:rsidR="00B556EC">
        <w:rPr>
          <w:lang w:val="en-GB"/>
        </w:rPr>
        <w:t xml:space="preserve">also </w:t>
      </w:r>
      <w:r w:rsidR="00517F0C">
        <w:rPr>
          <w:lang w:val="en-GB"/>
        </w:rPr>
        <w:t xml:space="preserve">signficantly correlated with length of stay </w:t>
      </w:r>
      <w:r w:rsidR="00F266C3">
        <w:rPr>
          <w:lang w:val="en-GB"/>
        </w:rPr>
        <w:t>(</w:t>
      </w:r>
      <w:r w:rsidR="00517F0C">
        <w:rPr>
          <w:lang w:val="en-GB"/>
        </w:rPr>
        <w:t>r=0.4</w:t>
      </w:r>
      <w:r w:rsidR="00F266C3">
        <w:rPr>
          <w:lang w:val="en-GB"/>
        </w:rPr>
        <w:t>3</w:t>
      </w:r>
      <w:r w:rsidR="00517F0C">
        <w:rPr>
          <w:lang w:val="en-GB"/>
        </w:rPr>
        <w:t xml:space="preserve"> p&lt;0.001</w:t>
      </w:r>
      <w:r w:rsidR="00F266C3">
        <w:rPr>
          <w:lang w:val="en-GB"/>
        </w:rPr>
        <w:t>)</w:t>
      </w:r>
      <w:r w:rsidR="00517F0C">
        <w:rPr>
          <w:lang w:val="en-GB"/>
        </w:rPr>
        <w:t xml:space="preserve">. </w:t>
      </w:r>
    </w:p>
    <w:p w14:paraId="293E52C0" w14:textId="20C5ED2A" w:rsidR="00A101A5" w:rsidRDefault="00D05BF1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In </w:t>
      </w:r>
      <w:r w:rsidR="006209AF" w:rsidRPr="006209AF">
        <w:rPr>
          <w:lang w:val="en-GB"/>
        </w:rPr>
        <w:t>univariate</w:t>
      </w:r>
      <w:r>
        <w:rPr>
          <w:lang w:val="en-GB"/>
        </w:rPr>
        <w:t xml:space="preserve"> analysis</w:t>
      </w:r>
      <w:r w:rsidR="00D415A4">
        <w:rPr>
          <w:lang w:val="en-GB"/>
        </w:rPr>
        <w:t>,</w:t>
      </w:r>
      <w:r>
        <w:rPr>
          <w:lang w:val="en-GB"/>
        </w:rPr>
        <w:t xml:space="preserve"> baseline </w:t>
      </w:r>
      <w:r w:rsidR="00E27DFF">
        <w:rPr>
          <w:lang w:val="en-GB"/>
        </w:rPr>
        <w:t xml:space="preserve">serum </w:t>
      </w:r>
      <w:r>
        <w:rPr>
          <w:lang w:val="en-GB"/>
        </w:rPr>
        <w:t>LDH demonstrated a strong trend of associat</w:t>
      </w:r>
      <w:r w:rsidR="0065579E">
        <w:rPr>
          <w:lang w:val="en-GB"/>
        </w:rPr>
        <w:t>ion</w:t>
      </w:r>
      <w:r>
        <w:rPr>
          <w:lang w:val="en-GB"/>
        </w:rPr>
        <w:t xml:space="preserve"> with increased risk </w:t>
      </w:r>
      <w:r w:rsidR="0065579E">
        <w:rPr>
          <w:lang w:val="en-GB"/>
        </w:rPr>
        <w:t>of</w:t>
      </w:r>
      <w:r w:rsidR="0049318C" w:rsidRPr="0049318C">
        <w:rPr>
          <w:lang w:val="en-GB"/>
        </w:rPr>
        <w:t xml:space="preserve"> </w:t>
      </w:r>
      <w:r w:rsidR="00A823A7" w:rsidRPr="00A823A7">
        <w:rPr>
          <w:lang w:val="en-GB"/>
        </w:rPr>
        <w:t>persistent</w:t>
      </w:r>
      <w:r w:rsidR="0049318C" w:rsidRPr="00A823A7">
        <w:rPr>
          <w:lang w:val="en-GB"/>
        </w:rPr>
        <w:t xml:space="preserve"> </w:t>
      </w:r>
      <w:r w:rsidR="0065579E" w:rsidRPr="00A823A7">
        <w:rPr>
          <w:lang w:val="en-GB"/>
        </w:rPr>
        <w:t>ch</w:t>
      </w:r>
      <w:r w:rsidR="0065579E">
        <w:rPr>
          <w:lang w:val="en-GB"/>
        </w:rPr>
        <w:t xml:space="preserve">est radiograph </w:t>
      </w:r>
      <w:r w:rsidR="006209AF">
        <w:rPr>
          <w:lang w:val="en-GB"/>
        </w:rPr>
        <w:t>abnormality</w:t>
      </w:r>
      <w:r w:rsidR="0065579E">
        <w:rPr>
          <w:lang w:val="en-GB"/>
        </w:rPr>
        <w:t xml:space="preserve"> </w:t>
      </w:r>
      <w:r>
        <w:rPr>
          <w:lang w:val="en-GB"/>
        </w:rPr>
        <w:t>but failed to r</w:t>
      </w:r>
      <w:r w:rsidR="00D415A4">
        <w:rPr>
          <w:lang w:val="en-GB"/>
        </w:rPr>
        <w:t>each</w:t>
      </w:r>
      <w:r>
        <w:rPr>
          <w:lang w:val="en-GB"/>
        </w:rPr>
        <w:t xml:space="preserve"> statistical significance </w:t>
      </w:r>
      <w:r w:rsidR="001849D8">
        <w:rPr>
          <w:lang w:val="en-GB"/>
        </w:rPr>
        <w:t>Hazard Ratio (</w:t>
      </w:r>
      <w:r>
        <w:rPr>
          <w:lang w:val="en-GB"/>
        </w:rPr>
        <w:t>HR</w:t>
      </w:r>
      <w:r w:rsidR="001849D8">
        <w:rPr>
          <w:lang w:val="en-GB"/>
        </w:rPr>
        <w:t>)</w:t>
      </w:r>
      <w:r>
        <w:rPr>
          <w:lang w:val="en-GB"/>
        </w:rPr>
        <w:t xml:space="preserve"> 1.001</w:t>
      </w:r>
      <w:r w:rsidR="001849D8">
        <w:rPr>
          <w:lang w:val="en-GB"/>
        </w:rPr>
        <w:t>,</w:t>
      </w:r>
      <w:r>
        <w:rPr>
          <w:lang w:val="en-GB"/>
        </w:rPr>
        <w:t xml:space="preserve"> </w:t>
      </w:r>
      <w:r w:rsidR="001849D8">
        <w:rPr>
          <w:lang w:val="en-GB"/>
        </w:rPr>
        <w:t>95% Confiedence Interval [</w:t>
      </w:r>
      <w:r>
        <w:rPr>
          <w:lang w:val="en-GB"/>
        </w:rPr>
        <w:t>95%CI</w:t>
      </w:r>
      <w:r w:rsidR="001849D8">
        <w:rPr>
          <w:lang w:val="en-GB"/>
        </w:rPr>
        <w:t>]</w:t>
      </w:r>
      <w:r>
        <w:rPr>
          <w:lang w:val="en-GB"/>
        </w:rPr>
        <w:t xml:space="preserve"> </w:t>
      </w:r>
      <w:r w:rsidR="001849D8">
        <w:rPr>
          <w:lang w:val="en-GB"/>
        </w:rPr>
        <w:t>(</w:t>
      </w:r>
      <w:r>
        <w:rPr>
          <w:lang w:val="en-GB"/>
        </w:rPr>
        <w:t>1.000-1.005) p=0.078</w:t>
      </w:r>
      <w:r w:rsidR="00F266C3">
        <w:rPr>
          <w:lang w:val="en-GB"/>
        </w:rPr>
        <w:t>)</w:t>
      </w:r>
      <w:r>
        <w:rPr>
          <w:lang w:val="en-GB"/>
        </w:rPr>
        <w:t>. How</w:t>
      </w:r>
      <w:r w:rsidR="00D415A4">
        <w:rPr>
          <w:lang w:val="en-GB"/>
        </w:rPr>
        <w:t>e</w:t>
      </w:r>
      <w:r>
        <w:rPr>
          <w:lang w:val="en-GB"/>
        </w:rPr>
        <w:t>ver</w:t>
      </w:r>
      <w:r w:rsidR="00D415A4">
        <w:rPr>
          <w:lang w:val="en-GB"/>
        </w:rPr>
        <w:t>,</w:t>
      </w:r>
      <w:r>
        <w:rPr>
          <w:lang w:val="en-GB"/>
        </w:rPr>
        <w:t xml:space="preserve"> in a multivariate model correcting for</w:t>
      </w:r>
      <w:r w:rsidR="00517F0C">
        <w:rPr>
          <w:lang w:val="en-GB"/>
        </w:rPr>
        <w:t xml:space="preserve"> </w:t>
      </w:r>
      <w:r>
        <w:rPr>
          <w:lang w:val="en-GB"/>
        </w:rPr>
        <w:t xml:space="preserve">obesity and </w:t>
      </w:r>
      <w:r w:rsidR="0043744D">
        <w:rPr>
          <w:lang w:val="en-GB"/>
        </w:rPr>
        <w:t>current or ex-</w:t>
      </w:r>
      <w:r>
        <w:rPr>
          <w:lang w:val="en-GB"/>
        </w:rPr>
        <w:t>smoking status</w:t>
      </w:r>
      <w:r w:rsidR="006209AF">
        <w:rPr>
          <w:lang w:val="en-GB"/>
        </w:rPr>
        <w:t>,</w:t>
      </w:r>
      <w:r w:rsidR="006E069C">
        <w:rPr>
          <w:lang w:val="en-GB"/>
        </w:rPr>
        <w:t xml:space="preserve"> </w:t>
      </w:r>
      <w:r w:rsidR="00517F0C">
        <w:rPr>
          <w:lang w:val="en-GB"/>
        </w:rPr>
        <w:t xml:space="preserve">baseline serum </w:t>
      </w:r>
      <w:r>
        <w:rPr>
          <w:lang w:val="en-GB"/>
        </w:rPr>
        <w:t xml:space="preserve">LDH </w:t>
      </w:r>
      <w:r w:rsidR="006209AF">
        <w:rPr>
          <w:lang w:val="en-GB"/>
        </w:rPr>
        <w:t xml:space="preserve">was a </w:t>
      </w:r>
      <w:r w:rsidR="000B3ED8">
        <w:rPr>
          <w:lang w:val="en-GB"/>
        </w:rPr>
        <w:t>s</w:t>
      </w:r>
      <w:r>
        <w:rPr>
          <w:lang w:val="en-GB"/>
        </w:rPr>
        <w:t xml:space="preserve">ignificant predictor for persistent chest radiograph </w:t>
      </w:r>
      <w:r w:rsidR="006209AF">
        <w:rPr>
          <w:lang w:val="en-GB"/>
        </w:rPr>
        <w:t>abnormality</w:t>
      </w:r>
      <w:r w:rsidR="00F266C3">
        <w:rPr>
          <w:lang w:val="en-GB"/>
        </w:rPr>
        <w:t xml:space="preserve">, </w:t>
      </w:r>
      <w:r w:rsidR="00517F0C">
        <w:rPr>
          <w:lang w:val="en-GB"/>
        </w:rPr>
        <w:t xml:space="preserve">HR 1.001 (95%CI 1.000-1.002) p=0.046. </w:t>
      </w:r>
    </w:p>
    <w:p w14:paraId="3DAADC28" w14:textId="77777777" w:rsidR="0043744D" w:rsidRDefault="0043744D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</w:p>
    <w:p w14:paraId="7125FBB7" w14:textId="77777777" w:rsidR="0043744D" w:rsidRDefault="0043744D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</w:p>
    <w:p w14:paraId="705FC6E6" w14:textId="4D502952" w:rsidR="00E3762F" w:rsidRPr="0043744D" w:rsidRDefault="0043744D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 w:rsidRPr="0043744D">
        <w:rPr>
          <w:b/>
          <w:bCs/>
        </w:rPr>
        <w:lastRenderedPageBreak/>
        <w:t>Area Under the Receiver Operat</w:t>
      </w:r>
      <w:r w:rsidR="007F5A49">
        <w:rPr>
          <w:b/>
          <w:bCs/>
        </w:rPr>
        <w:t>ing</w:t>
      </w:r>
      <w:r w:rsidRPr="0043744D">
        <w:rPr>
          <w:b/>
          <w:bCs/>
        </w:rPr>
        <w:t xml:space="preserve"> Characteristic Curve</w:t>
      </w:r>
      <w:r w:rsidRPr="0043744D">
        <w:rPr>
          <w:b/>
          <w:bCs/>
          <w:lang w:val="en-GB"/>
        </w:rPr>
        <w:t xml:space="preserve"> </w:t>
      </w:r>
      <w:r w:rsidR="00272647">
        <w:rPr>
          <w:b/>
          <w:bCs/>
          <w:lang w:val="en-GB"/>
        </w:rPr>
        <w:t>(</w:t>
      </w:r>
      <w:r w:rsidRPr="0043744D">
        <w:rPr>
          <w:b/>
          <w:bCs/>
          <w:lang w:val="en-GB"/>
        </w:rPr>
        <w:t>AU</w:t>
      </w:r>
      <w:r w:rsidR="00E3762F" w:rsidRPr="0043744D">
        <w:rPr>
          <w:b/>
          <w:bCs/>
          <w:lang w:val="en-GB"/>
        </w:rPr>
        <w:t>ROC</w:t>
      </w:r>
      <w:r w:rsidR="00272647">
        <w:rPr>
          <w:b/>
          <w:bCs/>
          <w:lang w:val="en-GB"/>
        </w:rPr>
        <w:t>)</w:t>
      </w:r>
      <w:r w:rsidR="00E3762F" w:rsidRPr="0043744D">
        <w:rPr>
          <w:b/>
          <w:bCs/>
          <w:lang w:val="en-GB"/>
        </w:rPr>
        <w:t xml:space="preserve"> Analysis</w:t>
      </w:r>
    </w:p>
    <w:p w14:paraId="14ADEDED" w14:textId="35D0E237" w:rsidR="00CD7C09" w:rsidRDefault="0043744D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Using </w:t>
      </w:r>
      <w:r w:rsidR="00E3762F">
        <w:rPr>
          <w:lang w:val="en-GB"/>
        </w:rPr>
        <w:t xml:space="preserve">the above </w:t>
      </w:r>
      <w:r>
        <w:rPr>
          <w:lang w:val="en-GB"/>
        </w:rPr>
        <w:t xml:space="preserve">identified </w:t>
      </w:r>
      <w:r w:rsidR="00E3762F">
        <w:rPr>
          <w:lang w:val="en-GB"/>
        </w:rPr>
        <w:t>risk factors we s</w:t>
      </w:r>
      <w:r>
        <w:rPr>
          <w:lang w:val="en-GB"/>
        </w:rPr>
        <w:t>ought</w:t>
      </w:r>
      <w:r w:rsidR="00E3762F">
        <w:rPr>
          <w:lang w:val="en-GB"/>
        </w:rPr>
        <w:t xml:space="preserve"> to identify a </w:t>
      </w:r>
      <w:r>
        <w:rPr>
          <w:lang w:val="en-GB"/>
        </w:rPr>
        <w:t xml:space="preserve">combined </w:t>
      </w:r>
      <w:r w:rsidR="00BE66E6">
        <w:rPr>
          <w:lang w:val="en-GB"/>
        </w:rPr>
        <w:t>variable t</w:t>
      </w:r>
      <w:r w:rsidR="00E3762F">
        <w:rPr>
          <w:lang w:val="en-GB"/>
        </w:rPr>
        <w:t>ool that predict</w:t>
      </w:r>
      <w:r w:rsidR="006E069C">
        <w:rPr>
          <w:lang w:val="en-GB"/>
        </w:rPr>
        <w:t>ed</w:t>
      </w:r>
      <w:r w:rsidR="00E3762F">
        <w:rPr>
          <w:lang w:val="en-GB"/>
        </w:rPr>
        <w:t xml:space="preserve"> patients most </w:t>
      </w:r>
      <w:r w:rsidR="00A25FDA">
        <w:rPr>
          <w:lang w:val="en-GB"/>
        </w:rPr>
        <w:t>at</w:t>
      </w:r>
      <w:r w:rsidR="00E3762F">
        <w:rPr>
          <w:lang w:val="en-GB"/>
        </w:rPr>
        <w:t xml:space="preserve"> risk </w:t>
      </w:r>
      <w:r w:rsidR="00A25FDA">
        <w:rPr>
          <w:lang w:val="en-GB"/>
        </w:rPr>
        <w:t xml:space="preserve">of </w:t>
      </w:r>
      <w:r w:rsidR="00E3762F">
        <w:rPr>
          <w:lang w:val="en-GB"/>
        </w:rPr>
        <w:t xml:space="preserve">developing persistent chest radiograph </w:t>
      </w:r>
      <w:r w:rsidR="00A25FDA">
        <w:rPr>
          <w:lang w:val="en-GB"/>
        </w:rPr>
        <w:t>abnormality at 3-months</w:t>
      </w:r>
      <w:r w:rsidR="00E3762F">
        <w:rPr>
          <w:lang w:val="en-GB"/>
        </w:rPr>
        <w:t xml:space="preserve">. </w:t>
      </w:r>
      <w:r w:rsidR="00A25FDA">
        <w:rPr>
          <w:lang w:val="en-GB"/>
        </w:rPr>
        <w:t xml:space="preserve">Using </w:t>
      </w:r>
      <w:r w:rsidR="00A25FDA" w:rsidRPr="00A25FDA">
        <w:rPr>
          <w:lang w:val="en-GB"/>
        </w:rPr>
        <w:t>area under the receiver operat</w:t>
      </w:r>
      <w:r w:rsidR="007F5A49">
        <w:rPr>
          <w:lang w:val="en-GB"/>
        </w:rPr>
        <w:t>ing</w:t>
      </w:r>
      <w:r w:rsidR="00A25FDA" w:rsidRPr="00A25FDA">
        <w:rPr>
          <w:lang w:val="en-GB"/>
        </w:rPr>
        <w:t xml:space="preserve"> curve</w:t>
      </w:r>
      <w:r w:rsidR="00E3762F">
        <w:rPr>
          <w:lang w:val="en-GB"/>
        </w:rPr>
        <w:t xml:space="preserve"> (AU</w:t>
      </w:r>
      <w:r w:rsidR="00272647">
        <w:rPr>
          <w:lang w:val="en-GB"/>
        </w:rPr>
        <w:t>RO</w:t>
      </w:r>
      <w:r w:rsidR="00E3762F">
        <w:rPr>
          <w:lang w:val="en-GB"/>
        </w:rPr>
        <w:t>C) analysis</w:t>
      </w:r>
      <w:r w:rsidR="00332441">
        <w:rPr>
          <w:lang w:val="en-GB"/>
        </w:rPr>
        <w:t>, a</w:t>
      </w:r>
      <w:r w:rsidR="00E3762F">
        <w:rPr>
          <w:lang w:val="en-GB"/>
        </w:rPr>
        <w:t xml:space="preserve"> </w:t>
      </w:r>
      <w:r w:rsidR="00A25FDA">
        <w:rPr>
          <w:lang w:val="en-GB"/>
        </w:rPr>
        <w:t>combined variable analysis was conducted</w:t>
      </w:r>
      <w:r w:rsidR="00E3762F">
        <w:rPr>
          <w:lang w:val="en-GB"/>
        </w:rPr>
        <w:t xml:space="preserve">. A </w:t>
      </w:r>
      <w:r w:rsidR="00BE66E6">
        <w:rPr>
          <w:lang w:val="en-GB"/>
        </w:rPr>
        <w:t xml:space="preserve">combined </w:t>
      </w:r>
      <w:r w:rsidR="00E3762F">
        <w:rPr>
          <w:lang w:val="en-GB"/>
        </w:rPr>
        <w:t>score</w:t>
      </w:r>
      <w:r w:rsidR="00BE66E6">
        <w:rPr>
          <w:lang w:val="en-GB"/>
        </w:rPr>
        <w:t xml:space="preserve"> with one point each for; </w:t>
      </w:r>
      <w:r w:rsidR="00E3762F">
        <w:rPr>
          <w:lang w:val="en-GB"/>
        </w:rPr>
        <w:t>length of stay</w:t>
      </w:r>
      <w:r w:rsidR="00F266C3">
        <w:rPr>
          <w:lang w:val="en-GB"/>
        </w:rPr>
        <w:t xml:space="preserve"> </w:t>
      </w:r>
      <w:r w:rsidR="00BE66E6">
        <w:rPr>
          <w:lang w:val="en-GB"/>
        </w:rPr>
        <w:t>≥ 15 days</w:t>
      </w:r>
      <w:r w:rsidR="00E3762F">
        <w:rPr>
          <w:lang w:val="en-GB"/>
        </w:rPr>
        <w:t>, LDH</w:t>
      </w:r>
      <w:r w:rsidR="00BE66E6">
        <w:rPr>
          <w:lang w:val="en-GB"/>
        </w:rPr>
        <w:t xml:space="preserve"> ≥ 750 U/L</w:t>
      </w:r>
      <w:r w:rsidR="00E3762F">
        <w:rPr>
          <w:lang w:val="en-GB"/>
        </w:rPr>
        <w:t xml:space="preserve">, </w:t>
      </w:r>
      <w:r w:rsidR="00BE66E6">
        <w:rPr>
          <w:lang w:val="en-GB"/>
        </w:rPr>
        <w:t>positive current or ex-</w:t>
      </w:r>
      <w:r w:rsidR="00E3762F">
        <w:rPr>
          <w:lang w:val="en-GB"/>
        </w:rPr>
        <w:t xml:space="preserve">smoking status, admission to </w:t>
      </w:r>
      <w:r w:rsidR="00A25FDA">
        <w:rPr>
          <w:lang w:val="en-GB"/>
        </w:rPr>
        <w:t xml:space="preserve">a </w:t>
      </w:r>
      <w:r w:rsidR="00E3762F">
        <w:rPr>
          <w:lang w:val="en-GB"/>
        </w:rPr>
        <w:t>level 2</w:t>
      </w:r>
      <w:r w:rsidR="00A25FDA">
        <w:rPr>
          <w:lang w:val="en-GB"/>
        </w:rPr>
        <w:t xml:space="preserve"> or </w:t>
      </w:r>
      <w:r w:rsidR="00E3762F">
        <w:rPr>
          <w:lang w:val="en-GB"/>
        </w:rPr>
        <w:t>3 care</w:t>
      </w:r>
      <w:r w:rsidR="00BE66E6">
        <w:rPr>
          <w:lang w:val="en-GB"/>
        </w:rPr>
        <w:t xml:space="preserve"> facility</w:t>
      </w:r>
      <w:r w:rsidR="00A25FDA">
        <w:rPr>
          <w:lang w:val="en-GB"/>
        </w:rPr>
        <w:t>,</w:t>
      </w:r>
      <w:r w:rsidR="00E3762F">
        <w:rPr>
          <w:lang w:val="en-GB"/>
        </w:rPr>
        <w:t xml:space="preserve"> and </w:t>
      </w:r>
      <w:r w:rsidR="00BE66E6">
        <w:rPr>
          <w:lang w:val="en-GB"/>
        </w:rPr>
        <w:t xml:space="preserve">positive past medical history of </w:t>
      </w:r>
      <w:r w:rsidR="00E3762F">
        <w:rPr>
          <w:lang w:val="en-GB"/>
        </w:rPr>
        <w:t xml:space="preserve">obesity </w:t>
      </w:r>
      <w:r w:rsidR="00BE66E6">
        <w:rPr>
          <w:lang w:val="en-GB"/>
        </w:rPr>
        <w:t>(BMI&gt; 30kg/m</w:t>
      </w:r>
      <w:r w:rsidR="00BE66E6">
        <w:rPr>
          <w:vertAlign w:val="superscript"/>
          <w:lang w:val="en-GB"/>
        </w:rPr>
        <w:t>2</w:t>
      </w:r>
      <w:r w:rsidR="00BE66E6">
        <w:rPr>
          <w:lang w:val="en-GB"/>
        </w:rPr>
        <w:t xml:space="preserve">) </w:t>
      </w:r>
      <w:r w:rsidR="00E3762F">
        <w:rPr>
          <w:lang w:val="en-GB"/>
        </w:rPr>
        <w:t xml:space="preserve">was identified </w:t>
      </w:r>
      <w:r w:rsidR="00A823A7">
        <w:rPr>
          <w:lang w:val="en-GB"/>
        </w:rPr>
        <w:t xml:space="preserve">as </w:t>
      </w:r>
      <w:r w:rsidR="00BE66E6">
        <w:rPr>
          <w:lang w:val="en-GB"/>
        </w:rPr>
        <w:t>provid</w:t>
      </w:r>
      <w:r w:rsidR="00A823A7">
        <w:rPr>
          <w:lang w:val="en-GB"/>
        </w:rPr>
        <w:t>ing</w:t>
      </w:r>
      <w:r w:rsidR="00BE66E6">
        <w:rPr>
          <w:lang w:val="en-GB"/>
        </w:rPr>
        <w:t xml:space="preserve"> the best</w:t>
      </w:r>
      <w:r w:rsidR="00E3762F">
        <w:rPr>
          <w:lang w:val="en-GB"/>
        </w:rPr>
        <w:t xml:space="preserve"> predicti</w:t>
      </w:r>
      <w:r w:rsidR="00BE66E6">
        <w:rPr>
          <w:lang w:val="en-GB"/>
        </w:rPr>
        <w:t xml:space="preserve">on model for </w:t>
      </w:r>
      <w:r w:rsidR="00E3762F">
        <w:rPr>
          <w:lang w:val="en-GB"/>
        </w:rPr>
        <w:t xml:space="preserve">risk of </w:t>
      </w:r>
      <w:r w:rsidR="00BE66E6">
        <w:rPr>
          <w:lang w:val="en-GB"/>
        </w:rPr>
        <w:t xml:space="preserve">persistent </w:t>
      </w:r>
      <w:r w:rsidR="00E3762F">
        <w:rPr>
          <w:lang w:val="en-GB"/>
        </w:rPr>
        <w:t xml:space="preserve">chest radiograph </w:t>
      </w:r>
      <w:r w:rsidR="00A25FDA">
        <w:rPr>
          <w:lang w:val="en-GB"/>
        </w:rPr>
        <w:t>abnormality</w:t>
      </w:r>
      <w:r w:rsidR="00E3762F">
        <w:rPr>
          <w:lang w:val="en-GB"/>
        </w:rPr>
        <w:t xml:space="preserve"> with an A</w:t>
      </w:r>
      <w:r w:rsidR="00070A5F">
        <w:rPr>
          <w:lang w:val="en-GB"/>
        </w:rPr>
        <w:t>URO</w:t>
      </w:r>
      <w:r w:rsidR="00E3762F">
        <w:rPr>
          <w:lang w:val="en-GB"/>
        </w:rPr>
        <w:t xml:space="preserve">C of 0.808 (95%CI </w:t>
      </w:r>
      <w:r w:rsidR="001929D3">
        <w:rPr>
          <w:lang w:val="en-GB"/>
        </w:rPr>
        <w:t xml:space="preserve">0.701-0.915) p&lt;0.0001 </w:t>
      </w:r>
      <w:r w:rsidR="001929D3" w:rsidRPr="007F5A49">
        <w:rPr>
          <w:b/>
          <w:bCs/>
          <w:lang w:val="en-GB"/>
        </w:rPr>
        <w:t>Table 4</w:t>
      </w:r>
      <w:r w:rsidR="00BE66E6" w:rsidRPr="007F5A49">
        <w:rPr>
          <w:b/>
          <w:bCs/>
          <w:lang w:val="en-GB"/>
        </w:rPr>
        <w:t>a</w:t>
      </w:r>
      <w:r w:rsidR="00BE66E6">
        <w:rPr>
          <w:lang w:val="en-GB"/>
        </w:rPr>
        <w:t xml:space="preserve"> </w:t>
      </w:r>
      <w:r w:rsidR="00BE66E6" w:rsidRPr="007F5A49">
        <w:rPr>
          <w:lang w:val="en-GB"/>
        </w:rPr>
        <w:t>and</w:t>
      </w:r>
      <w:r w:rsidR="007F5A49">
        <w:rPr>
          <w:b/>
          <w:bCs/>
          <w:lang w:val="en-GB"/>
        </w:rPr>
        <w:t xml:space="preserve"> Table</w:t>
      </w:r>
      <w:r w:rsidR="00BE66E6" w:rsidRPr="007F5A49">
        <w:rPr>
          <w:b/>
          <w:bCs/>
          <w:lang w:val="en-GB"/>
        </w:rPr>
        <w:t xml:space="preserve"> 4b</w:t>
      </w:r>
      <w:r w:rsidR="00BE66E6">
        <w:rPr>
          <w:lang w:val="en-GB"/>
        </w:rPr>
        <w:t>,</w:t>
      </w:r>
      <w:r w:rsidR="001929D3">
        <w:rPr>
          <w:lang w:val="en-GB"/>
        </w:rPr>
        <w:t xml:space="preserve"> and </w:t>
      </w:r>
      <w:r w:rsidR="001929D3" w:rsidRPr="007F5A49">
        <w:rPr>
          <w:b/>
          <w:bCs/>
          <w:lang w:val="en-GB"/>
        </w:rPr>
        <w:t xml:space="preserve">Figure </w:t>
      </w:r>
      <w:r w:rsidR="00BE66E6" w:rsidRPr="007F5A49">
        <w:rPr>
          <w:b/>
          <w:bCs/>
          <w:lang w:val="en-GB"/>
        </w:rPr>
        <w:t>2</w:t>
      </w:r>
      <w:r w:rsidR="001929D3">
        <w:rPr>
          <w:lang w:val="en-GB"/>
        </w:rPr>
        <w:t>.</w:t>
      </w:r>
      <w:r w:rsidR="00F02795">
        <w:rPr>
          <w:lang w:val="en-GB"/>
        </w:rPr>
        <w:t xml:space="preserve"> With a cut off of 3 </w:t>
      </w:r>
      <w:r w:rsidR="007F5A49">
        <w:rPr>
          <w:lang w:val="en-GB"/>
        </w:rPr>
        <w:t xml:space="preserve">points </w:t>
      </w:r>
      <w:r w:rsidR="00F02795">
        <w:rPr>
          <w:lang w:val="en-GB"/>
        </w:rPr>
        <w:t>or more demonstrating an AU</w:t>
      </w:r>
      <w:r w:rsidR="007F5A49">
        <w:rPr>
          <w:lang w:val="en-GB"/>
        </w:rPr>
        <w:t>ROC</w:t>
      </w:r>
      <w:r w:rsidR="00F02795">
        <w:rPr>
          <w:lang w:val="en-GB"/>
        </w:rPr>
        <w:t xml:space="preserve"> </w:t>
      </w:r>
      <w:r w:rsidR="007F5A49">
        <w:rPr>
          <w:lang w:val="en-GB"/>
        </w:rPr>
        <w:t xml:space="preserve">of </w:t>
      </w:r>
      <w:r w:rsidR="00F02795">
        <w:rPr>
          <w:lang w:val="en-GB"/>
        </w:rPr>
        <w:t xml:space="preserve">0.76 (95%CI 0.625-0.885) with of 0.70 sensitivity and a specificity of 0.81. </w:t>
      </w:r>
      <w:r w:rsidR="006B0E51">
        <w:rPr>
          <w:lang w:val="en-GB"/>
        </w:rPr>
        <w:t xml:space="preserve"> </w:t>
      </w:r>
    </w:p>
    <w:p w14:paraId="0F093CDC" w14:textId="4A96C26F" w:rsidR="001929D3" w:rsidRPr="007F5A49" w:rsidRDefault="00BA10A9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>
        <w:rPr>
          <w:lang w:val="en-GB"/>
        </w:rPr>
        <w:t>Apply</w:t>
      </w:r>
      <w:r w:rsidR="0013623E">
        <w:rPr>
          <w:lang w:val="en-GB"/>
        </w:rPr>
        <w:t>ing</w:t>
      </w:r>
      <w:r>
        <w:rPr>
          <w:lang w:val="en-GB"/>
        </w:rPr>
        <w:t xml:space="preserve"> this same risk prediction score to</w:t>
      </w:r>
      <w:r w:rsidR="00272647">
        <w:rPr>
          <w:lang w:val="en-GB"/>
        </w:rPr>
        <w:t xml:space="preserve"> patients </w:t>
      </w:r>
      <w:r w:rsidR="0013623E">
        <w:rPr>
          <w:lang w:val="en-GB"/>
        </w:rPr>
        <w:t xml:space="preserve">outcome </w:t>
      </w:r>
      <w:r w:rsidR="00272647">
        <w:rPr>
          <w:lang w:val="en-GB"/>
        </w:rPr>
        <w:t xml:space="preserve">destination </w:t>
      </w:r>
      <w:r w:rsidR="0013623E">
        <w:rPr>
          <w:lang w:val="en-GB"/>
        </w:rPr>
        <w:t xml:space="preserve">from the 12-week virtual clinic i.e discharge (n=55) or </w:t>
      </w:r>
      <w:r w:rsidR="00A25FDA">
        <w:rPr>
          <w:lang w:val="en-GB"/>
        </w:rPr>
        <w:t xml:space="preserve">need for a </w:t>
      </w:r>
      <w:r w:rsidR="0013623E">
        <w:rPr>
          <w:lang w:val="en-GB"/>
        </w:rPr>
        <w:t>further appoi</w:t>
      </w:r>
      <w:r w:rsidR="00F266C3">
        <w:rPr>
          <w:lang w:val="en-GB"/>
        </w:rPr>
        <w:t>n</w:t>
      </w:r>
      <w:r w:rsidR="0013623E">
        <w:rPr>
          <w:lang w:val="en-GB"/>
        </w:rPr>
        <w:t>tm</w:t>
      </w:r>
      <w:r w:rsidR="00F266C3">
        <w:rPr>
          <w:lang w:val="en-GB"/>
        </w:rPr>
        <w:t>e</w:t>
      </w:r>
      <w:r w:rsidR="0013623E">
        <w:rPr>
          <w:lang w:val="en-GB"/>
        </w:rPr>
        <w:t>nt</w:t>
      </w:r>
      <w:r w:rsidR="00272647">
        <w:rPr>
          <w:lang w:val="en-GB"/>
        </w:rPr>
        <w:t xml:space="preserve"> </w:t>
      </w:r>
      <w:r w:rsidR="0013623E">
        <w:rPr>
          <w:lang w:val="en-GB"/>
        </w:rPr>
        <w:t xml:space="preserve">(n=46) </w:t>
      </w:r>
      <w:r>
        <w:rPr>
          <w:lang w:val="en-GB"/>
        </w:rPr>
        <w:t>identified that this risk calculator still performed strongly</w:t>
      </w:r>
      <w:r w:rsidR="0013623E">
        <w:rPr>
          <w:lang w:val="en-GB"/>
        </w:rPr>
        <w:t xml:space="preserve">, </w:t>
      </w:r>
      <w:r>
        <w:rPr>
          <w:lang w:val="en-GB"/>
        </w:rPr>
        <w:t>predicting patients who needed further follow-up appointments</w:t>
      </w:r>
      <w:r w:rsidR="0013623E">
        <w:rPr>
          <w:lang w:val="en-GB"/>
        </w:rPr>
        <w:t xml:space="preserve"> with an</w:t>
      </w:r>
      <w:r>
        <w:rPr>
          <w:lang w:val="en-GB"/>
        </w:rPr>
        <w:t xml:space="preserve"> AUROC </w:t>
      </w:r>
      <w:r w:rsidR="0013623E">
        <w:rPr>
          <w:lang w:val="en-GB"/>
        </w:rPr>
        <w:t xml:space="preserve">of </w:t>
      </w:r>
      <w:r>
        <w:rPr>
          <w:lang w:val="en-GB"/>
        </w:rPr>
        <w:t>0.781</w:t>
      </w:r>
      <w:r w:rsidR="0013623E">
        <w:rPr>
          <w:lang w:val="en-GB"/>
        </w:rPr>
        <w:t xml:space="preserve"> (95%CI 0.664-0.898) p&lt;0.0001)</w:t>
      </w:r>
      <w:r w:rsidR="007F5A49">
        <w:rPr>
          <w:lang w:val="en-GB"/>
        </w:rPr>
        <w:t xml:space="preserve"> </w:t>
      </w:r>
      <w:r w:rsidR="007F5A49" w:rsidRPr="007F5A49">
        <w:rPr>
          <w:b/>
          <w:bCs/>
          <w:lang w:val="en-GB"/>
        </w:rPr>
        <w:t>Table 4c</w:t>
      </w:r>
      <w:r w:rsidR="0013623E" w:rsidRPr="007F5A49">
        <w:rPr>
          <w:b/>
          <w:bCs/>
          <w:lang w:val="en-GB"/>
        </w:rPr>
        <w:t>.</w:t>
      </w:r>
    </w:p>
    <w:p w14:paraId="77A64429" w14:textId="1BC8CB59" w:rsidR="00E3762F" w:rsidRPr="00E3762F" w:rsidRDefault="00E3762F" w:rsidP="00332441">
      <w:pPr>
        <w:pStyle w:val="EndNoteBibliography"/>
        <w:spacing w:line="360" w:lineRule="auto"/>
        <w:jc w:val="both"/>
        <w:rPr>
          <w:lang w:val="en-GB"/>
        </w:rPr>
      </w:pPr>
      <w:bookmarkStart w:id="3" w:name="_Hlk58322639"/>
    </w:p>
    <w:p w14:paraId="4F37B900" w14:textId="0D5BD82F" w:rsidR="00B556EC" w:rsidRDefault="00B556EC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Discussion</w:t>
      </w:r>
    </w:p>
    <w:p w14:paraId="17814E4E" w14:textId="7366DA5D" w:rsidR="00B556EC" w:rsidRDefault="00B556EC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In this real world prospective cohort study we observed persistent chest radiograph </w:t>
      </w:r>
      <w:r w:rsidR="00A25FDA">
        <w:rPr>
          <w:lang w:val="en-GB"/>
        </w:rPr>
        <w:t>abnormality</w:t>
      </w:r>
      <w:r>
        <w:rPr>
          <w:lang w:val="en-GB"/>
        </w:rPr>
        <w:t xml:space="preserve"> in 32% of patients at 12-week follow-up. The risk of persistent </w:t>
      </w:r>
      <w:r w:rsidR="00A25FDA">
        <w:rPr>
          <w:lang w:val="en-GB"/>
        </w:rPr>
        <w:t>abnormality</w:t>
      </w:r>
      <w:r>
        <w:rPr>
          <w:lang w:val="en-GB"/>
        </w:rPr>
        <w:t xml:space="preserve"> in chest radiographs was found to be increased by </w:t>
      </w:r>
      <w:r w:rsidR="00D415A4">
        <w:rPr>
          <w:lang w:val="en-GB"/>
        </w:rPr>
        <w:t>extended</w:t>
      </w:r>
      <w:r w:rsidR="00BE66E6">
        <w:rPr>
          <w:lang w:val="en-GB"/>
        </w:rPr>
        <w:t xml:space="preserve"> </w:t>
      </w:r>
      <w:r w:rsidR="00E27DFF">
        <w:rPr>
          <w:lang w:val="en-GB"/>
        </w:rPr>
        <w:t>length of stay</w:t>
      </w:r>
      <w:r>
        <w:rPr>
          <w:lang w:val="en-GB"/>
        </w:rPr>
        <w:t>,</w:t>
      </w:r>
      <w:r w:rsidR="00E27DFF">
        <w:rPr>
          <w:lang w:val="en-GB"/>
        </w:rPr>
        <w:t xml:space="preserve"> obesity</w:t>
      </w:r>
      <w:r>
        <w:rPr>
          <w:lang w:val="en-GB"/>
        </w:rPr>
        <w:t xml:space="preserve"> and </w:t>
      </w:r>
      <w:r w:rsidR="00E27DFF">
        <w:rPr>
          <w:lang w:val="en-GB"/>
        </w:rPr>
        <w:t>current or ex-</w:t>
      </w:r>
      <w:r>
        <w:rPr>
          <w:lang w:val="en-GB"/>
        </w:rPr>
        <w:t>smoking status. Further</w:t>
      </w:r>
      <w:r w:rsidR="00403355">
        <w:rPr>
          <w:lang w:val="en-GB"/>
        </w:rPr>
        <w:t>more,</w:t>
      </w:r>
      <w:r>
        <w:rPr>
          <w:lang w:val="en-GB"/>
        </w:rPr>
        <w:t xml:space="preserve"> in this cohort</w:t>
      </w:r>
      <w:r w:rsidR="0048684D">
        <w:rPr>
          <w:lang w:val="en-GB"/>
        </w:rPr>
        <w:t>,</w:t>
      </w:r>
      <w:r>
        <w:rPr>
          <w:lang w:val="en-GB"/>
        </w:rPr>
        <w:t xml:space="preserve"> patients with persistent chest radiograph</w:t>
      </w:r>
      <w:r w:rsidR="00E27DFF">
        <w:rPr>
          <w:lang w:val="en-GB"/>
        </w:rPr>
        <w:t xml:space="preserve"> </w:t>
      </w:r>
      <w:r w:rsidR="00A25FDA">
        <w:rPr>
          <w:lang w:val="en-GB"/>
        </w:rPr>
        <w:t xml:space="preserve">abnormality </w:t>
      </w:r>
      <w:r>
        <w:rPr>
          <w:lang w:val="en-GB"/>
        </w:rPr>
        <w:t>had signficantly higher levels of serum LDH at both baseline and follow-up.</w:t>
      </w:r>
      <w:r w:rsidR="006B0E51">
        <w:rPr>
          <w:lang w:val="en-GB"/>
        </w:rPr>
        <w:t xml:space="preserve"> </w:t>
      </w:r>
      <w:r w:rsidR="007F5A49">
        <w:rPr>
          <w:lang w:val="en-GB"/>
        </w:rPr>
        <w:t>Using</w:t>
      </w:r>
      <w:r w:rsidR="00BC2614">
        <w:rPr>
          <w:lang w:val="en-GB"/>
        </w:rPr>
        <w:t xml:space="preserve"> </w:t>
      </w:r>
      <w:r w:rsidR="00BE66E6">
        <w:rPr>
          <w:lang w:val="en-GB"/>
        </w:rPr>
        <w:t>AU</w:t>
      </w:r>
      <w:r w:rsidR="006B0E51">
        <w:rPr>
          <w:lang w:val="en-GB"/>
        </w:rPr>
        <w:t>ROC analysis</w:t>
      </w:r>
      <w:r w:rsidR="0048684D">
        <w:rPr>
          <w:lang w:val="en-GB"/>
        </w:rPr>
        <w:t xml:space="preserve"> </w:t>
      </w:r>
      <w:r w:rsidR="006B0E51">
        <w:rPr>
          <w:lang w:val="en-GB"/>
        </w:rPr>
        <w:t xml:space="preserve">a 5 point </w:t>
      </w:r>
      <w:r w:rsidR="0013623E">
        <w:rPr>
          <w:lang w:val="en-GB"/>
        </w:rPr>
        <w:t xml:space="preserve">risk assessment </w:t>
      </w:r>
      <w:r w:rsidR="006B0E51">
        <w:rPr>
          <w:lang w:val="en-GB"/>
        </w:rPr>
        <w:t>score combining length of stay, LDH, smoking</w:t>
      </w:r>
      <w:r w:rsidR="007F5A49">
        <w:rPr>
          <w:lang w:val="en-GB"/>
        </w:rPr>
        <w:t>-</w:t>
      </w:r>
      <w:r w:rsidR="006B0E51">
        <w:rPr>
          <w:lang w:val="en-GB"/>
        </w:rPr>
        <w:t>status, level 2</w:t>
      </w:r>
      <w:r w:rsidR="00A25FDA">
        <w:rPr>
          <w:lang w:val="en-GB"/>
        </w:rPr>
        <w:t xml:space="preserve"> or </w:t>
      </w:r>
      <w:r w:rsidR="006B0E51">
        <w:rPr>
          <w:lang w:val="en-GB"/>
        </w:rPr>
        <w:t>3 care admission and obesity was found to strongly predict patients at risk of</w:t>
      </w:r>
      <w:r w:rsidR="0013623E">
        <w:rPr>
          <w:lang w:val="en-GB"/>
        </w:rPr>
        <w:t xml:space="preserve"> both</w:t>
      </w:r>
      <w:r w:rsidR="006B0E51">
        <w:rPr>
          <w:lang w:val="en-GB"/>
        </w:rPr>
        <w:t xml:space="preserve"> developing persistent chest radiograph </w:t>
      </w:r>
      <w:r w:rsidR="00A25FDA">
        <w:rPr>
          <w:lang w:val="en-GB"/>
        </w:rPr>
        <w:t>abnormality,</w:t>
      </w:r>
      <w:r w:rsidR="0013623E">
        <w:rPr>
          <w:lang w:val="en-GB"/>
        </w:rPr>
        <w:t xml:space="preserve"> and </w:t>
      </w:r>
      <w:r w:rsidR="00A25FDA">
        <w:rPr>
          <w:lang w:val="en-GB"/>
        </w:rPr>
        <w:t xml:space="preserve">patients at </w:t>
      </w:r>
      <w:r w:rsidR="0013623E">
        <w:rPr>
          <w:lang w:val="en-GB"/>
        </w:rPr>
        <w:t xml:space="preserve">need </w:t>
      </w:r>
      <w:r w:rsidR="00733691">
        <w:rPr>
          <w:lang w:val="en-GB"/>
        </w:rPr>
        <w:t>of</w:t>
      </w:r>
      <w:r w:rsidR="0013623E">
        <w:rPr>
          <w:lang w:val="en-GB"/>
        </w:rPr>
        <w:t xml:space="preserve"> further </w:t>
      </w:r>
      <w:r w:rsidR="00733691">
        <w:rPr>
          <w:lang w:val="en-GB"/>
        </w:rPr>
        <w:t>follow-up appointment</w:t>
      </w:r>
      <w:r w:rsidR="006B0E51">
        <w:rPr>
          <w:lang w:val="en-GB"/>
        </w:rPr>
        <w:t>.</w:t>
      </w:r>
      <w:r w:rsidR="00F02795">
        <w:rPr>
          <w:lang w:val="en-GB"/>
        </w:rPr>
        <w:t xml:space="preserve"> </w:t>
      </w:r>
    </w:p>
    <w:p w14:paraId="7A53C876" w14:textId="23D0AE6A" w:rsidR="00CB388C" w:rsidRDefault="0099292D" w:rsidP="00332441">
      <w:pPr>
        <w:pStyle w:val="EndNoteBibliography"/>
        <w:spacing w:line="360" w:lineRule="auto"/>
        <w:jc w:val="both"/>
        <w:rPr>
          <w:noProof w:val="0"/>
          <w:lang w:val="en-GB"/>
        </w:rPr>
      </w:pPr>
      <w:r>
        <w:rPr>
          <w:lang w:val="en-GB"/>
        </w:rPr>
        <w:t xml:space="preserve">Our observed rates of persistent chest radiograph </w:t>
      </w:r>
      <w:r w:rsidR="00733691">
        <w:rPr>
          <w:lang w:val="en-GB"/>
        </w:rPr>
        <w:t>abnormality</w:t>
      </w:r>
      <w:r>
        <w:rPr>
          <w:lang w:val="en-GB"/>
        </w:rPr>
        <w:t xml:space="preserve"> a</w:t>
      </w:r>
      <w:r w:rsidR="007F5A49">
        <w:rPr>
          <w:lang w:val="en-GB"/>
        </w:rPr>
        <w:t>t</w:t>
      </w:r>
      <w:r>
        <w:rPr>
          <w:lang w:val="en-GB"/>
        </w:rPr>
        <w:t xml:space="preserve"> follow-up </w:t>
      </w:r>
      <w:r w:rsidR="002453AC">
        <w:rPr>
          <w:lang w:val="en-GB"/>
        </w:rPr>
        <w:t xml:space="preserve">are similar to that </w:t>
      </w:r>
      <w:r w:rsidR="007F5A49">
        <w:rPr>
          <w:lang w:val="en-GB"/>
        </w:rPr>
        <w:t>of</w:t>
      </w:r>
      <w:r w:rsidR="002453AC">
        <w:rPr>
          <w:lang w:val="en-GB"/>
        </w:rPr>
        <w:t xml:space="preserve"> Mandal et al. </w:t>
      </w:r>
      <w:r w:rsidR="002453AC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&lt;EndNote&gt;&lt;Cite&gt;&lt;Author&gt;Mandal&lt;/Author&gt;&lt;Year&gt;2020&lt;/Year&gt;&lt;RecNum&gt;484&lt;/RecNum&gt;&lt;DisplayText&gt;(6)&lt;/DisplayText&gt;&lt;record&gt;&lt;rec-number&gt;484&lt;/rec-number&gt;&lt;foreign-keys&gt;&lt;key app="EN" db-id="p9fvtfpx39zev2evef255xeg0rd02x5vsrza" timestamp="1606230144"&gt;484&lt;/key&gt;&lt;/foreign-keys&gt;&lt;ref-type name="Journal Article"&gt;17&lt;/ref-type&gt;&lt;contributors&gt;&lt;authors&gt;&lt;author&gt;Mandal, Swapna&lt;/author&gt;&lt;author&gt;Barnett, Joseph&lt;/author&gt;&lt;author&gt;Brill, Simon E&lt;/author&gt;&lt;author&gt;Brown, Jeremy S&lt;/author&gt;&lt;author&gt;Denneny, Emma K&lt;/author&gt;&lt;author&gt;Hare, Samanjit S&lt;/author&gt;&lt;author&gt;Heightman, Melissa&lt;/author&gt;&lt;author&gt;Hillman, Toby E&lt;/author&gt;&lt;author&gt;Jacob, Joseph&lt;/author&gt;&lt;author&gt;Jarvis, Hannah C&lt;/author&gt;&lt;author&gt;Lipman, Marc C I&lt;/author&gt;&lt;author&gt;Naidu, Sindhu B&lt;/author&gt;&lt;author&gt;Nair, Arjun&lt;/author&gt;&lt;author&gt;Porter, Joanna C&lt;/author&gt;&lt;author&gt;Tomlinson, Gillian S&lt;/author&gt;&lt;author&gt;Hurst, John R&lt;/author&gt;&lt;/authors&gt;&lt;/contributors&gt;&lt;titles&gt;&lt;title&gt;‘Long-COVID’: a cross-sectional study of persisting symptoms, biomarker and imaging abnormalities following hospitalisation for COVID-19&lt;/title&gt;&lt;secondary-title&gt;Thorax&lt;/secondary-title&gt;&lt;/titles&gt;&lt;periodical&gt;&lt;full-title&gt;Thorax&lt;/full-title&gt;&lt;/periodical&gt;&lt;pages&gt;thoraxjnl-2020-215818&lt;/pages&gt;&lt;dates&gt;&lt;year&gt;2020&lt;/year&gt;&lt;/dates&gt;&lt;urls&gt;&lt;related-urls&gt;&lt;url&gt;https://thorax.bmj.com/content/thoraxjnl/early/2020/11/09/thoraxjnl-2020-215818.full.pdf&lt;/url&gt;&lt;/related-urls&gt;&lt;/urls&gt;&lt;electronic-resource-num&gt;10.1136/thoraxjnl-2020-215818&lt;/electronic-resource-num&gt;&lt;/record&gt;&lt;/Cite&gt;&lt;/EndNote&gt;</w:instrText>
      </w:r>
      <w:r w:rsidR="002453AC">
        <w:rPr>
          <w:lang w:val="en-GB"/>
        </w:rPr>
        <w:fldChar w:fldCharType="separate"/>
      </w:r>
      <w:r w:rsidR="00D22CB5">
        <w:rPr>
          <w:lang w:val="en-GB"/>
        </w:rPr>
        <w:t>(6)</w:t>
      </w:r>
      <w:r w:rsidR="002453AC">
        <w:rPr>
          <w:lang w:val="en-GB"/>
        </w:rPr>
        <w:fldChar w:fldCharType="end"/>
      </w:r>
      <w:r w:rsidR="006E069C" w:rsidRPr="006E069C">
        <w:rPr>
          <w:lang w:val="en-GB"/>
        </w:rPr>
        <w:t xml:space="preserve"> </w:t>
      </w:r>
      <w:r w:rsidR="006E069C">
        <w:rPr>
          <w:lang w:val="en-GB"/>
        </w:rPr>
        <w:t>who observe persistent abnormality in 38% of patients at a median of 52 days</w:t>
      </w:r>
      <w:r w:rsidR="002453AC">
        <w:rPr>
          <w:lang w:val="en-GB"/>
        </w:rPr>
        <w:t xml:space="preserve">. </w:t>
      </w:r>
      <w:r w:rsidR="00F6065B">
        <w:rPr>
          <w:lang w:val="en-GB"/>
        </w:rPr>
        <w:t>Comparing our cohort to that of Mandal et al</w:t>
      </w:r>
      <w:r w:rsidR="0097459F">
        <w:rPr>
          <w:lang w:val="en-GB"/>
        </w:rPr>
        <w:t>,</w:t>
      </w:r>
      <w:r w:rsidR="00F6065B">
        <w:rPr>
          <w:lang w:val="en-GB"/>
        </w:rPr>
        <w:t xml:space="preserve"> our study has both a </w:t>
      </w:r>
      <w:r w:rsidR="006E069C">
        <w:rPr>
          <w:lang w:val="en-GB"/>
        </w:rPr>
        <w:t xml:space="preserve">longer </w:t>
      </w:r>
      <w:r w:rsidR="00F6065B">
        <w:rPr>
          <w:lang w:val="en-GB"/>
        </w:rPr>
        <w:t>follow-up interval (82 days ver</w:t>
      </w:r>
      <w:r w:rsidR="00B551B4">
        <w:rPr>
          <w:lang w:val="en-GB"/>
        </w:rPr>
        <w:t>s</w:t>
      </w:r>
      <w:r w:rsidR="00F6065B">
        <w:rPr>
          <w:lang w:val="en-GB"/>
        </w:rPr>
        <w:t xml:space="preserve">us 52 days) and a higher </w:t>
      </w:r>
      <w:r w:rsidR="00733691" w:rsidRPr="00733691">
        <w:rPr>
          <w:lang w:val="en-GB"/>
        </w:rPr>
        <w:t>proportion</w:t>
      </w:r>
      <w:r w:rsidR="00F6065B">
        <w:rPr>
          <w:lang w:val="en-GB"/>
        </w:rPr>
        <w:t xml:space="preserve"> of patients admitted to </w:t>
      </w:r>
      <w:r w:rsidR="00733691" w:rsidRPr="00733691">
        <w:rPr>
          <w:lang w:val="en-GB"/>
        </w:rPr>
        <w:t>critical</w:t>
      </w:r>
      <w:r w:rsidR="00F6065B">
        <w:rPr>
          <w:lang w:val="en-GB"/>
        </w:rPr>
        <w:t xml:space="preserve"> care (49% versus </w:t>
      </w:r>
      <w:r w:rsidR="000B3ED8">
        <w:rPr>
          <w:lang w:val="en-GB"/>
        </w:rPr>
        <w:t>15</w:t>
      </w:r>
      <w:r w:rsidR="00F6065B">
        <w:rPr>
          <w:lang w:val="en-GB"/>
        </w:rPr>
        <w:t>%)</w:t>
      </w:r>
      <w:r w:rsidR="00B551B4">
        <w:rPr>
          <w:lang w:val="en-GB"/>
        </w:rPr>
        <w:t xml:space="preserve">, which may account for </w:t>
      </w:r>
      <w:r w:rsidR="00733691">
        <w:rPr>
          <w:lang w:val="en-GB"/>
        </w:rPr>
        <w:t xml:space="preserve">the </w:t>
      </w:r>
      <w:r w:rsidR="00B551B4">
        <w:rPr>
          <w:lang w:val="en-GB"/>
        </w:rPr>
        <w:t>similar rates of radiological abnormality</w:t>
      </w:r>
      <w:r w:rsidR="006E069C">
        <w:rPr>
          <w:lang w:val="en-GB"/>
        </w:rPr>
        <w:t xml:space="preserve"> despite our </w:t>
      </w:r>
      <w:r w:rsidR="00B551B4">
        <w:rPr>
          <w:lang w:val="en-GB"/>
        </w:rPr>
        <w:t>longer follow-up interval</w:t>
      </w:r>
      <w:r w:rsidR="00561A54">
        <w:rPr>
          <w:lang w:val="en-GB"/>
        </w:rPr>
        <w:t xml:space="preserve">. </w:t>
      </w:r>
      <w:r w:rsidR="00B551B4">
        <w:rPr>
          <w:lang w:val="en-GB"/>
        </w:rPr>
        <w:t xml:space="preserve">In </w:t>
      </w:r>
      <w:r w:rsidR="002F747B">
        <w:rPr>
          <w:lang w:val="en-GB"/>
        </w:rPr>
        <w:t xml:space="preserve"> </w:t>
      </w:r>
      <w:r w:rsidR="009E1692">
        <w:rPr>
          <w:lang w:val="en-GB"/>
        </w:rPr>
        <w:t xml:space="preserve">a recently published </w:t>
      </w:r>
      <w:r w:rsidR="00B551B4">
        <w:rPr>
          <w:lang w:val="en-GB"/>
        </w:rPr>
        <w:t xml:space="preserve">prospective study </w:t>
      </w:r>
      <w:r w:rsidR="0048684D">
        <w:rPr>
          <w:lang w:val="en-GB"/>
        </w:rPr>
        <w:t xml:space="preserve">Arnold </w:t>
      </w:r>
      <w:r w:rsidR="00B551B4">
        <w:rPr>
          <w:lang w:val="en-GB"/>
        </w:rPr>
        <w:t xml:space="preserve">et al. </w:t>
      </w:r>
      <w:r w:rsidR="00B551B4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&lt;EndNote&gt;&lt;Cite&gt;&lt;Author&gt;Arnold&lt;/Author&gt;&lt;Year&gt;2020&lt;/Year&gt;&lt;RecNum&gt;479&lt;/RecNum&gt;&lt;DisplayText&gt;(13)&lt;/DisplayText&gt;&lt;record&gt;&lt;rec-number&gt;479&lt;/rec-number&gt;&lt;foreign-keys&gt;&lt;key app="EN" db-id="p9fvtfpx39zev2evef255xeg0rd02x5vsrza" timestamp="1605695722"&gt;479&lt;/key&gt;&lt;/foreign-keys&gt;&lt;ref-type name="Journal Article"&gt;17&lt;/ref-type&gt;&lt;contributors&gt;&lt;authors&gt;&lt;author&gt;Arnold, David T&lt;/author&gt;&lt;author&gt;Hamilton, Fergus W&lt;/author&gt;&lt;author&gt;Milne, Alice&lt;/author&gt;&lt;author&gt;Morley, Anna&lt;/author&gt;&lt;author&gt;Viner, Jason&lt;/author&gt;&lt;author&gt;Attwood, Marie&lt;/author&gt;&lt;author&gt;Noel, Alan&lt;/author&gt;&lt;author&gt;Gunning, Samuel&lt;/author&gt;&lt;author&gt;Hatrick, Jessica&lt;/author&gt;&lt;author&gt;Hamilton, Sassa&lt;/author&gt;&lt;author&gt;Elvers, Karen T&lt;/author&gt;&lt;author&gt;Hyams, Catherine&lt;/author&gt;&lt;author&gt;Bibby, Anna&lt;/author&gt;&lt;author&gt;Moran, Ed&lt;/author&gt;&lt;author&gt;Adamali, Huzaifa&lt;/author&gt;&lt;author&gt;Dodd, James&lt;/author&gt;&lt;author&gt;Maskell, Nick A&lt;/author&gt;&lt;author&gt;Barratt, Shaney&lt;/author&gt;&lt;/authors&gt;&lt;/contributors&gt;&lt;titles&gt;&lt;title&gt;Patient outcomes after hospitalisation with COVID-19 and implications for follow-up; results from a prospective UK cohort&lt;/title&gt;&lt;secondary-title&gt;medRxiv&lt;/secondary-title&gt;&lt;/titles&gt;&lt;periodical&gt;&lt;full-title&gt;medRxiv&lt;/full-title&gt;&lt;/periodical&gt;&lt;pages&gt;2020.08.12.20173526&lt;/pages&gt;&lt;dates&gt;&lt;year&gt;2020&lt;/year&gt;&lt;/dates&gt;&lt;urls&gt;&lt;related-urls&gt;&lt;url&gt;https://www.medrxiv.org/content/medrxiv/early/2020/08/14/2020.08.12.20173526.full.pdf&lt;/url&gt;&lt;/related-urls&gt;&lt;/urls&gt;&lt;electronic-resource-num&gt;10.1101/2020.08.12.20173526&lt;/electronic-resource-num&gt;&lt;/record&gt;&lt;/Cite&gt;&lt;/EndNote&gt;</w:instrText>
      </w:r>
      <w:r w:rsidR="00B551B4">
        <w:rPr>
          <w:lang w:val="en-GB"/>
        </w:rPr>
        <w:fldChar w:fldCharType="separate"/>
      </w:r>
      <w:r w:rsidR="00D22CB5">
        <w:rPr>
          <w:lang w:val="en-GB"/>
        </w:rPr>
        <w:t>(13)</w:t>
      </w:r>
      <w:r w:rsidR="00B551B4">
        <w:rPr>
          <w:lang w:val="en-GB"/>
        </w:rPr>
        <w:fldChar w:fldCharType="end"/>
      </w:r>
      <w:r w:rsidR="00B551B4">
        <w:rPr>
          <w:lang w:val="en-GB"/>
        </w:rPr>
        <w:t xml:space="preserve"> observe 13.6%</w:t>
      </w:r>
      <w:r w:rsidR="002039E1">
        <w:rPr>
          <w:lang w:val="en-GB"/>
        </w:rPr>
        <w:t xml:space="preserve"> </w:t>
      </w:r>
      <w:r w:rsidR="007F5A49">
        <w:rPr>
          <w:lang w:val="en-GB"/>
        </w:rPr>
        <w:t>of</w:t>
      </w:r>
      <w:r w:rsidR="002039E1">
        <w:rPr>
          <w:lang w:val="en-GB"/>
        </w:rPr>
        <w:t xml:space="preserve"> patients had persistent chest radiograph abno</w:t>
      </w:r>
      <w:r w:rsidR="0048684D">
        <w:rPr>
          <w:lang w:val="en-GB"/>
        </w:rPr>
        <w:t>r</w:t>
      </w:r>
      <w:r w:rsidR="002039E1">
        <w:rPr>
          <w:lang w:val="en-GB"/>
        </w:rPr>
        <w:t>mality at 3-months</w:t>
      </w:r>
      <w:r w:rsidR="00B551B4">
        <w:rPr>
          <w:lang w:val="en-GB"/>
        </w:rPr>
        <w:t xml:space="preserve"> . The discrepancey between our</w:t>
      </w:r>
      <w:r w:rsidR="002039E1">
        <w:rPr>
          <w:lang w:val="en-GB"/>
        </w:rPr>
        <w:t xml:space="preserve"> results and</w:t>
      </w:r>
      <w:r w:rsidR="00B551B4">
        <w:rPr>
          <w:lang w:val="en-GB"/>
        </w:rPr>
        <w:t xml:space="preserve"> </w:t>
      </w:r>
      <w:r w:rsidR="002039E1">
        <w:rPr>
          <w:lang w:val="en-GB"/>
        </w:rPr>
        <w:t>th</w:t>
      </w:r>
      <w:r w:rsidR="0048684D">
        <w:rPr>
          <w:lang w:val="en-GB"/>
        </w:rPr>
        <w:t>ose</w:t>
      </w:r>
      <w:r w:rsidR="002039E1">
        <w:rPr>
          <w:lang w:val="en-GB"/>
        </w:rPr>
        <w:t xml:space="preserve"> of</w:t>
      </w:r>
      <w:r w:rsidR="00B551B4">
        <w:rPr>
          <w:lang w:val="en-GB"/>
        </w:rPr>
        <w:t xml:space="preserve"> A</w:t>
      </w:r>
      <w:r w:rsidR="0048684D">
        <w:rPr>
          <w:lang w:val="en-GB"/>
        </w:rPr>
        <w:t>rno</w:t>
      </w:r>
      <w:r w:rsidR="00B551B4">
        <w:rPr>
          <w:lang w:val="en-GB"/>
        </w:rPr>
        <w:t xml:space="preserve">ld at el. may be accounted for </w:t>
      </w:r>
      <w:r w:rsidR="007F5A49">
        <w:rPr>
          <w:lang w:val="en-GB"/>
        </w:rPr>
        <w:t xml:space="preserve">by </w:t>
      </w:r>
      <w:r w:rsidR="00B551B4">
        <w:rPr>
          <w:lang w:val="en-GB"/>
        </w:rPr>
        <w:t xml:space="preserve">only 16% </w:t>
      </w:r>
      <w:r w:rsidR="00733691">
        <w:rPr>
          <w:lang w:val="en-GB"/>
        </w:rPr>
        <w:t xml:space="preserve">of </w:t>
      </w:r>
      <w:r w:rsidR="00B551B4">
        <w:rPr>
          <w:lang w:val="en-GB"/>
        </w:rPr>
        <w:t xml:space="preserve">their cohort being classified has having severe illness </w:t>
      </w:r>
      <w:r w:rsidR="00B551B4">
        <w:rPr>
          <w:lang w:val="en-GB"/>
        </w:rPr>
        <w:lastRenderedPageBreak/>
        <w:t xml:space="preserve">compared to </w:t>
      </w:r>
      <w:r w:rsidR="000B3ED8">
        <w:rPr>
          <w:lang w:val="en-GB"/>
        </w:rPr>
        <w:t>49</w:t>
      </w:r>
      <w:r w:rsidR="00B551B4">
        <w:rPr>
          <w:lang w:val="en-GB"/>
        </w:rPr>
        <w:t xml:space="preserve">% of patients admitted to level </w:t>
      </w:r>
      <w:r w:rsidR="00733691">
        <w:rPr>
          <w:lang w:val="en-GB"/>
        </w:rPr>
        <w:t>2</w:t>
      </w:r>
      <w:r w:rsidR="002F747B">
        <w:rPr>
          <w:lang w:val="en-GB"/>
        </w:rPr>
        <w:t xml:space="preserve"> or </w:t>
      </w:r>
      <w:r w:rsidR="00B551B4">
        <w:rPr>
          <w:lang w:val="en-GB"/>
        </w:rPr>
        <w:t>3 care in our study. C</w:t>
      </w:r>
      <w:r w:rsidR="00272647" w:rsidRPr="00272647">
        <w:rPr>
          <w:lang w:val="en-GB"/>
        </w:rPr>
        <w:t>onsistent</w:t>
      </w:r>
      <w:r w:rsidR="0013623E">
        <w:rPr>
          <w:lang w:val="en-GB"/>
        </w:rPr>
        <w:t xml:space="preserve"> with our observation, </w:t>
      </w:r>
      <w:r w:rsidR="00BE66E6">
        <w:rPr>
          <w:lang w:val="en-GB"/>
        </w:rPr>
        <w:t xml:space="preserve">rates </w:t>
      </w:r>
      <w:r w:rsidR="00471288">
        <w:rPr>
          <w:lang w:val="en-GB"/>
        </w:rPr>
        <w:t>of</w:t>
      </w:r>
      <w:r w:rsidR="00962924">
        <w:rPr>
          <w:lang w:val="en-GB"/>
        </w:rPr>
        <w:t xml:space="preserve"> persistent chest </w:t>
      </w:r>
      <w:r w:rsidR="00BE66E6">
        <w:rPr>
          <w:lang w:val="en-GB"/>
        </w:rPr>
        <w:t>radiological</w:t>
      </w:r>
      <w:r w:rsidR="00962924">
        <w:rPr>
          <w:lang w:val="en-GB"/>
        </w:rPr>
        <w:t xml:space="preserve"> </w:t>
      </w:r>
      <w:r w:rsidR="00B551B4">
        <w:rPr>
          <w:lang w:val="en-GB"/>
        </w:rPr>
        <w:t xml:space="preserve">abnormality on CT imaging at 3-month follow-up post </w:t>
      </w:r>
      <w:r w:rsidR="007F5A49">
        <w:rPr>
          <w:lang w:val="en-GB"/>
        </w:rPr>
        <w:t xml:space="preserve">hospitalisation with </w:t>
      </w:r>
      <w:r w:rsidR="00B551B4">
        <w:rPr>
          <w:lang w:val="en-GB"/>
        </w:rPr>
        <w:t xml:space="preserve">COVID-19, have been </w:t>
      </w:r>
      <w:r w:rsidR="00733691" w:rsidRPr="00733691">
        <w:rPr>
          <w:lang w:val="en-GB"/>
        </w:rPr>
        <w:t>estimated</w:t>
      </w:r>
      <w:r w:rsidR="00B551B4">
        <w:rPr>
          <w:lang w:val="en-GB"/>
        </w:rPr>
        <w:t xml:space="preserve"> </w:t>
      </w:r>
      <w:r w:rsidR="007F5A49">
        <w:rPr>
          <w:lang w:val="en-GB"/>
        </w:rPr>
        <w:t xml:space="preserve">at </w:t>
      </w:r>
      <w:r w:rsidR="007E31D5">
        <w:rPr>
          <w:lang w:val="en-GB"/>
        </w:rPr>
        <w:t>between 40</w:t>
      </w:r>
      <w:r w:rsidR="00962924">
        <w:rPr>
          <w:lang w:val="en-GB"/>
        </w:rPr>
        <w:t>%</w:t>
      </w:r>
      <w:r w:rsidR="007E31D5">
        <w:rPr>
          <w:lang w:val="en-GB"/>
        </w:rPr>
        <w:t xml:space="preserve"> and 70%</w:t>
      </w:r>
      <w:r w:rsidR="00561A54">
        <w:rPr>
          <w:lang w:val="en-GB"/>
        </w:rPr>
        <w:t xml:space="preserve"> </w:t>
      </w:r>
      <w:r w:rsidR="00471288">
        <w:rPr>
          <w:lang w:val="en-GB"/>
        </w:rPr>
        <w:fldChar w:fldCharType="begin">
          <w:fldData xml:space="preserve">PEVuZE5vdGU+PENpdGU+PEF1dGhvcj5UYWJhdGFiYWVpPC9BdXRob3I+PFllYXI+MjAyMDwvWWVh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</w:fldData>
        </w:fldChar>
      </w:r>
      <w:r w:rsidR="00D22CB5">
        <w:rPr>
          <w:lang w:val="en-GB"/>
        </w:rPr>
        <w:instrText xml:space="preserve"> ADDIN EN.CITE </w:instrText>
      </w:r>
      <w:r w:rsidR="00D22CB5">
        <w:rPr>
          <w:lang w:val="en-GB"/>
        </w:rPr>
        <w:fldChar w:fldCharType="begin">
          <w:fldData xml:space="preserve">PEVuZE5vdGU+PENpdGU+PEF1dGhvcj5UYWJhdGFiYWVpPC9BdXRob3I+PFllYXI+MjAyMDwvWWVh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</w:fldData>
        </w:fldChar>
      </w:r>
      <w:r w:rsidR="00D22CB5">
        <w:rPr>
          <w:lang w:val="en-GB"/>
        </w:rPr>
        <w:instrText xml:space="preserve"> ADDIN EN.CITE.DATA </w:instrText>
      </w:r>
      <w:r w:rsidR="00D22CB5">
        <w:rPr>
          <w:lang w:val="en-GB"/>
        </w:rPr>
      </w:r>
      <w:r w:rsidR="00D22CB5">
        <w:rPr>
          <w:lang w:val="en-GB"/>
        </w:rPr>
        <w:fldChar w:fldCharType="end"/>
      </w:r>
      <w:r w:rsidR="00471288">
        <w:rPr>
          <w:lang w:val="en-GB"/>
        </w:rPr>
      </w:r>
      <w:r w:rsidR="00471288">
        <w:rPr>
          <w:lang w:val="en-GB"/>
        </w:rPr>
        <w:fldChar w:fldCharType="separate"/>
      </w:r>
      <w:r w:rsidR="00D22CB5">
        <w:rPr>
          <w:lang w:val="en-GB"/>
        </w:rPr>
        <w:t>(7-9)</w:t>
      </w:r>
      <w:r w:rsidR="00471288">
        <w:rPr>
          <w:lang w:val="en-GB"/>
        </w:rPr>
        <w:fldChar w:fldCharType="end"/>
      </w:r>
      <w:r w:rsidR="00E320D0">
        <w:rPr>
          <w:lang w:val="en-GB"/>
        </w:rPr>
        <w:t xml:space="preserve">. </w:t>
      </w:r>
      <w:r w:rsidR="00561A54">
        <w:rPr>
          <w:lang w:val="en-GB"/>
        </w:rPr>
        <w:t>Higher rates</w:t>
      </w:r>
      <w:r w:rsidR="00BE66E6">
        <w:rPr>
          <w:lang w:val="en-GB"/>
        </w:rPr>
        <w:t xml:space="preserve"> </w:t>
      </w:r>
      <w:r w:rsidR="00272647">
        <w:rPr>
          <w:lang w:val="en-GB"/>
        </w:rPr>
        <w:t xml:space="preserve">of </w:t>
      </w:r>
      <w:r w:rsidR="00561A54">
        <w:rPr>
          <w:lang w:val="en-GB"/>
        </w:rPr>
        <w:t>detect</w:t>
      </w:r>
      <w:r w:rsidR="00272647">
        <w:rPr>
          <w:lang w:val="en-GB"/>
        </w:rPr>
        <w:t>ed abnormality</w:t>
      </w:r>
      <w:r w:rsidR="00561A54">
        <w:rPr>
          <w:lang w:val="en-GB"/>
        </w:rPr>
        <w:t xml:space="preserve"> </w:t>
      </w:r>
      <w:r w:rsidR="00272647">
        <w:rPr>
          <w:lang w:val="en-GB"/>
        </w:rPr>
        <w:t>on</w:t>
      </w:r>
      <w:r w:rsidR="00561A54">
        <w:rPr>
          <w:lang w:val="en-GB"/>
        </w:rPr>
        <w:t xml:space="preserve"> CT analysis would be expected given the increased sensitivity of this </w:t>
      </w:r>
      <w:r w:rsidR="00272647" w:rsidRPr="00272647">
        <w:rPr>
          <w:lang w:val="en-GB"/>
        </w:rPr>
        <w:t>modality</w:t>
      </w:r>
      <w:r w:rsidR="00733691">
        <w:rPr>
          <w:lang w:val="en-GB"/>
        </w:rPr>
        <w:t>.</w:t>
      </w:r>
      <w:r w:rsidR="00561A54">
        <w:rPr>
          <w:lang w:val="en-GB"/>
        </w:rPr>
        <w:t xml:space="preserve"> </w:t>
      </w:r>
      <w:r w:rsidR="00733691">
        <w:rPr>
          <w:lang w:val="en-GB"/>
        </w:rPr>
        <w:t>I</w:t>
      </w:r>
      <w:r w:rsidR="00561A54">
        <w:rPr>
          <w:lang w:val="en-GB"/>
        </w:rPr>
        <w:t xml:space="preserve">t is </w:t>
      </w:r>
      <w:r w:rsidR="00272647" w:rsidRPr="00272647">
        <w:rPr>
          <w:lang w:val="en-GB"/>
        </w:rPr>
        <w:t>informative</w:t>
      </w:r>
      <w:r w:rsidR="00561A54">
        <w:rPr>
          <w:lang w:val="en-GB"/>
        </w:rPr>
        <w:t xml:space="preserve"> that in the study by Zhao et al. </w:t>
      </w:r>
      <w:r w:rsidR="00561A54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&lt;EndNote&gt;&lt;Cite&gt;&lt;Author&gt;Zhao&lt;/Author&gt;&lt;Year&gt;2020&lt;/Year&gt;&lt;RecNum&gt;478&lt;/RecNum&gt;&lt;DisplayText&gt;(9)&lt;/DisplayText&gt;&lt;record&gt;&lt;rec-number&gt;478&lt;/rec-number&gt;&lt;foreign-keys&gt;&lt;key app="EN" db-id="p9fvtfpx39zev2evef255xeg0rd02x5vsrza" timestamp="1605695530"&gt;478&lt;/key&gt;&lt;/foreign-keys&gt;&lt;ref-type name="Journal Article"&gt;17&lt;/ref-type&gt;&lt;contributors&gt;&lt;authors&gt;&lt;author&gt;Zhao, Yu-miao&lt;/author&gt;&lt;author&gt;Shang, Yao-min&lt;/author&gt;&lt;author&gt;Song, Wen-bin&lt;/author&gt;&lt;author&gt;Li, Qing-quan&lt;/author&gt;&lt;author&gt;Xie, Hua&lt;/author&gt;&lt;author&gt;Xu, Qin-fu&lt;/author&gt;&lt;author&gt;Jia, Jun-li&lt;/author&gt;&lt;author&gt;Li, Li-ming&lt;/author&gt;&lt;author&gt;Mao, Hong-li&lt;/author&gt;&lt;author&gt;Zhou, Xiu-man&lt;/author&gt;&lt;/authors&gt;&lt;/contributors&gt;&lt;titles&gt;&lt;title&gt;Follow-up study of the pulmonary function and related physiological characteristics of COVID-19 survivors three months after recovery&lt;/title&gt;&lt;secondary-title&gt;EClinicalMedicine&lt;/secondary-title&gt;&lt;/titles&gt;&lt;periodical&gt;&lt;full-title&gt;EClinicalMedicine&lt;/full-title&gt;&lt;/periodical&gt;&lt;pages&gt;100463&lt;/pages&gt;&lt;volume&gt;25&lt;/volume&gt;&lt;dates&gt;&lt;year&gt;2020&lt;/year&gt;&lt;/dates&gt;&lt;isbn&gt;2589-5370&lt;/isbn&gt;&lt;urls&gt;&lt;/urls&gt;&lt;/record&gt;&lt;/Cite&gt;&lt;/EndNote&gt;</w:instrText>
      </w:r>
      <w:r w:rsidR="00561A54">
        <w:rPr>
          <w:lang w:val="en-GB"/>
        </w:rPr>
        <w:fldChar w:fldCharType="separate"/>
      </w:r>
      <w:r w:rsidR="00D22CB5">
        <w:rPr>
          <w:lang w:val="en-GB"/>
        </w:rPr>
        <w:t>(9)</w:t>
      </w:r>
      <w:r w:rsidR="00561A54">
        <w:rPr>
          <w:lang w:val="en-GB"/>
        </w:rPr>
        <w:fldChar w:fldCharType="end"/>
      </w:r>
      <w:r w:rsidR="00561A54">
        <w:rPr>
          <w:lang w:val="en-GB"/>
        </w:rPr>
        <w:t xml:space="preserve"> despite the high  </w:t>
      </w:r>
      <w:r w:rsidR="007F5A49">
        <w:rPr>
          <w:lang w:val="en-GB"/>
        </w:rPr>
        <w:t xml:space="preserve">incidence </w:t>
      </w:r>
      <w:r w:rsidR="00561A54">
        <w:rPr>
          <w:lang w:val="en-GB"/>
        </w:rPr>
        <w:t xml:space="preserve">of persistent CT </w:t>
      </w:r>
      <w:r w:rsidR="007F5A49">
        <w:rPr>
          <w:lang w:val="en-GB"/>
        </w:rPr>
        <w:t>abnormalities</w:t>
      </w:r>
      <w:r w:rsidR="00272647">
        <w:rPr>
          <w:lang w:val="en-GB"/>
        </w:rPr>
        <w:t xml:space="preserve"> in their study,</w:t>
      </w:r>
      <w:r w:rsidR="00561A54">
        <w:rPr>
          <w:lang w:val="en-GB"/>
        </w:rPr>
        <w:t xml:space="preserve"> only 25.4% of the cohort demonstrated impair</w:t>
      </w:r>
      <w:r w:rsidR="00272647">
        <w:rPr>
          <w:lang w:val="en-GB"/>
        </w:rPr>
        <w:t>ment</w:t>
      </w:r>
      <w:r w:rsidR="00561A54">
        <w:rPr>
          <w:lang w:val="en-GB"/>
        </w:rPr>
        <w:t xml:space="preserve"> in DLCO</w:t>
      </w:r>
      <w:r w:rsidR="00272647">
        <w:rPr>
          <w:lang w:val="en-GB"/>
        </w:rPr>
        <w:t xml:space="preserve">% predicted suggesting significant </w:t>
      </w:r>
      <w:r w:rsidR="00272647" w:rsidRPr="00272647">
        <w:rPr>
          <w:lang w:val="en-GB"/>
        </w:rPr>
        <w:t>parenchymal</w:t>
      </w:r>
      <w:r w:rsidR="00272647">
        <w:rPr>
          <w:lang w:val="en-GB"/>
        </w:rPr>
        <w:t xml:space="preserve"> lung disease</w:t>
      </w:r>
      <w:r w:rsidR="00471288">
        <w:rPr>
          <w:lang w:val="en-GB"/>
        </w:rPr>
        <w:t>.</w:t>
      </w:r>
      <w:r w:rsidR="008C73DA">
        <w:rPr>
          <w:lang w:val="en-GB"/>
        </w:rPr>
        <w:t xml:space="preserve"> </w:t>
      </w:r>
      <w:r w:rsidR="00E51861">
        <w:rPr>
          <w:lang w:val="en-GB"/>
        </w:rPr>
        <w:t xml:space="preserve">In </w:t>
      </w:r>
      <w:r w:rsidR="007F5A49">
        <w:rPr>
          <w:lang w:val="en-GB"/>
        </w:rPr>
        <w:t xml:space="preserve">two </w:t>
      </w:r>
      <w:r w:rsidR="00E51861">
        <w:rPr>
          <w:lang w:val="en-GB"/>
        </w:rPr>
        <w:t xml:space="preserve">studies </w:t>
      </w:r>
      <w:r w:rsidR="008C73DA" w:rsidRPr="008C73DA">
        <w:t>Tabatabaei</w:t>
      </w:r>
      <w:r w:rsidR="008C73DA">
        <w:rPr>
          <w:lang w:val="en-GB"/>
        </w:rPr>
        <w:t xml:space="preserve"> et al. </w:t>
      </w:r>
      <w:r w:rsidR="008C73DA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&lt;EndNote&gt;&lt;Cite&gt;&lt;Author&gt;Tabatabaei&lt;/Author&gt;&lt;Year&gt;2020&lt;/Year&gt;&lt;RecNum&gt;477&lt;/RecNum&gt;&lt;DisplayText&gt;(8)&lt;/DisplayText&gt;&lt;record&gt;&lt;rec-number&gt;477&lt;/rec-number&gt;&lt;foreign-keys&gt;&lt;key app="EN" db-id="p9fvtfpx39zev2evef255xeg0rd02x5vsrza" timestamp="1605694855"&gt;477&lt;/key&gt;&lt;/foreign-keys&gt;&lt;ref-type name="Journal Article"&gt;17&lt;/ref-type&gt;&lt;contributors&gt;&lt;authors&gt;&lt;author&gt;Tabatabaei, Seyed Mohammad Hossein&lt;/author&gt;&lt;author&gt;Rajebi, Hamid&lt;/author&gt;&lt;author&gt;Moghaddas, Fahimeh&lt;/author&gt;&lt;author&gt;Ghasemiadl, Mojtaba&lt;/author&gt;&lt;author&gt;Talari, Hamidreza&lt;/author&gt;&lt;/authors&gt;&lt;/contributors&gt;&lt;titles&gt;&lt;title&gt;Chest CT in COVID-19 pneumonia: what are the findings in mid-term follow-up?&lt;/title&gt;&lt;secondary-title&gt;Emergency Radiology&lt;/secondary-title&gt;&lt;/titles&gt;&lt;periodical&gt;&lt;full-title&gt;Emergency Radiology&lt;/full-title&gt;&lt;/periodical&gt;&lt;pages&gt;711-719&lt;/pages&gt;&lt;volume&gt;27&lt;/volume&gt;&lt;number&gt;6&lt;/number&gt;&lt;dates&gt;&lt;year&gt;2020&lt;/year&gt;&lt;pub-dates&gt;&lt;date&gt;2020/12/01&lt;/date&gt;&lt;/pub-dates&gt;&lt;/dates&gt;&lt;isbn&gt;1438-1435&lt;/isbn&gt;&lt;urls&gt;&lt;related-urls&gt;&lt;url&gt;https://doi.org/10.1007/s10140-020-01869-z&lt;/url&gt;&lt;/related-urls&gt;&lt;/urls&gt;&lt;electronic-resource-num&gt;10.1007/s10140-020-01869-z&lt;/electronic-resource-num&gt;&lt;/record&gt;&lt;/Cite&gt;&lt;/EndNote&gt;</w:instrText>
      </w:r>
      <w:r w:rsidR="008C73DA">
        <w:rPr>
          <w:lang w:val="en-GB"/>
        </w:rPr>
        <w:fldChar w:fldCharType="separate"/>
      </w:r>
      <w:r w:rsidR="00D22CB5">
        <w:rPr>
          <w:lang w:val="en-GB"/>
        </w:rPr>
        <w:t>(8)</w:t>
      </w:r>
      <w:r w:rsidR="008C73DA">
        <w:rPr>
          <w:lang w:val="en-GB"/>
        </w:rPr>
        <w:fldChar w:fldCharType="end"/>
      </w:r>
      <w:r w:rsidR="008C73DA">
        <w:rPr>
          <w:lang w:val="en-GB"/>
        </w:rPr>
        <w:t xml:space="preserve"> </w:t>
      </w:r>
      <w:r w:rsidR="00E51861">
        <w:rPr>
          <w:lang w:val="en-GB"/>
        </w:rPr>
        <w:t xml:space="preserve">and Shah et al. </w:t>
      </w:r>
      <w:r w:rsidR="00E51861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&lt;EndNote&gt;&lt;Cite&gt;&lt;Author&gt;Shah&lt;/Author&gt;&lt;Year&gt;2020&lt;/Year&gt;&lt;RecNum&gt;488&lt;/RecNum&gt;&lt;DisplayText&gt;(7)&lt;/DisplayText&gt;&lt;record&gt;&lt;rec-number&gt;488&lt;/rec-number&gt;&lt;foreign-keys&gt;&lt;key app="EN" db-id="p9fvtfpx39zev2evef255xeg0rd02x5vsrza" timestamp="1607434472"&gt;488&lt;/key&gt;&lt;/foreign-keys&gt;&lt;ref-type name="Journal Article"&gt;17&lt;/ref-type&gt;&lt;contributors&gt;&lt;authors&gt;&lt;author&gt;Shah, Aditi S&lt;/author&gt;&lt;author&gt;Wong, Alyson W&lt;/author&gt;&lt;author&gt;Hague, Cameron J&lt;/author&gt;&lt;author&gt;Murphy, Darra T&lt;/author&gt;&lt;author&gt;Johnston, James C&lt;/author&gt;&lt;author&gt;Ryerson, Christopher J&lt;/author&gt;&lt;author&gt;Carlsten, Christopher&lt;/author&gt;&lt;/authors&gt;&lt;/contributors&gt;&lt;titles&gt;&lt;title&gt;A prospective study of 12-week respiratory outcomes in COVID-19-related hospitalisations&lt;/title&gt;&lt;secondary-title&gt;Thorax&lt;/secondary-title&gt;&lt;/titles&gt;&lt;periodical&gt;&lt;full-title&gt;Thorax&lt;/full-title&gt;&lt;/periodical&gt;&lt;pages&gt;thoraxjnl-2020-216308&lt;/pages&gt;&lt;dates&gt;&lt;year&gt;2020&lt;/year&gt;&lt;/dates&gt;&lt;urls&gt;&lt;related-urls&gt;&lt;url&gt;https://thorax.bmj.com/content/thoraxjnl/early/2020/12/02/thoraxjnl-2020-216308.full.pdf&lt;/url&gt;&lt;/related-urls&gt;&lt;/urls&gt;&lt;electronic-resource-num&gt;10.1136/thoraxjnl-2020-216308&lt;/electronic-resource-num&gt;&lt;/record&gt;&lt;/Cite&gt;&lt;/EndNote&gt;</w:instrText>
      </w:r>
      <w:r w:rsidR="00E51861">
        <w:rPr>
          <w:lang w:val="en-GB"/>
        </w:rPr>
        <w:fldChar w:fldCharType="separate"/>
      </w:r>
      <w:r w:rsidR="00D22CB5">
        <w:rPr>
          <w:lang w:val="en-GB"/>
        </w:rPr>
        <w:t>(7)</w:t>
      </w:r>
      <w:r w:rsidR="00E51861">
        <w:rPr>
          <w:lang w:val="en-GB"/>
        </w:rPr>
        <w:fldChar w:fldCharType="end"/>
      </w:r>
      <w:r w:rsidR="00E51861">
        <w:rPr>
          <w:lang w:val="en-GB"/>
        </w:rPr>
        <w:t xml:space="preserve"> </w:t>
      </w:r>
      <w:r w:rsidR="008C73DA">
        <w:rPr>
          <w:lang w:val="en-GB"/>
        </w:rPr>
        <w:t xml:space="preserve"> </w:t>
      </w:r>
      <w:r w:rsidR="00E51861">
        <w:rPr>
          <w:lang w:val="en-GB"/>
        </w:rPr>
        <w:t xml:space="preserve">demonstrate that persistent radiological abnormality at 12-week follow-up is associated with increased length of stay </w:t>
      </w:r>
      <w:r w:rsidR="00E51861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&lt;EndNote&gt;&lt;Cite&gt;&lt;Author&gt;Tabatabaei&lt;/Author&gt;&lt;Year&gt;2020&lt;/Year&gt;&lt;RecNum&gt;477&lt;/RecNum&gt;&lt;DisplayText&gt;(8)&lt;/DisplayText&gt;&lt;record&gt;&lt;rec-number&gt;477&lt;/rec-number&gt;&lt;foreign-keys&gt;&lt;key app="EN" db-id="p9fvtfpx39zev2evef255xeg0rd02x5vsrza" timestamp="1605694855"&gt;477&lt;/key&gt;&lt;/foreign-keys&gt;&lt;ref-type name="Journal Article"&gt;17&lt;/ref-type&gt;&lt;contributors&gt;&lt;authors&gt;&lt;author&gt;Tabatabaei, Seyed Mohammad Hossein&lt;/author&gt;&lt;author&gt;Rajebi, Hamid&lt;/author&gt;&lt;author&gt;Moghaddas, Fahimeh&lt;/author&gt;&lt;author&gt;Ghasemiadl, Mojtaba&lt;/author&gt;&lt;author&gt;Talari, Hamidreza&lt;/author&gt;&lt;/authors&gt;&lt;/contributors&gt;&lt;titles&gt;&lt;title&gt;Chest CT in COVID-19 pneumonia: what are the findings in mid-term follow-up?&lt;/title&gt;&lt;secondary-title&gt;Emergency Radiology&lt;/secondary-title&gt;&lt;/titles&gt;&lt;periodical&gt;&lt;full-title&gt;Emergency Radiology&lt;/full-title&gt;&lt;/periodical&gt;&lt;pages&gt;711-719&lt;/pages&gt;&lt;volume&gt;27&lt;/volume&gt;&lt;number&gt;6&lt;/number&gt;&lt;dates&gt;&lt;year&gt;2020&lt;/year&gt;&lt;pub-dates&gt;&lt;date&gt;2020/12/01&lt;/date&gt;&lt;/pub-dates&gt;&lt;/dates&gt;&lt;isbn&gt;1438-1435&lt;/isbn&gt;&lt;urls&gt;&lt;related-urls&gt;&lt;url&gt;https://doi.org/10.1007/s10140-020-01869-z&lt;/url&gt;&lt;/related-urls&gt;&lt;/urls&gt;&lt;electronic-resource-num&gt;10.1007/s10140-020-01869-z&lt;/electronic-resource-num&gt;&lt;/record&gt;&lt;/Cite&gt;&lt;/EndNote&gt;</w:instrText>
      </w:r>
      <w:r w:rsidR="00E51861">
        <w:rPr>
          <w:lang w:val="en-GB"/>
        </w:rPr>
        <w:fldChar w:fldCharType="separate"/>
      </w:r>
      <w:r w:rsidR="00D22CB5">
        <w:rPr>
          <w:lang w:val="en-GB"/>
        </w:rPr>
        <w:t>(8)</w:t>
      </w:r>
      <w:r w:rsidR="00E51861">
        <w:rPr>
          <w:lang w:val="en-GB"/>
        </w:rPr>
        <w:fldChar w:fldCharType="end"/>
      </w:r>
      <w:r w:rsidR="00E51861">
        <w:rPr>
          <w:lang w:val="en-GB"/>
        </w:rPr>
        <w:t xml:space="preserve"> and the number of days on oxygen therapy </w:t>
      </w:r>
      <w:r w:rsidR="00E51861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&lt;EndNote&gt;&lt;Cite&gt;&lt;Author&gt;Shah&lt;/Author&gt;&lt;Year&gt;2020&lt;/Year&gt;&lt;RecNum&gt;488&lt;/RecNum&gt;&lt;DisplayText&gt;(7)&lt;/DisplayText&gt;&lt;record&gt;&lt;rec-number&gt;488&lt;/rec-number&gt;&lt;foreign-keys&gt;&lt;key app="EN" db-id="p9fvtfpx39zev2evef255xeg0rd02x5vsrza" timestamp="1607434472"&gt;488&lt;/key&gt;&lt;/foreign-keys&gt;&lt;ref-type name="Journal Article"&gt;17&lt;/ref-type&gt;&lt;contributors&gt;&lt;authors&gt;&lt;author&gt;Shah, Aditi S&lt;/author&gt;&lt;author&gt;Wong, Alyson W&lt;/author&gt;&lt;author&gt;Hague, Cameron J&lt;/author&gt;&lt;author&gt;Murphy, Darra T&lt;/author&gt;&lt;author&gt;Johnston, James C&lt;/author&gt;&lt;author&gt;Ryerson, Christopher J&lt;/author&gt;&lt;author&gt;Carlsten, Christopher&lt;/author&gt;&lt;/authors&gt;&lt;/contributors&gt;&lt;titles&gt;&lt;title&gt;A prospective study of 12-week respiratory outcomes in COVID-19-related hospitalisations&lt;/title&gt;&lt;secondary-title&gt;Thorax&lt;/secondary-title&gt;&lt;/titles&gt;&lt;periodical&gt;&lt;full-title&gt;Thorax&lt;/full-title&gt;&lt;/periodical&gt;&lt;pages&gt;thoraxjnl-2020-216308&lt;/pages&gt;&lt;dates&gt;&lt;year&gt;2020&lt;/year&gt;&lt;/dates&gt;&lt;urls&gt;&lt;related-urls&gt;&lt;url&gt;https://thorax.bmj.com/content/thoraxjnl/early/2020/12/02/thoraxjnl-2020-216308.full.pdf&lt;/url&gt;&lt;/related-urls&gt;&lt;/urls&gt;&lt;electronic-resource-num&gt;10.1136/thoraxjnl-2020-216308&lt;/electronic-resource-num&gt;&lt;/record&gt;&lt;/Cite&gt;&lt;/EndNote&gt;</w:instrText>
      </w:r>
      <w:r w:rsidR="00E51861">
        <w:rPr>
          <w:lang w:val="en-GB"/>
        </w:rPr>
        <w:fldChar w:fldCharType="separate"/>
      </w:r>
      <w:r w:rsidR="00D22CB5">
        <w:rPr>
          <w:lang w:val="en-GB"/>
        </w:rPr>
        <w:t>(7)</w:t>
      </w:r>
      <w:r w:rsidR="00E51861">
        <w:rPr>
          <w:lang w:val="en-GB"/>
        </w:rPr>
        <w:fldChar w:fldCharType="end"/>
      </w:r>
      <w:r w:rsidR="0048684D">
        <w:rPr>
          <w:lang w:val="en-GB"/>
        </w:rPr>
        <w:t>.</w:t>
      </w:r>
      <w:r w:rsidR="008C73DA">
        <w:rPr>
          <w:lang w:val="en-GB"/>
        </w:rPr>
        <w:t xml:space="preserve"> </w:t>
      </w:r>
      <w:r w:rsidR="0048684D">
        <w:rPr>
          <w:lang w:val="en-GB"/>
        </w:rPr>
        <w:t>F</w:t>
      </w:r>
      <w:r w:rsidR="008C73DA">
        <w:rPr>
          <w:lang w:val="en-GB"/>
        </w:rPr>
        <w:t>urther to the findings of t</w:t>
      </w:r>
      <w:r w:rsidR="00E51861">
        <w:rPr>
          <w:lang w:val="en-GB"/>
        </w:rPr>
        <w:t>hese studies</w:t>
      </w:r>
      <w:r w:rsidR="008C73DA">
        <w:rPr>
          <w:lang w:val="en-GB"/>
        </w:rPr>
        <w:t xml:space="preserve"> we identify </w:t>
      </w:r>
      <w:r w:rsidR="00E51861">
        <w:rPr>
          <w:lang w:val="en-GB"/>
        </w:rPr>
        <w:t>that length of stay is</w:t>
      </w:r>
      <w:r w:rsidR="00B551B4">
        <w:rPr>
          <w:lang w:val="en-GB"/>
        </w:rPr>
        <w:t xml:space="preserve"> an</w:t>
      </w:r>
      <w:r w:rsidR="008C73DA">
        <w:rPr>
          <w:lang w:val="en-GB"/>
        </w:rPr>
        <w:t xml:space="preserve"> independent risk factor for persistent r</w:t>
      </w:r>
      <w:r w:rsidR="006E069C">
        <w:rPr>
          <w:lang w:val="en-GB"/>
        </w:rPr>
        <w:t>adiological abnormality</w:t>
      </w:r>
      <w:r w:rsidR="00B551B4">
        <w:rPr>
          <w:lang w:val="en-GB"/>
        </w:rPr>
        <w:t xml:space="preserve"> post </w:t>
      </w:r>
      <w:r w:rsidR="00E51861">
        <w:rPr>
          <w:lang w:val="en-GB"/>
        </w:rPr>
        <w:t xml:space="preserve">hospitalisation for </w:t>
      </w:r>
      <w:r w:rsidR="00B551B4">
        <w:rPr>
          <w:lang w:val="en-GB"/>
        </w:rPr>
        <w:t>COVID-19.</w:t>
      </w:r>
      <w:r w:rsidR="008C73DA">
        <w:rPr>
          <w:lang w:val="en-GB"/>
        </w:rPr>
        <w:t xml:space="preserve">  </w:t>
      </w:r>
    </w:p>
    <w:p w14:paraId="45D27AA4" w14:textId="6B432B1E" w:rsidR="00561A54" w:rsidRDefault="00561A54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>We observed significantly higher levels of serum LDH</w:t>
      </w:r>
      <w:r w:rsidR="007F5A49">
        <w:rPr>
          <w:lang w:val="en-GB"/>
        </w:rPr>
        <w:t>,</w:t>
      </w:r>
      <w:r>
        <w:rPr>
          <w:lang w:val="en-GB"/>
        </w:rPr>
        <w:t xml:space="preserve"> both at baseline and follow-up</w:t>
      </w:r>
      <w:r w:rsidR="007F5A49">
        <w:rPr>
          <w:lang w:val="en-GB"/>
        </w:rPr>
        <w:t>,</w:t>
      </w:r>
      <w:r>
        <w:rPr>
          <w:lang w:val="en-GB"/>
        </w:rPr>
        <w:t xml:space="preserve"> in patients with persistent chest radiograph </w:t>
      </w:r>
      <w:r w:rsidR="00733691">
        <w:rPr>
          <w:lang w:val="en-GB"/>
        </w:rPr>
        <w:t>abnormality</w:t>
      </w:r>
      <w:r w:rsidR="007F5A49">
        <w:rPr>
          <w:lang w:val="en-GB"/>
        </w:rPr>
        <w:t xml:space="preserve"> post hospitalisation with COVID-19</w:t>
      </w:r>
      <w:r>
        <w:rPr>
          <w:lang w:val="en-GB"/>
        </w:rPr>
        <w:t xml:space="preserve">. LDH </w:t>
      </w:r>
      <w:r w:rsidR="00BE2691">
        <w:rPr>
          <w:lang w:val="en-GB"/>
        </w:rPr>
        <w:t>catalyses the conversion of lactate to py</w:t>
      </w:r>
      <w:r w:rsidR="0048684D">
        <w:rPr>
          <w:lang w:val="en-GB"/>
        </w:rPr>
        <w:t>ru</w:t>
      </w:r>
      <w:r w:rsidR="00BE2691">
        <w:rPr>
          <w:lang w:val="en-GB"/>
        </w:rPr>
        <w:t xml:space="preserve">vate </w:t>
      </w:r>
      <w:r w:rsidR="0035317C">
        <w:rPr>
          <w:lang w:val="en-GB"/>
        </w:rPr>
        <w:t xml:space="preserve">during </w:t>
      </w:r>
      <w:r w:rsidR="00733691" w:rsidRPr="00733691">
        <w:rPr>
          <w:lang w:val="en-GB"/>
        </w:rPr>
        <w:t>glycolysis</w:t>
      </w:r>
      <w:r w:rsidR="0035317C">
        <w:rPr>
          <w:lang w:val="en-GB"/>
        </w:rPr>
        <w:t xml:space="preserve"> </w:t>
      </w:r>
      <w:r w:rsidR="00BE2691">
        <w:rPr>
          <w:lang w:val="en-GB"/>
        </w:rPr>
        <w:t xml:space="preserve">and is </w:t>
      </w:r>
      <w:r w:rsidR="007D45D4">
        <w:rPr>
          <w:lang w:val="en-GB"/>
        </w:rPr>
        <w:t>expressed in all human</w:t>
      </w:r>
      <w:r w:rsidR="007D45D4" w:rsidRPr="007D45D4">
        <w:rPr>
          <w:lang w:val="en-GB"/>
        </w:rPr>
        <w:t xml:space="preserve"> </w:t>
      </w:r>
      <w:r w:rsidR="007D45D4">
        <w:rPr>
          <w:lang w:val="en-GB"/>
        </w:rPr>
        <w:t>tissue</w:t>
      </w:r>
      <w:r w:rsidR="0013623E">
        <w:rPr>
          <w:lang w:val="en-GB"/>
        </w:rPr>
        <w:t>s</w:t>
      </w:r>
      <w:r w:rsidR="007D45D4">
        <w:rPr>
          <w:lang w:val="en-GB"/>
        </w:rPr>
        <w:t xml:space="preserve">. It is a non-specific marker of tissue damage and has been associated with poor-prognosis in a </w:t>
      </w:r>
      <w:r w:rsidR="00272647" w:rsidRPr="00272647">
        <w:rPr>
          <w:lang w:val="en-GB"/>
        </w:rPr>
        <w:t>variety</w:t>
      </w:r>
      <w:r w:rsidR="007D45D4">
        <w:rPr>
          <w:lang w:val="en-GB"/>
        </w:rPr>
        <w:t xml:space="preserve"> of disease pathologies </w:t>
      </w:r>
      <w:r w:rsidR="007D45D4">
        <w:rPr>
          <w:lang w:val="en-GB"/>
        </w:rPr>
        <w:fldChar w:fldCharType="begin"/>
      </w:r>
      <w:r w:rsidR="00D22CB5">
        <w:rPr>
          <w:lang w:val="en-GB"/>
        </w:rPr>
        <w:instrText xml:space="preserve"> ADDIN EN.CITE &lt;EndNote&gt;&lt;Cite&gt;&lt;Author&gt;Wulaningsih&lt;/Author&gt;&lt;Year&gt;2015&lt;/Year&gt;&lt;RecNum&gt;483&lt;/RecNum&gt;&lt;DisplayText&gt;(14)&lt;/DisplayText&gt;&lt;record&gt;&lt;rec-number&gt;483&lt;/rec-number&gt;&lt;foreign-keys&gt;&lt;key app="EN" db-id="p9fvtfpx39zev2evef255xeg0rd02x5vsrza" timestamp="1605716789"&gt;483&lt;/key&gt;&lt;/foreign-keys&gt;&lt;ref-type name="Journal Article"&gt;17&lt;/ref-type&gt;&lt;contributors&gt;&lt;authors&gt;&lt;author&gt;Wulaningsih, Wahyu&lt;/author&gt;&lt;author&gt;Holmberg, Lars&lt;/author&gt;&lt;author&gt;Garmo, Hans&lt;/author&gt;&lt;author&gt;Malmstrom, Håkan&lt;/author&gt;&lt;author&gt;Lambe, Mats&lt;/author&gt;&lt;author&gt;Hammar, Niklas&lt;/author&gt;&lt;author&gt;Walldius, Göran&lt;/author&gt;&lt;author&gt;Jungner, Ingmar&lt;/author&gt;&lt;author&gt;Ng, Tony&lt;/author&gt;&lt;author&gt;Van Hemelrijck, Mieke&lt;/author&gt;&lt;/authors&gt;&lt;/contributors&gt;&lt;titles&gt;&lt;title&gt;Serum lactate dehydrogenase and survival following cancer diagnosis&lt;/title&gt;&lt;secondary-title&gt;British journal of cancer&lt;/secondary-title&gt;&lt;alt-title&gt;Br J Cancer&lt;/alt-title&gt;&lt;/titles&gt;&lt;periodical&gt;&lt;full-title&gt;British journal of cancer&lt;/full-title&gt;&lt;abbr-1&gt;Br J Cancer&lt;/abbr-1&gt;&lt;/periodical&gt;&lt;alt-periodical&gt;&lt;full-title&gt;British journal of cancer&lt;/full-title&gt;&lt;abbr-1&gt;Br J Cancer&lt;/abbr-1&gt;&lt;/alt-periodical&gt;&lt;pages&gt;1389-1396&lt;/pages&gt;&lt;volume&gt;113&lt;/volume&gt;&lt;number&gt;9&lt;/number&gt;&lt;edition&gt;2015/10/15&lt;/edition&gt;&lt;keywords&gt;&lt;keyword&gt;Aged&lt;/keyword&gt;&lt;keyword&gt;Female&lt;/keyword&gt;&lt;keyword&gt;Humans&lt;/keyword&gt;&lt;keyword&gt;L-Lactate Dehydrogenase/*blood&lt;/keyword&gt;&lt;keyword&gt;Male&lt;/keyword&gt;&lt;keyword&gt;Middle Aged&lt;/keyword&gt;&lt;keyword&gt;Neoplasms/*blood/diagnosis/*mortality&lt;/keyword&gt;&lt;/keywords&gt;&lt;dates&gt;&lt;year&gt;2015&lt;/year&gt;&lt;/dates&gt;&lt;publisher&gt;Nature Publishing Group&lt;/publisher&gt;&lt;isbn&gt;1532-1827&amp;#xD;0007-0920&lt;/isbn&gt;&lt;accession-num&gt;26469834&lt;/accession-num&gt;&lt;urls&gt;&lt;related-urls&gt;&lt;url&gt;https://pubmed.ncbi.nlm.nih.gov/26469834&lt;/url&gt;&lt;url&gt;https://www.ncbi.nlm.nih.gov/pmc/articles/PMC4815785/&lt;/url&gt;&lt;/related-urls&gt;&lt;/urls&gt;&lt;electronic-resource-num&gt;10.1038/bjc.2015.361&lt;/electronic-resource-num&gt;&lt;remote-database-name&gt;PubMed&lt;/remote-database-name&gt;&lt;language&gt;eng&lt;/language&gt;&lt;/record&gt;&lt;/Cite&gt;&lt;/EndNote&gt;</w:instrText>
      </w:r>
      <w:r w:rsidR="007D45D4">
        <w:rPr>
          <w:lang w:val="en-GB"/>
        </w:rPr>
        <w:fldChar w:fldCharType="separate"/>
      </w:r>
      <w:r w:rsidR="00D22CB5">
        <w:rPr>
          <w:lang w:val="en-GB"/>
        </w:rPr>
        <w:t>(14)</w:t>
      </w:r>
      <w:r w:rsidR="007D45D4">
        <w:rPr>
          <w:lang w:val="en-GB"/>
        </w:rPr>
        <w:fldChar w:fldCharType="end"/>
      </w:r>
      <w:r w:rsidR="00BE2691">
        <w:rPr>
          <w:lang w:val="en-GB"/>
        </w:rPr>
        <w:t xml:space="preserve">. </w:t>
      </w:r>
      <w:r w:rsidR="0013623E">
        <w:rPr>
          <w:lang w:val="en-GB"/>
        </w:rPr>
        <w:t xml:space="preserve">In a study </w:t>
      </w:r>
      <w:r w:rsidR="00272647">
        <w:rPr>
          <w:lang w:val="en-GB"/>
        </w:rPr>
        <w:t xml:space="preserve">of </w:t>
      </w:r>
      <w:r w:rsidR="007D45D4">
        <w:rPr>
          <w:lang w:val="en-GB"/>
        </w:rPr>
        <w:t>patients with MERS infection</w:t>
      </w:r>
      <w:r w:rsidR="00272647">
        <w:rPr>
          <w:lang w:val="en-GB"/>
        </w:rPr>
        <w:t>,</w:t>
      </w:r>
      <w:r w:rsidR="007D45D4">
        <w:rPr>
          <w:lang w:val="en-GB"/>
        </w:rPr>
        <w:t xml:space="preserve"> higher peak serum LDH</w:t>
      </w:r>
      <w:r w:rsidR="00272647">
        <w:rPr>
          <w:lang w:val="en-GB"/>
        </w:rPr>
        <w:t xml:space="preserve"> was identified</w:t>
      </w:r>
      <w:r w:rsidR="007D45D4">
        <w:rPr>
          <w:lang w:val="en-GB"/>
        </w:rPr>
        <w:t xml:space="preserve"> in those with  persistent abnormality on chest radiographs</w:t>
      </w:r>
      <w:r w:rsidR="00272647">
        <w:rPr>
          <w:lang w:val="en-GB"/>
        </w:rPr>
        <w:t xml:space="preserve"> at</w:t>
      </w:r>
      <w:r w:rsidR="0049318C">
        <w:rPr>
          <w:lang w:val="en-GB"/>
        </w:rPr>
        <w:t xml:space="preserve"> median</w:t>
      </w:r>
      <w:r w:rsidR="00272647">
        <w:rPr>
          <w:lang w:val="en-GB"/>
        </w:rPr>
        <w:t xml:space="preserve"> 42 day follow-up</w:t>
      </w:r>
      <w:r w:rsidR="005C2969">
        <w:rPr>
          <w:lang w:val="en-GB"/>
        </w:rPr>
        <w:t xml:space="preserve"> </w:t>
      </w:r>
      <w:r w:rsidR="005C2969">
        <w:rPr>
          <w:lang w:val="en-GB"/>
        </w:rPr>
        <w:fldChar w:fldCharType="begin"/>
      </w:r>
      <w:r w:rsidR="005C2969">
        <w:rPr>
          <w:lang w:val="en-GB"/>
        </w:rPr>
        <w:instrText xml:space="preserve"> ADDIN EN.CITE &lt;EndNote&gt;&lt;Cite&gt;&lt;Author&gt;Das&lt;/Author&gt;&lt;Year&gt;2017&lt;/Year&gt;&lt;RecNum&gt;481&lt;/RecNum&gt;&lt;DisplayText&gt;(15)&lt;/DisplayText&gt;&lt;record&gt;&lt;rec-number&gt;481&lt;/rec-number&gt;&lt;foreign-keys&gt;&lt;key app="EN" db-id="p9fvtfpx39zev2evef255xeg0rd02x5vsrza" timestamp="1605696650"&gt;481&lt;/key&gt;&lt;/foreign-keys&gt;&lt;ref-type name="Journal Article"&gt;17&lt;/ref-type&gt;&lt;contributors&gt;&lt;authors&gt;&lt;author&gt;Das, Karuna&lt;/author&gt;&lt;author&gt;Lee, Edward&lt;/author&gt;&lt;author&gt;Singh, Rajvir&lt;/author&gt;&lt;author&gt;Enani, Mushira&lt;/author&gt;&lt;author&gt;Al Dossari, Khalid&lt;/author&gt;&lt;author&gt;Van Gorkom, Klaus&lt;/author&gt;&lt;author&gt;Larsson, Sven&lt;/author&gt;&lt;author&gt;Langer, Ruth&lt;/author&gt;&lt;/authors&gt;&lt;/contributors&gt;&lt;titles&gt;&lt;title&gt;Follow-up chest radiographic findings in patients with MERS-CoV after recovery&lt;/title&gt;&lt;secondary-title&gt;Indian Journal of Radiology and Imaging&lt;/secondary-title&gt;&lt;/titles&gt;&lt;periodical&gt;&lt;full-title&gt;Indian Journal of Radiology and Imaging&lt;/full-title&gt;&lt;/periodical&gt;&lt;pages&gt;342-349&lt;/pages&gt;&lt;volume&gt;27&lt;/volume&gt;&lt;number&gt;3&lt;/number&gt;&lt;dates&gt;&lt;year&gt;2017&lt;/year&gt;&lt;pub-dates&gt;&lt;date&gt;July 1, 2017&lt;/date&gt;&lt;/pub-dates&gt;&lt;/dates&gt;&lt;isbn&gt;0971-3026&lt;/isbn&gt;&lt;work-type&gt;Thoracic Imaging&lt;/work-type&gt;&lt;urls&gt;&lt;related-urls&gt;&lt;url&gt;https://www.ijri.org/article.asp?issn=0971-3026;year=2017;volume=27;issue=3;spage=342;epage=349;aulast=Das&lt;/url&gt;&lt;/related-urls&gt;&lt;/urls&gt;&lt;electronic-resource-num&gt;10.4103/ijri.IJRI_469_16&lt;/electronic-resource-num&gt;&lt;/record&gt;&lt;/Cite&gt;&lt;/EndNote&gt;</w:instrText>
      </w:r>
      <w:r w:rsidR="005C2969">
        <w:rPr>
          <w:lang w:val="en-GB"/>
        </w:rPr>
        <w:fldChar w:fldCharType="separate"/>
      </w:r>
      <w:r w:rsidR="005C2969">
        <w:rPr>
          <w:lang w:val="en-GB"/>
        </w:rPr>
        <w:t>(15)</w:t>
      </w:r>
      <w:r w:rsidR="005C2969">
        <w:rPr>
          <w:lang w:val="en-GB"/>
        </w:rPr>
        <w:fldChar w:fldCharType="end"/>
      </w:r>
      <w:r w:rsidR="007D45D4">
        <w:rPr>
          <w:lang w:val="en-GB"/>
        </w:rPr>
        <w:t xml:space="preserve">. </w:t>
      </w:r>
      <w:r w:rsidR="00BE2691">
        <w:rPr>
          <w:lang w:val="en-GB"/>
        </w:rPr>
        <w:t>In patients with COVID-19</w:t>
      </w:r>
      <w:r w:rsidR="0049318C">
        <w:rPr>
          <w:lang w:val="en-GB"/>
        </w:rPr>
        <w:t xml:space="preserve">, </w:t>
      </w:r>
      <w:r w:rsidR="00BE2691">
        <w:rPr>
          <w:lang w:val="en-GB"/>
        </w:rPr>
        <w:t xml:space="preserve">elevated LDH has been associated with </w:t>
      </w:r>
      <w:r w:rsidR="0013623E">
        <w:rPr>
          <w:lang w:val="en-GB"/>
        </w:rPr>
        <w:t>more</w:t>
      </w:r>
      <w:r w:rsidR="00BE2691">
        <w:rPr>
          <w:lang w:val="en-GB"/>
        </w:rPr>
        <w:t xml:space="preserve"> severe disease </w:t>
      </w:r>
      <w:r w:rsidR="0035317C">
        <w:rPr>
          <w:lang w:val="en-GB"/>
        </w:rPr>
        <w:fldChar w:fldCharType="begin"/>
      </w:r>
      <w:r w:rsidR="005C2969">
        <w:rPr>
          <w:lang w:val="en-GB"/>
        </w:rPr>
        <w:instrText xml:space="preserve"> ADDIN EN.CITE &lt;EndNote&gt;&lt;Cite&gt;&lt;Author&gt;Guan&lt;/Author&gt;&lt;Year&gt;2020&lt;/Year&gt;&lt;RecNum&gt;482&lt;/RecNum&gt;&lt;DisplayText&gt;(16)&lt;/DisplayText&gt;&lt;record&gt;&lt;rec-number&gt;482&lt;/rec-number&gt;&lt;foreign-keys&gt;&lt;key app="EN" db-id="p9fvtfpx39zev2evef255xeg0rd02x5vsrza" timestamp="1605716648"&gt;482&lt;/key&gt;&lt;/foreign-keys&gt;&lt;ref-type name="Journal Article"&gt;17&lt;/ref-type&gt;&lt;contributors&gt;&lt;authors&gt;&lt;author&gt;Guan, Wei-jie&lt;/author&gt;&lt;author&gt;Ni, Zheng-yi&lt;/author&gt;&lt;author&gt;Hu, Yu&lt;/author&gt;&lt;author&gt;Liang, Wen-hua&lt;/author&gt;&lt;author&gt;Ou, Chun-quan&lt;/author&gt;&lt;author&gt;He, Jian-xing&lt;/author&gt;&lt;author&gt;Liu, Lei&lt;/author&gt;&lt;author&gt;Shan, Hong&lt;/author&gt;&lt;author&gt;Lei, Chun-liang&lt;/author&gt;&lt;author&gt;Hui, David S.C.&lt;/author&gt;&lt;author&gt;Du, Bin&lt;/author&gt;&lt;author&gt;Li, Lan-juan&lt;/author&gt;&lt;author&gt;Zeng, Guang&lt;/author&gt;&lt;author&gt;Yuen, Kwok-Yung&lt;/author&gt;&lt;author&gt;Chen, Ru-chong&lt;/author&gt;&lt;author&gt;Tang, Chun-li&lt;/author&gt;&lt;author&gt;Wang, Tao&lt;/author&gt;&lt;author&gt;Chen, Ping-yan&lt;/author&gt;&lt;author&gt;Xiang, Jie&lt;/author&gt;&lt;author&gt;Li, Shi-yue&lt;/author&gt;&lt;author&gt;Wang, Jin-lin&lt;/author&gt;&lt;author&gt;Liang, Zi-jing&lt;/author&gt;&lt;author&gt;Peng, Yi-xiang&lt;/author&gt;&lt;author&gt;Wei, Li&lt;/author&gt;&lt;author&gt;Liu, Yong&lt;/author&gt;&lt;author&gt;Hu, Ya-hua&lt;/author&gt;&lt;author&gt;Peng, Peng&lt;/author&gt;&lt;author&gt;Wang, Jian-ming&lt;/author&gt;&lt;author&gt;Liu, Ji-yang&lt;/author&gt;&lt;author&gt;Chen, Zhong&lt;/author&gt;&lt;author&gt;Li, Gang&lt;/author&gt;&lt;author&gt;Zheng, Zhi-jian&lt;/author&gt;&lt;author&gt;Qiu, Shao-qin&lt;/author&gt;&lt;author&gt;Luo, Jie&lt;/author&gt;&lt;author&gt;Ye, Chang-jiang&lt;/author&gt;&lt;author&gt;Zhu, Shao-yong&lt;/author&gt;&lt;author&gt;Zhong, Nan-shan&lt;/author&gt;&lt;/authors&gt;&lt;/contributors&gt;&lt;titles&gt;&lt;title&gt;Clinical Characteristics of Coronavirus Disease 2019 in China&lt;/title&gt;&lt;secondary-title&gt;New England Journal of Medicine&lt;/secondary-title&gt;&lt;/titles&gt;&lt;periodical&gt;&lt;full-title&gt;New England Journal of Medicine&lt;/full-title&gt;&lt;/periodical&gt;&lt;pages&gt;1708-1720&lt;/pages&gt;&lt;volume&gt;382&lt;/volume&gt;&lt;number&gt;18&lt;/number&gt;&lt;dates&gt;&lt;year&gt;2020&lt;/year&gt;&lt;/dates&gt;&lt;urls&gt;&lt;related-urls&gt;&lt;url&gt;https://www.nejm.org/doi/full/10.1056/NEJMoa2002032&lt;/url&gt;&lt;/related-urls&gt;&lt;/urls&gt;&lt;electronic-resource-num&gt;10.1056/NEJMoa2002032&lt;/electronic-resource-num&gt;&lt;/record&gt;&lt;/Cite&gt;&lt;/EndNote&gt;</w:instrText>
      </w:r>
      <w:r w:rsidR="0035317C">
        <w:rPr>
          <w:lang w:val="en-GB"/>
        </w:rPr>
        <w:fldChar w:fldCharType="separate"/>
      </w:r>
      <w:r w:rsidR="005C2969">
        <w:rPr>
          <w:lang w:val="en-GB"/>
        </w:rPr>
        <w:t>(16)</w:t>
      </w:r>
      <w:r w:rsidR="0035317C">
        <w:rPr>
          <w:lang w:val="en-GB"/>
        </w:rPr>
        <w:fldChar w:fldCharType="end"/>
      </w:r>
      <w:r w:rsidR="0035317C">
        <w:rPr>
          <w:lang w:val="en-GB"/>
        </w:rPr>
        <w:t xml:space="preserve"> </w:t>
      </w:r>
      <w:r w:rsidR="00BE2691">
        <w:rPr>
          <w:lang w:val="en-GB"/>
        </w:rPr>
        <w:t xml:space="preserve">and time to normalisation of LDH has been shown to positively correlate with early CT scan resolution </w:t>
      </w:r>
      <w:r w:rsidR="00BE2691">
        <w:rPr>
          <w:lang w:val="en-GB"/>
        </w:rPr>
        <w:fldChar w:fldCharType="begin"/>
      </w:r>
      <w:r w:rsidR="005C2969">
        <w:rPr>
          <w:lang w:val="en-GB"/>
        </w:rPr>
        <w:instrText xml:space="preserve"> ADDIN EN.CITE &lt;EndNote&gt;&lt;Cite&gt;&lt;Author&gt;Wu&lt;/Author&gt;&lt;Year&gt;2020&lt;/Year&gt;&lt;RecNum&gt;480&lt;/RecNum&gt;&lt;DisplayText&gt;(17)&lt;/DisplayText&gt;&lt;record&gt;&lt;rec-number&gt;480&lt;/rec-number&gt;&lt;foreign-keys&gt;&lt;key app="EN" db-id="p9fvtfpx39zev2evef255xeg0rd02x5vsrza" timestamp="1605696261"&gt;480&lt;/key&gt;&lt;/foreign-keys&gt;&lt;ref-type name="Journal Article"&gt;17&lt;/ref-type&gt;&lt;contributors&gt;&lt;authors&gt;&lt;author&gt;Wu, Mei-ying&lt;/author&gt;&lt;author&gt;Yao, Lin&lt;/author&gt;&lt;author&gt;Wang, Yi&lt;/author&gt;&lt;author&gt;Zhu, Xin-yun&lt;/author&gt;&lt;author&gt;Wang, Xia-fang&lt;/author&gt;&lt;author&gt;Tang, Pei-jun&lt;/author&gt;&lt;author&gt;Chen, Cheng&lt;/author&gt;&lt;/authors&gt;&lt;/contributors&gt;&lt;titles&gt;&lt;title&gt;Clinical evaluation of potential usefulness of serum lactate dehydrogenase (LDH) in 2019 novel coronavirus (COVID-19) pneumonia&lt;/title&gt;&lt;secondary-title&gt;Respiratory Research&lt;/secondary-title&gt;&lt;/titles&gt;&lt;periodical&gt;&lt;full-title&gt;Respir Res&lt;/full-title&gt;&lt;abbr-1&gt;Respiratory research&lt;/abbr-1&gt;&lt;/periodical&gt;&lt;pages&gt;171&lt;/pages&gt;&lt;volume&gt;21&lt;/volume&gt;&lt;number&gt;1&lt;/number&gt;&lt;dates&gt;&lt;year&gt;2020&lt;/year&gt;&lt;pub-dates&gt;&lt;date&gt;2020/07/06&lt;/date&gt;&lt;/pub-dates&gt;&lt;/dates&gt;&lt;isbn&gt;1465-993X&lt;/isbn&gt;&lt;urls&gt;&lt;related-urls&gt;&lt;url&gt;https://doi.org/10.1186/s12931-020-01427-8&lt;/url&gt;&lt;/related-urls&gt;&lt;/urls&gt;&lt;electronic-resource-num&gt;10.1186/s12931-020-01427-8&lt;/electronic-resource-num&gt;&lt;/record&gt;&lt;/Cite&gt;&lt;/EndNote&gt;</w:instrText>
      </w:r>
      <w:r w:rsidR="00BE2691">
        <w:rPr>
          <w:lang w:val="en-GB"/>
        </w:rPr>
        <w:fldChar w:fldCharType="separate"/>
      </w:r>
      <w:r w:rsidR="005C2969">
        <w:rPr>
          <w:lang w:val="en-GB"/>
        </w:rPr>
        <w:t>(17)</w:t>
      </w:r>
      <w:r w:rsidR="00BE2691">
        <w:rPr>
          <w:lang w:val="en-GB"/>
        </w:rPr>
        <w:fldChar w:fldCharType="end"/>
      </w:r>
      <w:r w:rsidR="00BE2691">
        <w:rPr>
          <w:lang w:val="en-GB"/>
        </w:rPr>
        <w:t xml:space="preserve">. </w:t>
      </w:r>
      <w:r w:rsidR="0035317C">
        <w:rPr>
          <w:lang w:val="en-GB"/>
        </w:rPr>
        <w:t xml:space="preserve"> </w:t>
      </w:r>
    </w:p>
    <w:p w14:paraId="5A86E9F1" w14:textId="233087DA" w:rsidR="00D10815" w:rsidRDefault="00D10815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Using </w:t>
      </w:r>
      <w:r w:rsidR="0035317C">
        <w:rPr>
          <w:lang w:val="en-GB"/>
        </w:rPr>
        <w:t>AU</w:t>
      </w:r>
      <w:r>
        <w:rPr>
          <w:lang w:val="en-GB"/>
        </w:rPr>
        <w:t xml:space="preserve">ROC analysis we identify a </w:t>
      </w:r>
      <w:r w:rsidR="0035317C">
        <w:rPr>
          <w:lang w:val="en-GB"/>
        </w:rPr>
        <w:t xml:space="preserve">five point </w:t>
      </w:r>
      <w:r>
        <w:rPr>
          <w:lang w:val="en-GB"/>
        </w:rPr>
        <w:t xml:space="preserve">risk stratification score </w:t>
      </w:r>
      <w:r w:rsidR="007D45D4">
        <w:rPr>
          <w:lang w:val="en-GB"/>
        </w:rPr>
        <w:t>which</w:t>
      </w:r>
      <w:r>
        <w:rPr>
          <w:lang w:val="en-GB"/>
        </w:rPr>
        <w:t xml:space="preserve"> strongly predicts risk of persistent chest radiograph </w:t>
      </w:r>
      <w:r w:rsidR="0013623E">
        <w:rPr>
          <w:lang w:val="en-GB"/>
        </w:rPr>
        <w:t>ab</w:t>
      </w:r>
      <w:r w:rsidR="007265E2">
        <w:rPr>
          <w:lang w:val="en-GB"/>
        </w:rPr>
        <w:t>norma</w:t>
      </w:r>
      <w:r w:rsidR="0013623E">
        <w:rPr>
          <w:lang w:val="en-GB"/>
        </w:rPr>
        <w:t>lity</w:t>
      </w:r>
      <w:r>
        <w:rPr>
          <w:lang w:val="en-GB"/>
        </w:rPr>
        <w:t xml:space="preserve">. In our analysis </w:t>
      </w:r>
      <w:r w:rsidR="00D92DDD">
        <w:rPr>
          <w:lang w:val="en-GB"/>
        </w:rPr>
        <w:t>20% (13 out of 66)</w:t>
      </w:r>
      <w:r w:rsidR="007D45D4">
        <w:rPr>
          <w:lang w:val="en-GB"/>
        </w:rPr>
        <w:t xml:space="preserve"> </w:t>
      </w:r>
      <w:r w:rsidR="00D92DDD">
        <w:rPr>
          <w:lang w:val="en-GB"/>
        </w:rPr>
        <w:t>patients</w:t>
      </w:r>
      <w:r w:rsidR="007D45D4">
        <w:rPr>
          <w:lang w:val="en-GB"/>
        </w:rPr>
        <w:t xml:space="preserve"> included in the analysis</w:t>
      </w:r>
      <w:r w:rsidR="00D92DDD">
        <w:rPr>
          <w:lang w:val="en-GB"/>
        </w:rPr>
        <w:t xml:space="preserve"> had a </w:t>
      </w:r>
      <w:r w:rsidR="0049318C">
        <w:rPr>
          <w:lang w:val="en-GB"/>
        </w:rPr>
        <w:t xml:space="preserve">combined risk </w:t>
      </w:r>
      <w:r w:rsidR="00D92DDD">
        <w:rPr>
          <w:lang w:val="en-GB"/>
        </w:rPr>
        <w:t xml:space="preserve">score of zero and none of these patients </w:t>
      </w:r>
      <w:r w:rsidR="0048684D">
        <w:rPr>
          <w:lang w:val="en-GB"/>
        </w:rPr>
        <w:t xml:space="preserve">were left with </w:t>
      </w:r>
      <w:r w:rsidR="00D92DDD">
        <w:rPr>
          <w:lang w:val="en-GB"/>
        </w:rPr>
        <w:t xml:space="preserve">persistent chest radiograph </w:t>
      </w:r>
      <w:r w:rsidR="00733691">
        <w:rPr>
          <w:lang w:val="en-GB"/>
        </w:rPr>
        <w:t>abnormalities</w:t>
      </w:r>
      <w:r w:rsidR="00D92DDD">
        <w:rPr>
          <w:lang w:val="en-GB"/>
        </w:rPr>
        <w:t xml:space="preserve">. We propose that for patients with a score of zero using our </w:t>
      </w:r>
      <w:r w:rsidR="0035317C">
        <w:rPr>
          <w:lang w:val="en-GB"/>
        </w:rPr>
        <w:t>AU</w:t>
      </w:r>
      <w:r w:rsidR="00D92DDD">
        <w:rPr>
          <w:lang w:val="en-GB"/>
        </w:rPr>
        <w:t>ROC model radiological follow-up post</w:t>
      </w:r>
      <w:r w:rsidR="0055627C">
        <w:rPr>
          <w:lang w:val="en-GB"/>
        </w:rPr>
        <w:t xml:space="preserve"> hospitalisation with</w:t>
      </w:r>
      <w:r w:rsidR="00D92DDD">
        <w:rPr>
          <w:lang w:val="en-GB"/>
        </w:rPr>
        <w:t xml:space="preserve"> COVID-19 may not be necessary. This observation requires further validation in a dedicated prospective study.</w:t>
      </w:r>
    </w:p>
    <w:p w14:paraId="2AEBF669" w14:textId="5383E54C" w:rsidR="00940939" w:rsidRDefault="00940939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Our study has a number of limitations which are important to </w:t>
      </w:r>
      <w:r w:rsidR="0048684D">
        <w:rPr>
          <w:lang w:val="en-GB"/>
        </w:rPr>
        <w:t>mention</w:t>
      </w:r>
      <w:r>
        <w:rPr>
          <w:lang w:val="en-GB"/>
        </w:rPr>
        <w:t>.</w:t>
      </w:r>
      <w:r w:rsidR="00EC6478">
        <w:rPr>
          <w:lang w:val="en-GB"/>
        </w:rPr>
        <w:t xml:space="preserve"> </w:t>
      </w:r>
      <w:r w:rsidR="00B5604F">
        <w:rPr>
          <w:lang w:val="en-GB"/>
        </w:rPr>
        <w:t>The sample size of our cohort was</w:t>
      </w:r>
      <w:r w:rsidR="007F5A49">
        <w:rPr>
          <w:lang w:val="en-GB"/>
        </w:rPr>
        <w:t xml:space="preserve"> </w:t>
      </w:r>
      <w:r w:rsidR="007F5A49" w:rsidRPr="007F5A49">
        <w:rPr>
          <w:lang w:val="en-GB"/>
        </w:rPr>
        <w:t>relatively</w:t>
      </w:r>
      <w:r w:rsidR="007F5A49">
        <w:rPr>
          <w:lang w:val="en-GB"/>
        </w:rPr>
        <w:t xml:space="preserve"> </w:t>
      </w:r>
      <w:r w:rsidR="00B5604F">
        <w:rPr>
          <w:lang w:val="en-GB"/>
        </w:rPr>
        <w:t xml:space="preserve"> small (n=101)</w:t>
      </w:r>
      <w:r w:rsidR="0055627C">
        <w:rPr>
          <w:lang w:val="en-GB"/>
        </w:rPr>
        <w:t>.</w:t>
      </w:r>
      <w:r w:rsidR="00B5604F">
        <w:rPr>
          <w:lang w:val="en-GB"/>
        </w:rPr>
        <w:t xml:space="preserve"> </w:t>
      </w:r>
      <w:r w:rsidR="0055627C">
        <w:rPr>
          <w:lang w:val="en-GB"/>
        </w:rPr>
        <w:t>However,</w:t>
      </w:r>
      <w:r w:rsidR="00B5604F">
        <w:rPr>
          <w:lang w:val="en-GB"/>
        </w:rPr>
        <w:t xml:space="preserve"> we present </w:t>
      </w:r>
      <w:r w:rsidR="00EC6478">
        <w:rPr>
          <w:lang w:val="en-GB"/>
        </w:rPr>
        <w:t xml:space="preserve">a population </w:t>
      </w:r>
      <w:r w:rsidR="003E2B4D">
        <w:rPr>
          <w:lang w:val="en-GB"/>
        </w:rPr>
        <w:t>with</w:t>
      </w:r>
      <w:r w:rsidR="00EC6478">
        <w:rPr>
          <w:lang w:val="en-GB"/>
        </w:rPr>
        <w:t xml:space="preserve"> increased level 2</w:t>
      </w:r>
      <w:r w:rsidR="002C22E2">
        <w:rPr>
          <w:lang w:val="en-GB"/>
        </w:rPr>
        <w:t xml:space="preserve"> or </w:t>
      </w:r>
      <w:r w:rsidR="00EC6478">
        <w:rPr>
          <w:lang w:val="en-GB"/>
        </w:rPr>
        <w:t xml:space="preserve">3 admission </w:t>
      </w:r>
      <w:r w:rsidR="00B5604F">
        <w:rPr>
          <w:lang w:val="en-GB"/>
        </w:rPr>
        <w:t xml:space="preserve">which </w:t>
      </w:r>
      <w:r w:rsidR="00EC6478">
        <w:rPr>
          <w:lang w:val="en-GB"/>
        </w:rPr>
        <w:t>reflect</w:t>
      </w:r>
      <w:r w:rsidR="00C37DA9">
        <w:rPr>
          <w:lang w:val="en-GB"/>
        </w:rPr>
        <w:t>s</w:t>
      </w:r>
      <w:r w:rsidR="00EC6478">
        <w:rPr>
          <w:lang w:val="en-GB"/>
        </w:rPr>
        <w:t xml:space="preserve"> the real life nature of follow-up </w:t>
      </w:r>
      <w:r w:rsidR="00EC6478" w:rsidRPr="00EC6478">
        <w:rPr>
          <w:lang w:val="en-GB"/>
        </w:rPr>
        <w:t>prioritisation</w:t>
      </w:r>
      <w:r w:rsidR="00EC6478">
        <w:rPr>
          <w:lang w:val="en-GB"/>
        </w:rPr>
        <w:t xml:space="preserve">.  </w:t>
      </w:r>
      <w:r>
        <w:rPr>
          <w:lang w:val="en-GB"/>
        </w:rPr>
        <w:t xml:space="preserve">Chest radiographs were scored by the </w:t>
      </w:r>
      <w:r w:rsidR="0049318C" w:rsidRPr="0049318C">
        <w:rPr>
          <w:lang w:val="en-GB"/>
        </w:rPr>
        <w:t xml:space="preserve">clinician </w:t>
      </w:r>
      <w:r>
        <w:rPr>
          <w:lang w:val="en-GB"/>
        </w:rPr>
        <w:t xml:space="preserve">assessing the patient </w:t>
      </w:r>
      <w:r w:rsidR="0049318C">
        <w:rPr>
          <w:lang w:val="en-GB"/>
        </w:rPr>
        <w:t xml:space="preserve">and </w:t>
      </w:r>
      <w:r>
        <w:rPr>
          <w:lang w:val="en-GB"/>
        </w:rPr>
        <w:t>although a standardised proforma was used for scoring chest radiographs</w:t>
      </w:r>
      <w:r w:rsidR="0048684D">
        <w:rPr>
          <w:lang w:val="en-GB"/>
        </w:rPr>
        <w:t>,</w:t>
      </w:r>
      <w:r>
        <w:rPr>
          <w:lang w:val="en-GB"/>
        </w:rPr>
        <w:t xml:space="preserve"> they were not dual reported</w:t>
      </w:r>
      <w:r w:rsidR="0048684D">
        <w:rPr>
          <w:lang w:val="en-GB"/>
        </w:rPr>
        <w:t>,</w:t>
      </w:r>
      <w:r>
        <w:rPr>
          <w:lang w:val="en-GB"/>
        </w:rPr>
        <w:t xml:space="preserve"> so it is not possible to assess concordance </w:t>
      </w:r>
      <w:r w:rsidR="00733691">
        <w:rPr>
          <w:lang w:val="en-GB"/>
        </w:rPr>
        <w:t xml:space="preserve">between </w:t>
      </w:r>
      <w:r>
        <w:rPr>
          <w:lang w:val="en-GB"/>
        </w:rPr>
        <w:t>individual assessors. Further</w:t>
      </w:r>
      <w:r w:rsidR="002C22E2">
        <w:rPr>
          <w:lang w:val="en-GB"/>
        </w:rPr>
        <w:t>more,</w:t>
      </w:r>
      <w:r w:rsidR="00D51DAF">
        <w:rPr>
          <w:lang w:val="en-GB"/>
        </w:rPr>
        <w:t xml:space="preserve"> due to the nature of the study it is not </w:t>
      </w:r>
      <w:r w:rsidR="00192D08">
        <w:rPr>
          <w:lang w:val="en-GB"/>
        </w:rPr>
        <w:t>definitively</w:t>
      </w:r>
      <w:r w:rsidR="00D51DAF">
        <w:rPr>
          <w:lang w:val="en-GB"/>
        </w:rPr>
        <w:t xml:space="preserve"> possible to </w:t>
      </w:r>
      <w:r w:rsidR="00192D08" w:rsidRPr="00192D08">
        <w:rPr>
          <w:lang w:val="en-GB"/>
        </w:rPr>
        <w:t xml:space="preserve">ascertain </w:t>
      </w:r>
      <w:r w:rsidR="00D51DAF">
        <w:rPr>
          <w:lang w:val="en-GB"/>
        </w:rPr>
        <w:t xml:space="preserve">whether the abnormalities </w:t>
      </w:r>
      <w:r w:rsidR="00C37DA9">
        <w:rPr>
          <w:lang w:val="en-GB"/>
        </w:rPr>
        <w:t xml:space="preserve">on chest radiographs </w:t>
      </w:r>
      <w:r w:rsidR="00D51DAF">
        <w:rPr>
          <w:lang w:val="en-GB"/>
        </w:rPr>
        <w:t>detected at</w:t>
      </w:r>
      <w:r w:rsidR="00C37DA9">
        <w:rPr>
          <w:lang w:val="en-GB"/>
        </w:rPr>
        <w:t xml:space="preserve"> 12-weeks</w:t>
      </w:r>
      <w:r w:rsidR="00D51DAF">
        <w:rPr>
          <w:lang w:val="en-GB"/>
        </w:rPr>
        <w:t xml:space="preserve"> represent complications of COVID-19</w:t>
      </w:r>
      <w:r w:rsidR="002C22E2">
        <w:rPr>
          <w:lang w:val="en-GB"/>
        </w:rPr>
        <w:t>; o</w:t>
      </w:r>
      <w:r w:rsidR="00D51DAF">
        <w:rPr>
          <w:lang w:val="en-GB"/>
        </w:rPr>
        <w:t>r at this point in time</w:t>
      </w:r>
      <w:r w:rsidR="00192D08">
        <w:rPr>
          <w:lang w:val="en-GB"/>
        </w:rPr>
        <w:t>,</w:t>
      </w:r>
      <w:r w:rsidR="00D51DAF">
        <w:rPr>
          <w:lang w:val="en-GB"/>
        </w:rPr>
        <w:t xml:space="preserve"> determine what </w:t>
      </w:r>
      <w:r w:rsidR="00192D08" w:rsidRPr="00192D08">
        <w:rPr>
          <w:lang w:val="en-GB"/>
        </w:rPr>
        <w:t>proportion</w:t>
      </w:r>
      <w:r w:rsidR="00D51DAF">
        <w:rPr>
          <w:lang w:val="en-GB"/>
        </w:rPr>
        <w:t xml:space="preserve"> of patients with </w:t>
      </w:r>
      <w:r w:rsidR="00D51DAF">
        <w:rPr>
          <w:lang w:val="en-GB"/>
        </w:rPr>
        <w:lastRenderedPageBreak/>
        <w:t>abnormal radiology will pr</w:t>
      </w:r>
      <w:r w:rsidR="002C22E2">
        <w:rPr>
          <w:lang w:val="en-GB"/>
        </w:rPr>
        <w:t xml:space="preserve">ogress </w:t>
      </w:r>
      <w:r w:rsidR="00D51DAF">
        <w:rPr>
          <w:lang w:val="en-GB"/>
        </w:rPr>
        <w:t xml:space="preserve">to develop significant </w:t>
      </w:r>
      <w:r w:rsidR="00776742">
        <w:rPr>
          <w:lang w:val="en-GB"/>
        </w:rPr>
        <w:t xml:space="preserve">permanent </w:t>
      </w:r>
      <w:r w:rsidR="00D51DAF">
        <w:rPr>
          <w:lang w:val="en-GB"/>
        </w:rPr>
        <w:t>respiratory pathology.</w:t>
      </w:r>
      <w:r>
        <w:rPr>
          <w:lang w:val="en-GB"/>
        </w:rPr>
        <w:t xml:space="preserve"> </w:t>
      </w:r>
      <w:r w:rsidR="00D51DAF">
        <w:rPr>
          <w:lang w:val="en-GB"/>
        </w:rPr>
        <w:t>Large long-term prospective follow-up cohort studies such as the currently recruiting PHOSP-COVID</w:t>
      </w:r>
      <w:r w:rsidR="00C37DA9">
        <w:rPr>
          <w:lang w:val="en-GB"/>
        </w:rPr>
        <w:t xml:space="preserve"> study (</w:t>
      </w:r>
      <w:r w:rsidR="00C37DA9" w:rsidRPr="00C37DA9">
        <w:rPr>
          <w:lang w:val="en-GB"/>
        </w:rPr>
        <w:t>ISRCTN10980107</w:t>
      </w:r>
      <w:r w:rsidR="00C37DA9">
        <w:rPr>
          <w:lang w:val="en-GB"/>
        </w:rPr>
        <w:t>)</w:t>
      </w:r>
      <w:r w:rsidR="00D51DAF">
        <w:rPr>
          <w:lang w:val="en-GB"/>
        </w:rPr>
        <w:t xml:space="preserve"> will hopefully </w:t>
      </w:r>
      <w:r w:rsidR="00C37DA9">
        <w:rPr>
          <w:lang w:val="en-GB"/>
        </w:rPr>
        <w:t xml:space="preserve">provide insight into this </w:t>
      </w:r>
      <w:r w:rsidR="00192D08">
        <w:rPr>
          <w:lang w:val="en-GB"/>
        </w:rPr>
        <w:t>as time progresses</w:t>
      </w:r>
      <w:r w:rsidR="00C37DA9">
        <w:rPr>
          <w:lang w:val="en-GB"/>
        </w:rPr>
        <w:t xml:space="preserve">. </w:t>
      </w:r>
      <w:r w:rsidR="00D51DAF">
        <w:rPr>
          <w:lang w:val="en-GB"/>
        </w:rPr>
        <w:t>A</w:t>
      </w:r>
      <w:r>
        <w:rPr>
          <w:lang w:val="en-GB"/>
        </w:rPr>
        <w:t xml:space="preserve">s </w:t>
      </w:r>
      <w:r w:rsidR="00C37DA9">
        <w:rPr>
          <w:lang w:val="en-GB"/>
        </w:rPr>
        <w:t>our</w:t>
      </w:r>
      <w:r>
        <w:rPr>
          <w:lang w:val="en-GB"/>
        </w:rPr>
        <w:t xml:space="preserve"> cohort was developed in ‘real-time’ as the pandemic </w:t>
      </w:r>
      <w:r w:rsidR="0048684D">
        <w:rPr>
          <w:lang w:val="en-GB"/>
        </w:rPr>
        <w:t xml:space="preserve">evolved </w:t>
      </w:r>
      <w:r w:rsidR="0099292D">
        <w:rPr>
          <w:lang w:val="en-GB"/>
        </w:rPr>
        <w:t xml:space="preserve">and tests completed reflected standard-of-care procedures at </w:t>
      </w:r>
      <w:r w:rsidR="00F44A44">
        <w:rPr>
          <w:lang w:val="en-GB"/>
        </w:rPr>
        <w:t>UHS</w:t>
      </w:r>
      <w:r w:rsidR="00A345ED">
        <w:rPr>
          <w:lang w:val="en-GB"/>
        </w:rPr>
        <w:t>FT</w:t>
      </w:r>
      <w:r w:rsidR="0048684D">
        <w:rPr>
          <w:lang w:val="en-GB"/>
        </w:rPr>
        <w:t>,</w:t>
      </w:r>
      <w:r w:rsidR="0099292D">
        <w:rPr>
          <w:lang w:val="en-GB"/>
        </w:rPr>
        <w:t xml:space="preserve"> paired data for </w:t>
      </w:r>
      <w:r w:rsidR="007265E2">
        <w:rPr>
          <w:lang w:val="en-GB"/>
        </w:rPr>
        <w:t>LDH</w:t>
      </w:r>
      <w:r w:rsidR="0099292D">
        <w:rPr>
          <w:lang w:val="en-GB"/>
        </w:rPr>
        <w:t xml:space="preserve"> is not available for all patients in the cohort. However </w:t>
      </w:r>
      <w:r w:rsidR="00816229">
        <w:rPr>
          <w:lang w:val="en-GB"/>
        </w:rPr>
        <w:t>early in</w:t>
      </w:r>
      <w:r w:rsidR="0049318C">
        <w:rPr>
          <w:lang w:val="en-GB"/>
        </w:rPr>
        <w:t xml:space="preserve"> the</w:t>
      </w:r>
      <w:r w:rsidR="0099292D">
        <w:rPr>
          <w:lang w:val="en-GB"/>
        </w:rPr>
        <w:t xml:space="preserve"> COVID-19 pandemic an </w:t>
      </w:r>
      <w:r w:rsidR="0049318C" w:rsidRPr="0049318C">
        <w:rPr>
          <w:lang w:val="en-GB"/>
        </w:rPr>
        <w:t>institution</w:t>
      </w:r>
      <w:r w:rsidR="0048684D">
        <w:rPr>
          <w:lang w:val="en-GB"/>
        </w:rPr>
        <w:t>-</w:t>
      </w:r>
      <w:r w:rsidR="0099292D">
        <w:rPr>
          <w:lang w:val="en-GB"/>
        </w:rPr>
        <w:t xml:space="preserve">wide COVID-19 blood panel was employed </w:t>
      </w:r>
      <w:r w:rsidR="0035317C">
        <w:rPr>
          <w:lang w:val="en-GB"/>
        </w:rPr>
        <w:t xml:space="preserve">at </w:t>
      </w:r>
      <w:r w:rsidR="00F44A44">
        <w:rPr>
          <w:lang w:val="en-GB"/>
        </w:rPr>
        <w:t>UHS</w:t>
      </w:r>
      <w:r w:rsidR="00A345ED">
        <w:rPr>
          <w:lang w:val="en-GB"/>
        </w:rPr>
        <w:t>FT</w:t>
      </w:r>
      <w:r w:rsidR="00F44A44">
        <w:rPr>
          <w:lang w:val="en-GB"/>
        </w:rPr>
        <w:t xml:space="preserve"> </w:t>
      </w:r>
      <w:r w:rsidR="00816229">
        <w:rPr>
          <w:lang w:val="en-GB"/>
        </w:rPr>
        <w:t xml:space="preserve">for </w:t>
      </w:r>
      <w:r w:rsidR="0099292D">
        <w:rPr>
          <w:lang w:val="en-GB"/>
        </w:rPr>
        <w:t>all suspected and confirmed admission</w:t>
      </w:r>
      <w:r w:rsidR="007265E2">
        <w:rPr>
          <w:lang w:val="en-GB"/>
        </w:rPr>
        <w:t>s</w:t>
      </w:r>
      <w:r w:rsidR="0049318C">
        <w:rPr>
          <w:lang w:val="en-GB"/>
        </w:rPr>
        <w:t xml:space="preserve"> with COVID-19</w:t>
      </w:r>
      <w:r w:rsidR="0099292D">
        <w:rPr>
          <w:lang w:val="en-GB"/>
        </w:rPr>
        <w:t xml:space="preserve"> </w:t>
      </w:r>
      <w:r w:rsidR="0049318C">
        <w:rPr>
          <w:lang w:val="en-GB"/>
        </w:rPr>
        <w:t xml:space="preserve">and later for patients in the </w:t>
      </w:r>
      <w:r w:rsidR="00EC6478">
        <w:rPr>
          <w:lang w:val="en-GB"/>
        </w:rPr>
        <w:t xml:space="preserve">post </w:t>
      </w:r>
      <w:r w:rsidR="0049318C">
        <w:rPr>
          <w:lang w:val="en-GB"/>
        </w:rPr>
        <w:t>COVID-19 follow-up clinic</w:t>
      </w:r>
      <w:r w:rsidR="00733691">
        <w:rPr>
          <w:lang w:val="en-GB"/>
        </w:rPr>
        <w:t>.</w:t>
      </w:r>
      <w:r w:rsidR="0049318C">
        <w:rPr>
          <w:lang w:val="en-GB"/>
        </w:rPr>
        <w:t xml:space="preserve"> </w:t>
      </w:r>
      <w:r w:rsidR="00733691">
        <w:rPr>
          <w:lang w:val="en-GB"/>
        </w:rPr>
        <w:t xml:space="preserve">Consequently pathology </w:t>
      </w:r>
      <w:r w:rsidR="0049318C">
        <w:rPr>
          <w:lang w:val="en-GB"/>
        </w:rPr>
        <w:t xml:space="preserve">tests were not </w:t>
      </w:r>
      <w:r w:rsidR="006E069C">
        <w:rPr>
          <w:lang w:val="en-GB"/>
        </w:rPr>
        <w:t>requested</w:t>
      </w:r>
      <w:r w:rsidR="0049318C">
        <w:rPr>
          <w:lang w:val="en-GB"/>
        </w:rPr>
        <w:t xml:space="preserve"> </w:t>
      </w:r>
      <w:r w:rsidR="006E069C">
        <w:rPr>
          <w:lang w:val="en-GB"/>
        </w:rPr>
        <w:t xml:space="preserve">in an </w:t>
      </w:r>
      <w:r w:rsidR="00733691" w:rsidRPr="00733691">
        <w:rPr>
          <w:lang w:val="en-GB"/>
        </w:rPr>
        <w:t xml:space="preserve">unselected </w:t>
      </w:r>
      <w:r w:rsidR="006E069C">
        <w:rPr>
          <w:lang w:val="en-GB"/>
        </w:rPr>
        <w:t>manner</w:t>
      </w:r>
      <w:r w:rsidR="0049318C">
        <w:rPr>
          <w:lang w:val="en-GB"/>
        </w:rPr>
        <w:t xml:space="preserve"> by the </w:t>
      </w:r>
      <w:r w:rsidR="00733691" w:rsidRPr="00733691">
        <w:rPr>
          <w:lang w:val="en-GB"/>
        </w:rPr>
        <w:t>assessing</w:t>
      </w:r>
      <w:r w:rsidR="0049318C">
        <w:rPr>
          <w:lang w:val="en-GB"/>
        </w:rPr>
        <w:t xml:space="preserve"> clinician. </w:t>
      </w:r>
      <w:r w:rsidR="0035317C">
        <w:rPr>
          <w:lang w:val="en-GB"/>
        </w:rPr>
        <w:t>H</w:t>
      </w:r>
      <w:r w:rsidR="00816229">
        <w:rPr>
          <w:lang w:val="en-GB"/>
        </w:rPr>
        <w:t>ence it</w:t>
      </w:r>
      <w:r w:rsidR="0099292D">
        <w:rPr>
          <w:lang w:val="en-GB"/>
        </w:rPr>
        <w:t xml:space="preserve"> is </w:t>
      </w:r>
      <w:r w:rsidR="00733691" w:rsidRPr="00733691">
        <w:rPr>
          <w:lang w:val="en-GB"/>
        </w:rPr>
        <w:t>unlikely</w:t>
      </w:r>
      <w:r w:rsidR="0099292D">
        <w:rPr>
          <w:lang w:val="en-GB"/>
        </w:rPr>
        <w:t xml:space="preserve"> that the lack of </w:t>
      </w:r>
      <w:r w:rsidR="00733691" w:rsidRPr="00733691">
        <w:rPr>
          <w:lang w:val="en-GB"/>
        </w:rPr>
        <w:t>available</w:t>
      </w:r>
      <w:r w:rsidR="0099292D">
        <w:rPr>
          <w:lang w:val="en-GB"/>
        </w:rPr>
        <w:t xml:space="preserve"> LDH data for some patients resulted in a selecti</w:t>
      </w:r>
      <w:r w:rsidR="00816229">
        <w:rPr>
          <w:lang w:val="en-GB"/>
        </w:rPr>
        <w:t>on</w:t>
      </w:r>
      <w:r w:rsidR="0099292D">
        <w:rPr>
          <w:lang w:val="en-GB"/>
        </w:rPr>
        <w:t xml:space="preserve"> bias</w:t>
      </w:r>
      <w:r w:rsidR="006E069C">
        <w:rPr>
          <w:lang w:val="en-GB"/>
        </w:rPr>
        <w:t xml:space="preserve"> in our analysis</w:t>
      </w:r>
      <w:r w:rsidR="0099292D">
        <w:rPr>
          <w:lang w:val="en-GB"/>
        </w:rPr>
        <w:t>.</w:t>
      </w:r>
      <w:r w:rsidR="00C37DA9">
        <w:rPr>
          <w:lang w:val="en-GB"/>
        </w:rPr>
        <w:t xml:space="preserve"> </w:t>
      </w:r>
    </w:p>
    <w:p w14:paraId="32832537" w14:textId="20A331B0" w:rsidR="00816229" w:rsidRPr="00853697" w:rsidRDefault="00816229" w:rsidP="00332441">
      <w:pPr>
        <w:pStyle w:val="EndNoteBibliography"/>
        <w:spacing w:line="360" w:lineRule="auto"/>
        <w:jc w:val="both"/>
        <w:rPr>
          <w:b/>
          <w:bCs/>
          <w:lang w:val="en-GB"/>
        </w:rPr>
      </w:pPr>
      <w:r w:rsidRPr="00853697">
        <w:rPr>
          <w:b/>
          <w:bCs/>
          <w:lang w:val="en-GB"/>
        </w:rPr>
        <w:t>Conclusion</w:t>
      </w:r>
    </w:p>
    <w:p w14:paraId="2FB5E68F" w14:textId="55F4D2FB" w:rsidR="00816229" w:rsidRDefault="00816229" w:rsidP="00332441">
      <w:pPr>
        <w:pStyle w:val="EndNoteBibliography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In this real world cohort of </w:t>
      </w:r>
      <w:r w:rsidR="0049318C" w:rsidRPr="0049318C">
        <w:rPr>
          <w:lang w:val="en-GB"/>
        </w:rPr>
        <w:t>hospitali</w:t>
      </w:r>
      <w:r w:rsidR="00332441">
        <w:rPr>
          <w:lang w:val="en-GB"/>
        </w:rPr>
        <w:t>s</w:t>
      </w:r>
      <w:r w:rsidR="0049318C" w:rsidRPr="0049318C">
        <w:rPr>
          <w:lang w:val="en-GB"/>
        </w:rPr>
        <w:t xml:space="preserve">ed </w:t>
      </w:r>
      <w:r>
        <w:rPr>
          <w:lang w:val="en-GB"/>
        </w:rPr>
        <w:t>patients with COVID-19</w:t>
      </w:r>
      <w:r w:rsidR="0048684D">
        <w:rPr>
          <w:lang w:val="en-GB"/>
        </w:rPr>
        <w:t>,</w:t>
      </w:r>
      <w:r>
        <w:rPr>
          <w:lang w:val="en-GB"/>
        </w:rPr>
        <w:t xml:space="preserve"> we identify that persistent chest radiograph </w:t>
      </w:r>
      <w:r w:rsidR="00733691">
        <w:rPr>
          <w:lang w:val="en-GB"/>
        </w:rPr>
        <w:t>abnormality</w:t>
      </w:r>
      <w:r>
        <w:rPr>
          <w:lang w:val="en-GB"/>
        </w:rPr>
        <w:t xml:space="preserve"> was present in 32% of patients. </w:t>
      </w:r>
      <w:r w:rsidR="00BF69C2">
        <w:rPr>
          <w:lang w:val="en-GB"/>
        </w:rPr>
        <w:t xml:space="preserve">Serum LDH, </w:t>
      </w:r>
      <w:r w:rsidR="00D10815">
        <w:rPr>
          <w:lang w:val="en-GB"/>
        </w:rPr>
        <w:t>length of stay, obesity and current</w:t>
      </w:r>
      <w:r w:rsidR="0035317C">
        <w:rPr>
          <w:lang w:val="en-GB"/>
        </w:rPr>
        <w:t xml:space="preserve"> or </w:t>
      </w:r>
      <w:r w:rsidR="00D10815">
        <w:rPr>
          <w:lang w:val="en-GB"/>
        </w:rPr>
        <w:t xml:space="preserve">ex-smoking status were identified as  risk factors for </w:t>
      </w:r>
      <w:r w:rsidR="00A823A7" w:rsidRPr="00A823A7">
        <w:rPr>
          <w:lang w:val="en-GB"/>
        </w:rPr>
        <w:t>persistent</w:t>
      </w:r>
      <w:r w:rsidR="0049318C">
        <w:rPr>
          <w:lang w:val="en-GB"/>
        </w:rPr>
        <w:t xml:space="preserve"> </w:t>
      </w:r>
      <w:r w:rsidR="00D10815">
        <w:rPr>
          <w:lang w:val="en-GB"/>
        </w:rPr>
        <w:t xml:space="preserve">radiological abnormality. In </w:t>
      </w:r>
      <w:r w:rsidR="0035317C">
        <w:rPr>
          <w:lang w:val="en-GB"/>
        </w:rPr>
        <w:t>AU</w:t>
      </w:r>
      <w:r w:rsidR="00D10815">
        <w:rPr>
          <w:lang w:val="en-GB"/>
        </w:rPr>
        <w:t>ROC analysis a</w:t>
      </w:r>
      <w:r w:rsidR="0035317C">
        <w:rPr>
          <w:lang w:val="en-GB"/>
        </w:rPr>
        <w:t xml:space="preserve"> five point</w:t>
      </w:r>
      <w:r w:rsidR="00D10815">
        <w:rPr>
          <w:lang w:val="en-GB"/>
        </w:rPr>
        <w:t xml:space="preserve"> composit</w:t>
      </w:r>
      <w:r w:rsidR="0048684D">
        <w:rPr>
          <w:lang w:val="en-GB"/>
        </w:rPr>
        <w:t>e</w:t>
      </w:r>
      <w:r w:rsidR="00D10815">
        <w:rPr>
          <w:lang w:val="en-GB"/>
        </w:rPr>
        <w:t xml:space="preserve"> model strongly predicted </w:t>
      </w:r>
      <w:r w:rsidR="0049318C" w:rsidRPr="0049318C">
        <w:rPr>
          <w:lang w:val="en-GB"/>
        </w:rPr>
        <w:t>persistent</w:t>
      </w:r>
      <w:r w:rsidR="00D10815">
        <w:rPr>
          <w:lang w:val="en-GB"/>
        </w:rPr>
        <w:t xml:space="preserve"> chest-radiograph </w:t>
      </w:r>
      <w:r w:rsidR="0049318C" w:rsidRPr="0049318C">
        <w:rPr>
          <w:lang w:val="en-GB"/>
        </w:rPr>
        <w:t>abnormalities</w:t>
      </w:r>
      <w:r w:rsidR="006E069C">
        <w:rPr>
          <w:lang w:val="en-GB"/>
        </w:rPr>
        <w:t>. T</w:t>
      </w:r>
      <w:r w:rsidR="00D10815">
        <w:rPr>
          <w:lang w:val="en-GB"/>
        </w:rPr>
        <w:t xml:space="preserve">his </w:t>
      </w:r>
      <w:r w:rsidR="0035317C">
        <w:rPr>
          <w:lang w:val="en-GB"/>
        </w:rPr>
        <w:t xml:space="preserve">tool </w:t>
      </w:r>
      <w:r w:rsidR="00D10815">
        <w:rPr>
          <w:lang w:val="en-GB"/>
        </w:rPr>
        <w:t>could be used to</w:t>
      </w:r>
      <w:r w:rsidR="0049318C">
        <w:rPr>
          <w:lang w:val="en-GB"/>
        </w:rPr>
        <w:t xml:space="preserve"> </w:t>
      </w:r>
      <w:r w:rsidR="006E069C">
        <w:rPr>
          <w:lang w:val="en-GB"/>
        </w:rPr>
        <w:t xml:space="preserve">stratify patients at greatest need of </w:t>
      </w:r>
      <w:r w:rsidR="00D10815">
        <w:rPr>
          <w:lang w:val="en-GB"/>
        </w:rPr>
        <w:t>radiological follow-up</w:t>
      </w:r>
      <w:r w:rsidR="006E069C">
        <w:rPr>
          <w:lang w:val="en-GB"/>
        </w:rPr>
        <w:t xml:space="preserve"> and those in which </w:t>
      </w:r>
      <w:r w:rsidR="0067755A">
        <w:rPr>
          <w:lang w:val="en-GB"/>
        </w:rPr>
        <w:t xml:space="preserve">it </w:t>
      </w:r>
      <w:r w:rsidR="006E069C">
        <w:rPr>
          <w:lang w:val="en-GB"/>
        </w:rPr>
        <w:t>may not be required</w:t>
      </w:r>
      <w:r w:rsidR="00D10815">
        <w:rPr>
          <w:lang w:val="en-GB"/>
        </w:rPr>
        <w:t xml:space="preserve">. These observations require further </w:t>
      </w:r>
      <w:r w:rsidR="0035317C">
        <w:rPr>
          <w:lang w:val="en-GB"/>
        </w:rPr>
        <w:t xml:space="preserve">validation in a </w:t>
      </w:r>
      <w:r w:rsidR="0049318C" w:rsidRPr="0049318C">
        <w:rPr>
          <w:lang w:val="en-GB"/>
        </w:rPr>
        <w:t xml:space="preserve">dedicated </w:t>
      </w:r>
      <w:r w:rsidR="00D10815">
        <w:rPr>
          <w:lang w:val="en-GB"/>
        </w:rPr>
        <w:t xml:space="preserve">prospective </w:t>
      </w:r>
      <w:r w:rsidR="0035317C">
        <w:rPr>
          <w:lang w:val="en-GB"/>
        </w:rPr>
        <w:t>study.</w:t>
      </w:r>
    </w:p>
    <w:bookmarkEnd w:id="3"/>
    <w:p w14:paraId="5F9B9D3A" w14:textId="77777777" w:rsidR="0099292D" w:rsidRDefault="0099292D" w:rsidP="00332441">
      <w:pPr>
        <w:pStyle w:val="EndNoteBibliography"/>
        <w:spacing w:line="360" w:lineRule="auto"/>
        <w:jc w:val="both"/>
        <w:rPr>
          <w:lang w:val="en-GB"/>
        </w:rPr>
      </w:pPr>
    </w:p>
    <w:p w14:paraId="0772DE65" w14:textId="7EC38E9C" w:rsidR="00B556EC" w:rsidRDefault="00B556EC" w:rsidP="00B556EC">
      <w:pPr>
        <w:pStyle w:val="EndNoteBibliography"/>
        <w:jc w:val="both"/>
        <w:rPr>
          <w:lang w:val="en-GB"/>
        </w:rPr>
      </w:pPr>
    </w:p>
    <w:p w14:paraId="2F4301F7" w14:textId="61E9E9FB" w:rsidR="001F61CE" w:rsidRDefault="001F61CE" w:rsidP="00B556EC">
      <w:pPr>
        <w:pStyle w:val="EndNoteBibliography"/>
        <w:jc w:val="both"/>
        <w:rPr>
          <w:lang w:val="en-GB"/>
        </w:rPr>
      </w:pPr>
    </w:p>
    <w:p w14:paraId="65C238B8" w14:textId="2CD0DCC2" w:rsidR="001F61CE" w:rsidRDefault="001F61CE" w:rsidP="00B556EC">
      <w:pPr>
        <w:pStyle w:val="EndNoteBibliography"/>
        <w:jc w:val="both"/>
        <w:rPr>
          <w:lang w:val="en-GB"/>
        </w:rPr>
      </w:pPr>
    </w:p>
    <w:p w14:paraId="51FA5FC2" w14:textId="5AA99F67" w:rsidR="001F61CE" w:rsidRDefault="001F61CE" w:rsidP="00B556EC">
      <w:pPr>
        <w:pStyle w:val="EndNoteBibliography"/>
        <w:jc w:val="both"/>
        <w:rPr>
          <w:lang w:val="en-GB"/>
        </w:rPr>
      </w:pPr>
    </w:p>
    <w:p w14:paraId="38550836" w14:textId="7CC7C28D" w:rsidR="00D438D9" w:rsidRDefault="00D438D9" w:rsidP="00B556EC">
      <w:pPr>
        <w:pStyle w:val="EndNoteBibliography"/>
        <w:jc w:val="both"/>
        <w:rPr>
          <w:lang w:val="en-GB"/>
        </w:rPr>
      </w:pPr>
    </w:p>
    <w:p w14:paraId="167F86F9" w14:textId="7645E7AA" w:rsidR="00D438D9" w:rsidRDefault="00D438D9" w:rsidP="00B556EC">
      <w:pPr>
        <w:pStyle w:val="EndNoteBibliography"/>
        <w:jc w:val="both"/>
        <w:rPr>
          <w:lang w:val="en-GB"/>
        </w:rPr>
      </w:pPr>
    </w:p>
    <w:p w14:paraId="72D5663B" w14:textId="7FBFE0D6" w:rsidR="00D438D9" w:rsidRDefault="00D438D9" w:rsidP="00B556EC">
      <w:pPr>
        <w:pStyle w:val="EndNoteBibliography"/>
        <w:jc w:val="both"/>
        <w:rPr>
          <w:lang w:val="en-GB"/>
        </w:rPr>
      </w:pPr>
    </w:p>
    <w:p w14:paraId="7F21783C" w14:textId="420E97CC" w:rsidR="00D438D9" w:rsidRDefault="00D438D9" w:rsidP="00B556EC">
      <w:pPr>
        <w:pStyle w:val="EndNoteBibliography"/>
        <w:jc w:val="both"/>
        <w:rPr>
          <w:lang w:val="en-GB"/>
        </w:rPr>
      </w:pPr>
    </w:p>
    <w:p w14:paraId="44E24CA5" w14:textId="38A3201F" w:rsidR="00D438D9" w:rsidRDefault="00D438D9" w:rsidP="00B556EC">
      <w:pPr>
        <w:pStyle w:val="EndNoteBibliography"/>
        <w:jc w:val="both"/>
        <w:rPr>
          <w:lang w:val="en-GB"/>
        </w:rPr>
      </w:pPr>
    </w:p>
    <w:p w14:paraId="6514185B" w14:textId="4EF745C2" w:rsidR="00D438D9" w:rsidRDefault="00D438D9" w:rsidP="00B556EC">
      <w:pPr>
        <w:pStyle w:val="EndNoteBibliography"/>
        <w:jc w:val="both"/>
        <w:rPr>
          <w:lang w:val="en-GB"/>
        </w:rPr>
      </w:pPr>
    </w:p>
    <w:p w14:paraId="7F3BF020" w14:textId="02BC16E3" w:rsidR="00D438D9" w:rsidRDefault="00D438D9" w:rsidP="00B556EC">
      <w:pPr>
        <w:pStyle w:val="EndNoteBibliography"/>
        <w:jc w:val="both"/>
        <w:rPr>
          <w:lang w:val="en-GB"/>
        </w:rPr>
      </w:pPr>
    </w:p>
    <w:p w14:paraId="04C6C767" w14:textId="77777777" w:rsidR="0007230E" w:rsidRDefault="0007230E" w:rsidP="00B556EC">
      <w:pPr>
        <w:pStyle w:val="EndNoteBibliography"/>
        <w:jc w:val="both"/>
        <w:rPr>
          <w:lang w:val="en-GB"/>
        </w:rPr>
      </w:pPr>
    </w:p>
    <w:p w14:paraId="5BFD10C4" w14:textId="77777777" w:rsidR="008E63C8" w:rsidRDefault="008E63C8" w:rsidP="0070538D">
      <w:pPr>
        <w:pStyle w:val="EndNoteBibliography"/>
        <w:rPr>
          <w:lang w:val="en-GB"/>
        </w:rPr>
      </w:pPr>
    </w:p>
    <w:p w14:paraId="6A5FA32A" w14:textId="73653D8C" w:rsidR="0070538D" w:rsidRPr="00D438D9" w:rsidRDefault="001F61CE" w:rsidP="0070538D">
      <w:pPr>
        <w:pStyle w:val="EndNoteBibliography"/>
        <w:rPr>
          <w:b/>
          <w:bCs/>
          <w:i/>
          <w:iCs/>
          <w:lang w:val="en-GB"/>
        </w:rPr>
      </w:pPr>
      <w:r w:rsidRPr="00D438D9">
        <w:rPr>
          <w:b/>
          <w:bCs/>
          <w:i/>
          <w:iCs/>
          <w:lang w:val="en-GB"/>
        </w:rPr>
        <w:lastRenderedPageBreak/>
        <w:t>Tables</w:t>
      </w:r>
    </w:p>
    <w:p w14:paraId="285246EA" w14:textId="651CD1F5" w:rsidR="001F61CE" w:rsidRPr="001F61CE" w:rsidRDefault="001F61CE" w:rsidP="0070538D">
      <w:pPr>
        <w:pStyle w:val="EndNoteBibliography"/>
        <w:rPr>
          <w:b/>
          <w:bCs/>
          <w:lang w:val="en-GB"/>
        </w:rPr>
      </w:pPr>
      <w:r w:rsidRPr="001F61CE">
        <w:rPr>
          <w:b/>
          <w:bCs/>
          <w:lang w:val="en-GB"/>
        </w:rPr>
        <w:t>Table 1</w:t>
      </w:r>
    </w:p>
    <w:p w14:paraId="0E25C054" w14:textId="77777777" w:rsidR="001F61CE" w:rsidRDefault="001F61CE" w:rsidP="001F61CE">
      <w:pPr>
        <w:pStyle w:val="EndNoteBibliography"/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2005"/>
        <w:gridCol w:w="1823"/>
      </w:tblGrid>
      <w:tr w:rsidR="001F61CE" w14:paraId="79A4159C" w14:textId="77777777" w:rsidTr="0088452C">
        <w:tc>
          <w:tcPr>
            <w:tcW w:w="2263" w:type="dxa"/>
          </w:tcPr>
          <w:p w14:paraId="59501CA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Variable</w:t>
            </w:r>
          </w:p>
          <w:p w14:paraId="7167E6B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0BEA14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Whole Group (n=101)</w:t>
            </w:r>
          </w:p>
        </w:tc>
        <w:tc>
          <w:tcPr>
            <w:tcW w:w="1984" w:type="dxa"/>
          </w:tcPr>
          <w:p w14:paraId="761FE03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Complete Resolution  (n=69)</w:t>
            </w:r>
          </w:p>
        </w:tc>
        <w:tc>
          <w:tcPr>
            <w:tcW w:w="2005" w:type="dxa"/>
          </w:tcPr>
          <w:p w14:paraId="3FE8E3B0" w14:textId="0B6C24E6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 xml:space="preserve">Persistent CXR </w:t>
            </w:r>
            <w:r w:rsidR="007E31D5">
              <w:rPr>
                <w:sz w:val="20"/>
                <w:szCs w:val="20"/>
              </w:rPr>
              <w:t>A</w:t>
            </w:r>
            <w:r w:rsidRPr="00630D81">
              <w:rPr>
                <w:sz w:val="20"/>
                <w:szCs w:val="20"/>
              </w:rPr>
              <w:t>bnormality (n=32)</w:t>
            </w:r>
          </w:p>
        </w:tc>
        <w:tc>
          <w:tcPr>
            <w:tcW w:w="1823" w:type="dxa"/>
          </w:tcPr>
          <w:p w14:paraId="6473A4C9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p value</w:t>
            </w:r>
          </w:p>
          <w:p w14:paraId="4385A8A8" w14:textId="10B2AFB5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</w:p>
        </w:tc>
      </w:tr>
      <w:tr w:rsidR="001F61CE" w14:paraId="0C1439ED" w14:textId="77777777" w:rsidTr="0088452C">
        <w:tc>
          <w:tcPr>
            <w:tcW w:w="2263" w:type="dxa"/>
          </w:tcPr>
          <w:p w14:paraId="26DE070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Sex (male)</w:t>
            </w:r>
          </w:p>
        </w:tc>
        <w:tc>
          <w:tcPr>
            <w:tcW w:w="1418" w:type="dxa"/>
          </w:tcPr>
          <w:p w14:paraId="2EC11720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53.5% (n=54)</w:t>
            </w:r>
          </w:p>
        </w:tc>
        <w:tc>
          <w:tcPr>
            <w:tcW w:w="1984" w:type="dxa"/>
          </w:tcPr>
          <w:p w14:paraId="40A0F034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52.2% (n=36)</w:t>
            </w:r>
          </w:p>
        </w:tc>
        <w:tc>
          <w:tcPr>
            <w:tcW w:w="2005" w:type="dxa"/>
          </w:tcPr>
          <w:p w14:paraId="792BE2F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56.3% (n=18)</w:t>
            </w:r>
          </w:p>
        </w:tc>
        <w:tc>
          <w:tcPr>
            <w:tcW w:w="1823" w:type="dxa"/>
          </w:tcPr>
          <w:p w14:paraId="23AF0309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0.702</w:t>
            </w:r>
          </w:p>
        </w:tc>
      </w:tr>
      <w:tr w:rsidR="001F61CE" w14:paraId="505B33D2" w14:textId="77777777" w:rsidTr="0088452C">
        <w:tc>
          <w:tcPr>
            <w:tcW w:w="2263" w:type="dxa"/>
          </w:tcPr>
          <w:p w14:paraId="7EFF01C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Age (years)</w:t>
            </w:r>
          </w:p>
        </w:tc>
        <w:tc>
          <w:tcPr>
            <w:tcW w:w="1418" w:type="dxa"/>
          </w:tcPr>
          <w:p w14:paraId="17F4107A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53.0 (45-63)</w:t>
            </w:r>
          </w:p>
        </w:tc>
        <w:tc>
          <w:tcPr>
            <w:tcW w:w="1984" w:type="dxa"/>
          </w:tcPr>
          <w:p w14:paraId="0928E26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52.0 (42.5-62.5)</w:t>
            </w:r>
          </w:p>
        </w:tc>
        <w:tc>
          <w:tcPr>
            <w:tcW w:w="2005" w:type="dxa"/>
          </w:tcPr>
          <w:p w14:paraId="00833BBB" w14:textId="67C4269B" w:rsidR="001F61CE" w:rsidRPr="006C0CBF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C0CBF">
              <w:rPr>
                <w:sz w:val="20"/>
                <w:szCs w:val="20"/>
              </w:rPr>
              <w:t>57.0 (50.3-6</w:t>
            </w:r>
            <w:r w:rsidR="006C0CBF" w:rsidRPr="006C0CBF">
              <w:rPr>
                <w:sz w:val="20"/>
                <w:szCs w:val="20"/>
              </w:rPr>
              <w:t>3.8)</w:t>
            </w:r>
          </w:p>
        </w:tc>
        <w:tc>
          <w:tcPr>
            <w:tcW w:w="1823" w:type="dxa"/>
          </w:tcPr>
          <w:p w14:paraId="4597170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0.132</w:t>
            </w:r>
          </w:p>
        </w:tc>
      </w:tr>
      <w:tr w:rsidR="001F61CE" w14:paraId="79382B8B" w14:textId="77777777" w:rsidTr="0088452C">
        <w:tc>
          <w:tcPr>
            <w:tcW w:w="2263" w:type="dxa"/>
          </w:tcPr>
          <w:p w14:paraId="55DFE12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Length of Stay (days)</w:t>
            </w:r>
          </w:p>
        </w:tc>
        <w:tc>
          <w:tcPr>
            <w:tcW w:w="1418" w:type="dxa"/>
          </w:tcPr>
          <w:p w14:paraId="08CD2AD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9 days (5-17.5)</w:t>
            </w:r>
          </w:p>
        </w:tc>
        <w:tc>
          <w:tcPr>
            <w:tcW w:w="1984" w:type="dxa"/>
          </w:tcPr>
          <w:p w14:paraId="41F0A71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8.0 (3-10.5)</w:t>
            </w:r>
          </w:p>
        </w:tc>
        <w:tc>
          <w:tcPr>
            <w:tcW w:w="2005" w:type="dxa"/>
          </w:tcPr>
          <w:p w14:paraId="4846C6F1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20.5 (8.3-32.5)</w:t>
            </w:r>
          </w:p>
        </w:tc>
        <w:tc>
          <w:tcPr>
            <w:tcW w:w="1823" w:type="dxa"/>
          </w:tcPr>
          <w:p w14:paraId="5E4ADE1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0.001**</w:t>
            </w:r>
          </w:p>
        </w:tc>
      </w:tr>
      <w:tr w:rsidR="001F61CE" w14:paraId="7B406502" w14:textId="77777777" w:rsidTr="0088452C">
        <w:tc>
          <w:tcPr>
            <w:tcW w:w="2263" w:type="dxa"/>
          </w:tcPr>
          <w:p w14:paraId="7AEB5CF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Follow-up CXR interval (days)</w:t>
            </w:r>
          </w:p>
        </w:tc>
        <w:tc>
          <w:tcPr>
            <w:tcW w:w="1418" w:type="dxa"/>
          </w:tcPr>
          <w:p w14:paraId="325B72E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82 (77-86)</w:t>
            </w:r>
          </w:p>
        </w:tc>
        <w:tc>
          <w:tcPr>
            <w:tcW w:w="1984" w:type="dxa"/>
          </w:tcPr>
          <w:p w14:paraId="7953369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83.0 (76.0-90.0)</w:t>
            </w:r>
          </w:p>
        </w:tc>
        <w:tc>
          <w:tcPr>
            <w:tcW w:w="2005" w:type="dxa"/>
          </w:tcPr>
          <w:p w14:paraId="08634888" w14:textId="0901C596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81.5 (65</w:t>
            </w:r>
            <w:r w:rsidR="0055627C">
              <w:rPr>
                <w:sz w:val="20"/>
                <w:szCs w:val="20"/>
              </w:rPr>
              <w:t xml:space="preserve"> - </w:t>
            </w:r>
            <w:r w:rsidRPr="00630D81">
              <w:rPr>
                <w:sz w:val="20"/>
                <w:szCs w:val="20"/>
              </w:rPr>
              <w:t>87.5)</w:t>
            </w:r>
          </w:p>
        </w:tc>
        <w:tc>
          <w:tcPr>
            <w:tcW w:w="1823" w:type="dxa"/>
          </w:tcPr>
          <w:p w14:paraId="63E24A11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0.371</w:t>
            </w:r>
          </w:p>
        </w:tc>
      </w:tr>
      <w:tr w:rsidR="001F61CE" w14:paraId="23FCF40F" w14:textId="77777777" w:rsidTr="0088452C">
        <w:tc>
          <w:tcPr>
            <w:tcW w:w="2263" w:type="dxa"/>
          </w:tcPr>
          <w:p w14:paraId="7070011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Admission to follow-up interval (days)</w:t>
            </w:r>
          </w:p>
        </w:tc>
        <w:tc>
          <w:tcPr>
            <w:tcW w:w="1418" w:type="dxa"/>
          </w:tcPr>
          <w:p w14:paraId="13E61FC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96 (94-98)</w:t>
            </w:r>
          </w:p>
        </w:tc>
        <w:tc>
          <w:tcPr>
            <w:tcW w:w="1984" w:type="dxa"/>
          </w:tcPr>
          <w:p w14:paraId="7E5DE21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97.0 (94-112.5)</w:t>
            </w:r>
          </w:p>
        </w:tc>
        <w:tc>
          <w:tcPr>
            <w:tcW w:w="2005" w:type="dxa"/>
          </w:tcPr>
          <w:p w14:paraId="72B7938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110.5 (95.2-126.0)</w:t>
            </w:r>
          </w:p>
        </w:tc>
        <w:tc>
          <w:tcPr>
            <w:tcW w:w="1823" w:type="dxa"/>
          </w:tcPr>
          <w:p w14:paraId="07A36F99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0.107</w:t>
            </w:r>
          </w:p>
        </w:tc>
      </w:tr>
      <w:tr w:rsidR="001F61CE" w14:paraId="759E0DB5" w14:textId="77777777" w:rsidTr="0088452C">
        <w:tc>
          <w:tcPr>
            <w:tcW w:w="2263" w:type="dxa"/>
          </w:tcPr>
          <w:p w14:paraId="3A2BB51F" w14:textId="2405C2A4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Level 2</w:t>
            </w:r>
            <w:r w:rsidR="0055627C">
              <w:rPr>
                <w:sz w:val="20"/>
                <w:szCs w:val="20"/>
              </w:rPr>
              <w:t xml:space="preserve"> </w:t>
            </w:r>
            <w:r w:rsidRPr="00630D81">
              <w:rPr>
                <w:sz w:val="20"/>
                <w:szCs w:val="20"/>
              </w:rPr>
              <w:t>or 3 Care</w:t>
            </w:r>
          </w:p>
        </w:tc>
        <w:tc>
          <w:tcPr>
            <w:tcW w:w="1418" w:type="dxa"/>
          </w:tcPr>
          <w:p w14:paraId="39D03FA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48.5% (n=49)</w:t>
            </w:r>
          </w:p>
        </w:tc>
        <w:tc>
          <w:tcPr>
            <w:tcW w:w="1984" w:type="dxa"/>
          </w:tcPr>
          <w:p w14:paraId="0526B7E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39.1% (n=27)</w:t>
            </w:r>
          </w:p>
        </w:tc>
        <w:tc>
          <w:tcPr>
            <w:tcW w:w="2005" w:type="dxa"/>
          </w:tcPr>
          <w:p w14:paraId="396997F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68.8% (n=22)</w:t>
            </w:r>
          </w:p>
        </w:tc>
        <w:tc>
          <w:tcPr>
            <w:tcW w:w="1823" w:type="dxa"/>
          </w:tcPr>
          <w:p w14:paraId="22F6EAE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0.006**</w:t>
            </w:r>
          </w:p>
        </w:tc>
      </w:tr>
      <w:tr w:rsidR="001F61CE" w14:paraId="7A222D76" w14:textId="77777777" w:rsidTr="0088452C">
        <w:tc>
          <w:tcPr>
            <w:tcW w:w="2263" w:type="dxa"/>
          </w:tcPr>
          <w:p w14:paraId="4B80D3A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IMV</w:t>
            </w:r>
          </w:p>
        </w:tc>
        <w:tc>
          <w:tcPr>
            <w:tcW w:w="1418" w:type="dxa"/>
          </w:tcPr>
          <w:p w14:paraId="2843E9D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29.7% (n=30)</w:t>
            </w:r>
          </w:p>
        </w:tc>
        <w:tc>
          <w:tcPr>
            <w:tcW w:w="1984" w:type="dxa"/>
          </w:tcPr>
          <w:p w14:paraId="506F6800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21.7% (n=15)</w:t>
            </w:r>
          </w:p>
        </w:tc>
        <w:tc>
          <w:tcPr>
            <w:tcW w:w="2005" w:type="dxa"/>
          </w:tcPr>
          <w:p w14:paraId="5CF5A1F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46.9% (n=15)</w:t>
            </w:r>
          </w:p>
        </w:tc>
        <w:tc>
          <w:tcPr>
            <w:tcW w:w="1823" w:type="dxa"/>
          </w:tcPr>
          <w:p w14:paraId="5654468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0.010*</w:t>
            </w:r>
          </w:p>
        </w:tc>
      </w:tr>
      <w:tr w:rsidR="001F61CE" w14:paraId="2FD04ED8" w14:textId="77777777" w:rsidTr="0088452C">
        <w:tc>
          <w:tcPr>
            <w:tcW w:w="2263" w:type="dxa"/>
          </w:tcPr>
          <w:p w14:paraId="0C36FD3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CPAP/NIV</w:t>
            </w:r>
          </w:p>
        </w:tc>
        <w:tc>
          <w:tcPr>
            <w:tcW w:w="1418" w:type="dxa"/>
          </w:tcPr>
          <w:p w14:paraId="349C9F1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18.8% (n=19)</w:t>
            </w:r>
          </w:p>
        </w:tc>
        <w:tc>
          <w:tcPr>
            <w:tcW w:w="1984" w:type="dxa"/>
          </w:tcPr>
          <w:p w14:paraId="7790F299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17.4% (n=12)</w:t>
            </w:r>
          </w:p>
        </w:tc>
        <w:tc>
          <w:tcPr>
            <w:tcW w:w="2005" w:type="dxa"/>
          </w:tcPr>
          <w:p w14:paraId="0EB7DA5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21.9% (n=7)</w:t>
            </w:r>
          </w:p>
        </w:tc>
        <w:tc>
          <w:tcPr>
            <w:tcW w:w="1823" w:type="dxa"/>
          </w:tcPr>
          <w:p w14:paraId="3E3FC75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0.592</w:t>
            </w:r>
          </w:p>
        </w:tc>
      </w:tr>
      <w:tr w:rsidR="001F61CE" w14:paraId="310243E3" w14:textId="77777777" w:rsidTr="0088452C">
        <w:tc>
          <w:tcPr>
            <w:tcW w:w="2263" w:type="dxa"/>
          </w:tcPr>
          <w:p w14:paraId="656D8B4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ECMO</w:t>
            </w:r>
          </w:p>
        </w:tc>
        <w:tc>
          <w:tcPr>
            <w:tcW w:w="1418" w:type="dxa"/>
          </w:tcPr>
          <w:p w14:paraId="3686438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3.0%  (n=3)</w:t>
            </w:r>
          </w:p>
        </w:tc>
        <w:tc>
          <w:tcPr>
            <w:tcW w:w="1984" w:type="dxa"/>
          </w:tcPr>
          <w:p w14:paraId="57DA1046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1.4% (n=1)</w:t>
            </w:r>
          </w:p>
        </w:tc>
        <w:tc>
          <w:tcPr>
            <w:tcW w:w="2005" w:type="dxa"/>
          </w:tcPr>
          <w:p w14:paraId="63AF3308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6.3% (n=2)</w:t>
            </w:r>
          </w:p>
        </w:tc>
        <w:tc>
          <w:tcPr>
            <w:tcW w:w="1823" w:type="dxa"/>
          </w:tcPr>
          <w:p w14:paraId="53459F6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0.235</w:t>
            </w:r>
          </w:p>
        </w:tc>
      </w:tr>
      <w:tr w:rsidR="001F61CE" w14:paraId="5B4A9D14" w14:textId="77777777" w:rsidTr="0088452C">
        <w:tc>
          <w:tcPr>
            <w:tcW w:w="2263" w:type="dxa"/>
          </w:tcPr>
          <w:p w14:paraId="3EF317C8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Oxygen or higher respiratory support</w:t>
            </w:r>
          </w:p>
        </w:tc>
        <w:tc>
          <w:tcPr>
            <w:tcW w:w="1418" w:type="dxa"/>
          </w:tcPr>
          <w:p w14:paraId="0EE435F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83% (n=84)</w:t>
            </w:r>
          </w:p>
        </w:tc>
        <w:tc>
          <w:tcPr>
            <w:tcW w:w="1984" w:type="dxa"/>
          </w:tcPr>
          <w:p w14:paraId="63F70431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81.2% (n=56)</w:t>
            </w:r>
          </w:p>
        </w:tc>
        <w:tc>
          <w:tcPr>
            <w:tcW w:w="2005" w:type="dxa"/>
          </w:tcPr>
          <w:p w14:paraId="1668C63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87.5% (n=28)</w:t>
            </w:r>
          </w:p>
        </w:tc>
        <w:tc>
          <w:tcPr>
            <w:tcW w:w="1823" w:type="dxa"/>
          </w:tcPr>
          <w:p w14:paraId="4C89BDF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0.428</w:t>
            </w:r>
          </w:p>
        </w:tc>
      </w:tr>
      <w:tr w:rsidR="001F61CE" w14:paraId="297BCA9F" w14:textId="77777777" w:rsidTr="0088452C">
        <w:tc>
          <w:tcPr>
            <w:tcW w:w="2263" w:type="dxa"/>
          </w:tcPr>
          <w:p w14:paraId="5878E001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BAME</w:t>
            </w:r>
          </w:p>
        </w:tc>
        <w:tc>
          <w:tcPr>
            <w:tcW w:w="1418" w:type="dxa"/>
          </w:tcPr>
          <w:p w14:paraId="30367B1A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35% (n=35)</w:t>
            </w:r>
          </w:p>
        </w:tc>
        <w:tc>
          <w:tcPr>
            <w:tcW w:w="1984" w:type="dxa"/>
          </w:tcPr>
          <w:p w14:paraId="351D6E2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34.8% (n=24)</w:t>
            </w:r>
          </w:p>
        </w:tc>
        <w:tc>
          <w:tcPr>
            <w:tcW w:w="2005" w:type="dxa"/>
          </w:tcPr>
          <w:p w14:paraId="4516F87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34.4% (n=11)</w:t>
            </w:r>
          </w:p>
        </w:tc>
        <w:tc>
          <w:tcPr>
            <w:tcW w:w="1823" w:type="dxa"/>
          </w:tcPr>
          <w:p w14:paraId="1D463569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0.985</w:t>
            </w:r>
          </w:p>
        </w:tc>
      </w:tr>
      <w:tr w:rsidR="001F61CE" w14:paraId="0423ED60" w14:textId="77777777" w:rsidTr="0088452C">
        <w:tc>
          <w:tcPr>
            <w:tcW w:w="2263" w:type="dxa"/>
          </w:tcPr>
          <w:p w14:paraId="0D190890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Obesity (BMI&gt;30 kg/m</w:t>
            </w:r>
            <w:r w:rsidRPr="00630D81">
              <w:rPr>
                <w:sz w:val="20"/>
                <w:szCs w:val="20"/>
                <w:vertAlign w:val="superscript"/>
              </w:rPr>
              <w:t>2</w:t>
            </w:r>
            <w:r w:rsidRPr="00630D8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46A24C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28% (n=28)</w:t>
            </w:r>
          </w:p>
        </w:tc>
        <w:tc>
          <w:tcPr>
            <w:tcW w:w="1984" w:type="dxa"/>
          </w:tcPr>
          <w:p w14:paraId="47119D11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23.2% (n=16)</w:t>
            </w:r>
          </w:p>
        </w:tc>
        <w:tc>
          <w:tcPr>
            <w:tcW w:w="2005" w:type="dxa"/>
          </w:tcPr>
          <w:p w14:paraId="09C3668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34.4% (n=11)</w:t>
            </w:r>
          </w:p>
        </w:tc>
        <w:tc>
          <w:tcPr>
            <w:tcW w:w="1823" w:type="dxa"/>
          </w:tcPr>
          <w:p w14:paraId="2841ECBE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0.237</w:t>
            </w:r>
          </w:p>
        </w:tc>
      </w:tr>
      <w:tr w:rsidR="001F61CE" w14:paraId="519FE702" w14:textId="77777777" w:rsidTr="0088452C">
        <w:tc>
          <w:tcPr>
            <w:tcW w:w="2263" w:type="dxa"/>
          </w:tcPr>
          <w:p w14:paraId="71561FC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Hypertension</w:t>
            </w:r>
          </w:p>
        </w:tc>
        <w:tc>
          <w:tcPr>
            <w:tcW w:w="1418" w:type="dxa"/>
          </w:tcPr>
          <w:p w14:paraId="100D7C4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36% (n=36)</w:t>
            </w:r>
          </w:p>
        </w:tc>
        <w:tc>
          <w:tcPr>
            <w:tcW w:w="1984" w:type="dxa"/>
          </w:tcPr>
          <w:p w14:paraId="7065236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31.9% (n=22)</w:t>
            </w:r>
          </w:p>
        </w:tc>
        <w:tc>
          <w:tcPr>
            <w:tcW w:w="2005" w:type="dxa"/>
          </w:tcPr>
          <w:p w14:paraId="730D0DE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43.8% (n=14)</w:t>
            </w:r>
          </w:p>
        </w:tc>
        <w:tc>
          <w:tcPr>
            <w:tcW w:w="1823" w:type="dxa"/>
          </w:tcPr>
          <w:p w14:paraId="56DC045A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0.247</w:t>
            </w:r>
          </w:p>
        </w:tc>
      </w:tr>
      <w:tr w:rsidR="001F61CE" w14:paraId="1443AA86" w14:textId="77777777" w:rsidTr="0088452C">
        <w:tc>
          <w:tcPr>
            <w:tcW w:w="2263" w:type="dxa"/>
          </w:tcPr>
          <w:p w14:paraId="6E6BC780" w14:textId="77777777" w:rsidR="001F61CE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Diabetes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lang w:val="en-GB"/>
              </w:rPr>
              <w:t>Melitus</w:t>
            </w:r>
            <w:r>
              <w:rPr>
                <w:sz w:val="20"/>
                <w:szCs w:val="20"/>
              </w:rPr>
              <w:t xml:space="preserve"> </w:t>
            </w:r>
          </w:p>
          <w:p w14:paraId="7E6E0A4B" w14:textId="488D43B8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types)</w:t>
            </w:r>
          </w:p>
        </w:tc>
        <w:tc>
          <w:tcPr>
            <w:tcW w:w="1418" w:type="dxa"/>
          </w:tcPr>
          <w:p w14:paraId="5E8DE5E4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18% (n=19)</w:t>
            </w:r>
          </w:p>
        </w:tc>
        <w:tc>
          <w:tcPr>
            <w:tcW w:w="1984" w:type="dxa"/>
          </w:tcPr>
          <w:p w14:paraId="04B94568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17.4% (n=12)</w:t>
            </w:r>
          </w:p>
        </w:tc>
        <w:tc>
          <w:tcPr>
            <w:tcW w:w="2005" w:type="dxa"/>
          </w:tcPr>
          <w:p w14:paraId="52A857A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21.9% (n=7)</w:t>
            </w:r>
          </w:p>
        </w:tc>
        <w:tc>
          <w:tcPr>
            <w:tcW w:w="1823" w:type="dxa"/>
          </w:tcPr>
          <w:p w14:paraId="1F36CC2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0.592</w:t>
            </w:r>
          </w:p>
        </w:tc>
      </w:tr>
      <w:tr w:rsidR="001F61CE" w14:paraId="30F8E841" w14:textId="77777777" w:rsidTr="0088452C">
        <w:tc>
          <w:tcPr>
            <w:tcW w:w="2263" w:type="dxa"/>
          </w:tcPr>
          <w:p w14:paraId="02F197C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Asthma</w:t>
            </w:r>
          </w:p>
        </w:tc>
        <w:tc>
          <w:tcPr>
            <w:tcW w:w="1418" w:type="dxa"/>
          </w:tcPr>
          <w:p w14:paraId="09591AAB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15% (n=15)</w:t>
            </w:r>
          </w:p>
        </w:tc>
        <w:tc>
          <w:tcPr>
            <w:tcW w:w="1984" w:type="dxa"/>
          </w:tcPr>
          <w:p w14:paraId="3A60D66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13% (n=9)</w:t>
            </w:r>
          </w:p>
        </w:tc>
        <w:tc>
          <w:tcPr>
            <w:tcW w:w="2005" w:type="dxa"/>
          </w:tcPr>
          <w:p w14:paraId="300D4A48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18.8% (n=6)</w:t>
            </w:r>
          </w:p>
        </w:tc>
        <w:tc>
          <w:tcPr>
            <w:tcW w:w="1823" w:type="dxa"/>
          </w:tcPr>
          <w:p w14:paraId="08E76ACD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0.549</w:t>
            </w:r>
          </w:p>
        </w:tc>
      </w:tr>
      <w:tr w:rsidR="001F61CE" w14:paraId="6E8DA93C" w14:textId="77777777" w:rsidTr="0088452C">
        <w:tc>
          <w:tcPr>
            <w:tcW w:w="2263" w:type="dxa"/>
          </w:tcPr>
          <w:p w14:paraId="57F2DEC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COPD</w:t>
            </w:r>
          </w:p>
        </w:tc>
        <w:tc>
          <w:tcPr>
            <w:tcW w:w="1418" w:type="dxa"/>
          </w:tcPr>
          <w:p w14:paraId="1B5957FB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 (n=2)</w:t>
            </w:r>
          </w:p>
        </w:tc>
        <w:tc>
          <w:tcPr>
            <w:tcW w:w="1984" w:type="dxa"/>
          </w:tcPr>
          <w:p w14:paraId="4D90E9E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(n=0)</w:t>
            </w:r>
          </w:p>
        </w:tc>
        <w:tc>
          <w:tcPr>
            <w:tcW w:w="2005" w:type="dxa"/>
          </w:tcPr>
          <w:p w14:paraId="4B6B670A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(n=2)</w:t>
            </w:r>
          </w:p>
        </w:tc>
        <w:tc>
          <w:tcPr>
            <w:tcW w:w="1823" w:type="dxa"/>
          </w:tcPr>
          <w:p w14:paraId="725CD614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0.098</w:t>
            </w:r>
          </w:p>
        </w:tc>
      </w:tr>
      <w:tr w:rsidR="001F61CE" w14:paraId="301B5969" w14:textId="77777777" w:rsidTr="0088452C">
        <w:tc>
          <w:tcPr>
            <w:tcW w:w="2263" w:type="dxa"/>
          </w:tcPr>
          <w:p w14:paraId="4BA2594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Ischaemic Heart Disease</w:t>
            </w:r>
          </w:p>
        </w:tc>
        <w:tc>
          <w:tcPr>
            <w:tcW w:w="1418" w:type="dxa"/>
          </w:tcPr>
          <w:p w14:paraId="2E47198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8% (n=8)</w:t>
            </w:r>
          </w:p>
        </w:tc>
        <w:tc>
          <w:tcPr>
            <w:tcW w:w="1984" w:type="dxa"/>
          </w:tcPr>
          <w:p w14:paraId="78AC61F5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5.8% (n=4)</w:t>
            </w:r>
          </w:p>
        </w:tc>
        <w:tc>
          <w:tcPr>
            <w:tcW w:w="2005" w:type="dxa"/>
          </w:tcPr>
          <w:p w14:paraId="0836DA2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12.5% (n=4)</w:t>
            </w:r>
          </w:p>
        </w:tc>
        <w:tc>
          <w:tcPr>
            <w:tcW w:w="1823" w:type="dxa"/>
          </w:tcPr>
          <w:p w14:paraId="3B5B1402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0.259</w:t>
            </w:r>
          </w:p>
        </w:tc>
      </w:tr>
      <w:tr w:rsidR="001F61CE" w14:paraId="74DB5D08" w14:textId="77777777" w:rsidTr="0088452C">
        <w:tc>
          <w:tcPr>
            <w:tcW w:w="2263" w:type="dxa"/>
          </w:tcPr>
          <w:p w14:paraId="2441CBF7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Current or Ex-smoker</w:t>
            </w:r>
          </w:p>
        </w:tc>
        <w:tc>
          <w:tcPr>
            <w:tcW w:w="1418" w:type="dxa"/>
          </w:tcPr>
          <w:p w14:paraId="0B3A8CC3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35% (n=35)</w:t>
            </w:r>
          </w:p>
        </w:tc>
        <w:tc>
          <w:tcPr>
            <w:tcW w:w="1984" w:type="dxa"/>
          </w:tcPr>
          <w:p w14:paraId="6036D9FF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24% (n=16)</w:t>
            </w:r>
          </w:p>
        </w:tc>
        <w:tc>
          <w:tcPr>
            <w:tcW w:w="2005" w:type="dxa"/>
          </w:tcPr>
          <w:p w14:paraId="3355FE94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56% (n=19)</w:t>
            </w:r>
          </w:p>
        </w:tc>
        <w:tc>
          <w:tcPr>
            <w:tcW w:w="1823" w:type="dxa"/>
          </w:tcPr>
          <w:p w14:paraId="05143FAC" w14:textId="77777777" w:rsidR="001F61CE" w:rsidRPr="00630D81" w:rsidRDefault="001F61CE" w:rsidP="0088452C">
            <w:pPr>
              <w:pStyle w:val="EndNoteBibliography"/>
              <w:rPr>
                <w:sz w:val="20"/>
                <w:szCs w:val="20"/>
              </w:rPr>
            </w:pPr>
            <w:r w:rsidRPr="00630D81">
              <w:rPr>
                <w:sz w:val="20"/>
                <w:szCs w:val="20"/>
              </w:rPr>
              <w:t>0.002**</w:t>
            </w:r>
          </w:p>
        </w:tc>
      </w:tr>
    </w:tbl>
    <w:p w14:paraId="1E8CFAE9" w14:textId="70AD3C1F" w:rsidR="001F61CE" w:rsidRPr="001F61CE" w:rsidRDefault="001F61CE" w:rsidP="001F61CE">
      <w:pPr>
        <w:pStyle w:val="EndNoteBibliography"/>
        <w:jc w:val="both"/>
        <w:rPr>
          <w:b/>
          <w:bCs/>
          <w:sz w:val="20"/>
          <w:szCs w:val="20"/>
          <w:lang w:val="en-GB"/>
        </w:rPr>
      </w:pPr>
      <w:r w:rsidRPr="00630D81">
        <w:rPr>
          <w:b/>
          <w:bCs/>
          <w:sz w:val="20"/>
          <w:szCs w:val="20"/>
        </w:rPr>
        <w:t>Table 1</w:t>
      </w:r>
      <w:r w:rsidRPr="00630D81">
        <w:rPr>
          <w:sz w:val="20"/>
          <w:szCs w:val="20"/>
        </w:rPr>
        <w:t xml:space="preserve"> Cohort baseline </w:t>
      </w:r>
      <w:r w:rsidR="00192D08" w:rsidRPr="00192D08">
        <w:rPr>
          <w:sz w:val="20"/>
          <w:szCs w:val="20"/>
        </w:rPr>
        <w:t xml:space="preserve">characteristics </w:t>
      </w:r>
      <w:r>
        <w:rPr>
          <w:sz w:val="20"/>
          <w:szCs w:val="20"/>
        </w:rPr>
        <w:t xml:space="preserve">for </w:t>
      </w:r>
      <w:r w:rsidR="00192D08">
        <w:rPr>
          <w:sz w:val="20"/>
          <w:szCs w:val="20"/>
        </w:rPr>
        <w:t xml:space="preserve">the </w:t>
      </w:r>
      <w:r>
        <w:rPr>
          <w:sz w:val="20"/>
          <w:szCs w:val="20"/>
        </w:rPr>
        <w:t>whole group (n=101) and comparing those with complete Chest radiograph resolution (n=69) versus those with persistent abnormality (n=32)</w:t>
      </w:r>
      <w:r w:rsidRPr="00630D81">
        <w:rPr>
          <w:sz w:val="20"/>
          <w:szCs w:val="20"/>
        </w:rPr>
        <w:t xml:space="preserve">. Values presented as Median (Interquartile range) for </w:t>
      </w:r>
      <w:r w:rsidR="00192D08" w:rsidRPr="00192D08">
        <w:rPr>
          <w:sz w:val="20"/>
          <w:szCs w:val="20"/>
        </w:rPr>
        <w:t xml:space="preserve">continuous </w:t>
      </w:r>
      <w:r w:rsidRPr="00630D81">
        <w:rPr>
          <w:sz w:val="20"/>
          <w:szCs w:val="20"/>
        </w:rPr>
        <w:t>variable</w:t>
      </w:r>
      <w:r>
        <w:rPr>
          <w:sz w:val="20"/>
          <w:szCs w:val="20"/>
        </w:rPr>
        <w:t>s</w:t>
      </w:r>
      <w:r w:rsidR="0055627C">
        <w:rPr>
          <w:sz w:val="20"/>
          <w:szCs w:val="20"/>
        </w:rPr>
        <w:t xml:space="preserve"> and percentage</w:t>
      </w:r>
      <w:r w:rsidR="006C0CBF">
        <w:rPr>
          <w:sz w:val="20"/>
          <w:szCs w:val="20"/>
        </w:rPr>
        <w:t xml:space="preserve"> (n) for categorical variables</w:t>
      </w:r>
      <w:r>
        <w:rPr>
          <w:sz w:val="20"/>
          <w:szCs w:val="20"/>
        </w:rPr>
        <w:t xml:space="preserve">. CXR-chest radiograph, Level 2 - High Dependancy </w:t>
      </w:r>
      <w:r w:rsidR="006C0CBF">
        <w:rPr>
          <w:sz w:val="20"/>
          <w:szCs w:val="20"/>
        </w:rPr>
        <w:t>Facility</w:t>
      </w:r>
      <w:r>
        <w:rPr>
          <w:sz w:val="20"/>
          <w:szCs w:val="20"/>
        </w:rPr>
        <w:t>, Level 3-Intensive Care Facility, IMV- Invasive mechanical ventilation, CPAP-continous pos</w:t>
      </w:r>
      <w:r w:rsidR="00192D08">
        <w:rPr>
          <w:sz w:val="20"/>
          <w:szCs w:val="20"/>
        </w:rPr>
        <w:t>i</w:t>
      </w:r>
      <w:r>
        <w:rPr>
          <w:sz w:val="20"/>
          <w:szCs w:val="20"/>
        </w:rPr>
        <w:t>tive pressure ventilation, NIV – non invasive ventilation</w:t>
      </w:r>
      <w:r w:rsidRPr="00630D81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</w:t>
      </w:r>
      <w:r w:rsidR="007E31D5">
        <w:rPr>
          <w:sz w:val="20"/>
          <w:szCs w:val="20"/>
          <w:lang w:val="en-GB"/>
        </w:rPr>
        <w:t xml:space="preserve">ECMO- </w:t>
      </w:r>
      <w:r w:rsidR="007E31D5" w:rsidRPr="007E31D5">
        <w:rPr>
          <w:sz w:val="20"/>
          <w:szCs w:val="20"/>
          <w:lang w:val="en-GB"/>
        </w:rPr>
        <w:t>Extracorporeal membrane oxygenation</w:t>
      </w:r>
      <w:r w:rsidR="007E31D5">
        <w:rPr>
          <w:sz w:val="20"/>
          <w:szCs w:val="20"/>
          <w:lang w:val="en-GB"/>
        </w:rPr>
        <w:t>,</w:t>
      </w:r>
      <w:r w:rsidR="007E31D5" w:rsidRPr="007E31D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COPD</w:t>
      </w:r>
      <w:r w:rsidR="007E31D5">
        <w:rPr>
          <w:sz w:val="20"/>
          <w:szCs w:val="20"/>
          <w:lang w:val="en-GB"/>
        </w:rPr>
        <w:t>- Chronic obstructive pulmonary disease,</w:t>
      </w:r>
      <w:r w:rsidRPr="00630D81">
        <w:rPr>
          <w:sz w:val="20"/>
          <w:szCs w:val="20"/>
          <w:lang w:val="en-GB"/>
        </w:rPr>
        <w:t xml:space="preserve"> BAME =  Black, Asian and Minority Ethnic. BMI body mass index </w:t>
      </w:r>
      <w:r w:rsidR="007E31D5">
        <w:rPr>
          <w:sz w:val="20"/>
          <w:szCs w:val="20"/>
          <w:lang w:val="en-GB"/>
        </w:rPr>
        <w:t>(</w:t>
      </w:r>
      <w:r w:rsidRPr="00630D81">
        <w:rPr>
          <w:sz w:val="20"/>
          <w:szCs w:val="20"/>
          <w:lang w:val="en-GB"/>
        </w:rPr>
        <w:t>kg</w:t>
      </w:r>
      <w:r>
        <w:rPr>
          <w:sz w:val="20"/>
          <w:szCs w:val="20"/>
          <w:lang w:val="en-GB"/>
        </w:rPr>
        <w:t>/m</w:t>
      </w:r>
      <w:r>
        <w:rPr>
          <w:sz w:val="20"/>
          <w:szCs w:val="20"/>
          <w:vertAlign w:val="superscript"/>
          <w:lang w:val="en-GB"/>
        </w:rPr>
        <w:t>2</w:t>
      </w:r>
      <w:r w:rsidR="007E31D5">
        <w:rPr>
          <w:sz w:val="20"/>
          <w:szCs w:val="20"/>
          <w:lang w:val="en-GB"/>
        </w:rPr>
        <w:t>).</w:t>
      </w:r>
      <w:r>
        <w:rPr>
          <w:sz w:val="20"/>
          <w:szCs w:val="20"/>
          <w:lang w:val="en-GB"/>
        </w:rPr>
        <w:t xml:space="preserve"> * p&lt;0.05 **p&lt;0.01</w:t>
      </w:r>
      <w:r w:rsidR="00192D08">
        <w:rPr>
          <w:sz w:val="20"/>
          <w:szCs w:val="20"/>
          <w:lang w:val="en-GB"/>
        </w:rPr>
        <w:t>.C</w:t>
      </w:r>
      <w:r w:rsidR="007E31D5">
        <w:rPr>
          <w:sz w:val="20"/>
          <w:szCs w:val="20"/>
          <w:lang w:val="en-GB"/>
        </w:rPr>
        <w:t xml:space="preserve">omparison of </w:t>
      </w:r>
      <w:r w:rsidR="00192D08">
        <w:rPr>
          <w:sz w:val="20"/>
          <w:szCs w:val="20"/>
          <w:lang w:val="en-GB"/>
        </w:rPr>
        <w:t xml:space="preserve">data for </w:t>
      </w:r>
      <w:r w:rsidR="007E31D5">
        <w:rPr>
          <w:sz w:val="20"/>
          <w:szCs w:val="20"/>
          <w:lang w:val="en-GB"/>
        </w:rPr>
        <w:t xml:space="preserve">complete resolution versus persistent CXR abnormality </w:t>
      </w:r>
      <w:r w:rsidR="00192D08">
        <w:rPr>
          <w:sz w:val="20"/>
          <w:szCs w:val="20"/>
          <w:lang w:val="en-GB"/>
        </w:rPr>
        <w:t xml:space="preserve">assessed </w:t>
      </w:r>
      <w:r w:rsidR="007E31D5">
        <w:rPr>
          <w:sz w:val="20"/>
          <w:szCs w:val="20"/>
          <w:lang w:val="en-GB"/>
        </w:rPr>
        <w:t>using the Mann-Whitney U Test.</w:t>
      </w:r>
    </w:p>
    <w:p w14:paraId="4DB88DB1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18593645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4C498368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5B419501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1A969D60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69941E5D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670E5598" w14:textId="7B374B8A" w:rsidR="00BC07EE" w:rsidRDefault="00BC07EE" w:rsidP="0070538D">
      <w:pPr>
        <w:pStyle w:val="EndNoteBibliography"/>
        <w:rPr>
          <w:b/>
          <w:bCs/>
          <w:lang w:val="en-GB"/>
        </w:rPr>
      </w:pPr>
    </w:p>
    <w:p w14:paraId="1359E3AC" w14:textId="4E55199D" w:rsidR="00891DC6" w:rsidRDefault="00891DC6" w:rsidP="0070538D">
      <w:pPr>
        <w:pStyle w:val="EndNoteBibliography"/>
        <w:rPr>
          <w:b/>
          <w:bCs/>
          <w:lang w:val="en-GB"/>
        </w:rPr>
      </w:pPr>
    </w:p>
    <w:p w14:paraId="31C476C6" w14:textId="076FA727" w:rsidR="00891DC6" w:rsidRDefault="00891DC6" w:rsidP="0070538D">
      <w:pPr>
        <w:pStyle w:val="EndNoteBibliography"/>
        <w:rPr>
          <w:b/>
          <w:bCs/>
          <w:lang w:val="en-GB"/>
        </w:rPr>
      </w:pPr>
    </w:p>
    <w:p w14:paraId="616C2BB4" w14:textId="77777777" w:rsidR="00891DC6" w:rsidRDefault="00891DC6" w:rsidP="0070538D">
      <w:pPr>
        <w:pStyle w:val="EndNoteBibliography"/>
        <w:rPr>
          <w:b/>
          <w:bCs/>
          <w:lang w:val="en-GB"/>
        </w:rPr>
      </w:pPr>
    </w:p>
    <w:p w14:paraId="5977F1EB" w14:textId="77777777" w:rsidR="00BC07EE" w:rsidRDefault="00BC07EE" w:rsidP="0070538D">
      <w:pPr>
        <w:pStyle w:val="EndNoteBibliography"/>
        <w:rPr>
          <w:b/>
          <w:bCs/>
          <w:lang w:val="en-GB"/>
        </w:rPr>
      </w:pPr>
    </w:p>
    <w:p w14:paraId="181E2355" w14:textId="133AFFE7" w:rsidR="001F61CE" w:rsidRPr="001F61CE" w:rsidRDefault="001F61CE" w:rsidP="0070538D">
      <w:pPr>
        <w:pStyle w:val="EndNoteBibliography"/>
        <w:rPr>
          <w:b/>
          <w:bCs/>
          <w:lang w:val="en-GB"/>
        </w:rPr>
      </w:pPr>
      <w:r w:rsidRPr="001F61CE">
        <w:rPr>
          <w:b/>
          <w:bCs/>
          <w:lang w:val="en-GB"/>
        </w:rPr>
        <w:lastRenderedPageBreak/>
        <w:t>Table 2</w:t>
      </w:r>
    </w:p>
    <w:p w14:paraId="35523BD9" w14:textId="77777777" w:rsidR="001F61CE" w:rsidRPr="00BE2E0D" w:rsidRDefault="001F61CE" w:rsidP="001F61CE">
      <w:pPr>
        <w:pStyle w:val="EndNoteBibliography"/>
        <w:rPr>
          <w:b/>
          <w:bCs/>
          <w:lang w:val="en-GB"/>
        </w:rPr>
      </w:pPr>
      <w:r w:rsidRPr="00BE2E0D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276"/>
      </w:tblGrid>
      <w:tr w:rsidR="001F61CE" w14:paraId="0ABC82C4" w14:textId="77777777" w:rsidTr="006C0CBF">
        <w:tc>
          <w:tcPr>
            <w:tcW w:w="2405" w:type="dxa"/>
          </w:tcPr>
          <w:p w14:paraId="2ECEC2E2" w14:textId="77777777" w:rsidR="001F61CE" w:rsidRPr="006C0CBF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 w:rsidRPr="006C0CBF">
              <w:rPr>
                <w:b/>
                <w:bCs/>
                <w:lang w:val="en-GB"/>
              </w:rPr>
              <w:t>Variable</w:t>
            </w:r>
          </w:p>
        </w:tc>
        <w:tc>
          <w:tcPr>
            <w:tcW w:w="3260" w:type="dxa"/>
          </w:tcPr>
          <w:p w14:paraId="39D0E8E4" w14:textId="3AC9F541" w:rsidR="006C0CBF" w:rsidRPr="006C0CBF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 w:rsidRPr="006C0CBF">
              <w:rPr>
                <w:b/>
                <w:bCs/>
                <w:lang w:val="en-GB"/>
              </w:rPr>
              <w:t>Univariate Analysis</w:t>
            </w:r>
            <w:r w:rsidR="006C0CBF" w:rsidRPr="006C0CBF">
              <w:rPr>
                <w:b/>
                <w:bCs/>
                <w:lang w:val="en-GB"/>
              </w:rPr>
              <w:t>:</w:t>
            </w:r>
            <w:r w:rsidRPr="006C0CBF">
              <w:rPr>
                <w:b/>
                <w:bCs/>
                <w:lang w:val="en-GB"/>
              </w:rPr>
              <w:t xml:space="preserve"> </w:t>
            </w:r>
            <w:r w:rsidR="006C0CBF" w:rsidRPr="006C0CBF">
              <w:rPr>
                <w:b/>
                <w:bCs/>
                <w:lang w:val="en-GB"/>
              </w:rPr>
              <w:t xml:space="preserve">Hazard Ratio </w:t>
            </w:r>
          </w:p>
          <w:p w14:paraId="4D1723C7" w14:textId="34AF07F4" w:rsidR="001F61CE" w:rsidRPr="006C0CBF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 w:rsidRPr="006C0CBF">
              <w:rPr>
                <w:b/>
                <w:bCs/>
                <w:lang w:val="en-GB"/>
              </w:rPr>
              <w:t>(95% Confidence Interval)</w:t>
            </w:r>
          </w:p>
        </w:tc>
        <w:tc>
          <w:tcPr>
            <w:tcW w:w="1276" w:type="dxa"/>
          </w:tcPr>
          <w:p w14:paraId="0BC474AB" w14:textId="77777777" w:rsidR="001F61CE" w:rsidRPr="006C0CBF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 w:rsidRPr="006C0CBF">
              <w:rPr>
                <w:b/>
                <w:bCs/>
                <w:lang w:val="en-GB"/>
              </w:rPr>
              <w:t>p value</w:t>
            </w:r>
          </w:p>
        </w:tc>
      </w:tr>
      <w:tr w:rsidR="001F61CE" w14:paraId="2B939B55" w14:textId="77777777" w:rsidTr="006C0CBF">
        <w:tc>
          <w:tcPr>
            <w:tcW w:w="2405" w:type="dxa"/>
          </w:tcPr>
          <w:p w14:paraId="7CF146FB" w14:textId="19D688A5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="00BC07EE">
              <w:rPr>
                <w:lang w:val="en-GB"/>
              </w:rPr>
              <w:t xml:space="preserve"> (years)</w:t>
            </w:r>
          </w:p>
        </w:tc>
        <w:tc>
          <w:tcPr>
            <w:tcW w:w="3260" w:type="dxa"/>
          </w:tcPr>
          <w:p w14:paraId="4F3D0AB6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1.029 (1.001-1.057)</w:t>
            </w:r>
          </w:p>
        </w:tc>
        <w:tc>
          <w:tcPr>
            <w:tcW w:w="1276" w:type="dxa"/>
          </w:tcPr>
          <w:p w14:paraId="73D0C7F3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0.045*</w:t>
            </w:r>
          </w:p>
        </w:tc>
      </w:tr>
      <w:tr w:rsidR="001F61CE" w14:paraId="1422F9BF" w14:textId="77777777" w:rsidTr="006C0CBF">
        <w:tc>
          <w:tcPr>
            <w:tcW w:w="2405" w:type="dxa"/>
          </w:tcPr>
          <w:p w14:paraId="58BACEA4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Sex (male)</w:t>
            </w:r>
          </w:p>
        </w:tc>
        <w:tc>
          <w:tcPr>
            <w:tcW w:w="3260" w:type="dxa"/>
          </w:tcPr>
          <w:p w14:paraId="11963D5A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2.325 (0.658-2.702)</w:t>
            </w:r>
          </w:p>
        </w:tc>
        <w:tc>
          <w:tcPr>
            <w:tcW w:w="1276" w:type="dxa"/>
          </w:tcPr>
          <w:p w14:paraId="4BBC5C05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0.462</w:t>
            </w:r>
          </w:p>
        </w:tc>
      </w:tr>
      <w:tr w:rsidR="001F61CE" w14:paraId="534CC12F" w14:textId="77777777" w:rsidTr="006C0CBF">
        <w:tc>
          <w:tcPr>
            <w:tcW w:w="2405" w:type="dxa"/>
          </w:tcPr>
          <w:p w14:paraId="1CD3C445" w14:textId="63676025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Length of Stay</w:t>
            </w:r>
            <w:r w:rsidR="00BC07EE">
              <w:rPr>
                <w:lang w:val="en-GB"/>
              </w:rPr>
              <w:t xml:space="preserve"> (days)</w:t>
            </w:r>
          </w:p>
        </w:tc>
        <w:tc>
          <w:tcPr>
            <w:tcW w:w="3260" w:type="dxa"/>
          </w:tcPr>
          <w:p w14:paraId="031D412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1.040 (1.022-1.059)</w:t>
            </w:r>
          </w:p>
        </w:tc>
        <w:tc>
          <w:tcPr>
            <w:tcW w:w="1276" w:type="dxa"/>
          </w:tcPr>
          <w:p w14:paraId="1459C7A5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0.001**</w:t>
            </w:r>
          </w:p>
        </w:tc>
      </w:tr>
      <w:tr w:rsidR="001F61CE" w14:paraId="4710877A" w14:textId="77777777" w:rsidTr="006C0CBF">
        <w:tc>
          <w:tcPr>
            <w:tcW w:w="2405" w:type="dxa"/>
          </w:tcPr>
          <w:p w14:paraId="429C1A6A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Level 2 or 3 admission</w:t>
            </w:r>
          </w:p>
        </w:tc>
        <w:tc>
          <w:tcPr>
            <w:tcW w:w="3260" w:type="dxa"/>
          </w:tcPr>
          <w:p w14:paraId="79AE3563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1.847 (0.847-4.025)</w:t>
            </w:r>
          </w:p>
        </w:tc>
        <w:tc>
          <w:tcPr>
            <w:tcW w:w="1276" w:type="dxa"/>
          </w:tcPr>
          <w:p w14:paraId="2B4311D9" w14:textId="77777777" w:rsidR="001F61CE" w:rsidRPr="001A3BD6" w:rsidRDefault="001F61CE" w:rsidP="0088452C">
            <w:pPr>
              <w:pStyle w:val="EndNoteBibliography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0.123</w:t>
            </w:r>
            <w:r>
              <w:rPr>
                <w:vertAlign w:val="superscript"/>
                <w:lang w:val="en-GB"/>
              </w:rPr>
              <w:t>+</w:t>
            </w:r>
          </w:p>
        </w:tc>
      </w:tr>
      <w:tr w:rsidR="001F61CE" w14:paraId="45596D75" w14:textId="77777777" w:rsidTr="006C0CBF">
        <w:tc>
          <w:tcPr>
            <w:tcW w:w="2405" w:type="dxa"/>
          </w:tcPr>
          <w:p w14:paraId="602A1E66" w14:textId="15F658F2" w:rsidR="001F61CE" w:rsidRDefault="00BC07EE" w:rsidP="0088452C">
            <w:pPr>
              <w:pStyle w:val="EndNoteBibliography"/>
              <w:rPr>
                <w:lang w:val="en-GB"/>
              </w:rPr>
            </w:pPr>
            <w:r w:rsidRPr="00BC07EE">
              <w:rPr>
                <w:lang w:val="en-GB"/>
              </w:rPr>
              <w:t>Oxygen or higher respiratory support</w:t>
            </w:r>
            <w:r w:rsidR="00B13B68">
              <w:rPr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14:paraId="4ADD090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1.420 (0.495-4.077)</w:t>
            </w:r>
          </w:p>
        </w:tc>
        <w:tc>
          <w:tcPr>
            <w:tcW w:w="1276" w:type="dxa"/>
          </w:tcPr>
          <w:p w14:paraId="1CB0CA9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0.514</w:t>
            </w:r>
          </w:p>
        </w:tc>
      </w:tr>
      <w:tr w:rsidR="001F61CE" w14:paraId="23C576EB" w14:textId="77777777" w:rsidTr="006C0CBF">
        <w:tc>
          <w:tcPr>
            <w:tcW w:w="2405" w:type="dxa"/>
          </w:tcPr>
          <w:p w14:paraId="12C8F07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Current or ex-smoker</w:t>
            </w:r>
          </w:p>
        </w:tc>
        <w:tc>
          <w:tcPr>
            <w:tcW w:w="3260" w:type="dxa"/>
          </w:tcPr>
          <w:p w14:paraId="41BE6365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2.515 (1.225-5.165)</w:t>
            </w:r>
          </w:p>
        </w:tc>
        <w:tc>
          <w:tcPr>
            <w:tcW w:w="1276" w:type="dxa"/>
          </w:tcPr>
          <w:p w14:paraId="3FF7E2D2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0.012*</w:t>
            </w:r>
          </w:p>
        </w:tc>
      </w:tr>
      <w:tr w:rsidR="001F61CE" w14:paraId="2A1C01C7" w14:textId="77777777" w:rsidTr="006C0CBF">
        <w:tc>
          <w:tcPr>
            <w:tcW w:w="2405" w:type="dxa"/>
          </w:tcPr>
          <w:p w14:paraId="696FED09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BAME</w:t>
            </w:r>
          </w:p>
        </w:tc>
        <w:tc>
          <w:tcPr>
            <w:tcW w:w="3260" w:type="dxa"/>
          </w:tcPr>
          <w:p w14:paraId="05E5600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0.675 (0.318-1.434)</w:t>
            </w:r>
          </w:p>
        </w:tc>
        <w:tc>
          <w:tcPr>
            <w:tcW w:w="1276" w:type="dxa"/>
          </w:tcPr>
          <w:p w14:paraId="4BA23D71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0.307</w:t>
            </w:r>
          </w:p>
        </w:tc>
      </w:tr>
      <w:tr w:rsidR="001F61CE" w14:paraId="4B29E011" w14:textId="77777777" w:rsidTr="006C0CBF">
        <w:tc>
          <w:tcPr>
            <w:tcW w:w="2405" w:type="dxa"/>
          </w:tcPr>
          <w:p w14:paraId="0F7CEE16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Asthma</w:t>
            </w:r>
          </w:p>
        </w:tc>
        <w:tc>
          <w:tcPr>
            <w:tcW w:w="3260" w:type="dxa"/>
          </w:tcPr>
          <w:p w14:paraId="46C67DB6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1.223 (0.503-2.977)</w:t>
            </w:r>
          </w:p>
        </w:tc>
        <w:tc>
          <w:tcPr>
            <w:tcW w:w="1276" w:type="dxa"/>
          </w:tcPr>
          <w:p w14:paraId="47D1800A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0.657</w:t>
            </w:r>
          </w:p>
        </w:tc>
      </w:tr>
      <w:tr w:rsidR="001F61CE" w14:paraId="5EE891F4" w14:textId="77777777" w:rsidTr="006C0CBF">
        <w:tc>
          <w:tcPr>
            <w:tcW w:w="2405" w:type="dxa"/>
          </w:tcPr>
          <w:p w14:paraId="2085BD40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Hypertension</w:t>
            </w:r>
          </w:p>
        </w:tc>
        <w:tc>
          <w:tcPr>
            <w:tcW w:w="3260" w:type="dxa"/>
          </w:tcPr>
          <w:p w14:paraId="45BA0842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1.218 (0.603-2.460)</w:t>
            </w:r>
          </w:p>
        </w:tc>
        <w:tc>
          <w:tcPr>
            <w:tcW w:w="1276" w:type="dxa"/>
          </w:tcPr>
          <w:p w14:paraId="0CDB94CF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0.582</w:t>
            </w:r>
          </w:p>
        </w:tc>
      </w:tr>
      <w:tr w:rsidR="001F61CE" w14:paraId="24DA9FBC" w14:textId="77777777" w:rsidTr="006C0CBF">
        <w:tc>
          <w:tcPr>
            <w:tcW w:w="2405" w:type="dxa"/>
          </w:tcPr>
          <w:p w14:paraId="1B3425CB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 xml:space="preserve">Obesity </w:t>
            </w:r>
            <w:r>
              <w:t>(BMI&gt;30 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260" w:type="dxa"/>
          </w:tcPr>
          <w:p w14:paraId="3A9AA2A8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1.762 (0.847-3.665)</w:t>
            </w:r>
          </w:p>
        </w:tc>
        <w:tc>
          <w:tcPr>
            <w:tcW w:w="1276" w:type="dxa"/>
          </w:tcPr>
          <w:p w14:paraId="595ECC90" w14:textId="77777777" w:rsidR="001F61CE" w:rsidRPr="001A3BD6" w:rsidRDefault="001F61CE" w:rsidP="0088452C">
            <w:pPr>
              <w:pStyle w:val="EndNoteBibliography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0.129</w:t>
            </w:r>
            <w:r>
              <w:rPr>
                <w:vertAlign w:val="superscript"/>
                <w:lang w:val="en-GB"/>
              </w:rPr>
              <w:t>+</w:t>
            </w:r>
          </w:p>
        </w:tc>
      </w:tr>
      <w:tr w:rsidR="001F61CE" w14:paraId="19A9F3AF" w14:textId="77777777" w:rsidTr="006C0CBF">
        <w:tc>
          <w:tcPr>
            <w:tcW w:w="2405" w:type="dxa"/>
          </w:tcPr>
          <w:p w14:paraId="722EA697" w14:textId="77777777" w:rsidR="001F61CE" w:rsidRPr="00804E42" w:rsidRDefault="001F61CE" w:rsidP="0088452C">
            <w:pPr>
              <w:pStyle w:val="EndNoteBibliography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Diabetes Melitus </w:t>
            </w:r>
          </w:p>
        </w:tc>
        <w:tc>
          <w:tcPr>
            <w:tcW w:w="3260" w:type="dxa"/>
          </w:tcPr>
          <w:p w14:paraId="02B9F103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1.135 (0.488-2.639)</w:t>
            </w:r>
          </w:p>
        </w:tc>
        <w:tc>
          <w:tcPr>
            <w:tcW w:w="1276" w:type="dxa"/>
          </w:tcPr>
          <w:p w14:paraId="325FA0D6" w14:textId="77777777" w:rsidR="001F61CE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0.769</w:t>
            </w:r>
          </w:p>
        </w:tc>
      </w:tr>
    </w:tbl>
    <w:p w14:paraId="27F6450F" w14:textId="77777777" w:rsidR="001F61CE" w:rsidRDefault="001F61CE" w:rsidP="001F61CE">
      <w:pPr>
        <w:pStyle w:val="EndNoteBibliography"/>
        <w:rPr>
          <w:b/>
          <w:bCs/>
          <w:lang w:val="en-GB"/>
        </w:rPr>
      </w:pPr>
    </w:p>
    <w:p w14:paraId="2DC42B0A" w14:textId="77777777" w:rsidR="001F61CE" w:rsidRPr="00401AAA" w:rsidRDefault="001F61CE" w:rsidP="001F61CE">
      <w:pPr>
        <w:pStyle w:val="EndNoteBibliography"/>
        <w:rPr>
          <w:b/>
          <w:bCs/>
          <w:lang w:val="en-GB"/>
        </w:rPr>
      </w:pPr>
      <w:r w:rsidRPr="00401AAA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2</w:t>
      </w:r>
      <w:r w:rsidRPr="00401AAA">
        <w:rPr>
          <w:b/>
          <w:bCs/>
          <w:lang w:val="en-GB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276"/>
      </w:tblGrid>
      <w:tr w:rsidR="001F61CE" w14:paraId="0B0704CE" w14:textId="77777777" w:rsidTr="0088452C">
        <w:tc>
          <w:tcPr>
            <w:tcW w:w="2405" w:type="dxa"/>
          </w:tcPr>
          <w:p w14:paraId="59B3E943" w14:textId="77777777" w:rsidR="001F61CE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Variable</w:t>
            </w:r>
          </w:p>
        </w:tc>
        <w:tc>
          <w:tcPr>
            <w:tcW w:w="4111" w:type="dxa"/>
          </w:tcPr>
          <w:p w14:paraId="3E0353CD" w14:textId="42CA806C" w:rsidR="006C0CBF" w:rsidRDefault="006C0CBF" w:rsidP="0088452C">
            <w:pPr>
              <w:pStyle w:val="EndNoteBibliography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Multivariate Analysis</w:t>
            </w:r>
          </w:p>
          <w:p w14:paraId="660885E1" w14:textId="7414BA81" w:rsidR="001F61CE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Hazard Ratio (95% Confi</w:t>
            </w:r>
            <w:r w:rsidR="006C0CBF">
              <w:rPr>
                <w:b/>
                <w:bCs/>
                <w:lang w:val="en-GB"/>
              </w:rPr>
              <w:t>d</w:t>
            </w:r>
            <w:r>
              <w:rPr>
                <w:b/>
                <w:bCs/>
                <w:lang w:val="en-GB"/>
              </w:rPr>
              <w:t>ence interval)</w:t>
            </w:r>
          </w:p>
        </w:tc>
        <w:tc>
          <w:tcPr>
            <w:tcW w:w="1276" w:type="dxa"/>
          </w:tcPr>
          <w:p w14:paraId="70050112" w14:textId="77777777" w:rsidR="001F61CE" w:rsidRDefault="001F61CE" w:rsidP="0088452C">
            <w:pPr>
              <w:pStyle w:val="EndNoteBibliography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 value</w:t>
            </w:r>
          </w:p>
        </w:tc>
      </w:tr>
      <w:tr w:rsidR="001F61CE" w:rsidRPr="00401AAA" w14:paraId="5ABF1725" w14:textId="77777777" w:rsidTr="0088452C">
        <w:tc>
          <w:tcPr>
            <w:tcW w:w="2405" w:type="dxa"/>
          </w:tcPr>
          <w:p w14:paraId="275010A7" w14:textId="070F9F08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Length of Stay</w:t>
            </w:r>
            <w:r w:rsidR="00BC07EE">
              <w:rPr>
                <w:lang w:val="en-GB"/>
              </w:rPr>
              <w:t xml:space="preserve"> (days)</w:t>
            </w:r>
          </w:p>
        </w:tc>
        <w:tc>
          <w:tcPr>
            <w:tcW w:w="4111" w:type="dxa"/>
          </w:tcPr>
          <w:p w14:paraId="459BAAE3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1.060 (1.032-1.090)</w:t>
            </w:r>
          </w:p>
        </w:tc>
        <w:tc>
          <w:tcPr>
            <w:tcW w:w="1276" w:type="dxa"/>
          </w:tcPr>
          <w:p w14:paraId="7FF7A698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&lt;0.001</w:t>
            </w:r>
            <w:r>
              <w:rPr>
                <w:lang w:val="en-GB"/>
              </w:rPr>
              <w:t>**</w:t>
            </w:r>
          </w:p>
        </w:tc>
      </w:tr>
      <w:tr w:rsidR="001F61CE" w:rsidRPr="00401AAA" w14:paraId="3A84F981" w14:textId="77777777" w:rsidTr="0088452C">
        <w:tc>
          <w:tcPr>
            <w:tcW w:w="2405" w:type="dxa"/>
          </w:tcPr>
          <w:p w14:paraId="6FE7BF14" w14:textId="4E6AD3CD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 xml:space="preserve">Age </w:t>
            </w:r>
            <w:r w:rsidR="00BC07EE">
              <w:rPr>
                <w:lang w:val="en-GB"/>
              </w:rPr>
              <w:t>(years)</w:t>
            </w:r>
          </w:p>
        </w:tc>
        <w:tc>
          <w:tcPr>
            <w:tcW w:w="4111" w:type="dxa"/>
          </w:tcPr>
          <w:p w14:paraId="289A5DE6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1.008 (0.970-1.047)</w:t>
            </w:r>
          </w:p>
        </w:tc>
        <w:tc>
          <w:tcPr>
            <w:tcW w:w="1276" w:type="dxa"/>
          </w:tcPr>
          <w:p w14:paraId="45110F4E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0.684</w:t>
            </w:r>
          </w:p>
        </w:tc>
      </w:tr>
      <w:tr w:rsidR="001F61CE" w:rsidRPr="00401AAA" w14:paraId="181AE25C" w14:textId="77777777" w:rsidTr="0088452C">
        <w:tc>
          <w:tcPr>
            <w:tcW w:w="2405" w:type="dxa"/>
          </w:tcPr>
          <w:p w14:paraId="1A649F5C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Current or ex-</w:t>
            </w:r>
            <w:r w:rsidRPr="00401AAA">
              <w:rPr>
                <w:lang w:val="en-GB"/>
              </w:rPr>
              <w:t>smoker</w:t>
            </w:r>
          </w:p>
        </w:tc>
        <w:tc>
          <w:tcPr>
            <w:tcW w:w="4111" w:type="dxa"/>
          </w:tcPr>
          <w:p w14:paraId="21424991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3.286 (1.352-7.982)</w:t>
            </w:r>
          </w:p>
        </w:tc>
        <w:tc>
          <w:tcPr>
            <w:tcW w:w="1276" w:type="dxa"/>
          </w:tcPr>
          <w:p w14:paraId="070CFB8C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0.009</w:t>
            </w:r>
            <w:r>
              <w:rPr>
                <w:lang w:val="en-GB"/>
              </w:rPr>
              <w:t>**</w:t>
            </w:r>
          </w:p>
        </w:tc>
      </w:tr>
      <w:tr w:rsidR="001F61CE" w:rsidRPr="00401AAA" w14:paraId="3F28F9A2" w14:textId="77777777" w:rsidTr="0088452C">
        <w:tc>
          <w:tcPr>
            <w:tcW w:w="2405" w:type="dxa"/>
          </w:tcPr>
          <w:p w14:paraId="5A6A953F" w14:textId="379BA726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Level 2</w:t>
            </w:r>
            <w:r w:rsidR="00BC07EE">
              <w:rPr>
                <w:lang w:val="en-GB"/>
              </w:rPr>
              <w:t xml:space="preserve"> or </w:t>
            </w:r>
            <w:r w:rsidRPr="00401AAA">
              <w:rPr>
                <w:lang w:val="en-GB"/>
              </w:rPr>
              <w:t xml:space="preserve">3 </w:t>
            </w:r>
            <w:r>
              <w:rPr>
                <w:lang w:val="en-GB"/>
              </w:rPr>
              <w:t>admission</w:t>
            </w:r>
          </w:p>
        </w:tc>
        <w:tc>
          <w:tcPr>
            <w:tcW w:w="4111" w:type="dxa"/>
          </w:tcPr>
          <w:p w14:paraId="45EC8A12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0.825 (0.307-2.215)</w:t>
            </w:r>
          </w:p>
        </w:tc>
        <w:tc>
          <w:tcPr>
            <w:tcW w:w="1276" w:type="dxa"/>
          </w:tcPr>
          <w:p w14:paraId="1E79BBDE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0.702</w:t>
            </w:r>
          </w:p>
        </w:tc>
      </w:tr>
      <w:tr w:rsidR="001F61CE" w:rsidRPr="00401AAA" w14:paraId="7EE6ABF6" w14:textId="77777777" w:rsidTr="0088452C">
        <w:tc>
          <w:tcPr>
            <w:tcW w:w="2405" w:type="dxa"/>
          </w:tcPr>
          <w:p w14:paraId="21FD885B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Obesity</w:t>
            </w:r>
            <w:r>
              <w:rPr>
                <w:lang w:val="en-GB"/>
              </w:rPr>
              <w:t xml:space="preserve"> </w:t>
            </w:r>
            <w:r>
              <w:t>(BMI&gt;30 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111" w:type="dxa"/>
          </w:tcPr>
          <w:p w14:paraId="1664CFFF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2.717 (1.144-6.454)</w:t>
            </w:r>
          </w:p>
        </w:tc>
        <w:tc>
          <w:tcPr>
            <w:tcW w:w="1276" w:type="dxa"/>
          </w:tcPr>
          <w:p w14:paraId="348C214F" w14:textId="77777777" w:rsidR="001F61CE" w:rsidRPr="00401AAA" w:rsidRDefault="001F61CE" w:rsidP="0088452C">
            <w:pPr>
              <w:pStyle w:val="EndNoteBibliography"/>
              <w:rPr>
                <w:lang w:val="en-GB"/>
              </w:rPr>
            </w:pPr>
            <w:r w:rsidRPr="00401AAA">
              <w:rPr>
                <w:lang w:val="en-GB"/>
              </w:rPr>
              <w:t>0.024</w:t>
            </w:r>
            <w:r>
              <w:rPr>
                <w:lang w:val="en-GB"/>
              </w:rPr>
              <w:t>*</w:t>
            </w:r>
          </w:p>
        </w:tc>
      </w:tr>
    </w:tbl>
    <w:p w14:paraId="725FFB85" w14:textId="0AB11D32" w:rsidR="001F61CE" w:rsidRPr="00192D08" w:rsidRDefault="00BC07EE" w:rsidP="001F61CE">
      <w:pPr>
        <w:pStyle w:val="EndNoteBibliography"/>
        <w:rPr>
          <w:sz w:val="20"/>
          <w:szCs w:val="20"/>
          <w:lang w:val="en-GB"/>
        </w:rPr>
      </w:pPr>
      <w:r w:rsidRPr="00BC07EE">
        <w:rPr>
          <w:b/>
          <w:bCs/>
          <w:sz w:val="20"/>
          <w:szCs w:val="20"/>
        </w:rPr>
        <w:t>Table 2a and 2b</w:t>
      </w:r>
      <w:r>
        <w:rPr>
          <w:sz w:val="20"/>
          <w:szCs w:val="20"/>
        </w:rPr>
        <w:t>. Table 2a. Cox-univariate analysis for risk of persistent chest radiograph (</w:t>
      </w:r>
      <w:r w:rsidR="001F61CE">
        <w:rPr>
          <w:sz w:val="20"/>
          <w:szCs w:val="20"/>
        </w:rPr>
        <w:t>CXR</w:t>
      </w:r>
      <w:r w:rsidR="00192D08">
        <w:rPr>
          <w:sz w:val="20"/>
          <w:szCs w:val="20"/>
        </w:rPr>
        <w:t xml:space="preserve">) </w:t>
      </w:r>
      <w:r w:rsidR="00192D08" w:rsidRPr="00192D08">
        <w:rPr>
          <w:sz w:val="20"/>
          <w:szCs w:val="20"/>
        </w:rPr>
        <w:t>abnormality</w:t>
      </w:r>
      <w:r>
        <w:rPr>
          <w:sz w:val="20"/>
          <w:szCs w:val="20"/>
        </w:rPr>
        <w:t>. Table 2b. Cox multivaraite analysis for risk of persistent CXR abnormality.</w:t>
      </w:r>
      <w:r w:rsidR="00192D08">
        <w:rPr>
          <w:sz w:val="20"/>
          <w:szCs w:val="20"/>
        </w:rPr>
        <w:t xml:space="preserve"> Variables with p&lt;0.2 in univariate analysis were included in the multivariate composite analysis.</w:t>
      </w:r>
      <w:r w:rsidR="001F61CE">
        <w:rPr>
          <w:sz w:val="20"/>
          <w:szCs w:val="20"/>
        </w:rPr>
        <w:t xml:space="preserve"> Level 2 - High Dependancy </w:t>
      </w:r>
      <w:r w:rsidR="006C0CBF">
        <w:rPr>
          <w:sz w:val="20"/>
          <w:szCs w:val="20"/>
        </w:rPr>
        <w:t>Facility</w:t>
      </w:r>
      <w:r w:rsidR="001F61CE">
        <w:rPr>
          <w:sz w:val="20"/>
          <w:szCs w:val="20"/>
        </w:rPr>
        <w:t>, Level 3-Intensive Care Facility</w:t>
      </w:r>
      <w:r w:rsidR="006C0CBF">
        <w:rPr>
          <w:sz w:val="20"/>
          <w:szCs w:val="20"/>
        </w:rPr>
        <w:t xml:space="preserve">, </w:t>
      </w:r>
      <w:r w:rsidR="001F61CE" w:rsidRPr="00630D81">
        <w:rPr>
          <w:sz w:val="20"/>
          <w:szCs w:val="20"/>
          <w:lang w:val="en-GB"/>
        </w:rPr>
        <w:t>BAME =  Black, Asian and Minority Ethnic. BMI body mass index kg</w:t>
      </w:r>
      <w:r w:rsidR="001F61CE">
        <w:rPr>
          <w:sz w:val="20"/>
          <w:szCs w:val="20"/>
          <w:lang w:val="en-GB"/>
        </w:rPr>
        <w:t>/m</w:t>
      </w:r>
      <w:r w:rsidR="001F61CE">
        <w:rPr>
          <w:sz w:val="20"/>
          <w:szCs w:val="20"/>
          <w:vertAlign w:val="superscript"/>
          <w:lang w:val="en-GB"/>
        </w:rPr>
        <w:t>2</w:t>
      </w:r>
      <w:r w:rsidR="001F61CE">
        <w:rPr>
          <w:sz w:val="20"/>
          <w:szCs w:val="20"/>
          <w:lang w:val="en-GB"/>
        </w:rPr>
        <w:t>. * p&lt;0.05 **p&lt;0</w:t>
      </w:r>
      <w:r w:rsidR="001F61CE" w:rsidRPr="00192D08">
        <w:rPr>
          <w:lang w:val="en-GB"/>
        </w:rPr>
        <w:t>.</w:t>
      </w:r>
      <w:r w:rsidR="001F61CE" w:rsidRPr="00192D08">
        <w:rPr>
          <w:sz w:val="20"/>
          <w:szCs w:val="20"/>
          <w:lang w:val="en-GB"/>
        </w:rPr>
        <w:t>01</w:t>
      </w:r>
      <w:r w:rsidR="001F61CE" w:rsidRPr="00192D08">
        <w:rPr>
          <w:sz w:val="20"/>
          <w:szCs w:val="20"/>
          <w:vertAlign w:val="superscript"/>
          <w:lang w:val="en-GB"/>
        </w:rPr>
        <w:t>+</w:t>
      </w:r>
      <w:r w:rsidR="001F61CE" w:rsidRPr="00192D08">
        <w:rPr>
          <w:sz w:val="18"/>
          <w:szCs w:val="18"/>
          <w:lang w:val="en-GB"/>
        </w:rPr>
        <w:t>p&lt;0.2</w:t>
      </w:r>
      <w:r w:rsidR="00B13B68" w:rsidRPr="00192D08">
        <w:rPr>
          <w:sz w:val="18"/>
          <w:szCs w:val="18"/>
          <w:lang w:val="en-GB"/>
        </w:rPr>
        <w:t xml:space="preserve"> </w:t>
      </w:r>
    </w:p>
    <w:p w14:paraId="1167CF87" w14:textId="6351DB8C" w:rsidR="00855B1B" w:rsidRDefault="00855B1B" w:rsidP="003B3E61">
      <w:pPr>
        <w:pStyle w:val="EndNoteBibliography"/>
        <w:spacing w:after="0"/>
        <w:rPr>
          <w:b/>
          <w:bCs/>
        </w:rPr>
      </w:pPr>
    </w:p>
    <w:p w14:paraId="5660880A" w14:textId="7238E9ED" w:rsidR="00FB3013" w:rsidRDefault="00FB3013" w:rsidP="003B3E61">
      <w:pPr>
        <w:pStyle w:val="EndNoteBibliography"/>
        <w:spacing w:after="0"/>
        <w:rPr>
          <w:b/>
          <w:bCs/>
        </w:rPr>
      </w:pPr>
    </w:p>
    <w:p w14:paraId="0C7312AD" w14:textId="677133E4" w:rsidR="00FB3013" w:rsidRDefault="00FB3013" w:rsidP="003B3E61">
      <w:pPr>
        <w:pStyle w:val="EndNoteBibliography"/>
        <w:spacing w:after="0"/>
        <w:rPr>
          <w:b/>
          <w:bCs/>
        </w:rPr>
      </w:pPr>
    </w:p>
    <w:p w14:paraId="7CE09208" w14:textId="332AB74B" w:rsidR="00FB3013" w:rsidRDefault="00FB3013" w:rsidP="003B3E61">
      <w:pPr>
        <w:pStyle w:val="EndNoteBibliography"/>
        <w:spacing w:after="0"/>
        <w:rPr>
          <w:b/>
          <w:bCs/>
        </w:rPr>
      </w:pPr>
    </w:p>
    <w:p w14:paraId="08C67AC9" w14:textId="29C91E0B" w:rsidR="00FB3013" w:rsidRDefault="00FB3013" w:rsidP="003B3E61">
      <w:pPr>
        <w:pStyle w:val="EndNoteBibliography"/>
        <w:spacing w:after="0"/>
        <w:rPr>
          <w:b/>
          <w:bCs/>
        </w:rPr>
      </w:pPr>
    </w:p>
    <w:p w14:paraId="23924E4F" w14:textId="4AE0568B" w:rsidR="00FB3013" w:rsidRDefault="00FB3013" w:rsidP="003B3E61">
      <w:pPr>
        <w:pStyle w:val="EndNoteBibliography"/>
        <w:spacing w:after="0"/>
        <w:rPr>
          <w:b/>
          <w:bCs/>
        </w:rPr>
      </w:pPr>
    </w:p>
    <w:p w14:paraId="1B64F7A7" w14:textId="0CC67439" w:rsidR="00FB3013" w:rsidRDefault="00FB3013" w:rsidP="003B3E61">
      <w:pPr>
        <w:pStyle w:val="EndNoteBibliography"/>
        <w:spacing w:after="0"/>
        <w:rPr>
          <w:b/>
          <w:bCs/>
        </w:rPr>
      </w:pPr>
    </w:p>
    <w:p w14:paraId="34657960" w14:textId="15457C3C" w:rsidR="00FB3013" w:rsidRDefault="00FB3013" w:rsidP="003B3E61">
      <w:pPr>
        <w:pStyle w:val="EndNoteBibliography"/>
        <w:spacing w:after="0"/>
        <w:rPr>
          <w:b/>
          <w:bCs/>
        </w:rPr>
      </w:pPr>
    </w:p>
    <w:p w14:paraId="25BBCD62" w14:textId="45129B7E" w:rsidR="00FB3013" w:rsidRDefault="00FB3013" w:rsidP="003B3E61">
      <w:pPr>
        <w:pStyle w:val="EndNoteBibliography"/>
        <w:spacing w:after="0"/>
        <w:rPr>
          <w:b/>
          <w:bCs/>
        </w:rPr>
      </w:pPr>
    </w:p>
    <w:p w14:paraId="75E407C3" w14:textId="44D5D105" w:rsidR="00FB3013" w:rsidRDefault="00FB3013" w:rsidP="003B3E61">
      <w:pPr>
        <w:pStyle w:val="EndNoteBibliography"/>
        <w:spacing w:after="0"/>
        <w:rPr>
          <w:b/>
          <w:bCs/>
        </w:rPr>
      </w:pPr>
    </w:p>
    <w:p w14:paraId="59C08B13" w14:textId="67000171" w:rsidR="00FB3013" w:rsidRDefault="00FB3013" w:rsidP="003B3E61">
      <w:pPr>
        <w:pStyle w:val="EndNoteBibliography"/>
        <w:spacing w:after="0"/>
        <w:rPr>
          <w:b/>
          <w:bCs/>
        </w:rPr>
      </w:pPr>
    </w:p>
    <w:p w14:paraId="0644284B" w14:textId="7A80AEAC" w:rsidR="00FB3013" w:rsidRDefault="00FB3013" w:rsidP="003B3E61">
      <w:pPr>
        <w:pStyle w:val="EndNoteBibliography"/>
        <w:spacing w:after="0"/>
        <w:rPr>
          <w:b/>
          <w:bCs/>
        </w:rPr>
      </w:pPr>
    </w:p>
    <w:p w14:paraId="35B9ED8D" w14:textId="4CE9F46A" w:rsidR="00FB3013" w:rsidRDefault="00FB3013" w:rsidP="003B3E61">
      <w:pPr>
        <w:pStyle w:val="EndNoteBibliography"/>
        <w:spacing w:after="0"/>
        <w:rPr>
          <w:b/>
          <w:bCs/>
        </w:rPr>
      </w:pPr>
    </w:p>
    <w:p w14:paraId="46526FEF" w14:textId="24697A55" w:rsidR="00FB3013" w:rsidRDefault="00FB3013" w:rsidP="003B3E61">
      <w:pPr>
        <w:pStyle w:val="EndNoteBibliography"/>
        <w:spacing w:after="0"/>
        <w:rPr>
          <w:b/>
          <w:bCs/>
        </w:rPr>
      </w:pPr>
    </w:p>
    <w:p w14:paraId="7D86C679" w14:textId="3A2E0FF7" w:rsidR="00FB3013" w:rsidRDefault="00FB3013" w:rsidP="003B3E61">
      <w:pPr>
        <w:pStyle w:val="EndNoteBibliography"/>
        <w:spacing w:after="0"/>
        <w:rPr>
          <w:b/>
          <w:bCs/>
        </w:rPr>
      </w:pPr>
    </w:p>
    <w:p w14:paraId="142757EA" w14:textId="38FA3FFC" w:rsidR="00FB3013" w:rsidRDefault="00FB3013" w:rsidP="003B3E61">
      <w:pPr>
        <w:pStyle w:val="EndNoteBibliography"/>
        <w:spacing w:after="0"/>
        <w:rPr>
          <w:b/>
          <w:bCs/>
        </w:rPr>
      </w:pPr>
    </w:p>
    <w:p w14:paraId="05B405B6" w14:textId="5A71EB1D" w:rsidR="00FB3013" w:rsidRDefault="00FB3013" w:rsidP="003B3E61">
      <w:pPr>
        <w:pStyle w:val="EndNoteBibliography"/>
        <w:spacing w:after="0"/>
        <w:rPr>
          <w:b/>
          <w:bCs/>
        </w:rPr>
      </w:pPr>
    </w:p>
    <w:p w14:paraId="5F559FFC" w14:textId="77777777" w:rsidR="00332441" w:rsidRDefault="00332441" w:rsidP="003B3E61">
      <w:pPr>
        <w:pStyle w:val="EndNoteBibliography"/>
        <w:spacing w:after="0"/>
        <w:rPr>
          <w:b/>
          <w:bCs/>
        </w:rPr>
      </w:pPr>
    </w:p>
    <w:p w14:paraId="7427FC65" w14:textId="525DB327" w:rsidR="00855B1B" w:rsidRDefault="00855B1B" w:rsidP="003B3E61">
      <w:pPr>
        <w:pStyle w:val="EndNoteBibliography"/>
        <w:spacing w:after="0"/>
        <w:rPr>
          <w:b/>
          <w:bCs/>
        </w:rPr>
      </w:pPr>
      <w:r>
        <w:rPr>
          <w:b/>
          <w:bCs/>
        </w:rPr>
        <w:lastRenderedPageBreak/>
        <w:t>Table 3</w:t>
      </w:r>
    </w:p>
    <w:tbl>
      <w:tblPr>
        <w:tblStyle w:val="TableGrid"/>
        <w:tblW w:w="10952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1462"/>
        <w:gridCol w:w="440"/>
        <w:gridCol w:w="1679"/>
        <w:gridCol w:w="1701"/>
        <w:gridCol w:w="992"/>
        <w:gridCol w:w="567"/>
        <w:gridCol w:w="1559"/>
        <w:gridCol w:w="1559"/>
        <w:gridCol w:w="993"/>
      </w:tblGrid>
      <w:tr w:rsidR="00E320D0" w14:paraId="293632AF" w14:textId="77777777" w:rsidTr="001849D8"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B1FD7D" w14:textId="77777777" w:rsidR="00E320D0" w:rsidRDefault="00E320D0" w:rsidP="00184309">
            <w:pPr>
              <w:pStyle w:val="EndNoteBibliography"/>
              <w:rPr>
                <w:lang w:val="en-GB"/>
              </w:rPr>
            </w:pPr>
          </w:p>
          <w:p w14:paraId="28C1950E" w14:textId="258000F8" w:rsidR="00E320D0" w:rsidRDefault="00E320D0" w:rsidP="00184309">
            <w:pPr>
              <w:pStyle w:val="EndNoteBibliography"/>
              <w:rPr>
                <w:lang w:val="en-GB"/>
              </w:rPr>
            </w:pPr>
            <w:r w:rsidRPr="00184309">
              <w:rPr>
                <w:lang w:val="en-GB"/>
              </w:rPr>
              <w:t xml:space="preserve">Variable </w:t>
            </w:r>
          </w:p>
          <w:p w14:paraId="173901A7" w14:textId="3C552036" w:rsidR="00E320D0" w:rsidRPr="00184309" w:rsidRDefault="00E320D0" w:rsidP="00184309">
            <w:pPr>
              <w:pStyle w:val="EndNoteBibliography"/>
              <w:rPr>
                <w:lang w:val="en-GB"/>
              </w:rPr>
            </w:pPr>
          </w:p>
        </w:tc>
        <w:tc>
          <w:tcPr>
            <w:tcW w:w="48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827F36" w14:textId="711B4631" w:rsidR="00E320D0" w:rsidRPr="00184309" w:rsidRDefault="00E320D0" w:rsidP="00184309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Baseline Pathology Results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BEAAA" w14:textId="690A828D" w:rsidR="00E320D0" w:rsidRPr="00184309" w:rsidRDefault="00E320D0" w:rsidP="00184309">
            <w:pPr>
              <w:pStyle w:val="EndNoteBibliography"/>
              <w:rPr>
                <w:lang w:val="en-GB"/>
              </w:rPr>
            </w:pPr>
            <w:r>
              <w:rPr>
                <w:lang w:val="en-GB"/>
              </w:rPr>
              <w:t>12-week Pathology Results</w:t>
            </w:r>
          </w:p>
        </w:tc>
      </w:tr>
      <w:tr w:rsidR="00E320D0" w14:paraId="55702E9C" w14:textId="77777777" w:rsidTr="001849D8"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06325" w14:textId="0C1BD1A3" w:rsidR="00E320D0" w:rsidRPr="00184309" w:rsidRDefault="00E320D0" w:rsidP="00184309">
            <w:pPr>
              <w:pStyle w:val="EndNoteBibliography"/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585DC7" w14:textId="06A3A473" w:rsidR="00E320D0" w:rsidRPr="00184309" w:rsidRDefault="00E320D0" w:rsidP="00184309">
            <w:pPr>
              <w:pStyle w:val="EndNoteBibliography"/>
            </w:pPr>
            <w:r>
              <w:rPr>
                <w:lang w:val="en-GB"/>
              </w:rPr>
              <w:t>n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12853D" w14:textId="465A340B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Complete Resolution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8E6F39" w14:textId="10843C09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Persistent Abnormality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4D8D23" w14:textId="797DBDDE" w:rsidR="00E320D0" w:rsidRPr="00184309" w:rsidRDefault="00E320D0" w:rsidP="00184309">
            <w:pPr>
              <w:pStyle w:val="EndNoteBibliography"/>
            </w:pPr>
            <w:r>
              <w:rPr>
                <w:lang w:val="en-GB"/>
              </w:rPr>
              <w:t>p</w:t>
            </w:r>
            <w:r w:rsidRPr="00184309">
              <w:rPr>
                <w:lang w:val="en-GB"/>
              </w:rPr>
              <w:t xml:space="preserve"> </w:t>
            </w:r>
            <w:r>
              <w:rPr>
                <w:lang w:val="en-GB"/>
              </w:rPr>
              <w:t>value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E2C50BA" w14:textId="4CC8C5DA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521E7AE" w14:textId="4D5B168F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Complete Resolution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0C1DEA4" w14:textId="3A7D4809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Persistent Abnormality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58873103" w14:textId="7341642C" w:rsidR="00E320D0" w:rsidRPr="00184309" w:rsidRDefault="00E320D0" w:rsidP="00184309">
            <w:pPr>
              <w:pStyle w:val="EndNoteBibliography"/>
            </w:pPr>
            <w:r w:rsidRPr="00184309">
              <w:rPr>
                <w:lang w:val="en-GB"/>
              </w:rPr>
              <w:t>p value</w:t>
            </w:r>
          </w:p>
        </w:tc>
      </w:tr>
      <w:tr w:rsidR="00FB3013" w14:paraId="1AE9AD06" w14:textId="77777777" w:rsidTr="001849D8">
        <w:tc>
          <w:tcPr>
            <w:tcW w:w="1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B8ED70" w14:textId="4C0316FB" w:rsidR="00184309" w:rsidRPr="00FB3013" w:rsidRDefault="00184309" w:rsidP="00184309">
            <w:pPr>
              <w:pStyle w:val="EndNoteBibliography"/>
              <w:rPr>
                <w:lang w:val="en-GB"/>
              </w:rPr>
            </w:pPr>
            <w:r w:rsidRPr="00184309">
              <w:rPr>
                <w:lang w:val="en-GB"/>
              </w:rPr>
              <w:t>H</w:t>
            </w:r>
            <w:r>
              <w:rPr>
                <w:lang w:val="en-GB"/>
              </w:rPr>
              <w:t>b</w:t>
            </w:r>
            <w:r w:rsidR="00FB3013">
              <w:rPr>
                <w:lang w:val="en-GB"/>
              </w:rPr>
              <w:t xml:space="preserve">  (g/L)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079C891" w14:textId="30A3F95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98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102537" w14:textId="3C26347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132 (118-143)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06DD9" w14:textId="5641B253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136 (126-146)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32E084" w14:textId="2EACE332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0.159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6BDC1B1E" w14:textId="3994CEB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6092EB4" w14:textId="1CCAAB8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140 (131-147)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951A34E" w14:textId="26242A1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140 (124-147)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2BF2C12D" w14:textId="546FCDC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0.793</w:t>
            </w:r>
          </w:p>
        </w:tc>
      </w:tr>
      <w:tr w:rsidR="00FB3013" w14:paraId="711E5450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119F7236" w14:textId="6FF57273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 xml:space="preserve">WBC </w:t>
            </w:r>
            <w:r w:rsidR="00FB3013">
              <w:rPr>
                <w:lang w:val="en-GB"/>
              </w:rPr>
              <w:t>(10*9/L)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CED297B" w14:textId="1DA2811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98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5D1F70" w14:textId="20B727A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6.7 (5.0-8.3)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BD7AB" w14:textId="3163108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6.8 (4.6-11.4)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DD75A3" w14:textId="6037580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0.616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9F6E919" w14:textId="4639494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</w:tcPr>
          <w:p w14:paraId="005939BB" w14:textId="1EBE0EB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7.0 (4.5-6.6)</w:t>
            </w:r>
          </w:p>
        </w:tc>
        <w:tc>
          <w:tcPr>
            <w:tcW w:w="1559" w:type="dxa"/>
          </w:tcPr>
          <w:p w14:paraId="7A085FA5" w14:textId="7C47C3CB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7.3 (6.1-9.3)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E4A3D4C" w14:textId="682F34D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0.190</w:t>
            </w:r>
          </w:p>
        </w:tc>
      </w:tr>
      <w:tr w:rsidR="00FB3013" w14:paraId="794105B0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33957ABF" w14:textId="655DFD6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Neut</w:t>
            </w:r>
            <w:r w:rsidR="001849D8">
              <w:rPr>
                <w:lang w:val="en-GB"/>
              </w:rPr>
              <w:t>r</w:t>
            </w:r>
            <w:r>
              <w:rPr>
                <w:lang w:val="en-GB"/>
              </w:rPr>
              <w:t>ophils</w:t>
            </w:r>
            <w:r w:rsidR="00FB3013">
              <w:rPr>
                <w:lang w:val="en-GB"/>
              </w:rPr>
              <w:t xml:space="preserve"> (10*9/L)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92CAA1" w14:textId="7E3EFF1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98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442C8" w14:textId="2D77E4A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4.8 (3.6-6.3)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A04A" w14:textId="407E57A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5.7 (3.7-8.8)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3C021D" w14:textId="760BCE56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0.296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F29EB19" w14:textId="3DF7A11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</w:tcPr>
          <w:p w14:paraId="362D12BF" w14:textId="5FEBE64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3.7 (2.6-4.4)</w:t>
            </w:r>
          </w:p>
        </w:tc>
        <w:tc>
          <w:tcPr>
            <w:tcW w:w="1559" w:type="dxa"/>
          </w:tcPr>
          <w:p w14:paraId="7A34FC2E" w14:textId="77EDA2A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4.0 (3.1-5.2)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DBB65E6" w14:textId="7285ECB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0.164</w:t>
            </w:r>
          </w:p>
        </w:tc>
      </w:tr>
      <w:tr w:rsidR="00FB3013" w14:paraId="5A183D20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4E8428AC" w14:textId="7A089A3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Lymph</w:t>
            </w:r>
            <w:r>
              <w:rPr>
                <w:lang w:val="en-GB"/>
              </w:rPr>
              <w:t>ocytes</w:t>
            </w:r>
            <w:r w:rsidR="00FB3013">
              <w:rPr>
                <w:lang w:val="en-GB"/>
              </w:rPr>
              <w:t xml:space="preserve"> (10*9/L)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193284" w14:textId="51CCBD8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98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3B83C" w14:textId="6B8C28CB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1.0 (0.8-1.2)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BE2C" w14:textId="49F63DA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1.0 (0.7-1.5)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1F78CD" w14:textId="16D6C85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0.882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46A09A5" w14:textId="48CFF9A2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</w:tcPr>
          <w:p w14:paraId="3300C91F" w14:textId="6DA8A1C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2.0 (1.6-2.7)</w:t>
            </w:r>
          </w:p>
        </w:tc>
        <w:tc>
          <w:tcPr>
            <w:tcW w:w="1559" w:type="dxa"/>
          </w:tcPr>
          <w:p w14:paraId="40307D5C" w14:textId="79524426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2.4 (1.8-3.0)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F45F6C2" w14:textId="640D5A51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0.163</w:t>
            </w:r>
          </w:p>
        </w:tc>
      </w:tr>
      <w:tr w:rsidR="00FB3013" w14:paraId="449FFC45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6EEDEDDB" w14:textId="1C481F03" w:rsidR="00184309" w:rsidRPr="00184309" w:rsidRDefault="00184309" w:rsidP="00184309">
            <w:pPr>
              <w:pStyle w:val="EndNoteBibliography"/>
            </w:pPr>
            <w:r>
              <w:rPr>
                <w:lang w:val="en-GB"/>
              </w:rPr>
              <w:t>Sodium</w:t>
            </w:r>
            <w:r w:rsidR="00FB3013">
              <w:rPr>
                <w:lang w:val="en-GB"/>
              </w:rPr>
              <w:t xml:space="preserve"> (mmol/L)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CAE6B7" w14:textId="368F589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1D392" w14:textId="7B05E82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137 (135-140)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E60C0" w14:textId="06A7CCD2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135 (133-138)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72A859" w14:textId="6F4EC0A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0.007**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1B14F40" w14:textId="3B41775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</w:tcPr>
          <w:p w14:paraId="4A3A19D3" w14:textId="598D540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140 (139-142)</w:t>
            </w:r>
          </w:p>
        </w:tc>
        <w:tc>
          <w:tcPr>
            <w:tcW w:w="1559" w:type="dxa"/>
          </w:tcPr>
          <w:p w14:paraId="31FD89BF" w14:textId="1DDE36B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141 (139-142)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69A32E9" w14:textId="70E5C29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0.752</w:t>
            </w:r>
          </w:p>
        </w:tc>
      </w:tr>
      <w:tr w:rsidR="00FB3013" w14:paraId="3AF831A8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489DC4EC" w14:textId="0942AF5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 xml:space="preserve">Urea </w:t>
            </w:r>
            <w:r w:rsidR="00FB3013">
              <w:rPr>
                <w:lang w:val="en-GB"/>
              </w:rPr>
              <w:t>(mmol/L)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98741D" w14:textId="3446079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B6954" w14:textId="2CA9376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4.8 (3.6-6.2)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B1D3" w14:textId="6E693AA6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6.4 (4.9-7.8)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56E495" w14:textId="396769A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0.033*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E8C2EEC" w14:textId="4F4D387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559" w:type="dxa"/>
          </w:tcPr>
          <w:p w14:paraId="62F10B3E" w14:textId="607BC5F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5.5 (4.5-6.6)</w:t>
            </w:r>
          </w:p>
        </w:tc>
        <w:tc>
          <w:tcPr>
            <w:tcW w:w="1559" w:type="dxa"/>
          </w:tcPr>
          <w:p w14:paraId="54493EEF" w14:textId="07661F9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5.9 (4.5-7.2)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90048DE" w14:textId="73D6F10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0.402</w:t>
            </w:r>
          </w:p>
        </w:tc>
      </w:tr>
      <w:tr w:rsidR="00FB3013" w14:paraId="5AD63366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5E95DF08" w14:textId="0306BC3A" w:rsidR="00184309" w:rsidRPr="00184309" w:rsidRDefault="00184309" w:rsidP="00184309">
            <w:pPr>
              <w:pStyle w:val="EndNoteBibliography"/>
              <w:rPr>
                <w:noProof w:val="0"/>
              </w:rPr>
            </w:pPr>
            <w:r>
              <w:rPr>
                <w:lang w:val="en-GB"/>
              </w:rPr>
              <w:t xml:space="preserve">Creatinine  </w:t>
            </w:r>
            <w:r>
              <w:rPr>
                <w:noProof w:val="0"/>
                <w:lang w:val="en-GB"/>
              </w:rPr>
              <w:t xml:space="preserve"> </w:t>
            </w:r>
            <w:r w:rsidR="00FB3013">
              <w:rPr>
                <w:noProof w:val="0"/>
                <w:lang w:val="en-GB"/>
              </w:rPr>
              <w:t>(</w:t>
            </w:r>
            <w:proofErr w:type="spellStart"/>
            <w:r w:rsidR="00FB3013">
              <w:rPr>
                <w:noProof w:val="0"/>
                <w:lang w:val="en-GB"/>
              </w:rPr>
              <w:t>umol</w:t>
            </w:r>
            <w:proofErr w:type="spellEnd"/>
            <w:r w:rsidR="00FB3013">
              <w:rPr>
                <w:noProof w:val="0"/>
                <w:lang w:val="en-GB"/>
              </w:rPr>
              <w:t>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9A306A" w14:textId="7D9F412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2BAC" w14:textId="72BF4CA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 xml:space="preserve">69.5 (57.0-89.8)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8452B" w14:textId="55FBF282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73.5 (60.0-91.5)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E25ABC" w14:textId="17E92EC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0.724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9BFCF84" w14:textId="67B33EC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559" w:type="dxa"/>
          </w:tcPr>
          <w:p w14:paraId="0E88C00A" w14:textId="627D7AD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74 (62-89)</w:t>
            </w:r>
          </w:p>
        </w:tc>
        <w:tc>
          <w:tcPr>
            <w:tcW w:w="1559" w:type="dxa"/>
          </w:tcPr>
          <w:p w14:paraId="2F3C053E" w14:textId="02DE7CAD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68 (56-81)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CA1EB8C" w14:textId="2C61A1E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0.206</w:t>
            </w:r>
          </w:p>
        </w:tc>
      </w:tr>
      <w:tr w:rsidR="00FB3013" w14:paraId="69C605F3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08FF614F" w14:textId="2C1C6009" w:rsidR="00184309" w:rsidRPr="00184309" w:rsidRDefault="00184309" w:rsidP="00184309">
            <w:pPr>
              <w:pStyle w:val="EndNoteBibliography"/>
            </w:pPr>
            <w:r w:rsidRPr="00184309">
              <w:rPr>
                <w:noProof w:val="0"/>
                <w:lang w:val="en-GB"/>
              </w:rPr>
              <w:t>Ferritin</w:t>
            </w:r>
            <w:r w:rsidRPr="00184309">
              <w:rPr>
                <w:lang w:val="en-GB"/>
              </w:rPr>
              <w:t xml:space="preserve"> </w:t>
            </w:r>
            <w:r w:rsidR="00FB3013">
              <w:rPr>
                <w:lang w:val="en-GB"/>
              </w:rPr>
              <w:t>(ug/L)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44D6C3" w14:textId="6192EED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80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FC01F" w14:textId="2FEC5B2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539 (285-1417)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A3176" w14:textId="3D9336F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752 (452-1121)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3871A7" w14:textId="388D2FC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0.385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36D022F" w14:textId="1B6FB93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50</w:t>
            </w:r>
          </w:p>
        </w:tc>
        <w:tc>
          <w:tcPr>
            <w:tcW w:w="1559" w:type="dxa"/>
          </w:tcPr>
          <w:p w14:paraId="67F9C247" w14:textId="28225D56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41 (26-82)</w:t>
            </w:r>
          </w:p>
        </w:tc>
        <w:tc>
          <w:tcPr>
            <w:tcW w:w="1559" w:type="dxa"/>
          </w:tcPr>
          <w:p w14:paraId="739F0BA3" w14:textId="49636F9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41 (29-107)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78E50FF" w14:textId="06BD4C1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0.807</w:t>
            </w:r>
          </w:p>
        </w:tc>
      </w:tr>
      <w:tr w:rsidR="00FB3013" w14:paraId="5BF68E0F" w14:textId="77777777" w:rsidTr="001849D8">
        <w:tc>
          <w:tcPr>
            <w:tcW w:w="1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D4EC0" w14:textId="43D9C84D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 xml:space="preserve">LDH </w:t>
            </w:r>
            <w:r w:rsidR="00FB3013">
              <w:rPr>
                <w:b/>
                <w:bCs/>
                <w:lang w:val="en-GB"/>
              </w:rPr>
              <w:t>(U/L)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2A2F5D1" w14:textId="5CE2D752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73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1324" w14:textId="1972329A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679 (502-955)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4191C" w14:textId="53B0CED0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957 (697-1193)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940729" w14:textId="271D3D2A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0.006**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5E38E62" w14:textId="27C0452F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48</w:t>
            </w:r>
          </w:p>
        </w:tc>
        <w:tc>
          <w:tcPr>
            <w:tcW w:w="1559" w:type="dxa"/>
          </w:tcPr>
          <w:p w14:paraId="55D9FAF3" w14:textId="162AD626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373 (317-405)</w:t>
            </w:r>
          </w:p>
        </w:tc>
        <w:tc>
          <w:tcPr>
            <w:tcW w:w="1559" w:type="dxa"/>
          </w:tcPr>
          <w:p w14:paraId="267D22B5" w14:textId="04661A85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435 (360-490)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9A938D8" w14:textId="5C1401F5" w:rsidR="00184309" w:rsidRPr="00184309" w:rsidRDefault="00184309" w:rsidP="00184309">
            <w:pPr>
              <w:pStyle w:val="EndNoteBibliography"/>
              <w:rPr>
                <w:b/>
                <w:bCs/>
              </w:rPr>
            </w:pPr>
            <w:r w:rsidRPr="00184309">
              <w:rPr>
                <w:b/>
                <w:bCs/>
                <w:lang w:val="en-GB"/>
              </w:rPr>
              <w:t>0.004**</w:t>
            </w:r>
          </w:p>
        </w:tc>
      </w:tr>
      <w:tr w:rsidR="00FB3013" w14:paraId="706A3FC3" w14:textId="77777777" w:rsidTr="001849D8">
        <w:tc>
          <w:tcPr>
            <w:tcW w:w="14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55029F" w14:textId="076A65D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CRP</w:t>
            </w:r>
            <w:r w:rsidR="00FB3013">
              <w:rPr>
                <w:lang w:val="en-GB"/>
              </w:rPr>
              <w:t xml:space="preserve"> (mg/L)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5285F3" w14:textId="056B5DB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97C3E" w14:textId="4D0BF75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94 (32-150)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01C81" w14:textId="40FAF20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115 (86-155)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6273BA" w14:textId="069C033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0.123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2FE91F1" w14:textId="2A33844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97</w:t>
            </w:r>
          </w:p>
        </w:tc>
        <w:tc>
          <w:tcPr>
            <w:tcW w:w="1559" w:type="dxa"/>
          </w:tcPr>
          <w:p w14:paraId="0B31AF8F" w14:textId="1566A64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2 (1-4)</w:t>
            </w:r>
          </w:p>
        </w:tc>
        <w:tc>
          <w:tcPr>
            <w:tcW w:w="1559" w:type="dxa"/>
          </w:tcPr>
          <w:p w14:paraId="0C28AEBC" w14:textId="1E06EA9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 (1-6)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FC4151A" w14:textId="0A63283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0.333</w:t>
            </w:r>
          </w:p>
        </w:tc>
      </w:tr>
      <w:tr w:rsidR="00FB3013" w14:paraId="62990184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66688D2B" w14:textId="0CEA1769" w:rsidR="00184309" w:rsidRPr="00184309" w:rsidRDefault="00FB3013" w:rsidP="00184309">
            <w:pPr>
              <w:pStyle w:val="EndNoteBibliography"/>
            </w:pPr>
            <w:r>
              <w:rPr>
                <w:lang w:val="en-GB"/>
              </w:rPr>
              <w:t>HS-</w:t>
            </w:r>
            <w:r w:rsidR="00184309" w:rsidRPr="00184309">
              <w:rPr>
                <w:lang w:val="en-GB"/>
              </w:rPr>
              <w:t xml:space="preserve">Troponin </w:t>
            </w:r>
            <w:r>
              <w:rPr>
                <w:lang w:val="en-GB"/>
              </w:rPr>
              <w:t>I (ng/L)</w:t>
            </w:r>
            <w:r w:rsidR="00184309" w:rsidRPr="00184309">
              <w:rPr>
                <w:lang w:val="en-GB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FC8895" w14:textId="02F7627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76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08D6E" w14:textId="7BFAB02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 (4-1</w:t>
            </w:r>
            <w:r w:rsidR="001849D8">
              <w:rPr>
                <w:lang w:val="en-GB"/>
              </w:rPr>
              <w:t>2</w:t>
            </w:r>
            <w:r w:rsidRPr="00184309">
              <w:rPr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E6B83" w14:textId="7623E90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11 (6-27)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3F3D0F" w14:textId="190A425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0.014*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1163255" w14:textId="399EAE5C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48</w:t>
            </w:r>
          </w:p>
        </w:tc>
        <w:tc>
          <w:tcPr>
            <w:tcW w:w="1559" w:type="dxa"/>
          </w:tcPr>
          <w:p w14:paraId="1B959E1B" w14:textId="1793DB36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 (2-5)</w:t>
            </w:r>
          </w:p>
        </w:tc>
        <w:tc>
          <w:tcPr>
            <w:tcW w:w="1559" w:type="dxa"/>
          </w:tcPr>
          <w:p w14:paraId="55DF2043" w14:textId="1E4D6DA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 (3-5)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BE59BDB" w14:textId="1B745AA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0.365</w:t>
            </w:r>
          </w:p>
        </w:tc>
      </w:tr>
      <w:tr w:rsidR="00FB3013" w14:paraId="739AD153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1F8DE490" w14:textId="47D7B911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ALT</w:t>
            </w:r>
            <w:r w:rsidR="00FB3013">
              <w:rPr>
                <w:lang w:val="en-GB"/>
              </w:rPr>
              <w:t xml:space="preserve"> (U/L)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862515" w14:textId="678A3EE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89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95605" w14:textId="68C0840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32 (22-63)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5CAEB" w14:textId="5AAFC6B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36 (25-65)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F66FB0" w14:textId="59C5F72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0.510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827965D" w14:textId="1AA882F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559" w:type="dxa"/>
          </w:tcPr>
          <w:p w14:paraId="21C06F6A" w14:textId="4DB6179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22 (18-31)</w:t>
            </w:r>
          </w:p>
        </w:tc>
        <w:tc>
          <w:tcPr>
            <w:tcW w:w="1559" w:type="dxa"/>
          </w:tcPr>
          <w:p w14:paraId="6E7EF246" w14:textId="5DB433CE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21 (13-41)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7214D2F" w14:textId="65343CE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0.710</w:t>
            </w:r>
          </w:p>
        </w:tc>
      </w:tr>
      <w:tr w:rsidR="00FB3013" w14:paraId="7674D286" w14:textId="77777777" w:rsidTr="001849D8"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14:paraId="61A19B34" w14:textId="2F5517EB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Bili</w:t>
            </w:r>
            <w:r>
              <w:rPr>
                <w:lang w:val="en-GB"/>
              </w:rPr>
              <w:t>rubin</w:t>
            </w:r>
            <w:r w:rsidR="00FB3013">
              <w:rPr>
                <w:lang w:val="en-GB"/>
              </w:rPr>
              <w:t xml:space="preserve"> (umol/L)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CBFE73" w14:textId="3D9C40E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77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D2C1D" w14:textId="3C9612BB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 (7-12)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2010" w14:textId="246799ED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13 (8-18)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54E33F" w14:textId="2011464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0.015*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59ED522" w14:textId="51C2F6C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96</w:t>
            </w:r>
          </w:p>
        </w:tc>
        <w:tc>
          <w:tcPr>
            <w:tcW w:w="1559" w:type="dxa"/>
          </w:tcPr>
          <w:p w14:paraId="59634CE5" w14:textId="3F810A7A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9 (7-11)</w:t>
            </w:r>
          </w:p>
        </w:tc>
        <w:tc>
          <w:tcPr>
            <w:tcW w:w="1559" w:type="dxa"/>
          </w:tcPr>
          <w:p w14:paraId="5189DB56" w14:textId="547BC548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8 (7-12)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0B04C88" w14:textId="2B4C48A1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0.984</w:t>
            </w:r>
          </w:p>
        </w:tc>
      </w:tr>
      <w:tr w:rsidR="00FB3013" w14:paraId="2D5A12EE" w14:textId="77777777" w:rsidTr="001849D8">
        <w:tc>
          <w:tcPr>
            <w:tcW w:w="1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8438" w14:textId="1DCDE0B1" w:rsidR="00184309" w:rsidRPr="00184309" w:rsidRDefault="00184309" w:rsidP="00184309">
            <w:pPr>
              <w:pStyle w:val="EndNoteBibliography"/>
              <w:rPr>
                <w:lang w:val="en-GB"/>
              </w:rPr>
            </w:pPr>
            <w:r w:rsidRPr="00184309">
              <w:rPr>
                <w:lang w:val="en-GB"/>
              </w:rPr>
              <w:t>D-dimer</w:t>
            </w:r>
            <w:r w:rsidR="00FB3013">
              <w:rPr>
                <w:lang w:val="en-GB"/>
              </w:rPr>
              <w:t xml:space="preserve"> (ug/L)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9AA48D0" w14:textId="2E727047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59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B81FB0" w14:textId="64595205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447 (295-811)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A491C2" w14:textId="3588D01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548 (407-734)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788BC0" w14:textId="288B0A6D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0.257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5964181" w14:textId="791BCB70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85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5BDC43" w14:textId="3E890A24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&lt;230</w:t>
            </w:r>
            <w:r w:rsidRPr="00184309">
              <w:rPr>
                <w:vertAlign w:val="superscript"/>
                <w:lang w:val="en-GB"/>
              </w:rPr>
              <w:t>&amp;</w:t>
            </w:r>
            <w:r w:rsidRPr="00184309">
              <w:rPr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F1DCD7B" w14:textId="6E3B8A39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&lt;230</w:t>
            </w:r>
            <w:r w:rsidRPr="00184309">
              <w:rPr>
                <w:vertAlign w:val="superscript"/>
                <w:lang w:val="en-GB"/>
              </w:rPr>
              <w:t xml:space="preserve">&amp;  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560CB0A" w14:textId="46D4824F" w:rsidR="00184309" w:rsidRPr="00184309" w:rsidRDefault="00184309" w:rsidP="00184309">
            <w:pPr>
              <w:pStyle w:val="EndNoteBibliography"/>
            </w:pPr>
            <w:r w:rsidRPr="00184309">
              <w:rPr>
                <w:lang w:val="en-GB"/>
              </w:rPr>
              <w:t>0.769</w:t>
            </w:r>
          </w:p>
        </w:tc>
      </w:tr>
    </w:tbl>
    <w:p w14:paraId="7E704C32" w14:textId="77777777" w:rsidR="00855B1B" w:rsidRDefault="00855B1B" w:rsidP="003B3E61">
      <w:pPr>
        <w:pStyle w:val="EndNoteBibliography"/>
        <w:spacing w:after="0"/>
        <w:rPr>
          <w:b/>
          <w:bCs/>
        </w:rPr>
      </w:pPr>
    </w:p>
    <w:p w14:paraId="0712F834" w14:textId="2CB68830" w:rsidR="00855B1B" w:rsidRPr="00E320D0" w:rsidRDefault="00FB3013" w:rsidP="003B3E61">
      <w:pPr>
        <w:pStyle w:val="EndNoteBibliography"/>
        <w:spacing w:after="0"/>
        <w:rPr>
          <w:noProof w:val="0"/>
        </w:rPr>
      </w:pPr>
      <w:r>
        <w:rPr>
          <w:b/>
          <w:bCs/>
        </w:rPr>
        <w:t>Table 3. Baseline and Follow-up Pathology Data</w:t>
      </w:r>
      <w:r w:rsidR="00676E3E">
        <w:rPr>
          <w:b/>
          <w:bCs/>
        </w:rPr>
        <w:t xml:space="preserve"> for patients </w:t>
      </w:r>
      <w:r w:rsidR="00192D08">
        <w:rPr>
          <w:b/>
          <w:bCs/>
        </w:rPr>
        <w:t>reviewed</w:t>
      </w:r>
      <w:r w:rsidR="00676E3E">
        <w:rPr>
          <w:b/>
          <w:bCs/>
        </w:rPr>
        <w:t xml:space="preserve"> in the </w:t>
      </w:r>
      <w:r w:rsidR="00192D08">
        <w:rPr>
          <w:b/>
          <w:bCs/>
        </w:rPr>
        <w:t xml:space="preserve">12-week </w:t>
      </w:r>
      <w:r w:rsidR="00676E3E">
        <w:rPr>
          <w:b/>
          <w:bCs/>
        </w:rPr>
        <w:t xml:space="preserve">post </w:t>
      </w:r>
      <w:r w:rsidR="00192D08">
        <w:rPr>
          <w:b/>
          <w:bCs/>
        </w:rPr>
        <w:t xml:space="preserve">hospitilisation </w:t>
      </w:r>
      <w:r w:rsidR="00676E3E">
        <w:rPr>
          <w:b/>
          <w:bCs/>
        </w:rPr>
        <w:t>COVID-19 virtual clinic</w:t>
      </w:r>
      <w:r>
        <w:rPr>
          <w:b/>
          <w:bCs/>
        </w:rPr>
        <w:t xml:space="preserve">. </w:t>
      </w:r>
      <w:r>
        <w:t>Hb; haemoglobin, WBC; total white blood cell count</w:t>
      </w:r>
      <w:r w:rsidR="00E320D0">
        <w:t xml:space="preserve">, </w:t>
      </w:r>
      <w:r>
        <w:t xml:space="preserve">LDH Lactate </w:t>
      </w:r>
      <w:r w:rsidR="00676E3E">
        <w:t>dehydrogenase, CRP</w:t>
      </w:r>
      <w:r>
        <w:rPr>
          <w:noProof w:val="0"/>
        </w:rPr>
        <w:t xml:space="preserve"> C-Reactive Protein,</w:t>
      </w:r>
      <w:r w:rsidR="00676E3E">
        <w:rPr>
          <w:noProof w:val="0"/>
        </w:rPr>
        <w:t xml:space="preserve"> HS-Troponin I-High Sensitivity Troponin I,</w:t>
      </w:r>
      <w:r>
        <w:rPr>
          <w:noProof w:val="0"/>
        </w:rPr>
        <w:t xml:space="preserve"> ALT-Alanine transaminase</w:t>
      </w:r>
      <w:r w:rsidR="00676E3E">
        <w:rPr>
          <w:noProof w:val="0"/>
        </w:rPr>
        <w:t>.</w:t>
      </w:r>
      <w:r>
        <w:rPr>
          <w:b/>
          <w:bCs/>
        </w:rPr>
        <w:t xml:space="preserve"> </w:t>
      </w:r>
      <w:r>
        <w:t>*p&lt;0.05 **p&lt;0.01</w:t>
      </w:r>
      <w:r w:rsidR="00E320D0">
        <w:t xml:space="preserve"> </w:t>
      </w:r>
      <w:r w:rsidR="00E320D0">
        <w:rPr>
          <w:vertAlign w:val="superscript"/>
        </w:rPr>
        <w:t>&amp;</w:t>
      </w:r>
      <w:r w:rsidR="00E320D0">
        <w:t>230 ug/L lower limit of d-dimer detection.</w:t>
      </w:r>
    </w:p>
    <w:p w14:paraId="750AB729" w14:textId="77777777" w:rsidR="00855B1B" w:rsidRDefault="00855B1B" w:rsidP="003B3E61">
      <w:pPr>
        <w:pStyle w:val="EndNoteBibliography"/>
        <w:spacing w:after="0"/>
        <w:rPr>
          <w:b/>
          <w:bCs/>
        </w:rPr>
      </w:pPr>
    </w:p>
    <w:p w14:paraId="6B79EB79" w14:textId="5025E7A6" w:rsidR="00855B1B" w:rsidRDefault="00855B1B" w:rsidP="003B3E61">
      <w:pPr>
        <w:pStyle w:val="EndNoteBibliography"/>
        <w:spacing w:after="0"/>
        <w:rPr>
          <w:b/>
          <w:bCs/>
        </w:rPr>
      </w:pPr>
    </w:p>
    <w:p w14:paraId="5934BBD9" w14:textId="5829706C" w:rsidR="00D438D9" w:rsidRDefault="00D438D9" w:rsidP="003B3E61">
      <w:pPr>
        <w:pStyle w:val="EndNoteBibliography"/>
        <w:spacing w:after="0"/>
        <w:rPr>
          <w:b/>
          <w:bCs/>
        </w:rPr>
      </w:pPr>
    </w:p>
    <w:p w14:paraId="48CAC42A" w14:textId="1679901D" w:rsidR="00D438D9" w:rsidRDefault="00D438D9" w:rsidP="003B3E61">
      <w:pPr>
        <w:pStyle w:val="EndNoteBibliography"/>
        <w:spacing w:after="0"/>
        <w:rPr>
          <w:b/>
          <w:bCs/>
        </w:rPr>
      </w:pPr>
    </w:p>
    <w:p w14:paraId="509A556B" w14:textId="4F548BA1" w:rsidR="00D438D9" w:rsidRDefault="00D438D9" w:rsidP="003B3E61">
      <w:pPr>
        <w:pStyle w:val="EndNoteBibliography"/>
        <w:spacing w:after="0"/>
        <w:rPr>
          <w:b/>
          <w:bCs/>
        </w:rPr>
      </w:pPr>
    </w:p>
    <w:p w14:paraId="797D6DB6" w14:textId="5C9DEA40" w:rsidR="00D438D9" w:rsidRDefault="00D438D9" w:rsidP="003B3E61">
      <w:pPr>
        <w:pStyle w:val="EndNoteBibliography"/>
        <w:spacing w:after="0"/>
        <w:rPr>
          <w:b/>
          <w:bCs/>
        </w:rPr>
      </w:pPr>
    </w:p>
    <w:p w14:paraId="313086CC" w14:textId="422467E0" w:rsidR="00D438D9" w:rsidRDefault="00D438D9" w:rsidP="003B3E61">
      <w:pPr>
        <w:pStyle w:val="EndNoteBibliography"/>
        <w:spacing w:after="0"/>
        <w:rPr>
          <w:b/>
          <w:bCs/>
        </w:rPr>
      </w:pPr>
    </w:p>
    <w:p w14:paraId="09B1D8D7" w14:textId="0052328D" w:rsidR="00D438D9" w:rsidRDefault="00D438D9" w:rsidP="003B3E61">
      <w:pPr>
        <w:pStyle w:val="EndNoteBibliography"/>
        <w:spacing w:after="0"/>
        <w:rPr>
          <w:b/>
          <w:bCs/>
        </w:rPr>
      </w:pPr>
    </w:p>
    <w:p w14:paraId="6C69FA0D" w14:textId="0B32574F" w:rsidR="00D438D9" w:rsidRDefault="00D438D9" w:rsidP="003B3E61">
      <w:pPr>
        <w:pStyle w:val="EndNoteBibliography"/>
        <w:spacing w:after="0"/>
        <w:rPr>
          <w:b/>
          <w:bCs/>
        </w:rPr>
      </w:pPr>
    </w:p>
    <w:p w14:paraId="254C25C7" w14:textId="7679BCBE" w:rsidR="00D438D9" w:rsidRDefault="00D438D9" w:rsidP="003B3E61">
      <w:pPr>
        <w:pStyle w:val="EndNoteBibliography"/>
        <w:spacing w:after="0"/>
        <w:rPr>
          <w:b/>
          <w:bCs/>
        </w:rPr>
      </w:pPr>
    </w:p>
    <w:p w14:paraId="374ACC45" w14:textId="2317B68A" w:rsidR="00D438D9" w:rsidRDefault="00D438D9" w:rsidP="003B3E61">
      <w:pPr>
        <w:pStyle w:val="EndNoteBibliography"/>
        <w:spacing w:after="0"/>
        <w:rPr>
          <w:b/>
          <w:bCs/>
        </w:rPr>
      </w:pPr>
    </w:p>
    <w:p w14:paraId="5FC28D8B" w14:textId="35062271" w:rsidR="00D438D9" w:rsidRDefault="00D438D9" w:rsidP="003B3E61">
      <w:pPr>
        <w:pStyle w:val="EndNoteBibliography"/>
        <w:spacing w:after="0"/>
        <w:rPr>
          <w:b/>
          <w:bCs/>
        </w:rPr>
      </w:pPr>
    </w:p>
    <w:p w14:paraId="4764066B" w14:textId="5F188971" w:rsidR="00D438D9" w:rsidRDefault="00D438D9" w:rsidP="003B3E61">
      <w:pPr>
        <w:pStyle w:val="EndNoteBibliography"/>
        <w:spacing w:after="0"/>
        <w:rPr>
          <w:b/>
          <w:bCs/>
        </w:rPr>
      </w:pPr>
    </w:p>
    <w:p w14:paraId="4B5D996E" w14:textId="0664DD12" w:rsidR="00D438D9" w:rsidRDefault="00D438D9" w:rsidP="003B3E61">
      <w:pPr>
        <w:pStyle w:val="EndNoteBibliography"/>
        <w:spacing w:after="0"/>
        <w:rPr>
          <w:b/>
          <w:bCs/>
        </w:rPr>
      </w:pPr>
    </w:p>
    <w:p w14:paraId="6681B263" w14:textId="7EFE77F0" w:rsidR="00D438D9" w:rsidRDefault="00D438D9" w:rsidP="003B3E61">
      <w:pPr>
        <w:pStyle w:val="EndNoteBibliography"/>
        <w:spacing w:after="0"/>
        <w:rPr>
          <w:b/>
          <w:bCs/>
        </w:rPr>
      </w:pPr>
    </w:p>
    <w:p w14:paraId="034C3E02" w14:textId="1D8786DB" w:rsidR="00D438D9" w:rsidRDefault="00D438D9" w:rsidP="003B3E61">
      <w:pPr>
        <w:pStyle w:val="EndNoteBibliography"/>
        <w:spacing w:after="0"/>
        <w:rPr>
          <w:b/>
          <w:bCs/>
        </w:rPr>
      </w:pPr>
    </w:p>
    <w:p w14:paraId="734D3C19" w14:textId="37A39559" w:rsidR="00D438D9" w:rsidRDefault="00D438D9" w:rsidP="003B3E61">
      <w:pPr>
        <w:pStyle w:val="EndNoteBibliography"/>
        <w:spacing w:after="0"/>
        <w:rPr>
          <w:b/>
          <w:bCs/>
        </w:rPr>
      </w:pPr>
    </w:p>
    <w:p w14:paraId="19A54C61" w14:textId="5C12AF36" w:rsidR="00D438D9" w:rsidRDefault="00D438D9" w:rsidP="003B3E61">
      <w:pPr>
        <w:pStyle w:val="EndNoteBibliography"/>
        <w:spacing w:after="0"/>
        <w:rPr>
          <w:b/>
          <w:bCs/>
        </w:rPr>
      </w:pPr>
    </w:p>
    <w:p w14:paraId="53D893D1" w14:textId="77777777" w:rsidR="00D438D9" w:rsidRDefault="00D438D9" w:rsidP="003B3E61">
      <w:pPr>
        <w:pStyle w:val="EndNoteBibliography"/>
        <w:spacing w:after="0"/>
        <w:rPr>
          <w:b/>
          <w:bCs/>
        </w:rPr>
      </w:pPr>
    </w:p>
    <w:p w14:paraId="3417C427" w14:textId="21483DDC" w:rsidR="005375BD" w:rsidRDefault="00891DC6" w:rsidP="003B3E61">
      <w:pPr>
        <w:pStyle w:val="EndNoteBibliography"/>
        <w:spacing w:after="0"/>
        <w:rPr>
          <w:b/>
          <w:bCs/>
        </w:rPr>
      </w:pPr>
      <w:r w:rsidRPr="00891DC6">
        <w:rPr>
          <w:b/>
          <w:bCs/>
        </w:rPr>
        <w:lastRenderedPageBreak/>
        <w:t xml:space="preserve">Table </w:t>
      </w:r>
      <w:r w:rsidR="00855B1B">
        <w:rPr>
          <w:b/>
          <w:bCs/>
        </w:rPr>
        <w:t>4</w:t>
      </w:r>
      <w:r w:rsidRPr="00891DC6">
        <w:rPr>
          <w:b/>
          <w:bCs/>
        </w:rPr>
        <w:t xml:space="preserve"> </w:t>
      </w:r>
      <w:r w:rsidR="001F61CE" w:rsidRPr="00891DC6">
        <w:rPr>
          <w:b/>
          <w:bCs/>
        </w:rPr>
        <w:t xml:space="preserve"> </w:t>
      </w:r>
    </w:p>
    <w:p w14:paraId="44E9EA4E" w14:textId="77777777" w:rsidR="00891DC6" w:rsidRPr="00891DC6" w:rsidRDefault="00891DC6" w:rsidP="003B3E61">
      <w:pPr>
        <w:pStyle w:val="EndNoteBibliography"/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1DC6" w14:paraId="6928DC07" w14:textId="77777777" w:rsidTr="0088452C">
        <w:tc>
          <w:tcPr>
            <w:tcW w:w="3005" w:type="dxa"/>
          </w:tcPr>
          <w:p w14:paraId="006B642C" w14:textId="77777777" w:rsidR="00891DC6" w:rsidRPr="001929D3" w:rsidRDefault="00891DC6" w:rsidP="0088452C">
            <w:pPr>
              <w:pStyle w:val="EndNoteBibliography"/>
              <w:jc w:val="both"/>
              <w:rPr>
                <w:b/>
                <w:bCs/>
                <w:lang w:val="en-GB"/>
              </w:rPr>
            </w:pPr>
            <w:r w:rsidRPr="001929D3">
              <w:rPr>
                <w:b/>
                <w:bCs/>
                <w:lang w:val="en-GB"/>
              </w:rPr>
              <w:t>Variable</w:t>
            </w:r>
          </w:p>
        </w:tc>
        <w:tc>
          <w:tcPr>
            <w:tcW w:w="3005" w:type="dxa"/>
          </w:tcPr>
          <w:p w14:paraId="32EEA90D" w14:textId="77777777" w:rsidR="00891DC6" w:rsidRPr="001929D3" w:rsidRDefault="00891DC6" w:rsidP="0088452C">
            <w:pPr>
              <w:pStyle w:val="EndNoteBibliography"/>
              <w:jc w:val="both"/>
              <w:rPr>
                <w:b/>
                <w:bCs/>
                <w:lang w:val="en-GB"/>
              </w:rPr>
            </w:pPr>
            <w:r w:rsidRPr="001929D3">
              <w:rPr>
                <w:b/>
                <w:bCs/>
                <w:lang w:val="en-GB"/>
              </w:rPr>
              <w:t>Descriptor</w:t>
            </w:r>
          </w:p>
        </w:tc>
        <w:tc>
          <w:tcPr>
            <w:tcW w:w="3006" w:type="dxa"/>
          </w:tcPr>
          <w:p w14:paraId="08D832FD" w14:textId="77777777" w:rsidR="00891DC6" w:rsidRPr="001929D3" w:rsidRDefault="00891DC6" w:rsidP="0088452C">
            <w:pPr>
              <w:pStyle w:val="EndNoteBibliography"/>
              <w:jc w:val="both"/>
              <w:rPr>
                <w:b/>
                <w:bCs/>
                <w:lang w:val="en-GB"/>
              </w:rPr>
            </w:pPr>
            <w:r w:rsidRPr="001929D3">
              <w:rPr>
                <w:b/>
                <w:bCs/>
                <w:lang w:val="en-GB"/>
              </w:rPr>
              <w:t>Point Score</w:t>
            </w:r>
          </w:p>
        </w:tc>
      </w:tr>
      <w:tr w:rsidR="00891DC6" w14:paraId="33AC7CBC" w14:textId="77777777" w:rsidTr="0088452C">
        <w:tc>
          <w:tcPr>
            <w:tcW w:w="3005" w:type="dxa"/>
          </w:tcPr>
          <w:p w14:paraId="5F8DDF0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Length of stay </w:t>
            </w:r>
          </w:p>
        </w:tc>
        <w:tc>
          <w:tcPr>
            <w:tcW w:w="3005" w:type="dxa"/>
          </w:tcPr>
          <w:p w14:paraId="60B1257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lang w:val="en-GB"/>
              </w:rPr>
              <w:t>≥15 days</w:t>
            </w:r>
          </w:p>
        </w:tc>
        <w:tc>
          <w:tcPr>
            <w:tcW w:w="3006" w:type="dxa"/>
          </w:tcPr>
          <w:p w14:paraId="06F6587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91DC6" w14:paraId="41C59EFC" w14:textId="77777777" w:rsidTr="0088452C">
        <w:tc>
          <w:tcPr>
            <w:tcW w:w="3005" w:type="dxa"/>
          </w:tcPr>
          <w:p w14:paraId="7B3A184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LDH</w:t>
            </w:r>
          </w:p>
        </w:tc>
        <w:tc>
          <w:tcPr>
            <w:tcW w:w="3005" w:type="dxa"/>
          </w:tcPr>
          <w:p w14:paraId="7EC24FC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750 U/L</w:t>
            </w:r>
          </w:p>
        </w:tc>
        <w:tc>
          <w:tcPr>
            <w:tcW w:w="3006" w:type="dxa"/>
          </w:tcPr>
          <w:p w14:paraId="7F7B8C63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91DC6" w14:paraId="22BF029F" w14:textId="77777777" w:rsidTr="0088452C">
        <w:tc>
          <w:tcPr>
            <w:tcW w:w="3005" w:type="dxa"/>
          </w:tcPr>
          <w:p w14:paraId="55710E7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Level 2 or 3 care admission </w:t>
            </w:r>
          </w:p>
        </w:tc>
        <w:tc>
          <w:tcPr>
            <w:tcW w:w="3005" w:type="dxa"/>
          </w:tcPr>
          <w:p w14:paraId="6D452B7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3006" w:type="dxa"/>
          </w:tcPr>
          <w:p w14:paraId="11A2846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91DC6" w14:paraId="3471D184" w14:textId="77777777" w:rsidTr="0088452C">
        <w:tc>
          <w:tcPr>
            <w:tcW w:w="3005" w:type="dxa"/>
          </w:tcPr>
          <w:p w14:paraId="14D44A0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Current or ex-smoker</w:t>
            </w:r>
          </w:p>
        </w:tc>
        <w:tc>
          <w:tcPr>
            <w:tcW w:w="3005" w:type="dxa"/>
          </w:tcPr>
          <w:p w14:paraId="2F27E3B4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3006" w:type="dxa"/>
          </w:tcPr>
          <w:p w14:paraId="285733FA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91DC6" w14:paraId="41256290" w14:textId="77777777" w:rsidTr="0088452C">
        <w:tc>
          <w:tcPr>
            <w:tcW w:w="3005" w:type="dxa"/>
          </w:tcPr>
          <w:p w14:paraId="0D7F8AAD" w14:textId="77777777" w:rsidR="00891DC6" w:rsidRPr="001929D3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Obesity (BMI &gt;30 kg/m</w:t>
            </w:r>
            <w:r>
              <w:rPr>
                <w:vertAlign w:val="superscript"/>
                <w:lang w:val="en-GB"/>
              </w:rPr>
              <w:t>2</w:t>
            </w:r>
            <w:r>
              <w:rPr>
                <w:lang w:val="en-GB"/>
              </w:rPr>
              <w:t>)</w:t>
            </w:r>
          </w:p>
        </w:tc>
        <w:tc>
          <w:tcPr>
            <w:tcW w:w="3005" w:type="dxa"/>
          </w:tcPr>
          <w:p w14:paraId="70F7BA8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3006" w:type="dxa"/>
          </w:tcPr>
          <w:p w14:paraId="6ABBC94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91DC6" w14:paraId="27DB1107" w14:textId="77777777" w:rsidTr="0088452C">
        <w:tc>
          <w:tcPr>
            <w:tcW w:w="3005" w:type="dxa"/>
          </w:tcPr>
          <w:p w14:paraId="524309E0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</w:p>
        </w:tc>
        <w:tc>
          <w:tcPr>
            <w:tcW w:w="3005" w:type="dxa"/>
          </w:tcPr>
          <w:p w14:paraId="70DEAEDD" w14:textId="77777777" w:rsidR="00891DC6" w:rsidRPr="001929D3" w:rsidRDefault="00891DC6" w:rsidP="0088452C">
            <w:pPr>
              <w:pStyle w:val="EndNoteBibliography"/>
              <w:jc w:val="both"/>
              <w:rPr>
                <w:b/>
                <w:bCs/>
                <w:lang w:val="en-GB"/>
              </w:rPr>
            </w:pPr>
            <w:r w:rsidRPr="001929D3">
              <w:rPr>
                <w:b/>
                <w:bCs/>
                <w:lang w:val="en-GB"/>
              </w:rPr>
              <w:t>Total Score</w:t>
            </w:r>
          </w:p>
        </w:tc>
        <w:tc>
          <w:tcPr>
            <w:tcW w:w="3006" w:type="dxa"/>
          </w:tcPr>
          <w:p w14:paraId="29E741FB" w14:textId="77777777" w:rsidR="00891DC6" w:rsidRPr="001929D3" w:rsidRDefault="00891DC6" w:rsidP="0088452C">
            <w:pPr>
              <w:pStyle w:val="EndNoteBibliography"/>
              <w:jc w:val="both"/>
              <w:rPr>
                <w:b/>
                <w:bCs/>
                <w:lang w:val="en-GB"/>
              </w:rPr>
            </w:pPr>
            <w:r w:rsidRPr="001929D3">
              <w:rPr>
                <w:b/>
                <w:bCs/>
                <w:lang w:val="en-GB"/>
              </w:rPr>
              <w:t>5</w:t>
            </w:r>
          </w:p>
        </w:tc>
      </w:tr>
    </w:tbl>
    <w:p w14:paraId="1A290107" w14:textId="32405EC3" w:rsidR="00891DC6" w:rsidRPr="00BE66E6" w:rsidRDefault="00891DC6" w:rsidP="00891DC6">
      <w:pPr>
        <w:pStyle w:val="EndNoteBibliography"/>
        <w:jc w:val="both"/>
        <w:rPr>
          <w:vertAlign w:val="superscript"/>
          <w:lang w:val="en-GB"/>
        </w:rPr>
      </w:pPr>
      <w:r w:rsidRPr="00A25FDA">
        <w:rPr>
          <w:b/>
          <w:bCs/>
          <w:lang w:val="en-GB"/>
        </w:rPr>
        <w:t xml:space="preserve">Table </w:t>
      </w:r>
      <w:r w:rsidR="00855B1B">
        <w:rPr>
          <w:b/>
          <w:bCs/>
          <w:lang w:val="en-GB"/>
        </w:rPr>
        <w:t>4</w:t>
      </w:r>
      <w:r w:rsidRPr="00A25FDA">
        <w:rPr>
          <w:b/>
          <w:bCs/>
          <w:lang w:val="en-GB"/>
        </w:rPr>
        <w:t>a</w:t>
      </w:r>
      <w:r>
        <w:rPr>
          <w:lang w:val="en-GB"/>
        </w:rPr>
        <w:t xml:space="preserve"> Combined Risk Prediction Score. 0-5 point scale with 1 point each for length of stay ≥ 15 days, LDH ≥ 750 U/L, positive current or ex-smoking status, admission to a level 2</w:t>
      </w:r>
      <w:r w:rsidR="001849D8">
        <w:rPr>
          <w:lang w:val="en-GB"/>
        </w:rPr>
        <w:t xml:space="preserve"> (</w:t>
      </w:r>
      <w:r w:rsidR="001849D8" w:rsidRPr="001849D8">
        <w:rPr>
          <w:lang w:val="en-GB"/>
        </w:rPr>
        <w:t>high dependency</w:t>
      </w:r>
      <w:r w:rsidR="001849D8">
        <w:rPr>
          <w:lang w:val="en-GB"/>
        </w:rPr>
        <w:t>)</w:t>
      </w:r>
      <w:r>
        <w:rPr>
          <w:lang w:val="en-GB"/>
        </w:rPr>
        <w:t xml:space="preserve"> or 3 </w:t>
      </w:r>
      <w:r w:rsidR="001849D8">
        <w:rPr>
          <w:lang w:val="en-GB"/>
        </w:rPr>
        <w:t xml:space="preserve">(intensive care) </w:t>
      </w:r>
      <w:r>
        <w:rPr>
          <w:lang w:val="en-GB"/>
        </w:rPr>
        <w:t xml:space="preserve">facility and, positive past medical history of obesity </w:t>
      </w:r>
      <w:r w:rsidR="00E62792">
        <w:rPr>
          <w:lang w:val="en-GB"/>
        </w:rPr>
        <w:t>(Body mass index [BMI]&gt; 30 kg/m</w:t>
      </w:r>
      <w:r w:rsidR="00E62792">
        <w:rPr>
          <w:vertAlign w:val="superscript"/>
          <w:lang w:val="en-GB"/>
        </w:rPr>
        <w:t>2</w:t>
      </w:r>
      <w:r w:rsidR="00E62792">
        <w:rPr>
          <w:lang w:val="en-GB"/>
        </w:rPr>
        <w:t>)</w:t>
      </w:r>
    </w:p>
    <w:p w14:paraId="321927F6" w14:textId="77777777" w:rsidR="00891DC6" w:rsidRDefault="00891DC6" w:rsidP="00891DC6">
      <w:pPr>
        <w:pStyle w:val="EndNoteBibliography"/>
        <w:jc w:val="both"/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22"/>
        <w:gridCol w:w="1543"/>
        <w:gridCol w:w="1177"/>
        <w:gridCol w:w="1695"/>
        <w:gridCol w:w="1169"/>
        <w:gridCol w:w="1274"/>
        <w:gridCol w:w="1413"/>
      </w:tblGrid>
      <w:tr w:rsidR="00891DC6" w14:paraId="278EECE6" w14:textId="77777777" w:rsidTr="001849D8">
        <w:tc>
          <w:tcPr>
            <w:tcW w:w="1230" w:type="dxa"/>
            <w:vAlign w:val="bottom"/>
          </w:tcPr>
          <w:p w14:paraId="0A1EC79C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Score</w:t>
            </w:r>
          </w:p>
        </w:tc>
        <w:tc>
          <w:tcPr>
            <w:tcW w:w="1549" w:type="dxa"/>
            <w:vAlign w:val="bottom"/>
          </w:tcPr>
          <w:p w14:paraId="59DC6AD6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Remaining</w:t>
            </w:r>
            <w:r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185" w:type="dxa"/>
            <w:vAlign w:val="bottom"/>
          </w:tcPr>
          <w:p w14:paraId="77FB724C" w14:textId="3D75F4A9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1849D8">
              <w:rPr>
                <w:rFonts w:eastAsia="Times New Roman"/>
                <w:color w:val="000000"/>
                <w:lang w:eastAsia="en-GB"/>
              </w:rPr>
              <w:t>With score</w:t>
            </w:r>
            <w:r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701" w:type="dxa"/>
            <w:vAlign w:val="bottom"/>
          </w:tcPr>
          <w:p w14:paraId="78A3A70C" w14:textId="0BF18B4A" w:rsidR="00891DC6" w:rsidRPr="001929D3" w:rsidRDefault="001849D8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lang w:val="en-GB"/>
              </w:rPr>
              <w:t>Persistent abnormality</w:t>
            </w:r>
            <w:r w:rsidR="00891DC6"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134" w:type="dxa"/>
            <w:vAlign w:val="bottom"/>
          </w:tcPr>
          <w:p w14:paraId="394C6428" w14:textId="32854C65" w:rsidR="00891DC6" w:rsidRPr="001929D3" w:rsidRDefault="001849D8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Resolution</w:t>
            </w:r>
            <w:r w:rsidR="00891DC6"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276" w:type="dxa"/>
            <w:vAlign w:val="bottom"/>
          </w:tcPr>
          <w:p w14:paraId="42AB227B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Sensitivity</w:t>
            </w:r>
          </w:p>
        </w:tc>
        <w:tc>
          <w:tcPr>
            <w:tcW w:w="1418" w:type="dxa"/>
            <w:vAlign w:val="bottom"/>
          </w:tcPr>
          <w:p w14:paraId="3A569B41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1-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1929D3">
              <w:rPr>
                <w:rFonts w:eastAsia="Times New Roman"/>
                <w:color w:val="000000"/>
                <w:lang w:eastAsia="en-GB"/>
              </w:rPr>
              <w:t>pecificity</w:t>
            </w:r>
          </w:p>
        </w:tc>
      </w:tr>
      <w:tr w:rsidR="00891DC6" w14:paraId="3AE4C5FE" w14:textId="77777777" w:rsidTr="001849D8">
        <w:tc>
          <w:tcPr>
            <w:tcW w:w="1230" w:type="dxa"/>
            <w:vAlign w:val="bottom"/>
          </w:tcPr>
          <w:p w14:paraId="3122F6B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549" w:type="dxa"/>
            <w:vAlign w:val="bottom"/>
          </w:tcPr>
          <w:p w14:paraId="255EB48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66</w:t>
            </w:r>
          </w:p>
        </w:tc>
        <w:tc>
          <w:tcPr>
            <w:tcW w:w="1185" w:type="dxa"/>
            <w:vAlign w:val="bottom"/>
          </w:tcPr>
          <w:p w14:paraId="3D414D4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1701" w:type="dxa"/>
            <w:vAlign w:val="bottom"/>
          </w:tcPr>
          <w:p w14:paraId="0D3F7923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vAlign w:val="bottom"/>
          </w:tcPr>
          <w:p w14:paraId="5716F85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1276" w:type="dxa"/>
            <w:vAlign w:val="bottom"/>
          </w:tcPr>
          <w:p w14:paraId="274256DC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418" w:type="dxa"/>
            <w:vAlign w:val="bottom"/>
          </w:tcPr>
          <w:p w14:paraId="370AF84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891DC6" w14:paraId="7B2B10FE" w14:textId="77777777" w:rsidTr="001849D8">
        <w:tc>
          <w:tcPr>
            <w:tcW w:w="1230" w:type="dxa"/>
            <w:vAlign w:val="bottom"/>
          </w:tcPr>
          <w:p w14:paraId="758C6C33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549" w:type="dxa"/>
            <w:vAlign w:val="bottom"/>
          </w:tcPr>
          <w:p w14:paraId="271FD2F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53</w:t>
            </w:r>
          </w:p>
        </w:tc>
        <w:tc>
          <w:tcPr>
            <w:tcW w:w="1185" w:type="dxa"/>
            <w:vAlign w:val="bottom"/>
          </w:tcPr>
          <w:p w14:paraId="0AEC4F7B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1701" w:type="dxa"/>
            <w:vAlign w:val="bottom"/>
          </w:tcPr>
          <w:p w14:paraId="26B1D2B0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1134" w:type="dxa"/>
            <w:vAlign w:val="bottom"/>
          </w:tcPr>
          <w:p w14:paraId="0EEC7BD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215788A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418" w:type="dxa"/>
            <w:vAlign w:val="bottom"/>
          </w:tcPr>
          <w:p w14:paraId="362316B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0.698</w:t>
            </w:r>
          </w:p>
        </w:tc>
      </w:tr>
      <w:tr w:rsidR="00891DC6" w14:paraId="5EE9C8A3" w14:textId="77777777" w:rsidTr="001849D8">
        <w:tc>
          <w:tcPr>
            <w:tcW w:w="1230" w:type="dxa"/>
            <w:vAlign w:val="bottom"/>
          </w:tcPr>
          <w:p w14:paraId="3E37C80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1549" w:type="dxa"/>
            <w:vAlign w:val="bottom"/>
          </w:tcPr>
          <w:p w14:paraId="7D02643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42</w:t>
            </w:r>
          </w:p>
        </w:tc>
        <w:tc>
          <w:tcPr>
            <w:tcW w:w="1185" w:type="dxa"/>
            <w:vAlign w:val="bottom"/>
          </w:tcPr>
          <w:p w14:paraId="5FCBE62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1701" w:type="dxa"/>
            <w:vAlign w:val="bottom"/>
          </w:tcPr>
          <w:p w14:paraId="2C4A35C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134" w:type="dxa"/>
            <w:vAlign w:val="bottom"/>
          </w:tcPr>
          <w:p w14:paraId="35FDB63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14</w:t>
            </w:r>
          </w:p>
        </w:tc>
        <w:tc>
          <w:tcPr>
            <w:tcW w:w="1276" w:type="dxa"/>
            <w:vAlign w:val="bottom"/>
          </w:tcPr>
          <w:p w14:paraId="614401D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0.87</w:t>
            </w:r>
          </w:p>
        </w:tc>
        <w:tc>
          <w:tcPr>
            <w:tcW w:w="1418" w:type="dxa"/>
            <w:vAlign w:val="bottom"/>
          </w:tcPr>
          <w:p w14:paraId="0906A4B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0.512</w:t>
            </w:r>
          </w:p>
        </w:tc>
      </w:tr>
      <w:tr w:rsidR="00891DC6" w14:paraId="4E334994" w14:textId="77777777" w:rsidTr="001849D8">
        <w:tc>
          <w:tcPr>
            <w:tcW w:w="1230" w:type="dxa"/>
            <w:vAlign w:val="bottom"/>
          </w:tcPr>
          <w:p w14:paraId="49C2EBFB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1549" w:type="dxa"/>
            <w:vAlign w:val="bottom"/>
          </w:tcPr>
          <w:p w14:paraId="55E3E30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24</w:t>
            </w:r>
          </w:p>
        </w:tc>
        <w:tc>
          <w:tcPr>
            <w:tcW w:w="1185" w:type="dxa"/>
            <w:vAlign w:val="bottom"/>
          </w:tcPr>
          <w:p w14:paraId="228A9F5A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1701" w:type="dxa"/>
            <w:vAlign w:val="bottom"/>
          </w:tcPr>
          <w:p w14:paraId="3B0FFE90" w14:textId="382DAE4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  <w:r w:rsidR="00B153A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134" w:type="dxa"/>
            <w:vAlign w:val="bottom"/>
          </w:tcPr>
          <w:p w14:paraId="6FA59CFF" w14:textId="42B8914B" w:rsidR="00891DC6" w:rsidRPr="00B153A3" w:rsidRDefault="00B153A3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vAlign w:val="bottom"/>
          </w:tcPr>
          <w:p w14:paraId="3F84D5C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0.697</w:t>
            </w:r>
          </w:p>
        </w:tc>
        <w:tc>
          <w:tcPr>
            <w:tcW w:w="1418" w:type="dxa"/>
            <w:vAlign w:val="bottom"/>
          </w:tcPr>
          <w:p w14:paraId="660AFA5A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0.186</w:t>
            </w:r>
          </w:p>
        </w:tc>
      </w:tr>
      <w:tr w:rsidR="00891DC6" w14:paraId="6D13B76D" w14:textId="77777777" w:rsidTr="001849D8">
        <w:tc>
          <w:tcPr>
            <w:tcW w:w="1230" w:type="dxa"/>
            <w:vAlign w:val="bottom"/>
          </w:tcPr>
          <w:p w14:paraId="209A886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549" w:type="dxa"/>
            <w:vAlign w:val="bottom"/>
          </w:tcPr>
          <w:p w14:paraId="636FEF3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1185" w:type="dxa"/>
            <w:vAlign w:val="bottom"/>
          </w:tcPr>
          <w:p w14:paraId="583937B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1701" w:type="dxa"/>
            <w:vAlign w:val="bottom"/>
          </w:tcPr>
          <w:p w14:paraId="261A874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1134" w:type="dxa"/>
            <w:vAlign w:val="bottom"/>
          </w:tcPr>
          <w:p w14:paraId="62C45993" w14:textId="0B36A7CF" w:rsidR="00891DC6" w:rsidRDefault="00B153A3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vAlign w:val="bottom"/>
          </w:tcPr>
          <w:p w14:paraId="21AD51B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0.217</w:t>
            </w:r>
          </w:p>
        </w:tc>
        <w:tc>
          <w:tcPr>
            <w:tcW w:w="1418" w:type="dxa"/>
            <w:vAlign w:val="bottom"/>
          </w:tcPr>
          <w:p w14:paraId="1125AABC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0.023</w:t>
            </w:r>
          </w:p>
        </w:tc>
      </w:tr>
      <w:tr w:rsidR="00891DC6" w14:paraId="4BACBDAD" w14:textId="77777777" w:rsidTr="001849D8">
        <w:tc>
          <w:tcPr>
            <w:tcW w:w="1230" w:type="dxa"/>
            <w:vAlign w:val="bottom"/>
          </w:tcPr>
          <w:p w14:paraId="2870B53A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1549" w:type="dxa"/>
            <w:vAlign w:val="bottom"/>
          </w:tcPr>
          <w:p w14:paraId="06E549D1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185" w:type="dxa"/>
            <w:vAlign w:val="bottom"/>
          </w:tcPr>
          <w:p w14:paraId="254D7EF0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vAlign w:val="bottom"/>
          </w:tcPr>
          <w:p w14:paraId="290B96E1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vAlign w:val="bottom"/>
          </w:tcPr>
          <w:p w14:paraId="3CA7F979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vAlign w:val="bottom"/>
          </w:tcPr>
          <w:p w14:paraId="131A7897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  <w:r>
              <w:rPr>
                <w:rFonts w:eastAsia="Times New Roman"/>
                <w:color w:val="000000"/>
                <w:lang w:eastAsia="en-GB"/>
              </w:rPr>
              <w:t>.000</w:t>
            </w:r>
          </w:p>
        </w:tc>
        <w:tc>
          <w:tcPr>
            <w:tcW w:w="1418" w:type="dxa"/>
            <w:vAlign w:val="bottom"/>
          </w:tcPr>
          <w:p w14:paraId="79910654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0.000</w:t>
            </w:r>
          </w:p>
        </w:tc>
      </w:tr>
    </w:tbl>
    <w:p w14:paraId="3CF564BF" w14:textId="1F88E54E" w:rsidR="00891DC6" w:rsidRPr="00BE66E6" w:rsidRDefault="00891DC6" w:rsidP="00891DC6">
      <w:pPr>
        <w:pStyle w:val="EndNoteBibliography"/>
        <w:jc w:val="both"/>
        <w:rPr>
          <w:vertAlign w:val="superscript"/>
          <w:lang w:val="en-GB"/>
        </w:rPr>
      </w:pPr>
      <w:r w:rsidRPr="00A25FDA">
        <w:rPr>
          <w:b/>
          <w:bCs/>
          <w:lang w:val="en-GB"/>
        </w:rPr>
        <w:t xml:space="preserve">Table </w:t>
      </w:r>
      <w:r w:rsidR="00855B1B">
        <w:rPr>
          <w:b/>
          <w:bCs/>
          <w:lang w:val="en-GB"/>
        </w:rPr>
        <w:t>4</w:t>
      </w:r>
      <w:r w:rsidRPr="00A25FDA">
        <w:rPr>
          <w:b/>
          <w:bCs/>
          <w:lang w:val="en-GB"/>
        </w:rPr>
        <w:t>b</w:t>
      </w:r>
      <w:r>
        <w:rPr>
          <w:lang w:val="en-GB"/>
        </w:rPr>
        <w:t xml:space="preserve">. </w:t>
      </w:r>
      <w:r w:rsidR="00AC4D85">
        <w:t xml:space="preserve">Area under the </w:t>
      </w:r>
      <w:r w:rsidR="00AC4D85" w:rsidRPr="001849D8">
        <w:t>receiver operating characteristic</w:t>
      </w:r>
      <w:r w:rsidR="00AC4D85" w:rsidRPr="00762270">
        <w:t xml:space="preserve"> curve</w:t>
      </w:r>
      <w:r w:rsidR="00AC4D85">
        <w:rPr>
          <w:lang w:val="en-GB"/>
        </w:rPr>
        <w:t xml:space="preserve"> (</w:t>
      </w:r>
      <w:r>
        <w:rPr>
          <w:lang w:val="en-GB"/>
        </w:rPr>
        <w:t>AUROC</w:t>
      </w:r>
      <w:r w:rsidR="00AC4D85">
        <w:rPr>
          <w:lang w:val="en-GB"/>
        </w:rPr>
        <w:t>)</w:t>
      </w:r>
      <w:r>
        <w:rPr>
          <w:lang w:val="en-GB"/>
        </w:rPr>
        <w:t xml:space="preserve"> </w:t>
      </w:r>
      <w:r w:rsidR="00AC4D85">
        <w:rPr>
          <w:lang w:val="en-GB"/>
        </w:rPr>
        <w:t>a</w:t>
      </w:r>
      <w:r>
        <w:rPr>
          <w:lang w:val="en-GB"/>
        </w:rPr>
        <w:t xml:space="preserve">nalysis </w:t>
      </w:r>
      <w:r w:rsidR="00AC4D85">
        <w:rPr>
          <w:lang w:val="en-GB"/>
        </w:rPr>
        <w:t>t</w:t>
      </w:r>
      <w:r>
        <w:rPr>
          <w:lang w:val="en-GB"/>
        </w:rPr>
        <w:t>able for risk of persistent chest radiograph abnormality using the  combined risk prediction score. 0-5 point scale with 1 point each for length of stay ≥ 15 days, LDH ≥ 750 U/L, positive current or ex-smoking status, admission to a level 2</w:t>
      </w:r>
      <w:r w:rsidR="00AC4D85">
        <w:rPr>
          <w:lang w:val="en-GB"/>
        </w:rPr>
        <w:t xml:space="preserve"> (</w:t>
      </w:r>
      <w:r w:rsidR="00AC4D85" w:rsidRPr="001849D8">
        <w:rPr>
          <w:lang w:val="en-GB"/>
        </w:rPr>
        <w:t>high dependency</w:t>
      </w:r>
      <w:r w:rsidR="00AC4D85">
        <w:rPr>
          <w:lang w:val="en-GB"/>
        </w:rPr>
        <w:t>)</w:t>
      </w:r>
      <w:r>
        <w:rPr>
          <w:lang w:val="en-GB"/>
        </w:rPr>
        <w:t xml:space="preserve"> or 3 </w:t>
      </w:r>
      <w:r w:rsidR="00AC4D85">
        <w:rPr>
          <w:lang w:val="en-GB"/>
        </w:rPr>
        <w:t xml:space="preserve">(intensive care) </w:t>
      </w:r>
      <w:r>
        <w:rPr>
          <w:lang w:val="en-GB"/>
        </w:rPr>
        <w:t>facility and, positive past medical history of obesity (B</w:t>
      </w:r>
      <w:r w:rsidR="00E62792">
        <w:rPr>
          <w:lang w:val="en-GB"/>
        </w:rPr>
        <w:t>ody mass index [B</w:t>
      </w:r>
      <w:r>
        <w:rPr>
          <w:lang w:val="en-GB"/>
        </w:rPr>
        <w:t>MI</w:t>
      </w:r>
      <w:r w:rsidR="00E62792">
        <w:rPr>
          <w:lang w:val="en-GB"/>
        </w:rPr>
        <w:t>]</w:t>
      </w:r>
      <w:r>
        <w:rPr>
          <w:lang w:val="en-GB"/>
        </w:rPr>
        <w:t>&gt; 30</w:t>
      </w:r>
      <w:r w:rsidR="00E62792">
        <w:rPr>
          <w:lang w:val="en-GB"/>
        </w:rPr>
        <w:t xml:space="preserve"> </w:t>
      </w:r>
      <w:r>
        <w:rPr>
          <w:lang w:val="en-GB"/>
        </w:rPr>
        <w:t>kg/m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) </w:t>
      </w:r>
    </w:p>
    <w:p w14:paraId="2D26D77E" w14:textId="77777777" w:rsidR="00891DC6" w:rsidRDefault="00891DC6" w:rsidP="00891DC6">
      <w:pPr>
        <w:pStyle w:val="EndNoteBibliography"/>
        <w:jc w:val="both"/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30"/>
        <w:gridCol w:w="1549"/>
        <w:gridCol w:w="1185"/>
        <w:gridCol w:w="1418"/>
        <w:gridCol w:w="1417"/>
        <w:gridCol w:w="1276"/>
        <w:gridCol w:w="1418"/>
      </w:tblGrid>
      <w:tr w:rsidR="00891DC6" w:rsidRPr="001929D3" w14:paraId="797BC033" w14:textId="77777777" w:rsidTr="0088452C">
        <w:tc>
          <w:tcPr>
            <w:tcW w:w="1230" w:type="dxa"/>
            <w:vAlign w:val="bottom"/>
          </w:tcPr>
          <w:p w14:paraId="4625CA06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Score</w:t>
            </w:r>
          </w:p>
        </w:tc>
        <w:tc>
          <w:tcPr>
            <w:tcW w:w="1549" w:type="dxa"/>
            <w:vAlign w:val="bottom"/>
          </w:tcPr>
          <w:p w14:paraId="32C42C6F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Remaining</w:t>
            </w:r>
            <w:r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185" w:type="dxa"/>
            <w:vAlign w:val="bottom"/>
          </w:tcPr>
          <w:p w14:paraId="2AE97983" w14:textId="0C9DF608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AC4D85">
              <w:rPr>
                <w:rFonts w:eastAsia="Times New Roman"/>
                <w:color w:val="000000"/>
                <w:lang w:eastAsia="en-GB"/>
              </w:rPr>
              <w:t>With score</w:t>
            </w:r>
            <w:r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418" w:type="dxa"/>
            <w:vAlign w:val="bottom"/>
          </w:tcPr>
          <w:p w14:paraId="59E7729A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lang w:val="en-GB"/>
              </w:rPr>
              <w:t>Further follow-up</w:t>
            </w:r>
            <w:r>
              <w:rPr>
                <w:rFonts w:eastAsia="Times New Roman"/>
                <w:color w:val="000000"/>
                <w:lang w:eastAsia="en-GB"/>
              </w:rPr>
              <w:t xml:space="preserve"> (n)</w:t>
            </w:r>
          </w:p>
        </w:tc>
        <w:tc>
          <w:tcPr>
            <w:tcW w:w="1417" w:type="dxa"/>
            <w:vAlign w:val="bottom"/>
          </w:tcPr>
          <w:p w14:paraId="1F2459E2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Discharged  (n)</w:t>
            </w:r>
          </w:p>
        </w:tc>
        <w:tc>
          <w:tcPr>
            <w:tcW w:w="1276" w:type="dxa"/>
            <w:vAlign w:val="bottom"/>
          </w:tcPr>
          <w:p w14:paraId="50990812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Sensitivity</w:t>
            </w:r>
          </w:p>
        </w:tc>
        <w:tc>
          <w:tcPr>
            <w:tcW w:w="1418" w:type="dxa"/>
            <w:vAlign w:val="bottom"/>
          </w:tcPr>
          <w:p w14:paraId="19D773A2" w14:textId="77777777" w:rsidR="00891DC6" w:rsidRPr="001929D3" w:rsidRDefault="00891DC6" w:rsidP="0088452C">
            <w:pPr>
              <w:pStyle w:val="EndNoteBibliography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1-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1929D3">
              <w:rPr>
                <w:rFonts w:eastAsia="Times New Roman"/>
                <w:color w:val="000000"/>
                <w:lang w:eastAsia="en-GB"/>
              </w:rPr>
              <w:t>pecificity</w:t>
            </w:r>
          </w:p>
        </w:tc>
      </w:tr>
      <w:tr w:rsidR="00891DC6" w14:paraId="2F0A12DF" w14:textId="77777777" w:rsidTr="0088452C">
        <w:tc>
          <w:tcPr>
            <w:tcW w:w="1230" w:type="dxa"/>
            <w:vAlign w:val="bottom"/>
          </w:tcPr>
          <w:p w14:paraId="1B89672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549" w:type="dxa"/>
            <w:vAlign w:val="bottom"/>
          </w:tcPr>
          <w:p w14:paraId="0146278C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6</w:t>
            </w: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1185" w:type="dxa"/>
            <w:vAlign w:val="bottom"/>
          </w:tcPr>
          <w:p w14:paraId="7B67CF1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1418" w:type="dxa"/>
            <w:vAlign w:val="bottom"/>
          </w:tcPr>
          <w:p w14:paraId="587FBBA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vAlign w:val="bottom"/>
          </w:tcPr>
          <w:p w14:paraId="374E0FF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t>10</w:t>
            </w:r>
          </w:p>
        </w:tc>
        <w:tc>
          <w:tcPr>
            <w:tcW w:w="1276" w:type="dxa"/>
            <w:vAlign w:val="bottom"/>
          </w:tcPr>
          <w:p w14:paraId="48C84A75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418" w:type="dxa"/>
            <w:vAlign w:val="bottom"/>
          </w:tcPr>
          <w:p w14:paraId="46DD336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891DC6" w14:paraId="4A7A7047" w14:textId="77777777" w:rsidTr="0088452C">
        <w:tc>
          <w:tcPr>
            <w:tcW w:w="1230" w:type="dxa"/>
            <w:vAlign w:val="bottom"/>
          </w:tcPr>
          <w:p w14:paraId="3082B2A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549" w:type="dxa"/>
            <w:vAlign w:val="bottom"/>
          </w:tcPr>
          <w:p w14:paraId="210D837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5</w:t>
            </w: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185" w:type="dxa"/>
            <w:vAlign w:val="bottom"/>
          </w:tcPr>
          <w:p w14:paraId="1E7A612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1418" w:type="dxa"/>
            <w:vAlign w:val="bottom"/>
          </w:tcPr>
          <w:p w14:paraId="57EDC99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1417" w:type="dxa"/>
            <w:vAlign w:val="bottom"/>
          </w:tcPr>
          <w:p w14:paraId="585C91E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1276" w:type="dxa"/>
            <w:vAlign w:val="bottom"/>
          </w:tcPr>
          <w:p w14:paraId="72574800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t>0.900</w:t>
            </w:r>
          </w:p>
        </w:tc>
        <w:tc>
          <w:tcPr>
            <w:tcW w:w="1418" w:type="dxa"/>
            <w:vAlign w:val="bottom"/>
          </w:tcPr>
          <w:p w14:paraId="1972217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0.727</w:t>
            </w:r>
          </w:p>
        </w:tc>
      </w:tr>
      <w:tr w:rsidR="00891DC6" w14:paraId="550DD914" w14:textId="77777777" w:rsidTr="0088452C">
        <w:tc>
          <w:tcPr>
            <w:tcW w:w="1230" w:type="dxa"/>
            <w:vAlign w:val="bottom"/>
          </w:tcPr>
          <w:p w14:paraId="56322769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1549" w:type="dxa"/>
            <w:vAlign w:val="bottom"/>
          </w:tcPr>
          <w:p w14:paraId="5D1EDC4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38</w:t>
            </w:r>
          </w:p>
        </w:tc>
        <w:tc>
          <w:tcPr>
            <w:tcW w:w="1185" w:type="dxa"/>
            <w:vAlign w:val="bottom"/>
          </w:tcPr>
          <w:p w14:paraId="03F4A62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  <w:r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1418" w:type="dxa"/>
            <w:vAlign w:val="bottom"/>
          </w:tcPr>
          <w:p w14:paraId="5B96AEE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vAlign w:val="bottom"/>
          </w:tcPr>
          <w:p w14:paraId="3EC1EA54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vAlign w:val="bottom"/>
          </w:tcPr>
          <w:p w14:paraId="30477AB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0.8</w:t>
            </w:r>
            <w:r>
              <w:rPr>
                <w:rFonts w:eastAsia="Times New Roman"/>
                <w:color w:val="000000"/>
                <w:lang w:eastAsia="en-GB"/>
              </w:rPr>
              <w:t>33</w:t>
            </w:r>
          </w:p>
        </w:tc>
        <w:tc>
          <w:tcPr>
            <w:tcW w:w="1418" w:type="dxa"/>
            <w:vAlign w:val="bottom"/>
          </w:tcPr>
          <w:p w14:paraId="413CD03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0.455</w:t>
            </w:r>
          </w:p>
        </w:tc>
      </w:tr>
      <w:tr w:rsidR="00891DC6" w14:paraId="14FF63B9" w14:textId="77777777" w:rsidTr="0088452C">
        <w:tc>
          <w:tcPr>
            <w:tcW w:w="1230" w:type="dxa"/>
            <w:vAlign w:val="bottom"/>
          </w:tcPr>
          <w:p w14:paraId="0F4DA61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1549" w:type="dxa"/>
            <w:vAlign w:val="bottom"/>
          </w:tcPr>
          <w:p w14:paraId="30E98152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21</w:t>
            </w:r>
          </w:p>
        </w:tc>
        <w:tc>
          <w:tcPr>
            <w:tcW w:w="1185" w:type="dxa"/>
            <w:vAlign w:val="bottom"/>
          </w:tcPr>
          <w:p w14:paraId="0912ECC7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1</w:t>
            </w:r>
            <w:r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1418" w:type="dxa"/>
            <w:vAlign w:val="bottom"/>
          </w:tcPr>
          <w:p w14:paraId="3612346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1417" w:type="dxa"/>
            <w:vAlign w:val="bottom"/>
          </w:tcPr>
          <w:p w14:paraId="73724B4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  <w:vAlign w:val="bottom"/>
          </w:tcPr>
          <w:p w14:paraId="02BE0104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0.600</w:t>
            </w:r>
          </w:p>
        </w:tc>
        <w:tc>
          <w:tcPr>
            <w:tcW w:w="1418" w:type="dxa"/>
            <w:vAlign w:val="bottom"/>
          </w:tcPr>
          <w:p w14:paraId="4E39A86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0.121</w:t>
            </w:r>
          </w:p>
        </w:tc>
      </w:tr>
      <w:tr w:rsidR="00891DC6" w14:paraId="14D253FA" w14:textId="77777777" w:rsidTr="0088452C">
        <w:tc>
          <w:tcPr>
            <w:tcW w:w="1230" w:type="dxa"/>
            <w:vAlign w:val="bottom"/>
          </w:tcPr>
          <w:p w14:paraId="24A17FEF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549" w:type="dxa"/>
            <w:vAlign w:val="bottom"/>
          </w:tcPr>
          <w:p w14:paraId="62B5B17D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185" w:type="dxa"/>
            <w:vAlign w:val="bottom"/>
          </w:tcPr>
          <w:p w14:paraId="6F66F50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418" w:type="dxa"/>
            <w:vAlign w:val="bottom"/>
          </w:tcPr>
          <w:p w14:paraId="5BD40276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1417" w:type="dxa"/>
            <w:vAlign w:val="bottom"/>
          </w:tcPr>
          <w:p w14:paraId="6F6F43C1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t>0</w:t>
            </w:r>
          </w:p>
        </w:tc>
        <w:tc>
          <w:tcPr>
            <w:tcW w:w="1276" w:type="dxa"/>
            <w:vAlign w:val="bottom"/>
          </w:tcPr>
          <w:p w14:paraId="1A87299E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0.167</w:t>
            </w:r>
          </w:p>
        </w:tc>
        <w:tc>
          <w:tcPr>
            <w:tcW w:w="1418" w:type="dxa"/>
            <w:vAlign w:val="bottom"/>
          </w:tcPr>
          <w:p w14:paraId="4E545875" w14:textId="77777777" w:rsidR="00891DC6" w:rsidRDefault="00891DC6" w:rsidP="0088452C">
            <w:pPr>
              <w:pStyle w:val="EndNoteBibliography"/>
              <w:jc w:val="both"/>
              <w:rPr>
                <w:lang w:val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0.000</w:t>
            </w:r>
          </w:p>
        </w:tc>
      </w:tr>
      <w:tr w:rsidR="00891DC6" w:rsidRPr="001929D3" w14:paraId="02F06053" w14:textId="77777777" w:rsidTr="0088452C">
        <w:tc>
          <w:tcPr>
            <w:tcW w:w="1230" w:type="dxa"/>
            <w:vAlign w:val="bottom"/>
          </w:tcPr>
          <w:p w14:paraId="63EC5EA2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1549" w:type="dxa"/>
            <w:vAlign w:val="bottom"/>
          </w:tcPr>
          <w:p w14:paraId="7DF74B42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185" w:type="dxa"/>
            <w:vAlign w:val="bottom"/>
          </w:tcPr>
          <w:p w14:paraId="130F1E16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418" w:type="dxa"/>
            <w:vAlign w:val="bottom"/>
          </w:tcPr>
          <w:p w14:paraId="4601F640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417" w:type="dxa"/>
            <w:vAlign w:val="bottom"/>
          </w:tcPr>
          <w:p w14:paraId="5450E14C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 w:rsidRPr="001929D3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vAlign w:val="bottom"/>
          </w:tcPr>
          <w:p w14:paraId="3DDFF79A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0.000</w:t>
            </w:r>
          </w:p>
        </w:tc>
        <w:tc>
          <w:tcPr>
            <w:tcW w:w="1418" w:type="dxa"/>
            <w:vAlign w:val="bottom"/>
          </w:tcPr>
          <w:p w14:paraId="542AA45D" w14:textId="77777777" w:rsidR="00891DC6" w:rsidRPr="001929D3" w:rsidRDefault="00891DC6" w:rsidP="0088452C">
            <w:pPr>
              <w:pStyle w:val="EndNoteBibliography"/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0.000</w:t>
            </w:r>
          </w:p>
        </w:tc>
      </w:tr>
    </w:tbl>
    <w:p w14:paraId="65AA7A8D" w14:textId="1E45E357" w:rsidR="00E62792" w:rsidRPr="00BE66E6" w:rsidRDefault="00891DC6" w:rsidP="00E62792">
      <w:pPr>
        <w:pStyle w:val="EndNoteBibliography"/>
        <w:jc w:val="both"/>
        <w:rPr>
          <w:vertAlign w:val="superscript"/>
          <w:lang w:val="en-GB"/>
        </w:rPr>
      </w:pPr>
      <w:r w:rsidRPr="00891DC6">
        <w:rPr>
          <w:b/>
          <w:bCs/>
          <w:lang w:val="en-GB"/>
        </w:rPr>
        <w:t xml:space="preserve">Table </w:t>
      </w:r>
      <w:r w:rsidR="00855B1B">
        <w:rPr>
          <w:b/>
          <w:bCs/>
          <w:lang w:val="en-GB"/>
        </w:rPr>
        <w:t>4</w:t>
      </w:r>
      <w:r w:rsidRPr="00891DC6">
        <w:rPr>
          <w:b/>
          <w:bCs/>
          <w:lang w:val="en-GB"/>
        </w:rPr>
        <w:t>c.</w:t>
      </w:r>
      <w:r>
        <w:rPr>
          <w:lang w:val="en-GB"/>
        </w:rPr>
        <w:t xml:space="preserve"> </w:t>
      </w:r>
      <w:r w:rsidR="00AC4D85">
        <w:t xml:space="preserve">Area under the </w:t>
      </w:r>
      <w:r w:rsidR="00AC4D85" w:rsidRPr="001849D8">
        <w:t>receiver operating characteristic</w:t>
      </w:r>
      <w:r w:rsidR="00AC4D85" w:rsidRPr="00762270">
        <w:t xml:space="preserve"> curve</w:t>
      </w:r>
      <w:r w:rsidR="00AC4D85">
        <w:rPr>
          <w:lang w:val="en-GB"/>
        </w:rPr>
        <w:t xml:space="preserve"> (AUROC) analysis table </w:t>
      </w:r>
      <w:r>
        <w:rPr>
          <w:lang w:val="en-GB"/>
        </w:rPr>
        <w:t xml:space="preserve">for outcome from virtual 12-week appointment (discharge versus further follow-up required) using the  combined risk prediction score 0-5 point scale with 1 point each for length of stay ≥ 15 days, LDH ≥ 750 U/L, positive current or ex-smoking status, admission to </w:t>
      </w:r>
      <w:r w:rsidR="00AC4D85">
        <w:rPr>
          <w:lang w:val="en-GB"/>
        </w:rPr>
        <w:t>a level 2 (</w:t>
      </w:r>
      <w:r w:rsidR="00AC4D85" w:rsidRPr="001849D8">
        <w:rPr>
          <w:lang w:val="en-GB"/>
        </w:rPr>
        <w:t>high dependency</w:t>
      </w:r>
      <w:r w:rsidR="00AC4D85">
        <w:rPr>
          <w:lang w:val="en-GB"/>
        </w:rPr>
        <w:t xml:space="preserve">) or 3 (intensive care) facility </w:t>
      </w:r>
      <w:r>
        <w:rPr>
          <w:lang w:val="en-GB"/>
        </w:rPr>
        <w:t xml:space="preserve">and, positive past medical history of obesity </w:t>
      </w:r>
      <w:r w:rsidR="00E62792">
        <w:rPr>
          <w:lang w:val="en-GB"/>
        </w:rPr>
        <w:t>(Body mass index [BMI]&gt; 30 kg/m</w:t>
      </w:r>
      <w:r w:rsidR="00E62792">
        <w:rPr>
          <w:vertAlign w:val="superscript"/>
          <w:lang w:val="en-GB"/>
        </w:rPr>
        <w:t>2</w:t>
      </w:r>
      <w:r w:rsidR="00E62792">
        <w:rPr>
          <w:lang w:val="en-GB"/>
        </w:rPr>
        <w:t xml:space="preserve">) </w:t>
      </w:r>
    </w:p>
    <w:p w14:paraId="5AAC1024" w14:textId="3885C166" w:rsidR="00891DC6" w:rsidRDefault="00853697" w:rsidP="00891DC6">
      <w:pPr>
        <w:pStyle w:val="EndNoteBibliography"/>
        <w:jc w:val="both"/>
        <w:rPr>
          <w:lang w:val="en-GB"/>
        </w:rPr>
      </w:pPr>
      <w:r>
        <w:rPr>
          <w:lang w:val="en-GB" w:eastAsia="en-GB"/>
        </w:rPr>
        <w:lastRenderedPageBreak/>
        <w:drawing>
          <wp:inline distT="0" distB="0" distL="0" distR="0" wp14:anchorId="7E593493" wp14:editId="4289216A">
            <wp:extent cx="5731510" cy="351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a and 1b.emf"/>
                    <pic:cNvPicPr/>
                  </pic:nvPicPr>
                  <pic:blipFill rotWithShape="1">
                    <a:blip r:embed="rId8"/>
                    <a:srcRect b="7888"/>
                    <a:stretch/>
                  </pic:blipFill>
                  <pic:spPr bwMode="auto">
                    <a:xfrm>
                      <a:off x="0" y="0"/>
                      <a:ext cx="5731510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B90E0" w14:textId="72E76853" w:rsidR="001263CD" w:rsidRDefault="003E5750" w:rsidP="00332441">
      <w:pPr>
        <w:pStyle w:val="EndNoteBibliography"/>
        <w:jc w:val="both"/>
      </w:pPr>
      <w:r w:rsidRPr="00D438D9">
        <w:rPr>
          <w:b/>
          <w:bCs/>
          <w:lang w:val="en-GB"/>
        </w:rPr>
        <w:t>Figures 1a</w:t>
      </w:r>
      <w:r w:rsidR="00853697">
        <w:rPr>
          <w:b/>
          <w:bCs/>
          <w:lang w:val="en-GB"/>
        </w:rPr>
        <w:t xml:space="preserve"> and 1b</w:t>
      </w:r>
      <w:r w:rsidRPr="00D438D9">
        <w:rPr>
          <w:b/>
          <w:bCs/>
          <w:lang w:val="en-GB"/>
        </w:rPr>
        <w:t>.</w:t>
      </w:r>
      <w:r>
        <w:rPr>
          <w:lang w:val="en-GB"/>
        </w:rPr>
        <w:t xml:space="preserve"> Comparison of baseline and 12-week follow-up </w:t>
      </w:r>
      <w:r w:rsidR="00E62792">
        <w:rPr>
          <w:lang w:val="en-GB"/>
        </w:rPr>
        <w:t xml:space="preserve">Serum </w:t>
      </w:r>
      <w:r>
        <w:rPr>
          <w:lang w:val="en-GB"/>
        </w:rPr>
        <w:t xml:space="preserve">Lactate </w:t>
      </w:r>
      <w:r w:rsidR="00E62792" w:rsidRPr="00E62792">
        <w:rPr>
          <w:lang w:val="en-GB"/>
        </w:rPr>
        <w:t>Dehydrogenase</w:t>
      </w:r>
      <w:r>
        <w:rPr>
          <w:lang w:val="en-GB"/>
        </w:rPr>
        <w:t xml:space="preserve"> (LDH) values (U/L) for patients with complete chest radiograph resolution (Resolution) versus patients with persistent chest radiograph </w:t>
      </w:r>
      <w:r w:rsidRPr="00A25FDA">
        <w:rPr>
          <w:lang w:val="en-GB"/>
        </w:rPr>
        <w:t>abnormality</w:t>
      </w:r>
      <w:r>
        <w:rPr>
          <w:lang w:val="en-GB"/>
        </w:rPr>
        <w:t xml:space="preserve"> (Persistent </w:t>
      </w:r>
      <w:r w:rsidR="00E62792" w:rsidRPr="00E62792">
        <w:rPr>
          <w:lang w:val="en-GB"/>
        </w:rPr>
        <w:t>Abnormality</w:t>
      </w:r>
      <w:r>
        <w:rPr>
          <w:lang w:val="en-GB"/>
        </w:rPr>
        <w:t>)</w:t>
      </w:r>
      <w:r w:rsidR="00853697">
        <w:rPr>
          <w:lang w:val="en-GB"/>
        </w:rPr>
        <w:t xml:space="preserve">. Individual data points presented with </w:t>
      </w:r>
      <w:r w:rsidR="00401830">
        <w:rPr>
          <w:lang w:val="en-GB"/>
        </w:rPr>
        <w:t xml:space="preserve">error bars representing them </w:t>
      </w:r>
      <w:r w:rsidR="00853697">
        <w:rPr>
          <w:lang w:val="en-GB"/>
        </w:rPr>
        <w:t xml:space="preserve">median and upper and </w:t>
      </w:r>
      <w:r w:rsidR="00853697" w:rsidRPr="00E62792">
        <w:rPr>
          <w:lang w:val="en-GB"/>
        </w:rPr>
        <w:t>lower interquartile range</w:t>
      </w:r>
      <w:r w:rsidR="00853697">
        <w:rPr>
          <w:lang w:val="en-GB"/>
        </w:rPr>
        <w:t xml:space="preserve">. </w:t>
      </w:r>
      <w:r w:rsidR="00D438D9" w:rsidRPr="00AC4D85">
        <w:rPr>
          <w:b/>
          <w:bCs/>
          <w:lang w:val="en-GB"/>
        </w:rPr>
        <w:t>Figure 1a</w:t>
      </w:r>
      <w:r w:rsidR="00853697">
        <w:rPr>
          <w:lang w:val="en-GB"/>
        </w:rPr>
        <w:t xml:space="preserve"> illustrates basline data</w:t>
      </w:r>
      <w:r w:rsidR="00D438D9">
        <w:rPr>
          <w:lang w:val="en-GB"/>
        </w:rPr>
        <w:t xml:space="preserve"> and </w:t>
      </w:r>
      <w:r w:rsidR="00D438D9" w:rsidRPr="00AC4D85">
        <w:rPr>
          <w:b/>
          <w:bCs/>
          <w:lang w:val="en-GB"/>
        </w:rPr>
        <w:t>Figure 1</w:t>
      </w:r>
      <w:r w:rsidR="00853697" w:rsidRPr="00AC4D85">
        <w:rPr>
          <w:b/>
          <w:bCs/>
          <w:lang w:val="en-GB"/>
        </w:rPr>
        <w:t>b</w:t>
      </w:r>
      <w:r w:rsidR="00853697">
        <w:rPr>
          <w:lang w:val="en-GB"/>
        </w:rPr>
        <w:t xml:space="preserve"> illustrates 12-week follow-up data.</w:t>
      </w:r>
      <w:r w:rsidR="00D438D9">
        <w:rPr>
          <w:lang w:val="en-GB"/>
        </w:rPr>
        <w:t xml:space="preserve"> p</w:t>
      </w:r>
      <w:r w:rsidR="00853697">
        <w:rPr>
          <w:lang w:val="en-GB"/>
        </w:rPr>
        <w:t xml:space="preserve"> values</w:t>
      </w:r>
      <w:r w:rsidR="00D438D9">
        <w:rPr>
          <w:lang w:val="en-GB"/>
        </w:rPr>
        <w:t xml:space="preserve"> assessed using Mann-Whitney U Test.</w:t>
      </w:r>
    </w:p>
    <w:p w14:paraId="7854A88D" w14:textId="17BFE7A3" w:rsidR="001263CD" w:rsidRDefault="001263CD" w:rsidP="003B3E61">
      <w:pPr>
        <w:pStyle w:val="EndNoteBibliography"/>
        <w:spacing w:after="0"/>
      </w:pPr>
    </w:p>
    <w:p w14:paraId="747F9F88" w14:textId="77777777" w:rsidR="00856B7B" w:rsidRDefault="00856B7B" w:rsidP="00E62792">
      <w:pPr>
        <w:pStyle w:val="EndNoteBibliography"/>
        <w:jc w:val="both"/>
        <w:rPr>
          <w:b/>
          <w:bCs/>
          <w:lang w:val="en-GB"/>
        </w:rPr>
      </w:pPr>
    </w:p>
    <w:p w14:paraId="383F14AA" w14:textId="77777777" w:rsidR="00856B7B" w:rsidRDefault="00856B7B" w:rsidP="00E62792">
      <w:pPr>
        <w:pStyle w:val="EndNoteBibliography"/>
        <w:jc w:val="both"/>
        <w:rPr>
          <w:b/>
          <w:bCs/>
          <w:lang w:val="en-GB"/>
        </w:rPr>
      </w:pPr>
    </w:p>
    <w:p w14:paraId="4DF4CE0A" w14:textId="77777777" w:rsidR="00856B7B" w:rsidRDefault="00856B7B" w:rsidP="00E62792">
      <w:pPr>
        <w:pStyle w:val="EndNoteBibliography"/>
        <w:jc w:val="both"/>
        <w:rPr>
          <w:b/>
          <w:bCs/>
          <w:lang w:val="en-GB"/>
        </w:rPr>
      </w:pPr>
    </w:p>
    <w:p w14:paraId="3646CA91" w14:textId="3D32CB8A" w:rsidR="00856B7B" w:rsidRDefault="009E1692" w:rsidP="00E62792">
      <w:pPr>
        <w:pStyle w:val="EndNoteBibliography"/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drawing>
          <wp:inline distT="0" distB="0" distL="0" distR="0" wp14:anchorId="60B73A28" wp14:editId="5F2B79FC">
            <wp:extent cx="5114925" cy="3748827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9"/>
                    <a:srcRect l="29913" t="22154" r="16575" b="8132"/>
                    <a:stretch/>
                  </pic:blipFill>
                  <pic:spPr bwMode="auto">
                    <a:xfrm>
                      <a:off x="0" y="0"/>
                      <a:ext cx="5124673" cy="3755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85A0D" w14:textId="21F3AAE4" w:rsidR="001263CD" w:rsidRPr="00332441" w:rsidRDefault="003E5750" w:rsidP="00E62792">
      <w:pPr>
        <w:pStyle w:val="EndNoteBibliography"/>
        <w:jc w:val="both"/>
        <w:rPr>
          <w:vertAlign w:val="superscript"/>
          <w:lang w:val="en-GB"/>
        </w:rPr>
      </w:pPr>
      <w:r w:rsidRPr="00D438D9">
        <w:rPr>
          <w:b/>
          <w:bCs/>
          <w:lang w:val="en-GB"/>
        </w:rPr>
        <w:t>Figure 2.</w:t>
      </w:r>
      <w:r>
        <w:rPr>
          <w:lang w:val="en-GB"/>
        </w:rPr>
        <w:t xml:space="preserve"> Area under the reciever operator curve (AUROC) for combined persistent chest radiograph risk score. Combined risk score included; Length of Stay (≥15 days=1 point), LDH (≥750 U/L=1 point), Smoking status (current or ex-smoker=1 point), </w:t>
      </w:r>
      <w:r w:rsidR="00D22CB5">
        <w:rPr>
          <w:lang w:val="en-GB"/>
        </w:rPr>
        <w:t>admission to a level 2 (</w:t>
      </w:r>
      <w:r w:rsidR="00D22CB5" w:rsidRPr="001849D8">
        <w:rPr>
          <w:lang w:val="en-GB"/>
        </w:rPr>
        <w:t>high dependency</w:t>
      </w:r>
      <w:r w:rsidR="00D22CB5">
        <w:rPr>
          <w:lang w:val="en-GB"/>
        </w:rPr>
        <w:t xml:space="preserve">) or 3 (intensive care) facility </w:t>
      </w:r>
      <w:r>
        <w:rPr>
          <w:lang w:val="en-GB"/>
        </w:rPr>
        <w:t xml:space="preserve">(yes=1 point) and </w:t>
      </w:r>
      <w:r w:rsidR="00E62792">
        <w:rPr>
          <w:lang w:val="en-GB"/>
        </w:rPr>
        <w:t>past medical history of obesity (Body mass index [BMI]&gt; 30 kg/m</w:t>
      </w:r>
      <w:r w:rsidR="00E62792">
        <w:rPr>
          <w:vertAlign w:val="superscript"/>
          <w:lang w:val="en-GB"/>
        </w:rPr>
        <w:t>2</w:t>
      </w:r>
      <w:r w:rsidR="00E62792">
        <w:rPr>
          <w:lang w:val="en-GB"/>
        </w:rPr>
        <w:t>) (Yes=1 point)</w:t>
      </w:r>
      <w:r w:rsidR="005C5F17">
        <w:rPr>
          <w:lang w:val="en-GB"/>
        </w:rPr>
        <w:t>.</w:t>
      </w:r>
      <w:r w:rsidR="009E1692">
        <w:rPr>
          <w:lang w:val="en-GB"/>
        </w:rPr>
        <w:t xml:space="preserve"> </w:t>
      </w:r>
      <w:r w:rsidR="00A85861">
        <w:rPr>
          <w:lang w:val="en-GB"/>
        </w:rPr>
        <w:t>AUC; Area under curve</w:t>
      </w:r>
      <w:r w:rsidR="005C5F17">
        <w:rPr>
          <w:lang w:val="en-GB"/>
        </w:rPr>
        <w:t>.</w:t>
      </w:r>
    </w:p>
    <w:p w14:paraId="57CDF561" w14:textId="552FE25E" w:rsidR="00D438D9" w:rsidRPr="00D438D9" w:rsidRDefault="00D438D9" w:rsidP="003B3E61">
      <w:pPr>
        <w:pStyle w:val="EndNoteBibliography"/>
        <w:spacing w:after="0"/>
        <w:rPr>
          <w:b/>
          <w:bCs/>
          <w:i/>
          <w:iCs/>
        </w:rPr>
      </w:pPr>
      <w:r w:rsidRPr="00D438D9">
        <w:rPr>
          <w:b/>
          <w:bCs/>
          <w:i/>
          <w:iCs/>
        </w:rPr>
        <w:t>References</w:t>
      </w:r>
    </w:p>
    <w:p w14:paraId="0E2E6721" w14:textId="77777777" w:rsidR="001263CD" w:rsidRDefault="001263CD" w:rsidP="003B3E61">
      <w:pPr>
        <w:pStyle w:val="EndNoteBibliography"/>
        <w:spacing w:after="0"/>
      </w:pPr>
    </w:p>
    <w:p w14:paraId="4EA47E33" w14:textId="77777777" w:rsidR="001263CD" w:rsidRDefault="001263CD" w:rsidP="003B3E61">
      <w:pPr>
        <w:pStyle w:val="EndNoteBibliography"/>
        <w:spacing w:after="0"/>
      </w:pPr>
    </w:p>
    <w:bookmarkStart w:id="4" w:name="_Hlk58228950"/>
    <w:p w14:paraId="61CA2AEA" w14:textId="77777777" w:rsidR="005C2969" w:rsidRPr="005C2969" w:rsidRDefault="00E74852" w:rsidP="005C2969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5C2969" w:rsidRPr="005C2969">
        <w:t>1.</w:t>
      </w:r>
      <w:r w:rsidR="005C2969" w:rsidRPr="005C2969">
        <w:tab/>
        <w:t>Spagnolo P, Balestro E, Aliberti S, Cocconcelli E, Biondini D, Casa GD, et al. Pulmonary fibrosis secondary to COVID-19: a call to arms? The Lancet Respiratory Medicine.</w:t>
      </w:r>
    </w:p>
    <w:p w14:paraId="715AC5B9" w14:textId="3BEDD24D" w:rsidR="005C2969" w:rsidRPr="005C2969" w:rsidRDefault="005C2969" w:rsidP="005C2969">
      <w:pPr>
        <w:pStyle w:val="EndNoteBibliography"/>
      </w:pPr>
      <w:r w:rsidRPr="005C2969">
        <w:t>2.</w:t>
      </w:r>
      <w:r w:rsidRPr="005C2969">
        <w:tab/>
      </w:r>
      <w:r w:rsidRPr="00E51861">
        <w:t>B</w:t>
      </w:r>
      <w:r>
        <w:t>ritish Thoracic Society (BTS)</w:t>
      </w:r>
      <w:r w:rsidRPr="00E51861">
        <w:t xml:space="preserve"> guidance on respiratory follow up of patients with radiologically confirmed COVID-19</w:t>
      </w:r>
      <w:r>
        <w:t xml:space="preserve"> </w:t>
      </w:r>
      <w:r w:rsidRPr="00E51861">
        <w:t>pneumonia.</w:t>
      </w:r>
      <w:r>
        <w:t xml:space="preserve"> Online resource V1.2 11 May 2020 Accessed 22th December 2020</w:t>
      </w:r>
      <w:r w:rsidRPr="005C2969">
        <w:t>.</w:t>
      </w:r>
    </w:p>
    <w:p w14:paraId="7FB516AF" w14:textId="77777777" w:rsidR="005C2969" w:rsidRPr="005C2969" w:rsidRDefault="005C2969" w:rsidP="005C2969">
      <w:pPr>
        <w:pStyle w:val="EndNoteBibliography"/>
        <w:spacing w:after="0"/>
      </w:pPr>
      <w:r w:rsidRPr="005C2969">
        <w:t>3.</w:t>
      </w:r>
      <w:r w:rsidRPr="005C2969">
        <w:tab/>
        <w:t>Raghu G, Wilson KC. COVID-19 interstitial pneumonia: monitoring the clinical course in survivors. The Lancet Respiratory medicine. 2020;8(9):839-42.</w:t>
      </w:r>
    </w:p>
    <w:p w14:paraId="2756FAAB" w14:textId="77777777" w:rsidR="005C2969" w:rsidRPr="005C2969" w:rsidRDefault="005C2969" w:rsidP="005C2969">
      <w:pPr>
        <w:pStyle w:val="EndNoteBibliography"/>
        <w:spacing w:after="0"/>
      </w:pPr>
      <w:r w:rsidRPr="005C2969">
        <w:t>4.</w:t>
      </w:r>
      <w:r w:rsidRPr="005C2969">
        <w:tab/>
        <w:t>Li X, Zeng W, Chen H, Shi L, Xiang H, Cao Y, et al. CT imaging changes of corona virus disease 2019(COVID-19): a multi-center study in Southwest China. J Transl Med. 2020;18(1):154.</w:t>
      </w:r>
    </w:p>
    <w:p w14:paraId="1A4478FC" w14:textId="77777777" w:rsidR="005C2969" w:rsidRPr="005C2969" w:rsidRDefault="005C2969" w:rsidP="005C2969">
      <w:pPr>
        <w:pStyle w:val="EndNoteBibliography"/>
        <w:spacing w:after="0"/>
      </w:pPr>
      <w:r w:rsidRPr="005C2969">
        <w:t>5.</w:t>
      </w:r>
      <w:r w:rsidRPr="005C2969">
        <w:tab/>
        <w:t>Ye Z, Zhang Y, Wang Y, Huang Z, Song B. Chest CT manifestations of new coronavirus disease 2019 (COVID-19): a pictorial review. Eur Radiol. 2020;30(8):4381-9.</w:t>
      </w:r>
    </w:p>
    <w:p w14:paraId="03EA5363" w14:textId="4F6438F5" w:rsidR="005C2969" w:rsidRPr="005C2969" w:rsidRDefault="005C2969" w:rsidP="005C2969">
      <w:pPr>
        <w:pStyle w:val="EndNoteBibliography"/>
        <w:spacing w:after="0"/>
      </w:pPr>
      <w:r w:rsidRPr="005C2969">
        <w:t>6.</w:t>
      </w:r>
      <w:r w:rsidRPr="005C2969">
        <w:tab/>
        <w:t xml:space="preserve">Mandal S, Barnett J, Brill SE, Brown JS, Denneny EK, Hare SS, et al. ‘Long-COVID’: a cross-sectional study of persisting symptoms, biomarker and imaging abnormalities following hospitalisation for COVID-19. Thorax. </w:t>
      </w:r>
      <w:r>
        <w:t xml:space="preserve">Published online First: 03 December 2020 </w:t>
      </w:r>
      <w:r w:rsidRPr="00D22CB5">
        <w:t>doi: 10.1136/thoraxjnl-2020-216308</w:t>
      </w:r>
    </w:p>
    <w:p w14:paraId="78C1C30F" w14:textId="77777777" w:rsidR="005C2969" w:rsidRPr="00D22CB5" w:rsidRDefault="005C2969" w:rsidP="005C2969">
      <w:pPr>
        <w:pStyle w:val="EndNoteBibliography"/>
        <w:spacing w:after="0"/>
      </w:pPr>
      <w:r w:rsidRPr="005C2969">
        <w:t>7.</w:t>
      </w:r>
      <w:r w:rsidRPr="005C2969">
        <w:tab/>
        <w:t xml:space="preserve">Shah AS, Wong AW, Hague CJ, Murphy DT, Johnston JC, Ryerson CJ, et al. A prospective study of 12-week respiratory outcomes in COVID-19-related hospitalisations. Thorax. </w:t>
      </w:r>
      <w:r>
        <w:t xml:space="preserve">Published online First: 03 December 2020 </w:t>
      </w:r>
      <w:r w:rsidRPr="005C2969">
        <w:t>doi: 10.1136/thoraxjnl-2020-216308</w:t>
      </w:r>
    </w:p>
    <w:p w14:paraId="5CCAB10D" w14:textId="3C651F1E" w:rsidR="005C2969" w:rsidRPr="005C2969" w:rsidRDefault="005C2969" w:rsidP="005C2969">
      <w:pPr>
        <w:pStyle w:val="EndNoteBibliography"/>
        <w:spacing w:after="0"/>
      </w:pPr>
      <w:r w:rsidRPr="005C2969">
        <w:t>8.</w:t>
      </w:r>
      <w:r w:rsidRPr="005C2969">
        <w:tab/>
        <w:t>Tabatabaei SMH, Rajebi H, Moghaddas F, Ghasemiadl M, Talari H. Chest CT in COVID-19 pneumonia: what are the findings in mid-term follow-up? Emergency Radiology. 2020;27(6):711-9.</w:t>
      </w:r>
    </w:p>
    <w:p w14:paraId="1962F95E" w14:textId="77777777" w:rsidR="005C2969" w:rsidRPr="005C2969" w:rsidRDefault="005C2969" w:rsidP="005C2969">
      <w:pPr>
        <w:pStyle w:val="EndNoteBibliography"/>
        <w:spacing w:after="0"/>
      </w:pPr>
      <w:r w:rsidRPr="005C2969">
        <w:lastRenderedPageBreak/>
        <w:t>9.</w:t>
      </w:r>
      <w:r w:rsidRPr="005C2969">
        <w:tab/>
        <w:t>Zhao Y-m, Shang Y-m, Song W-b, Li Q-q, Xie H, Xu Q-f, et al. Follow-up study of the pulmonary function and related physiological characteristics of COVID-19 survivors three months after recovery. EClinicalMedicine. 2020;25:100463.</w:t>
      </w:r>
    </w:p>
    <w:p w14:paraId="36452792" w14:textId="77777777" w:rsidR="005C2969" w:rsidRPr="005C2969" w:rsidRDefault="005C2969" w:rsidP="005C2969">
      <w:pPr>
        <w:pStyle w:val="EndNoteBibliography"/>
        <w:spacing w:after="0"/>
      </w:pPr>
      <w:r w:rsidRPr="005C2969">
        <w:t>10.</w:t>
      </w:r>
      <w:r w:rsidRPr="005C2969">
        <w:tab/>
        <w:t>Burke H, Freeman A, Cellura DC, Stuart BL, Brendish NJ, Poole S, et al. Inflammatory phenotyping predicts clinical outcome in COVID-19. Respiratory research. 2020;21(1):245.</w:t>
      </w:r>
    </w:p>
    <w:p w14:paraId="090805CD" w14:textId="193FE2F3" w:rsidR="005C2969" w:rsidRPr="005C2969" w:rsidRDefault="005C2969" w:rsidP="005C2969">
      <w:pPr>
        <w:pStyle w:val="EndNoteBibliography"/>
        <w:spacing w:after="0"/>
      </w:pPr>
      <w:r w:rsidRPr="005C2969">
        <w:t>11.</w:t>
      </w:r>
      <w:r w:rsidRPr="005C2969">
        <w:tab/>
        <w:t xml:space="preserve">Brendish NJ, Poole S, Naidu VV, Mansbridge CT, Norton NJ, Wheeler H, et al. Clinical impact of molecular point-of-care testing for suspected COVID-19 in hospital (COV-19POC): a prospective, interventional, non-randomised, controlled study. The Lancet Respiratory Medicine. </w:t>
      </w:r>
      <w:r w:rsidR="00401475" w:rsidRPr="00D22CB5">
        <w:t>The Lancet Respiratory Medicine</w:t>
      </w:r>
      <w:r w:rsidR="00401475">
        <w:t xml:space="preserve"> </w:t>
      </w:r>
      <w:r w:rsidR="00401475" w:rsidRPr="005C2969">
        <w:t>2020;8(12):1192-1200. doi:10.1016/S2213-2600(20)30454-9</w:t>
      </w:r>
      <w:r w:rsidRPr="005C2969">
        <w:t>.</w:t>
      </w:r>
    </w:p>
    <w:p w14:paraId="5B8AD0F4" w14:textId="77777777" w:rsidR="005C2969" w:rsidRPr="005C2969" w:rsidRDefault="005C2969" w:rsidP="005C2969">
      <w:pPr>
        <w:pStyle w:val="EndNoteBibliography"/>
        <w:spacing w:after="0"/>
      </w:pPr>
      <w:r w:rsidRPr="005C2969">
        <w:t>12.</w:t>
      </w:r>
      <w:r w:rsidRPr="005C2969">
        <w:tab/>
        <w:t>Wong HYF, Lam HYS, Fong AH-T, Leung ST, Chin TW-Y, Lo CSY, et al. Frequency and Distribution of Chest Radiographic Findings in Patients Positive for COVID-19. Radiology. 2020;296(2):E72-E8.</w:t>
      </w:r>
    </w:p>
    <w:p w14:paraId="5EF71FDC" w14:textId="25876364" w:rsidR="005C2969" w:rsidRPr="005C2969" w:rsidRDefault="005C2969" w:rsidP="005C2969">
      <w:pPr>
        <w:pStyle w:val="EndNoteBibliography"/>
        <w:spacing w:after="0"/>
      </w:pPr>
      <w:r w:rsidRPr="005C2969">
        <w:t>13.</w:t>
      </w:r>
      <w:r w:rsidRPr="005C2969">
        <w:tab/>
        <w:t>Arnold DT, Hamilton FW, Milne A, Morley A, Viner J, Attwood M, et al. Patient outcomes after hospitalisation with COVID-19 and implications for follow-up; results from a prospective UK cohort.</w:t>
      </w:r>
      <w:r w:rsidR="009E1692">
        <w:t xml:space="preserve"> Thorax 2020; 76(4): 399-401</w:t>
      </w:r>
      <w:r w:rsidRPr="005C2969">
        <w:t xml:space="preserve"> </w:t>
      </w:r>
    </w:p>
    <w:p w14:paraId="7CC501C5" w14:textId="77777777" w:rsidR="005C2969" w:rsidRPr="005C2969" w:rsidRDefault="005C2969" w:rsidP="005C2969">
      <w:pPr>
        <w:pStyle w:val="EndNoteBibliography"/>
        <w:spacing w:after="0"/>
      </w:pPr>
      <w:r w:rsidRPr="005C2969">
        <w:t>14.</w:t>
      </w:r>
      <w:r w:rsidRPr="005C2969">
        <w:tab/>
        <w:t>Wulaningsih W, Holmberg L, Garmo H, Malmstrom H, Lambe M, Hammar N, et al. Serum lactate dehydrogenase and survival following cancer diagnosis. Br J Cancer. 2015;113(9):1389-96.</w:t>
      </w:r>
    </w:p>
    <w:p w14:paraId="6B97D32A" w14:textId="77777777" w:rsidR="005C2969" w:rsidRPr="005C2969" w:rsidRDefault="005C2969" w:rsidP="005C2969">
      <w:pPr>
        <w:pStyle w:val="EndNoteBibliography"/>
        <w:spacing w:after="0"/>
      </w:pPr>
      <w:r w:rsidRPr="005C2969">
        <w:t>15.</w:t>
      </w:r>
      <w:r w:rsidRPr="005C2969">
        <w:tab/>
        <w:t>Das K, Lee E, Singh R, Enani M, Al Dossari K, Van Gorkom K, et al. Follow-up chest radiographic findings in patients with MERS-CoV after recovery. Indian Journal of Radiology and Imaging. 2017;27(3):342-9.</w:t>
      </w:r>
    </w:p>
    <w:p w14:paraId="372533E4" w14:textId="77777777" w:rsidR="005C2969" w:rsidRPr="005C2969" w:rsidRDefault="005C2969" w:rsidP="005C2969">
      <w:pPr>
        <w:pStyle w:val="EndNoteBibliography"/>
        <w:spacing w:after="0"/>
      </w:pPr>
      <w:r w:rsidRPr="005C2969">
        <w:t>16.</w:t>
      </w:r>
      <w:r w:rsidRPr="005C2969">
        <w:tab/>
        <w:t>Guan W-j, Ni Z-y, Hu Y, Liang W-h, Ou C-q, He J-x, et al. Clinical Characteristics of Coronavirus Disease 2019 in China. New England Journal of Medicine. 2020;382(18):1708-20.</w:t>
      </w:r>
    </w:p>
    <w:p w14:paraId="3662D499" w14:textId="77777777" w:rsidR="005C2969" w:rsidRPr="005C2969" w:rsidRDefault="005C2969" w:rsidP="005C2969">
      <w:pPr>
        <w:pStyle w:val="EndNoteBibliography"/>
      </w:pPr>
      <w:r w:rsidRPr="005C2969">
        <w:t>17.</w:t>
      </w:r>
      <w:r w:rsidRPr="005C2969">
        <w:tab/>
        <w:t>Wu M-y, Yao L, Wang Y, Zhu X-y, Wang X-f, Tang P-j, et al. Clinical evaluation of potential usefulness of serum lactate dehydrogenase (LDH) in 2019 novel coronavirus (COVID-19) pneumonia. Respiratory research. 2020;21(1):171.</w:t>
      </w:r>
    </w:p>
    <w:p w14:paraId="536A85C2" w14:textId="1961F581" w:rsidR="0054220A" w:rsidRDefault="00E74852" w:rsidP="000F6A00">
      <w:pPr>
        <w:pStyle w:val="ListParagraph"/>
        <w:ind w:left="0"/>
      </w:pPr>
      <w:r>
        <w:fldChar w:fldCharType="end"/>
      </w:r>
      <w:bookmarkEnd w:id="4"/>
    </w:p>
    <w:sectPr w:rsidR="0054220A" w:rsidSect="004F7A21">
      <w:footerReference w:type="default" r:id="rId10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C55EC" w14:textId="77777777" w:rsidR="00AF171F" w:rsidRDefault="00AF171F" w:rsidP="00401AAA">
      <w:pPr>
        <w:spacing w:after="0" w:line="240" w:lineRule="auto"/>
      </w:pPr>
      <w:r>
        <w:separator/>
      </w:r>
    </w:p>
  </w:endnote>
  <w:endnote w:type="continuationSeparator" w:id="0">
    <w:p w14:paraId="5D2BD03E" w14:textId="77777777" w:rsidR="00AF171F" w:rsidRDefault="00AF171F" w:rsidP="0040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2261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3619C" w14:textId="2D6611B3" w:rsidR="00FB21E8" w:rsidRDefault="00FB2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E0E03" w14:textId="77777777" w:rsidR="00FB21E8" w:rsidRDefault="00FB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10E07" w14:textId="77777777" w:rsidR="00AF171F" w:rsidRDefault="00AF171F" w:rsidP="00401AAA">
      <w:pPr>
        <w:spacing w:after="0" w:line="240" w:lineRule="auto"/>
      </w:pPr>
      <w:r>
        <w:separator/>
      </w:r>
    </w:p>
  </w:footnote>
  <w:footnote w:type="continuationSeparator" w:id="0">
    <w:p w14:paraId="1A1B90F4" w14:textId="77777777" w:rsidR="00AF171F" w:rsidRDefault="00AF171F" w:rsidP="0040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36ED"/>
    <w:multiLevelType w:val="hybridMultilevel"/>
    <w:tmpl w:val="E12E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18F5"/>
    <w:multiLevelType w:val="hybridMultilevel"/>
    <w:tmpl w:val="2E4E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73D89"/>
    <w:multiLevelType w:val="hybridMultilevel"/>
    <w:tmpl w:val="E50EC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fvtfpx39zev2evef255xeg0rd02x5vsrza&quot;&gt;ENDNOTE LIBRARY FOR THESIS (RECOVERED) v2&lt;record-ids&gt;&lt;item&gt;477&lt;/item&gt;&lt;item&gt;478&lt;/item&gt;&lt;item&gt;479&lt;/item&gt;&lt;item&gt;480&lt;/item&gt;&lt;item&gt;481&lt;/item&gt;&lt;item&gt;482&lt;/item&gt;&lt;item&gt;483&lt;/item&gt;&lt;item&gt;484&lt;/item&gt;&lt;item&gt;488&lt;/item&gt;&lt;/record-ids&gt;&lt;/item&gt;&lt;/Libraries&gt;"/>
  </w:docVars>
  <w:rsids>
    <w:rsidRoot w:val="001030AF"/>
    <w:rsid w:val="00007C72"/>
    <w:rsid w:val="00040B96"/>
    <w:rsid w:val="0004212E"/>
    <w:rsid w:val="000475C5"/>
    <w:rsid w:val="00052578"/>
    <w:rsid w:val="00061A22"/>
    <w:rsid w:val="00070A5F"/>
    <w:rsid w:val="0007230E"/>
    <w:rsid w:val="0009358E"/>
    <w:rsid w:val="000A3888"/>
    <w:rsid w:val="000A6FAD"/>
    <w:rsid w:val="000A7661"/>
    <w:rsid w:val="000B3ED8"/>
    <w:rsid w:val="000C649E"/>
    <w:rsid w:val="000E5502"/>
    <w:rsid w:val="000E7E8F"/>
    <w:rsid w:val="000F4FE0"/>
    <w:rsid w:val="000F6A00"/>
    <w:rsid w:val="001030AF"/>
    <w:rsid w:val="00103287"/>
    <w:rsid w:val="0010403B"/>
    <w:rsid w:val="00125412"/>
    <w:rsid w:val="001263CD"/>
    <w:rsid w:val="00130C8E"/>
    <w:rsid w:val="0013207D"/>
    <w:rsid w:val="00133A76"/>
    <w:rsid w:val="001350F4"/>
    <w:rsid w:val="0013623E"/>
    <w:rsid w:val="00141128"/>
    <w:rsid w:val="001517AA"/>
    <w:rsid w:val="00153644"/>
    <w:rsid w:val="00154839"/>
    <w:rsid w:val="00155B4F"/>
    <w:rsid w:val="00156A5A"/>
    <w:rsid w:val="00161E60"/>
    <w:rsid w:val="00172365"/>
    <w:rsid w:val="00176EFE"/>
    <w:rsid w:val="00184309"/>
    <w:rsid w:val="001849D8"/>
    <w:rsid w:val="0018720C"/>
    <w:rsid w:val="001929D3"/>
    <w:rsid w:val="00192D08"/>
    <w:rsid w:val="001A0AAD"/>
    <w:rsid w:val="001A2CED"/>
    <w:rsid w:val="001A3BD6"/>
    <w:rsid w:val="001B52C0"/>
    <w:rsid w:val="001C4BD9"/>
    <w:rsid w:val="001D47B6"/>
    <w:rsid w:val="001E0F2B"/>
    <w:rsid w:val="001E3EB1"/>
    <w:rsid w:val="001F61CE"/>
    <w:rsid w:val="002039E1"/>
    <w:rsid w:val="00206B2B"/>
    <w:rsid w:val="00211474"/>
    <w:rsid w:val="00224780"/>
    <w:rsid w:val="00235492"/>
    <w:rsid w:val="002453AC"/>
    <w:rsid w:val="002453D8"/>
    <w:rsid w:val="00271C89"/>
    <w:rsid w:val="00272647"/>
    <w:rsid w:val="002937FD"/>
    <w:rsid w:val="002A2F13"/>
    <w:rsid w:val="002A4F7E"/>
    <w:rsid w:val="002B6949"/>
    <w:rsid w:val="002C22E2"/>
    <w:rsid w:val="002D2DFA"/>
    <w:rsid w:val="002D374F"/>
    <w:rsid w:val="002E2E19"/>
    <w:rsid w:val="002F747B"/>
    <w:rsid w:val="00320808"/>
    <w:rsid w:val="00332441"/>
    <w:rsid w:val="00333325"/>
    <w:rsid w:val="00352671"/>
    <w:rsid w:val="0035317C"/>
    <w:rsid w:val="0035669B"/>
    <w:rsid w:val="00386704"/>
    <w:rsid w:val="003B3E61"/>
    <w:rsid w:val="003C6D04"/>
    <w:rsid w:val="003E2B4D"/>
    <w:rsid w:val="003E5750"/>
    <w:rsid w:val="00400570"/>
    <w:rsid w:val="00401475"/>
    <w:rsid w:val="00401830"/>
    <w:rsid w:val="00401AAA"/>
    <w:rsid w:val="00403355"/>
    <w:rsid w:val="00410C6C"/>
    <w:rsid w:val="00413041"/>
    <w:rsid w:val="00413336"/>
    <w:rsid w:val="00424CA0"/>
    <w:rsid w:val="0043744D"/>
    <w:rsid w:val="00441FB2"/>
    <w:rsid w:val="0045245A"/>
    <w:rsid w:val="004528CB"/>
    <w:rsid w:val="00471288"/>
    <w:rsid w:val="00471A5C"/>
    <w:rsid w:val="00475455"/>
    <w:rsid w:val="004813BB"/>
    <w:rsid w:val="0048684D"/>
    <w:rsid w:val="0049318C"/>
    <w:rsid w:val="004A3767"/>
    <w:rsid w:val="004B22DB"/>
    <w:rsid w:val="004B6F99"/>
    <w:rsid w:val="004D26E7"/>
    <w:rsid w:val="004D2CCF"/>
    <w:rsid w:val="004E3BAD"/>
    <w:rsid w:val="004E4108"/>
    <w:rsid w:val="004F0F54"/>
    <w:rsid w:val="004F1992"/>
    <w:rsid w:val="004F35D0"/>
    <w:rsid w:val="004F7A21"/>
    <w:rsid w:val="005059D8"/>
    <w:rsid w:val="00514872"/>
    <w:rsid w:val="005161B9"/>
    <w:rsid w:val="00517F0C"/>
    <w:rsid w:val="00522AD7"/>
    <w:rsid w:val="00522FF5"/>
    <w:rsid w:val="00523984"/>
    <w:rsid w:val="00525EFD"/>
    <w:rsid w:val="005274E7"/>
    <w:rsid w:val="00534973"/>
    <w:rsid w:val="005375BD"/>
    <w:rsid w:val="00537B46"/>
    <w:rsid w:val="00540B45"/>
    <w:rsid w:val="0054220A"/>
    <w:rsid w:val="00542AD0"/>
    <w:rsid w:val="00546F32"/>
    <w:rsid w:val="0055627C"/>
    <w:rsid w:val="00561A54"/>
    <w:rsid w:val="0057353B"/>
    <w:rsid w:val="005743C3"/>
    <w:rsid w:val="0058174D"/>
    <w:rsid w:val="00586E4D"/>
    <w:rsid w:val="005A2A9F"/>
    <w:rsid w:val="005A322A"/>
    <w:rsid w:val="005C2969"/>
    <w:rsid w:val="005C5F17"/>
    <w:rsid w:val="005D228E"/>
    <w:rsid w:val="005D2536"/>
    <w:rsid w:val="005D3C89"/>
    <w:rsid w:val="005E1F12"/>
    <w:rsid w:val="005E263C"/>
    <w:rsid w:val="006069BE"/>
    <w:rsid w:val="006124C8"/>
    <w:rsid w:val="006209AF"/>
    <w:rsid w:val="00620B5D"/>
    <w:rsid w:val="006220A7"/>
    <w:rsid w:val="0062389F"/>
    <w:rsid w:val="0062426F"/>
    <w:rsid w:val="00626B6C"/>
    <w:rsid w:val="00627B2B"/>
    <w:rsid w:val="00627EF8"/>
    <w:rsid w:val="00630D81"/>
    <w:rsid w:val="00633D76"/>
    <w:rsid w:val="00635162"/>
    <w:rsid w:val="00640BF1"/>
    <w:rsid w:val="00643904"/>
    <w:rsid w:val="00646F37"/>
    <w:rsid w:val="0065579E"/>
    <w:rsid w:val="006651A9"/>
    <w:rsid w:val="0067228C"/>
    <w:rsid w:val="00672622"/>
    <w:rsid w:val="00675142"/>
    <w:rsid w:val="00676E3E"/>
    <w:rsid w:val="0067755A"/>
    <w:rsid w:val="00681DDA"/>
    <w:rsid w:val="00685C23"/>
    <w:rsid w:val="006943BC"/>
    <w:rsid w:val="006A672E"/>
    <w:rsid w:val="006B0E51"/>
    <w:rsid w:val="006B1C90"/>
    <w:rsid w:val="006B4247"/>
    <w:rsid w:val="006C0CBF"/>
    <w:rsid w:val="006C2DEA"/>
    <w:rsid w:val="006C3DDB"/>
    <w:rsid w:val="006E069C"/>
    <w:rsid w:val="006F54E4"/>
    <w:rsid w:val="006F55A1"/>
    <w:rsid w:val="00702523"/>
    <w:rsid w:val="0070538D"/>
    <w:rsid w:val="007160B7"/>
    <w:rsid w:val="007265E2"/>
    <w:rsid w:val="0073249B"/>
    <w:rsid w:val="00733691"/>
    <w:rsid w:val="00740FB7"/>
    <w:rsid w:val="0074543B"/>
    <w:rsid w:val="00745540"/>
    <w:rsid w:val="00762270"/>
    <w:rsid w:val="00762641"/>
    <w:rsid w:val="007737BC"/>
    <w:rsid w:val="0077433F"/>
    <w:rsid w:val="00776742"/>
    <w:rsid w:val="007A11E6"/>
    <w:rsid w:val="007A7CA0"/>
    <w:rsid w:val="007B0B51"/>
    <w:rsid w:val="007B76FF"/>
    <w:rsid w:val="007B7EDD"/>
    <w:rsid w:val="007D45D4"/>
    <w:rsid w:val="007E31D5"/>
    <w:rsid w:val="007E7B78"/>
    <w:rsid w:val="007F5A49"/>
    <w:rsid w:val="00804E42"/>
    <w:rsid w:val="00807C48"/>
    <w:rsid w:val="00816229"/>
    <w:rsid w:val="008232CA"/>
    <w:rsid w:val="00823972"/>
    <w:rsid w:val="00827857"/>
    <w:rsid w:val="00835F14"/>
    <w:rsid w:val="008412E4"/>
    <w:rsid w:val="0085245F"/>
    <w:rsid w:val="00853697"/>
    <w:rsid w:val="00855B1B"/>
    <w:rsid w:val="00856B7B"/>
    <w:rsid w:val="00873997"/>
    <w:rsid w:val="008745DD"/>
    <w:rsid w:val="00881577"/>
    <w:rsid w:val="0088452C"/>
    <w:rsid w:val="008866B5"/>
    <w:rsid w:val="0089043B"/>
    <w:rsid w:val="00891DC6"/>
    <w:rsid w:val="00895818"/>
    <w:rsid w:val="008B331E"/>
    <w:rsid w:val="008B740A"/>
    <w:rsid w:val="008C0511"/>
    <w:rsid w:val="008C0DF6"/>
    <w:rsid w:val="008C73DA"/>
    <w:rsid w:val="008D3F11"/>
    <w:rsid w:val="008E3ECD"/>
    <w:rsid w:val="008E63C8"/>
    <w:rsid w:val="008F1765"/>
    <w:rsid w:val="009074D3"/>
    <w:rsid w:val="0091092E"/>
    <w:rsid w:val="009221FB"/>
    <w:rsid w:val="00926DA0"/>
    <w:rsid w:val="0093696E"/>
    <w:rsid w:val="009372A1"/>
    <w:rsid w:val="00937F02"/>
    <w:rsid w:val="00940939"/>
    <w:rsid w:val="00941D45"/>
    <w:rsid w:val="00962924"/>
    <w:rsid w:val="009637AA"/>
    <w:rsid w:val="0097459F"/>
    <w:rsid w:val="009909D0"/>
    <w:rsid w:val="009918F7"/>
    <w:rsid w:val="0099292D"/>
    <w:rsid w:val="009B0FF9"/>
    <w:rsid w:val="009B4B62"/>
    <w:rsid w:val="009C17B7"/>
    <w:rsid w:val="009C3615"/>
    <w:rsid w:val="009C7469"/>
    <w:rsid w:val="009C74C2"/>
    <w:rsid w:val="009D7021"/>
    <w:rsid w:val="009E1692"/>
    <w:rsid w:val="009F059C"/>
    <w:rsid w:val="009F422D"/>
    <w:rsid w:val="009F50FA"/>
    <w:rsid w:val="00A01C72"/>
    <w:rsid w:val="00A101A5"/>
    <w:rsid w:val="00A1080B"/>
    <w:rsid w:val="00A25FDA"/>
    <w:rsid w:val="00A345ED"/>
    <w:rsid w:val="00A47B8D"/>
    <w:rsid w:val="00A522D2"/>
    <w:rsid w:val="00A722C8"/>
    <w:rsid w:val="00A823A7"/>
    <w:rsid w:val="00A85861"/>
    <w:rsid w:val="00AC4D85"/>
    <w:rsid w:val="00AC517B"/>
    <w:rsid w:val="00AC5498"/>
    <w:rsid w:val="00AD45E7"/>
    <w:rsid w:val="00AD6D21"/>
    <w:rsid w:val="00AF171F"/>
    <w:rsid w:val="00AF2D67"/>
    <w:rsid w:val="00AF395F"/>
    <w:rsid w:val="00AF7897"/>
    <w:rsid w:val="00B00669"/>
    <w:rsid w:val="00B06A3A"/>
    <w:rsid w:val="00B13B68"/>
    <w:rsid w:val="00B153A3"/>
    <w:rsid w:val="00B45CE0"/>
    <w:rsid w:val="00B521B9"/>
    <w:rsid w:val="00B53BD6"/>
    <w:rsid w:val="00B551B4"/>
    <w:rsid w:val="00B555BF"/>
    <w:rsid w:val="00B556EC"/>
    <w:rsid w:val="00B5604F"/>
    <w:rsid w:val="00B5609C"/>
    <w:rsid w:val="00B67958"/>
    <w:rsid w:val="00B82E3A"/>
    <w:rsid w:val="00B85B3F"/>
    <w:rsid w:val="00B91C8A"/>
    <w:rsid w:val="00BA10A9"/>
    <w:rsid w:val="00BA6987"/>
    <w:rsid w:val="00BB7EED"/>
    <w:rsid w:val="00BC0559"/>
    <w:rsid w:val="00BC07EE"/>
    <w:rsid w:val="00BC2614"/>
    <w:rsid w:val="00BD549E"/>
    <w:rsid w:val="00BE2691"/>
    <w:rsid w:val="00BE2E0D"/>
    <w:rsid w:val="00BE560A"/>
    <w:rsid w:val="00BE66E6"/>
    <w:rsid w:val="00BF69C2"/>
    <w:rsid w:val="00C04F09"/>
    <w:rsid w:val="00C06387"/>
    <w:rsid w:val="00C216FD"/>
    <w:rsid w:val="00C21B7F"/>
    <w:rsid w:val="00C3023B"/>
    <w:rsid w:val="00C34D2B"/>
    <w:rsid w:val="00C37DA9"/>
    <w:rsid w:val="00C73D40"/>
    <w:rsid w:val="00C8282B"/>
    <w:rsid w:val="00C9502C"/>
    <w:rsid w:val="00CA7FF6"/>
    <w:rsid w:val="00CB0E54"/>
    <w:rsid w:val="00CB388C"/>
    <w:rsid w:val="00CD7C09"/>
    <w:rsid w:val="00CE3E20"/>
    <w:rsid w:val="00D05BF1"/>
    <w:rsid w:val="00D06074"/>
    <w:rsid w:val="00D10815"/>
    <w:rsid w:val="00D22CB5"/>
    <w:rsid w:val="00D400CE"/>
    <w:rsid w:val="00D415A4"/>
    <w:rsid w:val="00D41A4E"/>
    <w:rsid w:val="00D438D9"/>
    <w:rsid w:val="00D51DAF"/>
    <w:rsid w:val="00D52910"/>
    <w:rsid w:val="00D53B05"/>
    <w:rsid w:val="00D65BCA"/>
    <w:rsid w:val="00D7584F"/>
    <w:rsid w:val="00D76F69"/>
    <w:rsid w:val="00D906EF"/>
    <w:rsid w:val="00D92DDD"/>
    <w:rsid w:val="00DA20A7"/>
    <w:rsid w:val="00DB1D0F"/>
    <w:rsid w:val="00DB796C"/>
    <w:rsid w:val="00DF4B41"/>
    <w:rsid w:val="00DF7C2C"/>
    <w:rsid w:val="00DF7D2C"/>
    <w:rsid w:val="00E03D63"/>
    <w:rsid w:val="00E05A0E"/>
    <w:rsid w:val="00E11121"/>
    <w:rsid w:val="00E13F96"/>
    <w:rsid w:val="00E20565"/>
    <w:rsid w:val="00E273E0"/>
    <w:rsid w:val="00E27DFF"/>
    <w:rsid w:val="00E320D0"/>
    <w:rsid w:val="00E3762F"/>
    <w:rsid w:val="00E43B38"/>
    <w:rsid w:val="00E51861"/>
    <w:rsid w:val="00E62792"/>
    <w:rsid w:val="00E704E8"/>
    <w:rsid w:val="00E74852"/>
    <w:rsid w:val="00E821AB"/>
    <w:rsid w:val="00E833B7"/>
    <w:rsid w:val="00E83863"/>
    <w:rsid w:val="00E924E5"/>
    <w:rsid w:val="00EC5038"/>
    <w:rsid w:val="00EC6478"/>
    <w:rsid w:val="00F01EC2"/>
    <w:rsid w:val="00F02795"/>
    <w:rsid w:val="00F266C3"/>
    <w:rsid w:val="00F333E9"/>
    <w:rsid w:val="00F44A44"/>
    <w:rsid w:val="00F6065B"/>
    <w:rsid w:val="00F61437"/>
    <w:rsid w:val="00F671BE"/>
    <w:rsid w:val="00F711E7"/>
    <w:rsid w:val="00F72D45"/>
    <w:rsid w:val="00F806A3"/>
    <w:rsid w:val="00F819DC"/>
    <w:rsid w:val="00F82209"/>
    <w:rsid w:val="00F82B49"/>
    <w:rsid w:val="00FA50C1"/>
    <w:rsid w:val="00FA7533"/>
    <w:rsid w:val="00FB21E8"/>
    <w:rsid w:val="00FB2887"/>
    <w:rsid w:val="00FB2EAC"/>
    <w:rsid w:val="00FB3013"/>
    <w:rsid w:val="00FD10B0"/>
    <w:rsid w:val="00FF0C0A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868614"/>
  <w15:docId w15:val="{808B6416-385C-1745-96B6-42D15D41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3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A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A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5A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7485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4852"/>
  </w:style>
  <w:style w:type="character" w:customStyle="1" w:styleId="EndNoteBibliographyTitleChar">
    <w:name w:val="EndNote Bibliography Title Char"/>
    <w:basedOn w:val="ListParagraphChar"/>
    <w:link w:val="EndNoteBibliographyTitle"/>
    <w:rsid w:val="00E7485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7485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E7485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70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5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AA"/>
  </w:style>
  <w:style w:type="paragraph" w:styleId="Footer">
    <w:name w:val="footer"/>
    <w:basedOn w:val="Normal"/>
    <w:link w:val="FooterChar"/>
    <w:uiPriority w:val="99"/>
    <w:unhideWhenUsed/>
    <w:rsid w:val="00401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AA"/>
  </w:style>
  <w:style w:type="character" w:styleId="CommentReference">
    <w:name w:val="annotation reference"/>
    <w:basedOn w:val="DefaultParagraphFont"/>
    <w:uiPriority w:val="99"/>
    <w:semiHidden/>
    <w:unhideWhenUsed/>
    <w:rsid w:val="0018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20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7353B"/>
  </w:style>
  <w:style w:type="paragraph" w:styleId="Revision">
    <w:name w:val="Revision"/>
    <w:hidden/>
    <w:uiPriority w:val="99"/>
    <w:semiHidden/>
    <w:rsid w:val="00AF7897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CA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B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2F12-6303-DF43-A459-32C6C731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9909</Words>
  <Characters>56482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66259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Wallis</dc:creator>
  <cp:lastModifiedBy>Mark Jones</cp:lastModifiedBy>
  <cp:revision>5</cp:revision>
  <dcterms:created xsi:type="dcterms:W3CDTF">2021-05-06T10:47:00Z</dcterms:created>
  <dcterms:modified xsi:type="dcterms:W3CDTF">2021-05-14T13:16:00Z</dcterms:modified>
</cp:coreProperties>
</file>