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D965BB" w14:textId="06951E65" w:rsidR="00004F21" w:rsidRPr="00CD364B" w:rsidRDefault="00FF344C" w:rsidP="00BB53E5">
      <w:pPr>
        <w:spacing w:line="360" w:lineRule="auto"/>
        <w:jc w:val="center"/>
        <w:rPr>
          <w:rFonts w:cstheme="minorHAnsi"/>
          <w:b/>
          <w:bCs/>
          <w:sz w:val="28"/>
          <w:szCs w:val="28"/>
          <w:lang w:val="en-US"/>
        </w:rPr>
      </w:pPr>
      <w:r w:rsidRPr="00CD364B">
        <w:rPr>
          <w:rFonts w:cstheme="minorHAnsi"/>
          <w:b/>
          <w:bCs/>
          <w:sz w:val="28"/>
          <w:szCs w:val="28"/>
          <w:lang w:val="en-US"/>
        </w:rPr>
        <w:t xml:space="preserve">Does </w:t>
      </w:r>
      <w:r w:rsidR="002E2304" w:rsidRPr="00CD364B">
        <w:rPr>
          <w:rFonts w:cstheme="minorHAnsi"/>
          <w:b/>
          <w:bCs/>
          <w:sz w:val="28"/>
          <w:szCs w:val="28"/>
          <w:lang w:val="en-US"/>
        </w:rPr>
        <w:t xml:space="preserve">Green Financing </w:t>
      </w:r>
      <w:r w:rsidRPr="00CD364B">
        <w:rPr>
          <w:rFonts w:cstheme="minorHAnsi"/>
          <w:b/>
          <w:bCs/>
          <w:sz w:val="28"/>
          <w:szCs w:val="28"/>
          <w:lang w:val="en-US"/>
        </w:rPr>
        <w:t xml:space="preserve">help to improve </w:t>
      </w:r>
      <w:r w:rsidR="002E2304" w:rsidRPr="00CD364B">
        <w:rPr>
          <w:rFonts w:cstheme="minorHAnsi"/>
          <w:b/>
          <w:bCs/>
          <w:sz w:val="28"/>
          <w:szCs w:val="28"/>
          <w:lang w:val="en-US"/>
        </w:rPr>
        <w:t>Environmental &amp; Social Responsibility</w:t>
      </w:r>
      <w:r w:rsidRPr="00CD364B">
        <w:rPr>
          <w:rFonts w:cstheme="minorHAnsi"/>
          <w:b/>
          <w:bCs/>
          <w:sz w:val="28"/>
          <w:szCs w:val="28"/>
          <w:lang w:val="en-US"/>
        </w:rPr>
        <w:t>?</w:t>
      </w:r>
      <w:r w:rsidR="00F32CAA" w:rsidRPr="00CD364B">
        <w:t xml:space="preserve"> </w:t>
      </w:r>
      <w:r w:rsidR="00F32CAA" w:rsidRPr="00CD364B">
        <w:rPr>
          <w:rFonts w:cstheme="minorHAnsi"/>
          <w:b/>
          <w:bCs/>
          <w:sz w:val="28"/>
          <w:szCs w:val="28"/>
          <w:lang w:val="en-US"/>
        </w:rPr>
        <w:t>Designing SDG framework through Advanced Quantile model</w:t>
      </w:r>
      <w:r w:rsidR="00437EA1" w:rsidRPr="00CD364B">
        <w:rPr>
          <w:rFonts w:cstheme="minorHAnsi"/>
          <w:b/>
          <w:bCs/>
          <w:sz w:val="28"/>
          <w:szCs w:val="28"/>
          <w:lang w:val="en-US"/>
        </w:rPr>
        <w:t>l</w:t>
      </w:r>
      <w:r w:rsidR="00F32CAA" w:rsidRPr="00CD364B">
        <w:rPr>
          <w:rFonts w:cstheme="minorHAnsi"/>
          <w:b/>
          <w:bCs/>
          <w:sz w:val="28"/>
          <w:szCs w:val="28"/>
          <w:lang w:val="en-US"/>
        </w:rPr>
        <w:t>ing.</w:t>
      </w:r>
    </w:p>
    <w:p w14:paraId="7B96B634" w14:textId="77777777" w:rsidR="00BB53E5" w:rsidRPr="00CD364B" w:rsidRDefault="00BB53E5" w:rsidP="00004F21">
      <w:pPr>
        <w:spacing w:after="0" w:line="360" w:lineRule="auto"/>
        <w:jc w:val="both"/>
        <w:rPr>
          <w:rFonts w:cstheme="minorHAnsi"/>
          <w:b/>
          <w:bCs/>
          <w:sz w:val="24"/>
          <w:szCs w:val="24"/>
          <w:lang w:val="en-US"/>
        </w:rPr>
      </w:pPr>
    </w:p>
    <w:p w14:paraId="61B73D77" w14:textId="640A561E" w:rsidR="00FF344C" w:rsidRPr="00CD364B" w:rsidRDefault="00DF7260" w:rsidP="00004F21">
      <w:pPr>
        <w:spacing w:after="0" w:line="360" w:lineRule="auto"/>
        <w:jc w:val="both"/>
        <w:rPr>
          <w:rFonts w:cstheme="minorHAnsi"/>
          <w:b/>
          <w:bCs/>
          <w:sz w:val="24"/>
          <w:szCs w:val="24"/>
          <w:lang w:val="en-US"/>
        </w:rPr>
      </w:pPr>
      <w:r w:rsidRPr="00CD364B">
        <w:rPr>
          <w:rFonts w:cstheme="minorHAnsi"/>
          <w:b/>
          <w:bCs/>
          <w:sz w:val="24"/>
          <w:szCs w:val="24"/>
          <w:lang w:val="en-US"/>
        </w:rPr>
        <w:t>Abstract</w:t>
      </w:r>
    </w:p>
    <w:p w14:paraId="57E13638" w14:textId="77777777" w:rsidR="00DF7260" w:rsidRPr="00CD364B" w:rsidRDefault="00DF7260" w:rsidP="00004F21">
      <w:pPr>
        <w:spacing w:after="0" w:line="360" w:lineRule="auto"/>
        <w:jc w:val="both"/>
        <w:rPr>
          <w:rFonts w:cstheme="minorHAnsi"/>
          <w:b/>
          <w:bCs/>
          <w:sz w:val="24"/>
          <w:szCs w:val="24"/>
          <w:lang w:val="en-US"/>
        </w:rPr>
      </w:pPr>
    </w:p>
    <w:p w14:paraId="5973A536" w14:textId="304A3515" w:rsidR="00B36AA7" w:rsidRPr="00CD364B" w:rsidRDefault="00EC13EE" w:rsidP="00004F21">
      <w:pPr>
        <w:spacing w:after="0" w:line="360" w:lineRule="auto"/>
        <w:jc w:val="both"/>
        <w:rPr>
          <w:rFonts w:cstheme="minorHAnsi"/>
          <w:sz w:val="24"/>
          <w:szCs w:val="24"/>
          <w:lang w:val="en-US"/>
        </w:rPr>
      </w:pPr>
      <w:r w:rsidRPr="00CD364B">
        <w:rPr>
          <w:rFonts w:cstheme="minorHAnsi"/>
          <w:sz w:val="24"/>
          <w:szCs w:val="24"/>
          <w:lang w:val="en-US"/>
        </w:rPr>
        <w:t>S</w:t>
      </w:r>
      <w:r w:rsidR="00B3548D" w:rsidRPr="00CD364B">
        <w:rPr>
          <w:rFonts w:cstheme="minorHAnsi"/>
          <w:sz w:val="24"/>
          <w:szCs w:val="24"/>
          <w:lang w:val="en-US"/>
        </w:rPr>
        <w:t>triving to achieve the Sustainable Development Goals (SDGs)</w:t>
      </w:r>
      <w:r w:rsidR="00C70ED3" w:rsidRPr="00CD364B">
        <w:rPr>
          <w:rFonts w:cstheme="minorHAnsi"/>
          <w:sz w:val="24"/>
          <w:szCs w:val="24"/>
          <w:lang w:val="en-US"/>
        </w:rPr>
        <w:t>,</w:t>
      </w:r>
      <w:r w:rsidRPr="00CD364B">
        <w:rPr>
          <w:rFonts w:cstheme="minorHAnsi"/>
          <w:sz w:val="24"/>
          <w:szCs w:val="24"/>
          <w:lang w:val="en-US"/>
        </w:rPr>
        <w:t xml:space="preserve"> </w:t>
      </w:r>
      <w:r w:rsidR="00C70ED3" w:rsidRPr="00CD364B">
        <w:rPr>
          <w:rFonts w:cstheme="minorHAnsi"/>
          <w:sz w:val="24"/>
          <w:szCs w:val="24"/>
          <w:lang w:val="en-US"/>
        </w:rPr>
        <w:t>countrie</w:t>
      </w:r>
      <w:r w:rsidRPr="00CD364B">
        <w:rPr>
          <w:rFonts w:cstheme="minorHAnsi"/>
          <w:sz w:val="24"/>
          <w:szCs w:val="24"/>
          <w:lang w:val="en-US"/>
        </w:rPr>
        <w:t>s are</w:t>
      </w:r>
      <w:r w:rsidR="00C70ED3" w:rsidRPr="00CD364B">
        <w:rPr>
          <w:rFonts w:cstheme="minorHAnsi"/>
          <w:sz w:val="24"/>
          <w:szCs w:val="24"/>
          <w:lang w:val="en-US"/>
        </w:rPr>
        <w:t xml:space="preserve"> increasingly</w:t>
      </w:r>
      <w:r w:rsidRPr="00CD364B">
        <w:rPr>
          <w:rFonts w:cstheme="minorHAnsi"/>
          <w:sz w:val="24"/>
          <w:szCs w:val="24"/>
          <w:lang w:val="en-US"/>
        </w:rPr>
        <w:t xml:space="preserve"> </w:t>
      </w:r>
      <w:r w:rsidR="00C70ED3" w:rsidRPr="00CD364B">
        <w:rPr>
          <w:rFonts w:cstheme="minorHAnsi"/>
          <w:sz w:val="24"/>
          <w:szCs w:val="24"/>
          <w:lang w:val="en-US"/>
        </w:rPr>
        <w:t xml:space="preserve">embracing </w:t>
      </w:r>
      <w:r w:rsidR="009F19EC" w:rsidRPr="00CD364B">
        <w:rPr>
          <w:rFonts w:cstheme="minorHAnsi"/>
          <w:sz w:val="24"/>
          <w:szCs w:val="24"/>
          <w:lang w:val="en-US"/>
        </w:rPr>
        <w:t>a sustainable</w:t>
      </w:r>
      <w:r w:rsidR="00D90C6C" w:rsidRPr="00CD364B">
        <w:rPr>
          <w:rFonts w:cstheme="minorHAnsi"/>
          <w:sz w:val="24"/>
          <w:szCs w:val="24"/>
          <w:lang w:val="en-US"/>
        </w:rPr>
        <w:t xml:space="preserve"> financing mechanism</w:t>
      </w:r>
      <w:r w:rsidRPr="00CD364B">
        <w:rPr>
          <w:rFonts w:cstheme="minorHAnsi"/>
          <w:sz w:val="24"/>
          <w:szCs w:val="24"/>
          <w:lang w:val="en-US"/>
        </w:rPr>
        <w:t xml:space="preserve"> via </w:t>
      </w:r>
      <w:r w:rsidR="00B36AA7" w:rsidRPr="00CD364B">
        <w:rPr>
          <w:rFonts w:cstheme="minorHAnsi"/>
          <w:sz w:val="24"/>
          <w:szCs w:val="24"/>
          <w:lang w:val="en-US"/>
        </w:rPr>
        <w:t>green bond</w:t>
      </w:r>
      <w:r w:rsidRPr="00CD364B">
        <w:rPr>
          <w:rFonts w:cstheme="minorHAnsi"/>
          <w:sz w:val="24"/>
          <w:szCs w:val="24"/>
          <w:lang w:val="en-US"/>
        </w:rPr>
        <w:t xml:space="preserve"> financing</w:t>
      </w:r>
      <w:r w:rsidR="009F19EC" w:rsidRPr="00CD364B">
        <w:rPr>
          <w:rFonts w:cstheme="minorHAnsi"/>
          <w:sz w:val="24"/>
          <w:szCs w:val="24"/>
          <w:lang w:val="en-US"/>
        </w:rPr>
        <w:t>.</w:t>
      </w:r>
      <w:r w:rsidR="008E67E7" w:rsidRPr="00CD364B">
        <w:rPr>
          <w:rFonts w:cstheme="minorHAnsi"/>
          <w:sz w:val="24"/>
          <w:szCs w:val="24"/>
          <w:lang w:val="en-US"/>
        </w:rPr>
        <w:t xml:space="preserve"> </w:t>
      </w:r>
      <w:r w:rsidR="003D7D7F" w:rsidRPr="00CD364B">
        <w:rPr>
          <w:rFonts w:cstheme="minorHAnsi"/>
          <w:sz w:val="24"/>
          <w:szCs w:val="24"/>
          <w:lang w:val="en-US"/>
        </w:rPr>
        <w:t xml:space="preserve">Green </w:t>
      </w:r>
      <w:r w:rsidR="00B36AA7" w:rsidRPr="00CD364B">
        <w:rPr>
          <w:rFonts w:cstheme="minorHAnsi"/>
          <w:sz w:val="24"/>
          <w:szCs w:val="24"/>
          <w:lang w:val="en-US"/>
        </w:rPr>
        <w:t>b</w:t>
      </w:r>
      <w:r w:rsidR="003D7D7F" w:rsidRPr="00CD364B">
        <w:rPr>
          <w:rFonts w:cstheme="minorHAnsi"/>
          <w:sz w:val="24"/>
          <w:szCs w:val="24"/>
          <w:lang w:val="en-US"/>
        </w:rPr>
        <w:t>ond</w:t>
      </w:r>
      <w:r w:rsidR="00B36AA7" w:rsidRPr="00CD364B">
        <w:rPr>
          <w:rFonts w:cstheme="minorHAnsi"/>
          <w:sz w:val="24"/>
          <w:szCs w:val="24"/>
          <w:lang w:val="en-US"/>
        </w:rPr>
        <w:t>s</w:t>
      </w:r>
      <w:r w:rsidR="00CD5F46" w:rsidRPr="00CD364B">
        <w:rPr>
          <w:rFonts w:cstheme="minorHAnsi"/>
          <w:sz w:val="24"/>
          <w:szCs w:val="24"/>
          <w:lang w:val="en-US"/>
        </w:rPr>
        <w:t xml:space="preserve"> </w:t>
      </w:r>
      <w:r w:rsidR="00B36AA7" w:rsidRPr="00CD364B">
        <w:rPr>
          <w:rFonts w:cstheme="minorHAnsi"/>
          <w:sz w:val="24"/>
          <w:szCs w:val="24"/>
          <w:lang w:val="en-US"/>
        </w:rPr>
        <w:t xml:space="preserve">have </w:t>
      </w:r>
      <w:r w:rsidR="003D7D7F" w:rsidRPr="00CD364B">
        <w:rPr>
          <w:rFonts w:cstheme="minorHAnsi"/>
          <w:sz w:val="24"/>
          <w:szCs w:val="24"/>
          <w:lang w:val="en-US"/>
        </w:rPr>
        <w:t xml:space="preserve">attracted </w:t>
      </w:r>
      <w:r w:rsidR="00363347" w:rsidRPr="00CD364B">
        <w:rPr>
          <w:rFonts w:cstheme="minorHAnsi"/>
          <w:sz w:val="24"/>
          <w:szCs w:val="24"/>
          <w:lang w:val="en-US"/>
        </w:rPr>
        <w:t xml:space="preserve">the attention </w:t>
      </w:r>
      <w:r w:rsidR="00635FF3" w:rsidRPr="00CD364B">
        <w:rPr>
          <w:rFonts w:cstheme="minorHAnsi"/>
          <w:sz w:val="24"/>
          <w:szCs w:val="24"/>
          <w:lang w:val="en-US"/>
        </w:rPr>
        <w:t xml:space="preserve">of </w:t>
      </w:r>
      <w:r w:rsidR="00C70ED3" w:rsidRPr="00CD364B">
        <w:rPr>
          <w:rFonts w:cstheme="minorHAnsi"/>
          <w:sz w:val="24"/>
          <w:szCs w:val="24"/>
          <w:lang w:val="en-US"/>
        </w:rPr>
        <w:t xml:space="preserve">the </w:t>
      </w:r>
      <w:r w:rsidR="00635FF3" w:rsidRPr="00CD364B">
        <w:rPr>
          <w:rFonts w:cstheme="minorHAnsi"/>
          <w:sz w:val="24"/>
          <w:szCs w:val="24"/>
          <w:lang w:val="en-US"/>
        </w:rPr>
        <w:t>industrial sector and policymakers</w:t>
      </w:r>
      <w:r w:rsidR="00B36AA7" w:rsidRPr="00CD364B">
        <w:rPr>
          <w:rFonts w:cstheme="minorHAnsi"/>
          <w:sz w:val="24"/>
          <w:szCs w:val="24"/>
          <w:lang w:val="en-US"/>
        </w:rPr>
        <w:t>,</w:t>
      </w:r>
      <w:r w:rsidR="00635FF3" w:rsidRPr="00CD364B">
        <w:rPr>
          <w:rFonts w:cstheme="minorHAnsi"/>
          <w:sz w:val="24"/>
          <w:szCs w:val="24"/>
          <w:lang w:val="en-US"/>
        </w:rPr>
        <w:t xml:space="preserve"> </w:t>
      </w:r>
      <w:r w:rsidR="00B36AA7" w:rsidRPr="00CD364B">
        <w:rPr>
          <w:rFonts w:cstheme="minorHAnsi"/>
          <w:sz w:val="24"/>
          <w:szCs w:val="24"/>
          <w:lang w:val="en-US"/>
        </w:rPr>
        <w:t>h</w:t>
      </w:r>
      <w:r w:rsidR="00005B7F" w:rsidRPr="00CD364B">
        <w:rPr>
          <w:rFonts w:cstheme="minorHAnsi"/>
          <w:sz w:val="24"/>
          <w:szCs w:val="24"/>
          <w:lang w:val="en-US"/>
        </w:rPr>
        <w:t xml:space="preserve">owever, </w:t>
      </w:r>
      <w:r w:rsidR="00B36AA7" w:rsidRPr="00CD364B">
        <w:rPr>
          <w:rFonts w:cstheme="minorHAnsi"/>
          <w:sz w:val="24"/>
          <w:szCs w:val="24"/>
          <w:lang w:val="en-US"/>
        </w:rPr>
        <w:t xml:space="preserve">the </w:t>
      </w:r>
      <w:r w:rsidR="00005B7F" w:rsidRPr="00CD364B">
        <w:rPr>
          <w:rFonts w:cstheme="minorHAnsi"/>
          <w:sz w:val="24"/>
          <w:szCs w:val="24"/>
          <w:lang w:val="en-US"/>
        </w:rPr>
        <w:t>impact of green</w:t>
      </w:r>
      <w:r w:rsidR="00B36AA7" w:rsidRPr="00CD364B">
        <w:rPr>
          <w:rFonts w:cstheme="minorHAnsi"/>
          <w:sz w:val="24"/>
          <w:szCs w:val="24"/>
          <w:lang w:val="en-US"/>
        </w:rPr>
        <w:t xml:space="preserve"> bond</w:t>
      </w:r>
      <w:r w:rsidR="00005B7F" w:rsidRPr="00CD364B">
        <w:rPr>
          <w:rFonts w:cstheme="minorHAnsi"/>
          <w:sz w:val="24"/>
          <w:szCs w:val="24"/>
          <w:lang w:val="en-US"/>
        </w:rPr>
        <w:t xml:space="preserve"> financing</w:t>
      </w:r>
      <w:r w:rsidR="00B36AA7" w:rsidRPr="00CD364B">
        <w:rPr>
          <w:rFonts w:cstheme="minorHAnsi"/>
          <w:sz w:val="24"/>
          <w:szCs w:val="24"/>
          <w:lang w:val="en-US"/>
        </w:rPr>
        <w:t xml:space="preserve"> </w:t>
      </w:r>
      <w:r w:rsidR="00005B7F" w:rsidRPr="00CD364B">
        <w:rPr>
          <w:rFonts w:cstheme="minorHAnsi"/>
          <w:sz w:val="24"/>
          <w:szCs w:val="24"/>
          <w:lang w:val="en-US"/>
        </w:rPr>
        <w:t xml:space="preserve">on environmental and social sustainability </w:t>
      </w:r>
      <w:r w:rsidR="00953498" w:rsidRPr="00CD364B">
        <w:rPr>
          <w:rFonts w:cstheme="minorHAnsi"/>
          <w:sz w:val="24"/>
          <w:szCs w:val="24"/>
          <w:lang w:val="en-US"/>
        </w:rPr>
        <w:t>has not</w:t>
      </w:r>
      <w:r w:rsidR="00B36AA7" w:rsidRPr="00CD364B">
        <w:rPr>
          <w:rFonts w:cstheme="minorHAnsi"/>
          <w:sz w:val="24"/>
          <w:szCs w:val="24"/>
          <w:lang w:val="en-US"/>
        </w:rPr>
        <w:t xml:space="preserve"> been</w:t>
      </w:r>
      <w:r w:rsidR="00C70ED3" w:rsidRPr="00CD364B">
        <w:rPr>
          <w:rFonts w:cstheme="minorHAnsi"/>
          <w:sz w:val="24"/>
          <w:szCs w:val="24"/>
          <w:lang w:val="en-US"/>
        </w:rPr>
        <w:t xml:space="preserve"> yet been</w:t>
      </w:r>
      <w:r w:rsidR="00B36AA7" w:rsidRPr="00CD364B">
        <w:rPr>
          <w:rFonts w:cstheme="minorHAnsi"/>
          <w:sz w:val="24"/>
          <w:szCs w:val="24"/>
          <w:lang w:val="en-US"/>
        </w:rPr>
        <w:t xml:space="preserve"> confirmed. There </w:t>
      </w:r>
      <w:r w:rsidR="00043560" w:rsidRPr="00CD364B">
        <w:rPr>
          <w:rFonts w:cstheme="minorHAnsi"/>
          <w:sz w:val="24"/>
          <w:szCs w:val="24"/>
          <w:lang w:val="en-US"/>
        </w:rPr>
        <w:t xml:space="preserve">is </w:t>
      </w:r>
      <w:r w:rsidR="00B36AA7" w:rsidRPr="00CD364B">
        <w:rPr>
          <w:rFonts w:cstheme="minorHAnsi"/>
          <w:sz w:val="24"/>
          <w:szCs w:val="24"/>
          <w:lang w:val="en-US"/>
        </w:rPr>
        <w:t>no empirical</w:t>
      </w:r>
      <w:r w:rsidR="00043560" w:rsidRPr="00CD364B">
        <w:rPr>
          <w:rFonts w:cstheme="minorHAnsi"/>
          <w:sz w:val="24"/>
          <w:szCs w:val="24"/>
          <w:lang w:val="en-US"/>
        </w:rPr>
        <w:t xml:space="preserve"> evidence on how this financial product can</w:t>
      </w:r>
      <w:r w:rsidR="00B36AA7" w:rsidRPr="00CD364B">
        <w:rPr>
          <w:rFonts w:cstheme="minorHAnsi"/>
          <w:sz w:val="24"/>
          <w:szCs w:val="24"/>
          <w:lang w:val="en-US"/>
        </w:rPr>
        <w:t xml:space="preserve"> contribute to achieving</w:t>
      </w:r>
      <w:r w:rsidR="00C70ED3" w:rsidRPr="00CD364B">
        <w:rPr>
          <w:rFonts w:cstheme="minorHAnsi"/>
          <w:sz w:val="24"/>
          <w:szCs w:val="24"/>
          <w:lang w:val="en-US"/>
        </w:rPr>
        <w:t xml:space="preserve"> the goals set out in</w:t>
      </w:r>
      <w:r w:rsidR="00B36AA7" w:rsidRPr="00CD364B">
        <w:rPr>
          <w:rFonts w:cstheme="minorHAnsi"/>
          <w:sz w:val="24"/>
          <w:szCs w:val="24"/>
          <w:lang w:val="en-US"/>
        </w:rPr>
        <w:t xml:space="preserve"> Agenda 2030.</w:t>
      </w:r>
      <w:r w:rsidR="00043560" w:rsidRPr="00CD364B">
        <w:rPr>
          <w:rFonts w:cstheme="minorHAnsi"/>
          <w:sz w:val="24"/>
          <w:szCs w:val="24"/>
          <w:lang w:val="en-US"/>
        </w:rPr>
        <w:t xml:space="preserve"> </w:t>
      </w:r>
      <w:bookmarkStart w:id="0" w:name="_Hlk62720305"/>
      <w:r w:rsidR="00096420" w:rsidRPr="00CD364B">
        <w:rPr>
          <w:rFonts w:cstheme="minorHAnsi"/>
          <w:sz w:val="24"/>
          <w:szCs w:val="24"/>
          <w:lang w:val="en-US"/>
        </w:rPr>
        <w:t>In this study,</w:t>
      </w:r>
      <w:r w:rsidR="00B36AA7" w:rsidRPr="00CD364B">
        <w:rPr>
          <w:rFonts w:cstheme="minorHAnsi"/>
          <w:sz w:val="24"/>
          <w:szCs w:val="24"/>
          <w:lang w:val="en-US"/>
        </w:rPr>
        <w:t xml:space="preserve"> </w:t>
      </w:r>
      <w:bookmarkStart w:id="1" w:name="_Hlk63777489"/>
      <w:r w:rsidR="00B36AA7" w:rsidRPr="00CD364B">
        <w:rPr>
          <w:rFonts w:cstheme="minorHAnsi"/>
          <w:sz w:val="24"/>
          <w:szCs w:val="24"/>
          <w:lang w:val="en-US"/>
        </w:rPr>
        <w:t xml:space="preserve">we empirically </w:t>
      </w:r>
      <w:r w:rsidR="00CD5F46" w:rsidRPr="00CD364B">
        <w:rPr>
          <w:rFonts w:cstheme="minorHAnsi"/>
          <w:sz w:val="24"/>
          <w:szCs w:val="24"/>
          <w:lang w:val="en-US"/>
        </w:rPr>
        <w:t>analyze</w:t>
      </w:r>
      <w:r w:rsidR="00B36AA7" w:rsidRPr="00CD364B">
        <w:rPr>
          <w:rFonts w:cstheme="minorHAnsi"/>
          <w:sz w:val="24"/>
          <w:szCs w:val="24"/>
          <w:lang w:val="en-US"/>
        </w:rPr>
        <w:t xml:space="preserve"> the impact of green</w:t>
      </w:r>
      <w:r w:rsidR="0082504C" w:rsidRPr="00CD364B">
        <w:rPr>
          <w:rFonts w:cstheme="minorHAnsi"/>
          <w:sz w:val="24"/>
          <w:szCs w:val="24"/>
          <w:lang w:val="en-US"/>
        </w:rPr>
        <w:t xml:space="preserve"> bond</w:t>
      </w:r>
      <w:r w:rsidR="00B36AA7" w:rsidRPr="00CD364B">
        <w:rPr>
          <w:rFonts w:cstheme="minorHAnsi"/>
          <w:sz w:val="24"/>
          <w:szCs w:val="24"/>
          <w:lang w:val="en-US"/>
        </w:rPr>
        <w:t xml:space="preserve"> financing on environmental and social sustainability by considering the</w:t>
      </w:r>
      <w:r w:rsidR="00B36AA7" w:rsidRPr="00CD364B">
        <w:t xml:space="preserve"> </w:t>
      </w:r>
      <w:r w:rsidR="00B36AA7" w:rsidRPr="00CD364B">
        <w:rPr>
          <w:rFonts w:cstheme="minorHAnsi"/>
          <w:sz w:val="24"/>
          <w:szCs w:val="24"/>
          <w:lang w:val="en-US"/>
        </w:rPr>
        <w:t>S&amp;P 500 Global Green Bond Index and S&amp;P 500 Environmental and Social Responsibility Index</w:t>
      </w:r>
      <w:bookmarkEnd w:id="1"/>
      <w:r w:rsidR="00B36AA7" w:rsidRPr="00CD364B">
        <w:rPr>
          <w:rFonts w:cstheme="minorHAnsi"/>
          <w:sz w:val="24"/>
          <w:szCs w:val="24"/>
          <w:lang w:val="en-US"/>
        </w:rPr>
        <w:t xml:space="preserve">, from 1st October 2010 to 31st July 2020 </w:t>
      </w:r>
      <w:bookmarkStart w:id="2" w:name="_Hlk63777557"/>
      <w:r w:rsidR="00B36AA7" w:rsidRPr="00CD364B">
        <w:rPr>
          <w:rFonts w:cstheme="minorHAnsi"/>
          <w:sz w:val="24"/>
          <w:szCs w:val="24"/>
          <w:lang w:val="en-US"/>
        </w:rPr>
        <w:t xml:space="preserve">using </w:t>
      </w:r>
      <w:r w:rsidR="00C70ED3" w:rsidRPr="00CD364B">
        <w:rPr>
          <w:rFonts w:cstheme="minorHAnsi"/>
          <w:sz w:val="24"/>
          <w:szCs w:val="24"/>
          <w:lang w:val="en-US"/>
        </w:rPr>
        <w:t>a</w:t>
      </w:r>
      <w:r w:rsidR="00CD5F46" w:rsidRPr="00CD364B">
        <w:rPr>
          <w:rFonts w:cstheme="minorHAnsi"/>
          <w:sz w:val="24"/>
          <w:szCs w:val="24"/>
          <w:lang w:val="en-US"/>
        </w:rPr>
        <w:t xml:space="preserve"> combination of </w:t>
      </w:r>
      <w:r w:rsidR="00AD70D3" w:rsidRPr="00CD364B">
        <w:rPr>
          <w:rFonts w:cstheme="minorHAnsi"/>
          <w:sz w:val="24"/>
          <w:szCs w:val="24"/>
          <w:lang w:val="en-US"/>
        </w:rPr>
        <w:t xml:space="preserve">Quantile-on-Quantile Regression and Wavelet Multiscale Decomposition </w:t>
      </w:r>
      <w:r w:rsidR="00B36AA7" w:rsidRPr="00CD364B">
        <w:rPr>
          <w:rFonts w:cstheme="minorHAnsi"/>
          <w:sz w:val="24"/>
          <w:szCs w:val="24"/>
          <w:lang w:val="en-US"/>
        </w:rPr>
        <w:t>approach</w:t>
      </w:r>
      <w:r w:rsidR="00CD5F46" w:rsidRPr="00CD364B">
        <w:rPr>
          <w:rFonts w:cstheme="minorHAnsi"/>
          <w:sz w:val="24"/>
          <w:szCs w:val="24"/>
          <w:lang w:val="en-US"/>
        </w:rPr>
        <w:t>es</w:t>
      </w:r>
      <w:bookmarkEnd w:id="2"/>
      <w:r w:rsidR="00B36AA7" w:rsidRPr="00CD364B">
        <w:rPr>
          <w:rFonts w:cstheme="minorHAnsi"/>
          <w:sz w:val="24"/>
          <w:szCs w:val="24"/>
          <w:lang w:val="en-US"/>
        </w:rPr>
        <w:t xml:space="preserve">. Our results reveal </w:t>
      </w:r>
      <w:bookmarkStart w:id="3" w:name="_Hlk63777692"/>
      <w:r w:rsidR="00B36AA7" w:rsidRPr="00CD364B">
        <w:rPr>
          <w:rFonts w:cstheme="minorHAnsi"/>
          <w:sz w:val="24"/>
          <w:szCs w:val="24"/>
          <w:lang w:val="en-US"/>
        </w:rPr>
        <w:t>that green financing mechanism</w:t>
      </w:r>
      <w:r w:rsidR="00C70ED3" w:rsidRPr="00CD364B">
        <w:rPr>
          <w:rFonts w:cstheme="minorHAnsi"/>
          <w:sz w:val="24"/>
          <w:szCs w:val="24"/>
          <w:lang w:val="en-US"/>
        </w:rPr>
        <w:t>s</w:t>
      </w:r>
      <w:r w:rsidR="00B36AA7" w:rsidRPr="00CD364B">
        <w:rPr>
          <w:rFonts w:cstheme="minorHAnsi"/>
          <w:sz w:val="24"/>
          <w:szCs w:val="24"/>
          <w:lang w:val="en-US"/>
        </w:rPr>
        <w:t xml:space="preserve"> might have gradual negative transformational impact</w:t>
      </w:r>
      <w:r w:rsidR="00C70ED3" w:rsidRPr="00CD364B">
        <w:rPr>
          <w:rFonts w:cstheme="minorHAnsi"/>
          <w:sz w:val="24"/>
          <w:szCs w:val="24"/>
          <w:lang w:val="en-US"/>
        </w:rPr>
        <w:t>s</w:t>
      </w:r>
      <w:r w:rsidR="00B36AA7" w:rsidRPr="00CD364B">
        <w:rPr>
          <w:rFonts w:cstheme="minorHAnsi"/>
          <w:sz w:val="24"/>
          <w:szCs w:val="24"/>
          <w:lang w:val="en-US"/>
        </w:rPr>
        <w:t xml:space="preserve"> on environmental and social responsibility. </w:t>
      </w:r>
      <w:bookmarkEnd w:id="3"/>
      <w:r w:rsidR="00B36AA7" w:rsidRPr="00CD364B">
        <w:rPr>
          <w:rFonts w:cstheme="minorHAnsi"/>
          <w:sz w:val="24"/>
          <w:szCs w:val="24"/>
          <w:lang w:val="en-US"/>
        </w:rPr>
        <w:t xml:space="preserve">Furthermore, </w:t>
      </w:r>
      <w:bookmarkStart w:id="4" w:name="_Hlk63777614"/>
      <w:r w:rsidR="00B36AA7" w:rsidRPr="00CD364B">
        <w:rPr>
          <w:rFonts w:cstheme="minorHAnsi"/>
          <w:sz w:val="24"/>
          <w:szCs w:val="24"/>
          <w:lang w:val="en-US"/>
        </w:rPr>
        <w:t>we attempt to design a policy framework to address the relevant SDG objectives.</w:t>
      </w:r>
      <w:bookmarkEnd w:id="4"/>
    </w:p>
    <w:p w14:paraId="307C005E" w14:textId="0ECEB6FE" w:rsidR="00043560" w:rsidRPr="00CD364B" w:rsidRDefault="00043560" w:rsidP="00004F21">
      <w:pPr>
        <w:spacing w:after="0" w:line="360" w:lineRule="auto"/>
        <w:jc w:val="both"/>
        <w:rPr>
          <w:rFonts w:cstheme="minorHAnsi"/>
          <w:sz w:val="24"/>
          <w:szCs w:val="24"/>
          <w:lang w:val="en-US"/>
        </w:rPr>
      </w:pPr>
    </w:p>
    <w:bookmarkEnd w:id="0"/>
    <w:p w14:paraId="32867E3A" w14:textId="77777777" w:rsidR="00A36BA0" w:rsidRPr="00CD364B" w:rsidRDefault="00A36BA0" w:rsidP="00004F21">
      <w:pPr>
        <w:spacing w:after="0" w:line="360" w:lineRule="auto"/>
        <w:jc w:val="both"/>
        <w:rPr>
          <w:rFonts w:cstheme="minorHAnsi"/>
          <w:b/>
          <w:bCs/>
          <w:sz w:val="24"/>
          <w:szCs w:val="24"/>
          <w:lang w:val="en-US"/>
        </w:rPr>
      </w:pPr>
    </w:p>
    <w:p w14:paraId="7CB6C60A" w14:textId="0F9F918A" w:rsidR="009C226A" w:rsidRPr="00CD364B" w:rsidRDefault="00DF7260" w:rsidP="00004F21">
      <w:pPr>
        <w:spacing w:line="360" w:lineRule="auto"/>
        <w:rPr>
          <w:rFonts w:cstheme="minorHAnsi"/>
          <w:b/>
          <w:bCs/>
          <w:sz w:val="24"/>
          <w:szCs w:val="24"/>
          <w:lang w:val="en-US"/>
        </w:rPr>
      </w:pPr>
      <w:r w:rsidRPr="00CD364B">
        <w:rPr>
          <w:rFonts w:cstheme="minorHAnsi"/>
          <w:b/>
          <w:bCs/>
          <w:sz w:val="24"/>
          <w:szCs w:val="24"/>
          <w:lang w:val="en-US"/>
        </w:rPr>
        <w:t xml:space="preserve">Keywords: </w:t>
      </w:r>
      <w:r w:rsidR="00ED0086" w:rsidRPr="00CD364B">
        <w:rPr>
          <w:rFonts w:cstheme="minorHAnsi"/>
          <w:bCs/>
          <w:i/>
          <w:iCs/>
          <w:sz w:val="24"/>
          <w:szCs w:val="24"/>
          <w:lang w:val="en-US"/>
        </w:rPr>
        <w:t>g</w:t>
      </w:r>
      <w:r w:rsidRPr="00CD364B">
        <w:rPr>
          <w:rFonts w:cstheme="minorHAnsi"/>
          <w:bCs/>
          <w:i/>
          <w:iCs/>
          <w:sz w:val="24"/>
          <w:szCs w:val="24"/>
          <w:lang w:val="en-US"/>
        </w:rPr>
        <w:t>reen financing</w:t>
      </w:r>
      <w:r w:rsidR="00ED0086" w:rsidRPr="00CD364B">
        <w:rPr>
          <w:rFonts w:cstheme="minorHAnsi"/>
          <w:bCs/>
          <w:sz w:val="24"/>
          <w:szCs w:val="24"/>
          <w:lang w:val="en-US"/>
        </w:rPr>
        <w:t xml:space="preserve">; </w:t>
      </w:r>
      <w:r w:rsidR="00ED0086" w:rsidRPr="00CD364B">
        <w:rPr>
          <w:rFonts w:cstheme="minorHAnsi"/>
          <w:bCs/>
          <w:i/>
          <w:iCs/>
          <w:sz w:val="24"/>
          <w:szCs w:val="24"/>
          <w:lang w:val="en-US"/>
        </w:rPr>
        <w:t>green bonds</w:t>
      </w:r>
      <w:r w:rsidR="00ED0086" w:rsidRPr="00CD364B">
        <w:rPr>
          <w:rFonts w:cstheme="minorHAnsi"/>
          <w:bCs/>
          <w:sz w:val="24"/>
          <w:szCs w:val="24"/>
          <w:lang w:val="en-US"/>
        </w:rPr>
        <w:t>;</w:t>
      </w:r>
      <w:r w:rsidRPr="00CD364B">
        <w:rPr>
          <w:rFonts w:cstheme="minorHAnsi"/>
          <w:bCs/>
          <w:sz w:val="24"/>
          <w:szCs w:val="24"/>
          <w:lang w:val="en-US"/>
        </w:rPr>
        <w:t xml:space="preserve"> </w:t>
      </w:r>
      <w:r w:rsidR="00B36AA7" w:rsidRPr="00CD364B">
        <w:rPr>
          <w:rFonts w:cstheme="minorHAnsi"/>
          <w:bCs/>
          <w:i/>
          <w:iCs/>
          <w:sz w:val="24"/>
          <w:szCs w:val="24"/>
          <w:lang w:val="en-US"/>
        </w:rPr>
        <w:t>Agenda 2030</w:t>
      </w:r>
      <w:r w:rsidR="00B36AA7" w:rsidRPr="00CD364B">
        <w:rPr>
          <w:rFonts w:cstheme="minorHAnsi"/>
          <w:bCs/>
          <w:sz w:val="24"/>
          <w:szCs w:val="24"/>
          <w:lang w:val="en-US"/>
        </w:rPr>
        <w:t xml:space="preserve">; </w:t>
      </w:r>
      <w:r w:rsidR="00ED0086" w:rsidRPr="00CD364B">
        <w:rPr>
          <w:rFonts w:cstheme="minorHAnsi"/>
          <w:bCs/>
          <w:i/>
          <w:iCs/>
          <w:sz w:val="24"/>
          <w:szCs w:val="24"/>
          <w:lang w:val="en-US"/>
        </w:rPr>
        <w:t>e</w:t>
      </w:r>
      <w:r w:rsidR="0056271D" w:rsidRPr="00CD364B">
        <w:rPr>
          <w:rFonts w:cstheme="minorHAnsi"/>
          <w:bCs/>
          <w:i/>
          <w:iCs/>
          <w:sz w:val="24"/>
          <w:szCs w:val="24"/>
          <w:lang w:val="en-US"/>
        </w:rPr>
        <w:t>nvironment</w:t>
      </w:r>
      <w:r w:rsidR="00ED0086" w:rsidRPr="00CD364B">
        <w:rPr>
          <w:rFonts w:cstheme="minorHAnsi"/>
          <w:bCs/>
          <w:i/>
          <w:iCs/>
          <w:sz w:val="24"/>
          <w:szCs w:val="24"/>
          <w:lang w:val="en-US"/>
        </w:rPr>
        <w:t>al and</w:t>
      </w:r>
      <w:r w:rsidR="0056271D" w:rsidRPr="00CD364B">
        <w:rPr>
          <w:rFonts w:cstheme="minorHAnsi"/>
          <w:bCs/>
          <w:i/>
          <w:iCs/>
          <w:sz w:val="24"/>
          <w:szCs w:val="24"/>
          <w:lang w:val="en-US"/>
        </w:rPr>
        <w:t xml:space="preserve"> </w:t>
      </w:r>
      <w:r w:rsidR="00ED0086" w:rsidRPr="00CD364B">
        <w:rPr>
          <w:rFonts w:cstheme="minorHAnsi"/>
          <w:bCs/>
          <w:i/>
          <w:iCs/>
          <w:sz w:val="24"/>
          <w:szCs w:val="24"/>
          <w:lang w:val="en-US"/>
        </w:rPr>
        <w:t>s</w:t>
      </w:r>
      <w:r w:rsidR="0056271D" w:rsidRPr="00CD364B">
        <w:rPr>
          <w:rFonts w:cstheme="minorHAnsi"/>
          <w:bCs/>
          <w:i/>
          <w:iCs/>
          <w:sz w:val="24"/>
          <w:szCs w:val="24"/>
          <w:lang w:val="en-US"/>
        </w:rPr>
        <w:t>ocial responsibility</w:t>
      </w:r>
      <w:r w:rsidR="00B8252D" w:rsidRPr="00CD364B">
        <w:rPr>
          <w:rFonts w:cstheme="minorHAnsi"/>
          <w:bCs/>
          <w:i/>
          <w:iCs/>
          <w:sz w:val="24"/>
          <w:szCs w:val="24"/>
          <w:lang w:val="en-US"/>
        </w:rPr>
        <w:t>;</w:t>
      </w:r>
      <w:r w:rsidR="0056271D" w:rsidRPr="00CD364B">
        <w:rPr>
          <w:rFonts w:cstheme="minorHAnsi"/>
          <w:bCs/>
          <w:i/>
          <w:iCs/>
          <w:sz w:val="24"/>
          <w:szCs w:val="24"/>
          <w:lang w:val="en-US"/>
        </w:rPr>
        <w:t xml:space="preserve"> </w:t>
      </w:r>
      <w:r w:rsidR="00ED0086" w:rsidRPr="00CD364B">
        <w:rPr>
          <w:rFonts w:cstheme="minorHAnsi"/>
          <w:bCs/>
          <w:i/>
          <w:iCs/>
          <w:sz w:val="24"/>
          <w:szCs w:val="24"/>
          <w:lang w:val="en-US"/>
        </w:rPr>
        <w:t>w</w:t>
      </w:r>
      <w:r w:rsidR="0056271D" w:rsidRPr="00CD364B">
        <w:rPr>
          <w:rFonts w:cstheme="minorHAnsi"/>
          <w:bCs/>
          <w:i/>
          <w:iCs/>
          <w:sz w:val="24"/>
          <w:szCs w:val="24"/>
          <w:lang w:val="en-US"/>
        </w:rPr>
        <w:t>avelet</w:t>
      </w:r>
      <w:r w:rsidR="00B8252D" w:rsidRPr="00CD364B">
        <w:rPr>
          <w:rFonts w:cstheme="minorHAnsi"/>
          <w:bCs/>
          <w:i/>
          <w:iCs/>
          <w:sz w:val="24"/>
          <w:szCs w:val="24"/>
          <w:lang w:val="en-US"/>
        </w:rPr>
        <w:t>;</w:t>
      </w:r>
      <w:r w:rsidR="0056271D" w:rsidRPr="00CD364B">
        <w:rPr>
          <w:rFonts w:cstheme="minorHAnsi"/>
          <w:bCs/>
          <w:i/>
          <w:iCs/>
          <w:sz w:val="24"/>
          <w:szCs w:val="24"/>
          <w:lang w:val="en-US"/>
        </w:rPr>
        <w:t xml:space="preserve"> </w:t>
      </w:r>
      <w:r w:rsidR="00ED0086" w:rsidRPr="00CD364B">
        <w:rPr>
          <w:rFonts w:cstheme="minorHAnsi"/>
          <w:bCs/>
          <w:i/>
          <w:iCs/>
          <w:sz w:val="24"/>
          <w:szCs w:val="24"/>
          <w:lang w:val="en-US"/>
        </w:rPr>
        <w:t>q</w:t>
      </w:r>
      <w:r w:rsidR="0056271D" w:rsidRPr="00CD364B">
        <w:rPr>
          <w:rFonts w:cstheme="minorHAnsi"/>
          <w:bCs/>
          <w:i/>
          <w:iCs/>
          <w:sz w:val="24"/>
          <w:szCs w:val="24"/>
          <w:lang w:val="en-US"/>
        </w:rPr>
        <w:t>uantile</w:t>
      </w:r>
      <w:r w:rsidR="009C226A" w:rsidRPr="00CD364B">
        <w:rPr>
          <w:rFonts w:cstheme="minorHAnsi"/>
          <w:b/>
          <w:bCs/>
          <w:sz w:val="24"/>
          <w:szCs w:val="24"/>
          <w:lang w:val="en-US"/>
        </w:rPr>
        <w:br w:type="page"/>
      </w:r>
    </w:p>
    <w:p w14:paraId="74AE80F8" w14:textId="7E3AC342" w:rsidR="004634B1" w:rsidRPr="00CD364B" w:rsidRDefault="004634B1" w:rsidP="00004F21">
      <w:pPr>
        <w:pStyle w:val="ListParagraph"/>
        <w:numPr>
          <w:ilvl w:val="0"/>
          <w:numId w:val="1"/>
        </w:numPr>
        <w:spacing w:after="0" w:line="360" w:lineRule="auto"/>
        <w:jc w:val="both"/>
        <w:rPr>
          <w:rFonts w:cstheme="minorHAnsi"/>
          <w:b/>
          <w:bCs/>
          <w:sz w:val="24"/>
          <w:szCs w:val="24"/>
          <w:lang w:val="en-US"/>
        </w:rPr>
      </w:pPr>
      <w:r w:rsidRPr="00CD364B">
        <w:rPr>
          <w:rFonts w:cstheme="minorHAnsi"/>
          <w:b/>
          <w:bCs/>
          <w:sz w:val="24"/>
          <w:szCs w:val="24"/>
          <w:lang w:val="en-US"/>
        </w:rPr>
        <w:lastRenderedPageBreak/>
        <w:t>Introduction</w:t>
      </w:r>
    </w:p>
    <w:p w14:paraId="3940EAD7" w14:textId="0ACCEE93" w:rsidR="00004F21" w:rsidRPr="00CD364B" w:rsidRDefault="00D66B71" w:rsidP="00004F21">
      <w:pPr>
        <w:spacing w:after="0" w:line="360" w:lineRule="auto"/>
        <w:ind w:firstLine="720"/>
        <w:jc w:val="both"/>
        <w:rPr>
          <w:rFonts w:cstheme="minorHAnsi"/>
          <w:sz w:val="24"/>
          <w:szCs w:val="24"/>
          <w:lang w:val="en-US"/>
        </w:rPr>
      </w:pPr>
      <w:r w:rsidRPr="00CD364B">
        <w:rPr>
          <w:rFonts w:cstheme="minorHAnsi"/>
          <w:sz w:val="24"/>
          <w:szCs w:val="24"/>
          <w:lang w:val="en-US"/>
        </w:rPr>
        <w:t xml:space="preserve">Growing environmental </w:t>
      </w:r>
      <w:r w:rsidR="009970A8" w:rsidRPr="00CD364B">
        <w:rPr>
          <w:rFonts w:cstheme="minorHAnsi"/>
          <w:sz w:val="24"/>
          <w:szCs w:val="24"/>
          <w:lang w:val="en-US"/>
        </w:rPr>
        <w:t>degradation</w:t>
      </w:r>
      <w:r w:rsidR="00CD5F46" w:rsidRPr="00CD364B">
        <w:rPr>
          <w:rFonts w:cstheme="minorHAnsi"/>
          <w:sz w:val="24"/>
          <w:szCs w:val="24"/>
          <w:lang w:val="en-US"/>
        </w:rPr>
        <w:t xml:space="preserve"> </w:t>
      </w:r>
      <w:r w:rsidRPr="00CD364B">
        <w:rPr>
          <w:rFonts w:cstheme="minorHAnsi"/>
          <w:sz w:val="24"/>
          <w:szCs w:val="24"/>
          <w:lang w:val="en-US"/>
        </w:rPr>
        <w:t xml:space="preserve">forces </w:t>
      </w:r>
      <w:r w:rsidR="006B34B2" w:rsidRPr="00CD364B">
        <w:rPr>
          <w:rFonts w:cstheme="minorHAnsi"/>
          <w:sz w:val="24"/>
          <w:szCs w:val="24"/>
          <w:lang w:val="en-US"/>
        </w:rPr>
        <w:t xml:space="preserve">policymakers </w:t>
      </w:r>
      <w:r w:rsidRPr="00CD364B">
        <w:rPr>
          <w:rFonts w:cstheme="minorHAnsi"/>
          <w:sz w:val="24"/>
          <w:szCs w:val="24"/>
          <w:lang w:val="en-US"/>
        </w:rPr>
        <w:t xml:space="preserve">to focus </w:t>
      </w:r>
      <w:r w:rsidR="00AC626D" w:rsidRPr="00CD364B">
        <w:rPr>
          <w:rFonts w:cstheme="minorHAnsi"/>
          <w:sz w:val="24"/>
          <w:szCs w:val="24"/>
          <w:lang w:val="en-US"/>
        </w:rPr>
        <w:t xml:space="preserve">on imbibing sustainability in the economic </w:t>
      </w:r>
      <w:r w:rsidRPr="00CD364B">
        <w:rPr>
          <w:rFonts w:cstheme="minorHAnsi"/>
          <w:sz w:val="24"/>
          <w:szCs w:val="24"/>
          <w:lang w:val="en-US"/>
        </w:rPr>
        <w:t>growth agendas.</w:t>
      </w:r>
      <w:r w:rsidR="00AC626D" w:rsidRPr="00CD364B">
        <w:rPr>
          <w:rFonts w:cstheme="minorHAnsi"/>
          <w:sz w:val="24"/>
          <w:szCs w:val="24"/>
          <w:lang w:val="en-US"/>
        </w:rPr>
        <w:t xml:space="preserve"> </w:t>
      </w:r>
      <w:r w:rsidR="00323A17" w:rsidRPr="00CD364B">
        <w:rPr>
          <w:rFonts w:cstheme="minorHAnsi"/>
          <w:sz w:val="24"/>
          <w:szCs w:val="24"/>
          <w:lang w:val="en-US"/>
        </w:rPr>
        <w:t xml:space="preserve">The recent Sustainable Development Goals </w:t>
      </w:r>
      <w:r w:rsidR="00D378F9" w:rsidRPr="00CD364B">
        <w:rPr>
          <w:rFonts w:cstheme="minorHAnsi"/>
          <w:sz w:val="24"/>
          <w:szCs w:val="24"/>
          <w:lang w:val="en-US"/>
        </w:rPr>
        <w:t>(SDG)</w:t>
      </w:r>
      <w:r w:rsidRPr="00CD364B">
        <w:rPr>
          <w:rFonts w:cstheme="minorHAnsi"/>
          <w:sz w:val="24"/>
          <w:szCs w:val="24"/>
          <w:lang w:val="en-US"/>
        </w:rPr>
        <w:t xml:space="preserve"> </w:t>
      </w:r>
      <w:r w:rsidR="00323A17" w:rsidRPr="00CD364B">
        <w:rPr>
          <w:rFonts w:cstheme="minorHAnsi"/>
          <w:sz w:val="24"/>
          <w:szCs w:val="24"/>
          <w:lang w:val="en-US"/>
        </w:rPr>
        <w:t>report</w:t>
      </w:r>
      <w:r w:rsidRPr="00CD364B">
        <w:rPr>
          <w:rFonts w:cstheme="minorHAnsi"/>
          <w:sz w:val="24"/>
          <w:szCs w:val="24"/>
          <w:lang w:val="en-US"/>
        </w:rPr>
        <w:t xml:space="preserve">, </w:t>
      </w:r>
      <w:r w:rsidR="001E44CC" w:rsidRPr="00CD364B">
        <w:rPr>
          <w:rFonts w:cstheme="minorHAnsi"/>
          <w:sz w:val="24"/>
          <w:szCs w:val="24"/>
          <w:lang w:val="en-US"/>
        </w:rPr>
        <w:t>i.e.,</w:t>
      </w:r>
      <w:r w:rsidRPr="00CD364B">
        <w:rPr>
          <w:rFonts w:cstheme="minorHAnsi"/>
          <w:sz w:val="24"/>
          <w:szCs w:val="24"/>
          <w:lang w:val="en-US"/>
        </w:rPr>
        <w:t xml:space="preserve"> Agenda 2030,</w:t>
      </w:r>
      <w:r w:rsidR="00323A17" w:rsidRPr="00CD364B">
        <w:rPr>
          <w:rFonts w:cstheme="minorHAnsi"/>
          <w:sz w:val="24"/>
          <w:szCs w:val="24"/>
          <w:lang w:val="en-US"/>
        </w:rPr>
        <w:t xml:space="preserve"> </w:t>
      </w:r>
      <w:r w:rsidR="00B9466A" w:rsidRPr="00CD364B">
        <w:rPr>
          <w:rFonts w:cstheme="minorHAnsi"/>
          <w:sz w:val="24"/>
          <w:szCs w:val="24"/>
          <w:lang w:val="en-US"/>
        </w:rPr>
        <w:t xml:space="preserve">has attributed the global economic growth pattern to be responsible for </w:t>
      </w:r>
      <w:r w:rsidR="00D54097" w:rsidRPr="00CD364B">
        <w:rPr>
          <w:rFonts w:cstheme="minorHAnsi"/>
          <w:sz w:val="24"/>
          <w:szCs w:val="24"/>
          <w:lang w:val="en-US"/>
        </w:rPr>
        <w:t xml:space="preserve">the issue of rising climatic disasters across the globe (United Nations, 2019). </w:t>
      </w:r>
      <w:r w:rsidRPr="00CD364B">
        <w:rPr>
          <w:rFonts w:cstheme="minorHAnsi"/>
          <w:sz w:val="24"/>
          <w:szCs w:val="24"/>
          <w:lang w:val="en-US"/>
        </w:rPr>
        <w:t xml:space="preserve"> The </w:t>
      </w:r>
      <w:r w:rsidR="00BE77B6" w:rsidRPr="00CD364B">
        <w:rPr>
          <w:rFonts w:cstheme="minorHAnsi"/>
          <w:sz w:val="24"/>
          <w:szCs w:val="24"/>
          <w:lang w:val="en-US"/>
        </w:rPr>
        <w:t>economic growth prevailing across the nations is majorly dependent on the fossil fuel consumption</w:t>
      </w:r>
      <w:r w:rsidR="00B80370" w:rsidRPr="00CD364B">
        <w:rPr>
          <w:rFonts w:cstheme="minorHAnsi"/>
          <w:sz w:val="24"/>
          <w:szCs w:val="24"/>
          <w:lang w:val="en-US"/>
        </w:rPr>
        <w:t xml:space="preserve"> bringing forth the ecological predicament</w:t>
      </w:r>
      <w:r w:rsidR="00B953D1" w:rsidRPr="00CD364B">
        <w:rPr>
          <w:rFonts w:cstheme="minorHAnsi"/>
          <w:sz w:val="24"/>
          <w:szCs w:val="24"/>
          <w:lang w:val="en-US"/>
        </w:rPr>
        <w:t xml:space="preserve"> in the form of climatic shift. </w:t>
      </w:r>
      <w:r w:rsidR="00D4369C" w:rsidRPr="00CD364B">
        <w:rPr>
          <w:rFonts w:cstheme="minorHAnsi"/>
          <w:sz w:val="24"/>
          <w:szCs w:val="24"/>
          <w:lang w:val="en-US"/>
        </w:rPr>
        <w:t xml:space="preserve">In recent years, the world </w:t>
      </w:r>
      <w:r w:rsidRPr="00CD364B">
        <w:rPr>
          <w:rFonts w:cstheme="minorHAnsi"/>
          <w:sz w:val="24"/>
          <w:szCs w:val="24"/>
          <w:lang w:val="en-US"/>
        </w:rPr>
        <w:t>experienced</w:t>
      </w:r>
      <w:r w:rsidR="00CD5F46" w:rsidRPr="00CD364B">
        <w:rPr>
          <w:rFonts w:cstheme="minorHAnsi"/>
          <w:sz w:val="24"/>
          <w:szCs w:val="24"/>
          <w:lang w:val="en-US"/>
        </w:rPr>
        <w:t xml:space="preserve"> </w:t>
      </w:r>
      <w:r w:rsidR="00D4369C" w:rsidRPr="00CD364B">
        <w:rPr>
          <w:rFonts w:cstheme="minorHAnsi"/>
          <w:sz w:val="24"/>
          <w:szCs w:val="24"/>
          <w:lang w:val="en-US"/>
        </w:rPr>
        <w:t>a rise in the renewable energy solutions</w:t>
      </w:r>
      <w:r w:rsidR="004D2336" w:rsidRPr="00CD364B">
        <w:rPr>
          <w:rFonts w:cstheme="minorHAnsi"/>
          <w:sz w:val="24"/>
          <w:szCs w:val="24"/>
          <w:lang w:val="en-US"/>
        </w:rPr>
        <w:t xml:space="preserve">, </w:t>
      </w:r>
      <w:r w:rsidR="00161E9A" w:rsidRPr="00CD364B">
        <w:rPr>
          <w:rFonts w:cstheme="minorHAnsi"/>
          <w:sz w:val="24"/>
          <w:szCs w:val="24"/>
          <w:lang w:val="en-US"/>
        </w:rPr>
        <w:t>however, these</w:t>
      </w:r>
      <w:r w:rsidR="004D2336" w:rsidRPr="00CD364B">
        <w:rPr>
          <w:rFonts w:cstheme="minorHAnsi"/>
          <w:sz w:val="24"/>
          <w:szCs w:val="24"/>
          <w:lang w:val="en-US"/>
        </w:rPr>
        <w:t xml:space="preserve"> </w:t>
      </w:r>
      <w:r w:rsidR="00161E9A" w:rsidRPr="00CD364B">
        <w:rPr>
          <w:rFonts w:cstheme="minorHAnsi"/>
          <w:sz w:val="24"/>
          <w:szCs w:val="24"/>
          <w:lang w:val="en-US"/>
        </w:rPr>
        <w:t>are</w:t>
      </w:r>
      <w:r w:rsidR="004D2336" w:rsidRPr="00CD364B">
        <w:rPr>
          <w:rFonts w:cstheme="minorHAnsi"/>
          <w:sz w:val="24"/>
          <w:szCs w:val="24"/>
          <w:lang w:val="en-US"/>
        </w:rPr>
        <w:t xml:space="preserve"> yet to reach </w:t>
      </w:r>
      <w:r w:rsidR="00161E9A" w:rsidRPr="00CD364B">
        <w:rPr>
          <w:rFonts w:cstheme="minorHAnsi"/>
          <w:sz w:val="24"/>
          <w:szCs w:val="24"/>
          <w:lang w:val="en-US"/>
        </w:rPr>
        <w:t>their</w:t>
      </w:r>
      <w:r w:rsidR="004D2336" w:rsidRPr="00CD364B">
        <w:rPr>
          <w:rFonts w:cstheme="minorHAnsi"/>
          <w:sz w:val="24"/>
          <w:szCs w:val="24"/>
          <w:lang w:val="en-US"/>
        </w:rPr>
        <w:t xml:space="preserve"> full </w:t>
      </w:r>
      <w:r w:rsidR="007C4A84" w:rsidRPr="00CD364B">
        <w:rPr>
          <w:rFonts w:cstheme="minorHAnsi"/>
          <w:sz w:val="24"/>
          <w:szCs w:val="24"/>
          <w:lang w:val="en-US"/>
        </w:rPr>
        <w:t>potential</w:t>
      </w:r>
      <w:r w:rsidR="004D2336" w:rsidRPr="00CD364B">
        <w:rPr>
          <w:rFonts w:cstheme="minorHAnsi"/>
          <w:sz w:val="24"/>
          <w:szCs w:val="24"/>
          <w:lang w:val="en-US"/>
        </w:rPr>
        <w:t xml:space="preserve">. </w:t>
      </w:r>
    </w:p>
    <w:p w14:paraId="561B58B0" w14:textId="7CEE06CA" w:rsidR="00E344EA" w:rsidRPr="00CD364B" w:rsidRDefault="001834AC" w:rsidP="00004F21">
      <w:pPr>
        <w:spacing w:after="0" w:line="360" w:lineRule="auto"/>
        <w:ind w:firstLine="720"/>
        <w:jc w:val="both"/>
        <w:rPr>
          <w:rFonts w:cstheme="minorHAnsi"/>
          <w:sz w:val="24"/>
          <w:szCs w:val="24"/>
          <w:lang w:val="en-US"/>
        </w:rPr>
      </w:pPr>
      <w:r w:rsidRPr="00CD364B">
        <w:rPr>
          <w:rFonts w:cstheme="minorHAnsi"/>
          <w:sz w:val="24"/>
          <w:szCs w:val="24"/>
          <w:lang w:val="en-US"/>
        </w:rPr>
        <w:t xml:space="preserve">As </w:t>
      </w:r>
      <w:r w:rsidR="00161E9A" w:rsidRPr="00CD364B">
        <w:rPr>
          <w:rFonts w:cstheme="minorHAnsi"/>
          <w:sz w:val="24"/>
          <w:szCs w:val="24"/>
          <w:lang w:val="en-US"/>
        </w:rPr>
        <w:t xml:space="preserve">an </w:t>
      </w:r>
      <w:r w:rsidRPr="00CD364B">
        <w:rPr>
          <w:rFonts w:cstheme="minorHAnsi"/>
          <w:sz w:val="24"/>
          <w:szCs w:val="24"/>
          <w:lang w:val="en-US"/>
        </w:rPr>
        <w:t xml:space="preserve">economic growth is catalyzed </w:t>
      </w:r>
      <w:r w:rsidR="004420B1" w:rsidRPr="00CD364B">
        <w:rPr>
          <w:rFonts w:cstheme="minorHAnsi"/>
          <w:sz w:val="24"/>
          <w:szCs w:val="24"/>
          <w:lang w:val="en-US"/>
        </w:rPr>
        <w:t xml:space="preserve">largely </w:t>
      </w:r>
      <w:r w:rsidRPr="00CD364B">
        <w:rPr>
          <w:rFonts w:cstheme="minorHAnsi"/>
          <w:sz w:val="24"/>
          <w:szCs w:val="24"/>
          <w:lang w:val="en-US"/>
        </w:rPr>
        <w:t xml:space="preserve">through </w:t>
      </w:r>
      <w:r w:rsidR="00161E9A" w:rsidRPr="00CD364B">
        <w:rPr>
          <w:rFonts w:cstheme="minorHAnsi"/>
          <w:sz w:val="24"/>
          <w:szCs w:val="24"/>
          <w:lang w:val="en-US"/>
        </w:rPr>
        <w:t>an</w:t>
      </w:r>
      <w:r w:rsidR="00CD5F46" w:rsidRPr="00CD364B">
        <w:rPr>
          <w:rFonts w:cstheme="minorHAnsi"/>
          <w:sz w:val="24"/>
          <w:szCs w:val="24"/>
          <w:lang w:val="en-US"/>
        </w:rPr>
        <w:t xml:space="preserve"> </w:t>
      </w:r>
      <w:r w:rsidRPr="00CD364B">
        <w:rPr>
          <w:rFonts w:cstheme="minorHAnsi"/>
          <w:sz w:val="24"/>
          <w:szCs w:val="24"/>
          <w:lang w:val="en-US"/>
        </w:rPr>
        <w:t xml:space="preserve">industrial growth, </w:t>
      </w:r>
      <w:r w:rsidR="005D0799" w:rsidRPr="00CD364B">
        <w:rPr>
          <w:rFonts w:cstheme="minorHAnsi"/>
          <w:sz w:val="24"/>
          <w:szCs w:val="24"/>
          <w:lang w:val="en-US"/>
        </w:rPr>
        <w:t xml:space="preserve">it can be argued that </w:t>
      </w:r>
      <w:r w:rsidR="004420B1" w:rsidRPr="00CD364B">
        <w:rPr>
          <w:rFonts w:cstheme="minorHAnsi"/>
          <w:sz w:val="24"/>
          <w:szCs w:val="24"/>
          <w:lang w:val="en-US"/>
        </w:rPr>
        <w:t>the trajectory of</w:t>
      </w:r>
      <w:r w:rsidR="00161E9A" w:rsidRPr="00CD364B">
        <w:rPr>
          <w:rFonts w:cstheme="minorHAnsi"/>
          <w:sz w:val="24"/>
          <w:szCs w:val="24"/>
          <w:lang w:val="en-US"/>
        </w:rPr>
        <w:t xml:space="preserve"> the</w:t>
      </w:r>
      <w:r w:rsidR="004420B1" w:rsidRPr="00CD364B">
        <w:rPr>
          <w:rFonts w:cstheme="minorHAnsi"/>
          <w:sz w:val="24"/>
          <w:szCs w:val="24"/>
          <w:lang w:val="en-US"/>
        </w:rPr>
        <w:t xml:space="preserve"> industrial growth pattern </w:t>
      </w:r>
      <w:r w:rsidR="0069719F" w:rsidRPr="00CD364B">
        <w:rPr>
          <w:rFonts w:cstheme="minorHAnsi"/>
          <w:sz w:val="24"/>
          <w:szCs w:val="24"/>
          <w:lang w:val="en-US"/>
        </w:rPr>
        <w:t xml:space="preserve">is shaping the </w:t>
      </w:r>
      <w:r w:rsidR="00577FC6" w:rsidRPr="00CD364B">
        <w:rPr>
          <w:rFonts w:cstheme="minorHAnsi"/>
          <w:sz w:val="24"/>
          <w:szCs w:val="24"/>
          <w:lang w:val="en-US"/>
        </w:rPr>
        <w:t xml:space="preserve">trajectory of climatic shift. </w:t>
      </w:r>
      <w:r w:rsidR="009B4FB4" w:rsidRPr="00CD364B">
        <w:rPr>
          <w:rFonts w:cstheme="minorHAnsi"/>
          <w:sz w:val="24"/>
          <w:szCs w:val="24"/>
          <w:lang w:val="en-US"/>
        </w:rPr>
        <w:t xml:space="preserve">Driven by the profit motive, the industrial sector is largely interested in reducing the operational costs, </w:t>
      </w:r>
      <w:r w:rsidR="00503A73" w:rsidRPr="00CD364B">
        <w:rPr>
          <w:rFonts w:cstheme="minorHAnsi"/>
          <w:sz w:val="24"/>
          <w:szCs w:val="24"/>
          <w:lang w:val="en-US"/>
        </w:rPr>
        <w:t xml:space="preserve">however </w:t>
      </w:r>
      <w:r w:rsidR="00161E9A" w:rsidRPr="00CD364B">
        <w:rPr>
          <w:rFonts w:cstheme="minorHAnsi"/>
          <w:sz w:val="24"/>
          <w:szCs w:val="24"/>
          <w:lang w:val="en-US"/>
        </w:rPr>
        <w:t xml:space="preserve">an </w:t>
      </w:r>
      <w:r w:rsidR="009B4FB4" w:rsidRPr="00CD364B">
        <w:rPr>
          <w:rFonts w:cstheme="minorHAnsi"/>
          <w:sz w:val="24"/>
          <w:szCs w:val="24"/>
          <w:lang w:val="en-US"/>
        </w:rPr>
        <w:t xml:space="preserve">implementation of </w:t>
      </w:r>
      <w:r w:rsidR="00FE0405" w:rsidRPr="00CD364B">
        <w:rPr>
          <w:rFonts w:cstheme="minorHAnsi"/>
          <w:sz w:val="24"/>
          <w:szCs w:val="24"/>
          <w:lang w:val="en-US"/>
        </w:rPr>
        <w:t>renewable energy solutions can cause a short run decline in their profi</w:t>
      </w:r>
      <w:r w:rsidR="00FC5331" w:rsidRPr="00CD364B">
        <w:rPr>
          <w:rFonts w:cstheme="minorHAnsi"/>
          <w:sz w:val="24"/>
          <w:szCs w:val="24"/>
          <w:lang w:val="en-US"/>
        </w:rPr>
        <w:t xml:space="preserve">t </w:t>
      </w:r>
      <w:r w:rsidR="00503A73" w:rsidRPr="00CD364B">
        <w:rPr>
          <w:rFonts w:cstheme="minorHAnsi"/>
          <w:sz w:val="24"/>
          <w:szCs w:val="24"/>
          <w:lang w:val="en-US"/>
        </w:rPr>
        <w:t xml:space="preserve">due to </w:t>
      </w:r>
      <w:r w:rsidR="00FC5331" w:rsidRPr="00CD364B">
        <w:rPr>
          <w:rFonts w:cstheme="minorHAnsi"/>
          <w:sz w:val="24"/>
          <w:szCs w:val="24"/>
          <w:lang w:val="en-US"/>
        </w:rPr>
        <w:t>the high implementation cost</w:t>
      </w:r>
      <w:r w:rsidR="00503A73" w:rsidRPr="00CD364B">
        <w:rPr>
          <w:rFonts w:cstheme="minorHAnsi"/>
          <w:sz w:val="24"/>
          <w:szCs w:val="24"/>
          <w:lang w:val="en-US"/>
        </w:rPr>
        <w:t>s</w:t>
      </w:r>
      <w:r w:rsidR="00257AD6" w:rsidRPr="00CD364B">
        <w:rPr>
          <w:rFonts w:cstheme="minorHAnsi"/>
          <w:sz w:val="24"/>
          <w:szCs w:val="24"/>
          <w:lang w:val="en-US"/>
        </w:rPr>
        <w:t xml:space="preserve"> (Sinha et al., 2020b)</w:t>
      </w:r>
      <w:r w:rsidR="00FE0405" w:rsidRPr="00CD364B">
        <w:rPr>
          <w:rFonts w:cstheme="minorHAnsi"/>
          <w:sz w:val="24"/>
          <w:szCs w:val="24"/>
          <w:lang w:val="en-US"/>
        </w:rPr>
        <w:t>.</w:t>
      </w:r>
      <w:r w:rsidR="00767E91" w:rsidRPr="00CD364B">
        <w:rPr>
          <w:rFonts w:cstheme="minorHAnsi"/>
          <w:sz w:val="24"/>
          <w:szCs w:val="24"/>
          <w:lang w:val="en-US"/>
        </w:rPr>
        <w:t xml:space="preserve"> </w:t>
      </w:r>
      <w:r w:rsidR="00C41DD1" w:rsidRPr="00CD364B">
        <w:rPr>
          <w:rFonts w:cstheme="minorHAnsi"/>
          <w:sz w:val="24"/>
          <w:szCs w:val="24"/>
          <w:lang w:val="en-US"/>
        </w:rPr>
        <w:t xml:space="preserve">This incessant rise in industrialization </w:t>
      </w:r>
      <w:r w:rsidR="00042AE1" w:rsidRPr="00CD364B">
        <w:rPr>
          <w:rFonts w:cstheme="minorHAnsi"/>
          <w:sz w:val="24"/>
          <w:szCs w:val="24"/>
          <w:lang w:val="en-US"/>
        </w:rPr>
        <w:t xml:space="preserve">is </w:t>
      </w:r>
      <w:r w:rsidR="00020CD1" w:rsidRPr="00CD364B">
        <w:rPr>
          <w:rFonts w:cstheme="minorHAnsi"/>
          <w:sz w:val="24"/>
          <w:szCs w:val="24"/>
          <w:lang w:val="en-US"/>
        </w:rPr>
        <w:t xml:space="preserve">complemented by the financial mobilization </w:t>
      </w:r>
      <w:r w:rsidR="009B1692" w:rsidRPr="00CD364B">
        <w:rPr>
          <w:rFonts w:cstheme="minorHAnsi"/>
          <w:sz w:val="24"/>
          <w:szCs w:val="24"/>
          <w:lang w:val="en-US"/>
        </w:rPr>
        <w:t>within the nations,</w:t>
      </w:r>
      <w:r w:rsidR="00503A73" w:rsidRPr="00CD364B">
        <w:rPr>
          <w:rFonts w:cstheme="minorHAnsi"/>
          <w:sz w:val="24"/>
          <w:szCs w:val="24"/>
          <w:lang w:val="en-US"/>
        </w:rPr>
        <w:t xml:space="preserve"> thus the </w:t>
      </w:r>
      <w:r w:rsidR="009B1692" w:rsidRPr="00CD364B">
        <w:rPr>
          <w:rFonts w:cstheme="minorHAnsi"/>
          <w:sz w:val="24"/>
          <w:szCs w:val="24"/>
          <w:lang w:val="en-US"/>
        </w:rPr>
        <w:t xml:space="preserve">prevailing financial mechanism is also adding to the </w:t>
      </w:r>
      <w:r w:rsidR="00027F8B" w:rsidRPr="00CD364B">
        <w:rPr>
          <w:rFonts w:cstheme="minorHAnsi"/>
          <w:sz w:val="24"/>
          <w:szCs w:val="24"/>
          <w:lang w:val="en-US"/>
        </w:rPr>
        <w:t xml:space="preserve">issue of rising environmental degradation. </w:t>
      </w:r>
      <w:r w:rsidR="00D378F9" w:rsidRPr="00CD364B">
        <w:rPr>
          <w:rFonts w:cstheme="minorHAnsi"/>
          <w:sz w:val="24"/>
          <w:szCs w:val="24"/>
          <w:lang w:val="en-US"/>
        </w:rPr>
        <w:t>This might create a predicament on the way of attaining the objectives of SDG 13, i.e.</w:t>
      </w:r>
      <w:r w:rsidR="00715AE9" w:rsidRPr="00CD364B">
        <w:rPr>
          <w:rFonts w:cstheme="minorHAnsi"/>
          <w:sz w:val="24"/>
          <w:szCs w:val="24"/>
          <w:lang w:val="en-US"/>
        </w:rPr>
        <w:t>,</w:t>
      </w:r>
      <w:r w:rsidR="00D378F9" w:rsidRPr="00CD364B">
        <w:rPr>
          <w:rFonts w:cstheme="minorHAnsi"/>
          <w:sz w:val="24"/>
          <w:szCs w:val="24"/>
          <w:lang w:val="en-US"/>
        </w:rPr>
        <w:t xml:space="preserve"> climate action. </w:t>
      </w:r>
      <w:r w:rsidR="00C7241E" w:rsidRPr="00CD364B">
        <w:rPr>
          <w:rFonts w:cstheme="minorHAnsi"/>
          <w:sz w:val="24"/>
          <w:szCs w:val="24"/>
          <w:lang w:val="en-US"/>
        </w:rPr>
        <w:t xml:space="preserve">Persistence of this mechanism is not only adding </w:t>
      </w:r>
      <w:r w:rsidR="00161E9A" w:rsidRPr="00CD364B">
        <w:rPr>
          <w:rFonts w:cstheme="minorHAnsi"/>
          <w:sz w:val="24"/>
          <w:szCs w:val="24"/>
          <w:lang w:val="en-US"/>
        </w:rPr>
        <w:t xml:space="preserve">to </w:t>
      </w:r>
      <w:r w:rsidR="008B5AE4" w:rsidRPr="00CD364B">
        <w:rPr>
          <w:rFonts w:cstheme="minorHAnsi"/>
          <w:sz w:val="24"/>
          <w:szCs w:val="24"/>
          <w:lang w:val="en-US"/>
        </w:rPr>
        <w:t>environmental issues, but also</w:t>
      </w:r>
      <w:r w:rsidR="00161E9A" w:rsidRPr="00CD364B">
        <w:rPr>
          <w:rFonts w:cstheme="minorHAnsi"/>
          <w:sz w:val="24"/>
          <w:szCs w:val="24"/>
          <w:lang w:val="en-US"/>
        </w:rPr>
        <w:t xml:space="preserve"> to</w:t>
      </w:r>
      <w:r w:rsidR="008B5AE4" w:rsidRPr="00CD364B">
        <w:rPr>
          <w:rFonts w:cstheme="minorHAnsi"/>
          <w:sz w:val="24"/>
          <w:szCs w:val="24"/>
          <w:lang w:val="en-US"/>
        </w:rPr>
        <w:t xml:space="preserve"> social issues, </w:t>
      </w:r>
      <w:r w:rsidR="00161E9A" w:rsidRPr="00CD364B">
        <w:rPr>
          <w:rFonts w:cstheme="minorHAnsi"/>
          <w:sz w:val="24"/>
          <w:szCs w:val="24"/>
          <w:lang w:val="en-US"/>
        </w:rPr>
        <w:t xml:space="preserve">such as </w:t>
      </w:r>
      <w:r w:rsidR="00E02103" w:rsidRPr="00CD364B">
        <w:rPr>
          <w:rFonts w:cstheme="minorHAnsi"/>
          <w:sz w:val="24"/>
          <w:szCs w:val="24"/>
          <w:lang w:val="en-US"/>
        </w:rPr>
        <w:t xml:space="preserve">rising health issues among the </w:t>
      </w:r>
      <w:r w:rsidR="00161E9A" w:rsidRPr="00CD364B">
        <w:rPr>
          <w:rFonts w:cstheme="minorHAnsi"/>
          <w:sz w:val="24"/>
          <w:szCs w:val="24"/>
          <w:lang w:val="en-US"/>
        </w:rPr>
        <w:t>population</w:t>
      </w:r>
      <w:r w:rsidR="00E02103" w:rsidRPr="00CD364B">
        <w:rPr>
          <w:rFonts w:cstheme="minorHAnsi"/>
          <w:sz w:val="24"/>
          <w:szCs w:val="24"/>
          <w:lang w:val="en-US"/>
        </w:rPr>
        <w:t>.</w:t>
      </w:r>
      <w:r w:rsidR="00730CF4" w:rsidRPr="00CD364B">
        <w:rPr>
          <w:rFonts w:cstheme="minorHAnsi"/>
          <w:sz w:val="24"/>
          <w:szCs w:val="24"/>
          <w:lang w:val="en-US"/>
        </w:rPr>
        <w:t xml:space="preserve"> </w:t>
      </w:r>
      <w:r w:rsidR="00161E9A" w:rsidRPr="00CD364B">
        <w:rPr>
          <w:rFonts w:cstheme="minorHAnsi"/>
          <w:sz w:val="24"/>
          <w:szCs w:val="24"/>
          <w:lang w:val="en-US"/>
        </w:rPr>
        <w:t xml:space="preserve"> Social issues can cause negative impact on </w:t>
      </w:r>
      <w:r w:rsidR="006977C7" w:rsidRPr="00CD364B">
        <w:rPr>
          <w:rFonts w:cstheme="minorHAnsi"/>
          <w:sz w:val="24"/>
          <w:szCs w:val="24"/>
          <w:lang w:val="en-US"/>
        </w:rPr>
        <w:t>economic growth pattern itself, which might in turn create a predicament on the way of attaining the objectives of SDG 8, i.e.</w:t>
      </w:r>
      <w:r w:rsidR="00715AE9" w:rsidRPr="00CD364B">
        <w:rPr>
          <w:rFonts w:cstheme="minorHAnsi"/>
          <w:sz w:val="24"/>
          <w:szCs w:val="24"/>
          <w:lang w:val="en-US"/>
        </w:rPr>
        <w:t>,</w:t>
      </w:r>
      <w:r w:rsidR="006977C7" w:rsidRPr="00CD364B">
        <w:rPr>
          <w:rFonts w:cstheme="minorHAnsi"/>
          <w:sz w:val="24"/>
          <w:szCs w:val="24"/>
          <w:lang w:val="en-US"/>
        </w:rPr>
        <w:t xml:space="preserve"> decent work and economic growth.</w:t>
      </w:r>
    </w:p>
    <w:p w14:paraId="6D35AB67" w14:textId="7DC27A64" w:rsidR="00004F21" w:rsidRPr="00CD364B" w:rsidRDefault="00161E9A" w:rsidP="00004F21">
      <w:pPr>
        <w:spacing w:after="0" w:line="360" w:lineRule="auto"/>
        <w:ind w:firstLine="851"/>
        <w:jc w:val="both"/>
        <w:rPr>
          <w:rFonts w:cstheme="minorHAnsi"/>
          <w:sz w:val="24"/>
          <w:szCs w:val="24"/>
          <w:lang w:val="en-US"/>
        </w:rPr>
      </w:pPr>
      <w:r w:rsidRPr="00CD364B">
        <w:rPr>
          <w:rFonts w:cstheme="minorHAnsi"/>
          <w:sz w:val="24"/>
          <w:szCs w:val="24"/>
          <w:lang w:val="en-US"/>
        </w:rPr>
        <w:t xml:space="preserve">In </w:t>
      </w:r>
      <w:r w:rsidR="00E314BE" w:rsidRPr="00CD364B">
        <w:rPr>
          <w:rFonts w:cstheme="minorHAnsi"/>
          <w:sz w:val="24"/>
          <w:szCs w:val="24"/>
          <w:lang w:val="en-US"/>
        </w:rPr>
        <w:t xml:space="preserve">the </w:t>
      </w:r>
      <w:r w:rsidR="0093797A" w:rsidRPr="00CD364B">
        <w:rPr>
          <w:rFonts w:cstheme="minorHAnsi"/>
          <w:sz w:val="24"/>
          <w:szCs w:val="24"/>
          <w:lang w:val="en-US"/>
        </w:rPr>
        <w:t>recent report on SDG financing by</w:t>
      </w:r>
      <w:r w:rsidR="00AA6032" w:rsidRPr="00CD364B">
        <w:rPr>
          <w:rFonts w:cstheme="minorHAnsi"/>
          <w:sz w:val="24"/>
          <w:szCs w:val="24"/>
          <w:lang w:val="en-US"/>
        </w:rPr>
        <w:t xml:space="preserve"> </w:t>
      </w:r>
      <w:r w:rsidR="0093797A" w:rsidRPr="00CD364B">
        <w:rPr>
          <w:rFonts w:cstheme="minorHAnsi"/>
          <w:sz w:val="24"/>
          <w:szCs w:val="24"/>
          <w:lang w:val="en-US"/>
        </w:rPr>
        <w:t>Garroway and Carpentier (2019)</w:t>
      </w:r>
      <w:r w:rsidRPr="00CD364B">
        <w:rPr>
          <w:rFonts w:cstheme="minorHAnsi"/>
          <w:sz w:val="24"/>
          <w:szCs w:val="24"/>
          <w:lang w:val="en-US"/>
        </w:rPr>
        <w:t>,</w:t>
      </w:r>
      <w:r w:rsidR="0064621D" w:rsidRPr="00CD364B">
        <w:rPr>
          <w:rFonts w:cstheme="minorHAnsi"/>
          <w:sz w:val="24"/>
          <w:szCs w:val="24"/>
          <w:lang w:val="en-US"/>
        </w:rPr>
        <w:t xml:space="preserve"> </w:t>
      </w:r>
      <w:r w:rsidR="00AA6032" w:rsidRPr="00CD364B">
        <w:rPr>
          <w:rFonts w:cstheme="minorHAnsi"/>
          <w:sz w:val="24"/>
          <w:szCs w:val="24"/>
          <w:lang w:val="en-US"/>
        </w:rPr>
        <w:t xml:space="preserve">the authors have stressed the deficiency of the nations in making progressions towards SDG financing. </w:t>
      </w:r>
      <w:r w:rsidR="00AF0FA0" w:rsidRPr="00CD364B">
        <w:rPr>
          <w:rFonts w:cstheme="minorHAnsi"/>
          <w:sz w:val="24"/>
          <w:szCs w:val="24"/>
          <w:lang w:val="en-US"/>
        </w:rPr>
        <w:t xml:space="preserve">This report is based on the Addis Ababa Action Agenda, which </w:t>
      </w:r>
      <w:r w:rsidR="00503A73" w:rsidRPr="00CD364B">
        <w:rPr>
          <w:rFonts w:cstheme="minorHAnsi"/>
          <w:sz w:val="24"/>
          <w:szCs w:val="24"/>
          <w:lang w:val="en-US"/>
        </w:rPr>
        <w:t xml:space="preserve">focused </w:t>
      </w:r>
      <w:r w:rsidR="00AF0FA0" w:rsidRPr="00CD364B">
        <w:rPr>
          <w:rFonts w:cstheme="minorHAnsi"/>
          <w:sz w:val="24"/>
          <w:szCs w:val="24"/>
          <w:lang w:val="en-US"/>
        </w:rPr>
        <w:t xml:space="preserve">on </w:t>
      </w:r>
      <w:r w:rsidR="00EB2925" w:rsidRPr="00CD364B">
        <w:rPr>
          <w:rFonts w:cstheme="minorHAnsi"/>
          <w:sz w:val="24"/>
          <w:szCs w:val="24"/>
          <w:lang w:val="en-US"/>
        </w:rPr>
        <w:t>how financing mechanism can be used as a vehicle for ascertaining sustainable economic growth</w:t>
      </w:r>
      <w:r w:rsidR="00BD71DE" w:rsidRPr="00CD364B">
        <w:rPr>
          <w:rFonts w:cstheme="minorHAnsi"/>
          <w:sz w:val="24"/>
          <w:szCs w:val="24"/>
          <w:lang w:val="en-US"/>
        </w:rPr>
        <w:t xml:space="preserve"> (United Nations, 2015)</w:t>
      </w:r>
      <w:r w:rsidR="00EB2925" w:rsidRPr="00CD364B">
        <w:rPr>
          <w:rFonts w:cstheme="minorHAnsi"/>
          <w:sz w:val="24"/>
          <w:szCs w:val="24"/>
          <w:lang w:val="en-US"/>
        </w:rPr>
        <w:t>.</w:t>
      </w:r>
      <w:r w:rsidR="00095F3C" w:rsidRPr="00CD364B">
        <w:rPr>
          <w:rFonts w:cstheme="minorHAnsi"/>
          <w:sz w:val="24"/>
          <w:szCs w:val="24"/>
          <w:lang w:val="en-US"/>
        </w:rPr>
        <w:t xml:space="preserve"> </w:t>
      </w:r>
      <w:r w:rsidR="00100E09" w:rsidRPr="00CD364B">
        <w:rPr>
          <w:rFonts w:cstheme="minorHAnsi"/>
          <w:sz w:val="24"/>
          <w:szCs w:val="24"/>
          <w:lang w:val="en-US"/>
        </w:rPr>
        <w:t>However, the recent progress on this front</w:t>
      </w:r>
      <w:r w:rsidR="0064621D" w:rsidRPr="00CD364B">
        <w:rPr>
          <w:rFonts w:cstheme="minorHAnsi"/>
          <w:sz w:val="24"/>
          <w:szCs w:val="24"/>
          <w:lang w:val="en-US"/>
        </w:rPr>
        <w:t xml:space="preserve"> </w:t>
      </w:r>
      <w:r w:rsidR="00503A73" w:rsidRPr="00CD364B">
        <w:rPr>
          <w:rFonts w:cstheme="minorHAnsi"/>
          <w:sz w:val="24"/>
          <w:szCs w:val="24"/>
          <w:lang w:val="en-US"/>
        </w:rPr>
        <w:t xml:space="preserve">shows </w:t>
      </w:r>
      <w:r w:rsidR="00100E09" w:rsidRPr="00CD364B">
        <w:rPr>
          <w:rFonts w:cstheme="minorHAnsi"/>
          <w:sz w:val="24"/>
          <w:szCs w:val="24"/>
          <w:lang w:val="en-US"/>
        </w:rPr>
        <w:t xml:space="preserve">that the developmental agenda has not yet been </w:t>
      </w:r>
      <w:r w:rsidR="00503A73" w:rsidRPr="00CD364B">
        <w:rPr>
          <w:rFonts w:cstheme="minorHAnsi"/>
          <w:sz w:val="24"/>
          <w:szCs w:val="24"/>
          <w:lang w:val="en-US"/>
        </w:rPr>
        <w:t>prioritized</w:t>
      </w:r>
      <w:r w:rsidR="00100E09" w:rsidRPr="00CD364B">
        <w:rPr>
          <w:rFonts w:cstheme="minorHAnsi"/>
          <w:sz w:val="24"/>
          <w:szCs w:val="24"/>
          <w:lang w:val="en-US"/>
        </w:rPr>
        <w:t xml:space="preserve">, and </w:t>
      </w:r>
      <w:r w:rsidR="00503A73" w:rsidRPr="00CD364B">
        <w:rPr>
          <w:rFonts w:cstheme="minorHAnsi"/>
          <w:sz w:val="24"/>
          <w:szCs w:val="24"/>
          <w:lang w:val="en-US"/>
        </w:rPr>
        <w:t>many</w:t>
      </w:r>
      <w:r w:rsidR="00100E09" w:rsidRPr="00CD364B">
        <w:rPr>
          <w:rFonts w:cstheme="minorHAnsi"/>
          <w:sz w:val="24"/>
          <w:szCs w:val="24"/>
          <w:lang w:val="en-US"/>
        </w:rPr>
        <w:t xml:space="preserve"> nations </w:t>
      </w:r>
      <w:r w:rsidR="00503A73" w:rsidRPr="00CD364B">
        <w:rPr>
          <w:rFonts w:cstheme="minorHAnsi"/>
          <w:sz w:val="24"/>
          <w:szCs w:val="24"/>
          <w:lang w:val="en-US"/>
        </w:rPr>
        <w:t>might not</w:t>
      </w:r>
      <w:r w:rsidR="00100E09" w:rsidRPr="00CD364B">
        <w:rPr>
          <w:rFonts w:cstheme="minorHAnsi"/>
          <w:sz w:val="24"/>
          <w:szCs w:val="24"/>
          <w:lang w:val="en-US"/>
        </w:rPr>
        <w:t xml:space="preserve"> </w:t>
      </w:r>
      <w:r w:rsidR="0064621D" w:rsidRPr="00CD364B">
        <w:rPr>
          <w:rFonts w:cstheme="minorHAnsi"/>
          <w:sz w:val="24"/>
          <w:szCs w:val="24"/>
          <w:lang w:val="en-US"/>
        </w:rPr>
        <w:t>be</w:t>
      </w:r>
      <w:r w:rsidR="00100E09" w:rsidRPr="00CD364B">
        <w:rPr>
          <w:rFonts w:cstheme="minorHAnsi"/>
          <w:sz w:val="24"/>
          <w:szCs w:val="24"/>
          <w:lang w:val="en-US"/>
        </w:rPr>
        <w:t xml:space="preserve"> able fulfill the </w:t>
      </w:r>
      <w:r w:rsidR="00F20EC5" w:rsidRPr="00CD364B">
        <w:rPr>
          <w:rFonts w:cstheme="minorHAnsi"/>
          <w:sz w:val="24"/>
          <w:szCs w:val="24"/>
          <w:lang w:val="en-US"/>
        </w:rPr>
        <w:t xml:space="preserve">2030 agenda. </w:t>
      </w:r>
      <w:r w:rsidR="005B45D4" w:rsidRPr="00CD364B">
        <w:rPr>
          <w:rFonts w:cstheme="minorHAnsi"/>
          <w:sz w:val="24"/>
          <w:szCs w:val="24"/>
          <w:lang w:val="en-US"/>
        </w:rPr>
        <w:t xml:space="preserve">One of the major </w:t>
      </w:r>
      <w:r w:rsidR="00503A73" w:rsidRPr="00CD364B">
        <w:rPr>
          <w:rFonts w:cstheme="minorHAnsi"/>
          <w:sz w:val="24"/>
          <w:szCs w:val="24"/>
          <w:lang w:val="en-US"/>
        </w:rPr>
        <w:t>obstacles is</w:t>
      </w:r>
      <w:r w:rsidR="005B45D4" w:rsidRPr="00CD364B">
        <w:rPr>
          <w:rFonts w:cstheme="minorHAnsi"/>
          <w:sz w:val="24"/>
          <w:szCs w:val="24"/>
          <w:lang w:val="en-US"/>
        </w:rPr>
        <w:t xml:space="preserve"> mainstreaming or realigning the capital market </w:t>
      </w:r>
      <w:r w:rsidR="00AA1D10" w:rsidRPr="00CD364B">
        <w:rPr>
          <w:rFonts w:cstheme="minorHAnsi"/>
          <w:sz w:val="24"/>
          <w:szCs w:val="24"/>
          <w:lang w:val="en-US"/>
        </w:rPr>
        <w:t xml:space="preserve">with the Addis Ababa Action Agenda. </w:t>
      </w:r>
      <w:r w:rsidR="00013176" w:rsidRPr="00CD364B">
        <w:rPr>
          <w:rFonts w:cstheme="minorHAnsi"/>
          <w:sz w:val="24"/>
          <w:szCs w:val="24"/>
          <w:lang w:val="en-US"/>
        </w:rPr>
        <w:t xml:space="preserve">The recent report by United Nations Global Compact (2019) has </w:t>
      </w:r>
      <w:r w:rsidR="00846C1F" w:rsidRPr="00CD364B">
        <w:rPr>
          <w:rFonts w:cstheme="minorHAnsi"/>
          <w:sz w:val="24"/>
          <w:szCs w:val="24"/>
          <w:lang w:val="en-US"/>
        </w:rPr>
        <w:t xml:space="preserve">discussed </w:t>
      </w:r>
      <w:r w:rsidR="00013176" w:rsidRPr="00CD364B">
        <w:rPr>
          <w:rFonts w:cstheme="minorHAnsi"/>
          <w:sz w:val="24"/>
          <w:szCs w:val="24"/>
          <w:lang w:val="en-US"/>
        </w:rPr>
        <w:t xml:space="preserve">this </w:t>
      </w:r>
      <w:r w:rsidR="008277A2" w:rsidRPr="00CD364B">
        <w:rPr>
          <w:rFonts w:cstheme="minorHAnsi"/>
          <w:sz w:val="24"/>
          <w:szCs w:val="24"/>
          <w:lang w:val="en-US"/>
        </w:rPr>
        <w:t>fact and</w:t>
      </w:r>
      <w:r w:rsidR="00013176" w:rsidRPr="00CD364B">
        <w:rPr>
          <w:rFonts w:cstheme="minorHAnsi"/>
          <w:sz w:val="24"/>
          <w:szCs w:val="24"/>
          <w:lang w:val="en-US"/>
        </w:rPr>
        <w:t xml:space="preserve"> has </w:t>
      </w:r>
      <w:r w:rsidR="00416350" w:rsidRPr="00CD364B">
        <w:rPr>
          <w:rFonts w:cstheme="minorHAnsi"/>
          <w:sz w:val="24"/>
          <w:szCs w:val="24"/>
          <w:lang w:val="en-US"/>
        </w:rPr>
        <w:t xml:space="preserve">stressed </w:t>
      </w:r>
      <w:r w:rsidR="00503A73" w:rsidRPr="00CD364B">
        <w:rPr>
          <w:rFonts w:cstheme="minorHAnsi"/>
          <w:sz w:val="24"/>
          <w:szCs w:val="24"/>
          <w:lang w:val="en-US"/>
        </w:rPr>
        <w:t xml:space="preserve">the importance of </w:t>
      </w:r>
      <w:r w:rsidR="00416350" w:rsidRPr="00CD364B">
        <w:rPr>
          <w:rFonts w:cstheme="minorHAnsi"/>
          <w:sz w:val="24"/>
          <w:szCs w:val="24"/>
          <w:lang w:val="en-US"/>
        </w:rPr>
        <w:t xml:space="preserve">reorienting the global capital markets </w:t>
      </w:r>
      <w:r w:rsidR="00A822FA" w:rsidRPr="00CD364B">
        <w:rPr>
          <w:rFonts w:cstheme="minorHAnsi"/>
          <w:sz w:val="24"/>
          <w:szCs w:val="24"/>
          <w:lang w:val="en-US"/>
        </w:rPr>
        <w:t xml:space="preserve">for </w:t>
      </w:r>
      <w:r w:rsidR="00846C1F" w:rsidRPr="00CD364B">
        <w:rPr>
          <w:rFonts w:cstheme="minorHAnsi"/>
          <w:sz w:val="24"/>
          <w:szCs w:val="24"/>
          <w:lang w:val="en-US"/>
        </w:rPr>
        <w:t xml:space="preserve">ascertaining the attainment of the objectives of SDGs by 2030. </w:t>
      </w:r>
    </w:p>
    <w:p w14:paraId="33978E92" w14:textId="53FDC934" w:rsidR="006E0BEF" w:rsidRPr="00CD364B" w:rsidRDefault="008277A2" w:rsidP="00004F21">
      <w:pPr>
        <w:spacing w:after="0" w:line="360" w:lineRule="auto"/>
        <w:ind w:firstLine="851"/>
        <w:jc w:val="both"/>
        <w:rPr>
          <w:rFonts w:cstheme="minorHAnsi"/>
          <w:sz w:val="24"/>
          <w:szCs w:val="24"/>
          <w:lang w:val="en-US"/>
        </w:rPr>
      </w:pPr>
      <w:r w:rsidRPr="00CD364B">
        <w:rPr>
          <w:rFonts w:cstheme="minorHAnsi"/>
          <w:sz w:val="24"/>
          <w:szCs w:val="24"/>
          <w:lang w:val="en-US"/>
        </w:rPr>
        <w:lastRenderedPageBreak/>
        <w:t xml:space="preserve">In this </w:t>
      </w:r>
      <w:r w:rsidR="008F4C13" w:rsidRPr="00CD364B">
        <w:rPr>
          <w:rFonts w:cstheme="minorHAnsi"/>
          <w:sz w:val="24"/>
          <w:szCs w:val="24"/>
          <w:lang w:val="en-US"/>
        </w:rPr>
        <w:t xml:space="preserve">pursuit, </w:t>
      </w:r>
      <w:r w:rsidR="0024220C" w:rsidRPr="00CD364B">
        <w:rPr>
          <w:rFonts w:cstheme="minorHAnsi"/>
          <w:sz w:val="24"/>
          <w:szCs w:val="24"/>
          <w:lang w:val="en-US"/>
        </w:rPr>
        <w:t xml:space="preserve">capital market products and corporate financing mechanisms have been identified </w:t>
      </w:r>
      <w:r w:rsidR="00F550C7" w:rsidRPr="00CD364B">
        <w:rPr>
          <w:rFonts w:cstheme="minorHAnsi"/>
          <w:sz w:val="24"/>
          <w:szCs w:val="24"/>
          <w:lang w:val="en-US"/>
        </w:rPr>
        <w:t xml:space="preserve">as the major instruments for this realignment. </w:t>
      </w:r>
      <w:r w:rsidR="002172A4" w:rsidRPr="00CD364B">
        <w:rPr>
          <w:rFonts w:cstheme="minorHAnsi"/>
          <w:sz w:val="24"/>
          <w:szCs w:val="24"/>
          <w:lang w:val="en-US"/>
        </w:rPr>
        <w:t>Th</w:t>
      </w:r>
      <w:r w:rsidR="00503A73" w:rsidRPr="00CD364B">
        <w:rPr>
          <w:rFonts w:cstheme="minorHAnsi"/>
          <w:sz w:val="24"/>
          <w:szCs w:val="24"/>
          <w:lang w:val="en-US"/>
        </w:rPr>
        <w:t xml:space="preserve">e need </w:t>
      </w:r>
      <w:r w:rsidR="0064621D" w:rsidRPr="00CD364B">
        <w:rPr>
          <w:rFonts w:cstheme="minorHAnsi"/>
          <w:sz w:val="24"/>
          <w:szCs w:val="24"/>
          <w:lang w:val="en-US"/>
        </w:rPr>
        <w:t>for realignment</w:t>
      </w:r>
      <w:r w:rsidR="00503A73" w:rsidRPr="00CD364B">
        <w:rPr>
          <w:rFonts w:cstheme="minorHAnsi"/>
          <w:sz w:val="24"/>
          <w:szCs w:val="24"/>
          <w:lang w:val="en-US"/>
        </w:rPr>
        <w:t xml:space="preserve"> with SDG objectives</w:t>
      </w:r>
      <w:r w:rsidR="002172A4" w:rsidRPr="00CD364B">
        <w:rPr>
          <w:rFonts w:cstheme="minorHAnsi"/>
          <w:sz w:val="24"/>
          <w:szCs w:val="24"/>
          <w:lang w:val="en-US"/>
        </w:rPr>
        <w:t xml:space="preserve"> </w:t>
      </w:r>
      <w:r w:rsidR="00E662E9" w:rsidRPr="00CD364B">
        <w:rPr>
          <w:rFonts w:cstheme="minorHAnsi"/>
          <w:sz w:val="24"/>
          <w:szCs w:val="24"/>
          <w:lang w:val="en-US"/>
        </w:rPr>
        <w:t xml:space="preserve">called for a </w:t>
      </w:r>
      <w:r w:rsidR="00536417" w:rsidRPr="00CD364B">
        <w:rPr>
          <w:rFonts w:cstheme="minorHAnsi"/>
          <w:sz w:val="24"/>
          <w:szCs w:val="24"/>
          <w:lang w:val="en-US"/>
        </w:rPr>
        <w:t>product</w:t>
      </w:r>
      <w:r w:rsidR="00E662E9" w:rsidRPr="00CD364B">
        <w:rPr>
          <w:rFonts w:cstheme="minorHAnsi"/>
          <w:sz w:val="24"/>
          <w:szCs w:val="24"/>
          <w:lang w:val="en-US"/>
        </w:rPr>
        <w:t xml:space="preserve">, </w:t>
      </w:r>
      <w:r w:rsidR="00231159" w:rsidRPr="00CD364B">
        <w:rPr>
          <w:rFonts w:cstheme="minorHAnsi"/>
          <w:sz w:val="24"/>
          <w:szCs w:val="24"/>
          <w:lang w:val="en-US"/>
        </w:rPr>
        <w:t xml:space="preserve">which can </w:t>
      </w:r>
      <w:r w:rsidR="00B60266" w:rsidRPr="00CD364B">
        <w:rPr>
          <w:rFonts w:cstheme="minorHAnsi"/>
          <w:sz w:val="24"/>
          <w:szCs w:val="24"/>
          <w:lang w:val="en-US"/>
        </w:rPr>
        <w:t xml:space="preserve">primarily address the issues of climatic </w:t>
      </w:r>
      <w:r w:rsidR="0064621D" w:rsidRPr="00CD364B">
        <w:rPr>
          <w:rFonts w:cstheme="minorHAnsi"/>
          <w:sz w:val="24"/>
          <w:szCs w:val="24"/>
          <w:lang w:val="en-US"/>
        </w:rPr>
        <w:t>shift</w:t>
      </w:r>
      <w:r w:rsidR="00503A73" w:rsidRPr="00CD364B">
        <w:rPr>
          <w:rFonts w:cstheme="minorHAnsi"/>
          <w:sz w:val="24"/>
          <w:szCs w:val="24"/>
          <w:lang w:val="en-US"/>
        </w:rPr>
        <w:t>.</w:t>
      </w:r>
      <w:r w:rsidR="0064621D" w:rsidRPr="00CD364B">
        <w:rPr>
          <w:rFonts w:cstheme="minorHAnsi"/>
          <w:sz w:val="24"/>
          <w:szCs w:val="24"/>
          <w:lang w:val="en-US"/>
        </w:rPr>
        <w:t xml:space="preserve"> </w:t>
      </w:r>
      <w:r w:rsidR="00B26E06" w:rsidRPr="00CD364B">
        <w:rPr>
          <w:rFonts w:cstheme="minorHAnsi"/>
          <w:sz w:val="24"/>
          <w:szCs w:val="24"/>
          <w:lang w:val="en-US"/>
        </w:rPr>
        <w:t>Thus</w:t>
      </w:r>
      <w:r w:rsidR="00C721EF" w:rsidRPr="00CD364B">
        <w:rPr>
          <w:rFonts w:cstheme="minorHAnsi"/>
          <w:sz w:val="24"/>
          <w:szCs w:val="24"/>
          <w:lang w:val="en-US"/>
        </w:rPr>
        <w:t xml:space="preserve">, </w:t>
      </w:r>
      <w:r w:rsidR="00FB24D0" w:rsidRPr="00CD364B">
        <w:rPr>
          <w:rFonts w:cstheme="minorHAnsi"/>
          <w:i/>
          <w:iCs/>
          <w:sz w:val="24"/>
          <w:szCs w:val="24"/>
          <w:lang w:val="en-US"/>
        </w:rPr>
        <w:t>Green Bond</w:t>
      </w:r>
      <w:r w:rsidR="00FB24D0" w:rsidRPr="00CD364B">
        <w:rPr>
          <w:rFonts w:cstheme="minorHAnsi"/>
          <w:sz w:val="24"/>
          <w:szCs w:val="24"/>
          <w:lang w:val="en-US"/>
        </w:rPr>
        <w:t xml:space="preserve"> or </w:t>
      </w:r>
      <w:r w:rsidR="00FB24D0" w:rsidRPr="00CD364B">
        <w:rPr>
          <w:rFonts w:cstheme="minorHAnsi"/>
          <w:i/>
          <w:iCs/>
          <w:sz w:val="24"/>
          <w:szCs w:val="24"/>
          <w:lang w:val="en-US"/>
        </w:rPr>
        <w:t>Climatic Bond</w:t>
      </w:r>
      <w:r w:rsidR="00FB24D0" w:rsidRPr="00CD364B">
        <w:rPr>
          <w:rFonts w:cstheme="minorHAnsi"/>
          <w:sz w:val="24"/>
          <w:szCs w:val="24"/>
          <w:lang w:val="en-US"/>
        </w:rPr>
        <w:t xml:space="preserve"> </w:t>
      </w:r>
      <w:r w:rsidR="000D6954" w:rsidRPr="00CD364B">
        <w:rPr>
          <w:rFonts w:cstheme="minorHAnsi"/>
          <w:sz w:val="24"/>
          <w:szCs w:val="24"/>
          <w:lang w:val="en-US"/>
        </w:rPr>
        <w:t xml:space="preserve">started gaining prominence in the global capital market, </w:t>
      </w:r>
      <w:r w:rsidR="00B26E06" w:rsidRPr="00CD364B">
        <w:rPr>
          <w:rFonts w:cstheme="minorHAnsi"/>
          <w:sz w:val="24"/>
          <w:szCs w:val="24"/>
          <w:lang w:val="en-US"/>
        </w:rPr>
        <w:t xml:space="preserve">while </w:t>
      </w:r>
      <w:r w:rsidR="000D6954" w:rsidRPr="00CD364B">
        <w:rPr>
          <w:rFonts w:cstheme="minorHAnsi"/>
          <w:sz w:val="24"/>
          <w:szCs w:val="24"/>
          <w:lang w:val="en-US"/>
        </w:rPr>
        <w:t>nations started recognizing its potential.</w:t>
      </w:r>
      <w:r w:rsidR="003C5BE2" w:rsidRPr="00CD364B">
        <w:rPr>
          <w:rFonts w:cstheme="minorHAnsi"/>
          <w:sz w:val="24"/>
          <w:szCs w:val="24"/>
          <w:lang w:val="en-US"/>
        </w:rPr>
        <w:t xml:space="preserve"> </w:t>
      </w:r>
      <w:r w:rsidR="00E66780" w:rsidRPr="00CD364B">
        <w:rPr>
          <w:rFonts w:cstheme="minorHAnsi"/>
          <w:sz w:val="24"/>
          <w:szCs w:val="24"/>
          <w:lang w:val="en-US"/>
        </w:rPr>
        <w:t xml:space="preserve">In 2009, the World Bank </w:t>
      </w:r>
      <w:r w:rsidR="005B2E82" w:rsidRPr="00CD364B">
        <w:rPr>
          <w:rFonts w:cstheme="minorHAnsi"/>
          <w:sz w:val="24"/>
          <w:szCs w:val="24"/>
          <w:lang w:val="en-US"/>
        </w:rPr>
        <w:t>introduced this product in the global capital market, with an objective of restoring the environmental and social balance in the global sustainability ecosystem</w:t>
      </w:r>
      <w:r w:rsidR="001B1C88" w:rsidRPr="00CD364B">
        <w:rPr>
          <w:rFonts w:cstheme="minorHAnsi"/>
          <w:sz w:val="24"/>
          <w:szCs w:val="24"/>
          <w:lang w:val="en-US"/>
        </w:rPr>
        <w:t xml:space="preserve">, </w:t>
      </w:r>
      <w:r w:rsidR="00564FB5" w:rsidRPr="00CD364B">
        <w:rPr>
          <w:rFonts w:cstheme="minorHAnsi"/>
          <w:sz w:val="24"/>
          <w:szCs w:val="24"/>
          <w:lang w:val="en-US"/>
        </w:rPr>
        <w:t>driven by</w:t>
      </w:r>
      <w:r w:rsidR="001B1C88" w:rsidRPr="00CD364B">
        <w:rPr>
          <w:rFonts w:cstheme="minorHAnsi"/>
          <w:sz w:val="24"/>
          <w:szCs w:val="24"/>
          <w:lang w:val="en-US"/>
        </w:rPr>
        <w:t xml:space="preserve"> the growing concern of </w:t>
      </w:r>
      <w:r w:rsidR="00E3401E" w:rsidRPr="00CD364B">
        <w:rPr>
          <w:rFonts w:cstheme="minorHAnsi"/>
          <w:sz w:val="24"/>
          <w:szCs w:val="24"/>
          <w:lang w:val="en-US"/>
        </w:rPr>
        <w:t xml:space="preserve">the </w:t>
      </w:r>
      <w:r w:rsidR="001B1C88" w:rsidRPr="00CD364B">
        <w:rPr>
          <w:rFonts w:cstheme="minorHAnsi"/>
          <w:sz w:val="24"/>
          <w:szCs w:val="24"/>
          <w:lang w:val="en-US"/>
        </w:rPr>
        <w:t xml:space="preserve">stakeholders in environmental, social, and governance (ESG) </w:t>
      </w:r>
      <w:r w:rsidR="00065630" w:rsidRPr="00CD364B">
        <w:rPr>
          <w:rFonts w:cstheme="minorHAnsi"/>
          <w:sz w:val="24"/>
          <w:szCs w:val="24"/>
          <w:lang w:val="en-US"/>
        </w:rPr>
        <w:t>disputes</w:t>
      </w:r>
      <w:r w:rsidR="00D22763" w:rsidRPr="00CD364B">
        <w:rPr>
          <w:rFonts w:cstheme="minorHAnsi"/>
          <w:sz w:val="24"/>
          <w:szCs w:val="24"/>
          <w:lang w:val="en-US"/>
        </w:rPr>
        <w:t xml:space="preserve"> (World </w:t>
      </w:r>
      <w:r w:rsidR="00740068" w:rsidRPr="00CD364B">
        <w:rPr>
          <w:rFonts w:cstheme="minorHAnsi"/>
          <w:sz w:val="24"/>
          <w:szCs w:val="24"/>
          <w:lang w:val="en-US"/>
        </w:rPr>
        <w:t>B</w:t>
      </w:r>
      <w:r w:rsidR="00D22763" w:rsidRPr="00CD364B">
        <w:rPr>
          <w:rFonts w:cstheme="minorHAnsi"/>
          <w:sz w:val="24"/>
          <w:szCs w:val="24"/>
          <w:lang w:val="en-US"/>
        </w:rPr>
        <w:t>ank, 2009)</w:t>
      </w:r>
      <w:r w:rsidR="005B2E82" w:rsidRPr="00CD364B">
        <w:rPr>
          <w:rFonts w:cstheme="minorHAnsi"/>
          <w:sz w:val="24"/>
          <w:szCs w:val="24"/>
          <w:lang w:val="en-US"/>
        </w:rPr>
        <w:t>.</w:t>
      </w:r>
      <w:r w:rsidR="00710F01" w:rsidRPr="00CD364B">
        <w:rPr>
          <w:rFonts w:cstheme="minorHAnsi"/>
          <w:sz w:val="24"/>
          <w:szCs w:val="24"/>
          <w:lang w:val="en-US"/>
        </w:rPr>
        <w:t xml:space="preserve"> </w:t>
      </w:r>
      <w:r w:rsidR="003D42EE" w:rsidRPr="00CD364B">
        <w:rPr>
          <w:rFonts w:cstheme="minorHAnsi"/>
          <w:sz w:val="24"/>
          <w:szCs w:val="24"/>
          <w:lang w:val="en-US"/>
        </w:rPr>
        <w:t xml:space="preserve">Following the Addis Ababa Action Agenda, </w:t>
      </w:r>
      <w:r w:rsidR="00B26E06" w:rsidRPr="00CD364B">
        <w:rPr>
          <w:rFonts w:cstheme="minorHAnsi"/>
          <w:sz w:val="24"/>
          <w:szCs w:val="24"/>
          <w:lang w:val="en-US"/>
        </w:rPr>
        <w:t>green bonds</w:t>
      </w:r>
      <w:r w:rsidR="003D42EE" w:rsidRPr="00CD364B">
        <w:rPr>
          <w:rFonts w:cstheme="minorHAnsi"/>
          <w:sz w:val="24"/>
          <w:szCs w:val="24"/>
          <w:lang w:val="en-US"/>
        </w:rPr>
        <w:t xml:space="preserve"> started attracting </w:t>
      </w:r>
      <w:r w:rsidR="00F82695" w:rsidRPr="00CD364B">
        <w:rPr>
          <w:rFonts w:cstheme="minorHAnsi"/>
          <w:sz w:val="24"/>
          <w:szCs w:val="24"/>
          <w:lang w:val="en-US"/>
        </w:rPr>
        <w:t xml:space="preserve">attention </w:t>
      </w:r>
      <w:r w:rsidR="003D42EE" w:rsidRPr="00CD364B">
        <w:rPr>
          <w:rFonts w:cstheme="minorHAnsi"/>
          <w:sz w:val="24"/>
          <w:szCs w:val="24"/>
          <w:lang w:val="en-US"/>
        </w:rPr>
        <w:t xml:space="preserve">of the </w:t>
      </w:r>
      <w:r w:rsidR="00564FB5" w:rsidRPr="00CD364B">
        <w:rPr>
          <w:rFonts w:cstheme="minorHAnsi"/>
          <w:sz w:val="24"/>
          <w:szCs w:val="24"/>
          <w:lang w:val="en-US"/>
        </w:rPr>
        <w:t xml:space="preserve">individual and institutional </w:t>
      </w:r>
      <w:r w:rsidR="003D42EE" w:rsidRPr="00CD364B">
        <w:rPr>
          <w:rFonts w:cstheme="minorHAnsi"/>
          <w:sz w:val="24"/>
          <w:szCs w:val="24"/>
          <w:lang w:val="en-US"/>
        </w:rPr>
        <w:t>investors</w:t>
      </w:r>
      <w:r w:rsidR="00F82695" w:rsidRPr="00CD364B">
        <w:rPr>
          <w:rFonts w:cstheme="minorHAnsi"/>
          <w:sz w:val="24"/>
          <w:szCs w:val="24"/>
          <w:lang w:val="en-US"/>
        </w:rPr>
        <w:t>, and in 2016</w:t>
      </w:r>
      <w:r w:rsidR="00AE548A" w:rsidRPr="00CD364B">
        <w:rPr>
          <w:rFonts w:cstheme="minorHAnsi"/>
          <w:sz w:val="24"/>
          <w:szCs w:val="24"/>
          <w:lang w:val="en-US"/>
        </w:rPr>
        <w:t xml:space="preserve"> debtors from China, European Union, and the United States of America</w:t>
      </w:r>
      <w:r w:rsidR="00E12752" w:rsidRPr="00CD364B">
        <w:rPr>
          <w:rFonts w:cstheme="minorHAnsi"/>
          <w:sz w:val="24"/>
          <w:szCs w:val="24"/>
          <w:lang w:val="en-US"/>
        </w:rPr>
        <w:t xml:space="preserve"> started capturing the </w:t>
      </w:r>
      <w:r w:rsidR="00B26E06" w:rsidRPr="00CD364B">
        <w:rPr>
          <w:rFonts w:cstheme="minorHAnsi"/>
          <w:sz w:val="24"/>
          <w:szCs w:val="24"/>
          <w:lang w:val="en-US"/>
        </w:rPr>
        <w:t>green bonds</w:t>
      </w:r>
      <w:r w:rsidR="00E12752" w:rsidRPr="00CD364B">
        <w:rPr>
          <w:rFonts w:cstheme="minorHAnsi"/>
          <w:sz w:val="24"/>
          <w:szCs w:val="24"/>
          <w:lang w:val="en-US"/>
        </w:rPr>
        <w:t xml:space="preserve"> market.</w:t>
      </w:r>
      <w:r w:rsidR="00D47A6F" w:rsidRPr="00CD364B">
        <w:rPr>
          <w:rFonts w:cstheme="minorHAnsi"/>
          <w:sz w:val="24"/>
          <w:szCs w:val="24"/>
          <w:lang w:val="en-US"/>
        </w:rPr>
        <w:t xml:space="preserve"> </w:t>
      </w:r>
      <w:r w:rsidR="00DC1747" w:rsidRPr="00CD364B">
        <w:rPr>
          <w:rFonts w:cstheme="minorHAnsi"/>
          <w:sz w:val="24"/>
          <w:szCs w:val="24"/>
          <w:lang w:val="en-US"/>
        </w:rPr>
        <w:t xml:space="preserve">Once </w:t>
      </w:r>
      <w:r w:rsidR="00D47A6F" w:rsidRPr="00CD364B">
        <w:rPr>
          <w:rFonts w:cstheme="minorHAnsi"/>
          <w:sz w:val="24"/>
          <w:szCs w:val="24"/>
          <w:lang w:val="en-US"/>
        </w:rPr>
        <w:t>the report of United Nations Global Compact (2019)</w:t>
      </w:r>
      <w:r w:rsidR="00DC1747" w:rsidRPr="00CD364B">
        <w:rPr>
          <w:rFonts w:cstheme="minorHAnsi"/>
          <w:sz w:val="24"/>
          <w:szCs w:val="24"/>
          <w:lang w:val="en-US"/>
        </w:rPr>
        <w:t xml:space="preserve"> was published</w:t>
      </w:r>
      <w:r w:rsidR="00D47A6F" w:rsidRPr="00CD364B">
        <w:rPr>
          <w:rFonts w:cstheme="minorHAnsi"/>
          <w:sz w:val="24"/>
          <w:szCs w:val="24"/>
          <w:lang w:val="en-US"/>
        </w:rPr>
        <w:t xml:space="preserve">, </w:t>
      </w:r>
      <w:r w:rsidR="00B26E06" w:rsidRPr="00CD364B">
        <w:rPr>
          <w:rFonts w:cstheme="minorHAnsi"/>
          <w:sz w:val="24"/>
          <w:szCs w:val="24"/>
          <w:lang w:val="en-US"/>
        </w:rPr>
        <w:t>green bonds</w:t>
      </w:r>
      <w:r w:rsidR="00D47A6F" w:rsidRPr="00CD364B">
        <w:rPr>
          <w:rFonts w:cstheme="minorHAnsi"/>
          <w:sz w:val="24"/>
          <w:szCs w:val="24"/>
          <w:lang w:val="en-US"/>
        </w:rPr>
        <w:t xml:space="preserve"> </w:t>
      </w:r>
      <w:r w:rsidR="001C7918" w:rsidRPr="00CD364B">
        <w:rPr>
          <w:rFonts w:cstheme="minorHAnsi"/>
          <w:sz w:val="24"/>
          <w:szCs w:val="24"/>
          <w:lang w:val="en-US"/>
        </w:rPr>
        <w:t>started gaining prominence again among the global investor</w:t>
      </w:r>
      <w:r w:rsidR="00C56051" w:rsidRPr="00CD364B">
        <w:rPr>
          <w:rFonts w:cstheme="minorHAnsi"/>
          <w:sz w:val="24"/>
          <w:szCs w:val="24"/>
          <w:lang w:val="en-US"/>
        </w:rPr>
        <w:t>s, after experiencing a slump in 2018.</w:t>
      </w:r>
    </w:p>
    <w:p w14:paraId="31BF2032" w14:textId="56A63A26" w:rsidR="0064621D" w:rsidRPr="00CD364B" w:rsidRDefault="00B26E06" w:rsidP="0064621D">
      <w:pPr>
        <w:spacing w:after="0" w:line="360" w:lineRule="auto"/>
        <w:ind w:firstLine="851"/>
        <w:jc w:val="both"/>
        <w:rPr>
          <w:rFonts w:cstheme="minorHAnsi"/>
          <w:sz w:val="24"/>
          <w:szCs w:val="24"/>
          <w:lang w:val="en-US"/>
        </w:rPr>
      </w:pPr>
      <w:r w:rsidRPr="00CD364B">
        <w:rPr>
          <w:rFonts w:cstheme="minorHAnsi"/>
          <w:sz w:val="24"/>
          <w:szCs w:val="24"/>
          <w:lang w:val="en-US"/>
        </w:rPr>
        <w:t xml:space="preserve">From </w:t>
      </w:r>
      <w:r w:rsidR="003A06D6" w:rsidRPr="00CD364B">
        <w:rPr>
          <w:rFonts w:cstheme="minorHAnsi"/>
          <w:sz w:val="24"/>
          <w:szCs w:val="24"/>
          <w:lang w:val="en-US"/>
        </w:rPr>
        <w:t>the perspective of Limits to Growth (</w:t>
      </w:r>
      <w:r w:rsidR="0037541D" w:rsidRPr="00CD364B">
        <w:rPr>
          <w:rFonts w:cstheme="minorHAnsi"/>
          <w:sz w:val="24"/>
          <w:szCs w:val="24"/>
          <w:lang w:val="en-US"/>
        </w:rPr>
        <w:t>Meadows, 1974</w:t>
      </w:r>
      <w:r w:rsidR="003A06D6" w:rsidRPr="00CD364B">
        <w:rPr>
          <w:rFonts w:cstheme="minorHAnsi"/>
          <w:sz w:val="24"/>
          <w:szCs w:val="24"/>
          <w:lang w:val="en-US"/>
        </w:rPr>
        <w:t>)</w:t>
      </w:r>
      <w:r w:rsidR="004F4C56" w:rsidRPr="00CD364B">
        <w:rPr>
          <w:rFonts w:cstheme="minorHAnsi"/>
          <w:sz w:val="24"/>
          <w:szCs w:val="24"/>
          <w:lang w:val="en-US"/>
        </w:rPr>
        <w:t xml:space="preserve">, introduction of </w:t>
      </w:r>
      <w:r w:rsidRPr="00CD364B">
        <w:rPr>
          <w:rFonts w:cstheme="minorHAnsi"/>
          <w:sz w:val="24"/>
          <w:szCs w:val="24"/>
          <w:lang w:val="en-US"/>
        </w:rPr>
        <w:t>green bonds</w:t>
      </w:r>
      <w:r w:rsidR="004F4C56" w:rsidRPr="00CD364B">
        <w:rPr>
          <w:rFonts w:cstheme="minorHAnsi"/>
          <w:sz w:val="24"/>
          <w:szCs w:val="24"/>
          <w:lang w:val="en-US"/>
        </w:rPr>
        <w:t xml:space="preserve"> carries a significant </w:t>
      </w:r>
      <w:r w:rsidR="00E12A91" w:rsidRPr="00CD364B">
        <w:rPr>
          <w:rFonts w:cstheme="minorHAnsi"/>
          <w:sz w:val="24"/>
          <w:szCs w:val="24"/>
          <w:lang w:val="en-US"/>
        </w:rPr>
        <w:t xml:space="preserve">place in the </w:t>
      </w:r>
      <w:r w:rsidR="00D50E00" w:rsidRPr="00CD364B">
        <w:rPr>
          <w:rFonts w:cstheme="minorHAnsi"/>
          <w:sz w:val="24"/>
          <w:szCs w:val="24"/>
          <w:lang w:val="en-US"/>
        </w:rPr>
        <w:t xml:space="preserve">global </w:t>
      </w:r>
      <w:r w:rsidR="00E12A91" w:rsidRPr="00CD364B">
        <w:rPr>
          <w:rFonts w:cstheme="minorHAnsi"/>
          <w:sz w:val="24"/>
          <w:szCs w:val="24"/>
          <w:lang w:val="en-US"/>
        </w:rPr>
        <w:t xml:space="preserve">sustainability fora. </w:t>
      </w:r>
      <w:r w:rsidR="00D50E00" w:rsidRPr="00CD364B">
        <w:rPr>
          <w:rFonts w:cstheme="minorHAnsi"/>
          <w:sz w:val="24"/>
          <w:szCs w:val="24"/>
          <w:lang w:val="en-US"/>
        </w:rPr>
        <w:t>As</w:t>
      </w:r>
      <w:r w:rsidRPr="00CD364B">
        <w:rPr>
          <w:rFonts w:cstheme="minorHAnsi"/>
          <w:sz w:val="24"/>
          <w:szCs w:val="24"/>
          <w:lang w:val="en-US"/>
        </w:rPr>
        <w:t xml:space="preserve"> an</w:t>
      </w:r>
      <w:r w:rsidR="00D50E00" w:rsidRPr="00CD364B">
        <w:rPr>
          <w:rFonts w:cstheme="minorHAnsi"/>
          <w:sz w:val="24"/>
          <w:szCs w:val="24"/>
          <w:lang w:val="en-US"/>
        </w:rPr>
        <w:t xml:space="preserve"> unconstrained economic </w:t>
      </w:r>
      <w:r w:rsidR="00D30DAA" w:rsidRPr="00CD364B">
        <w:rPr>
          <w:rFonts w:cstheme="minorHAnsi"/>
          <w:sz w:val="24"/>
          <w:szCs w:val="24"/>
          <w:lang w:val="en-US"/>
        </w:rPr>
        <w:t xml:space="preserve">growth </w:t>
      </w:r>
      <w:r w:rsidRPr="00CD364B">
        <w:rPr>
          <w:rFonts w:cstheme="minorHAnsi"/>
          <w:sz w:val="24"/>
          <w:szCs w:val="24"/>
          <w:lang w:val="en-US"/>
        </w:rPr>
        <w:t xml:space="preserve">is </w:t>
      </w:r>
      <w:r w:rsidR="0047434A" w:rsidRPr="00CD364B">
        <w:rPr>
          <w:rFonts w:cstheme="minorHAnsi"/>
          <w:sz w:val="24"/>
          <w:szCs w:val="24"/>
          <w:lang w:val="en-US"/>
        </w:rPr>
        <w:t>catalyzed by natural resource consumption continues, then the</w:t>
      </w:r>
      <w:r w:rsidRPr="00CD364B">
        <w:rPr>
          <w:rFonts w:cstheme="minorHAnsi"/>
          <w:sz w:val="24"/>
          <w:szCs w:val="24"/>
          <w:lang w:val="en-US"/>
        </w:rPr>
        <w:t xml:space="preserve"> existing</w:t>
      </w:r>
      <w:r w:rsidR="0047434A" w:rsidRPr="00CD364B">
        <w:rPr>
          <w:rFonts w:cstheme="minorHAnsi"/>
          <w:sz w:val="24"/>
          <w:szCs w:val="24"/>
          <w:lang w:val="en-US"/>
        </w:rPr>
        <w:t xml:space="preserve"> pool of natural resources will not only </w:t>
      </w:r>
      <w:r w:rsidR="007067E2" w:rsidRPr="00CD364B">
        <w:rPr>
          <w:rFonts w:cstheme="minorHAnsi"/>
          <w:sz w:val="24"/>
          <w:szCs w:val="24"/>
          <w:lang w:val="en-US"/>
        </w:rPr>
        <w:t xml:space="preserve">start diminishing fast, but also rising demand of natural resources might create </w:t>
      </w:r>
      <w:r w:rsidR="00FE1DE7" w:rsidRPr="00CD364B">
        <w:rPr>
          <w:rFonts w:cstheme="minorHAnsi"/>
          <w:sz w:val="24"/>
          <w:szCs w:val="24"/>
          <w:lang w:val="en-US"/>
        </w:rPr>
        <w:t xml:space="preserve">a disbalance in the social strata. </w:t>
      </w:r>
      <w:r w:rsidR="004547C9" w:rsidRPr="00CD364B">
        <w:rPr>
          <w:rFonts w:cstheme="minorHAnsi"/>
          <w:sz w:val="24"/>
          <w:szCs w:val="24"/>
          <w:lang w:val="en-US"/>
        </w:rPr>
        <w:t xml:space="preserve">Therefore, in order to </w:t>
      </w:r>
      <w:r w:rsidR="005C6AB4" w:rsidRPr="00CD364B">
        <w:rPr>
          <w:rFonts w:cstheme="minorHAnsi"/>
          <w:sz w:val="24"/>
          <w:szCs w:val="24"/>
          <w:lang w:val="en-US"/>
        </w:rPr>
        <w:t xml:space="preserve">address both the environmental and social issues, </w:t>
      </w:r>
      <w:r w:rsidRPr="00CD364B">
        <w:rPr>
          <w:rFonts w:cstheme="minorHAnsi"/>
          <w:sz w:val="24"/>
          <w:szCs w:val="24"/>
          <w:lang w:val="en-US"/>
        </w:rPr>
        <w:t>green bonds</w:t>
      </w:r>
      <w:r w:rsidR="005C6AB4" w:rsidRPr="00CD364B">
        <w:rPr>
          <w:rFonts w:cstheme="minorHAnsi"/>
          <w:sz w:val="24"/>
          <w:szCs w:val="24"/>
          <w:lang w:val="en-US"/>
        </w:rPr>
        <w:t xml:space="preserve"> might be considered as a viable solution. </w:t>
      </w:r>
      <w:r w:rsidR="00DE4650" w:rsidRPr="00CD364B">
        <w:rPr>
          <w:rFonts w:cstheme="minorHAnsi"/>
          <w:sz w:val="24"/>
          <w:szCs w:val="24"/>
          <w:lang w:val="en-US"/>
        </w:rPr>
        <w:t xml:space="preserve">This solution might be traced back to the aspects of decarbonization, which is a major policy-level concern across the globe. </w:t>
      </w:r>
      <w:r w:rsidR="005C6AB4" w:rsidRPr="00CD364B">
        <w:rPr>
          <w:rFonts w:cstheme="minorHAnsi"/>
          <w:sz w:val="24"/>
          <w:szCs w:val="24"/>
          <w:lang w:val="en-US"/>
        </w:rPr>
        <w:t xml:space="preserve">However, </w:t>
      </w:r>
      <w:r w:rsidR="00070A56" w:rsidRPr="00CD364B">
        <w:rPr>
          <w:rFonts w:cstheme="minorHAnsi"/>
          <w:sz w:val="24"/>
          <w:szCs w:val="24"/>
          <w:lang w:val="en-US"/>
        </w:rPr>
        <w:t xml:space="preserve">the </w:t>
      </w:r>
      <w:r w:rsidR="007D2DCE" w:rsidRPr="00CD364B">
        <w:rPr>
          <w:rFonts w:cstheme="minorHAnsi"/>
          <w:sz w:val="24"/>
          <w:szCs w:val="24"/>
          <w:lang w:val="en-US"/>
        </w:rPr>
        <w:t xml:space="preserve">ecological and social </w:t>
      </w:r>
      <w:r w:rsidRPr="00CD364B">
        <w:rPr>
          <w:rFonts w:cstheme="minorHAnsi"/>
          <w:sz w:val="24"/>
          <w:szCs w:val="24"/>
          <w:lang w:val="en-US"/>
        </w:rPr>
        <w:t xml:space="preserve">implications </w:t>
      </w:r>
      <w:r w:rsidR="00070A56" w:rsidRPr="00CD364B">
        <w:rPr>
          <w:rFonts w:cstheme="minorHAnsi"/>
          <w:sz w:val="24"/>
          <w:szCs w:val="24"/>
          <w:lang w:val="en-US"/>
        </w:rPr>
        <w:t xml:space="preserve">of </w:t>
      </w:r>
      <w:r w:rsidRPr="00CD364B">
        <w:rPr>
          <w:rFonts w:cstheme="minorHAnsi"/>
          <w:sz w:val="24"/>
          <w:szCs w:val="24"/>
          <w:lang w:val="en-US"/>
        </w:rPr>
        <w:t>green bonds</w:t>
      </w:r>
      <w:r w:rsidR="00070A56" w:rsidRPr="00CD364B">
        <w:rPr>
          <w:rFonts w:cstheme="minorHAnsi"/>
          <w:sz w:val="24"/>
          <w:szCs w:val="24"/>
          <w:lang w:val="en-US"/>
        </w:rPr>
        <w:t xml:space="preserve"> </w:t>
      </w:r>
      <w:r w:rsidRPr="00CD364B">
        <w:rPr>
          <w:rFonts w:cstheme="minorHAnsi"/>
          <w:sz w:val="24"/>
          <w:szCs w:val="24"/>
          <w:lang w:val="en-US"/>
        </w:rPr>
        <w:t>have not been</w:t>
      </w:r>
      <w:r w:rsidR="00564FB5" w:rsidRPr="00CD364B">
        <w:rPr>
          <w:rFonts w:cstheme="minorHAnsi"/>
          <w:sz w:val="24"/>
          <w:szCs w:val="24"/>
          <w:lang w:val="en-US"/>
        </w:rPr>
        <w:t xml:space="preserve"> </w:t>
      </w:r>
      <w:r w:rsidRPr="00CD364B">
        <w:rPr>
          <w:rFonts w:cstheme="minorHAnsi"/>
          <w:sz w:val="24"/>
          <w:szCs w:val="24"/>
          <w:lang w:val="en-US"/>
        </w:rPr>
        <w:t>fully</w:t>
      </w:r>
      <w:r w:rsidR="0064621D" w:rsidRPr="00CD364B">
        <w:rPr>
          <w:rFonts w:cstheme="minorHAnsi"/>
          <w:sz w:val="24"/>
          <w:szCs w:val="24"/>
          <w:lang w:val="en-US"/>
        </w:rPr>
        <w:t xml:space="preserve"> </w:t>
      </w:r>
      <w:r w:rsidRPr="00CD364B">
        <w:rPr>
          <w:rFonts w:cstheme="minorHAnsi"/>
          <w:sz w:val="24"/>
          <w:szCs w:val="24"/>
          <w:lang w:val="en-US"/>
        </w:rPr>
        <w:t>understood</w:t>
      </w:r>
      <w:r w:rsidR="00564FB5" w:rsidRPr="00CD364B">
        <w:rPr>
          <w:rFonts w:cstheme="minorHAnsi"/>
          <w:sz w:val="24"/>
          <w:szCs w:val="24"/>
          <w:lang w:val="en-US"/>
        </w:rPr>
        <w:t xml:space="preserve"> yet</w:t>
      </w:r>
      <w:r w:rsidR="00967F6C" w:rsidRPr="00CD364B">
        <w:rPr>
          <w:rFonts w:cstheme="minorHAnsi"/>
          <w:sz w:val="24"/>
          <w:szCs w:val="24"/>
          <w:lang w:val="en-US"/>
        </w:rPr>
        <w:t>.</w:t>
      </w:r>
      <w:r w:rsidR="00B955FF" w:rsidRPr="00CD364B">
        <w:rPr>
          <w:rFonts w:cstheme="minorHAnsi"/>
          <w:sz w:val="24"/>
          <w:szCs w:val="24"/>
          <w:lang w:val="en-US"/>
        </w:rPr>
        <w:t xml:space="preserve"> </w:t>
      </w:r>
      <w:r w:rsidRPr="00CD364B">
        <w:rPr>
          <w:rFonts w:cstheme="minorHAnsi"/>
          <w:sz w:val="24"/>
          <w:szCs w:val="24"/>
          <w:lang w:val="en-US"/>
        </w:rPr>
        <w:t>Although green bonds are</w:t>
      </w:r>
      <w:r w:rsidR="00A67F43" w:rsidRPr="00CD364B">
        <w:rPr>
          <w:rFonts w:cstheme="minorHAnsi"/>
          <w:sz w:val="24"/>
          <w:szCs w:val="24"/>
          <w:lang w:val="en-US"/>
        </w:rPr>
        <w:t xml:space="preserve"> identified as a </w:t>
      </w:r>
      <w:r w:rsidR="00694D27" w:rsidRPr="00CD364B">
        <w:rPr>
          <w:rFonts w:cstheme="minorHAnsi"/>
          <w:sz w:val="24"/>
          <w:szCs w:val="24"/>
          <w:lang w:val="en-US"/>
        </w:rPr>
        <w:t xml:space="preserve">vehicle for ascertaining sustainable development, there is not enough evidence </w:t>
      </w:r>
      <w:r w:rsidR="00564FB5" w:rsidRPr="00CD364B">
        <w:rPr>
          <w:rFonts w:cstheme="minorHAnsi"/>
          <w:sz w:val="24"/>
          <w:szCs w:val="24"/>
          <w:lang w:val="en-US"/>
        </w:rPr>
        <w:t>demonstrating</w:t>
      </w:r>
      <w:r w:rsidR="00694D27" w:rsidRPr="00CD364B">
        <w:rPr>
          <w:rFonts w:cstheme="minorHAnsi"/>
          <w:sz w:val="24"/>
          <w:szCs w:val="24"/>
          <w:lang w:val="en-US"/>
        </w:rPr>
        <w:t xml:space="preserve"> how </w:t>
      </w:r>
      <w:r w:rsidR="00564FB5" w:rsidRPr="00CD364B">
        <w:rPr>
          <w:rFonts w:cstheme="minorHAnsi"/>
          <w:sz w:val="24"/>
          <w:szCs w:val="24"/>
          <w:lang w:val="en-US"/>
        </w:rPr>
        <w:t xml:space="preserve">exactly </w:t>
      </w:r>
      <w:r w:rsidR="00694D27" w:rsidRPr="00CD364B">
        <w:rPr>
          <w:rFonts w:cstheme="minorHAnsi"/>
          <w:sz w:val="24"/>
          <w:szCs w:val="24"/>
          <w:lang w:val="en-US"/>
        </w:rPr>
        <w:t xml:space="preserve">this financial product can fulfill </w:t>
      </w:r>
      <w:r w:rsidR="00B9628F" w:rsidRPr="00CD364B">
        <w:rPr>
          <w:rFonts w:cstheme="minorHAnsi"/>
          <w:sz w:val="24"/>
          <w:szCs w:val="24"/>
          <w:lang w:val="en-US"/>
        </w:rPr>
        <w:t xml:space="preserve">these </w:t>
      </w:r>
      <w:r w:rsidR="00C31952" w:rsidRPr="00CD364B">
        <w:rPr>
          <w:rFonts w:cstheme="minorHAnsi"/>
          <w:sz w:val="24"/>
          <w:szCs w:val="24"/>
          <w:lang w:val="en-US"/>
        </w:rPr>
        <w:t xml:space="preserve">two crucial </w:t>
      </w:r>
      <w:r w:rsidR="00B9628F" w:rsidRPr="00CD364B">
        <w:rPr>
          <w:rFonts w:cstheme="minorHAnsi"/>
          <w:sz w:val="24"/>
          <w:szCs w:val="24"/>
          <w:lang w:val="en-US"/>
        </w:rPr>
        <w:t>simultaneous roles</w:t>
      </w:r>
      <w:r w:rsidR="00694D27" w:rsidRPr="00CD364B">
        <w:rPr>
          <w:rFonts w:cstheme="minorHAnsi"/>
          <w:sz w:val="24"/>
          <w:szCs w:val="24"/>
          <w:lang w:val="en-US"/>
        </w:rPr>
        <w:t xml:space="preserve"> </w:t>
      </w:r>
      <w:r w:rsidR="001962F2" w:rsidRPr="00CD364B">
        <w:rPr>
          <w:rFonts w:cstheme="minorHAnsi"/>
          <w:sz w:val="24"/>
          <w:szCs w:val="24"/>
          <w:lang w:val="en-US"/>
        </w:rPr>
        <w:t>at a global scale.</w:t>
      </w:r>
      <w:r w:rsidR="00C31952" w:rsidRPr="00CD364B">
        <w:rPr>
          <w:rFonts w:cstheme="minorHAnsi"/>
          <w:sz w:val="24"/>
          <w:szCs w:val="24"/>
          <w:lang w:val="en-US"/>
        </w:rPr>
        <w:t xml:space="preserve"> </w:t>
      </w:r>
      <w:r w:rsidR="003A214B" w:rsidRPr="00CD364B">
        <w:rPr>
          <w:rFonts w:cstheme="minorHAnsi"/>
          <w:sz w:val="24"/>
          <w:szCs w:val="24"/>
          <w:lang w:val="en-US"/>
        </w:rPr>
        <w:t>Criticality of the solution might bring forth a policy trade-off in the decarbonization context, where the stabilization of the policy implications might be stemmed from the social background of the context.</w:t>
      </w:r>
      <w:r w:rsidR="00D378F8" w:rsidRPr="00CD364B">
        <w:rPr>
          <w:rFonts w:cstheme="minorHAnsi"/>
          <w:sz w:val="24"/>
          <w:szCs w:val="24"/>
          <w:lang w:val="en-US"/>
        </w:rPr>
        <w:t xml:space="preserve"> Bringing this trade-off aspect in the decarbonization scenario might prove to be crucial from the perspective of sustainable development.</w:t>
      </w:r>
      <w:r w:rsidR="003A214B" w:rsidRPr="00CD364B">
        <w:rPr>
          <w:rFonts w:cstheme="minorHAnsi"/>
          <w:sz w:val="24"/>
          <w:szCs w:val="24"/>
          <w:lang w:val="en-US"/>
        </w:rPr>
        <w:t xml:space="preserve"> </w:t>
      </w:r>
      <w:r w:rsidR="00C31952" w:rsidRPr="00CD364B">
        <w:rPr>
          <w:rFonts w:cstheme="minorHAnsi"/>
          <w:sz w:val="24"/>
          <w:szCs w:val="24"/>
          <w:lang w:val="en-US"/>
        </w:rPr>
        <w:t>There lies the focus of this study.</w:t>
      </w:r>
    </w:p>
    <w:p w14:paraId="58960DDB" w14:textId="04865D8A" w:rsidR="00525A66" w:rsidRPr="00CD364B" w:rsidRDefault="00443F66" w:rsidP="0064621D">
      <w:pPr>
        <w:spacing w:after="0" w:line="360" w:lineRule="auto"/>
        <w:ind w:firstLine="851"/>
        <w:jc w:val="both"/>
        <w:rPr>
          <w:rFonts w:cstheme="minorHAnsi"/>
          <w:sz w:val="24"/>
          <w:szCs w:val="24"/>
          <w:lang w:val="en-US"/>
        </w:rPr>
      </w:pPr>
      <w:r w:rsidRPr="00CD364B">
        <w:rPr>
          <w:rFonts w:cstheme="minorHAnsi"/>
          <w:sz w:val="24"/>
          <w:szCs w:val="24"/>
          <w:lang w:val="en-US"/>
        </w:rPr>
        <w:t xml:space="preserve">Following the ongoing sustainable development agenda </w:t>
      </w:r>
      <w:r w:rsidR="00177FA2" w:rsidRPr="00CD364B">
        <w:rPr>
          <w:rFonts w:cstheme="minorHAnsi"/>
          <w:sz w:val="24"/>
          <w:szCs w:val="24"/>
          <w:lang w:val="en-US"/>
        </w:rPr>
        <w:t xml:space="preserve">across the globe, this study aims to devise a sustainable development framework through analyzing </w:t>
      </w:r>
      <w:bookmarkStart w:id="5" w:name="_Hlk63777895"/>
      <w:r w:rsidR="00177FA2" w:rsidRPr="00CD364B">
        <w:rPr>
          <w:rFonts w:cstheme="minorHAnsi"/>
          <w:sz w:val="24"/>
          <w:szCs w:val="24"/>
          <w:lang w:val="en-US"/>
        </w:rPr>
        <w:t xml:space="preserve">the impact of the </w:t>
      </w:r>
      <w:r w:rsidR="00B26E06" w:rsidRPr="00CD364B">
        <w:rPr>
          <w:rFonts w:cstheme="minorHAnsi"/>
          <w:sz w:val="24"/>
          <w:szCs w:val="24"/>
          <w:lang w:val="en-US"/>
        </w:rPr>
        <w:t>green bonds</w:t>
      </w:r>
      <w:r w:rsidR="00177FA2" w:rsidRPr="00CD364B">
        <w:rPr>
          <w:rFonts w:cstheme="minorHAnsi"/>
          <w:sz w:val="24"/>
          <w:szCs w:val="24"/>
          <w:lang w:val="en-US"/>
        </w:rPr>
        <w:t xml:space="preserve"> returns on Environmental and Social Responsibility</w:t>
      </w:r>
      <w:r w:rsidR="006F2C8D" w:rsidRPr="00CD364B">
        <w:rPr>
          <w:rFonts w:cstheme="minorHAnsi"/>
          <w:sz w:val="24"/>
          <w:szCs w:val="24"/>
          <w:lang w:val="en-US"/>
        </w:rPr>
        <w:t xml:space="preserve"> at a global scale</w:t>
      </w:r>
      <w:r w:rsidR="00177FA2" w:rsidRPr="00CD364B">
        <w:rPr>
          <w:rFonts w:cstheme="minorHAnsi"/>
          <w:sz w:val="24"/>
          <w:szCs w:val="24"/>
          <w:lang w:val="en-US"/>
        </w:rPr>
        <w:t>.</w:t>
      </w:r>
      <w:r w:rsidR="00C15CAB" w:rsidRPr="00CD364B">
        <w:rPr>
          <w:rFonts w:cstheme="minorHAnsi"/>
          <w:sz w:val="24"/>
          <w:szCs w:val="24"/>
          <w:lang w:val="en-US"/>
        </w:rPr>
        <w:t xml:space="preserve"> </w:t>
      </w:r>
      <w:bookmarkEnd w:id="5"/>
      <w:r w:rsidR="004876CE" w:rsidRPr="00CD364B">
        <w:rPr>
          <w:rFonts w:cstheme="minorHAnsi"/>
          <w:sz w:val="24"/>
          <w:szCs w:val="24"/>
          <w:lang w:val="en-US"/>
        </w:rPr>
        <w:t xml:space="preserve">For </w:t>
      </w:r>
      <w:r w:rsidR="004876CE" w:rsidRPr="00CD364B">
        <w:rPr>
          <w:rFonts w:cstheme="minorHAnsi"/>
          <w:sz w:val="24"/>
          <w:szCs w:val="24"/>
          <w:lang w:val="en-US"/>
        </w:rPr>
        <w:lastRenderedPageBreak/>
        <w:t xml:space="preserve">promoting environmentally sustainable projects, it is necessary that the financing mechanism </w:t>
      </w:r>
      <w:r w:rsidR="002A65ED" w:rsidRPr="00CD364B">
        <w:rPr>
          <w:rFonts w:cstheme="minorHAnsi"/>
          <w:sz w:val="24"/>
          <w:szCs w:val="24"/>
          <w:lang w:val="en-US"/>
        </w:rPr>
        <w:t xml:space="preserve">should be </w:t>
      </w:r>
      <w:r w:rsidR="00525A66" w:rsidRPr="00CD364B">
        <w:rPr>
          <w:rFonts w:cstheme="minorHAnsi"/>
          <w:sz w:val="24"/>
          <w:szCs w:val="24"/>
          <w:lang w:val="en-US"/>
        </w:rPr>
        <w:t xml:space="preserve">transparent and well understood by the different groups of stakeholders. This can be achieved by sharing a project’s progress and </w:t>
      </w:r>
      <w:r w:rsidR="00D53FB2" w:rsidRPr="00CD364B">
        <w:rPr>
          <w:rFonts w:cstheme="minorHAnsi"/>
          <w:sz w:val="24"/>
          <w:szCs w:val="24"/>
          <w:lang w:val="en-US"/>
        </w:rPr>
        <w:t>outcome</w:t>
      </w:r>
      <w:r w:rsidR="00525A66" w:rsidRPr="00CD364B">
        <w:rPr>
          <w:rFonts w:cstheme="minorHAnsi"/>
          <w:sz w:val="24"/>
          <w:szCs w:val="24"/>
          <w:lang w:val="en-US"/>
        </w:rPr>
        <w:t>s</w:t>
      </w:r>
      <w:r w:rsidR="00D53FB2" w:rsidRPr="00CD364B">
        <w:rPr>
          <w:rFonts w:cstheme="minorHAnsi"/>
          <w:sz w:val="24"/>
          <w:szCs w:val="24"/>
          <w:lang w:val="en-US"/>
        </w:rPr>
        <w:t xml:space="preserve"> </w:t>
      </w:r>
      <w:r w:rsidR="00525A66" w:rsidRPr="00CD364B">
        <w:rPr>
          <w:rFonts w:cstheme="minorHAnsi"/>
          <w:sz w:val="24"/>
          <w:szCs w:val="24"/>
          <w:lang w:val="en-US"/>
        </w:rPr>
        <w:t>with the public via various online platforms and the media.</w:t>
      </w:r>
      <w:r w:rsidR="00D53FB2" w:rsidRPr="00CD364B">
        <w:rPr>
          <w:rFonts w:cstheme="minorHAnsi"/>
          <w:sz w:val="24"/>
          <w:szCs w:val="24"/>
          <w:lang w:val="en-US"/>
        </w:rPr>
        <w:t xml:space="preserve"> </w:t>
      </w:r>
      <w:r w:rsidR="00194C34" w:rsidRPr="00CD364B">
        <w:rPr>
          <w:rFonts w:cstheme="minorHAnsi"/>
          <w:sz w:val="24"/>
          <w:szCs w:val="24"/>
          <w:lang w:val="en-US"/>
        </w:rPr>
        <w:t xml:space="preserve">This </w:t>
      </w:r>
      <w:r w:rsidR="00525A66" w:rsidRPr="00CD364B">
        <w:rPr>
          <w:rFonts w:cstheme="minorHAnsi"/>
          <w:sz w:val="24"/>
          <w:szCs w:val="24"/>
          <w:lang w:val="en-US"/>
        </w:rPr>
        <w:t>might</w:t>
      </w:r>
      <w:r w:rsidR="00194C34" w:rsidRPr="00CD364B">
        <w:rPr>
          <w:rFonts w:cstheme="minorHAnsi"/>
          <w:sz w:val="24"/>
          <w:szCs w:val="24"/>
          <w:lang w:val="en-US"/>
        </w:rPr>
        <w:t xml:space="preserve"> help </w:t>
      </w:r>
      <w:r w:rsidR="00525A66" w:rsidRPr="00CD364B">
        <w:rPr>
          <w:rFonts w:cstheme="minorHAnsi"/>
          <w:sz w:val="24"/>
          <w:szCs w:val="24"/>
          <w:lang w:val="en-US"/>
        </w:rPr>
        <w:t xml:space="preserve">to generate a </w:t>
      </w:r>
      <w:r w:rsidR="00437925" w:rsidRPr="00CD364B">
        <w:rPr>
          <w:rFonts w:cstheme="minorHAnsi"/>
          <w:sz w:val="24"/>
          <w:szCs w:val="24"/>
          <w:lang w:val="en-US"/>
        </w:rPr>
        <w:t xml:space="preserve">positive environmental externality of the financing mechanism. </w:t>
      </w:r>
      <w:r w:rsidR="00AE080D" w:rsidRPr="00CD364B">
        <w:rPr>
          <w:rFonts w:cstheme="minorHAnsi"/>
          <w:sz w:val="24"/>
          <w:szCs w:val="24"/>
          <w:lang w:val="en-US"/>
        </w:rPr>
        <w:t xml:space="preserve">Moreover, the tax benefits received from this mechanism </w:t>
      </w:r>
      <w:r w:rsidR="00437979" w:rsidRPr="00CD364B">
        <w:rPr>
          <w:rFonts w:cstheme="minorHAnsi"/>
          <w:sz w:val="24"/>
          <w:szCs w:val="24"/>
          <w:lang w:val="en-US"/>
        </w:rPr>
        <w:t xml:space="preserve">might help in </w:t>
      </w:r>
      <w:r w:rsidR="00C85AA0" w:rsidRPr="00CD364B">
        <w:rPr>
          <w:rFonts w:cstheme="minorHAnsi"/>
          <w:sz w:val="24"/>
          <w:szCs w:val="24"/>
          <w:lang w:val="en-US"/>
        </w:rPr>
        <w:t xml:space="preserve">tacking the social issues associated with environmental degradation, </w:t>
      </w:r>
      <w:r w:rsidR="002E6549" w:rsidRPr="00CD364B">
        <w:rPr>
          <w:rFonts w:cstheme="minorHAnsi"/>
          <w:sz w:val="24"/>
          <w:szCs w:val="24"/>
          <w:lang w:val="en-US"/>
        </w:rPr>
        <w:t xml:space="preserve">while assisting in the growth in implementation of renewable energy solutions. </w:t>
      </w:r>
    </w:p>
    <w:p w14:paraId="6F510190" w14:textId="39DCF898" w:rsidR="00E63858" w:rsidRPr="00CD364B" w:rsidRDefault="004E6487" w:rsidP="00564FB5">
      <w:pPr>
        <w:spacing w:after="0" w:line="360" w:lineRule="auto"/>
        <w:ind w:firstLine="851"/>
        <w:jc w:val="both"/>
        <w:rPr>
          <w:rFonts w:cstheme="minorHAnsi"/>
          <w:sz w:val="24"/>
          <w:szCs w:val="24"/>
          <w:lang w:val="en-US"/>
        </w:rPr>
      </w:pPr>
      <w:r w:rsidRPr="00CD364B">
        <w:rPr>
          <w:rFonts w:cstheme="minorHAnsi"/>
          <w:sz w:val="24"/>
          <w:szCs w:val="24"/>
          <w:lang w:val="en-US"/>
        </w:rPr>
        <w:t xml:space="preserve">This study aims to assess this impact </w:t>
      </w:r>
      <w:r w:rsidR="00675875" w:rsidRPr="00CD364B">
        <w:rPr>
          <w:rFonts w:cstheme="minorHAnsi"/>
          <w:sz w:val="24"/>
          <w:szCs w:val="24"/>
          <w:lang w:val="en-US"/>
        </w:rPr>
        <w:t>at a global scale</w:t>
      </w:r>
      <w:r w:rsidRPr="00CD364B">
        <w:rPr>
          <w:rFonts w:cstheme="minorHAnsi"/>
          <w:sz w:val="24"/>
          <w:szCs w:val="24"/>
          <w:lang w:val="en-US"/>
        </w:rPr>
        <w:t xml:space="preserve">, by considering the </w:t>
      </w:r>
      <w:r w:rsidR="004A137B" w:rsidRPr="00CD364B">
        <w:rPr>
          <w:rFonts w:cstheme="minorHAnsi"/>
          <w:sz w:val="24"/>
          <w:szCs w:val="24"/>
          <w:lang w:val="en-US"/>
        </w:rPr>
        <w:t>S&amp;P 500 Environmental and Socially Responsible Index, as the indicator of socio-ecological performance of firms.</w:t>
      </w:r>
      <w:r w:rsidR="00525A66" w:rsidRPr="00CD364B">
        <w:rPr>
          <w:rFonts w:cstheme="minorHAnsi"/>
          <w:sz w:val="24"/>
          <w:szCs w:val="24"/>
          <w:lang w:val="en-US"/>
        </w:rPr>
        <w:t xml:space="preserve"> Considering the role of industrialization in shaping economic growth trajectory, we focus</w:t>
      </w:r>
      <w:r w:rsidR="00F2419B" w:rsidRPr="00CD364B">
        <w:rPr>
          <w:rFonts w:cstheme="minorHAnsi"/>
          <w:sz w:val="24"/>
          <w:szCs w:val="24"/>
          <w:lang w:val="en-US"/>
        </w:rPr>
        <w:t xml:space="preserve"> on the </w:t>
      </w:r>
      <w:r w:rsidR="00564FB5" w:rsidRPr="00CD364B">
        <w:rPr>
          <w:rFonts w:cstheme="minorHAnsi"/>
          <w:sz w:val="24"/>
          <w:szCs w:val="24"/>
          <w:lang w:val="en-US"/>
        </w:rPr>
        <w:t>impact of S&amp;P 500 Global Green Bond Index on S&amp;P 500 Environmental and Social Responsibility Index, and vice versa. Therefore,</w:t>
      </w:r>
      <w:r w:rsidR="00525A66" w:rsidRPr="00CD364B">
        <w:rPr>
          <w:rFonts w:cstheme="minorHAnsi"/>
          <w:sz w:val="24"/>
          <w:szCs w:val="24"/>
          <w:lang w:val="en-US"/>
        </w:rPr>
        <w:t xml:space="preserve"> our</w:t>
      </w:r>
      <w:r w:rsidR="00564FB5" w:rsidRPr="00CD364B">
        <w:rPr>
          <w:rFonts w:cstheme="minorHAnsi"/>
          <w:sz w:val="24"/>
          <w:szCs w:val="24"/>
          <w:lang w:val="en-US"/>
        </w:rPr>
        <w:t xml:space="preserve"> empirical</w:t>
      </w:r>
      <w:r w:rsidR="00525A66" w:rsidRPr="00CD364B">
        <w:rPr>
          <w:rFonts w:cstheme="minorHAnsi"/>
          <w:sz w:val="24"/>
          <w:szCs w:val="24"/>
          <w:lang w:val="en-US"/>
        </w:rPr>
        <w:t xml:space="preserve"> </w:t>
      </w:r>
      <w:r w:rsidR="00F2419B" w:rsidRPr="00CD364B">
        <w:rPr>
          <w:rFonts w:cstheme="minorHAnsi"/>
          <w:sz w:val="24"/>
          <w:szCs w:val="24"/>
          <w:lang w:val="en-US"/>
        </w:rPr>
        <w:t xml:space="preserve">findings </w:t>
      </w:r>
      <w:r w:rsidR="00564FB5" w:rsidRPr="00CD364B">
        <w:rPr>
          <w:rFonts w:cstheme="minorHAnsi"/>
          <w:sz w:val="24"/>
          <w:szCs w:val="24"/>
          <w:lang w:val="en-US"/>
        </w:rPr>
        <w:t>inform our</w:t>
      </w:r>
      <w:r w:rsidR="00F2419B" w:rsidRPr="00CD364B">
        <w:rPr>
          <w:rFonts w:cstheme="minorHAnsi"/>
          <w:sz w:val="24"/>
          <w:szCs w:val="24"/>
          <w:lang w:val="en-US"/>
        </w:rPr>
        <w:t xml:space="preserve"> approach for designing a comprehensive policy framework </w:t>
      </w:r>
      <w:r w:rsidR="00705BDF" w:rsidRPr="00CD364B">
        <w:rPr>
          <w:rFonts w:cstheme="minorHAnsi"/>
          <w:sz w:val="24"/>
          <w:szCs w:val="24"/>
          <w:lang w:val="en-US"/>
        </w:rPr>
        <w:t xml:space="preserve">to help the nations in attaining the objectives of certain SDGs. </w:t>
      </w:r>
      <w:r w:rsidR="00564FB5" w:rsidRPr="00CD364B">
        <w:rPr>
          <w:rFonts w:cstheme="minorHAnsi"/>
          <w:sz w:val="24"/>
          <w:szCs w:val="24"/>
          <w:lang w:val="en-US"/>
        </w:rPr>
        <w:t xml:space="preserve"> </w:t>
      </w:r>
      <w:r w:rsidR="00381968" w:rsidRPr="00CD364B">
        <w:rPr>
          <w:rFonts w:cstheme="minorHAnsi"/>
          <w:sz w:val="24"/>
          <w:szCs w:val="24"/>
          <w:lang w:val="en-US"/>
        </w:rPr>
        <w:t>Th</w:t>
      </w:r>
      <w:r w:rsidR="00525A66" w:rsidRPr="00CD364B">
        <w:rPr>
          <w:rFonts w:cstheme="minorHAnsi"/>
          <w:sz w:val="24"/>
          <w:szCs w:val="24"/>
          <w:lang w:val="en-US"/>
        </w:rPr>
        <w:t>e proposed</w:t>
      </w:r>
      <w:r w:rsidR="00381968" w:rsidRPr="00CD364B">
        <w:rPr>
          <w:rFonts w:cstheme="minorHAnsi"/>
          <w:sz w:val="24"/>
          <w:szCs w:val="24"/>
          <w:lang w:val="en-US"/>
        </w:rPr>
        <w:t xml:space="preserve"> policy framework </w:t>
      </w:r>
      <w:r w:rsidR="00525A66" w:rsidRPr="00CD364B">
        <w:rPr>
          <w:rFonts w:cstheme="minorHAnsi"/>
          <w:sz w:val="24"/>
          <w:szCs w:val="24"/>
          <w:lang w:val="en-US"/>
        </w:rPr>
        <w:t xml:space="preserve">mainly focused </w:t>
      </w:r>
      <w:r w:rsidR="00381968" w:rsidRPr="00CD364B">
        <w:rPr>
          <w:rFonts w:cstheme="minorHAnsi"/>
          <w:sz w:val="24"/>
          <w:szCs w:val="24"/>
          <w:lang w:val="en-US"/>
        </w:rPr>
        <w:t>on addressing the issues of climatic shift (SDG 13) and ascertaining sustained economic growth (SDG 8)</w:t>
      </w:r>
      <w:r w:rsidR="00525A66" w:rsidRPr="00CD364B">
        <w:rPr>
          <w:rFonts w:cstheme="minorHAnsi"/>
          <w:sz w:val="24"/>
          <w:szCs w:val="24"/>
          <w:lang w:val="en-US"/>
        </w:rPr>
        <w:t>.</w:t>
      </w:r>
      <w:r w:rsidR="00381968" w:rsidRPr="00CD364B">
        <w:rPr>
          <w:rFonts w:cstheme="minorHAnsi"/>
          <w:sz w:val="24"/>
          <w:szCs w:val="24"/>
          <w:lang w:val="en-US"/>
        </w:rPr>
        <w:t xml:space="preserve"> </w:t>
      </w:r>
      <w:r w:rsidR="00525A66" w:rsidRPr="00CD364B">
        <w:rPr>
          <w:rFonts w:cstheme="minorHAnsi"/>
          <w:sz w:val="24"/>
          <w:szCs w:val="24"/>
          <w:lang w:val="en-US"/>
        </w:rPr>
        <w:t>However</w:t>
      </w:r>
      <w:r w:rsidR="00564FB5" w:rsidRPr="00CD364B">
        <w:rPr>
          <w:rFonts w:cstheme="minorHAnsi"/>
          <w:sz w:val="24"/>
          <w:szCs w:val="24"/>
          <w:lang w:val="en-US"/>
        </w:rPr>
        <w:t>,</w:t>
      </w:r>
      <w:r w:rsidR="00525A66" w:rsidRPr="00CD364B">
        <w:rPr>
          <w:rFonts w:cstheme="minorHAnsi"/>
          <w:sz w:val="24"/>
          <w:szCs w:val="24"/>
          <w:lang w:val="en-US"/>
        </w:rPr>
        <w:t xml:space="preserve"> the proposed </w:t>
      </w:r>
      <w:r w:rsidR="00381968" w:rsidRPr="00CD364B">
        <w:rPr>
          <w:rFonts w:cstheme="minorHAnsi"/>
          <w:sz w:val="24"/>
          <w:szCs w:val="24"/>
          <w:lang w:val="en-US"/>
        </w:rPr>
        <w:t xml:space="preserve">policy framework </w:t>
      </w:r>
      <w:r w:rsidR="00525A66" w:rsidRPr="00CD364B">
        <w:rPr>
          <w:rFonts w:cstheme="minorHAnsi"/>
          <w:sz w:val="24"/>
          <w:szCs w:val="24"/>
          <w:lang w:val="en-US"/>
        </w:rPr>
        <w:t>also covers SDG 7</w:t>
      </w:r>
      <w:r w:rsidR="00FD7EE3" w:rsidRPr="00CD364B">
        <w:rPr>
          <w:rFonts w:cstheme="minorHAnsi"/>
          <w:sz w:val="24"/>
          <w:szCs w:val="24"/>
          <w:lang w:val="en-US"/>
        </w:rPr>
        <w:t xml:space="preserve"> </w:t>
      </w:r>
      <w:r w:rsidR="00525A66" w:rsidRPr="00CD364B">
        <w:rPr>
          <w:rFonts w:cstheme="minorHAnsi"/>
          <w:sz w:val="24"/>
          <w:szCs w:val="24"/>
          <w:lang w:val="en-US"/>
        </w:rPr>
        <w:t>(</w:t>
      </w:r>
      <w:r w:rsidR="00381968" w:rsidRPr="00CD364B">
        <w:rPr>
          <w:rFonts w:cstheme="minorHAnsi"/>
          <w:sz w:val="24"/>
          <w:szCs w:val="24"/>
          <w:lang w:val="en-US"/>
        </w:rPr>
        <w:t>making energy solutions clean and affordable</w:t>
      </w:r>
      <w:r w:rsidR="00525A66" w:rsidRPr="00CD364B">
        <w:rPr>
          <w:rFonts w:cstheme="minorHAnsi"/>
          <w:sz w:val="24"/>
          <w:szCs w:val="24"/>
          <w:lang w:val="en-US"/>
        </w:rPr>
        <w:t>), SDG 9 (</w:t>
      </w:r>
      <w:r w:rsidR="00001194" w:rsidRPr="00CD364B">
        <w:rPr>
          <w:rFonts w:cstheme="minorHAnsi"/>
          <w:sz w:val="24"/>
          <w:szCs w:val="24"/>
          <w:lang w:val="en-US"/>
        </w:rPr>
        <w:t xml:space="preserve">promoting innovation), and </w:t>
      </w:r>
      <w:r w:rsidR="00525A66" w:rsidRPr="00CD364B">
        <w:rPr>
          <w:rFonts w:cstheme="minorHAnsi"/>
          <w:sz w:val="24"/>
          <w:szCs w:val="24"/>
          <w:lang w:val="en-US"/>
        </w:rPr>
        <w:t>SDG 16 (</w:t>
      </w:r>
      <w:r w:rsidR="00001194" w:rsidRPr="00CD364B">
        <w:rPr>
          <w:rFonts w:cstheme="minorHAnsi"/>
          <w:sz w:val="24"/>
          <w:szCs w:val="24"/>
          <w:lang w:val="en-US"/>
        </w:rPr>
        <w:t>institutionalizing the solutions while maintaining social order</w:t>
      </w:r>
      <w:r w:rsidR="00525A66" w:rsidRPr="00CD364B">
        <w:rPr>
          <w:rFonts w:cstheme="minorHAnsi"/>
          <w:sz w:val="24"/>
          <w:szCs w:val="24"/>
          <w:lang w:val="en-US"/>
        </w:rPr>
        <w:t>).</w:t>
      </w:r>
      <w:r w:rsidR="00001194" w:rsidRPr="00CD364B">
        <w:rPr>
          <w:rFonts w:cstheme="minorHAnsi"/>
          <w:sz w:val="24"/>
          <w:szCs w:val="24"/>
          <w:lang w:val="en-US"/>
        </w:rPr>
        <w:t xml:space="preserve"> This comprehensive policy approach </w:t>
      </w:r>
      <w:r w:rsidR="004408F1" w:rsidRPr="00CD364B">
        <w:rPr>
          <w:rFonts w:cstheme="minorHAnsi"/>
          <w:sz w:val="24"/>
          <w:szCs w:val="24"/>
          <w:lang w:val="en-US"/>
        </w:rPr>
        <w:t xml:space="preserve">for attaining SDG objectives by means of </w:t>
      </w:r>
      <w:r w:rsidR="00DC4420" w:rsidRPr="00CD364B">
        <w:rPr>
          <w:rFonts w:cstheme="minorHAnsi"/>
          <w:sz w:val="24"/>
          <w:szCs w:val="24"/>
          <w:lang w:val="en-US"/>
        </w:rPr>
        <w:t>green bond</w:t>
      </w:r>
      <w:r w:rsidR="004408F1" w:rsidRPr="00CD364B">
        <w:rPr>
          <w:rFonts w:cstheme="minorHAnsi"/>
          <w:sz w:val="24"/>
          <w:szCs w:val="24"/>
          <w:lang w:val="en-US"/>
        </w:rPr>
        <w:t xml:space="preserve"> is the </w:t>
      </w:r>
      <w:r w:rsidR="00DC4420" w:rsidRPr="00CD364B">
        <w:rPr>
          <w:rFonts w:cstheme="minorHAnsi"/>
          <w:sz w:val="24"/>
          <w:szCs w:val="24"/>
          <w:lang w:val="en-US"/>
        </w:rPr>
        <w:t xml:space="preserve">main </w:t>
      </w:r>
      <w:r w:rsidR="00E63858" w:rsidRPr="00CD364B">
        <w:rPr>
          <w:rFonts w:cstheme="minorHAnsi"/>
          <w:sz w:val="24"/>
          <w:szCs w:val="24"/>
          <w:lang w:val="en-US"/>
        </w:rPr>
        <w:t xml:space="preserve">policy contribution of </w:t>
      </w:r>
      <w:r w:rsidR="00DC4420" w:rsidRPr="00CD364B">
        <w:rPr>
          <w:rFonts w:cstheme="minorHAnsi"/>
          <w:sz w:val="24"/>
          <w:szCs w:val="24"/>
          <w:lang w:val="en-US"/>
        </w:rPr>
        <w:t>our paper</w:t>
      </w:r>
      <w:r w:rsidR="00E63858" w:rsidRPr="00CD364B">
        <w:rPr>
          <w:rFonts w:cstheme="minorHAnsi"/>
          <w:sz w:val="24"/>
          <w:szCs w:val="24"/>
          <w:lang w:val="en-US"/>
        </w:rPr>
        <w:t>.</w:t>
      </w:r>
    </w:p>
    <w:p w14:paraId="65E868FD" w14:textId="1B2A012E" w:rsidR="006E0BEF" w:rsidRPr="00CD364B" w:rsidRDefault="005923DE" w:rsidP="0072091C">
      <w:pPr>
        <w:spacing w:after="0" w:line="360" w:lineRule="auto"/>
        <w:ind w:firstLine="851"/>
        <w:jc w:val="both"/>
        <w:rPr>
          <w:rFonts w:cstheme="minorHAnsi"/>
          <w:sz w:val="24"/>
          <w:szCs w:val="24"/>
          <w:lang w:val="en-US"/>
        </w:rPr>
      </w:pPr>
      <w:r w:rsidRPr="00CD364B">
        <w:rPr>
          <w:rFonts w:cstheme="minorHAnsi"/>
          <w:sz w:val="24"/>
          <w:szCs w:val="24"/>
          <w:lang w:val="en-US"/>
        </w:rPr>
        <w:t xml:space="preserve">Apart from important policy implications, this paper also contributes to the growing body of </w:t>
      </w:r>
      <w:r w:rsidR="0072091C" w:rsidRPr="00CD364B">
        <w:rPr>
          <w:rFonts w:cstheme="minorHAnsi"/>
          <w:sz w:val="24"/>
          <w:szCs w:val="24"/>
          <w:lang w:val="en-US"/>
        </w:rPr>
        <w:t>Green Finance literature</w:t>
      </w:r>
      <w:r w:rsidRPr="00CD364B">
        <w:rPr>
          <w:rFonts w:cstheme="minorHAnsi"/>
          <w:sz w:val="24"/>
          <w:szCs w:val="24"/>
          <w:lang w:val="en-US"/>
        </w:rPr>
        <w:t xml:space="preserve">, and specially </w:t>
      </w:r>
      <w:r w:rsidR="0072091C" w:rsidRPr="00CD364B">
        <w:rPr>
          <w:rFonts w:cstheme="minorHAnsi"/>
          <w:sz w:val="24"/>
          <w:szCs w:val="24"/>
          <w:lang w:val="en-US"/>
        </w:rPr>
        <w:t>to the</w:t>
      </w:r>
      <w:r w:rsidRPr="00CD364B">
        <w:rPr>
          <w:rFonts w:cstheme="minorHAnsi"/>
          <w:sz w:val="24"/>
          <w:szCs w:val="24"/>
          <w:lang w:val="en-US"/>
        </w:rPr>
        <w:t xml:space="preserve"> green bond financing</w:t>
      </w:r>
      <w:r w:rsidR="0072091C" w:rsidRPr="00CD364B">
        <w:rPr>
          <w:rFonts w:cstheme="minorHAnsi"/>
          <w:sz w:val="24"/>
          <w:szCs w:val="24"/>
          <w:lang w:val="en-US"/>
        </w:rPr>
        <w:t xml:space="preserve"> literature (e.g., Huynh et al., 2020)</w:t>
      </w:r>
      <w:r w:rsidRPr="00CD364B">
        <w:rPr>
          <w:rFonts w:cstheme="minorHAnsi"/>
          <w:sz w:val="24"/>
          <w:szCs w:val="24"/>
          <w:lang w:val="en-US"/>
        </w:rPr>
        <w:t xml:space="preserve">, providing a novel empirical evidence from the </w:t>
      </w:r>
      <w:r w:rsidRPr="00CD364B">
        <w:rPr>
          <w:lang w:val="en-US"/>
        </w:rPr>
        <w:t>a</w:t>
      </w:r>
      <w:r w:rsidRPr="00CD364B">
        <w:rPr>
          <w:rFonts w:cstheme="minorHAnsi"/>
          <w:sz w:val="24"/>
          <w:szCs w:val="24"/>
          <w:lang w:val="en-US"/>
        </w:rPr>
        <w:t xml:space="preserve">dvanced quantile modelling approach. The existing studies are often based on the using the median of the data and ignoring potentially meaningful information contained towards the tails of the data </w:t>
      </w:r>
      <w:r w:rsidR="0072091C" w:rsidRPr="00CD364B">
        <w:rPr>
          <w:rFonts w:cstheme="minorHAnsi"/>
          <w:sz w:val="24"/>
          <w:szCs w:val="24"/>
          <w:lang w:val="en-US"/>
        </w:rPr>
        <w:t>distribution</w:t>
      </w:r>
      <w:r w:rsidRPr="00CD364B">
        <w:rPr>
          <w:rFonts w:cstheme="minorHAnsi"/>
          <w:sz w:val="24"/>
          <w:szCs w:val="24"/>
          <w:lang w:val="en-US"/>
        </w:rPr>
        <w:t xml:space="preserve">. Thus, we select our methodological approach based on the need of analysis of socio-ecological impacts of green bond financing using the entire data </w:t>
      </w:r>
      <w:r w:rsidR="0072091C" w:rsidRPr="00CD364B">
        <w:rPr>
          <w:rFonts w:cstheme="minorHAnsi"/>
          <w:sz w:val="24"/>
          <w:szCs w:val="24"/>
          <w:lang w:val="en-US"/>
        </w:rPr>
        <w:t>spectrum and</w:t>
      </w:r>
      <w:r w:rsidRPr="00CD364B">
        <w:rPr>
          <w:rFonts w:cstheme="minorHAnsi"/>
          <w:sz w:val="24"/>
          <w:szCs w:val="24"/>
          <w:lang w:val="en-US"/>
        </w:rPr>
        <w:t xml:space="preserve"> employ an advance</w:t>
      </w:r>
      <w:r w:rsidR="005A582B" w:rsidRPr="00CD364B">
        <w:rPr>
          <w:rFonts w:cstheme="minorHAnsi"/>
          <w:sz w:val="24"/>
          <w:szCs w:val="24"/>
          <w:lang w:val="en-US"/>
        </w:rPr>
        <w:t>d</w:t>
      </w:r>
      <w:r w:rsidRPr="00CD364B">
        <w:rPr>
          <w:rFonts w:cstheme="minorHAnsi"/>
          <w:sz w:val="24"/>
          <w:szCs w:val="24"/>
          <w:lang w:val="en-US"/>
        </w:rPr>
        <w:t xml:space="preserve"> Quantile-on-Quantile (QQR) method devised by Sim and Zhou (2015). This method </w:t>
      </w:r>
      <w:r w:rsidR="0072091C" w:rsidRPr="00CD364B">
        <w:rPr>
          <w:rFonts w:cstheme="minorHAnsi"/>
          <w:sz w:val="24"/>
          <w:szCs w:val="24"/>
          <w:lang w:val="en-US"/>
        </w:rPr>
        <w:t>can capture</w:t>
      </w:r>
      <w:r w:rsidRPr="00CD364B">
        <w:rPr>
          <w:rFonts w:cstheme="minorHAnsi"/>
          <w:sz w:val="24"/>
          <w:szCs w:val="24"/>
          <w:lang w:val="en-US"/>
        </w:rPr>
        <w:t xml:space="preserve"> the impact of the explanatory variable on the target policy variable across the spectrum of the data, which is derived through quantile-decomposition. This methodological approach complements the policy-level contribution of the </w:t>
      </w:r>
      <w:r w:rsidR="0072091C" w:rsidRPr="00CD364B">
        <w:rPr>
          <w:rFonts w:cstheme="minorHAnsi"/>
          <w:sz w:val="24"/>
          <w:szCs w:val="24"/>
          <w:lang w:val="en-US"/>
        </w:rPr>
        <w:t>study and</w:t>
      </w:r>
      <w:r w:rsidRPr="00CD364B">
        <w:rPr>
          <w:rFonts w:cstheme="minorHAnsi"/>
          <w:sz w:val="24"/>
          <w:szCs w:val="24"/>
          <w:lang w:val="en-US"/>
        </w:rPr>
        <w:t xml:space="preserve"> </w:t>
      </w:r>
      <w:r w:rsidR="00192C8E" w:rsidRPr="00CD364B">
        <w:rPr>
          <w:rFonts w:cstheme="minorHAnsi"/>
          <w:sz w:val="24"/>
          <w:szCs w:val="24"/>
          <w:lang w:val="en-US"/>
        </w:rPr>
        <w:t>adds to the existing empirical evidence in Green Finance literature.</w:t>
      </w:r>
    </w:p>
    <w:p w14:paraId="182A85C8" w14:textId="3F5A4C6A" w:rsidR="00D95137" w:rsidRPr="00CD364B" w:rsidRDefault="00004F21" w:rsidP="00004F21">
      <w:pPr>
        <w:spacing w:after="0" w:line="360" w:lineRule="auto"/>
        <w:ind w:firstLine="851"/>
        <w:jc w:val="both"/>
        <w:rPr>
          <w:rFonts w:cstheme="minorHAnsi"/>
          <w:sz w:val="24"/>
          <w:szCs w:val="24"/>
          <w:lang w:val="en-US"/>
        </w:rPr>
      </w:pPr>
      <w:r w:rsidRPr="00CD364B">
        <w:rPr>
          <w:rFonts w:cstheme="minorHAnsi"/>
          <w:sz w:val="24"/>
          <w:szCs w:val="24"/>
          <w:lang w:val="en-US"/>
        </w:rPr>
        <w:lastRenderedPageBreak/>
        <w:t>The remainder of</w:t>
      </w:r>
      <w:r w:rsidR="00D95137" w:rsidRPr="00CD364B">
        <w:rPr>
          <w:rFonts w:cstheme="minorHAnsi"/>
          <w:sz w:val="24"/>
          <w:szCs w:val="24"/>
          <w:lang w:val="en-US"/>
        </w:rPr>
        <w:t xml:space="preserve"> the paper is </w:t>
      </w:r>
      <w:r w:rsidR="00FD7EE3" w:rsidRPr="00CD364B">
        <w:rPr>
          <w:rFonts w:cstheme="minorHAnsi"/>
          <w:sz w:val="24"/>
          <w:szCs w:val="24"/>
          <w:lang w:val="en-US"/>
        </w:rPr>
        <w:t>organised as follows.</w:t>
      </w:r>
      <w:r w:rsidR="00D95137" w:rsidRPr="00CD364B">
        <w:rPr>
          <w:rFonts w:cstheme="minorHAnsi"/>
          <w:sz w:val="24"/>
          <w:szCs w:val="24"/>
          <w:lang w:val="en-US"/>
        </w:rPr>
        <w:t xml:space="preserve"> Section </w:t>
      </w:r>
      <w:r w:rsidRPr="00CD364B">
        <w:rPr>
          <w:rFonts w:cstheme="minorHAnsi"/>
          <w:sz w:val="24"/>
          <w:szCs w:val="24"/>
          <w:lang w:val="en-US"/>
        </w:rPr>
        <w:t>2</w:t>
      </w:r>
      <w:r w:rsidR="00D95137" w:rsidRPr="00CD364B">
        <w:rPr>
          <w:rFonts w:cstheme="minorHAnsi"/>
          <w:sz w:val="24"/>
          <w:szCs w:val="24"/>
          <w:lang w:val="en-US"/>
        </w:rPr>
        <w:t xml:space="preserve"> </w:t>
      </w:r>
      <w:r w:rsidR="00F972AB" w:rsidRPr="00CD364B">
        <w:rPr>
          <w:rFonts w:cstheme="minorHAnsi"/>
          <w:sz w:val="24"/>
          <w:szCs w:val="24"/>
          <w:lang w:val="en-US"/>
        </w:rPr>
        <w:t>provides overview of</w:t>
      </w:r>
      <w:r w:rsidR="00D95137" w:rsidRPr="00CD364B">
        <w:rPr>
          <w:rFonts w:cstheme="minorHAnsi"/>
          <w:sz w:val="24"/>
          <w:szCs w:val="24"/>
          <w:lang w:val="en-US"/>
        </w:rPr>
        <w:t xml:space="preserve"> the relevant literature, Section </w:t>
      </w:r>
      <w:r w:rsidRPr="00CD364B">
        <w:rPr>
          <w:rFonts w:cstheme="minorHAnsi"/>
          <w:sz w:val="24"/>
          <w:szCs w:val="24"/>
          <w:lang w:val="en-US"/>
        </w:rPr>
        <w:t>3</w:t>
      </w:r>
      <w:r w:rsidR="00D95137" w:rsidRPr="00CD364B">
        <w:rPr>
          <w:rFonts w:cstheme="minorHAnsi"/>
          <w:sz w:val="24"/>
          <w:szCs w:val="24"/>
          <w:lang w:val="en-US"/>
        </w:rPr>
        <w:t xml:space="preserve"> </w:t>
      </w:r>
      <w:r w:rsidR="00F972AB" w:rsidRPr="00CD364B">
        <w:rPr>
          <w:rFonts w:cstheme="minorHAnsi"/>
          <w:sz w:val="24"/>
          <w:szCs w:val="24"/>
          <w:lang w:val="en-US"/>
        </w:rPr>
        <w:t>explains</w:t>
      </w:r>
      <w:r w:rsidR="00D95137" w:rsidRPr="00CD364B">
        <w:rPr>
          <w:rFonts w:cstheme="minorHAnsi"/>
          <w:sz w:val="24"/>
          <w:szCs w:val="24"/>
          <w:lang w:val="en-US"/>
        </w:rPr>
        <w:t xml:space="preserve"> the applied methodology, Section </w:t>
      </w:r>
      <w:r w:rsidRPr="00CD364B">
        <w:rPr>
          <w:rFonts w:cstheme="minorHAnsi"/>
          <w:sz w:val="24"/>
          <w:szCs w:val="24"/>
          <w:lang w:val="en-US"/>
        </w:rPr>
        <w:t>4</w:t>
      </w:r>
      <w:r w:rsidR="00D95137" w:rsidRPr="00CD364B">
        <w:rPr>
          <w:rFonts w:cstheme="minorHAnsi"/>
          <w:sz w:val="24"/>
          <w:szCs w:val="24"/>
          <w:lang w:val="en-US"/>
        </w:rPr>
        <w:t xml:space="preserve"> discusses the findings, and Section </w:t>
      </w:r>
      <w:r w:rsidRPr="00CD364B">
        <w:rPr>
          <w:rFonts w:cstheme="minorHAnsi"/>
          <w:sz w:val="24"/>
          <w:szCs w:val="24"/>
          <w:lang w:val="en-US"/>
        </w:rPr>
        <w:t>5</w:t>
      </w:r>
      <w:r w:rsidR="00D95137" w:rsidRPr="00CD364B">
        <w:rPr>
          <w:rFonts w:cstheme="minorHAnsi"/>
          <w:sz w:val="24"/>
          <w:szCs w:val="24"/>
          <w:lang w:val="en-US"/>
        </w:rPr>
        <w:t xml:space="preserve"> concludes the study with </w:t>
      </w:r>
      <w:r w:rsidR="00F972AB" w:rsidRPr="00CD364B">
        <w:rPr>
          <w:rFonts w:cstheme="minorHAnsi"/>
          <w:sz w:val="24"/>
          <w:szCs w:val="24"/>
          <w:lang w:val="en-US"/>
        </w:rPr>
        <w:t>relevant</w:t>
      </w:r>
      <w:r w:rsidR="00D95137" w:rsidRPr="00CD364B">
        <w:rPr>
          <w:rFonts w:cstheme="minorHAnsi"/>
          <w:sz w:val="24"/>
          <w:szCs w:val="24"/>
          <w:lang w:val="en-US"/>
        </w:rPr>
        <w:t xml:space="preserve"> policy implications.</w:t>
      </w:r>
    </w:p>
    <w:p w14:paraId="3844139B" w14:textId="53D51FC4" w:rsidR="00D95137" w:rsidRPr="00CD364B" w:rsidRDefault="00D95137" w:rsidP="00004F21">
      <w:pPr>
        <w:spacing w:after="0" w:line="360" w:lineRule="auto"/>
        <w:ind w:firstLine="851"/>
        <w:jc w:val="both"/>
        <w:rPr>
          <w:rFonts w:cstheme="minorHAnsi"/>
          <w:sz w:val="24"/>
          <w:szCs w:val="24"/>
          <w:lang w:val="en-US"/>
        </w:rPr>
      </w:pPr>
    </w:p>
    <w:p w14:paraId="32308D0D" w14:textId="77777777" w:rsidR="0072091C" w:rsidRPr="00CD364B" w:rsidRDefault="0072091C" w:rsidP="00004F21">
      <w:pPr>
        <w:spacing w:after="0" w:line="360" w:lineRule="auto"/>
        <w:ind w:firstLine="851"/>
        <w:jc w:val="both"/>
        <w:rPr>
          <w:rFonts w:cstheme="minorHAnsi"/>
          <w:sz w:val="24"/>
          <w:szCs w:val="24"/>
          <w:lang w:val="en-US"/>
        </w:rPr>
      </w:pPr>
    </w:p>
    <w:p w14:paraId="2CFCCE10" w14:textId="05BF97E9" w:rsidR="00D95137" w:rsidRPr="00CD364B" w:rsidRDefault="0072091C" w:rsidP="00004F21">
      <w:pPr>
        <w:pStyle w:val="ListParagraph"/>
        <w:numPr>
          <w:ilvl w:val="0"/>
          <w:numId w:val="1"/>
        </w:numPr>
        <w:spacing w:after="0" w:line="360" w:lineRule="auto"/>
        <w:jc w:val="both"/>
        <w:rPr>
          <w:rFonts w:cstheme="minorHAnsi"/>
          <w:b/>
          <w:bCs/>
          <w:sz w:val="24"/>
          <w:szCs w:val="24"/>
          <w:lang w:val="en-US"/>
        </w:rPr>
      </w:pPr>
      <w:r w:rsidRPr="00CD364B">
        <w:rPr>
          <w:rFonts w:cstheme="minorHAnsi"/>
          <w:b/>
          <w:bCs/>
          <w:sz w:val="24"/>
          <w:szCs w:val="24"/>
          <w:lang w:val="en-US"/>
        </w:rPr>
        <w:t>Literature Review</w:t>
      </w:r>
    </w:p>
    <w:p w14:paraId="797A1161" w14:textId="77777777" w:rsidR="00D95137" w:rsidRPr="00CD364B" w:rsidRDefault="00D95137" w:rsidP="00004F21">
      <w:pPr>
        <w:spacing w:after="0" w:line="360" w:lineRule="auto"/>
        <w:jc w:val="both"/>
        <w:rPr>
          <w:rFonts w:cstheme="minorHAnsi"/>
          <w:sz w:val="24"/>
          <w:szCs w:val="24"/>
          <w:lang w:val="en-US"/>
        </w:rPr>
      </w:pPr>
    </w:p>
    <w:p w14:paraId="33943FB9" w14:textId="4826B573" w:rsidR="0087712C" w:rsidRPr="00CD364B" w:rsidRDefault="00DA4EAC" w:rsidP="00192C8E">
      <w:pPr>
        <w:spacing w:after="0" w:line="360" w:lineRule="auto"/>
        <w:ind w:firstLine="720"/>
        <w:jc w:val="both"/>
        <w:rPr>
          <w:rFonts w:cstheme="minorHAnsi"/>
          <w:sz w:val="24"/>
          <w:szCs w:val="24"/>
          <w:lang w:val="en-US"/>
        </w:rPr>
      </w:pPr>
      <w:r w:rsidRPr="00CD364B">
        <w:rPr>
          <w:rFonts w:cstheme="minorHAnsi"/>
          <w:sz w:val="24"/>
          <w:szCs w:val="24"/>
          <w:lang w:val="en-US"/>
        </w:rPr>
        <w:t>One of t</w:t>
      </w:r>
      <w:r w:rsidR="00DD6E92" w:rsidRPr="00CD364B">
        <w:rPr>
          <w:rFonts w:cstheme="minorHAnsi"/>
          <w:sz w:val="24"/>
          <w:szCs w:val="24"/>
          <w:lang w:val="en-US"/>
        </w:rPr>
        <w:t>he earliest stud</w:t>
      </w:r>
      <w:r w:rsidRPr="00CD364B">
        <w:rPr>
          <w:rFonts w:cstheme="minorHAnsi"/>
          <w:sz w:val="24"/>
          <w:szCs w:val="24"/>
          <w:lang w:val="en-US"/>
        </w:rPr>
        <w:t>ies</w:t>
      </w:r>
      <w:r w:rsidR="00DD6E92" w:rsidRPr="00CD364B">
        <w:rPr>
          <w:rFonts w:cstheme="minorHAnsi"/>
          <w:sz w:val="24"/>
          <w:szCs w:val="24"/>
          <w:lang w:val="en-US"/>
        </w:rPr>
        <w:t xml:space="preserve"> on the </w:t>
      </w:r>
      <w:r w:rsidRPr="00CD364B">
        <w:rPr>
          <w:rFonts w:cstheme="minorHAnsi"/>
          <w:sz w:val="24"/>
          <w:szCs w:val="24"/>
          <w:lang w:val="en-US"/>
        </w:rPr>
        <w:t xml:space="preserve">socio-ecological </w:t>
      </w:r>
      <w:r w:rsidR="00DD6E92" w:rsidRPr="00CD364B">
        <w:rPr>
          <w:rFonts w:cstheme="minorHAnsi"/>
          <w:sz w:val="24"/>
          <w:szCs w:val="24"/>
          <w:lang w:val="en-US"/>
        </w:rPr>
        <w:t xml:space="preserve">impact assessment of </w:t>
      </w:r>
      <w:r w:rsidR="00192C8E" w:rsidRPr="00CD364B">
        <w:rPr>
          <w:rFonts w:cstheme="minorHAnsi"/>
          <w:sz w:val="24"/>
          <w:szCs w:val="24"/>
          <w:lang w:val="en-US"/>
        </w:rPr>
        <w:t>green bonds</w:t>
      </w:r>
      <w:r w:rsidR="00DD6E92" w:rsidRPr="00CD364B">
        <w:rPr>
          <w:rFonts w:cstheme="minorHAnsi"/>
          <w:sz w:val="24"/>
          <w:szCs w:val="24"/>
          <w:lang w:val="en-US"/>
        </w:rPr>
        <w:t xml:space="preserve"> was carried out by </w:t>
      </w:r>
      <w:r w:rsidR="002E2864" w:rsidRPr="00CD364B">
        <w:rPr>
          <w:rFonts w:cstheme="minorHAnsi"/>
          <w:sz w:val="24"/>
          <w:szCs w:val="24"/>
          <w:lang w:val="en-US"/>
        </w:rPr>
        <w:t>Zerbib (2019)</w:t>
      </w:r>
      <w:r w:rsidR="00B54298" w:rsidRPr="00CD364B">
        <w:rPr>
          <w:rFonts w:cstheme="minorHAnsi"/>
          <w:sz w:val="24"/>
          <w:szCs w:val="24"/>
          <w:lang w:val="en-US"/>
        </w:rPr>
        <w:t xml:space="preserve">, where the author </w:t>
      </w:r>
      <w:r w:rsidR="00192C8E" w:rsidRPr="00CD364B">
        <w:rPr>
          <w:rFonts w:cstheme="minorHAnsi"/>
          <w:sz w:val="24"/>
          <w:szCs w:val="24"/>
          <w:lang w:val="en-US"/>
        </w:rPr>
        <w:t>considered</w:t>
      </w:r>
      <w:r w:rsidR="002E2864" w:rsidRPr="00CD364B">
        <w:rPr>
          <w:rFonts w:cstheme="minorHAnsi"/>
          <w:sz w:val="24"/>
          <w:szCs w:val="24"/>
          <w:lang w:val="en-US"/>
        </w:rPr>
        <w:t xml:space="preserve"> the </w:t>
      </w:r>
      <w:r w:rsidR="00EB796A" w:rsidRPr="00CD364B">
        <w:rPr>
          <w:rFonts w:cstheme="minorHAnsi"/>
          <w:sz w:val="24"/>
          <w:szCs w:val="24"/>
          <w:lang w:val="en-US"/>
        </w:rPr>
        <w:t>demand side of the</w:t>
      </w:r>
      <w:r w:rsidR="00192C8E" w:rsidRPr="00CD364B">
        <w:rPr>
          <w:rFonts w:cstheme="minorHAnsi"/>
          <w:sz w:val="24"/>
          <w:szCs w:val="24"/>
          <w:lang w:val="en-US"/>
        </w:rPr>
        <w:t xml:space="preserve"> green </w:t>
      </w:r>
      <w:r w:rsidR="0072091C" w:rsidRPr="00CD364B">
        <w:rPr>
          <w:rFonts w:cstheme="minorHAnsi"/>
          <w:sz w:val="24"/>
          <w:szCs w:val="24"/>
          <w:lang w:val="en-US"/>
        </w:rPr>
        <w:t xml:space="preserve">bond </w:t>
      </w:r>
      <w:r w:rsidR="00192C8E" w:rsidRPr="00CD364B">
        <w:rPr>
          <w:rFonts w:cstheme="minorHAnsi"/>
          <w:sz w:val="24"/>
          <w:szCs w:val="24"/>
          <w:lang w:val="en-US"/>
        </w:rPr>
        <w:t>markets</w:t>
      </w:r>
      <w:r w:rsidR="00EB796A" w:rsidRPr="00CD364B">
        <w:rPr>
          <w:rFonts w:cstheme="minorHAnsi"/>
          <w:sz w:val="24"/>
          <w:szCs w:val="24"/>
          <w:lang w:val="en-US"/>
        </w:rPr>
        <w:t xml:space="preserve"> though the</w:t>
      </w:r>
      <w:r w:rsidR="00192C8E" w:rsidRPr="00CD364B">
        <w:rPr>
          <w:rFonts w:cstheme="minorHAnsi"/>
          <w:sz w:val="24"/>
          <w:szCs w:val="24"/>
          <w:lang w:val="en-US"/>
        </w:rPr>
        <w:t xml:space="preserve"> analysis of the</w:t>
      </w:r>
      <w:r w:rsidR="00EB796A" w:rsidRPr="00CD364B">
        <w:rPr>
          <w:rFonts w:cstheme="minorHAnsi"/>
          <w:sz w:val="24"/>
          <w:szCs w:val="24"/>
          <w:lang w:val="en-US"/>
        </w:rPr>
        <w:t xml:space="preserve"> impact of environmental preferences on the premium </w:t>
      </w:r>
      <w:r w:rsidR="0072091C" w:rsidRPr="00CD364B">
        <w:rPr>
          <w:rFonts w:cstheme="minorHAnsi"/>
          <w:sz w:val="24"/>
          <w:szCs w:val="24"/>
          <w:lang w:val="en-US"/>
        </w:rPr>
        <w:t>of</w:t>
      </w:r>
      <w:r w:rsidR="00EB796A" w:rsidRPr="00CD364B">
        <w:rPr>
          <w:rFonts w:cstheme="minorHAnsi"/>
          <w:sz w:val="24"/>
          <w:szCs w:val="24"/>
          <w:lang w:val="en-US"/>
        </w:rPr>
        <w:t xml:space="preserve"> </w:t>
      </w:r>
      <w:r w:rsidR="00192C8E" w:rsidRPr="00CD364B">
        <w:rPr>
          <w:rFonts w:cstheme="minorHAnsi"/>
          <w:sz w:val="24"/>
          <w:szCs w:val="24"/>
          <w:lang w:val="en-US"/>
        </w:rPr>
        <w:t>green bonds</w:t>
      </w:r>
      <w:r w:rsidR="00EB796A" w:rsidRPr="00CD364B">
        <w:rPr>
          <w:rFonts w:cstheme="minorHAnsi"/>
          <w:sz w:val="24"/>
          <w:szCs w:val="24"/>
          <w:lang w:val="en-US"/>
        </w:rPr>
        <w:t>.</w:t>
      </w:r>
      <w:r w:rsidR="0072091C" w:rsidRPr="00CD364B">
        <w:rPr>
          <w:rFonts w:cstheme="minorHAnsi"/>
          <w:sz w:val="24"/>
          <w:szCs w:val="24"/>
          <w:lang w:val="en-US"/>
        </w:rPr>
        <w:t xml:space="preserve"> </w:t>
      </w:r>
      <w:r w:rsidR="00192C8E" w:rsidRPr="00CD364B">
        <w:rPr>
          <w:rFonts w:cstheme="minorHAnsi"/>
          <w:sz w:val="24"/>
          <w:szCs w:val="24"/>
          <w:lang w:val="en-US"/>
        </w:rPr>
        <w:t>The author</w:t>
      </w:r>
      <w:r w:rsidR="00EB796A" w:rsidRPr="00CD364B">
        <w:rPr>
          <w:rFonts w:cstheme="minorHAnsi"/>
          <w:sz w:val="24"/>
          <w:szCs w:val="24"/>
          <w:lang w:val="en-US"/>
        </w:rPr>
        <w:t xml:space="preserve"> </w:t>
      </w:r>
      <w:r w:rsidR="00AE7617" w:rsidRPr="00CD364B">
        <w:rPr>
          <w:rFonts w:cstheme="minorHAnsi"/>
          <w:sz w:val="24"/>
          <w:szCs w:val="24"/>
          <w:lang w:val="en-US"/>
        </w:rPr>
        <w:t xml:space="preserve">placed emphasis on </w:t>
      </w:r>
      <w:r w:rsidR="00EB796A" w:rsidRPr="00CD364B">
        <w:rPr>
          <w:rFonts w:cstheme="minorHAnsi"/>
          <w:sz w:val="24"/>
          <w:szCs w:val="24"/>
          <w:lang w:val="en-US"/>
        </w:rPr>
        <w:t>the rising demand of superior environmental quality</w:t>
      </w:r>
      <w:r w:rsidR="0072091C" w:rsidRPr="00CD364B">
        <w:rPr>
          <w:rFonts w:cstheme="minorHAnsi"/>
          <w:sz w:val="24"/>
          <w:szCs w:val="24"/>
          <w:lang w:val="en-US"/>
        </w:rPr>
        <w:t xml:space="preserve"> </w:t>
      </w:r>
      <w:r w:rsidR="00EB796A" w:rsidRPr="00CD364B">
        <w:rPr>
          <w:rFonts w:cstheme="minorHAnsi"/>
          <w:sz w:val="24"/>
          <w:szCs w:val="24"/>
          <w:lang w:val="en-US"/>
        </w:rPr>
        <w:t>a</w:t>
      </w:r>
      <w:r w:rsidR="00AE7617" w:rsidRPr="00CD364B">
        <w:rPr>
          <w:rFonts w:cstheme="minorHAnsi"/>
          <w:sz w:val="24"/>
          <w:szCs w:val="24"/>
          <w:lang w:val="en-US"/>
        </w:rPr>
        <w:t>s</w:t>
      </w:r>
      <w:r w:rsidR="0072091C" w:rsidRPr="00CD364B">
        <w:rPr>
          <w:rFonts w:cstheme="minorHAnsi"/>
          <w:sz w:val="24"/>
          <w:szCs w:val="24"/>
          <w:lang w:val="en-US"/>
        </w:rPr>
        <w:t xml:space="preserve"> </w:t>
      </w:r>
      <w:r w:rsidR="00AE7617" w:rsidRPr="00CD364B">
        <w:rPr>
          <w:rFonts w:cstheme="minorHAnsi"/>
          <w:sz w:val="24"/>
          <w:szCs w:val="24"/>
          <w:lang w:val="en-US"/>
        </w:rPr>
        <w:t>a main</w:t>
      </w:r>
      <w:r w:rsidR="00EB796A" w:rsidRPr="00CD364B">
        <w:rPr>
          <w:rFonts w:cstheme="minorHAnsi"/>
          <w:sz w:val="24"/>
          <w:szCs w:val="24"/>
          <w:lang w:val="en-US"/>
        </w:rPr>
        <w:t xml:space="preserve"> driving factor </w:t>
      </w:r>
      <w:r w:rsidR="00E41889" w:rsidRPr="00CD364B">
        <w:rPr>
          <w:rFonts w:cstheme="minorHAnsi"/>
          <w:sz w:val="24"/>
          <w:szCs w:val="24"/>
          <w:lang w:val="en-US"/>
        </w:rPr>
        <w:t xml:space="preserve">of the </w:t>
      </w:r>
      <w:r w:rsidR="00AE7617" w:rsidRPr="00CD364B">
        <w:rPr>
          <w:rFonts w:cstheme="minorHAnsi"/>
          <w:sz w:val="24"/>
          <w:szCs w:val="24"/>
          <w:lang w:val="en-US"/>
        </w:rPr>
        <w:t>green bonds’ demand</w:t>
      </w:r>
      <w:r w:rsidR="00E41889" w:rsidRPr="00CD364B">
        <w:rPr>
          <w:rFonts w:cstheme="minorHAnsi"/>
          <w:sz w:val="24"/>
          <w:szCs w:val="24"/>
          <w:lang w:val="en-US"/>
        </w:rPr>
        <w:t xml:space="preserve">. </w:t>
      </w:r>
      <w:r w:rsidR="00AE7617" w:rsidRPr="00CD364B">
        <w:rPr>
          <w:rFonts w:cstheme="minorHAnsi"/>
          <w:sz w:val="24"/>
          <w:szCs w:val="24"/>
          <w:lang w:val="en-US"/>
        </w:rPr>
        <w:t>These f</w:t>
      </w:r>
      <w:r w:rsidR="00DB0855" w:rsidRPr="00CD364B">
        <w:rPr>
          <w:rFonts w:cstheme="minorHAnsi"/>
          <w:sz w:val="24"/>
          <w:szCs w:val="24"/>
          <w:lang w:val="en-US"/>
        </w:rPr>
        <w:t xml:space="preserve">indings </w:t>
      </w:r>
      <w:r w:rsidR="00AE7617" w:rsidRPr="00CD364B">
        <w:rPr>
          <w:rFonts w:cstheme="minorHAnsi"/>
          <w:sz w:val="24"/>
          <w:szCs w:val="24"/>
          <w:lang w:val="en-US"/>
        </w:rPr>
        <w:t>are relevant to the results obtained by</w:t>
      </w:r>
      <w:r w:rsidR="00DB0855" w:rsidRPr="00CD364B">
        <w:rPr>
          <w:rFonts w:cstheme="minorHAnsi"/>
          <w:sz w:val="24"/>
          <w:szCs w:val="24"/>
          <w:lang w:val="en-US"/>
        </w:rPr>
        <w:t xml:space="preserve"> Agliardi and Agliardi (2019), who analyzed the supply side aspect </w:t>
      </w:r>
      <w:r w:rsidR="00AE7617" w:rsidRPr="00CD364B">
        <w:rPr>
          <w:rFonts w:cstheme="minorHAnsi"/>
          <w:sz w:val="24"/>
          <w:szCs w:val="24"/>
          <w:lang w:val="en-US"/>
        </w:rPr>
        <w:t>instead</w:t>
      </w:r>
      <w:r w:rsidR="00DB0855" w:rsidRPr="00CD364B">
        <w:rPr>
          <w:rFonts w:cstheme="minorHAnsi"/>
          <w:sz w:val="24"/>
          <w:szCs w:val="24"/>
          <w:lang w:val="en-US"/>
        </w:rPr>
        <w:t xml:space="preserve">. </w:t>
      </w:r>
      <w:r w:rsidR="00BD23EE" w:rsidRPr="00CD364B">
        <w:rPr>
          <w:rFonts w:cstheme="minorHAnsi"/>
          <w:sz w:val="24"/>
          <w:szCs w:val="24"/>
          <w:lang w:val="en-US"/>
        </w:rPr>
        <w:t>The authors</w:t>
      </w:r>
      <w:r w:rsidR="00AE7617" w:rsidRPr="00CD364B">
        <w:rPr>
          <w:rFonts w:cstheme="minorHAnsi"/>
          <w:sz w:val="24"/>
          <w:szCs w:val="24"/>
          <w:lang w:val="en-US"/>
        </w:rPr>
        <w:t xml:space="preserve"> found</w:t>
      </w:r>
      <w:r w:rsidR="00BD23EE" w:rsidRPr="00CD364B">
        <w:rPr>
          <w:rFonts w:cstheme="minorHAnsi"/>
          <w:sz w:val="24"/>
          <w:szCs w:val="24"/>
          <w:lang w:val="en-US"/>
        </w:rPr>
        <w:t xml:space="preserve"> </w:t>
      </w:r>
      <w:r w:rsidR="00AE7617" w:rsidRPr="00CD364B">
        <w:rPr>
          <w:rFonts w:cstheme="minorHAnsi"/>
          <w:sz w:val="24"/>
          <w:szCs w:val="24"/>
          <w:lang w:val="en-US"/>
        </w:rPr>
        <w:t xml:space="preserve">that </w:t>
      </w:r>
      <w:r w:rsidR="00BD23EE" w:rsidRPr="00CD364B">
        <w:rPr>
          <w:rFonts w:cstheme="minorHAnsi"/>
          <w:sz w:val="24"/>
          <w:szCs w:val="24"/>
          <w:lang w:val="en-US"/>
        </w:rPr>
        <w:t xml:space="preserve">the </w:t>
      </w:r>
      <w:r w:rsidR="00283874" w:rsidRPr="00CD364B">
        <w:rPr>
          <w:rFonts w:cstheme="minorHAnsi"/>
          <w:sz w:val="24"/>
          <w:szCs w:val="24"/>
          <w:lang w:val="en-US"/>
        </w:rPr>
        <w:t xml:space="preserve">environmental awareness of the shareholders and the pro-environmental tax benefits by the government can have a positive impact on the </w:t>
      </w:r>
      <w:r w:rsidR="00AE7617" w:rsidRPr="00CD364B">
        <w:rPr>
          <w:rFonts w:cstheme="minorHAnsi"/>
          <w:sz w:val="24"/>
          <w:szCs w:val="24"/>
          <w:lang w:val="en-US"/>
        </w:rPr>
        <w:t xml:space="preserve">green </w:t>
      </w:r>
      <w:r w:rsidR="0072091C" w:rsidRPr="00CD364B">
        <w:rPr>
          <w:rFonts w:cstheme="minorHAnsi"/>
          <w:sz w:val="24"/>
          <w:szCs w:val="24"/>
          <w:lang w:val="en-US"/>
        </w:rPr>
        <w:t>bonds’</w:t>
      </w:r>
      <w:r w:rsidR="00AE7617" w:rsidRPr="00CD364B">
        <w:rPr>
          <w:rFonts w:cstheme="minorHAnsi"/>
          <w:sz w:val="24"/>
          <w:szCs w:val="24"/>
          <w:lang w:val="en-US"/>
        </w:rPr>
        <w:t xml:space="preserve"> </w:t>
      </w:r>
      <w:r w:rsidR="00283874" w:rsidRPr="00CD364B">
        <w:rPr>
          <w:rFonts w:cstheme="minorHAnsi"/>
          <w:sz w:val="24"/>
          <w:szCs w:val="24"/>
          <w:lang w:val="en-US"/>
        </w:rPr>
        <w:t xml:space="preserve">prices. </w:t>
      </w:r>
      <w:r w:rsidR="007B326A" w:rsidRPr="00CD364B">
        <w:rPr>
          <w:rFonts w:cstheme="minorHAnsi"/>
          <w:sz w:val="24"/>
          <w:szCs w:val="24"/>
          <w:lang w:val="en-US"/>
        </w:rPr>
        <w:t>However,</w:t>
      </w:r>
      <w:r w:rsidR="00AE7617" w:rsidRPr="00CD364B">
        <w:rPr>
          <w:rFonts w:cstheme="minorHAnsi"/>
          <w:sz w:val="24"/>
          <w:szCs w:val="24"/>
          <w:lang w:val="en-US"/>
        </w:rPr>
        <w:t xml:space="preserve"> the existing trend in this</w:t>
      </w:r>
      <w:r w:rsidR="007B326A" w:rsidRPr="00CD364B">
        <w:rPr>
          <w:rFonts w:cstheme="minorHAnsi"/>
          <w:sz w:val="24"/>
          <w:szCs w:val="24"/>
          <w:lang w:val="en-US"/>
        </w:rPr>
        <w:t xml:space="preserve"> literature</w:t>
      </w:r>
      <w:r w:rsidR="00AE7617" w:rsidRPr="00CD364B">
        <w:rPr>
          <w:rFonts w:cstheme="minorHAnsi"/>
          <w:sz w:val="24"/>
          <w:szCs w:val="24"/>
          <w:lang w:val="en-US"/>
        </w:rPr>
        <w:t xml:space="preserve"> strand</w:t>
      </w:r>
      <w:r w:rsidR="007B326A" w:rsidRPr="00CD364B">
        <w:rPr>
          <w:rFonts w:cstheme="minorHAnsi"/>
          <w:sz w:val="24"/>
          <w:szCs w:val="24"/>
          <w:lang w:val="en-US"/>
        </w:rPr>
        <w:t xml:space="preserve"> </w:t>
      </w:r>
      <w:r w:rsidR="00AE7617" w:rsidRPr="00CD364B">
        <w:rPr>
          <w:rFonts w:cstheme="minorHAnsi"/>
          <w:sz w:val="24"/>
          <w:szCs w:val="24"/>
          <w:lang w:val="en-US"/>
        </w:rPr>
        <w:t xml:space="preserve">is largely inclined </w:t>
      </w:r>
      <w:r w:rsidR="007B326A" w:rsidRPr="00CD364B">
        <w:rPr>
          <w:rFonts w:cstheme="minorHAnsi"/>
          <w:sz w:val="24"/>
          <w:szCs w:val="24"/>
          <w:lang w:val="en-US"/>
        </w:rPr>
        <w:t>towards the supply side aspect, and this falls in line with the theme of the present study</w:t>
      </w:r>
      <w:r w:rsidR="00AE7617" w:rsidRPr="00CD364B">
        <w:rPr>
          <w:rFonts w:cstheme="minorHAnsi"/>
          <w:sz w:val="24"/>
          <w:szCs w:val="24"/>
          <w:lang w:val="en-US"/>
        </w:rPr>
        <w:t>.</w:t>
      </w:r>
      <w:r w:rsidR="007B326A" w:rsidRPr="00CD364B">
        <w:rPr>
          <w:rFonts w:cstheme="minorHAnsi"/>
          <w:sz w:val="24"/>
          <w:szCs w:val="24"/>
          <w:lang w:val="en-US"/>
        </w:rPr>
        <w:t xml:space="preserve"> </w:t>
      </w:r>
      <w:r w:rsidR="003147E0" w:rsidRPr="00CD364B">
        <w:rPr>
          <w:rFonts w:cstheme="minorHAnsi"/>
          <w:sz w:val="24"/>
          <w:szCs w:val="24"/>
          <w:lang w:val="en-US"/>
        </w:rPr>
        <w:t xml:space="preserve">Considering </w:t>
      </w:r>
      <w:r w:rsidR="00AE7617" w:rsidRPr="00CD364B">
        <w:rPr>
          <w:rFonts w:cstheme="minorHAnsi"/>
          <w:sz w:val="24"/>
          <w:szCs w:val="24"/>
          <w:lang w:val="en-US"/>
        </w:rPr>
        <w:t>of the performance of</w:t>
      </w:r>
      <w:r w:rsidR="003147E0" w:rsidRPr="00CD364B">
        <w:rPr>
          <w:rFonts w:cstheme="minorHAnsi"/>
          <w:sz w:val="24"/>
          <w:szCs w:val="24"/>
          <w:lang w:val="en-US"/>
        </w:rPr>
        <w:t xml:space="preserve"> Chinese listed firms, </w:t>
      </w:r>
      <w:r w:rsidR="0035619F" w:rsidRPr="00CD364B">
        <w:rPr>
          <w:rFonts w:cstheme="minorHAnsi"/>
          <w:sz w:val="24"/>
          <w:szCs w:val="24"/>
          <w:lang w:val="en-US"/>
        </w:rPr>
        <w:t>Zhou and Cui (2019)</w:t>
      </w:r>
      <w:r w:rsidR="00652FCD" w:rsidRPr="00CD364B">
        <w:rPr>
          <w:rFonts w:cstheme="minorHAnsi"/>
          <w:sz w:val="24"/>
          <w:szCs w:val="24"/>
          <w:lang w:val="en-US"/>
        </w:rPr>
        <w:t xml:space="preserve"> </w:t>
      </w:r>
      <w:r w:rsidR="00126824" w:rsidRPr="00CD364B">
        <w:rPr>
          <w:rFonts w:cstheme="minorHAnsi"/>
          <w:sz w:val="24"/>
          <w:szCs w:val="24"/>
          <w:lang w:val="en-US"/>
        </w:rPr>
        <w:t xml:space="preserve">analyzed the impact of </w:t>
      </w:r>
      <w:r w:rsidR="00AE7617" w:rsidRPr="00CD364B">
        <w:rPr>
          <w:rFonts w:cstheme="minorHAnsi"/>
          <w:sz w:val="24"/>
          <w:szCs w:val="24"/>
          <w:lang w:val="en-US"/>
        </w:rPr>
        <w:t>green bonds</w:t>
      </w:r>
      <w:r w:rsidR="0013544E" w:rsidRPr="00CD364B">
        <w:rPr>
          <w:rFonts w:cstheme="minorHAnsi"/>
          <w:sz w:val="24"/>
          <w:szCs w:val="24"/>
          <w:lang w:val="en-US"/>
        </w:rPr>
        <w:t xml:space="preserve"> issuing announcements on </w:t>
      </w:r>
      <w:r w:rsidR="00AE7617" w:rsidRPr="00CD364B">
        <w:rPr>
          <w:rFonts w:cstheme="minorHAnsi"/>
          <w:sz w:val="24"/>
          <w:szCs w:val="24"/>
          <w:lang w:val="en-US"/>
        </w:rPr>
        <w:t xml:space="preserve">the </w:t>
      </w:r>
      <w:r w:rsidR="00A66EA2" w:rsidRPr="00CD364B">
        <w:rPr>
          <w:rFonts w:cstheme="minorHAnsi"/>
          <w:sz w:val="24"/>
          <w:szCs w:val="24"/>
          <w:lang w:val="en-US"/>
        </w:rPr>
        <w:t xml:space="preserve">corporate social responsibility (CSR) activities, which was further reciprocated </w:t>
      </w:r>
      <w:r w:rsidR="00AE7617" w:rsidRPr="00CD364B">
        <w:rPr>
          <w:rFonts w:cstheme="minorHAnsi"/>
          <w:sz w:val="24"/>
          <w:szCs w:val="24"/>
          <w:lang w:val="en-US"/>
        </w:rPr>
        <w:t xml:space="preserve">to </w:t>
      </w:r>
      <w:r w:rsidR="00A66EA2" w:rsidRPr="00CD364B">
        <w:rPr>
          <w:rFonts w:cstheme="minorHAnsi"/>
          <w:sz w:val="24"/>
          <w:szCs w:val="24"/>
          <w:lang w:val="en-US"/>
        </w:rPr>
        <w:t>the social and environmental activities carried out by the firms.</w:t>
      </w:r>
      <w:r w:rsidR="00AB5B24" w:rsidRPr="00CD364B">
        <w:rPr>
          <w:rFonts w:cstheme="minorHAnsi"/>
          <w:sz w:val="24"/>
          <w:szCs w:val="24"/>
          <w:lang w:val="en-US"/>
        </w:rPr>
        <w:t xml:space="preserve"> Reboredo (2018) </w:t>
      </w:r>
      <w:r w:rsidR="000917E7" w:rsidRPr="00CD364B">
        <w:rPr>
          <w:rFonts w:cstheme="minorHAnsi"/>
          <w:sz w:val="24"/>
          <w:szCs w:val="24"/>
          <w:lang w:val="en-US"/>
        </w:rPr>
        <w:t xml:space="preserve">further reported </w:t>
      </w:r>
      <w:r w:rsidR="00AB5B24" w:rsidRPr="00CD364B">
        <w:rPr>
          <w:rFonts w:cstheme="minorHAnsi"/>
          <w:sz w:val="24"/>
          <w:szCs w:val="24"/>
          <w:lang w:val="en-US"/>
        </w:rPr>
        <w:t>that the positive</w:t>
      </w:r>
      <w:r w:rsidR="0072091C" w:rsidRPr="00CD364B">
        <w:rPr>
          <w:rFonts w:cstheme="minorHAnsi"/>
          <w:sz w:val="24"/>
          <w:szCs w:val="24"/>
          <w:lang w:val="en-US"/>
        </w:rPr>
        <w:t xml:space="preserve"> </w:t>
      </w:r>
      <w:r w:rsidR="00AB5B24" w:rsidRPr="00CD364B">
        <w:rPr>
          <w:rFonts w:cstheme="minorHAnsi"/>
          <w:sz w:val="24"/>
          <w:szCs w:val="24"/>
          <w:lang w:val="en-US"/>
        </w:rPr>
        <w:t xml:space="preserve">environmental externality exerted by the </w:t>
      </w:r>
      <w:r w:rsidR="000917E7" w:rsidRPr="00CD364B">
        <w:rPr>
          <w:rFonts w:cstheme="minorHAnsi"/>
          <w:sz w:val="24"/>
          <w:szCs w:val="24"/>
          <w:lang w:val="en-US"/>
        </w:rPr>
        <w:t>green bonds trade</w:t>
      </w:r>
      <w:r w:rsidR="00AB5B24" w:rsidRPr="00CD364B">
        <w:rPr>
          <w:rFonts w:cstheme="minorHAnsi"/>
          <w:sz w:val="24"/>
          <w:szCs w:val="24"/>
          <w:lang w:val="en-US"/>
        </w:rPr>
        <w:t xml:space="preserve"> eases the implementation and diffusion of renewable energy solutions across a nation</w:t>
      </w:r>
      <w:r w:rsidR="006668C1" w:rsidRPr="00CD364B">
        <w:rPr>
          <w:rFonts w:cstheme="minorHAnsi"/>
          <w:sz w:val="24"/>
          <w:szCs w:val="24"/>
          <w:lang w:val="en-US"/>
        </w:rPr>
        <w:t>.</w:t>
      </w:r>
    </w:p>
    <w:p w14:paraId="24BFA6BA" w14:textId="02A9CCDB" w:rsidR="00170B1B" w:rsidRPr="00CD364B" w:rsidRDefault="000917E7" w:rsidP="0087712C">
      <w:pPr>
        <w:spacing w:after="0" w:line="360" w:lineRule="auto"/>
        <w:ind w:firstLine="851"/>
        <w:jc w:val="both"/>
        <w:rPr>
          <w:rFonts w:cstheme="minorHAnsi"/>
          <w:sz w:val="24"/>
          <w:szCs w:val="24"/>
          <w:lang w:val="en-US"/>
        </w:rPr>
      </w:pPr>
      <w:r w:rsidRPr="00CD364B">
        <w:rPr>
          <w:rFonts w:cstheme="minorHAnsi"/>
          <w:sz w:val="24"/>
          <w:szCs w:val="24"/>
          <w:lang w:val="en-US"/>
        </w:rPr>
        <w:t xml:space="preserve">Although </w:t>
      </w:r>
      <w:r w:rsidR="00A70DA6" w:rsidRPr="00CD364B">
        <w:rPr>
          <w:rFonts w:cstheme="minorHAnsi"/>
          <w:sz w:val="24"/>
          <w:szCs w:val="24"/>
          <w:lang w:val="en-US"/>
        </w:rPr>
        <w:t>Wang and Zhi (2016)</w:t>
      </w:r>
      <w:r w:rsidRPr="00CD364B">
        <w:rPr>
          <w:rFonts w:cstheme="minorHAnsi"/>
          <w:sz w:val="24"/>
          <w:szCs w:val="24"/>
          <w:lang w:val="en-US"/>
        </w:rPr>
        <w:t xml:space="preserve">, among others, </w:t>
      </w:r>
      <w:r w:rsidR="00A70DA6" w:rsidRPr="00CD364B">
        <w:rPr>
          <w:rFonts w:cstheme="minorHAnsi"/>
          <w:sz w:val="24"/>
          <w:szCs w:val="24"/>
          <w:lang w:val="en-US"/>
        </w:rPr>
        <w:t>have reviewed the market mechanisms</w:t>
      </w:r>
      <w:r w:rsidR="00326606" w:rsidRPr="00CD364B">
        <w:rPr>
          <w:rFonts w:cstheme="minorHAnsi"/>
          <w:sz w:val="24"/>
          <w:szCs w:val="24"/>
          <w:lang w:val="en-US"/>
        </w:rPr>
        <w:t>,</w:t>
      </w:r>
      <w:r w:rsidR="00A70DA6" w:rsidRPr="00CD364B">
        <w:rPr>
          <w:rFonts w:cstheme="minorHAnsi"/>
          <w:sz w:val="24"/>
          <w:szCs w:val="24"/>
          <w:lang w:val="en-US"/>
        </w:rPr>
        <w:t xml:space="preserve"> through which </w:t>
      </w:r>
      <w:r w:rsidRPr="00CD364B">
        <w:rPr>
          <w:rFonts w:cstheme="minorHAnsi"/>
          <w:sz w:val="24"/>
          <w:szCs w:val="24"/>
          <w:lang w:val="en-US"/>
        </w:rPr>
        <w:t xml:space="preserve">green bond financing </w:t>
      </w:r>
      <w:r w:rsidR="00A70DA6" w:rsidRPr="00CD364B">
        <w:rPr>
          <w:rFonts w:cstheme="minorHAnsi"/>
          <w:sz w:val="24"/>
          <w:szCs w:val="24"/>
          <w:lang w:val="en-US"/>
        </w:rPr>
        <w:t xml:space="preserve">can </w:t>
      </w:r>
      <w:r w:rsidRPr="00CD364B">
        <w:rPr>
          <w:rFonts w:cstheme="minorHAnsi"/>
          <w:sz w:val="24"/>
          <w:szCs w:val="24"/>
          <w:lang w:val="en-US"/>
        </w:rPr>
        <w:t xml:space="preserve">partake in </w:t>
      </w:r>
      <w:r w:rsidR="00A70DA6" w:rsidRPr="00CD364B">
        <w:rPr>
          <w:rFonts w:cstheme="minorHAnsi"/>
          <w:sz w:val="24"/>
          <w:szCs w:val="24"/>
          <w:lang w:val="en-US"/>
        </w:rPr>
        <w:t>environmental protection</w:t>
      </w:r>
      <w:r w:rsidRPr="00CD364B">
        <w:rPr>
          <w:rFonts w:cstheme="minorHAnsi"/>
          <w:sz w:val="24"/>
          <w:szCs w:val="24"/>
          <w:lang w:val="en-US"/>
        </w:rPr>
        <w:t xml:space="preserve">, they </w:t>
      </w:r>
      <w:r w:rsidR="00A70DA6" w:rsidRPr="00CD364B">
        <w:rPr>
          <w:rFonts w:cstheme="minorHAnsi"/>
          <w:sz w:val="24"/>
          <w:szCs w:val="24"/>
          <w:lang w:val="en-US"/>
        </w:rPr>
        <w:t xml:space="preserve">did not suggest any policy directions, which might deem to be suitable for assuring the developmental sustainability. </w:t>
      </w:r>
      <w:r w:rsidRPr="00CD364B">
        <w:rPr>
          <w:rFonts w:cstheme="minorHAnsi"/>
          <w:sz w:val="24"/>
          <w:szCs w:val="24"/>
          <w:lang w:val="en-US"/>
        </w:rPr>
        <w:t>A notable exception is</w:t>
      </w:r>
      <w:r w:rsidR="00174E69" w:rsidRPr="00CD364B">
        <w:rPr>
          <w:rFonts w:cstheme="minorHAnsi"/>
          <w:sz w:val="24"/>
          <w:szCs w:val="24"/>
          <w:lang w:val="en-US"/>
        </w:rPr>
        <w:t xml:space="preserve"> the study by </w:t>
      </w:r>
      <w:r w:rsidR="008F06E0" w:rsidRPr="00CD364B">
        <w:rPr>
          <w:rFonts w:cstheme="minorHAnsi"/>
          <w:sz w:val="24"/>
          <w:szCs w:val="24"/>
          <w:lang w:val="en-US"/>
        </w:rPr>
        <w:t>Clapp et al. (2015)</w:t>
      </w:r>
      <w:r w:rsidR="00174E69" w:rsidRPr="00CD364B">
        <w:rPr>
          <w:rFonts w:cstheme="minorHAnsi"/>
          <w:sz w:val="24"/>
          <w:szCs w:val="24"/>
          <w:lang w:val="en-US"/>
        </w:rPr>
        <w:t xml:space="preserve"> </w:t>
      </w:r>
      <w:r w:rsidRPr="00CD364B">
        <w:rPr>
          <w:rFonts w:cstheme="minorHAnsi"/>
          <w:sz w:val="24"/>
          <w:szCs w:val="24"/>
          <w:lang w:val="en-US"/>
        </w:rPr>
        <w:t xml:space="preserve">that conducted a </w:t>
      </w:r>
      <w:r w:rsidR="006C61D7" w:rsidRPr="00CD364B">
        <w:rPr>
          <w:rFonts w:cstheme="minorHAnsi"/>
          <w:sz w:val="24"/>
          <w:szCs w:val="24"/>
          <w:lang w:val="en-US"/>
        </w:rPr>
        <w:t xml:space="preserve">thorough review </w:t>
      </w:r>
      <w:r w:rsidRPr="00CD364B">
        <w:rPr>
          <w:rFonts w:cstheme="minorHAnsi"/>
          <w:sz w:val="24"/>
          <w:szCs w:val="24"/>
          <w:lang w:val="en-US"/>
        </w:rPr>
        <w:t>of the available arguments on</w:t>
      </w:r>
      <w:r w:rsidR="006C61D7" w:rsidRPr="00CD364B">
        <w:rPr>
          <w:rFonts w:cstheme="minorHAnsi"/>
          <w:sz w:val="24"/>
          <w:szCs w:val="24"/>
          <w:lang w:val="en-US"/>
        </w:rPr>
        <w:t xml:space="preserve"> the role of </w:t>
      </w:r>
      <w:r w:rsidRPr="00CD364B">
        <w:rPr>
          <w:rFonts w:cstheme="minorHAnsi"/>
          <w:sz w:val="24"/>
          <w:szCs w:val="24"/>
          <w:lang w:val="en-US"/>
        </w:rPr>
        <w:t>green bonds</w:t>
      </w:r>
      <w:r w:rsidR="006C61D7" w:rsidRPr="00CD364B">
        <w:rPr>
          <w:rFonts w:cstheme="minorHAnsi"/>
          <w:sz w:val="24"/>
          <w:szCs w:val="24"/>
          <w:lang w:val="en-US"/>
        </w:rPr>
        <w:t xml:space="preserve"> in building a low-carbon economy</w:t>
      </w:r>
      <w:r w:rsidRPr="00CD364B">
        <w:rPr>
          <w:rFonts w:cstheme="minorHAnsi"/>
          <w:sz w:val="24"/>
          <w:szCs w:val="24"/>
          <w:lang w:val="en-US"/>
        </w:rPr>
        <w:t>.</w:t>
      </w:r>
      <w:r w:rsidR="006C61D7" w:rsidRPr="00CD364B">
        <w:rPr>
          <w:rFonts w:cstheme="minorHAnsi"/>
          <w:sz w:val="24"/>
          <w:szCs w:val="24"/>
          <w:lang w:val="en-US"/>
        </w:rPr>
        <w:t xml:space="preserve"> </w:t>
      </w:r>
      <w:r w:rsidRPr="00CD364B">
        <w:rPr>
          <w:rFonts w:cstheme="minorHAnsi"/>
          <w:sz w:val="24"/>
          <w:szCs w:val="24"/>
          <w:lang w:val="en-US"/>
        </w:rPr>
        <w:t>T</w:t>
      </w:r>
      <w:r w:rsidR="00306681" w:rsidRPr="00CD364B">
        <w:rPr>
          <w:rFonts w:cstheme="minorHAnsi"/>
          <w:sz w:val="24"/>
          <w:szCs w:val="24"/>
          <w:lang w:val="en-US"/>
        </w:rPr>
        <w:t xml:space="preserve">he </w:t>
      </w:r>
      <w:r w:rsidR="006C61D7" w:rsidRPr="00CD364B">
        <w:rPr>
          <w:rFonts w:cstheme="minorHAnsi"/>
          <w:sz w:val="24"/>
          <w:szCs w:val="24"/>
          <w:lang w:val="en-US"/>
        </w:rPr>
        <w:t xml:space="preserve">authors </w:t>
      </w:r>
      <w:r w:rsidRPr="00CD364B">
        <w:rPr>
          <w:rFonts w:cstheme="minorHAnsi"/>
          <w:sz w:val="24"/>
          <w:szCs w:val="24"/>
          <w:lang w:val="en-US"/>
        </w:rPr>
        <w:t xml:space="preserve">provided </w:t>
      </w:r>
      <w:r w:rsidR="00207EF4" w:rsidRPr="00CD364B">
        <w:rPr>
          <w:rFonts w:cstheme="minorHAnsi"/>
          <w:sz w:val="24"/>
          <w:szCs w:val="24"/>
          <w:lang w:val="en-US"/>
        </w:rPr>
        <w:t xml:space="preserve">a set of suggestions, </w:t>
      </w:r>
      <w:r w:rsidR="00A6567A" w:rsidRPr="00CD364B">
        <w:rPr>
          <w:rFonts w:cstheme="minorHAnsi"/>
          <w:sz w:val="24"/>
          <w:szCs w:val="24"/>
          <w:lang w:val="en-US"/>
        </w:rPr>
        <w:t xml:space="preserve">which </w:t>
      </w:r>
      <w:r w:rsidR="001B4C67" w:rsidRPr="00CD364B">
        <w:rPr>
          <w:rFonts w:cstheme="minorHAnsi"/>
          <w:sz w:val="24"/>
          <w:szCs w:val="24"/>
          <w:lang w:val="en-US"/>
        </w:rPr>
        <w:t>a</w:t>
      </w:r>
      <w:r w:rsidR="00A6567A" w:rsidRPr="00CD364B">
        <w:rPr>
          <w:rFonts w:cstheme="minorHAnsi"/>
          <w:sz w:val="24"/>
          <w:szCs w:val="24"/>
          <w:lang w:val="en-US"/>
        </w:rPr>
        <w:t xml:space="preserve">re seemingly significant, given </w:t>
      </w:r>
      <w:r w:rsidR="00306681" w:rsidRPr="00CD364B">
        <w:rPr>
          <w:rFonts w:cstheme="minorHAnsi"/>
          <w:sz w:val="24"/>
          <w:szCs w:val="24"/>
          <w:lang w:val="en-US"/>
        </w:rPr>
        <w:t xml:space="preserve">they have been </w:t>
      </w:r>
      <w:r w:rsidRPr="00CD364B">
        <w:rPr>
          <w:rFonts w:cstheme="minorHAnsi"/>
          <w:sz w:val="24"/>
          <w:szCs w:val="24"/>
          <w:lang w:val="en-US"/>
        </w:rPr>
        <w:t xml:space="preserve">developed </w:t>
      </w:r>
      <w:r w:rsidR="00A6567A" w:rsidRPr="00CD364B">
        <w:rPr>
          <w:rFonts w:cstheme="minorHAnsi"/>
          <w:sz w:val="24"/>
          <w:szCs w:val="24"/>
          <w:lang w:val="en-US"/>
        </w:rPr>
        <w:t>in a pre-SDG epoch.</w:t>
      </w:r>
      <w:r w:rsidRPr="00CD364B">
        <w:rPr>
          <w:rFonts w:cstheme="minorHAnsi"/>
          <w:sz w:val="24"/>
          <w:szCs w:val="24"/>
          <w:lang w:val="en-US"/>
        </w:rPr>
        <w:t xml:space="preserve"> More recently,</w:t>
      </w:r>
      <w:r w:rsidR="00A6567A" w:rsidRPr="00CD364B">
        <w:rPr>
          <w:rFonts w:cstheme="minorHAnsi"/>
          <w:sz w:val="24"/>
          <w:szCs w:val="24"/>
          <w:lang w:val="en-US"/>
        </w:rPr>
        <w:t xml:space="preserve"> </w:t>
      </w:r>
      <w:r w:rsidRPr="00CD364B">
        <w:rPr>
          <w:rFonts w:cstheme="minorHAnsi"/>
          <w:sz w:val="24"/>
          <w:szCs w:val="24"/>
          <w:lang w:val="en-US"/>
        </w:rPr>
        <w:t>a</w:t>
      </w:r>
      <w:r w:rsidR="00EA7A71" w:rsidRPr="00CD364B">
        <w:rPr>
          <w:rFonts w:cstheme="minorHAnsi"/>
          <w:sz w:val="24"/>
          <w:szCs w:val="24"/>
          <w:lang w:val="en-US"/>
        </w:rPr>
        <w:t xml:space="preserve"> shadowy reflection of these policies can be seen in the study carried out by Flammer (2020), </w:t>
      </w:r>
      <w:r w:rsidRPr="00CD364B">
        <w:rPr>
          <w:rFonts w:cstheme="minorHAnsi"/>
          <w:sz w:val="24"/>
          <w:szCs w:val="24"/>
          <w:lang w:val="en-US"/>
        </w:rPr>
        <w:t>who discussed</w:t>
      </w:r>
      <w:r w:rsidR="00EA7A71" w:rsidRPr="00CD364B">
        <w:rPr>
          <w:rFonts w:cstheme="minorHAnsi"/>
          <w:sz w:val="24"/>
          <w:szCs w:val="24"/>
          <w:lang w:val="en-US"/>
        </w:rPr>
        <w:t xml:space="preserve"> the importance of</w:t>
      </w:r>
      <w:r w:rsidRPr="00CD364B">
        <w:rPr>
          <w:rFonts w:cstheme="minorHAnsi"/>
          <w:sz w:val="24"/>
          <w:szCs w:val="24"/>
          <w:lang w:val="en-US"/>
        </w:rPr>
        <w:t xml:space="preserve"> green bonds</w:t>
      </w:r>
      <w:r w:rsidR="00EA7A71" w:rsidRPr="00CD364B">
        <w:rPr>
          <w:rFonts w:cstheme="minorHAnsi"/>
          <w:sz w:val="24"/>
          <w:szCs w:val="24"/>
          <w:lang w:val="en-US"/>
        </w:rPr>
        <w:t xml:space="preserve"> </w:t>
      </w:r>
      <w:r w:rsidR="001C7C4C" w:rsidRPr="00CD364B">
        <w:rPr>
          <w:rFonts w:cstheme="minorHAnsi"/>
          <w:sz w:val="24"/>
          <w:szCs w:val="24"/>
          <w:lang w:val="en-US"/>
        </w:rPr>
        <w:t>in shaping environmental</w:t>
      </w:r>
      <w:r w:rsidR="006368C4" w:rsidRPr="00CD364B">
        <w:rPr>
          <w:rFonts w:cstheme="minorHAnsi"/>
          <w:sz w:val="24"/>
          <w:szCs w:val="24"/>
          <w:lang w:val="en-US"/>
        </w:rPr>
        <w:t>ly</w:t>
      </w:r>
      <w:r w:rsidR="001C7C4C" w:rsidRPr="00CD364B">
        <w:rPr>
          <w:rFonts w:cstheme="minorHAnsi"/>
          <w:sz w:val="24"/>
          <w:szCs w:val="24"/>
          <w:lang w:val="en-US"/>
        </w:rPr>
        <w:t xml:space="preserve"> responsible firms, </w:t>
      </w:r>
      <w:r w:rsidR="001C7C4C" w:rsidRPr="00CD364B">
        <w:rPr>
          <w:rFonts w:cstheme="minorHAnsi"/>
          <w:sz w:val="24"/>
          <w:szCs w:val="24"/>
          <w:lang w:val="en-US"/>
        </w:rPr>
        <w:lastRenderedPageBreak/>
        <w:t xml:space="preserve">while giving an indication to utilize them as a public policy tool to address the SDG objectives. </w:t>
      </w:r>
      <w:r w:rsidR="006368C4" w:rsidRPr="00CD364B">
        <w:rPr>
          <w:rFonts w:cstheme="minorHAnsi"/>
          <w:sz w:val="24"/>
          <w:szCs w:val="24"/>
          <w:lang w:val="en-US"/>
        </w:rPr>
        <w:t xml:space="preserve">While Flammer (2020) </w:t>
      </w:r>
      <w:r w:rsidR="0006234E" w:rsidRPr="00CD364B">
        <w:rPr>
          <w:rFonts w:cstheme="minorHAnsi"/>
          <w:sz w:val="24"/>
          <w:szCs w:val="24"/>
          <w:lang w:val="en-US"/>
        </w:rPr>
        <w:t xml:space="preserve">focused on </w:t>
      </w:r>
      <w:r w:rsidR="006368C4" w:rsidRPr="00CD364B">
        <w:rPr>
          <w:rFonts w:cstheme="minorHAnsi"/>
          <w:sz w:val="24"/>
          <w:szCs w:val="24"/>
          <w:lang w:val="en-US"/>
        </w:rPr>
        <w:t>the environmental aspect</w:t>
      </w:r>
      <w:r w:rsidR="0006234E" w:rsidRPr="00CD364B">
        <w:rPr>
          <w:rFonts w:cstheme="minorHAnsi"/>
          <w:sz w:val="24"/>
          <w:szCs w:val="24"/>
          <w:lang w:val="en-US"/>
        </w:rPr>
        <w:t>s</w:t>
      </w:r>
      <w:r w:rsidR="006368C4" w:rsidRPr="00CD364B">
        <w:rPr>
          <w:rFonts w:cstheme="minorHAnsi"/>
          <w:sz w:val="24"/>
          <w:szCs w:val="24"/>
          <w:lang w:val="en-US"/>
        </w:rPr>
        <w:t>, Braouezec and Joliet (2019</w:t>
      </w:r>
      <w:r w:rsidR="00E827B8" w:rsidRPr="00CD364B">
        <w:rPr>
          <w:rFonts w:cstheme="minorHAnsi"/>
          <w:sz w:val="24"/>
          <w:szCs w:val="24"/>
          <w:lang w:val="en-US"/>
        </w:rPr>
        <w:t>) analyzed</w:t>
      </w:r>
      <w:r w:rsidR="0006234E" w:rsidRPr="00CD364B">
        <w:rPr>
          <w:rFonts w:cstheme="minorHAnsi"/>
          <w:sz w:val="24"/>
          <w:szCs w:val="24"/>
          <w:lang w:val="en-US"/>
        </w:rPr>
        <w:t xml:space="preserve"> the </w:t>
      </w:r>
      <w:r w:rsidR="006368C4" w:rsidRPr="00CD364B">
        <w:rPr>
          <w:rFonts w:cstheme="minorHAnsi"/>
          <w:sz w:val="24"/>
          <w:szCs w:val="24"/>
          <w:lang w:val="en-US"/>
        </w:rPr>
        <w:t xml:space="preserve">role of </w:t>
      </w:r>
      <w:r w:rsidR="00170B1B" w:rsidRPr="00CD364B">
        <w:rPr>
          <w:rFonts w:cstheme="minorHAnsi"/>
          <w:sz w:val="24"/>
          <w:szCs w:val="24"/>
          <w:lang w:val="en-US"/>
        </w:rPr>
        <w:t>green bonds</w:t>
      </w:r>
      <w:r w:rsidR="006368C4" w:rsidRPr="00CD364B">
        <w:rPr>
          <w:rFonts w:cstheme="minorHAnsi"/>
          <w:sz w:val="24"/>
          <w:szCs w:val="24"/>
          <w:lang w:val="en-US"/>
        </w:rPr>
        <w:t xml:space="preserve"> in shaping socially responsible firms</w:t>
      </w:r>
      <w:r w:rsidR="00DE31F8" w:rsidRPr="00CD364B">
        <w:rPr>
          <w:rFonts w:cstheme="minorHAnsi"/>
          <w:sz w:val="24"/>
          <w:szCs w:val="24"/>
          <w:lang w:val="en-US"/>
        </w:rPr>
        <w:t>, and how firms</w:t>
      </w:r>
      <w:r w:rsidR="00170B1B" w:rsidRPr="00CD364B">
        <w:rPr>
          <w:rFonts w:cstheme="minorHAnsi"/>
          <w:sz w:val="24"/>
          <w:szCs w:val="24"/>
          <w:lang w:val="en-US"/>
        </w:rPr>
        <w:t>’ actions</w:t>
      </w:r>
      <w:r w:rsidR="00DE31F8" w:rsidRPr="00CD364B">
        <w:rPr>
          <w:rFonts w:cstheme="minorHAnsi"/>
          <w:sz w:val="24"/>
          <w:szCs w:val="24"/>
          <w:lang w:val="en-US"/>
        </w:rPr>
        <w:t xml:space="preserve"> can be </w:t>
      </w:r>
      <w:r w:rsidR="00170B1B" w:rsidRPr="00CD364B">
        <w:rPr>
          <w:rFonts w:cstheme="minorHAnsi"/>
          <w:sz w:val="24"/>
          <w:szCs w:val="24"/>
          <w:lang w:val="en-US"/>
        </w:rPr>
        <w:t xml:space="preserve">delivered </w:t>
      </w:r>
      <w:r w:rsidR="00AD5B4D" w:rsidRPr="00CD364B">
        <w:rPr>
          <w:rFonts w:cstheme="minorHAnsi"/>
          <w:sz w:val="24"/>
          <w:szCs w:val="24"/>
          <w:lang w:val="en-US"/>
        </w:rPr>
        <w:t>through their CSR activities.</w:t>
      </w:r>
      <w:r w:rsidR="00D00BE5" w:rsidRPr="00CD364B">
        <w:rPr>
          <w:rFonts w:cstheme="minorHAnsi"/>
          <w:sz w:val="24"/>
          <w:szCs w:val="24"/>
          <w:lang w:val="en-US"/>
        </w:rPr>
        <w:t xml:space="preserve"> </w:t>
      </w:r>
    </w:p>
    <w:p w14:paraId="5C51A437" w14:textId="71F5EFEE" w:rsidR="0009101E" w:rsidRPr="00CD364B" w:rsidRDefault="00170B1B" w:rsidP="0087712C">
      <w:pPr>
        <w:spacing w:after="0" w:line="360" w:lineRule="auto"/>
        <w:ind w:firstLine="851"/>
        <w:jc w:val="both"/>
        <w:rPr>
          <w:rFonts w:cstheme="minorHAnsi"/>
          <w:sz w:val="24"/>
          <w:szCs w:val="24"/>
          <w:lang w:val="en-US"/>
        </w:rPr>
      </w:pPr>
      <w:r w:rsidRPr="00CD364B">
        <w:rPr>
          <w:rFonts w:cstheme="minorHAnsi"/>
          <w:sz w:val="24"/>
          <w:szCs w:val="24"/>
          <w:lang w:val="en-US"/>
        </w:rPr>
        <w:t xml:space="preserve">The abovementioned </w:t>
      </w:r>
      <w:r w:rsidR="00D00BE5" w:rsidRPr="00CD364B">
        <w:rPr>
          <w:rFonts w:cstheme="minorHAnsi"/>
          <w:sz w:val="24"/>
          <w:szCs w:val="24"/>
          <w:lang w:val="en-US"/>
        </w:rPr>
        <w:t xml:space="preserve">studies </w:t>
      </w:r>
      <w:r w:rsidRPr="00CD364B">
        <w:rPr>
          <w:rFonts w:cstheme="minorHAnsi"/>
          <w:sz w:val="24"/>
          <w:szCs w:val="24"/>
          <w:lang w:val="en-US"/>
        </w:rPr>
        <w:t>demonstrate on</w:t>
      </w:r>
      <w:r w:rsidR="00D00BE5" w:rsidRPr="00CD364B">
        <w:rPr>
          <w:rFonts w:cstheme="minorHAnsi"/>
          <w:sz w:val="24"/>
          <w:szCs w:val="24"/>
          <w:lang w:val="en-US"/>
        </w:rPr>
        <w:t xml:space="preserve"> the operational and strategic transitions of the firms towards socio-ecological evolution, </w:t>
      </w:r>
      <w:r w:rsidR="00CA3A27" w:rsidRPr="00CD364B">
        <w:rPr>
          <w:rFonts w:cstheme="minorHAnsi"/>
          <w:sz w:val="24"/>
          <w:szCs w:val="24"/>
          <w:lang w:val="en-US"/>
        </w:rPr>
        <w:t xml:space="preserve">and the instrumentalization of </w:t>
      </w:r>
      <w:r w:rsidRPr="00CD364B">
        <w:rPr>
          <w:rFonts w:cstheme="minorHAnsi"/>
          <w:sz w:val="24"/>
          <w:szCs w:val="24"/>
          <w:lang w:val="en-US"/>
        </w:rPr>
        <w:t>green bonds</w:t>
      </w:r>
      <w:r w:rsidR="00CA3A27" w:rsidRPr="00CD364B">
        <w:rPr>
          <w:rFonts w:cstheme="minorHAnsi"/>
          <w:sz w:val="24"/>
          <w:szCs w:val="24"/>
          <w:lang w:val="en-US"/>
        </w:rPr>
        <w:t xml:space="preserve"> as a public policy tool</w:t>
      </w:r>
      <w:r w:rsidRPr="00CD364B">
        <w:rPr>
          <w:rFonts w:cstheme="minorHAnsi"/>
          <w:sz w:val="24"/>
          <w:szCs w:val="24"/>
          <w:lang w:val="en-US"/>
        </w:rPr>
        <w:t xml:space="preserve"> that can</w:t>
      </w:r>
      <w:r w:rsidR="008F6831" w:rsidRPr="00CD364B">
        <w:rPr>
          <w:rFonts w:cstheme="minorHAnsi"/>
          <w:sz w:val="24"/>
          <w:szCs w:val="24"/>
          <w:lang w:val="en-US"/>
        </w:rPr>
        <w:t xml:space="preserve"> </w:t>
      </w:r>
      <w:r w:rsidR="00CA3A27" w:rsidRPr="00CD364B">
        <w:rPr>
          <w:rFonts w:cstheme="minorHAnsi"/>
          <w:sz w:val="24"/>
          <w:szCs w:val="24"/>
          <w:lang w:val="en-US"/>
        </w:rPr>
        <w:t>be utilized by corporat</w:t>
      </w:r>
      <w:r w:rsidRPr="00CD364B">
        <w:rPr>
          <w:rFonts w:cstheme="minorHAnsi"/>
          <w:sz w:val="24"/>
          <w:szCs w:val="24"/>
          <w:lang w:val="en-US"/>
        </w:rPr>
        <w:t>ions</w:t>
      </w:r>
      <w:r w:rsidR="00CA3A27" w:rsidRPr="00CD364B">
        <w:rPr>
          <w:rFonts w:cstheme="minorHAnsi"/>
          <w:sz w:val="24"/>
          <w:szCs w:val="24"/>
          <w:lang w:val="en-US"/>
        </w:rPr>
        <w:t xml:space="preserve"> and enforced by policy</w:t>
      </w:r>
      <w:r w:rsidR="008F6831" w:rsidRPr="00CD364B">
        <w:rPr>
          <w:rFonts w:cstheme="minorHAnsi"/>
          <w:sz w:val="24"/>
          <w:szCs w:val="24"/>
          <w:lang w:val="en-US"/>
        </w:rPr>
        <w:t xml:space="preserve"> </w:t>
      </w:r>
      <w:r w:rsidR="00CA3A27" w:rsidRPr="00CD364B">
        <w:rPr>
          <w:rFonts w:cstheme="minorHAnsi"/>
          <w:sz w:val="24"/>
          <w:szCs w:val="24"/>
          <w:lang w:val="en-US"/>
        </w:rPr>
        <w:t>makers</w:t>
      </w:r>
      <w:r w:rsidR="008F6831" w:rsidRPr="00CD364B">
        <w:rPr>
          <w:rFonts w:cstheme="minorHAnsi"/>
          <w:sz w:val="24"/>
          <w:szCs w:val="24"/>
          <w:lang w:val="en-US"/>
        </w:rPr>
        <w:t xml:space="preserve">. </w:t>
      </w:r>
      <w:r w:rsidR="003C56D6" w:rsidRPr="00CD364B">
        <w:rPr>
          <w:rFonts w:cstheme="minorHAnsi"/>
          <w:sz w:val="24"/>
          <w:szCs w:val="24"/>
          <w:lang w:val="en-US"/>
        </w:rPr>
        <w:t>In Chinese context,</w:t>
      </w:r>
      <w:r w:rsidRPr="00CD364B">
        <w:rPr>
          <w:rFonts w:cstheme="minorHAnsi"/>
          <w:sz w:val="24"/>
          <w:szCs w:val="24"/>
          <w:lang w:val="en-US"/>
        </w:rPr>
        <w:t xml:space="preserve"> Ng (2018)</w:t>
      </w:r>
      <w:r w:rsidR="003C56D6" w:rsidRPr="00CD364B">
        <w:rPr>
          <w:rFonts w:cstheme="minorHAnsi"/>
          <w:sz w:val="24"/>
          <w:szCs w:val="24"/>
          <w:lang w:val="en-US"/>
        </w:rPr>
        <w:t xml:space="preserve"> presented different scenarios </w:t>
      </w:r>
      <w:r w:rsidR="00C903CF" w:rsidRPr="00CD364B">
        <w:rPr>
          <w:rFonts w:cstheme="minorHAnsi"/>
          <w:sz w:val="24"/>
          <w:szCs w:val="24"/>
          <w:lang w:val="en-US"/>
        </w:rPr>
        <w:t>for enforcing institutional legitimacy</w:t>
      </w:r>
      <w:r w:rsidR="004D23CF" w:rsidRPr="00CD364B">
        <w:rPr>
          <w:rFonts w:cstheme="minorHAnsi"/>
          <w:sz w:val="24"/>
          <w:szCs w:val="24"/>
          <w:lang w:val="en-US"/>
        </w:rPr>
        <w:t xml:space="preserve"> and policy-level reorganization to assure the sustenance of </w:t>
      </w:r>
      <w:r w:rsidRPr="00CD364B">
        <w:rPr>
          <w:rFonts w:cstheme="minorHAnsi"/>
          <w:sz w:val="24"/>
          <w:szCs w:val="24"/>
          <w:lang w:val="en-US"/>
        </w:rPr>
        <w:t>green bonds</w:t>
      </w:r>
      <w:r w:rsidR="004D23CF" w:rsidRPr="00CD364B">
        <w:rPr>
          <w:rFonts w:cstheme="minorHAnsi"/>
          <w:sz w:val="24"/>
          <w:szCs w:val="24"/>
          <w:lang w:val="en-US"/>
        </w:rPr>
        <w:t xml:space="preserve">. </w:t>
      </w:r>
      <w:r w:rsidRPr="00CD364B">
        <w:rPr>
          <w:rFonts w:cstheme="minorHAnsi"/>
          <w:sz w:val="24"/>
          <w:szCs w:val="24"/>
          <w:lang w:val="en-US"/>
        </w:rPr>
        <w:t xml:space="preserve"> During the</w:t>
      </w:r>
      <w:r w:rsidR="00BB556E" w:rsidRPr="00CD364B">
        <w:rPr>
          <w:rFonts w:cstheme="minorHAnsi"/>
          <w:sz w:val="24"/>
          <w:szCs w:val="24"/>
          <w:lang w:val="en-US"/>
        </w:rPr>
        <w:t xml:space="preserve"> </w:t>
      </w:r>
      <w:r w:rsidR="008D2971" w:rsidRPr="00CD364B">
        <w:rPr>
          <w:rFonts w:cstheme="minorHAnsi"/>
          <w:sz w:val="24"/>
          <w:szCs w:val="24"/>
          <w:lang w:val="en-US"/>
        </w:rPr>
        <w:t xml:space="preserve">institutionalizing </w:t>
      </w:r>
      <w:r w:rsidRPr="00CD364B">
        <w:rPr>
          <w:rFonts w:cstheme="minorHAnsi"/>
          <w:sz w:val="24"/>
          <w:szCs w:val="24"/>
          <w:lang w:val="en-US"/>
        </w:rPr>
        <w:t xml:space="preserve">of </w:t>
      </w:r>
      <w:r w:rsidR="008D2971" w:rsidRPr="00CD364B">
        <w:rPr>
          <w:rFonts w:cstheme="minorHAnsi"/>
          <w:sz w:val="24"/>
          <w:szCs w:val="24"/>
          <w:lang w:val="en-US"/>
        </w:rPr>
        <w:t>the</w:t>
      </w:r>
      <w:r w:rsidRPr="00CD364B">
        <w:rPr>
          <w:rFonts w:cstheme="minorHAnsi"/>
          <w:sz w:val="24"/>
          <w:szCs w:val="24"/>
          <w:lang w:val="en-US"/>
        </w:rPr>
        <w:t xml:space="preserve"> green </w:t>
      </w:r>
      <w:r w:rsidR="00A33E0D" w:rsidRPr="00CD364B">
        <w:rPr>
          <w:rFonts w:cstheme="minorHAnsi"/>
          <w:sz w:val="24"/>
          <w:szCs w:val="24"/>
          <w:lang w:val="en-US"/>
        </w:rPr>
        <w:t>bond’s</w:t>
      </w:r>
      <w:r w:rsidR="008D2971" w:rsidRPr="00CD364B">
        <w:rPr>
          <w:rFonts w:cstheme="minorHAnsi"/>
          <w:sz w:val="24"/>
          <w:szCs w:val="24"/>
          <w:lang w:val="en-US"/>
        </w:rPr>
        <w:t xml:space="preserve"> </w:t>
      </w:r>
      <w:r w:rsidR="008A0888" w:rsidRPr="00CD364B">
        <w:rPr>
          <w:rFonts w:cstheme="minorHAnsi"/>
          <w:sz w:val="24"/>
          <w:szCs w:val="24"/>
          <w:lang w:val="en-US"/>
        </w:rPr>
        <w:t>operationalization,</w:t>
      </w:r>
      <w:r w:rsidR="00BB556E" w:rsidRPr="00CD364B">
        <w:rPr>
          <w:rFonts w:cstheme="minorHAnsi"/>
          <w:sz w:val="24"/>
          <w:szCs w:val="24"/>
          <w:lang w:val="en-US"/>
        </w:rPr>
        <w:t xml:space="preserve"> </w:t>
      </w:r>
      <w:r w:rsidR="008D2971" w:rsidRPr="00CD364B">
        <w:rPr>
          <w:rFonts w:cstheme="minorHAnsi"/>
          <w:sz w:val="24"/>
          <w:szCs w:val="24"/>
          <w:lang w:val="en-US"/>
        </w:rPr>
        <w:t xml:space="preserve">it is necessary to protect the interest of the investors, </w:t>
      </w:r>
      <w:r w:rsidR="00635548" w:rsidRPr="00CD364B">
        <w:rPr>
          <w:rFonts w:cstheme="minorHAnsi"/>
          <w:sz w:val="24"/>
          <w:szCs w:val="24"/>
          <w:lang w:val="en-US"/>
        </w:rPr>
        <w:t xml:space="preserve">while addressing the issue of climate change. This aspect is </w:t>
      </w:r>
      <w:r w:rsidRPr="00CD364B">
        <w:rPr>
          <w:rFonts w:cstheme="minorHAnsi"/>
          <w:sz w:val="24"/>
          <w:szCs w:val="24"/>
          <w:lang w:val="en-US"/>
        </w:rPr>
        <w:t xml:space="preserve">critically </w:t>
      </w:r>
      <w:r w:rsidR="00635548" w:rsidRPr="00CD364B">
        <w:rPr>
          <w:rFonts w:cstheme="minorHAnsi"/>
          <w:sz w:val="24"/>
          <w:szCs w:val="24"/>
          <w:lang w:val="en-US"/>
        </w:rPr>
        <w:t xml:space="preserve">important to ascertain the demand of </w:t>
      </w:r>
      <w:r w:rsidR="008F6831" w:rsidRPr="00CD364B">
        <w:rPr>
          <w:rFonts w:cstheme="minorHAnsi"/>
          <w:sz w:val="24"/>
          <w:szCs w:val="24"/>
          <w:lang w:val="en-US"/>
        </w:rPr>
        <w:t>green bonds</w:t>
      </w:r>
      <w:r w:rsidR="00944BE4" w:rsidRPr="00CD364B">
        <w:rPr>
          <w:rFonts w:cstheme="minorHAnsi"/>
          <w:sz w:val="24"/>
          <w:szCs w:val="24"/>
          <w:lang w:val="en-US"/>
        </w:rPr>
        <w:t xml:space="preserve"> among the investors. The study by Gianfrate and Peri (2019) has analyzed thi</w:t>
      </w:r>
      <w:r w:rsidRPr="00CD364B">
        <w:rPr>
          <w:rFonts w:cstheme="minorHAnsi"/>
          <w:sz w:val="24"/>
          <w:szCs w:val="24"/>
          <w:lang w:val="en-US"/>
        </w:rPr>
        <w:t>s in</w:t>
      </w:r>
      <w:r w:rsidR="008F6831" w:rsidRPr="00CD364B">
        <w:rPr>
          <w:rFonts w:cstheme="minorHAnsi"/>
          <w:sz w:val="24"/>
          <w:szCs w:val="24"/>
          <w:lang w:val="en-US"/>
        </w:rPr>
        <w:t xml:space="preserve"> the</w:t>
      </w:r>
      <w:r w:rsidR="00944BE4" w:rsidRPr="00CD364B">
        <w:rPr>
          <w:rFonts w:cstheme="minorHAnsi"/>
          <w:sz w:val="24"/>
          <w:szCs w:val="24"/>
          <w:lang w:val="en-US"/>
        </w:rPr>
        <w:t xml:space="preserve"> </w:t>
      </w:r>
      <w:r w:rsidRPr="00CD364B">
        <w:rPr>
          <w:rFonts w:cstheme="minorHAnsi"/>
          <w:sz w:val="24"/>
          <w:szCs w:val="24"/>
          <w:lang w:val="en-US"/>
        </w:rPr>
        <w:t>European green bonds</w:t>
      </w:r>
      <w:r w:rsidR="00944BE4" w:rsidRPr="00CD364B">
        <w:rPr>
          <w:rFonts w:cstheme="minorHAnsi"/>
          <w:sz w:val="24"/>
          <w:szCs w:val="24"/>
          <w:lang w:val="en-US"/>
        </w:rPr>
        <w:t xml:space="preserve"> market</w:t>
      </w:r>
      <w:r w:rsidRPr="00CD364B">
        <w:rPr>
          <w:rFonts w:cstheme="minorHAnsi"/>
          <w:sz w:val="24"/>
          <w:szCs w:val="24"/>
          <w:lang w:val="en-US"/>
        </w:rPr>
        <w:t xml:space="preserve"> bringing</w:t>
      </w:r>
      <w:r w:rsidR="00273C9A" w:rsidRPr="00CD364B">
        <w:rPr>
          <w:rFonts w:cstheme="minorHAnsi"/>
          <w:sz w:val="24"/>
          <w:szCs w:val="24"/>
          <w:lang w:val="en-US"/>
        </w:rPr>
        <w:t xml:space="preserve"> together the demand and supply side </w:t>
      </w:r>
      <w:r w:rsidRPr="00CD364B">
        <w:rPr>
          <w:rFonts w:cstheme="minorHAnsi"/>
          <w:sz w:val="24"/>
          <w:szCs w:val="24"/>
          <w:lang w:val="en-US"/>
        </w:rPr>
        <w:t xml:space="preserve">of green </w:t>
      </w:r>
      <w:r w:rsidR="008F6831" w:rsidRPr="00CD364B">
        <w:rPr>
          <w:rFonts w:cstheme="minorHAnsi"/>
          <w:sz w:val="24"/>
          <w:szCs w:val="24"/>
          <w:lang w:val="en-US"/>
        </w:rPr>
        <w:t>bonds discussing their</w:t>
      </w:r>
      <w:r w:rsidR="00273C9A" w:rsidRPr="00CD364B">
        <w:rPr>
          <w:rFonts w:cstheme="minorHAnsi"/>
          <w:sz w:val="24"/>
          <w:szCs w:val="24"/>
          <w:lang w:val="en-US"/>
        </w:rPr>
        <w:t xml:space="preserve"> ecological impact</w:t>
      </w:r>
      <w:r w:rsidR="008F6831" w:rsidRPr="00CD364B">
        <w:rPr>
          <w:rFonts w:cstheme="minorHAnsi"/>
          <w:sz w:val="24"/>
          <w:szCs w:val="24"/>
          <w:lang w:val="en-US"/>
        </w:rPr>
        <w:t>s</w:t>
      </w:r>
      <w:r w:rsidR="0087712C" w:rsidRPr="00CD364B">
        <w:rPr>
          <w:rFonts w:cstheme="minorHAnsi"/>
          <w:sz w:val="24"/>
          <w:szCs w:val="24"/>
          <w:lang w:val="en-US"/>
        </w:rPr>
        <w:t>.</w:t>
      </w:r>
      <w:r w:rsidR="006668C1" w:rsidRPr="00CD364B">
        <w:t xml:space="preserve"> </w:t>
      </w:r>
      <w:r w:rsidR="006668C1" w:rsidRPr="00CD364B">
        <w:rPr>
          <w:rFonts w:cstheme="minorHAnsi"/>
          <w:sz w:val="24"/>
          <w:szCs w:val="24"/>
          <w:lang w:val="en-US"/>
        </w:rPr>
        <w:t xml:space="preserve">Huynh et al. (2020) </w:t>
      </w:r>
      <w:r w:rsidRPr="00CD364B">
        <w:rPr>
          <w:rFonts w:cstheme="minorHAnsi"/>
          <w:sz w:val="24"/>
          <w:szCs w:val="24"/>
          <w:lang w:val="en-US"/>
        </w:rPr>
        <w:t xml:space="preserve">further </w:t>
      </w:r>
      <w:r w:rsidR="006668C1" w:rsidRPr="00CD364B">
        <w:rPr>
          <w:rFonts w:cstheme="minorHAnsi"/>
          <w:sz w:val="24"/>
          <w:szCs w:val="24"/>
          <w:lang w:val="en-US"/>
        </w:rPr>
        <w:t xml:space="preserve">analyzed </w:t>
      </w:r>
      <w:r w:rsidRPr="00CD364B">
        <w:rPr>
          <w:rFonts w:cstheme="minorHAnsi"/>
          <w:sz w:val="24"/>
          <w:szCs w:val="24"/>
          <w:lang w:val="en-US"/>
        </w:rPr>
        <w:t xml:space="preserve">green </w:t>
      </w:r>
      <w:r w:rsidR="006668C1" w:rsidRPr="00CD364B">
        <w:rPr>
          <w:rFonts w:cstheme="minorHAnsi"/>
          <w:sz w:val="24"/>
          <w:szCs w:val="24"/>
          <w:lang w:val="en-US"/>
        </w:rPr>
        <w:t>bonds from portfolio diversification perspective, indicating potential safe haven properties of these assets</w:t>
      </w:r>
      <w:r w:rsidRPr="00CD364B">
        <w:rPr>
          <w:rFonts w:cstheme="minorHAnsi"/>
          <w:sz w:val="24"/>
          <w:szCs w:val="24"/>
          <w:lang w:val="en-US"/>
        </w:rPr>
        <w:t>, and explaining why these new financial instruments are attractive for investors</w:t>
      </w:r>
      <w:r w:rsidR="006668C1" w:rsidRPr="00CD364B">
        <w:rPr>
          <w:rFonts w:cstheme="minorHAnsi"/>
          <w:sz w:val="24"/>
          <w:szCs w:val="24"/>
          <w:lang w:val="en-US"/>
        </w:rPr>
        <w:t>.</w:t>
      </w:r>
    </w:p>
    <w:p w14:paraId="52F99DFA" w14:textId="10797F6B" w:rsidR="000E2A4E" w:rsidRPr="00CD364B" w:rsidRDefault="001370FA" w:rsidP="0087712C">
      <w:pPr>
        <w:spacing w:after="0" w:line="360" w:lineRule="auto"/>
        <w:ind w:firstLine="851"/>
        <w:jc w:val="both"/>
        <w:rPr>
          <w:rFonts w:cstheme="minorHAnsi"/>
          <w:sz w:val="24"/>
          <w:szCs w:val="24"/>
          <w:lang w:val="en-US"/>
        </w:rPr>
      </w:pPr>
      <w:r w:rsidRPr="00CD364B">
        <w:rPr>
          <w:rFonts w:cstheme="minorHAnsi"/>
          <w:sz w:val="24"/>
          <w:szCs w:val="24"/>
          <w:lang w:val="en-US"/>
        </w:rPr>
        <w:t>Preference towards achieving</w:t>
      </w:r>
      <w:r w:rsidR="00B73F81" w:rsidRPr="00CD364B">
        <w:rPr>
          <w:rFonts w:cstheme="minorHAnsi"/>
          <w:sz w:val="24"/>
          <w:szCs w:val="24"/>
          <w:lang w:val="en-US"/>
        </w:rPr>
        <w:t xml:space="preserve"> a</w:t>
      </w:r>
      <w:r w:rsidRPr="00CD364B">
        <w:rPr>
          <w:rFonts w:cstheme="minorHAnsi"/>
          <w:sz w:val="24"/>
          <w:szCs w:val="24"/>
          <w:lang w:val="en-US"/>
        </w:rPr>
        <w:t xml:space="preserve"> high economic growth can create hindrance in way of implementing </w:t>
      </w:r>
      <w:r w:rsidR="00B73F81" w:rsidRPr="00CD364B">
        <w:rPr>
          <w:rFonts w:cstheme="minorHAnsi"/>
          <w:sz w:val="24"/>
          <w:szCs w:val="24"/>
          <w:lang w:val="en-US"/>
        </w:rPr>
        <w:t xml:space="preserve">green finance </w:t>
      </w:r>
      <w:r w:rsidRPr="00CD364B">
        <w:rPr>
          <w:rFonts w:cstheme="minorHAnsi"/>
          <w:sz w:val="24"/>
          <w:szCs w:val="24"/>
          <w:lang w:val="en-US"/>
        </w:rPr>
        <w:t xml:space="preserve">solutions, </w:t>
      </w:r>
      <w:r w:rsidR="00B73F81" w:rsidRPr="00CD364B">
        <w:rPr>
          <w:rFonts w:cstheme="minorHAnsi"/>
          <w:sz w:val="24"/>
          <w:szCs w:val="24"/>
          <w:lang w:val="en-US"/>
        </w:rPr>
        <w:t>as it was shown</w:t>
      </w:r>
      <w:r w:rsidRPr="00CD364B">
        <w:rPr>
          <w:rFonts w:cstheme="minorHAnsi"/>
          <w:sz w:val="24"/>
          <w:szCs w:val="24"/>
          <w:lang w:val="en-US"/>
        </w:rPr>
        <w:t xml:space="preserve"> by </w:t>
      </w:r>
      <w:r w:rsidR="0009101E" w:rsidRPr="00CD364B">
        <w:rPr>
          <w:rFonts w:cstheme="minorHAnsi"/>
          <w:sz w:val="24"/>
          <w:szCs w:val="24"/>
          <w:lang w:val="en-US"/>
        </w:rPr>
        <w:t>Nguyen et al. (2018)</w:t>
      </w:r>
      <w:r w:rsidR="008D5898" w:rsidRPr="00CD364B">
        <w:rPr>
          <w:rFonts w:cstheme="minorHAnsi"/>
          <w:sz w:val="24"/>
          <w:szCs w:val="24"/>
          <w:lang w:val="en-US"/>
        </w:rPr>
        <w:t xml:space="preserve"> </w:t>
      </w:r>
      <w:r w:rsidRPr="00CD364B">
        <w:rPr>
          <w:rFonts w:cstheme="minorHAnsi"/>
          <w:sz w:val="24"/>
          <w:szCs w:val="24"/>
          <w:lang w:val="en-US"/>
        </w:rPr>
        <w:t xml:space="preserve">in </w:t>
      </w:r>
      <w:r w:rsidR="00B73F81" w:rsidRPr="00CD364B">
        <w:rPr>
          <w:rFonts w:cstheme="minorHAnsi"/>
          <w:sz w:val="24"/>
          <w:szCs w:val="24"/>
          <w:lang w:val="en-US"/>
        </w:rPr>
        <w:t xml:space="preserve">the </w:t>
      </w:r>
      <w:r w:rsidRPr="00CD364B">
        <w:rPr>
          <w:rFonts w:cstheme="minorHAnsi"/>
          <w:sz w:val="24"/>
          <w:szCs w:val="24"/>
          <w:lang w:val="en-US"/>
        </w:rPr>
        <w:t xml:space="preserve">case of Vietnam. </w:t>
      </w:r>
      <w:r w:rsidR="00CF781E" w:rsidRPr="00CD364B">
        <w:rPr>
          <w:rFonts w:cstheme="minorHAnsi"/>
          <w:sz w:val="24"/>
          <w:szCs w:val="24"/>
          <w:lang w:val="en-US"/>
        </w:rPr>
        <w:t xml:space="preserve">Prevailing political instability within the nation has been attributed as the second major cause behind this hindrance. </w:t>
      </w:r>
      <w:r w:rsidR="00770DB5" w:rsidRPr="00CD364B">
        <w:rPr>
          <w:rFonts w:cstheme="minorHAnsi"/>
          <w:sz w:val="24"/>
          <w:szCs w:val="24"/>
          <w:lang w:val="en-US"/>
        </w:rPr>
        <w:t xml:space="preserve">In the similar context, Urban et al. (2018) </w:t>
      </w:r>
      <w:r w:rsidR="00FF2243" w:rsidRPr="00CD364B">
        <w:rPr>
          <w:rFonts w:cstheme="minorHAnsi"/>
          <w:sz w:val="24"/>
          <w:szCs w:val="24"/>
          <w:lang w:val="en-US"/>
        </w:rPr>
        <w:t xml:space="preserve">have shown the inclination towards sustainable development </w:t>
      </w:r>
      <w:r w:rsidR="000575F5" w:rsidRPr="00CD364B">
        <w:rPr>
          <w:rFonts w:cstheme="minorHAnsi"/>
          <w:sz w:val="24"/>
          <w:szCs w:val="24"/>
          <w:lang w:val="en-US"/>
        </w:rPr>
        <w:t xml:space="preserve">drives the growth of </w:t>
      </w:r>
      <w:r w:rsidR="00B73F81" w:rsidRPr="00CD364B">
        <w:rPr>
          <w:rFonts w:cstheme="minorHAnsi"/>
          <w:sz w:val="24"/>
          <w:szCs w:val="24"/>
          <w:lang w:val="en-US"/>
        </w:rPr>
        <w:t>green bonds adding to</w:t>
      </w:r>
      <w:r w:rsidR="008B0CB4" w:rsidRPr="00CD364B">
        <w:rPr>
          <w:rFonts w:cstheme="minorHAnsi"/>
          <w:sz w:val="24"/>
          <w:szCs w:val="24"/>
          <w:lang w:val="en-US"/>
        </w:rPr>
        <w:t xml:space="preserve"> the finding</w:t>
      </w:r>
      <w:r w:rsidR="00B73F81" w:rsidRPr="00CD364B">
        <w:rPr>
          <w:rFonts w:cstheme="minorHAnsi"/>
          <w:sz w:val="24"/>
          <w:szCs w:val="24"/>
          <w:lang w:val="en-US"/>
        </w:rPr>
        <w:t>s</w:t>
      </w:r>
      <w:r w:rsidR="008B0CB4" w:rsidRPr="00CD364B">
        <w:rPr>
          <w:rFonts w:cstheme="minorHAnsi"/>
          <w:sz w:val="24"/>
          <w:szCs w:val="24"/>
          <w:lang w:val="en-US"/>
        </w:rPr>
        <w:t xml:space="preserve"> of Nguyen et al. (2018). </w:t>
      </w:r>
      <w:r w:rsidR="00B73F81" w:rsidRPr="00CD364B">
        <w:rPr>
          <w:rFonts w:cstheme="minorHAnsi"/>
          <w:sz w:val="24"/>
          <w:szCs w:val="24"/>
          <w:lang w:val="en-US"/>
        </w:rPr>
        <w:t xml:space="preserve"> However, </w:t>
      </w:r>
      <w:r w:rsidR="00A50AC9" w:rsidRPr="00CD364B">
        <w:rPr>
          <w:rFonts w:cstheme="minorHAnsi"/>
          <w:sz w:val="24"/>
          <w:szCs w:val="24"/>
          <w:lang w:val="en-US"/>
        </w:rPr>
        <w:t xml:space="preserve">the role of the policymakers to recognize the potential of </w:t>
      </w:r>
      <w:r w:rsidR="00B73F81" w:rsidRPr="00CD364B">
        <w:rPr>
          <w:rFonts w:cstheme="minorHAnsi"/>
          <w:sz w:val="24"/>
          <w:szCs w:val="24"/>
          <w:lang w:val="en-US"/>
        </w:rPr>
        <w:t>green bonds</w:t>
      </w:r>
      <w:r w:rsidR="00A50AC9" w:rsidRPr="00CD364B">
        <w:rPr>
          <w:rFonts w:cstheme="minorHAnsi"/>
          <w:sz w:val="24"/>
          <w:szCs w:val="24"/>
          <w:lang w:val="en-US"/>
        </w:rPr>
        <w:t xml:space="preserve"> </w:t>
      </w:r>
      <w:r w:rsidR="00B73F81" w:rsidRPr="00CD364B">
        <w:rPr>
          <w:rFonts w:cstheme="minorHAnsi"/>
          <w:sz w:val="24"/>
          <w:szCs w:val="24"/>
          <w:lang w:val="en-US"/>
        </w:rPr>
        <w:t xml:space="preserve">remains </w:t>
      </w:r>
      <w:r w:rsidR="008F6831" w:rsidRPr="00CD364B">
        <w:rPr>
          <w:rFonts w:cstheme="minorHAnsi"/>
          <w:sz w:val="24"/>
          <w:szCs w:val="24"/>
          <w:lang w:val="en-US"/>
        </w:rPr>
        <w:t>essential</w:t>
      </w:r>
      <w:r w:rsidR="00B73F81" w:rsidRPr="00CD364B">
        <w:rPr>
          <w:rFonts w:cstheme="minorHAnsi"/>
          <w:sz w:val="24"/>
          <w:szCs w:val="24"/>
          <w:lang w:val="en-US"/>
        </w:rPr>
        <w:t xml:space="preserve"> </w:t>
      </w:r>
      <w:r w:rsidR="00A50AC9" w:rsidRPr="00CD364B">
        <w:rPr>
          <w:rFonts w:cstheme="minorHAnsi"/>
          <w:sz w:val="24"/>
          <w:szCs w:val="24"/>
          <w:lang w:val="en-US"/>
        </w:rPr>
        <w:t>in creating the positive socio-ecological spillovers</w:t>
      </w:r>
      <w:r w:rsidR="004B175F" w:rsidRPr="00CD364B">
        <w:rPr>
          <w:rFonts w:cstheme="minorHAnsi"/>
          <w:sz w:val="24"/>
          <w:szCs w:val="24"/>
          <w:lang w:val="en-US"/>
        </w:rPr>
        <w:t xml:space="preserve">. </w:t>
      </w:r>
      <w:r w:rsidR="00A50AC9" w:rsidRPr="00CD364B">
        <w:rPr>
          <w:rFonts w:cstheme="minorHAnsi"/>
          <w:sz w:val="24"/>
          <w:szCs w:val="24"/>
          <w:lang w:val="en-US"/>
        </w:rPr>
        <w:t>Banga (2019)</w:t>
      </w:r>
      <w:r w:rsidR="004B175F" w:rsidRPr="00CD364B">
        <w:rPr>
          <w:rFonts w:cstheme="minorHAnsi"/>
          <w:sz w:val="24"/>
          <w:szCs w:val="24"/>
          <w:lang w:val="en-US"/>
        </w:rPr>
        <w:t xml:space="preserve"> has </w:t>
      </w:r>
      <w:r w:rsidR="00B73F81" w:rsidRPr="00CD364B">
        <w:rPr>
          <w:rFonts w:cstheme="minorHAnsi"/>
          <w:sz w:val="24"/>
          <w:szCs w:val="24"/>
          <w:lang w:val="en-US"/>
        </w:rPr>
        <w:t>considered this research problem</w:t>
      </w:r>
      <w:r w:rsidR="004B175F" w:rsidRPr="00CD364B">
        <w:rPr>
          <w:rFonts w:cstheme="minorHAnsi"/>
          <w:sz w:val="24"/>
          <w:szCs w:val="24"/>
          <w:lang w:val="en-US"/>
        </w:rPr>
        <w:t xml:space="preserve"> for the developing nations</w:t>
      </w:r>
      <w:r w:rsidR="00433298" w:rsidRPr="00CD364B">
        <w:rPr>
          <w:rFonts w:cstheme="minorHAnsi"/>
          <w:sz w:val="24"/>
          <w:szCs w:val="24"/>
          <w:lang w:val="en-US"/>
        </w:rPr>
        <w:t>, as the issuance of</w:t>
      </w:r>
      <w:r w:rsidR="00B73F81" w:rsidRPr="00CD364B">
        <w:rPr>
          <w:rFonts w:cstheme="minorHAnsi"/>
          <w:sz w:val="24"/>
          <w:szCs w:val="24"/>
          <w:lang w:val="en-US"/>
        </w:rPr>
        <w:t xml:space="preserve"> green bonds</w:t>
      </w:r>
      <w:r w:rsidR="00433298" w:rsidRPr="00CD364B">
        <w:rPr>
          <w:rFonts w:cstheme="minorHAnsi"/>
          <w:sz w:val="24"/>
          <w:szCs w:val="24"/>
          <w:lang w:val="en-US"/>
        </w:rPr>
        <w:t xml:space="preserve"> might be crucial for these nations, keeping their pro-growth objective in mind. </w:t>
      </w:r>
    </w:p>
    <w:p w14:paraId="30FF0CD1" w14:textId="09FC21F1" w:rsidR="00B73F81" w:rsidRPr="00CD364B" w:rsidRDefault="00A35613" w:rsidP="00B73F81">
      <w:pPr>
        <w:spacing w:after="0" w:line="360" w:lineRule="auto"/>
        <w:ind w:firstLine="851"/>
        <w:jc w:val="both"/>
        <w:rPr>
          <w:rFonts w:cstheme="minorHAnsi"/>
          <w:sz w:val="24"/>
          <w:szCs w:val="24"/>
          <w:lang w:val="en-US"/>
        </w:rPr>
      </w:pPr>
      <w:r w:rsidRPr="00CD364B">
        <w:rPr>
          <w:rFonts w:cstheme="minorHAnsi"/>
          <w:sz w:val="24"/>
          <w:szCs w:val="24"/>
          <w:lang w:val="en-US"/>
        </w:rPr>
        <w:t xml:space="preserve">While the reviewed studies </w:t>
      </w:r>
      <w:r w:rsidR="0087712C" w:rsidRPr="00CD364B">
        <w:rPr>
          <w:rFonts w:cstheme="minorHAnsi"/>
          <w:sz w:val="24"/>
          <w:szCs w:val="24"/>
          <w:lang w:val="en-US"/>
        </w:rPr>
        <w:t>considered</w:t>
      </w:r>
      <w:r w:rsidRPr="00CD364B">
        <w:rPr>
          <w:rFonts w:cstheme="minorHAnsi"/>
          <w:sz w:val="24"/>
          <w:szCs w:val="24"/>
          <w:lang w:val="en-US"/>
        </w:rPr>
        <w:t xml:space="preserve"> </w:t>
      </w:r>
      <w:r w:rsidR="00E72677" w:rsidRPr="00CD364B">
        <w:rPr>
          <w:rFonts w:cstheme="minorHAnsi"/>
          <w:sz w:val="24"/>
          <w:szCs w:val="24"/>
          <w:lang w:val="en-US"/>
        </w:rPr>
        <w:t xml:space="preserve">the </w:t>
      </w:r>
      <w:r w:rsidR="0087054C" w:rsidRPr="00CD364B">
        <w:rPr>
          <w:rFonts w:cstheme="minorHAnsi"/>
          <w:sz w:val="24"/>
          <w:szCs w:val="24"/>
          <w:lang w:val="en-US"/>
        </w:rPr>
        <w:t xml:space="preserve">socio-ecological </w:t>
      </w:r>
      <w:r w:rsidR="00E72677" w:rsidRPr="00CD364B">
        <w:rPr>
          <w:rFonts w:cstheme="minorHAnsi"/>
          <w:sz w:val="24"/>
          <w:szCs w:val="24"/>
          <w:lang w:val="en-US"/>
        </w:rPr>
        <w:t xml:space="preserve">impact of </w:t>
      </w:r>
      <w:r w:rsidR="00B73F81" w:rsidRPr="00CD364B">
        <w:rPr>
          <w:rFonts w:cstheme="minorHAnsi"/>
          <w:sz w:val="24"/>
          <w:szCs w:val="24"/>
          <w:lang w:val="en-US"/>
        </w:rPr>
        <w:t>g</w:t>
      </w:r>
      <w:r w:rsidR="00E72677" w:rsidRPr="00CD364B">
        <w:rPr>
          <w:rFonts w:cstheme="minorHAnsi"/>
          <w:sz w:val="24"/>
          <w:szCs w:val="24"/>
          <w:lang w:val="en-US"/>
        </w:rPr>
        <w:t xml:space="preserve">reen </w:t>
      </w:r>
      <w:r w:rsidR="00B73F81" w:rsidRPr="00CD364B">
        <w:rPr>
          <w:rFonts w:cstheme="minorHAnsi"/>
          <w:sz w:val="24"/>
          <w:szCs w:val="24"/>
          <w:lang w:val="en-US"/>
        </w:rPr>
        <w:t>b</w:t>
      </w:r>
      <w:r w:rsidR="00E72677" w:rsidRPr="00CD364B">
        <w:rPr>
          <w:rFonts w:cstheme="minorHAnsi"/>
          <w:sz w:val="24"/>
          <w:szCs w:val="24"/>
          <w:lang w:val="en-US"/>
        </w:rPr>
        <w:t xml:space="preserve">onds </w:t>
      </w:r>
      <w:r w:rsidR="0087054C" w:rsidRPr="00CD364B">
        <w:rPr>
          <w:rFonts w:cstheme="minorHAnsi"/>
          <w:sz w:val="24"/>
          <w:szCs w:val="24"/>
          <w:lang w:val="en-US"/>
        </w:rPr>
        <w:t xml:space="preserve">in different contexts, </w:t>
      </w:r>
      <w:r w:rsidR="00414649" w:rsidRPr="00CD364B">
        <w:rPr>
          <w:rFonts w:cstheme="minorHAnsi"/>
          <w:sz w:val="24"/>
          <w:szCs w:val="24"/>
          <w:lang w:val="en-US"/>
        </w:rPr>
        <w:t xml:space="preserve">there </w:t>
      </w:r>
      <w:r w:rsidR="0087712C" w:rsidRPr="00CD364B">
        <w:rPr>
          <w:rFonts w:cstheme="minorHAnsi"/>
          <w:sz w:val="24"/>
          <w:szCs w:val="24"/>
          <w:lang w:val="en-US"/>
        </w:rPr>
        <w:t>is a lack</w:t>
      </w:r>
      <w:r w:rsidR="00414649" w:rsidRPr="00CD364B">
        <w:rPr>
          <w:rFonts w:cstheme="minorHAnsi"/>
          <w:sz w:val="24"/>
          <w:szCs w:val="24"/>
          <w:lang w:val="en-US"/>
        </w:rPr>
        <w:t xml:space="preserve"> of </w:t>
      </w:r>
      <w:r w:rsidR="00B73F81" w:rsidRPr="00CD364B">
        <w:rPr>
          <w:rFonts w:cstheme="minorHAnsi"/>
          <w:sz w:val="24"/>
          <w:szCs w:val="24"/>
          <w:lang w:val="en-US"/>
        </w:rPr>
        <w:t xml:space="preserve">comprehensive </w:t>
      </w:r>
      <w:r w:rsidR="00042D19" w:rsidRPr="00CD364B">
        <w:rPr>
          <w:rFonts w:cstheme="minorHAnsi"/>
          <w:sz w:val="24"/>
          <w:szCs w:val="24"/>
          <w:lang w:val="en-US"/>
        </w:rPr>
        <w:t xml:space="preserve">policy </w:t>
      </w:r>
      <w:r w:rsidR="00414649" w:rsidRPr="00CD364B">
        <w:rPr>
          <w:rFonts w:cstheme="minorHAnsi"/>
          <w:sz w:val="24"/>
          <w:szCs w:val="24"/>
          <w:lang w:val="en-US"/>
        </w:rPr>
        <w:t>framework</w:t>
      </w:r>
      <w:r w:rsidR="00042D19" w:rsidRPr="00CD364B">
        <w:rPr>
          <w:rFonts w:cstheme="minorHAnsi"/>
          <w:sz w:val="24"/>
          <w:szCs w:val="24"/>
          <w:lang w:val="en-US"/>
        </w:rPr>
        <w:t xml:space="preserve"> for sustainable development</w:t>
      </w:r>
      <w:r w:rsidR="00B73F81" w:rsidRPr="00CD364B">
        <w:rPr>
          <w:rFonts w:cstheme="minorHAnsi"/>
          <w:sz w:val="24"/>
          <w:szCs w:val="24"/>
          <w:lang w:val="en-US"/>
        </w:rPr>
        <w:t>.</w:t>
      </w:r>
      <w:r w:rsidR="00414649" w:rsidRPr="00CD364B">
        <w:rPr>
          <w:rFonts w:cstheme="minorHAnsi"/>
          <w:sz w:val="24"/>
          <w:szCs w:val="24"/>
          <w:lang w:val="en-US"/>
        </w:rPr>
        <w:t xml:space="preserve"> </w:t>
      </w:r>
      <w:r w:rsidR="00B73F81" w:rsidRPr="00CD364B">
        <w:rPr>
          <w:rFonts w:cstheme="minorHAnsi"/>
          <w:sz w:val="24"/>
          <w:szCs w:val="24"/>
          <w:lang w:val="en-US"/>
        </w:rPr>
        <w:t>This is evident that g</w:t>
      </w:r>
      <w:r w:rsidR="00414649" w:rsidRPr="00CD364B">
        <w:rPr>
          <w:rFonts w:cstheme="minorHAnsi"/>
          <w:sz w:val="24"/>
          <w:szCs w:val="24"/>
          <w:lang w:val="en-US"/>
        </w:rPr>
        <w:t xml:space="preserve">reen </w:t>
      </w:r>
      <w:r w:rsidR="00B73F81" w:rsidRPr="00CD364B">
        <w:rPr>
          <w:rFonts w:cstheme="minorHAnsi"/>
          <w:sz w:val="24"/>
          <w:szCs w:val="24"/>
          <w:lang w:val="en-US"/>
        </w:rPr>
        <w:t>b</w:t>
      </w:r>
      <w:r w:rsidR="00414649" w:rsidRPr="00CD364B">
        <w:rPr>
          <w:rFonts w:cstheme="minorHAnsi"/>
          <w:sz w:val="24"/>
          <w:szCs w:val="24"/>
          <w:lang w:val="en-US"/>
        </w:rPr>
        <w:t>onds can be used as a policy instrument for assuring social and environmental responsibility among the industrial sector</w:t>
      </w:r>
      <w:r w:rsidR="00B73F81" w:rsidRPr="00CD364B">
        <w:rPr>
          <w:rFonts w:cstheme="minorHAnsi"/>
          <w:sz w:val="24"/>
          <w:szCs w:val="24"/>
          <w:lang w:val="en-US"/>
        </w:rPr>
        <w:t>, however, this has not been yet confirmed empirically</w:t>
      </w:r>
      <w:r w:rsidR="00414649" w:rsidRPr="00CD364B">
        <w:rPr>
          <w:rFonts w:cstheme="minorHAnsi"/>
          <w:sz w:val="24"/>
          <w:szCs w:val="24"/>
          <w:lang w:val="en-US"/>
        </w:rPr>
        <w:t xml:space="preserve">. Though the </w:t>
      </w:r>
      <w:r w:rsidR="00B73F81" w:rsidRPr="00CD364B">
        <w:rPr>
          <w:rFonts w:cstheme="minorHAnsi"/>
          <w:sz w:val="24"/>
          <w:szCs w:val="24"/>
          <w:lang w:val="en-US"/>
        </w:rPr>
        <w:t>green bonds</w:t>
      </w:r>
      <w:r w:rsidR="00414649" w:rsidRPr="00CD364B">
        <w:rPr>
          <w:rFonts w:cstheme="minorHAnsi"/>
          <w:sz w:val="24"/>
          <w:szCs w:val="24"/>
          <w:lang w:val="en-US"/>
        </w:rPr>
        <w:t xml:space="preserve"> came into existence during the </w:t>
      </w:r>
      <w:r w:rsidR="00414649" w:rsidRPr="00CD364B">
        <w:rPr>
          <w:rFonts w:cstheme="minorHAnsi"/>
          <w:sz w:val="24"/>
          <w:szCs w:val="24"/>
          <w:lang w:val="en-US"/>
        </w:rPr>
        <w:lastRenderedPageBreak/>
        <w:t>Millennium Development Goals (MDG) regime, there role is coming out to be more crucial in the era of SDGs, and therefore, the void of a comprehensive policy framework needs to be addressed. There comes the role of the present study.</w:t>
      </w:r>
    </w:p>
    <w:p w14:paraId="06B897F3" w14:textId="1156D03D" w:rsidR="00C502FD" w:rsidRPr="00CD364B" w:rsidRDefault="00B73F81" w:rsidP="00B73F81">
      <w:pPr>
        <w:spacing w:after="0" w:line="360" w:lineRule="auto"/>
        <w:ind w:firstLine="851"/>
        <w:jc w:val="both"/>
        <w:rPr>
          <w:rFonts w:cstheme="minorHAnsi"/>
          <w:sz w:val="24"/>
          <w:szCs w:val="24"/>
          <w:lang w:val="en-US"/>
        </w:rPr>
      </w:pPr>
      <w:r w:rsidRPr="00CD364B">
        <w:rPr>
          <w:rFonts w:cstheme="minorHAnsi"/>
          <w:sz w:val="24"/>
          <w:szCs w:val="24"/>
          <w:lang w:val="en-US"/>
        </w:rPr>
        <w:t>In this paper,</w:t>
      </w:r>
      <w:r w:rsidR="00414649" w:rsidRPr="00CD364B">
        <w:rPr>
          <w:rFonts w:cstheme="minorHAnsi"/>
          <w:sz w:val="24"/>
          <w:szCs w:val="24"/>
          <w:lang w:val="en-US"/>
        </w:rPr>
        <w:t xml:space="preserve"> </w:t>
      </w:r>
      <w:r w:rsidRPr="00CD364B">
        <w:rPr>
          <w:rFonts w:cstheme="minorHAnsi"/>
          <w:sz w:val="24"/>
          <w:szCs w:val="24"/>
          <w:lang w:val="en-US"/>
        </w:rPr>
        <w:t>b</w:t>
      </w:r>
      <w:r w:rsidR="00414649" w:rsidRPr="00CD364B">
        <w:rPr>
          <w:rFonts w:cstheme="minorHAnsi"/>
          <w:sz w:val="24"/>
          <w:szCs w:val="24"/>
          <w:lang w:val="en-US"/>
        </w:rPr>
        <w:t xml:space="preserve">y analyzing the socio-ecological impact of </w:t>
      </w:r>
      <w:r w:rsidRPr="00CD364B">
        <w:rPr>
          <w:rFonts w:cstheme="minorHAnsi"/>
          <w:sz w:val="24"/>
          <w:szCs w:val="24"/>
          <w:lang w:val="en-US"/>
        </w:rPr>
        <w:t>g</w:t>
      </w:r>
      <w:r w:rsidR="00414649" w:rsidRPr="00CD364B">
        <w:rPr>
          <w:rFonts w:cstheme="minorHAnsi"/>
          <w:sz w:val="24"/>
          <w:szCs w:val="24"/>
          <w:lang w:val="en-US"/>
        </w:rPr>
        <w:t xml:space="preserve">reen </w:t>
      </w:r>
      <w:r w:rsidRPr="00CD364B">
        <w:rPr>
          <w:rFonts w:cstheme="minorHAnsi"/>
          <w:sz w:val="24"/>
          <w:szCs w:val="24"/>
          <w:lang w:val="en-US"/>
        </w:rPr>
        <w:t>b</w:t>
      </w:r>
      <w:r w:rsidR="00414649" w:rsidRPr="00CD364B">
        <w:rPr>
          <w:rFonts w:cstheme="minorHAnsi"/>
          <w:sz w:val="24"/>
          <w:szCs w:val="24"/>
          <w:lang w:val="en-US"/>
        </w:rPr>
        <w:t xml:space="preserve">onds, </w:t>
      </w:r>
      <w:r w:rsidRPr="00CD364B">
        <w:rPr>
          <w:rFonts w:cstheme="minorHAnsi"/>
          <w:sz w:val="24"/>
          <w:szCs w:val="24"/>
          <w:lang w:val="en-US"/>
        </w:rPr>
        <w:t>we aim to devise</w:t>
      </w:r>
      <w:r w:rsidR="00414649" w:rsidRPr="00CD364B">
        <w:rPr>
          <w:rFonts w:cstheme="minorHAnsi"/>
          <w:sz w:val="24"/>
          <w:szCs w:val="24"/>
          <w:lang w:val="en-US"/>
        </w:rPr>
        <w:t xml:space="preserve"> a comprehensive policy framework for attaining the objectives of SDGs, </w:t>
      </w:r>
      <w:r w:rsidRPr="00CD364B">
        <w:rPr>
          <w:rFonts w:cstheme="minorHAnsi"/>
          <w:sz w:val="24"/>
          <w:szCs w:val="24"/>
          <w:lang w:val="en-US"/>
        </w:rPr>
        <w:t>providing an original contribution to the</w:t>
      </w:r>
      <w:r w:rsidR="00414649" w:rsidRPr="00CD364B">
        <w:rPr>
          <w:rFonts w:cstheme="minorHAnsi"/>
          <w:sz w:val="24"/>
          <w:szCs w:val="24"/>
          <w:lang w:val="en-US"/>
        </w:rPr>
        <w:t xml:space="preserve"> literature. In methodological terms, </w:t>
      </w:r>
      <w:r w:rsidR="00AC3707" w:rsidRPr="00CD364B">
        <w:rPr>
          <w:rFonts w:cstheme="minorHAnsi"/>
          <w:sz w:val="24"/>
          <w:szCs w:val="24"/>
          <w:lang w:val="en-US"/>
        </w:rPr>
        <w:t xml:space="preserve">the analytical approach adopted in this study complements the policy-level contribution of the study by considering </w:t>
      </w:r>
      <w:r w:rsidR="00FE64A1" w:rsidRPr="00CD364B">
        <w:rPr>
          <w:rFonts w:cstheme="minorHAnsi"/>
          <w:sz w:val="24"/>
          <w:szCs w:val="24"/>
          <w:lang w:val="en-US"/>
        </w:rPr>
        <w:t xml:space="preserve">the entire data spectrum of the target and explanatory policy variables, and this </w:t>
      </w:r>
      <w:r w:rsidR="00CF0C52" w:rsidRPr="00CD364B">
        <w:rPr>
          <w:rFonts w:cstheme="minorHAnsi"/>
          <w:sz w:val="24"/>
          <w:szCs w:val="24"/>
          <w:lang w:val="en-US"/>
        </w:rPr>
        <w:t xml:space="preserve">particular </w:t>
      </w:r>
      <w:r w:rsidR="00FE64A1" w:rsidRPr="00CD364B">
        <w:rPr>
          <w:rFonts w:cstheme="minorHAnsi"/>
          <w:sz w:val="24"/>
          <w:szCs w:val="24"/>
          <w:lang w:val="en-US"/>
        </w:rPr>
        <w:t xml:space="preserve">approach is necessary for </w:t>
      </w:r>
      <w:r w:rsidR="00CF0C52" w:rsidRPr="00CD364B">
        <w:rPr>
          <w:rFonts w:cstheme="minorHAnsi"/>
          <w:sz w:val="24"/>
          <w:szCs w:val="24"/>
          <w:lang w:val="en-US"/>
        </w:rPr>
        <w:t>understanding the</w:t>
      </w:r>
      <w:r w:rsidR="00FE64A1" w:rsidRPr="00CD364B">
        <w:rPr>
          <w:rFonts w:cstheme="minorHAnsi"/>
          <w:sz w:val="24"/>
          <w:szCs w:val="24"/>
          <w:lang w:val="en-US"/>
        </w:rPr>
        <w:t xml:space="preserve"> </w:t>
      </w:r>
      <w:r w:rsidR="00CF0C52" w:rsidRPr="00CD364B">
        <w:rPr>
          <w:rFonts w:cstheme="minorHAnsi"/>
          <w:sz w:val="24"/>
          <w:szCs w:val="24"/>
          <w:lang w:val="en-US"/>
        </w:rPr>
        <w:t>wholesome depiction of the impact.</w:t>
      </w:r>
      <w:r w:rsidR="001D02A8" w:rsidRPr="00CD364B">
        <w:rPr>
          <w:rFonts w:cstheme="minorHAnsi"/>
          <w:sz w:val="24"/>
          <w:szCs w:val="24"/>
          <w:lang w:val="en-US"/>
        </w:rPr>
        <w:t xml:space="preserve"> In this view, the present study addresses the </w:t>
      </w:r>
      <w:r w:rsidRPr="00CD364B">
        <w:rPr>
          <w:rFonts w:cstheme="minorHAnsi"/>
          <w:sz w:val="24"/>
          <w:szCs w:val="24"/>
          <w:lang w:val="en-US"/>
        </w:rPr>
        <w:t xml:space="preserve">gap </w:t>
      </w:r>
      <w:r w:rsidR="001D02A8" w:rsidRPr="00CD364B">
        <w:rPr>
          <w:rFonts w:cstheme="minorHAnsi"/>
          <w:sz w:val="24"/>
          <w:szCs w:val="24"/>
          <w:lang w:val="en-US"/>
        </w:rPr>
        <w:t>in the literature not only through devising a comprehensive policy framework for attaining SDGs, but also by applying the QQR methodological approach, which is necessary for designing the policy framework.</w:t>
      </w:r>
    </w:p>
    <w:p w14:paraId="67EEB573" w14:textId="77777777" w:rsidR="00FF344C" w:rsidRPr="00CD364B" w:rsidRDefault="00FF344C" w:rsidP="00004F21">
      <w:pPr>
        <w:spacing w:after="0" w:line="360" w:lineRule="auto"/>
        <w:jc w:val="both"/>
        <w:rPr>
          <w:rFonts w:cstheme="minorHAnsi"/>
          <w:sz w:val="24"/>
          <w:szCs w:val="24"/>
          <w:lang w:val="en-US"/>
        </w:rPr>
      </w:pPr>
    </w:p>
    <w:p w14:paraId="4BB3DAF6" w14:textId="710B0BFB" w:rsidR="00FF344C" w:rsidRPr="00CD364B" w:rsidRDefault="00096B1A" w:rsidP="00004F21">
      <w:pPr>
        <w:pStyle w:val="ListParagraph"/>
        <w:numPr>
          <w:ilvl w:val="0"/>
          <w:numId w:val="1"/>
        </w:numPr>
        <w:spacing w:after="0" w:line="360" w:lineRule="auto"/>
        <w:jc w:val="both"/>
        <w:rPr>
          <w:rFonts w:cstheme="minorHAnsi"/>
          <w:b/>
          <w:sz w:val="24"/>
          <w:szCs w:val="24"/>
          <w:lang w:val="en-US"/>
        </w:rPr>
      </w:pPr>
      <w:r w:rsidRPr="00CD364B">
        <w:rPr>
          <w:rFonts w:cstheme="minorHAnsi"/>
          <w:b/>
          <w:sz w:val="24"/>
          <w:szCs w:val="24"/>
          <w:lang w:val="en-US"/>
        </w:rPr>
        <w:t xml:space="preserve">Data and </w:t>
      </w:r>
      <w:r w:rsidR="00FF344C" w:rsidRPr="00CD364B">
        <w:rPr>
          <w:rFonts w:cstheme="minorHAnsi"/>
          <w:b/>
          <w:sz w:val="24"/>
          <w:szCs w:val="24"/>
          <w:lang w:val="en-US"/>
        </w:rPr>
        <w:t>Methodology</w:t>
      </w:r>
    </w:p>
    <w:p w14:paraId="2C45C058" w14:textId="77777777" w:rsidR="00FF344C" w:rsidRPr="00CD364B" w:rsidRDefault="00FF344C" w:rsidP="00004F21">
      <w:pPr>
        <w:spacing w:after="0" w:line="360" w:lineRule="auto"/>
        <w:jc w:val="both"/>
        <w:rPr>
          <w:rFonts w:cstheme="minorHAnsi"/>
          <w:b/>
          <w:sz w:val="24"/>
          <w:szCs w:val="24"/>
          <w:lang w:val="en-US"/>
        </w:rPr>
      </w:pPr>
    </w:p>
    <w:p w14:paraId="2D5A3D51" w14:textId="74119712" w:rsidR="00096B1A" w:rsidRPr="00CD364B" w:rsidRDefault="00096B1A" w:rsidP="00004F21">
      <w:pPr>
        <w:pStyle w:val="ListParagraph"/>
        <w:numPr>
          <w:ilvl w:val="1"/>
          <w:numId w:val="1"/>
        </w:numPr>
        <w:spacing w:after="0" w:line="360" w:lineRule="auto"/>
        <w:rPr>
          <w:rFonts w:cstheme="minorHAnsi"/>
          <w:b/>
          <w:sz w:val="24"/>
          <w:szCs w:val="24"/>
          <w:lang w:val="en-US"/>
        </w:rPr>
      </w:pPr>
      <w:r w:rsidRPr="00CD364B">
        <w:rPr>
          <w:rFonts w:cstheme="minorHAnsi"/>
          <w:b/>
          <w:sz w:val="24"/>
          <w:szCs w:val="24"/>
          <w:lang w:val="en-US"/>
        </w:rPr>
        <w:t>Data</w:t>
      </w:r>
    </w:p>
    <w:p w14:paraId="786944F2" w14:textId="50D97AF3" w:rsidR="00096B1A" w:rsidRPr="00CD364B" w:rsidRDefault="00096B1A" w:rsidP="00C11EC9">
      <w:pPr>
        <w:spacing w:after="0" w:line="360" w:lineRule="auto"/>
        <w:ind w:firstLine="720"/>
        <w:jc w:val="both"/>
        <w:rPr>
          <w:rFonts w:cstheme="minorHAnsi"/>
          <w:bCs/>
          <w:sz w:val="24"/>
          <w:szCs w:val="24"/>
          <w:lang w:val="en-US"/>
        </w:rPr>
      </w:pPr>
      <w:r w:rsidRPr="00CD364B">
        <w:rPr>
          <w:rFonts w:cstheme="minorHAnsi"/>
          <w:bCs/>
          <w:sz w:val="24"/>
          <w:szCs w:val="24"/>
          <w:lang w:val="en-US"/>
        </w:rPr>
        <w:t xml:space="preserve">The present paper utilizes the time series dataset constituting the daily observations of S&amp;P 500 Global Green Bond Index as a proxy for green financing and S&amp;P 500 Environmental and Social Responsibility Index. These daily observations for the given variables cover the </w:t>
      </w:r>
      <w:r w:rsidR="00C11EC9" w:rsidRPr="00CD364B">
        <w:rPr>
          <w:rFonts w:cstheme="minorHAnsi"/>
          <w:bCs/>
          <w:sz w:val="24"/>
          <w:szCs w:val="24"/>
          <w:lang w:val="en-US"/>
        </w:rPr>
        <w:t>period</w:t>
      </w:r>
      <w:r w:rsidRPr="00CD364B">
        <w:rPr>
          <w:rFonts w:cstheme="minorHAnsi"/>
          <w:bCs/>
          <w:sz w:val="24"/>
          <w:szCs w:val="24"/>
          <w:lang w:val="en-US"/>
        </w:rPr>
        <w:t xml:space="preserve"> from 1st October 2010 to 30th September 2020. The descriptive statistical features of the variables and the correlation between is reported in Table 1. The non-normal distribution nature of the data taken under study gets well evident from the results of Jarque-Bera Test presented in Table 1. This leads to possibility of non- linear linkage between the variables and the same may be examined by employing Quantile approaches (e.g. Bekiros et al., 2016; Balcilar et al., 2016; Troster et al., 2018; Sharif et al., 2019) which can very well deal with the issue of heavy tails. The correlation coefficient between the Global Green Bond Index and Environmental Social Responsibility Index is observed to be positive and statistically significant. </w:t>
      </w:r>
    </w:p>
    <w:p w14:paraId="7986E1DC" w14:textId="77777777" w:rsidR="00096B1A" w:rsidRPr="00CD364B" w:rsidRDefault="00096B1A" w:rsidP="00CD5F46">
      <w:pPr>
        <w:spacing w:after="0" w:line="360" w:lineRule="auto"/>
        <w:jc w:val="center"/>
        <w:rPr>
          <w:rFonts w:cstheme="minorHAnsi"/>
          <w:bCs/>
          <w:sz w:val="24"/>
          <w:szCs w:val="24"/>
          <w:lang w:val="en-US"/>
        </w:rPr>
      </w:pPr>
    </w:p>
    <w:p w14:paraId="4693AF21" w14:textId="77777777" w:rsidR="00096B1A" w:rsidRPr="00CD364B" w:rsidRDefault="00096B1A" w:rsidP="00CD5F46">
      <w:pPr>
        <w:spacing w:after="0" w:line="360" w:lineRule="auto"/>
        <w:jc w:val="center"/>
        <w:rPr>
          <w:rFonts w:cstheme="minorHAnsi"/>
          <w:b/>
          <w:sz w:val="24"/>
          <w:szCs w:val="24"/>
          <w:lang w:val="en-US"/>
        </w:rPr>
      </w:pPr>
      <w:r w:rsidRPr="00CD364B">
        <w:rPr>
          <w:rFonts w:cstheme="minorHAnsi"/>
          <w:b/>
          <w:sz w:val="24"/>
          <w:szCs w:val="24"/>
          <w:lang w:val="en-US"/>
        </w:rPr>
        <w:t>&lt;Insert Table 1 here&gt;</w:t>
      </w:r>
    </w:p>
    <w:p w14:paraId="2AB268B8" w14:textId="77777777" w:rsidR="00096B1A" w:rsidRPr="00CD364B" w:rsidRDefault="00096B1A" w:rsidP="00096B1A">
      <w:pPr>
        <w:spacing w:after="0" w:line="360" w:lineRule="auto"/>
        <w:rPr>
          <w:rFonts w:cstheme="minorHAnsi"/>
          <w:b/>
          <w:sz w:val="24"/>
          <w:szCs w:val="24"/>
          <w:lang w:val="en-US"/>
        </w:rPr>
      </w:pPr>
    </w:p>
    <w:p w14:paraId="19682B9E" w14:textId="77777777" w:rsidR="00096B1A" w:rsidRPr="00CD364B" w:rsidRDefault="00096B1A" w:rsidP="00C11EC9">
      <w:pPr>
        <w:spacing w:after="0" w:line="360" w:lineRule="auto"/>
        <w:ind w:firstLine="720"/>
        <w:jc w:val="both"/>
        <w:rPr>
          <w:rFonts w:cstheme="minorHAnsi"/>
          <w:bCs/>
          <w:sz w:val="24"/>
          <w:szCs w:val="24"/>
          <w:lang w:val="en-US"/>
        </w:rPr>
      </w:pPr>
      <w:r w:rsidRPr="00CD364B">
        <w:rPr>
          <w:rFonts w:cstheme="minorHAnsi"/>
          <w:bCs/>
          <w:sz w:val="24"/>
          <w:szCs w:val="24"/>
          <w:lang w:val="en-US"/>
        </w:rPr>
        <w:lastRenderedPageBreak/>
        <w:t xml:space="preserve">The innovative approach in the present paper lies in its endeavor to explore the effect of different frequencies of the time series of Global Green Bond Index on Environmental and Social Responsibility Index. The paper adopts the wavelet framework to examine the linkage between the variables taken under study. In this regard we utilize wavelets to decompose the daily time series of Global Green Bond Index into six different frequency components. Figure 1 presents the time series plot raw data of both dependent and independent variables and different frequency components of Global Green Bond Index. The high frequency in the short period accompanied by stability in longer periods may be very well demonstrated in Figure 1. </w:t>
      </w:r>
    </w:p>
    <w:p w14:paraId="4C5E1EE5" w14:textId="77777777" w:rsidR="00096B1A" w:rsidRPr="00CD364B" w:rsidRDefault="00096B1A" w:rsidP="00096B1A">
      <w:pPr>
        <w:spacing w:after="0" w:line="360" w:lineRule="auto"/>
        <w:rPr>
          <w:rFonts w:cstheme="minorHAnsi"/>
          <w:b/>
          <w:sz w:val="24"/>
          <w:szCs w:val="24"/>
          <w:lang w:val="en-US"/>
        </w:rPr>
      </w:pPr>
    </w:p>
    <w:p w14:paraId="7FBA90BD" w14:textId="51D41081" w:rsidR="00096B1A" w:rsidRPr="00CD364B" w:rsidRDefault="00096B1A" w:rsidP="00CD5F46">
      <w:pPr>
        <w:spacing w:after="0" w:line="360" w:lineRule="auto"/>
        <w:jc w:val="center"/>
        <w:rPr>
          <w:rFonts w:cstheme="minorHAnsi"/>
          <w:b/>
          <w:sz w:val="24"/>
          <w:szCs w:val="24"/>
          <w:lang w:val="en-US"/>
        </w:rPr>
      </w:pPr>
      <w:r w:rsidRPr="00CD364B">
        <w:rPr>
          <w:rFonts w:cstheme="minorHAnsi"/>
          <w:b/>
          <w:sz w:val="24"/>
          <w:szCs w:val="24"/>
          <w:lang w:val="en-US"/>
        </w:rPr>
        <w:t>&lt;Insert Figure 1 here&gt;</w:t>
      </w:r>
    </w:p>
    <w:p w14:paraId="30D12D64" w14:textId="0E4979FD" w:rsidR="00096B1A" w:rsidRPr="00CD364B" w:rsidRDefault="00096B1A" w:rsidP="008624B8">
      <w:pPr>
        <w:spacing w:after="0" w:line="360" w:lineRule="auto"/>
        <w:jc w:val="both"/>
        <w:rPr>
          <w:rFonts w:cstheme="minorHAnsi"/>
          <w:bCs/>
          <w:sz w:val="24"/>
          <w:szCs w:val="24"/>
          <w:lang w:val="en-US"/>
        </w:rPr>
      </w:pPr>
    </w:p>
    <w:p w14:paraId="33D9972F" w14:textId="1CDACA8D" w:rsidR="008624B8" w:rsidRPr="00CD364B" w:rsidRDefault="008624B8" w:rsidP="008624B8">
      <w:pPr>
        <w:spacing w:after="0" w:line="360" w:lineRule="auto"/>
        <w:jc w:val="both"/>
        <w:rPr>
          <w:rFonts w:cstheme="minorHAnsi"/>
          <w:bCs/>
          <w:sz w:val="24"/>
          <w:szCs w:val="24"/>
          <w:lang w:val="en-US"/>
        </w:rPr>
      </w:pPr>
      <w:r w:rsidRPr="00CD364B">
        <w:rPr>
          <w:rFonts w:cstheme="minorHAnsi"/>
          <w:bCs/>
          <w:sz w:val="24"/>
          <w:szCs w:val="24"/>
          <w:lang w:val="en-US"/>
        </w:rPr>
        <w:t>As the empirical model is based on a bivariate framework, it is quite obvious that the model will suffer from the endogeneity issue, and th</w:t>
      </w:r>
      <w:r w:rsidR="007B232C" w:rsidRPr="00CD364B">
        <w:rPr>
          <w:rFonts w:cstheme="minorHAnsi"/>
          <w:bCs/>
          <w:sz w:val="24"/>
          <w:szCs w:val="24"/>
          <w:lang w:val="en-US"/>
        </w:rPr>
        <w:t>is</w:t>
      </w:r>
      <w:r w:rsidRPr="00CD364B">
        <w:rPr>
          <w:rFonts w:cstheme="minorHAnsi"/>
          <w:bCs/>
          <w:sz w:val="24"/>
          <w:szCs w:val="24"/>
          <w:lang w:val="en-US"/>
        </w:rPr>
        <w:t xml:space="preserve"> issue might be arising out of omitted variable bias. In absence of other control variables in the model, it might be possible that the stochastic error term is correlated with the explanatory variable, which might cause the endogeneity issue</w:t>
      </w:r>
      <w:r w:rsidR="00607CF5" w:rsidRPr="00CD364B">
        <w:rPr>
          <w:rFonts w:cstheme="minorHAnsi"/>
          <w:bCs/>
          <w:sz w:val="24"/>
          <w:szCs w:val="24"/>
          <w:lang w:val="en-US"/>
        </w:rPr>
        <w:t xml:space="preserve"> (</w:t>
      </w:r>
      <w:r w:rsidR="00607CF5" w:rsidRPr="00CD364B">
        <w:rPr>
          <w:rFonts w:cstheme="minorHAnsi"/>
          <w:sz w:val="24"/>
          <w:szCs w:val="24"/>
          <w:shd w:val="clear" w:color="auto" w:fill="FFFFFF"/>
        </w:rPr>
        <w:t>Ullah et al., 2018, 2020</w:t>
      </w:r>
      <w:r w:rsidR="00607CF5" w:rsidRPr="00CD364B">
        <w:rPr>
          <w:rFonts w:cstheme="minorHAnsi"/>
          <w:bCs/>
          <w:sz w:val="24"/>
          <w:szCs w:val="24"/>
          <w:lang w:val="en-US"/>
        </w:rPr>
        <w:t>)</w:t>
      </w:r>
      <w:r w:rsidRPr="00CD364B">
        <w:rPr>
          <w:rFonts w:cstheme="minorHAnsi"/>
          <w:bCs/>
          <w:sz w:val="24"/>
          <w:szCs w:val="24"/>
          <w:lang w:val="en-US"/>
        </w:rPr>
        <w:t>.  In keeping with our research objective and to proceed with the bivariate framework, we have carried out the analysis in the frequency domain rather than the temporal domain. Drifting away from the temporal domain will nullify the possibility of the occurrence of any stochastic error, and therefore, the quantile estimation has been carried out on the data decomposed in the frequency domain by wavelet multiscale decomposition method.</w:t>
      </w:r>
    </w:p>
    <w:p w14:paraId="1AE4ED05" w14:textId="77777777" w:rsidR="00096B1A" w:rsidRPr="00CD364B" w:rsidRDefault="00096B1A" w:rsidP="00CD5F46">
      <w:pPr>
        <w:spacing w:after="0" w:line="360" w:lineRule="auto"/>
        <w:jc w:val="center"/>
        <w:rPr>
          <w:rFonts w:cstheme="minorHAnsi"/>
          <w:b/>
          <w:sz w:val="24"/>
          <w:szCs w:val="24"/>
          <w:lang w:val="en-US"/>
        </w:rPr>
      </w:pPr>
    </w:p>
    <w:p w14:paraId="65F48930" w14:textId="42C8D32D" w:rsidR="00FF344C" w:rsidRPr="00CD364B" w:rsidRDefault="00FF344C" w:rsidP="00004F21">
      <w:pPr>
        <w:pStyle w:val="ListParagraph"/>
        <w:numPr>
          <w:ilvl w:val="1"/>
          <w:numId w:val="1"/>
        </w:numPr>
        <w:spacing w:after="0" w:line="360" w:lineRule="auto"/>
        <w:rPr>
          <w:rFonts w:cstheme="minorHAnsi"/>
          <w:b/>
          <w:sz w:val="24"/>
          <w:szCs w:val="24"/>
          <w:lang w:val="en-US"/>
        </w:rPr>
      </w:pPr>
      <w:r w:rsidRPr="00CD364B">
        <w:rPr>
          <w:rFonts w:cstheme="minorHAnsi"/>
          <w:b/>
          <w:sz w:val="24"/>
          <w:szCs w:val="24"/>
          <w:lang w:val="en-US"/>
        </w:rPr>
        <w:t xml:space="preserve"> Quantile Autoregressive Unit Root Test</w:t>
      </w:r>
    </w:p>
    <w:p w14:paraId="5DA0DB19" w14:textId="77777777" w:rsidR="00835223" w:rsidRPr="00CD364B" w:rsidRDefault="00835223" w:rsidP="00004F21">
      <w:pPr>
        <w:spacing w:after="0" w:line="360" w:lineRule="auto"/>
        <w:jc w:val="both"/>
        <w:rPr>
          <w:rFonts w:cstheme="minorHAnsi"/>
          <w:sz w:val="24"/>
          <w:szCs w:val="24"/>
          <w:lang w:val="en-US"/>
        </w:rPr>
      </w:pPr>
    </w:p>
    <w:p w14:paraId="0984BFE2" w14:textId="7178D3DF" w:rsidR="00835223" w:rsidRPr="00CD364B" w:rsidRDefault="00FF344C" w:rsidP="00C11EC9">
      <w:pPr>
        <w:spacing w:after="0" w:line="360" w:lineRule="auto"/>
        <w:ind w:firstLine="720"/>
        <w:jc w:val="both"/>
        <w:rPr>
          <w:rFonts w:cstheme="minorHAnsi"/>
          <w:sz w:val="24"/>
          <w:szCs w:val="24"/>
          <w:lang w:val="en-US"/>
        </w:rPr>
      </w:pPr>
      <w:r w:rsidRPr="00CD364B">
        <w:rPr>
          <w:rFonts w:cstheme="minorHAnsi"/>
          <w:sz w:val="24"/>
          <w:szCs w:val="24"/>
          <w:lang w:val="en-US"/>
        </w:rPr>
        <w:t xml:space="preserve"> </w:t>
      </w:r>
      <w:r w:rsidR="00B73F81" w:rsidRPr="00CD364B">
        <w:rPr>
          <w:rFonts w:cstheme="minorHAnsi"/>
          <w:sz w:val="24"/>
          <w:szCs w:val="24"/>
          <w:lang w:val="en-US"/>
        </w:rPr>
        <w:t xml:space="preserve">We </w:t>
      </w:r>
      <w:r w:rsidR="00835223" w:rsidRPr="00CD364B">
        <w:rPr>
          <w:rFonts w:cstheme="minorHAnsi"/>
          <w:sz w:val="24"/>
          <w:szCs w:val="24"/>
          <w:lang w:val="en-US"/>
        </w:rPr>
        <w:t>analyze</w:t>
      </w:r>
      <w:r w:rsidRPr="00CD364B">
        <w:rPr>
          <w:rFonts w:cstheme="minorHAnsi"/>
          <w:sz w:val="24"/>
          <w:szCs w:val="24"/>
          <w:lang w:val="en-US"/>
        </w:rPr>
        <w:t xml:space="preserve"> the stationary properties of the time series by employing Quantile Auto-Regressive (QAR) unit root test proposed by Koenker and Xiao (2004). The QAR model of unit root test is instrumental in examining the stationarity of a time series data at both conditional mean and all the quantiles of the conditional distribution. Galvao (2009) further incorporated covariates and linear trend in the QAR model and consequently </w:t>
      </w:r>
      <w:r w:rsidR="00835223" w:rsidRPr="00CD364B">
        <w:rPr>
          <w:rFonts w:cstheme="minorHAnsi"/>
          <w:sz w:val="24"/>
          <w:szCs w:val="24"/>
          <w:lang w:val="en-US"/>
        </w:rPr>
        <w:t>generalized</w:t>
      </w:r>
      <w:r w:rsidRPr="00CD364B">
        <w:rPr>
          <w:rFonts w:cstheme="minorHAnsi"/>
          <w:sz w:val="24"/>
          <w:szCs w:val="24"/>
          <w:lang w:val="en-US"/>
        </w:rPr>
        <w:t xml:space="preserve"> it.</w:t>
      </w:r>
    </w:p>
    <w:p w14:paraId="39035B82" w14:textId="230E4B1C" w:rsidR="00FF344C" w:rsidRPr="00CD364B" w:rsidRDefault="00FF344C" w:rsidP="00004F21">
      <w:pPr>
        <w:spacing w:after="0" w:line="360" w:lineRule="auto"/>
        <w:ind w:firstLine="720"/>
        <w:jc w:val="both"/>
        <w:rPr>
          <w:rFonts w:eastAsiaTheme="minorEastAsia" w:cstheme="minorHAnsi"/>
          <w:sz w:val="24"/>
          <w:szCs w:val="24"/>
          <w:lang w:val="en-US"/>
        </w:rPr>
      </w:pPr>
      <w:r w:rsidRPr="00CD364B">
        <w:rPr>
          <w:rFonts w:cstheme="minorHAnsi"/>
          <w:sz w:val="24"/>
          <w:szCs w:val="24"/>
          <w:lang w:val="en-US"/>
        </w:rPr>
        <w:t xml:space="preserve">Suppose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X</m:t>
            </m:r>
          </m:e>
          <m:sub>
            <m:r>
              <w:rPr>
                <w:rFonts w:ascii="Cambria Math" w:hAnsi="Cambria Math" w:cstheme="minorHAnsi"/>
                <w:sz w:val="24"/>
                <w:szCs w:val="24"/>
                <w:lang w:val="en-US"/>
              </w:rPr>
              <m:t>t</m:t>
            </m:r>
          </m:sub>
        </m:sSub>
      </m:oMath>
      <w:r w:rsidRPr="00CD364B">
        <w:rPr>
          <w:rFonts w:cstheme="minorHAnsi"/>
          <w:sz w:val="24"/>
          <w:szCs w:val="24"/>
          <w:lang w:val="en-US"/>
        </w:rPr>
        <w:t xml:space="preserve"> indicates the presence of strict stationarity with the prior information set </w:t>
      </w:r>
      <m:oMath>
        <m:sSubSup>
          <m:sSubSupPr>
            <m:ctrlPr>
              <w:rPr>
                <w:rFonts w:ascii="Cambria Math" w:hAnsi="Cambria Math" w:cstheme="minorHAnsi"/>
                <w:i/>
                <w:sz w:val="24"/>
                <w:szCs w:val="24"/>
                <w:lang w:val="en-US"/>
              </w:rPr>
            </m:ctrlPr>
          </m:sSubSupPr>
          <m:e>
            <m:r>
              <m:rPr>
                <m:scr m:val="script"/>
              </m:rPr>
              <w:rPr>
                <w:rFonts w:ascii="Cambria Math" w:hAnsi="Cambria Math" w:cstheme="minorHAnsi"/>
                <w:sz w:val="24"/>
                <w:szCs w:val="24"/>
                <w:lang w:val="en-US"/>
              </w:rPr>
              <m:t>I</m:t>
            </m:r>
          </m:e>
          <m:sub>
            <m:r>
              <m:rPr>
                <m:scr m:val="script"/>
              </m:rPr>
              <w:rPr>
                <w:rFonts w:ascii="Cambria Math" w:hAnsi="Cambria Math" w:cstheme="minorHAnsi"/>
                <w:sz w:val="24"/>
                <w:szCs w:val="24"/>
                <w:lang w:val="en-US"/>
              </w:rPr>
              <m:t xml:space="preserve">T </m:t>
            </m:r>
          </m:sub>
          <m:sup>
            <m:r>
              <w:rPr>
                <w:rFonts w:ascii="Cambria Math" w:hAnsi="Cambria Math" w:cstheme="minorHAnsi"/>
                <w:sz w:val="24"/>
                <w:szCs w:val="24"/>
                <w:lang w:val="en-US"/>
              </w:rPr>
              <m:t>X</m:t>
            </m:r>
          </m:sup>
        </m:sSubSup>
        <m:r>
          <w:rPr>
            <w:rFonts w:ascii="Cambria Math" w:hAnsi="Cambria Math" w:cstheme="minorHAnsi"/>
            <w:sz w:val="24"/>
            <w:szCs w:val="24"/>
            <w:lang w:val="en-US"/>
          </w:rPr>
          <m:t>=</m:t>
        </m:r>
        <m:sSup>
          <m:sSupPr>
            <m:ctrlPr>
              <w:rPr>
                <w:rFonts w:ascii="Cambria Math" w:hAnsi="Cambria Math" w:cstheme="minorHAnsi"/>
                <w:i/>
                <w:sz w:val="24"/>
                <w:szCs w:val="24"/>
                <w:lang w:val="en-US"/>
              </w:rPr>
            </m:ctrlPr>
          </m:sSupPr>
          <m:e>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X</m:t>
                </m:r>
              </m:e>
              <m:sub>
                <m:r>
                  <m:rPr>
                    <m:scr m:val="script"/>
                  </m:rPr>
                  <w:rPr>
                    <w:rFonts w:ascii="Cambria Math" w:hAnsi="Cambria Math" w:cstheme="minorHAnsi"/>
                    <w:sz w:val="24"/>
                    <w:szCs w:val="24"/>
                    <w:lang w:val="en-US"/>
                  </w:rPr>
                  <m:t>T-</m:t>
                </m:r>
                <m:r>
                  <w:rPr>
                    <w:rFonts w:ascii="Cambria Math" w:hAnsi="Cambria Math" w:cstheme="minorHAnsi"/>
                    <w:sz w:val="24"/>
                    <w:szCs w:val="24"/>
                    <w:lang w:val="en-US"/>
                  </w:rPr>
                  <m:t>1</m:t>
                </m:r>
              </m:sub>
            </m:sSub>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X</m:t>
                </m:r>
              </m:e>
              <m:sub>
                <m:r>
                  <m:rPr>
                    <m:scr m:val="script"/>
                  </m:rPr>
                  <w:rPr>
                    <w:rFonts w:ascii="Cambria Math" w:hAnsi="Cambria Math" w:cstheme="minorHAnsi"/>
                    <w:sz w:val="24"/>
                    <w:szCs w:val="24"/>
                    <w:lang w:val="en-US"/>
                  </w:rPr>
                  <m:t>T-S</m:t>
                </m:r>
              </m:sub>
            </m:sSub>
            <m:r>
              <w:rPr>
                <w:rFonts w:ascii="Cambria Math" w:hAnsi="Cambria Math" w:cstheme="minorHAnsi"/>
                <w:sz w:val="24"/>
                <w:szCs w:val="24"/>
                <w:lang w:val="en-US"/>
              </w:rPr>
              <m:t>)</m:t>
            </m:r>
          </m:e>
          <m:sup>
            <m:r>
              <w:rPr>
                <w:rFonts w:ascii="Cambria Math" w:hAnsi="Cambria Math" w:cstheme="minorHAnsi"/>
                <w:sz w:val="24"/>
                <w:szCs w:val="24"/>
                <w:lang w:val="en-US"/>
              </w:rPr>
              <m:t xml:space="preserve">' </m:t>
            </m:r>
          </m:sup>
        </m:sSup>
        <m:r>
          <w:rPr>
            <w:rFonts w:ascii="Cambria Math" w:hAnsi="Cambria Math" w:cstheme="minorHAnsi"/>
            <w:sz w:val="24"/>
            <w:szCs w:val="24"/>
            <w:lang w:val="en-US"/>
          </w:rPr>
          <m:t>ϵ</m:t>
        </m:r>
        <m:sSup>
          <m:sSupPr>
            <m:ctrlPr>
              <w:rPr>
                <w:rFonts w:ascii="Cambria Math" w:hAnsi="Cambria Math" w:cstheme="minorHAnsi"/>
                <w:i/>
                <w:sz w:val="24"/>
                <w:szCs w:val="24"/>
                <w:lang w:val="en-US"/>
              </w:rPr>
            </m:ctrlPr>
          </m:sSupPr>
          <m:e>
            <m:r>
              <m:rPr>
                <m:scr m:val="double-struck"/>
              </m:rPr>
              <w:rPr>
                <w:rFonts w:ascii="Cambria Math" w:hAnsi="Cambria Math" w:cstheme="minorHAnsi"/>
                <w:sz w:val="24"/>
                <w:szCs w:val="24"/>
                <w:lang w:val="en-US"/>
              </w:rPr>
              <m:t>R</m:t>
            </m:r>
          </m:e>
          <m:sup>
            <m:r>
              <m:rPr>
                <m:scr m:val="script"/>
              </m:rPr>
              <w:rPr>
                <w:rFonts w:ascii="Cambria Math" w:hAnsi="Cambria Math" w:cstheme="minorHAnsi"/>
                <w:sz w:val="24"/>
                <w:szCs w:val="24"/>
                <w:lang w:val="en-US"/>
              </w:rPr>
              <m:t>S</m:t>
            </m:r>
          </m:sup>
        </m:sSup>
      </m:oMath>
      <w:r w:rsidRPr="00CD364B">
        <w:rPr>
          <w:rFonts w:eastAsiaTheme="minorEastAsia" w:cstheme="minorHAnsi"/>
          <w:sz w:val="24"/>
          <w:szCs w:val="24"/>
          <w:lang w:val="en-US"/>
        </w:rPr>
        <w:t xml:space="preserve">. Further </w:t>
      </w:r>
      <m:oMath>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F</m:t>
            </m:r>
          </m:e>
          <m:sub>
            <m:r>
              <w:rPr>
                <w:rFonts w:ascii="Cambria Math" w:eastAsiaTheme="minorEastAsia" w:hAnsi="Cambria Math" w:cstheme="minorHAnsi"/>
                <w:sz w:val="24"/>
                <w:szCs w:val="24"/>
                <w:lang w:val="en-US"/>
              </w:rPr>
              <m:t xml:space="preserve">X </m:t>
            </m:r>
          </m:sub>
        </m:sSub>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m:t>
            </m:r>
          </m:e>
          <m:e>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I</m:t>
                </m:r>
              </m:e>
              <m:sub>
                <m:r>
                  <m:rPr>
                    <m:scr m:val="script"/>
                  </m:rPr>
                  <w:rPr>
                    <w:rFonts w:ascii="Cambria Math" w:eastAsiaTheme="minorEastAsia" w:hAnsi="Cambria Math" w:cstheme="minorHAnsi"/>
                    <w:sz w:val="24"/>
                    <w:szCs w:val="24"/>
                    <w:lang w:val="en-US"/>
                  </w:rPr>
                  <m:t>t</m:t>
                </m:r>
              </m:sub>
              <m:sup>
                <m:r>
                  <w:rPr>
                    <w:rFonts w:ascii="Cambria Math" w:eastAsiaTheme="minorEastAsia" w:hAnsi="Cambria Math" w:cstheme="minorHAnsi"/>
                    <w:sz w:val="24"/>
                    <w:szCs w:val="24"/>
                    <w:lang w:val="en-US"/>
                  </w:rPr>
                  <m:t>X</m:t>
                </m:r>
              </m:sup>
            </m:sSubSup>
          </m:e>
        </m:d>
      </m:oMath>
      <w:r w:rsidRPr="00CD364B">
        <w:rPr>
          <w:rFonts w:eastAsiaTheme="minorEastAsia" w:cstheme="minorHAnsi"/>
          <w:sz w:val="24"/>
          <w:szCs w:val="24"/>
          <w:lang w:val="en-US"/>
        </w:rPr>
        <w:t xml:space="preserve"> is assumed to be the conditional </w:t>
      </w:r>
      <w:r w:rsidRPr="00CD364B">
        <w:rPr>
          <w:rFonts w:eastAsiaTheme="minorEastAsia" w:cstheme="minorHAnsi"/>
          <w:sz w:val="24"/>
          <w:szCs w:val="24"/>
          <w:lang w:val="en-US"/>
        </w:rPr>
        <w:lastRenderedPageBreak/>
        <w:t xml:space="preserve">distribution function of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X</m:t>
            </m:r>
          </m:e>
          <m:sub>
            <m:r>
              <m:rPr>
                <m:scr m:val="script"/>
              </m:rPr>
              <w:rPr>
                <w:rFonts w:ascii="Cambria Math" w:hAnsi="Cambria Math" w:cstheme="minorHAnsi"/>
                <w:sz w:val="24"/>
                <w:szCs w:val="24"/>
                <w:lang w:val="en-US"/>
              </w:rPr>
              <m:t>T</m:t>
            </m:r>
          </m:sub>
        </m:sSub>
      </m:oMath>
      <w:r w:rsidRPr="00CD364B">
        <w:rPr>
          <w:rFonts w:eastAsiaTheme="minorEastAsia" w:cstheme="minorHAnsi"/>
          <w:sz w:val="24"/>
          <w:szCs w:val="24"/>
          <w:lang w:val="en-US"/>
        </w:rPr>
        <w:t xml:space="preserve"> with </w:t>
      </w:r>
      <m:oMath>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I</m:t>
            </m:r>
          </m:e>
          <m:sub>
            <m:r>
              <m:rPr>
                <m:scr m:val="script"/>
              </m:rPr>
              <w:rPr>
                <w:rFonts w:ascii="Cambria Math" w:eastAsiaTheme="minorEastAsia" w:hAnsi="Cambria Math" w:cstheme="minorHAnsi"/>
                <w:sz w:val="24"/>
                <w:szCs w:val="24"/>
                <w:lang w:val="en-US"/>
              </w:rPr>
              <m:t>t</m:t>
            </m:r>
          </m:sub>
          <m:sup>
            <m:r>
              <w:rPr>
                <w:rFonts w:ascii="Cambria Math" w:eastAsiaTheme="minorEastAsia" w:hAnsi="Cambria Math" w:cstheme="minorHAnsi"/>
                <w:sz w:val="24"/>
                <w:szCs w:val="24"/>
                <w:lang w:val="en-US"/>
              </w:rPr>
              <m:t>X</m:t>
            </m:r>
          </m:sup>
        </m:sSubSup>
      </m:oMath>
      <w:r w:rsidRPr="00CD364B">
        <w:rPr>
          <w:rFonts w:eastAsiaTheme="minorEastAsia" w:cstheme="minorHAnsi"/>
          <w:sz w:val="24"/>
          <w:szCs w:val="24"/>
          <w:lang w:val="en-US"/>
        </w:rPr>
        <w:t xml:space="preserve"> . The linear Quantile Regression Model (QRM) forms the basis of QAR unit root test which may be indicated as follows:</w:t>
      </w:r>
    </w:p>
    <w:p w14:paraId="76644623" w14:textId="77777777" w:rsidR="00835223" w:rsidRPr="00CD364B" w:rsidRDefault="00835223" w:rsidP="00004F21">
      <w:pPr>
        <w:spacing w:after="0" w:line="360" w:lineRule="auto"/>
        <w:ind w:firstLine="720"/>
        <w:jc w:val="both"/>
        <w:rPr>
          <w:rFonts w:eastAsiaTheme="minorEastAsia" w:cstheme="minorHAnsi"/>
          <w:sz w:val="24"/>
          <w:szCs w:val="24"/>
          <w:lang w:val="en-US"/>
        </w:rPr>
      </w:pPr>
    </w:p>
    <w:p w14:paraId="50DA5946" w14:textId="4F75467B" w:rsidR="00FF344C" w:rsidRPr="00CD364B" w:rsidRDefault="00FF747F" w:rsidP="00096B1A">
      <w:pPr>
        <w:spacing w:after="0" w:line="360" w:lineRule="auto"/>
        <w:ind w:firstLine="720"/>
        <w:jc w:val="both"/>
        <w:rPr>
          <w:rFonts w:eastAsiaTheme="minorEastAsia" w:cstheme="minorHAnsi"/>
          <w:sz w:val="24"/>
          <w:szCs w:val="24"/>
          <w:lang w:val="en-US"/>
        </w:rPr>
      </w:pPr>
      <m:oMath>
        <m:sSubSup>
          <m:sSubSupPr>
            <m:ctrlPr>
              <w:rPr>
                <w:rFonts w:ascii="Cambria Math" w:hAnsi="Cambria Math" w:cstheme="minorHAnsi"/>
                <w:i/>
                <w:sz w:val="24"/>
                <w:szCs w:val="24"/>
                <w:lang w:val="en-US"/>
              </w:rPr>
            </m:ctrlPr>
          </m:sSubSupPr>
          <m:e>
            <m:r>
              <m:rPr>
                <m:scr m:val="script"/>
              </m:rPr>
              <w:rPr>
                <w:rFonts w:ascii="Cambria Math" w:hAnsi="Cambria Math" w:cstheme="minorHAnsi"/>
                <w:sz w:val="24"/>
                <w:szCs w:val="24"/>
                <w:lang w:val="en-US"/>
              </w:rPr>
              <m:t>Q</m:t>
            </m:r>
          </m:e>
          <m:sub>
            <m:r>
              <w:rPr>
                <w:rFonts w:ascii="Cambria Math" w:hAnsi="Cambria Math" w:cstheme="minorHAnsi"/>
                <w:sz w:val="24"/>
                <w:szCs w:val="24"/>
                <w:lang w:val="en-US"/>
              </w:rPr>
              <m:t>τ</m:t>
            </m:r>
          </m:sub>
          <m:sup>
            <m:r>
              <w:rPr>
                <w:rFonts w:ascii="Cambria Math" w:hAnsi="Cambria Math" w:cstheme="minorHAnsi"/>
                <w:sz w:val="24"/>
                <w:szCs w:val="24"/>
                <w:lang w:val="en-US"/>
              </w:rPr>
              <m:t>X</m:t>
            </m:r>
          </m:sup>
        </m:sSubSup>
        <m:d>
          <m:dPr>
            <m:ctrlPr>
              <w:rPr>
                <w:rFonts w:ascii="Cambria Math" w:hAnsi="Cambria Math" w:cstheme="minorHAnsi"/>
                <w:i/>
                <w:sz w:val="24"/>
                <w:szCs w:val="24"/>
                <w:lang w:val="en-US"/>
              </w:rPr>
            </m:ctrlPr>
          </m:dPr>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X</m:t>
                </m:r>
              </m:e>
              <m:sub>
                <m:r>
                  <m:rPr>
                    <m:scr m:val="script"/>
                  </m:rPr>
                  <w:rPr>
                    <w:rFonts w:ascii="Cambria Math" w:hAnsi="Cambria Math" w:cstheme="minorHAnsi"/>
                    <w:sz w:val="24"/>
                    <w:szCs w:val="24"/>
                    <w:lang w:val="en-US"/>
                  </w:rPr>
                  <m:t>T</m:t>
                </m:r>
              </m:sub>
            </m:sSub>
          </m:e>
          <m:e>
            <m:sSubSup>
              <m:sSubSupPr>
                <m:ctrlPr>
                  <w:rPr>
                    <w:rFonts w:ascii="Cambria Math" w:hAnsi="Cambria Math" w:cstheme="minorHAnsi"/>
                    <w:i/>
                    <w:sz w:val="24"/>
                    <w:szCs w:val="24"/>
                    <w:lang w:val="en-US"/>
                  </w:rPr>
                </m:ctrlPr>
              </m:sSubSupPr>
              <m:e>
                <m:r>
                  <m:rPr>
                    <m:scr m:val="script"/>
                  </m:rPr>
                  <w:rPr>
                    <w:rFonts w:ascii="Cambria Math" w:hAnsi="Cambria Math" w:cstheme="minorHAnsi"/>
                    <w:sz w:val="24"/>
                    <w:szCs w:val="24"/>
                    <w:lang w:val="en-US"/>
                  </w:rPr>
                  <m:t>I</m:t>
                </m:r>
              </m:e>
              <m:sub>
                <m:r>
                  <m:rPr>
                    <m:scr m:val="script"/>
                  </m:rPr>
                  <w:rPr>
                    <w:rFonts w:ascii="Cambria Math" w:hAnsi="Cambria Math" w:cstheme="minorHAnsi"/>
                    <w:sz w:val="24"/>
                    <w:szCs w:val="24"/>
                    <w:lang w:val="en-US"/>
                  </w:rPr>
                  <m:t>T</m:t>
                </m:r>
              </m:sub>
              <m:sup>
                <m:r>
                  <w:rPr>
                    <w:rFonts w:ascii="Cambria Math" w:hAnsi="Cambria Math" w:cstheme="minorHAnsi"/>
                    <w:sz w:val="24"/>
                    <w:szCs w:val="24"/>
                    <w:lang w:val="en-US"/>
                  </w:rPr>
                  <m:t>X</m:t>
                </m:r>
              </m:sup>
            </m:sSubSup>
          </m:e>
        </m:d>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μ</m:t>
            </m:r>
          </m:e>
          <m:sub>
            <m:r>
              <w:rPr>
                <w:rFonts w:ascii="Cambria Math" w:hAnsi="Cambria Math" w:cstheme="minorHAnsi"/>
                <w:sz w:val="24"/>
                <w:szCs w:val="24"/>
                <w:lang w:val="en-US"/>
              </w:rPr>
              <m:t>1</m:t>
            </m:r>
          </m:sub>
        </m:sSub>
        <m:d>
          <m:dPr>
            <m:ctrlPr>
              <w:rPr>
                <w:rFonts w:ascii="Cambria Math" w:hAnsi="Cambria Math" w:cstheme="minorHAnsi"/>
                <w:i/>
                <w:sz w:val="24"/>
                <w:szCs w:val="24"/>
                <w:lang w:val="en-US"/>
              </w:rPr>
            </m:ctrlPr>
          </m:dPr>
          <m:e>
            <m:r>
              <w:rPr>
                <w:rFonts w:ascii="Cambria Math" w:hAnsi="Cambria Math" w:cstheme="minorHAnsi"/>
                <w:sz w:val="24"/>
                <w:szCs w:val="24"/>
                <w:lang w:val="en-US"/>
              </w:rPr>
              <m:t>τ</m:t>
            </m:r>
          </m:e>
        </m:d>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μ</m:t>
            </m:r>
          </m:e>
          <m:sub>
            <m:r>
              <w:rPr>
                <w:rFonts w:ascii="Cambria Math" w:hAnsi="Cambria Math" w:cstheme="minorHAnsi"/>
                <w:sz w:val="24"/>
                <w:szCs w:val="24"/>
                <w:lang w:val="en-US"/>
              </w:rPr>
              <m:t>2</m:t>
            </m:r>
          </m:sub>
        </m:sSub>
        <m:d>
          <m:dPr>
            <m:ctrlPr>
              <w:rPr>
                <w:rFonts w:ascii="Cambria Math" w:hAnsi="Cambria Math" w:cstheme="minorHAnsi"/>
                <w:i/>
                <w:sz w:val="24"/>
                <w:szCs w:val="24"/>
                <w:lang w:val="en-US"/>
              </w:rPr>
            </m:ctrlPr>
          </m:dPr>
          <m:e>
            <m:r>
              <w:rPr>
                <w:rFonts w:ascii="Cambria Math" w:hAnsi="Cambria Math" w:cstheme="minorHAnsi"/>
                <w:sz w:val="24"/>
                <w:szCs w:val="24"/>
                <w:lang w:val="en-US"/>
              </w:rPr>
              <m:t>τ</m:t>
            </m:r>
          </m:e>
        </m:d>
        <m:r>
          <m:rPr>
            <m:scr m:val="script"/>
          </m:rPr>
          <w:rPr>
            <w:rFonts w:ascii="Cambria Math" w:hAnsi="Cambria Math" w:cstheme="minorHAnsi"/>
            <w:sz w:val="24"/>
            <w:szCs w:val="24"/>
            <w:lang w:val="en-US"/>
          </w:rPr>
          <m:t>T+</m:t>
        </m:r>
        <m:r>
          <w:rPr>
            <w:rFonts w:ascii="Cambria Math" w:hAnsi="Cambria Math" w:cstheme="minorHAnsi"/>
            <w:sz w:val="24"/>
            <w:szCs w:val="24"/>
            <w:lang w:val="en-US"/>
          </w:rPr>
          <m:t>α</m:t>
        </m:r>
        <m:d>
          <m:dPr>
            <m:ctrlPr>
              <w:rPr>
                <w:rFonts w:ascii="Cambria Math" w:hAnsi="Cambria Math" w:cstheme="minorHAnsi"/>
                <w:i/>
                <w:sz w:val="24"/>
                <w:szCs w:val="24"/>
                <w:lang w:val="en-US"/>
              </w:rPr>
            </m:ctrlPr>
          </m:dPr>
          <m:e>
            <m:r>
              <w:rPr>
                <w:rFonts w:ascii="Cambria Math" w:hAnsi="Cambria Math" w:cstheme="minorHAnsi"/>
                <w:sz w:val="24"/>
                <w:szCs w:val="24"/>
                <w:lang w:val="en-US"/>
              </w:rPr>
              <m:t>τ</m:t>
            </m:r>
          </m:e>
        </m:d>
        <m:sSub>
          <m:sSubPr>
            <m:ctrlPr>
              <w:rPr>
                <w:rFonts w:ascii="Cambria Math" w:hAnsi="Cambria Math" w:cstheme="minorHAnsi"/>
                <w:i/>
                <w:sz w:val="24"/>
                <w:szCs w:val="24"/>
                <w:lang w:val="en-US"/>
              </w:rPr>
            </m:ctrlPr>
          </m:sSubPr>
          <m:e>
            <m:r>
              <w:rPr>
                <w:rFonts w:ascii="Cambria Math" w:hAnsi="Cambria Math" w:cstheme="minorHAnsi"/>
                <w:sz w:val="24"/>
                <w:szCs w:val="24"/>
                <w:lang w:val="en-US"/>
              </w:rPr>
              <m:t>X</m:t>
            </m:r>
          </m:e>
          <m:sub>
            <m:r>
              <m:rPr>
                <m:scr m:val="script"/>
              </m:rPr>
              <w:rPr>
                <w:rFonts w:ascii="Cambria Math" w:hAnsi="Cambria Math" w:cstheme="minorHAnsi"/>
                <w:sz w:val="24"/>
                <w:szCs w:val="24"/>
                <w:lang w:val="en-US"/>
              </w:rPr>
              <m:t>t-</m:t>
            </m:r>
            <m:r>
              <w:rPr>
                <w:rFonts w:ascii="Cambria Math" w:hAnsi="Cambria Math" w:cstheme="minorHAnsi"/>
                <w:sz w:val="24"/>
                <w:szCs w:val="24"/>
                <w:lang w:val="en-US"/>
              </w:rPr>
              <m:t>1</m:t>
            </m:r>
          </m:sub>
        </m:sSub>
        <m:r>
          <w:rPr>
            <w:rFonts w:ascii="Cambria Math" w:hAnsi="Cambria Math" w:cstheme="minorHAnsi"/>
            <w:sz w:val="24"/>
            <w:szCs w:val="24"/>
            <w:lang w:val="en-US"/>
          </w:rPr>
          <m:t>+</m:t>
        </m:r>
        <m:nary>
          <m:naryPr>
            <m:chr m:val="∑"/>
            <m:limLoc m:val="undOvr"/>
            <m:ctrlPr>
              <w:rPr>
                <w:rFonts w:ascii="Cambria Math" w:hAnsi="Cambria Math" w:cstheme="minorHAnsi"/>
                <w:i/>
                <w:sz w:val="24"/>
                <w:szCs w:val="24"/>
                <w:lang w:val="en-US"/>
              </w:rPr>
            </m:ctrlPr>
          </m:naryPr>
          <m:sub>
            <m:r>
              <m:rPr>
                <m:scr m:val="script"/>
              </m:rPr>
              <w:rPr>
                <w:rFonts w:ascii="Cambria Math" w:hAnsi="Cambria Math" w:cstheme="minorHAnsi"/>
                <w:sz w:val="24"/>
                <w:szCs w:val="24"/>
                <w:lang w:val="en-US"/>
              </w:rPr>
              <m:t>j</m:t>
            </m:r>
            <m:r>
              <w:rPr>
                <w:rFonts w:ascii="Cambria Math" w:hAnsi="Cambria Math" w:cstheme="minorHAnsi"/>
                <w:sz w:val="24"/>
                <w:szCs w:val="24"/>
                <w:lang w:val="en-US"/>
              </w:rPr>
              <m:t>=1</m:t>
            </m:r>
          </m:sub>
          <m:sup>
            <m:r>
              <m:rPr>
                <m:scr m:val="script"/>
              </m:rPr>
              <w:rPr>
                <w:rFonts w:ascii="Cambria Math" w:hAnsi="Cambria Math" w:cstheme="minorHAnsi"/>
                <w:sz w:val="24"/>
                <w:szCs w:val="24"/>
                <w:lang w:val="en-US"/>
              </w:rPr>
              <m:t>p</m:t>
            </m:r>
          </m:sup>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α</m:t>
                </m:r>
              </m:e>
              <m:sub>
                <m:r>
                  <m:rPr>
                    <m:scr m:val="script"/>
                  </m:rPr>
                  <w:rPr>
                    <w:rFonts w:ascii="Cambria Math" w:hAnsi="Cambria Math" w:cstheme="minorHAnsi"/>
                    <w:sz w:val="24"/>
                    <w:szCs w:val="24"/>
                    <w:lang w:val="en-US"/>
                  </w:rPr>
                  <m:t>j</m:t>
                </m:r>
              </m:sub>
            </m:sSub>
            <m:r>
              <w:rPr>
                <w:rFonts w:ascii="Cambria Math" w:hAnsi="Cambria Math" w:cstheme="minorHAnsi"/>
                <w:sz w:val="24"/>
                <w:szCs w:val="24"/>
                <w:lang w:val="en-US"/>
              </w:rPr>
              <m:t>(τ)</m:t>
            </m:r>
          </m:e>
        </m:nary>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X</m:t>
            </m:r>
          </m:e>
          <m:sub>
            <m:r>
              <m:rPr>
                <m:scr m:val="script"/>
              </m:rPr>
              <w:rPr>
                <w:rFonts w:ascii="Cambria Math" w:hAnsi="Cambria Math" w:cstheme="minorHAnsi"/>
                <w:sz w:val="24"/>
                <w:szCs w:val="24"/>
                <w:lang w:val="en-US"/>
              </w:rPr>
              <m:t>t-j</m:t>
            </m:r>
          </m:sub>
        </m:sSub>
        <m:r>
          <w:rPr>
            <w:rFonts w:ascii="Cambria Math" w:hAnsi="Cambria Math" w:cstheme="minorHAnsi"/>
            <w:sz w:val="24"/>
            <w:szCs w:val="24"/>
            <w:lang w:val="en-US"/>
          </w:rPr>
          <m:t>+</m:t>
        </m:r>
        <m:sSubSup>
          <m:sSubSupPr>
            <m:ctrlPr>
              <w:rPr>
                <w:rFonts w:ascii="Cambria Math" w:hAnsi="Cambria Math" w:cstheme="minorHAnsi"/>
                <w:i/>
                <w:sz w:val="24"/>
                <w:szCs w:val="24"/>
                <w:lang w:val="en-US"/>
              </w:rPr>
            </m:ctrlPr>
          </m:sSubSupPr>
          <m:e>
            <m:r>
              <m:rPr>
                <m:scr m:val="script"/>
              </m:rPr>
              <w:rPr>
                <w:rFonts w:ascii="Cambria Math" w:hAnsi="Cambria Math" w:cstheme="minorHAnsi"/>
                <w:sz w:val="24"/>
                <w:szCs w:val="24"/>
                <w:lang w:val="en-US"/>
              </w:rPr>
              <m:t>F</m:t>
            </m:r>
          </m:e>
          <m:sub>
            <m:r>
              <m:rPr>
                <m:scr m:val="script"/>
              </m:rPr>
              <w:rPr>
                <w:rFonts w:ascii="Cambria Math" w:hAnsi="Cambria Math" w:cstheme="minorHAnsi"/>
                <w:sz w:val="24"/>
                <w:szCs w:val="24"/>
                <w:lang w:val="en-US"/>
              </w:rPr>
              <m:t>u</m:t>
            </m:r>
          </m:sub>
          <m:sup>
            <m:r>
              <w:rPr>
                <w:rFonts w:ascii="Cambria Math" w:hAnsi="Cambria Math" w:cstheme="minorHAnsi"/>
                <w:sz w:val="24"/>
                <w:szCs w:val="24"/>
                <w:lang w:val="en-US"/>
              </w:rPr>
              <m:t>-1</m:t>
            </m:r>
          </m:sup>
        </m:sSubSup>
        <m:r>
          <w:rPr>
            <w:rFonts w:ascii="Cambria Math" w:hAnsi="Cambria Math" w:cstheme="minorHAnsi"/>
            <w:sz w:val="24"/>
            <w:szCs w:val="24"/>
            <w:lang w:val="en-US"/>
          </w:rPr>
          <m:t>(τ)</m:t>
        </m:r>
      </m:oMath>
      <w:r w:rsidR="00FF344C" w:rsidRPr="00CD364B">
        <w:rPr>
          <w:rFonts w:eastAsiaTheme="minorEastAsia" w:cstheme="minorHAnsi"/>
          <w:sz w:val="24"/>
          <w:szCs w:val="24"/>
          <w:lang w:val="en-US"/>
        </w:rPr>
        <w:t xml:space="preserve">     </w:t>
      </w:r>
      <w:r w:rsidR="00096B1A" w:rsidRPr="00CD364B">
        <w:rPr>
          <w:rFonts w:eastAsiaTheme="minorEastAsia" w:cstheme="minorHAnsi"/>
          <w:sz w:val="24"/>
          <w:szCs w:val="24"/>
          <w:lang w:val="en-US"/>
        </w:rPr>
        <w:t xml:space="preserve">   </w:t>
      </w:r>
      <w:r w:rsidR="00FF344C" w:rsidRPr="00CD364B">
        <w:rPr>
          <w:rFonts w:eastAsiaTheme="minorEastAsia" w:cstheme="minorHAnsi"/>
          <w:sz w:val="24"/>
          <w:szCs w:val="24"/>
          <w:lang w:val="en-US"/>
        </w:rPr>
        <w:t xml:space="preserve">       (1)</w:t>
      </w:r>
    </w:p>
    <w:p w14:paraId="5C50C669" w14:textId="77777777" w:rsidR="00835223" w:rsidRPr="00CD364B" w:rsidRDefault="00835223" w:rsidP="00004F21">
      <w:pPr>
        <w:spacing w:after="0" w:line="360" w:lineRule="auto"/>
        <w:ind w:firstLine="720"/>
        <w:jc w:val="both"/>
        <w:rPr>
          <w:rFonts w:eastAsiaTheme="minorEastAsia" w:cstheme="minorHAnsi"/>
          <w:sz w:val="24"/>
          <w:szCs w:val="24"/>
          <w:lang w:val="en-US"/>
        </w:rPr>
      </w:pPr>
    </w:p>
    <w:p w14:paraId="0BB65BED" w14:textId="36325724" w:rsidR="00835223" w:rsidRPr="00CD364B" w:rsidRDefault="00FF344C" w:rsidP="00C11EC9">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The </w:t>
      </w:r>
      <m:oMath>
        <m:r>
          <w:rPr>
            <w:rFonts w:ascii="Cambria Math" w:eastAsiaTheme="minorEastAsia" w:hAnsi="Cambria Math" w:cstheme="minorHAnsi"/>
            <w:sz w:val="24"/>
            <w:szCs w:val="24"/>
            <w:lang w:val="en-US"/>
          </w:rPr>
          <m:t>ϑ</m:t>
        </m:r>
      </m:oMath>
      <w:r w:rsidRPr="00CD364B">
        <w:rPr>
          <w:rFonts w:eastAsiaTheme="minorEastAsia" w:cstheme="minorHAnsi"/>
          <w:sz w:val="24"/>
          <w:szCs w:val="24"/>
          <w:lang w:val="en-US"/>
        </w:rPr>
        <w:t xml:space="preserve"> quantile of </w:t>
      </w:r>
      <m:oMath>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F</m:t>
            </m:r>
          </m:e>
          <m:sub>
            <m:r>
              <w:rPr>
                <w:rFonts w:ascii="Cambria Math" w:eastAsiaTheme="minorEastAsia" w:hAnsi="Cambria Math" w:cstheme="minorHAnsi"/>
                <w:sz w:val="24"/>
                <w:szCs w:val="24"/>
                <w:lang w:val="en-US"/>
              </w:rPr>
              <m:t xml:space="preserve">X </m:t>
            </m:r>
          </m:sub>
        </m:sSub>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m:t>
            </m:r>
          </m:e>
          <m:e>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I</m:t>
                </m:r>
              </m:e>
              <m:sub>
                <m:r>
                  <m:rPr>
                    <m:scr m:val="script"/>
                  </m:rPr>
                  <w:rPr>
                    <w:rFonts w:ascii="Cambria Math" w:eastAsiaTheme="minorEastAsia" w:hAnsi="Cambria Math" w:cstheme="minorHAnsi"/>
                    <w:sz w:val="24"/>
                    <w:szCs w:val="24"/>
                    <w:lang w:val="en-US"/>
                  </w:rPr>
                  <m:t>t</m:t>
                </m:r>
              </m:sub>
              <m:sup>
                <m:r>
                  <w:rPr>
                    <w:rFonts w:ascii="Cambria Math" w:eastAsiaTheme="minorEastAsia" w:hAnsi="Cambria Math" w:cstheme="minorHAnsi"/>
                    <w:sz w:val="24"/>
                    <w:szCs w:val="24"/>
                    <w:lang w:val="en-US"/>
                  </w:rPr>
                  <m:t>X</m:t>
                </m:r>
              </m:sup>
            </m:sSubSup>
          </m:e>
        </m:d>
      </m:oMath>
      <w:r w:rsidRPr="00CD364B">
        <w:rPr>
          <w:rFonts w:eastAsiaTheme="minorEastAsia" w:cstheme="minorHAnsi"/>
          <w:sz w:val="24"/>
          <w:szCs w:val="24"/>
          <w:lang w:val="en-US"/>
        </w:rPr>
        <w:t xml:space="preserve"> is indicated by </w:t>
      </w:r>
      <m:oMath>
        <m:sSubSup>
          <m:sSubSupPr>
            <m:ctrlPr>
              <w:rPr>
                <w:rFonts w:ascii="Cambria Math" w:hAnsi="Cambria Math" w:cstheme="minorHAnsi"/>
                <w:i/>
                <w:sz w:val="24"/>
                <w:szCs w:val="24"/>
                <w:lang w:val="en-US"/>
              </w:rPr>
            </m:ctrlPr>
          </m:sSubSupPr>
          <m:e>
            <m:r>
              <m:rPr>
                <m:scr m:val="script"/>
              </m:rPr>
              <w:rPr>
                <w:rFonts w:ascii="Cambria Math" w:hAnsi="Cambria Math" w:cstheme="minorHAnsi"/>
                <w:sz w:val="24"/>
                <w:szCs w:val="24"/>
                <w:lang w:val="en-US"/>
              </w:rPr>
              <m:t>Q</m:t>
            </m:r>
          </m:e>
          <m:sub>
            <m:r>
              <w:rPr>
                <w:rFonts w:ascii="Cambria Math" w:hAnsi="Cambria Math" w:cstheme="minorHAnsi"/>
                <w:sz w:val="24"/>
                <w:szCs w:val="24"/>
                <w:lang w:val="en-US"/>
              </w:rPr>
              <m:t>τ</m:t>
            </m:r>
          </m:sub>
          <m:sup>
            <m:r>
              <w:rPr>
                <w:rFonts w:ascii="Cambria Math" w:hAnsi="Cambria Math" w:cstheme="minorHAnsi"/>
                <w:sz w:val="24"/>
                <w:szCs w:val="24"/>
                <w:lang w:val="en-US"/>
              </w:rPr>
              <m:t>X</m:t>
            </m:r>
          </m:sup>
        </m:sSubSup>
        <m:d>
          <m:dPr>
            <m:ctrlPr>
              <w:rPr>
                <w:rFonts w:ascii="Cambria Math" w:hAnsi="Cambria Math" w:cstheme="minorHAnsi"/>
                <w:i/>
                <w:sz w:val="24"/>
                <w:szCs w:val="24"/>
                <w:lang w:val="en-US"/>
              </w:rPr>
            </m:ctrlPr>
          </m:dPr>
          <m:e>
            <m:r>
              <w:rPr>
                <w:rFonts w:ascii="Cambria Math" w:hAnsi="Cambria Math" w:cstheme="minorHAnsi"/>
                <w:sz w:val="24"/>
                <w:szCs w:val="24"/>
                <w:lang w:val="en-US"/>
              </w:rPr>
              <m:t>.</m:t>
            </m:r>
          </m:e>
          <m:e>
            <m:sSubSup>
              <m:sSubSupPr>
                <m:ctrlPr>
                  <w:rPr>
                    <w:rFonts w:ascii="Cambria Math" w:hAnsi="Cambria Math" w:cstheme="minorHAnsi"/>
                    <w:i/>
                    <w:sz w:val="24"/>
                    <w:szCs w:val="24"/>
                    <w:lang w:val="en-US"/>
                  </w:rPr>
                </m:ctrlPr>
              </m:sSubSupPr>
              <m:e>
                <m:r>
                  <m:rPr>
                    <m:scr m:val="script"/>
                  </m:rPr>
                  <w:rPr>
                    <w:rFonts w:ascii="Cambria Math" w:hAnsi="Cambria Math" w:cstheme="minorHAnsi"/>
                    <w:sz w:val="24"/>
                    <w:szCs w:val="24"/>
                    <w:lang w:val="en-US"/>
                  </w:rPr>
                  <m:t>I</m:t>
                </m:r>
              </m:e>
              <m:sub>
                <m:r>
                  <m:rPr>
                    <m:scr m:val="script"/>
                  </m:rPr>
                  <w:rPr>
                    <w:rFonts w:ascii="Cambria Math" w:hAnsi="Cambria Math" w:cstheme="minorHAnsi"/>
                    <w:sz w:val="24"/>
                    <w:szCs w:val="24"/>
                    <w:lang w:val="en-US"/>
                  </w:rPr>
                  <m:t>T</m:t>
                </m:r>
              </m:sub>
              <m:sup>
                <m:r>
                  <w:rPr>
                    <w:rFonts w:ascii="Cambria Math" w:hAnsi="Cambria Math" w:cstheme="minorHAnsi"/>
                    <w:sz w:val="24"/>
                    <w:szCs w:val="24"/>
                    <w:lang w:val="en-US"/>
                  </w:rPr>
                  <m:t>X</m:t>
                </m:r>
              </m:sup>
            </m:sSubSup>
          </m:e>
        </m:d>
      </m:oMath>
      <w:r w:rsidRPr="00CD364B">
        <w:rPr>
          <w:rFonts w:eastAsiaTheme="minorEastAsia" w:cstheme="minorHAnsi"/>
          <w:sz w:val="24"/>
          <w:szCs w:val="24"/>
          <w:lang w:val="en-US"/>
        </w:rPr>
        <w:t xml:space="preserve"> and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φ</m:t>
            </m:r>
          </m:e>
          <m:sub>
            <m:r>
              <w:rPr>
                <w:rFonts w:ascii="Cambria Math" w:hAnsi="Cambria Math" w:cstheme="minorHAnsi"/>
                <w:sz w:val="24"/>
                <w:szCs w:val="24"/>
                <w:lang w:val="en-US"/>
              </w:rPr>
              <m:t>1</m:t>
            </m:r>
          </m:sub>
        </m:sSub>
        <m:d>
          <m:dPr>
            <m:ctrlPr>
              <w:rPr>
                <w:rFonts w:ascii="Cambria Math" w:hAnsi="Cambria Math" w:cstheme="minorHAnsi"/>
                <w:i/>
                <w:sz w:val="24"/>
                <w:szCs w:val="24"/>
                <w:lang w:val="en-US"/>
              </w:rPr>
            </m:ctrlPr>
          </m:dPr>
          <m:e>
            <m:r>
              <w:rPr>
                <w:rFonts w:ascii="Cambria Math" w:hAnsi="Cambria Math" w:cstheme="minorHAnsi"/>
                <w:sz w:val="24"/>
                <w:szCs w:val="24"/>
                <w:lang w:val="en-US"/>
              </w:rPr>
              <m:t>ϑ</m:t>
            </m:r>
          </m:e>
        </m:d>
      </m:oMath>
      <w:r w:rsidRPr="00CD364B">
        <w:rPr>
          <w:rFonts w:eastAsiaTheme="minorEastAsia" w:cstheme="minorHAnsi"/>
          <w:sz w:val="24"/>
          <w:szCs w:val="24"/>
          <w:lang w:val="en-US"/>
        </w:rPr>
        <w:t xml:space="preserve"> indicate the drift term. The linear trend and the persistence parameter in the QAR model for unit root test is represented by </w:t>
      </w:r>
      <m:oMath>
        <m:r>
          <m:rPr>
            <m:scr m:val="script"/>
          </m:rPr>
          <w:rPr>
            <w:rFonts w:ascii="Cambria Math" w:eastAsiaTheme="minorEastAsia" w:hAnsi="Cambria Math" w:cstheme="minorHAnsi"/>
            <w:sz w:val="24"/>
            <w:szCs w:val="24"/>
            <w:lang w:val="en-US"/>
          </w:rPr>
          <m:t>t</m:t>
        </m:r>
      </m:oMath>
      <w:r w:rsidRPr="00CD364B">
        <w:rPr>
          <w:rFonts w:eastAsiaTheme="minorEastAsia" w:cstheme="minorHAnsi"/>
          <w:sz w:val="24"/>
          <w:szCs w:val="24"/>
          <w:lang w:val="en-US"/>
        </w:rPr>
        <w:t xml:space="preserve"> and </w:t>
      </w:r>
      <m:oMath>
        <m:r>
          <w:rPr>
            <w:rFonts w:ascii="Cambria Math" w:hAnsi="Cambria Math" w:cstheme="minorHAnsi"/>
            <w:sz w:val="24"/>
            <w:szCs w:val="24"/>
            <w:lang w:val="en-US"/>
          </w:rPr>
          <m:t>ω</m:t>
        </m:r>
        <m:d>
          <m:dPr>
            <m:ctrlPr>
              <w:rPr>
                <w:rFonts w:ascii="Cambria Math" w:hAnsi="Cambria Math" w:cstheme="minorHAnsi"/>
                <w:i/>
                <w:sz w:val="24"/>
                <w:szCs w:val="24"/>
                <w:lang w:val="en-US"/>
              </w:rPr>
            </m:ctrlPr>
          </m:dPr>
          <m:e>
            <m:r>
              <w:rPr>
                <w:rFonts w:ascii="Cambria Math" w:hAnsi="Cambria Math" w:cstheme="minorHAnsi"/>
                <w:sz w:val="24"/>
                <w:szCs w:val="24"/>
                <w:lang w:val="en-US"/>
              </w:rPr>
              <m:t>ϑ</m:t>
            </m:r>
          </m:e>
        </m:d>
      </m:oMath>
      <w:r w:rsidRPr="00CD364B">
        <w:rPr>
          <w:rFonts w:eastAsiaTheme="minorEastAsia" w:cstheme="minorHAnsi"/>
          <w:sz w:val="24"/>
          <w:szCs w:val="24"/>
          <w:lang w:val="en-US"/>
        </w:rPr>
        <w:t xml:space="preserve"> respectively. The errors’ inverse conditional distribution for </w:t>
      </w:r>
      <m:oMath>
        <m:r>
          <w:rPr>
            <w:rFonts w:ascii="Cambria Math" w:eastAsiaTheme="minorEastAsia" w:hAnsi="Cambria Math" w:cstheme="minorHAnsi"/>
            <w:sz w:val="24"/>
            <w:szCs w:val="24"/>
            <w:lang w:val="en-US"/>
          </w:rPr>
          <m:t>τϵ</m:t>
        </m:r>
        <m:r>
          <m:rPr>
            <m:scr m:val="script"/>
          </m:rPr>
          <w:rPr>
            <w:rFonts w:ascii="Cambria Math" w:eastAsiaTheme="minorEastAsia" w:hAnsi="Cambria Math" w:cstheme="minorHAnsi"/>
            <w:sz w:val="24"/>
            <w:szCs w:val="24"/>
            <w:lang w:val="en-US"/>
          </w:rPr>
          <m:t>T⊂</m:t>
        </m:r>
        <m:d>
          <m:dPr>
            <m:begChr m:val="["/>
            <m:endChr m:val="]"/>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0,1</m:t>
            </m:r>
          </m:e>
        </m:d>
      </m:oMath>
      <w:r w:rsidRPr="00CD364B">
        <w:rPr>
          <w:rFonts w:eastAsiaTheme="minorEastAsia" w:cstheme="minorHAnsi"/>
          <w:sz w:val="24"/>
          <w:szCs w:val="24"/>
          <w:lang w:val="en-US"/>
        </w:rPr>
        <w:t xml:space="preserve"> quantiles is indicated by </w:t>
      </w:r>
      <m:oMath>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z</m:t>
            </m:r>
          </m:e>
          <m:sub>
            <m:r>
              <m:rPr>
                <m:scr m:val="script"/>
              </m:rPr>
              <w:rPr>
                <w:rFonts w:ascii="Cambria Math" w:eastAsiaTheme="minorEastAsia" w:hAnsi="Cambria Math" w:cstheme="minorHAnsi"/>
                <w:sz w:val="24"/>
                <w:szCs w:val="24"/>
                <w:lang w:val="en-US"/>
              </w:rPr>
              <m:t>u</m:t>
            </m:r>
          </m:sub>
          <m:sup>
            <m:r>
              <w:rPr>
                <w:rFonts w:ascii="Cambria Math" w:eastAsiaTheme="minorEastAsia" w:hAnsi="Cambria Math" w:cstheme="minorHAnsi"/>
                <w:sz w:val="24"/>
                <w:szCs w:val="24"/>
                <w:lang w:val="en-US"/>
              </w:rPr>
              <m:t>-1</m:t>
            </m:r>
          </m:sup>
        </m:sSubSup>
      </m:oMath>
      <w:r w:rsidRPr="00CD364B">
        <w:rPr>
          <w:rFonts w:eastAsiaTheme="minorEastAsia" w:cstheme="minorHAnsi"/>
          <w:sz w:val="24"/>
          <w:szCs w:val="24"/>
          <w:lang w:val="en-US"/>
        </w:rPr>
        <w:t>. In this manner we estimate the tenacity parameters (</w:t>
      </w:r>
      <m:oMath>
        <m:acc>
          <m:accPr>
            <m:ctrlPr>
              <w:rPr>
                <w:rFonts w:ascii="Cambria Math" w:eastAsiaTheme="minorEastAsia" w:hAnsi="Cambria Math" w:cstheme="minorHAnsi"/>
                <w:i/>
                <w:sz w:val="24"/>
                <w:szCs w:val="24"/>
                <w:lang w:val="en-US"/>
              </w:rPr>
            </m:ctrlPr>
          </m:accPr>
          <m:e>
            <m:r>
              <w:rPr>
                <w:rFonts w:ascii="Cambria Math" w:eastAsiaTheme="minorEastAsia" w:hAnsi="Cambria Math" w:cstheme="minorHAnsi"/>
                <w:sz w:val="24"/>
                <w:szCs w:val="24"/>
                <w:lang w:val="en-US"/>
              </w:rPr>
              <m:t xml:space="preserve">α </m:t>
            </m:r>
          </m:e>
        </m:acc>
        <m:r>
          <w:rPr>
            <w:rFonts w:ascii="Cambria Math" w:eastAsiaTheme="minorEastAsia" w:hAnsi="Cambria Math" w:cstheme="minorHAnsi"/>
            <w:sz w:val="24"/>
            <w:szCs w:val="24"/>
            <w:lang w:val="en-US"/>
          </w:rPr>
          <m:t>)</m:t>
        </m:r>
      </m:oMath>
      <w:r w:rsidRPr="00CD364B">
        <w:rPr>
          <w:rFonts w:eastAsiaTheme="minorEastAsia" w:cstheme="minorHAnsi"/>
          <w:sz w:val="24"/>
          <w:szCs w:val="24"/>
          <w:lang w:val="en-US"/>
        </w:rPr>
        <w:t xml:space="preserve"> for all the quantiles of the </w:t>
      </w:r>
      <w:r w:rsidRPr="00CD364B">
        <w:rPr>
          <w:rFonts w:cstheme="minorHAnsi"/>
          <w:sz w:val="24"/>
          <w:szCs w:val="24"/>
          <w:lang w:val="en-US"/>
        </w:rPr>
        <w:t>X</w:t>
      </w:r>
      <w:r w:rsidRPr="00CD364B">
        <w:rPr>
          <w:rFonts w:cstheme="minorHAnsi"/>
          <w:sz w:val="24"/>
          <w:szCs w:val="24"/>
          <w:vertAlign w:val="subscript"/>
          <w:lang w:val="en-US"/>
        </w:rPr>
        <w:t>t</w:t>
      </w:r>
      <w:r w:rsidRPr="00CD364B">
        <w:rPr>
          <w:rFonts w:cstheme="minorHAnsi"/>
          <w:sz w:val="24"/>
          <w:szCs w:val="24"/>
          <w:lang w:val="en-US"/>
        </w:rPr>
        <w:t xml:space="preserve"> conditional distribution. The QAR model as suggested by Koenker and Xiao (2004) and Galvao (2009) estimate and analyse the t- statistic for different quantiles </w:t>
      </w:r>
      <m:oMath>
        <m:r>
          <w:rPr>
            <w:rFonts w:ascii="Cambria Math" w:eastAsiaTheme="minorEastAsia" w:hAnsi="Cambria Math" w:cstheme="minorHAnsi"/>
            <w:sz w:val="24"/>
            <w:szCs w:val="24"/>
            <w:lang w:val="en-US"/>
          </w:rPr>
          <m:t>τϵ</m:t>
        </m:r>
        <m:r>
          <m:rPr>
            <m:scr m:val="script"/>
          </m:rPr>
          <w:rPr>
            <w:rFonts w:ascii="Cambria Math" w:eastAsiaTheme="minorEastAsia" w:hAnsi="Cambria Math" w:cstheme="minorHAnsi"/>
            <w:sz w:val="24"/>
            <w:szCs w:val="24"/>
            <w:lang w:val="en-US"/>
          </w:rPr>
          <m:t>T</m:t>
        </m:r>
      </m:oMath>
      <w:r w:rsidRPr="00CD364B">
        <w:rPr>
          <w:rFonts w:eastAsiaTheme="minorEastAsia" w:cstheme="minorHAnsi"/>
          <w:sz w:val="24"/>
          <w:szCs w:val="24"/>
          <w:lang w:val="en-US"/>
        </w:rPr>
        <w:t xml:space="preserve"> to test the null hypothesis  </w:t>
      </w:r>
      <m:oMath>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H</m:t>
            </m:r>
          </m:e>
          <m:sub>
            <m:r>
              <w:rPr>
                <w:rFonts w:ascii="Cambria Math" w:eastAsiaTheme="minorEastAsia" w:hAnsi="Cambria Math" w:cstheme="minorHAnsi"/>
                <w:sz w:val="24"/>
                <w:szCs w:val="24"/>
                <w:lang w:val="en-US"/>
              </w:rPr>
              <m:t>0</m:t>
            </m:r>
          </m:sub>
        </m:sSub>
        <m:r>
          <w:rPr>
            <w:rFonts w:ascii="Cambria Math" w:eastAsiaTheme="minorEastAsia" w:hAnsi="Cambria Math" w:cstheme="minorHAnsi"/>
            <w:sz w:val="24"/>
            <w:szCs w:val="24"/>
            <w:lang w:val="en-US"/>
          </w:rPr>
          <m:t xml:space="preserve">: </m:t>
        </m:r>
        <m:r>
          <w:rPr>
            <w:rFonts w:ascii="Cambria Math" w:hAnsi="Cambria Math" w:cstheme="minorHAnsi"/>
            <w:sz w:val="24"/>
            <w:szCs w:val="24"/>
            <w:lang w:val="en-US"/>
          </w:rPr>
          <m:t>α</m:t>
        </m:r>
        <m:d>
          <m:dPr>
            <m:ctrlPr>
              <w:rPr>
                <w:rFonts w:ascii="Cambria Math" w:hAnsi="Cambria Math" w:cstheme="minorHAnsi"/>
                <w:i/>
                <w:sz w:val="24"/>
                <w:szCs w:val="24"/>
                <w:lang w:val="en-US"/>
              </w:rPr>
            </m:ctrlPr>
          </m:dPr>
          <m:e>
            <m:r>
              <w:rPr>
                <w:rFonts w:ascii="Cambria Math" w:hAnsi="Cambria Math" w:cstheme="minorHAnsi"/>
                <w:sz w:val="24"/>
                <w:szCs w:val="24"/>
                <w:lang w:val="en-US"/>
              </w:rPr>
              <m:t>τ</m:t>
            </m:r>
          </m:e>
        </m:d>
        <m:r>
          <w:rPr>
            <w:rFonts w:ascii="Cambria Math" w:eastAsiaTheme="minorEastAsia" w:hAnsi="Cambria Math" w:cstheme="minorHAnsi"/>
            <w:sz w:val="24"/>
            <w:szCs w:val="24"/>
            <w:lang w:val="en-US"/>
          </w:rPr>
          <m:t>=1</m:t>
        </m:r>
      </m:oMath>
    </w:p>
    <w:p w14:paraId="73B45ABB" w14:textId="20270A28" w:rsidR="00FF344C" w:rsidRPr="00CD364B" w:rsidRDefault="00FF344C" w:rsidP="00004F21">
      <w:pPr>
        <w:pStyle w:val="ListParagraph"/>
        <w:numPr>
          <w:ilvl w:val="1"/>
          <w:numId w:val="1"/>
        </w:numPr>
        <w:spacing w:after="0" w:line="360" w:lineRule="auto"/>
        <w:jc w:val="both"/>
        <w:rPr>
          <w:rFonts w:eastAsiaTheme="minorEastAsia" w:cstheme="minorHAnsi"/>
          <w:b/>
          <w:sz w:val="24"/>
          <w:szCs w:val="24"/>
          <w:lang w:val="en-US"/>
        </w:rPr>
      </w:pPr>
      <w:r w:rsidRPr="00CD364B">
        <w:rPr>
          <w:rFonts w:eastAsiaTheme="minorEastAsia" w:cstheme="minorHAnsi"/>
          <w:b/>
          <w:sz w:val="24"/>
          <w:szCs w:val="24"/>
          <w:lang w:val="en-US"/>
        </w:rPr>
        <w:t xml:space="preserve"> Quantile Cointegration Test</w:t>
      </w:r>
    </w:p>
    <w:p w14:paraId="5EC82912" w14:textId="77777777" w:rsidR="00835223" w:rsidRPr="00CD364B" w:rsidRDefault="00835223" w:rsidP="00004F21">
      <w:pPr>
        <w:spacing w:after="0" w:line="360" w:lineRule="auto"/>
        <w:jc w:val="both"/>
        <w:rPr>
          <w:rFonts w:eastAsiaTheme="minorEastAsia" w:cstheme="minorHAnsi"/>
          <w:sz w:val="24"/>
          <w:szCs w:val="24"/>
          <w:lang w:val="en-US"/>
        </w:rPr>
      </w:pPr>
    </w:p>
    <w:p w14:paraId="075DE342" w14:textId="43BD81CB" w:rsidR="00835223" w:rsidRPr="00CD364B" w:rsidRDefault="00FF344C" w:rsidP="006668C1">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The present paper further employs Quantile Cointegration Test to explore the systematic effect of varied frequencies of Green Bond Index on the shape, scale and locational aspect of Environmental and Social Responsibility Index. The Quantile Cointegration Test was introduced by Xiao (2009) to deal with the endogeneity issue in a standard cointegration model. Xiao (2009) followed Saikkonen (1991) to disintegrate the cointegration equation errors into the lead-lag terms along with the pure innovation component. The Quantile Cointegration Model terms </w:t>
      </w:r>
      <w:r w:rsidRPr="00CD364B">
        <w:rPr>
          <w:rFonts w:cstheme="minorHAnsi"/>
          <w:sz w:val="24"/>
          <w:szCs w:val="24"/>
          <w:lang w:val="en-US"/>
        </w:rPr>
        <w:t>β(τ) as a vector of constants</w:t>
      </w:r>
      <w:r w:rsidRPr="00CD364B">
        <w:rPr>
          <w:rFonts w:eastAsiaTheme="minorEastAsia" w:cstheme="minorHAnsi"/>
          <w:sz w:val="24"/>
          <w:szCs w:val="24"/>
          <w:lang w:val="en-US"/>
        </w:rPr>
        <w:t xml:space="preserve"> and thus extends the cointegration model of Engle and Granger (1987). The special case of Quantile Cointegration Model comprises of:</w:t>
      </w:r>
    </w:p>
    <w:p w14:paraId="58292F2C" w14:textId="77777777" w:rsidR="00835223" w:rsidRPr="00CD364B" w:rsidRDefault="00835223" w:rsidP="00004F21">
      <w:pPr>
        <w:spacing w:after="0" w:line="360" w:lineRule="auto"/>
        <w:jc w:val="both"/>
        <w:rPr>
          <w:rFonts w:eastAsiaTheme="minorEastAsia" w:cstheme="minorHAnsi"/>
          <w:sz w:val="24"/>
          <w:szCs w:val="24"/>
          <w:lang w:val="en-US"/>
        </w:rPr>
      </w:pPr>
    </w:p>
    <w:p w14:paraId="6909B271" w14:textId="37E41319" w:rsidR="00FF344C" w:rsidRPr="00CD364B" w:rsidRDefault="00FF747F" w:rsidP="00CD5F46">
      <w:pPr>
        <w:spacing w:after="0" w:line="360" w:lineRule="auto"/>
        <w:ind w:firstLine="720"/>
        <w:jc w:val="both"/>
        <w:rPr>
          <w:rFonts w:eastAsiaTheme="minorEastAsia" w:cstheme="minorHAnsi"/>
          <w:sz w:val="24"/>
          <w:lang w:val="en-US"/>
        </w:rPr>
      </w:pPr>
      <m:oMath>
        <m:sSub>
          <m:sSubPr>
            <m:ctrlPr>
              <w:rPr>
                <w:rFonts w:ascii="Cambria Math" w:hAnsi="Cambria Math" w:cstheme="minorHAnsi"/>
                <w:i/>
                <w:sz w:val="24"/>
                <w:lang w:val="en-US"/>
              </w:rPr>
            </m:ctrlPr>
          </m:sSubPr>
          <m:e>
            <m:r>
              <m:rPr>
                <m:scr m:val="script"/>
              </m:rPr>
              <w:rPr>
                <w:rFonts w:ascii="Cambria Math" w:hAnsi="Cambria Math" w:cstheme="minorHAnsi"/>
                <w:sz w:val="24"/>
                <w:lang w:val="en-US"/>
              </w:rPr>
              <m:t>X</m:t>
            </m:r>
          </m:e>
          <m:sub>
            <m:r>
              <m:rPr>
                <m:scr m:val="script"/>
              </m:rPr>
              <w:rPr>
                <w:rFonts w:ascii="Cambria Math" w:hAnsi="Cambria Math" w:cstheme="minorHAnsi"/>
                <w:sz w:val="24"/>
                <w:lang w:val="en-US"/>
              </w:rPr>
              <m:t>t</m:t>
            </m:r>
          </m:sub>
        </m:sSub>
        <m:r>
          <w:rPr>
            <w:rFonts w:ascii="Cambria Math" w:hAnsi="Cambria Math" w:cstheme="minorHAnsi"/>
            <w:sz w:val="24"/>
            <w:lang w:val="en-US"/>
          </w:rPr>
          <m:t>= α+</m:t>
        </m:r>
        <m:sSup>
          <m:sSupPr>
            <m:ctrlPr>
              <w:rPr>
                <w:rFonts w:ascii="Cambria Math" w:hAnsi="Cambria Math" w:cstheme="minorHAnsi"/>
                <w:i/>
                <w:sz w:val="24"/>
                <w:lang w:val="en-US"/>
              </w:rPr>
            </m:ctrlPr>
          </m:sSupPr>
          <m:e>
            <m:r>
              <w:rPr>
                <w:rFonts w:ascii="Cambria Math" w:hAnsi="Cambria Math" w:cstheme="minorHAnsi"/>
                <w:sz w:val="24"/>
                <w:lang w:val="en-US"/>
              </w:rPr>
              <m:t>β</m:t>
            </m:r>
          </m:e>
          <m:sup>
            <m:r>
              <w:rPr>
                <w:rFonts w:ascii="Cambria Math" w:hAnsi="Cambria Math" w:cstheme="minorHAnsi"/>
                <w:sz w:val="24"/>
                <w:lang w:val="en-US"/>
              </w:rPr>
              <m:t>'</m:t>
            </m:r>
          </m:sup>
        </m:sSup>
        <m:sSub>
          <m:sSubPr>
            <m:ctrlPr>
              <w:rPr>
                <w:rFonts w:ascii="Cambria Math" w:hAnsi="Cambria Math" w:cstheme="minorHAnsi"/>
                <w:i/>
                <w:sz w:val="24"/>
                <w:lang w:val="en-US"/>
              </w:rPr>
            </m:ctrlPr>
          </m:sSubPr>
          <m:e>
            <m:r>
              <m:rPr>
                <m:scr m:val="script"/>
              </m:rPr>
              <w:rPr>
                <w:rFonts w:ascii="Cambria Math" w:hAnsi="Cambria Math" w:cstheme="minorHAnsi"/>
                <w:sz w:val="24"/>
                <w:lang w:val="en-US"/>
              </w:rPr>
              <m:t>Z</m:t>
            </m:r>
          </m:e>
          <m:sub>
            <m:r>
              <m:rPr>
                <m:scr m:val="script"/>
              </m:rPr>
              <w:rPr>
                <w:rFonts w:ascii="Cambria Math" w:hAnsi="Cambria Math" w:cstheme="minorHAnsi"/>
                <w:sz w:val="24"/>
                <w:lang w:val="en-US"/>
              </w:rPr>
              <m:t>t</m:t>
            </m:r>
          </m:sub>
        </m:sSub>
        <m:r>
          <w:rPr>
            <w:rFonts w:ascii="Cambria Math" w:hAnsi="Cambria Math" w:cstheme="minorHAnsi"/>
            <w:sz w:val="24"/>
            <w:lang w:val="en-US"/>
          </w:rPr>
          <m:t>+</m:t>
        </m:r>
        <m:nary>
          <m:naryPr>
            <m:chr m:val="∑"/>
            <m:limLoc m:val="undOvr"/>
            <m:ctrlPr>
              <w:rPr>
                <w:rFonts w:ascii="Cambria Math" w:hAnsi="Cambria Math" w:cstheme="minorHAnsi"/>
                <w:i/>
                <w:sz w:val="24"/>
                <w:lang w:val="en-US"/>
              </w:rPr>
            </m:ctrlPr>
          </m:naryPr>
          <m:sub>
            <m:r>
              <w:rPr>
                <w:rFonts w:ascii="Cambria Math" w:hAnsi="Cambria Math" w:cstheme="minorHAnsi"/>
                <w:sz w:val="24"/>
                <w:lang w:val="en-US"/>
              </w:rPr>
              <m:t>j= -k</m:t>
            </m:r>
          </m:sub>
          <m:sup>
            <m:r>
              <w:rPr>
                <w:rFonts w:ascii="Cambria Math" w:hAnsi="Cambria Math" w:cstheme="minorHAnsi"/>
                <w:sz w:val="24"/>
                <w:lang w:val="en-US"/>
              </w:rPr>
              <m:t>k</m:t>
            </m:r>
          </m:sup>
          <m:e>
            <m:r>
              <w:rPr>
                <w:rFonts w:ascii="Cambria Math" w:hAnsi="Cambria Math" w:cstheme="minorHAnsi"/>
                <w:sz w:val="24"/>
                <w:lang w:val="en-US"/>
              </w:rPr>
              <m:t>∆</m:t>
            </m:r>
            <m:sSubSup>
              <m:sSubSupPr>
                <m:ctrlPr>
                  <w:rPr>
                    <w:rFonts w:ascii="Cambria Math" w:hAnsi="Cambria Math" w:cstheme="minorHAnsi"/>
                    <w:i/>
                    <w:sz w:val="24"/>
                    <w:lang w:val="en-US"/>
                  </w:rPr>
                </m:ctrlPr>
              </m:sSubSupPr>
              <m:e>
                <m:r>
                  <m:rPr>
                    <m:scr m:val="script"/>
                  </m:rPr>
                  <w:rPr>
                    <w:rFonts w:ascii="Cambria Math" w:hAnsi="Cambria Math" w:cstheme="minorHAnsi"/>
                    <w:sz w:val="24"/>
                    <w:lang w:val="en-US"/>
                  </w:rPr>
                  <m:t>Z</m:t>
                </m:r>
              </m:e>
              <m:sub>
                <m:r>
                  <m:rPr>
                    <m:scr m:val="script"/>
                  </m:rPr>
                  <w:rPr>
                    <w:rFonts w:ascii="Cambria Math" w:hAnsi="Cambria Math" w:cstheme="minorHAnsi"/>
                    <w:sz w:val="24"/>
                    <w:lang w:val="en-US"/>
                  </w:rPr>
                  <m:t>t-</m:t>
                </m:r>
                <m:r>
                  <w:rPr>
                    <w:rFonts w:ascii="Cambria Math" w:hAnsi="Cambria Math" w:cstheme="minorHAnsi"/>
                    <w:sz w:val="24"/>
                    <w:lang w:val="en-US"/>
                  </w:rPr>
                  <m:t>j</m:t>
                </m:r>
              </m:sub>
              <m:sup>
                <m:r>
                  <w:rPr>
                    <w:rFonts w:ascii="Cambria Math" w:hAnsi="Cambria Math" w:cstheme="minorHAnsi"/>
                    <w:sz w:val="24"/>
                    <w:lang w:val="en-US"/>
                  </w:rPr>
                  <m:t>'</m:t>
                </m:r>
              </m:sup>
            </m:sSubSup>
          </m:e>
        </m:nary>
        <m:sSub>
          <m:sSubPr>
            <m:ctrlPr>
              <w:rPr>
                <w:rFonts w:ascii="Cambria Math" w:hAnsi="Cambria Math" w:cstheme="minorHAnsi"/>
                <w:i/>
                <w:sz w:val="24"/>
                <w:lang w:val="en-US"/>
              </w:rPr>
            </m:ctrlPr>
          </m:sSubPr>
          <m:e>
            <m:r>
              <w:rPr>
                <w:rFonts w:ascii="Cambria Math" w:hAnsi="Cambria Math" w:cstheme="minorHAnsi"/>
                <w:sz w:val="24"/>
                <w:lang w:val="en-US"/>
              </w:rPr>
              <m:t>П</m:t>
            </m:r>
          </m:e>
          <m:sub>
            <m:r>
              <w:rPr>
                <w:rFonts w:ascii="Cambria Math" w:hAnsi="Cambria Math" w:cstheme="minorHAnsi"/>
                <w:sz w:val="24"/>
                <w:lang w:val="en-US"/>
              </w:rPr>
              <m:t>j</m:t>
            </m:r>
          </m:sub>
        </m:sSub>
        <m:r>
          <w:rPr>
            <w:rFonts w:ascii="Cambria Math" w:hAnsi="Cambria Math" w:cstheme="minorHAnsi"/>
            <w:sz w:val="24"/>
            <w:lang w:val="en-US"/>
          </w:rPr>
          <m:t>+</m:t>
        </m:r>
        <m:sSub>
          <m:sSubPr>
            <m:ctrlPr>
              <w:rPr>
                <w:rFonts w:ascii="Cambria Math" w:hAnsi="Cambria Math" w:cstheme="minorHAnsi"/>
                <w:i/>
                <w:sz w:val="24"/>
                <w:lang w:val="en-US"/>
              </w:rPr>
            </m:ctrlPr>
          </m:sSubPr>
          <m:e>
            <m:r>
              <m:rPr>
                <m:scr m:val="script"/>
              </m:rPr>
              <w:rPr>
                <w:rFonts w:ascii="Cambria Math" w:hAnsi="Cambria Math" w:cstheme="minorHAnsi"/>
                <w:sz w:val="24"/>
                <w:lang w:val="en-US"/>
              </w:rPr>
              <m:t>u</m:t>
            </m:r>
          </m:e>
          <m:sub>
            <m:r>
              <m:rPr>
                <m:scr m:val="script"/>
              </m:rPr>
              <w:rPr>
                <w:rFonts w:ascii="Cambria Math" w:hAnsi="Cambria Math" w:cstheme="minorHAnsi"/>
                <w:sz w:val="24"/>
                <w:lang w:val="en-US"/>
              </w:rPr>
              <m:t>t</m:t>
            </m:r>
          </m:sub>
        </m:sSub>
        <m:r>
          <m:rPr>
            <m:sty m:val="p"/>
          </m:rPr>
          <w:rPr>
            <w:rFonts w:ascii="Cambria Math" w:eastAsiaTheme="minorEastAsia" w:hAnsi="Cambria Math" w:cstheme="minorHAnsi"/>
            <w:sz w:val="24"/>
            <w:lang w:val="en-US"/>
          </w:rPr>
          <m:t xml:space="preserve"> </m:t>
        </m:r>
      </m:oMath>
      <w:r w:rsidR="00FF344C" w:rsidRPr="00CD364B">
        <w:rPr>
          <w:rFonts w:eastAsiaTheme="minorEastAsia" w:cstheme="minorHAnsi"/>
          <w:sz w:val="24"/>
          <w:lang w:val="en-US"/>
        </w:rPr>
        <w:t xml:space="preserve">                                                                          (2)</w:t>
      </w:r>
    </w:p>
    <w:p w14:paraId="62B6E6CA" w14:textId="77777777" w:rsidR="00835223" w:rsidRPr="00CD364B" w:rsidRDefault="00835223" w:rsidP="00004F21">
      <w:pPr>
        <w:spacing w:after="0" w:line="360" w:lineRule="auto"/>
        <w:jc w:val="both"/>
        <w:rPr>
          <w:rFonts w:eastAsiaTheme="minorEastAsia" w:cstheme="minorHAnsi"/>
          <w:sz w:val="24"/>
          <w:lang w:val="en-US"/>
        </w:rPr>
      </w:pPr>
    </w:p>
    <w:p w14:paraId="340F8938" w14:textId="4C689207" w:rsidR="00FF344C" w:rsidRPr="00CD364B" w:rsidRDefault="00FF344C" w:rsidP="00004F21">
      <w:pPr>
        <w:spacing w:after="0" w:line="360" w:lineRule="auto"/>
        <w:jc w:val="both"/>
        <w:rPr>
          <w:rFonts w:eastAsiaTheme="minorEastAsia" w:cstheme="minorHAnsi"/>
          <w:sz w:val="24"/>
          <w:lang w:val="en-US"/>
        </w:rPr>
      </w:pPr>
      <w:r w:rsidRPr="00CD364B">
        <w:rPr>
          <w:rFonts w:eastAsiaTheme="minorEastAsia" w:cstheme="minorHAnsi"/>
          <w:sz w:val="24"/>
          <w:lang w:val="en-US"/>
        </w:rPr>
        <w:t>and</w:t>
      </w:r>
    </w:p>
    <w:p w14:paraId="06D8B1D1" w14:textId="77777777" w:rsidR="00835223" w:rsidRPr="00CD364B" w:rsidRDefault="00835223" w:rsidP="00004F21">
      <w:pPr>
        <w:spacing w:after="0" w:line="360" w:lineRule="auto"/>
        <w:jc w:val="both"/>
        <w:rPr>
          <w:rFonts w:eastAsiaTheme="minorEastAsia" w:cstheme="minorHAnsi"/>
          <w:sz w:val="24"/>
          <w:lang w:val="en-US"/>
        </w:rPr>
      </w:pPr>
    </w:p>
    <w:p w14:paraId="530FFFF6" w14:textId="1DC0C1D4" w:rsidR="00FF344C" w:rsidRPr="00CD364B" w:rsidRDefault="00FF344C" w:rsidP="00CD5F46">
      <w:pPr>
        <w:spacing w:after="0" w:line="360" w:lineRule="auto"/>
        <w:ind w:firstLine="720"/>
        <w:jc w:val="both"/>
        <w:rPr>
          <w:rFonts w:eastAsiaTheme="minorEastAsia" w:cstheme="minorHAnsi"/>
          <w:sz w:val="24"/>
          <w:lang w:val="en-US"/>
        </w:rPr>
      </w:pPr>
      <w:r w:rsidRPr="00CD364B">
        <w:rPr>
          <w:rFonts w:eastAsiaTheme="minorEastAsia" w:cstheme="minorHAnsi"/>
          <w:sz w:val="24"/>
          <w:lang w:val="en-US"/>
        </w:rPr>
        <w:t xml:space="preserve"> </w:t>
      </w:r>
      <m:oMath>
        <m:sSubSup>
          <m:sSubSupPr>
            <m:ctrlPr>
              <w:rPr>
                <w:rFonts w:ascii="Cambria Math" w:hAnsi="Cambria Math" w:cstheme="minorHAnsi"/>
                <w:i/>
                <w:sz w:val="24"/>
                <w:lang w:val="en-US"/>
              </w:rPr>
            </m:ctrlPr>
          </m:sSubSupPr>
          <m:e>
            <m:r>
              <m:rPr>
                <m:scr m:val="script"/>
              </m:rPr>
              <w:rPr>
                <w:rFonts w:ascii="Cambria Math" w:hAnsi="Cambria Math" w:cstheme="minorHAnsi"/>
                <w:sz w:val="24"/>
                <w:lang w:val="en-US"/>
              </w:rPr>
              <m:t>Q</m:t>
            </m:r>
          </m:e>
          <m:sub>
            <m:r>
              <w:rPr>
                <w:rFonts w:ascii="Cambria Math" w:hAnsi="Cambria Math" w:cstheme="minorHAnsi"/>
                <w:sz w:val="24"/>
                <w:lang w:val="en-US"/>
              </w:rPr>
              <m:t>τ</m:t>
            </m:r>
          </m:sub>
          <m:sup>
            <m:r>
              <m:rPr>
                <m:scr m:val="script"/>
              </m:rPr>
              <w:rPr>
                <w:rFonts w:ascii="Cambria Math" w:hAnsi="Cambria Math" w:cstheme="minorHAnsi"/>
                <w:sz w:val="24"/>
                <w:lang w:val="en-US"/>
              </w:rPr>
              <m:t>X</m:t>
            </m:r>
          </m:sup>
        </m:sSubSup>
        <m:d>
          <m:dPr>
            <m:ctrlPr>
              <w:rPr>
                <w:rFonts w:ascii="Cambria Math" w:hAnsi="Cambria Math" w:cstheme="minorHAnsi"/>
                <w:i/>
                <w:sz w:val="24"/>
                <w:lang w:val="en-US"/>
              </w:rPr>
            </m:ctrlPr>
          </m:dPr>
          <m:e>
            <m:sSub>
              <m:sSubPr>
                <m:ctrlPr>
                  <w:rPr>
                    <w:rFonts w:ascii="Cambria Math" w:hAnsi="Cambria Math" w:cstheme="minorHAnsi"/>
                    <w:i/>
                    <w:sz w:val="24"/>
                    <w:lang w:val="en-US"/>
                  </w:rPr>
                </m:ctrlPr>
              </m:sSubPr>
              <m:e>
                <m:r>
                  <m:rPr>
                    <m:scr m:val="script"/>
                  </m:rPr>
                  <w:rPr>
                    <w:rFonts w:ascii="Cambria Math" w:hAnsi="Cambria Math" w:cstheme="minorHAnsi"/>
                    <w:sz w:val="24"/>
                    <w:lang w:val="en-US"/>
                  </w:rPr>
                  <m:t>X</m:t>
                </m:r>
              </m:e>
              <m:sub>
                <m:r>
                  <m:rPr>
                    <m:scr m:val="script"/>
                  </m:rPr>
                  <w:rPr>
                    <w:rFonts w:ascii="Cambria Math" w:hAnsi="Cambria Math" w:cstheme="minorHAnsi"/>
                    <w:sz w:val="24"/>
                    <w:lang w:val="en-US"/>
                  </w:rPr>
                  <m:t>t</m:t>
                </m:r>
              </m:sub>
            </m:sSub>
          </m:e>
          <m:e>
            <m:sSubSup>
              <m:sSubSupPr>
                <m:ctrlPr>
                  <w:rPr>
                    <w:rFonts w:ascii="Cambria Math" w:hAnsi="Cambria Math" w:cstheme="minorHAnsi"/>
                    <w:i/>
                    <w:sz w:val="24"/>
                    <w:lang w:val="en-US"/>
                  </w:rPr>
                </m:ctrlPr>
              </m:sSubSupPr>
              <m:e>
                <m:r>
                  <w:rPr>
                    <w:rFonts w:ascii="Cambria Math" w:hAnsi="Cambria Math" w:cstheme="minorHAnsi"/>
                    <w:sz w:val="24"/>
                    <w:lang w:val="en-US"/>
                  </w:rPr>
                  <m:t>I</m:t>
                </m:r>
              </m:e>
              <m:sub>
                <m:r>
                  <m:rPr>
                    <m:scr m:val="script"/>
                  </m:rPr>
                  <w:rPr>
                    <w:rFonts w:ascii="Cambria Math" w:hAnsi="Cambria Math" w:cstheme="minorHAnsi"/>
                    <w:sz w:val="24"/>
                    <w:lang w:val="en-US"/>
                  </w:rPr>
                  <m:t>t</m:t>
                </m:r>
              </m:sub>
              <m:sup>
                <m:r>
                  <m:rPr>
                    <m:scr m:val="script"/>
                  </m:rPr>
                  <w:rPr>
                    <w:rFonts w:ascii="Cambria Math" w:hAnsi="Cambria Math" w:cstheme="minorHAnsi"/>
                    <w:sz w:val="24"/>
                    <w:lang w:val="en-US"/>
                  </w:rPr>
                  <m:t>X</m:t>
                </m:r>
              </m:sup>
            </m:sSubSup>
            <m:r>
              <w:rPr>
                <w:rFonts w:ascii="Cambria Math" w:hAnsi="Cambria Math" w:cstheme="minorHAnsi"/>
                <w:sz w:val="24"/>
                <w:lang w:val="en-US"/>
              </w:rPr>
              <m:t>.</m:t>
            </m:r>
            <m:sSubSup>
              <m:sSubSupPr>
                <m:ctrlPr>
                  <w:rPr>
                    <w:rFonts w:ascii="Cambria Math" w:hAnsi="Cambria Math" w:cstheme="minorHAnsi"/>
                    <w:i/>
                    <w:sz w:val="24"/>
                    <w:lang w:val="en-US"/>
                  </w:rPr>
                </m:ctrlPr>
              </m:sSubSupPr>
              <m:e>
                <m:r>
                  <w:rPr>
                    <w:rFonts w:ascii="Cambria Math" w:hAnsi="Cambria Math" w:cstheme="minorHAnsi"/>
                    <w:sz w:val="24"/>
                    <w:lang w:val="en-US"/>
                  </w:rPr>
                  <m:t>I</m:t>
                </m:r>
              </m:e>
              <m:sub>
                <m:r>
                  <m:rPr>
                    <m:scr m:val="script"/>
                  </m:rPr>
                  <w:rPr>
                    <w:rFonts w:ascii="Cambria Math" w:hAnsi="Cambria Math" w:cstheme="minorHAnsi"/>
                    <w:sz w:val="24"/>
                    <w:lang w:val="en-US"/>
                  </w:rPr>
                  <m:t>t</m:t>
                </m:r>
              </m:sub>
              <m:sup>
                <m:r>
                  <m:rPr>
                    <m:scr m:val="script"/>
                  </m:rPr>
                  <w:rPr>
                    <w:rFonts w:ascii="Cambria Math" w:hAnsi="Cambria Math" w:cstheme="minorHAnsi"/>
                    <w:sz w:val="24"/>
                    <w:lang w:val="en-US"/>
                  </w:rPr>
                  <m:t>z</m:t>
                </m:r>
              </m:sup>
            </m:sSubSup>
          </m:e>
        </m:d>
        <m:r>
          <w:rPr>
            <w:rFonts w:ascii="Cambria Math" w:hAnsi="Cambria Math" w:cstheme="minorHAnsi"/>
            <w:sz w:val="24"/>
            <w:lang w:val="en-US"/>
          </w:rPr>
          <m:t xml:space="preserve">= </m:t>
        </m:r>
        <m:r>
          <w:rPr>
            <w:rFonts w:ascii="Cambria Math" w:eastAsiaTheme="minorEastAsia" w:hAnsi="Cambria Math" w:cstheme="minorHAnsi"/>
            <w:sz w:val="24"/>
            <w:lang w:val="en-US"/>
          </w:rPr>
          <m:t>α</m:t>
        </m:r>
        <m:d>
          <m:dPr>
            <m:ctrlPr>
              <w:rPr>
                <w:rFonts w:ascii="Cambria Math" w:hAnsi="Cambria Math" w:cstheme="minorHAnsi"/>
                <w:i/>
                <w:sz w:val="24"/>
                <w:lang w:val="en-US"/>
              </w:rPr>
            </m:ctrlPr>
          </m:dPr>
          <m:e>
            <m:r>
              <w:rPr>
                <w:rFonts w:ascii="Cambria Math" w:hAnsi="Cambria Math" w:cstheme="minorHAnsi"/>
                <w:sz w:val="24"/>
                <w:lang w:val="en-US"/>
              </w:rPr>
              <m:t>τ</m:t>
            </m:r>
          </m:e>
        </m:d>
        <m:r>
          <w:rPr>
            <w:rFonts w:ascii="Cambria Math" w:hAnsi="Cambria Math" w:cstheme="minorHAnsi"/>
            <w:sz w:val="24"/>
            <w:lang w:val="en-US"/>
          </w:rPr>
          <m:t>+β</m:t>
        </m:r>
        <m:sSup>
          <m:sSupPr>
            <m:ctrlPr>
              <w:rPr>
                <w:rFonts w:ascii="Cambria Math" w:hAnsi="Cambria Math" w:cstheme="minorHAnsi"/>
                <w:i/>
                <w:sz w:val="24"/>
                <w:lang w:val="en-US"/>
              </w:rPr>
            </m:ctrlPr>
          </m:sSupPr>
          <m:e>
            <m:d>
              <m:dPr>
                <m:ctrlPr>
                  <w:rPr>
                    <w:rFonts w:ascii="Cambria Math" w:hAnsi="Cambria Math" w:cstheme="minorHAnsi"/>
                    <w:i/>
                    <w:sz w:val="24"/>
                    <w:lang w:val="en-US"/>
                  </w:rPr>
                </m:ctrlPr>
              </m:dPr>
              <m:e>
                <m:r>
                  <w:rPr>
                    <w:rFonts w:ascii="Cambria Math" w:hAnsi="Cambria Math" w:cstheme="minorHAnsi"/>
                    <w:sz w:val="24"/>
                    <w:lang w:val="en-US"/>
                  </w:rPr>
                  <m:t>τ</m:t>
                </m:r>
              </m:e>
            </m:d>
          </m:e>
          <m:sup>
            <m:r>
              <w:rPr>
                <w:rFonts w:ascii="Cambria Math" w:hAnsi="Cambria Math" w:cstheme="minorHAnsi"/>
                <w:sz w:val="24"/>
                <w:lang w:val="en-US"/>
              </w:rPr>
              <m:t>'</m:t>
            </m:r>
          </m:sup>
        </m:sSup>
        <m:sSub>
          <m:sSubPr>
            <m:ctrlPr>
              <w:rPr>
                <w:rFonts w:ascii="Cambria Math" w:hAnsi="Cambria Math" w:cstheme="minorHAnsi"/>
                <w:i/>
                <w:sz w:val="24"/>
                <w:lang w:val="en-US"/>
              </w:rPr>
            </m:ctrlPr>
          </m:sSubPr>
          <m:e>
            <m:r>
              <m:rPr>
                <m:scr m:val="script"/>
              </m:rPr>
              <w:rPr>
                <w:rFonts w:ascii="Cambria Math" w:hAnsi="Cambria Math" w:cstheme="minorHAnsi"/>
                <w:sz w:val="24"/>
                <w:lang w:val="en-US"/>
              </w:rPr>
              <m:t>Z</m:t>
            </m:r>
          </m:e>
          <m:sub>
            <m:r>
              <m:rPr>
                <m:scr m:val="script"/>
              </m:rPr>
              <w:rPr>
                <w:rFonts w:ascii="Cambria Math" w:hAnsi="Cambria Math" w:cstheme="minorHAnsi"/>
                <w:sz w:val="24"/>
                <w:lang w:val="en-US"/>
              </w:rPr>
              <m:t>t</m:t>
            </m:r>
          </m:sub>
        </m:sSub>
        <m:r>
          <w:rPr>
            <w:rFonts w:ascii="Cambria Math" w:hAnsi="Cambria Math" w:cstheme="minorHAnsi"/>
            <w:sz w:val="24"/>
            <w:lang w:val="en-US"/>
          </w:rPr>
          <m:t>+</m:t>
        </m:r>
        <m:nary>
          <m:naryPr>
            <m:chr m:val="∑"/>
            <m:limLoc m:val="undOvr"/>
            <m:ctrlPr>
              <w:rPr>
                <w:rFonts w:ascii="Cambria Math" w:hAnsi="Cambria Math" w:cstheme="minorHAnsi"/>
                <w:i/>
                <w:sz w:val="24"/>
                <w:lang w:val="en-US"/>
              </w:rPr>
            </m:ctrlPr>
          </m:naryPr>
          <m:sub>
            <m:r>
              <w:rPr>
                <w:rFonts w:ascii="Cambria Math" w:hAnsi="Cambria Math" w:cstheme="minorHAnsi"/>
                <w:sz w:val="24"/>
                <w:lang w:val="en-US"/>
              </w:rPr>
              <m:t>j=-k</m:t>
            </m:r>
          </m:sub>
          <m:sup>
            <m:r>
              <w:rPr>
                <w:rFonts w:ascii="Cambria Math" w:hAnsi="Cambria Math" w:cstheme="minorHAnsi"/>
                <w:sz w:val="24"/>
                <w:lang w:val="en-US"/>
              </w:rPr>
              <m:t>k</m:t>
            </m:r>
          </m:sup>
          <m:e>
            <m:r>
              <w:rPr>
                <w:rFonts w:ascii="Cambria Math" w:hAnsi="Cambria Math" w:cstheme="minorHAnsi"/>
                <w:sz w:val="24"/>
                <w:lang w:val="en-US"/>
              </w:rPr>
              <m:t>∆</m:t>
            </m:r>
            <m:sSubSup>
              <m:sSubSupPr>
                <m:ctrlPr>
                  <w:rPr>
                    <w:rFonts w:ascii="Cambria Math" w:hAnsi="Cambria Math" w:cstheme="minorHAnsi"/>
                    <w:i/>
                    <w:sz w:val="24"/>
                    <w:lang w:val="en-US"/>
                  </w:rPr>
                </m:ctrlPr>
              </m:sSubSupPr>
              <m:e>
                <m:r>
                  <m:rPr>
                    <m:scr m:val="script"/>
                  </m:rPr>
                  <w:rPr>
                    <w:rFonts w:ascii="Cambria Math" w:hAnsi="Cambria Math" w:cstheme="minorHAnsi"/>
                    <w:sz w:val="24"/>
                    <w:lang w:val="en-US"/>
                  </w:rPr>
                  <m:t>Z</m:t>
                </m:r>
              </m:e>
              <m:sub>
                <m:r>
                  <m:rPr>
                    <m:scr m:val="script"/>
                  </m:rPr>
                  <w:rPr>
                    <w:rFonts w:ascii="Cambria Math" w:hAnsi="Cambria Math" w:cstheme="minorHAnsi"/>
                    <w:sz w:val="24"/>
                    <w:lang w:val="en-US"/>
                  </w:rPr>
                  <m:t>t-</m:t>
                </m:r>
                <m:r>
                  <w:rPr>
                    <w:rFonts w:ascii="Cambria Math" w:hAnsi="Cambria Math" w:cstheme="minorHAnsi"/>
                    <w:sz w:val="24"/>
                    <w:lang w:val="en-US"/>
                  </w:rPr>
                  <m:t>j</m:t>
                </m:r>
              </m:sub>
              <m:sup>
                <m:r>
                  <w:rPr>
                    <w:rFonts w:ascii="Cambria Math" w:hAnsi="Cambria Math" w:cstheme="minorHAnsi"/>
                    <w:sz w:val="24"/>
                    <w:lang w:val="en-US"/>
                  </w:rPr>
                  <m:t>'</m:t>
                </m:r>
              </m:sup>
            </m:sSubSup>
            <m:sSub>
              <m:sSubPr>
                <m:ctrlPr>
                  <w:rPr>
                    <w:rFonts w:ascii="Cambria Math" w:hAnsi="Cambria Math" w:cstheme="minorHAnsi"/>
                    <w:i/>
                    <w:sz w:val="24"/>
                    <w:lang w:val="en-US"/>
                  </w:rPr>
                </m:ctrlPr>
              </m:sSubPr>
              <m:e>
                <m:r>
                  <w:rPr>
                    <w:rFonts w:ascii="Cambria Math" w:hAnsi="Cambria Math" w:cstheme="minorHAnsi"/>
                    <w:sz w:val="24"/>
                    <w:lang w:val="en-US"/>
                  </w:rPr>
                  <m:t>П</m:t>
                </m:r>
              </m:e>
              <m:sub>
                <m:r>
                  <w:rPr>
                    <w:rFonts w:ascii="Cambria Math" w:hAnsi="Cambria Math" w:cstheme="minorHAnsi"/>
                    <w:sz w:val="24"/>
                    <w:lang w:val="en-US"/>
                  </w:rPr>
                  <m:t>j</m:t>
                </m:r>
              </m:sub>
            </m:sSub>
            <m:r>
              <w:rPr>
                <w:rFonts w:ascii="Cambria Math" w:hAnsi="Cambria Math" w:cstheme="minorHAnsi"/>
                <w:sz w:val="24"/>
                <w:lang w:val="en-US"/>
              </w:rPr>
              <m:t>+</m:t>
            </m:r>
            <m:sSubSup>
              <m:sSubSupPr>
                <m:ctrlPr>
                  <w:rPr>
                    <w:rFonts w:ascii="Cambria Math" w:hAnsi="Cambria Math" w:cstheme="minorHAnsi"/>
                    <w:i/>
                    <w:sz w:val="24"/>
                    <w:lang w:val="en-US"/>
                  </w:rPr>
                </m:ctrlPr>
              </m:sSubSupPr>
              <m:e>
                <m:r>
                  <m:rPr>
                    <m:scr m:val="script"/>
                  </m:rPr>
                  <w:rPr>
                    <w:rFonts w:ascii="Cambria Math" w:hAnsi="Cambria Math" w:cstheme="minorHAnsi"/>
                    <w:sz w:val="24"/>
                    <w:lang w:val="en-US"/>
                  </w:rPr>
                  <m:t>F</m:t>
                </m:r>
              </m:e>
              <m:sub>
                <m:r>
                  <m:rPr>
                    <m:scr m:val="script"/>
                  </m:rPr>
                  <w:rPr>
                    <w:rFonts w:ascii="Cambria Math" w:hAnsi="Cambria Math" w:cstheme="minorHAnsi"/>
                    <w:sz w:val="24"/>
                    <w:lang w:val="en-US"/>
                  </w:rPr>
                  <m:t>u</m:t>
                </m:r>
              </m:sub>
              <m:sup>
                <m:r>
                  <w:rPr>
                    <w:rFonts w:ascii="Cambria Math" w:hAnsi="Cambria Math" w:cstheme="minorHAnsi"/>
                    <w:sz w:val="24"/>
                    <w:lang w:val="en-US"/>
                  </w:rPr>
                  <m:t>-1</m:t>
                </m:r>
              </m:sup>
            </m:sSubSup>
            <m:r>
              <w:rPr>
                <w:rFonts w:ascii="Cambria Math" w:hAnsi="Cambria Math" w:cstheme="minorHAnsi"/>
                <w:sz w:val="24"/>
                <w:lang w:val="en-US"/>
              </w:rPr>
              <m:t>(τ)</m:t>
            </m:r>
          </m:e>
        </m:nary>
      </m:oMath>
      <w:r w:rsidRPr="00CD364B">
        <w:rPr>
          <w:rFonts w:eastAsiaTheme="minorEastAsia" w:cstheme="minorHAnsi"/>
          <w:sz w:val="24"/>
          <w:lang w:val="en-US"/>
        </w:rPr>
        <w:t xml:space="preserve">                                      (3)</w:t>
      </w:r>
    </w:p>
    <w:p w14:paraId="6F3A4D79" w14:textId="77777777" w:rsidR="00835223" w:rsidRPr="00CD364B" w:rsidRDefault="00835223" w:rsidP="00004F21">
      <w:pPr>
        <w:spacing w:after="0" w:line="360" w:lineRule="auto"/>
        <w:ind w:firstLine="720"/>
        <w:jc w:val="both"/>
        <w:rPr>
          <w:rFonts w:eastAsiaTheme="minorEastAsia" w:cstheme="minorHAnsi"/>
          <w:sz w:val="24"/>
          <w:lang w:val="en-US"/>
        </w:rPr>
      </w:pPr>
    </w:p>
    <w:p w14:paraId="27DB594F" w14:textId="2ABB03B5" w:rsidR="00FF344C" w:rsidRPr="00CD364B" w:rsidRDefault="00FF344C" w:rsidP="00004F21">
      <w:pPr>
        <w:spacing w:after="0" w:line="360" w:lineRule="auto"/>
        <w:ind w:firstLine="720"/>
        <w:jc w:val="both"/>
        <w:rPr>
          <w:rFonts w:eastAsiaTheme="minorEastAsia" w:cstheme="minorHAnsi"/>
          <w:sz w:val="24"/>
          <w:lang w:val="en-US"/>
        </w:rPr>
      </w:pPr>
      <w:r w:rsidRPr="00CD364B">
        <w:rPr>
          <w:rFonts w:eastAsiaTheme="minorEastAsia" w:cstheme="minorHAnsi"/>
          <w:sz w:val="24"/>
          <w:lang w:val="en-US"/>
        </w:rPr>
        <w:lastRenderedPageBreak/>
        <w:t>We further add regressor’s quadratic term in the model and can be represented as follows:</w:t>
      </w:r>
    </w:p>
    <w:p w14:paraId="638A0E32" w14:textId="77777777" w:rsidR="00835223" w:rsidRPr="00CD364B" w:rsidRDefault="00835223" w:rsidP="00004F21">
      <w:pPr>
        <w:spacing w:after="0" w:line="360" w:lineRule="auto"/>
        <w:ind w:firstLine="720"/>
        <w:jc w:val="both"/>
        <w:rPr>
          <w:rFonts w:eastAsiaTheme="minorEastAsia" w:cstheme="minorHAnsi"/>
          <w:sz w:val="24"/>
          <w:szCs w:val="24"/>
          <w:lang w:val="en-US"/>
        </w:rPr>
      </w:pPr>
    </w:p>
    <w:p w14:paraId="24FDF67B" w14:textId="0FFB55D1" w:rsidR="00FF344C" w:rsidRPr="00CD364B" w:rsidRDefault="00FF747F" w:rsidP="00CD5F46">
      <w:pPr>
        <w:spacing w:after="0" w:line="360" w:lineRule="auto"/>
        <w:ind w:firstLine="720"/>
        <w:jc w:val="both"/>
        <w:rPr>
          <w:rFonts w:eastAsiaTheme="minorEastAsia" w:cstheme="minorHAnsi"/>
          <w:sz w:val="24"/>
          <w:szCs w:val="24"/>
          <w:lang w:val="en-US"/>
        </w:rPr>
      </w:pPr>
      <m:oMath>
        <m:sSubSup>
          <m:sSubSupPr>
            <m:ctrlPr>
              <w:rPr>
                <w:rFonts w:ascii="Cambria Math" w:hAnsi="Cambria Math" w:cstheme="minorHAnsi"/>
                <w:i/>
                <w:sz w:val="24"/>
                <w:lang w:val="en-US"/>
              </w:rPr>
            </m:ctrlPr>
          </m:sSubSupPr>
          <m:e>
            <m:r>
              <m:rPr>
                <m:scr m:val="script"/>
              </m:rPr>
              <w:rPr>
                <w:rFonts w:ascii="Cambria Math" w:hAnsi="Cambria Math" w:cstheme="minorHAnsi"/>
                <w:sz w:val="24"/>
                <w:lang w:val="en-US"/>
              </w:rPr>
              <m:t>Q</m:t>
            </m:r>
          </m:e>
          <m:sub>
            <m:r>
              <w:rPr>
                <w:rFonts w:ascii="Cambria Math" w:hAnsi="Cambria Math" w:cstheme="minorHAnsi"/>
                <w:sz w:val="24"/>
                <w:lang w:val="en-US"/>
              </w:rPr>
              <m:t>τ</m:t>
            </m:r>
          </m:sub>
          <m:sup>
            <m:r>
              <m:rPr>
                <m:scr m:val="script"/>
              </m:rPr>
              <w:rPr>
                <w:rFonts w:ascii="Cambria Math" w:hAnsi="Cambria Math" w:cstheme="minorHAnsi"/>
                <w:sz w:val="24"/>
                <w:lang w:val="en-US"/>
              </w:rPr>
              <m:t>X</m:t>
            </m:r>
          </m:sup>
        </m:sSubSup>
        <m:d>
          <m:dPr>
            <m:ctrlPr>
              <w:rPr>
                <w:rFonts w:ascii="Cambria Math" w:hAnsi="Cambria Math" w:cstheme="minorHAnsi"/>
                <w:i/>
                <w:sz w:val="24"/>
                <w:lang w:val="en-US"/>
              </w:rPr>
            </m:ctrlPr>
          </m:dPr>
          <m:e>
            <m:sSub>
              <m:sSubPr>
                <m:ctrlPr>
                  <w:rPr>
                    <w:rFonts w:ascii="Cambria Math" w:hAnsi="Cambria Math" w:cstheme="minorHAnsi"/>
                    <w:i/>
                    <w:sz w:val="24"/>
                    <w:lang w:val="en-US"/>
                  </w:rPr>
                </m:ctrlPr>
              </m:sSubPr>
              <m:e>
                <m:r>
                  <m:rPr>
                    <m:scr m:val="script"/>
                  </m:rPr>
                  <w:rPr>
                    <w:rFonts w:ascii="Cambria Math" w:hAnsi="Cambria Math" w:cstheme="minorHAnsi"/>
                    <w:sz w:val="24"/>
                    <w:lang w:val="en-US"/>
                  </w:rPr>
                  <m:t>X</m:t>
                </m:r>
              </m:e>
              <m:sub>
                <m:r>
                  <m:rPr>
                    <m:scr m:val="script"/>
                  </m:rPr>
                  <w:rPr>
                    <w:rFonts w:ascii="Cambria Math" w:hAnsi="Cambria Math" w:cstheme="minorHAnsi"/>
                    <w:sz w:val="24"/>
                    <w:lang w:val="en-US"/>
                  </w:rPr>
                  <m:t>t</m:t>
                </m:r>
              </m:sub>
            </m:sSub>
          </m:e>
          <m:e>
            <m:sSubSup>
              <m:sSubSupPr>
                <m:ctrlPr>
                  <w:rPr>
                    <w:rFonts w:ascii="Cambria Math" w:hAnsi="Cambria Math" w:cstheme="minorHAnsi"/>
                    <w:i/>
                    <w:sz w:val="24"/>
                    <w:lang w:val="en-US"/>
                  </w:rPr>
                </m:ctrlPr>
              </m:sSubSupPr>
              <m:e>
                <m:r>
                  <w:rPr>
                    <w:rFonts w:ascii="Cambria Math" w:hAnsi="Cambria Math" w:cstheme="minorHAnsi"/>
                    <w:sz w:val="24"/>
                    <w:lang w:val="en-US"/>
                  </w:rPr>
                  <m:t>I</m:t>
                </m:r>
              </m:e>
              <m:sub>
                <m:r>
                  <m:rPr>
                    <m:scr m:val="script"/>
                  </m:rPr>
                  <w:rPr>
                    <w:rFonts w:ascii="Cambria Math" w:hAnsi="Cambria Math" w:cstheme="minorHAnsi"/>
                    <w:sz w:val="24"/>
                    <w:lang w:val="en-US"/>
                  </w:rPr>
                  <m:t>t</m:t>
                </m:r>
              </m:sub>
              <m:sup>
                <m:r>
                  <m:rPr>
                    <m:scr m:val="script"/>
                  </m:rPr>
                  <w:rPr>
                    <w:rFonts w:ascii="Cambria Math" w:hAnsi="Cambria Math" w:cstheme="minorHAnsi"/>
                    <w:sz w:val="24"/>
                    <w:lang w:val="en-US"/>
                  </w:rPr>
                  <m:t>X</m:t>
                </m:r>
              </m:sup>
            </m:sSubSup>
            <m:r>
              <w:rPr>
                <w:rFonts w:ascii="Cambria Math" w:hAnsi="Cambria Math" w:cstheme="minorHAnsi"/>
                <w:sz w:val="24"/>
                <w:lang w:val="en-US"/>
              </w:rPr>
              <m:t>.</m:t>
            </m:r>
            <m:sSubSup>
              <m:sSubSupPr>
                <m:ctrlPr>
                  <w:rPr>
                    <w:rFonts w:ascii="Cambria Math" w:hAnsi="Cambria Math" w:cstheme="minorHAnsi"/>
                    <w:i/>
                    <w:sz w:val="24"/>
                    <w:lang w:val="en-US"/>
                  </w:rPr>
                </m:ctrlPr>
              </m:sSubSupPr>
              <m:e>
                <m:r>
                  <w:rPr>
                    <w:rFonts w:ascii="Cambria Math" w:hAnsi="Cambria Math" w:cstheme="minorHAnsi"/>
                    <w:sz w:val="24"/>
                    <w:lang w:val="en-US"/>
                  </w:rPr>
                  <m:t>I</m:t>
                </m:r>
              </m:e>
              <m:sub>
                <m:r>
                  <m:rPr>
                    <m:scr m:val="script"/>
                  </m:rPr>
                  <w:rPr>
                    <w:rFonts w:ascii="Cambria Math" w:hAnsi="Cambria Math" w:cstheme="minorHAnsi"/>
                    <w:sz w:val="24"/>
                    <w:lang w:val="en-US"/>
                  </w:rPr>
                  <m:t>t</m:t>
                </m:r>
              </m:sub>
              <m:sup>
                <m:r>
                  <m:rPr>
                    <m:scr m:val="script"/>
                  </m:rPr>
                  <w:rPr>
                    <w:rFonts w:ascii="Cambria Math" w:hAnsi="Cambria Math" w:cstheme="minorHAnsi"/>
                    <w:sz w:val="24"/>
                    <w:lang w:val="en-US"/>
                  </w:rPr>
                  <m:t>z</m:t>
                </m:r>
              </m:sup>
            </m:sSubSup>
          </m:e>
        </m:d>
        <m:r>
          <w:rPr>
            <w:rFonts w:ascii="Cambria Math" w:hAnsi="Cambria Math" w:cstheme="minorHAnsi"/>
            <w:sz w:val="24"/>
            <w:lang w:val="en-US"/>
          </w:rPr>
          <m:t xml:space="preserve">= </m:t>
        </m:r>
        <m:r>
          <w:rPr>
            <w:rFonts w:ascii="Cambria Math" w:eastAsiaTheme="minorEastAsia" w:hAnsi="Cambria Math" w:cstheme="minorHAnsi"/>
            <w:sz w:val="24"/>
            <w:lang w:val="en-US"/>
          </w:rPr>
          <m:t>α</m:t>
        </m:r>
        <m:d>
          <m:dPr>
            <m:ctrlPr>
              <w:rPr>
                <w:rFonts w:ascii="Cambria Math" w:hAnsi="Cambria Math" w:cstheme="minorHAnsi"/>
                <w:i/>
                <w:sz w:val="24"/>
                <w:lang w:val="en-US"/>
              </w:rPr>
            </m:ctrlPr>
          </m:dPr>
          <m:e>
            <m:r>
              <w:rPr>
                <w:rFonts w:ascii="Cambria Math" w:hAnsi="Cambria Math" w:cstheme="minorHAnsi"/>
                <w:sz w:val="24"/>
                <w:lang w:val="en-US"/>
              </w:rPr>
              <m:t>τ</m:t>
            </m:r>
          </m:e>
        </m:d>
        <m:r>
          <w:rPr>
            <w:rFonts w:ascii="Cambria Math" w:hAnsi="Cambria Math" w:cstheme="minorHAnsi"/>
            <w:sz w:val="24"/>
            <w:lang w:val="en-US"/>
          </w:rPr>
          <m:t>+β</m:t>
        </m:r>
        <m:sSup>
          <m:sSupPr>
            <m:ctrlPr>
              <w:rPr>
                <w:rFonts w:ascii="Cambria Math" w:hAnsi="Cambria Math" w:cstheme="minorHAnsi"/>
                <w:i/>
                <w:sz w:val="24"/>
                <w:lang w:val="en-US"/>
              </w:rPr>
            </m:ctrlPr>
          </m:sSupPr>
          <m:e>
            <m:d>
              <m:dPr>
                <m:ctrlPr>
                  <w:rPr>
                    <w:rFonts w:ascii="Cambria Math" w:hAnsi="Cambria Math" w:cstheme="minorHAnsi"/>
                    <w:i/>
                    <w:sz w:val="24"/>
                    <w:lang w:val="en-US"/>
                  </w:rPr>
                </m:ctrlPr>
              </m:dPr>
              <m:e>
                <m:r>
                  <w:rPr>
                    <w:rFonts w:ascii="Cambria Math" w:hAnsi="Cambria Math" w:cstheme="minorHAnsi"/>
                    <w:sz w:val="24"/>
                    <w:lang w:val="en-US"/>
                  </w:rPr>
                  <m:t>τ</m:t>
                </m:r>
              </m:e>
            </m:d>
          </m:e>
          <m:sup>
            <m:r>
              <w:rPr>
                <w:rFonts w:ascii="Cambria Math" w:hAnsi="Cambria Math" w:cstheme="minorHAnsi"/>
                <w:sz w:val="24"/>
                <w:lang w:val="en-US"/>
              </w:rPr>
              <m:t>'</m:t>
            </m:r>
          </m:sup>
        </m:sSup>
        <m:sSub>
          <m:sSubPr>
            <m:ctrlPr>
              <w:rPr>
                <w:rFonts w:ascii="Cambria Math" w:hAnsi="Cambria Math" w:cstheme="minorHAnsi"/>
                <w:i/>
                <w:sz w:val="24"/>
                <w:lang w:val="en-US"/>
              </w:rPr>
            </m:ctrlPr>
          </m:sSubPr>
          <m:e>
            <m:r>
              <m:rPr>
                <m:scr m:val="script"/>
              </m:rPr>
              <w:rPr>
                <w:rFonts w:ascii="Cambria Math" w:hAnsi="Cambria Math" w:cstheme="minorHAnsi"/>
                <w:sz w:val="24"/>
                <w:lang w:val="en-US"/>
              </w:rPr>
              <m:t>Z</m:t>
            </m:r>
          </m:e>
          <m:sub>
            <m:r>
              <w:rPr>
                <w:rFonts w:ascii="Cambria Math" w:hAnsi="Cambria Math" w:cstheme="minorHAnsi"/>
                <w:sz w:val="24"/>
                <w:lang w:val="en-US"/>
              </w:rPr>
              <m:t>t</m:t>
            </m:r>
          </m:sub>
        </m:sSub>
        <m:r>
          <w:rPr>
            <w:rFonts w:ascii="Cambria Math" w:hAnsi="Cambria Math" w:cstheme="minorHAnsi"/>
            <w:sz w:val="24"/>
            <w:lang w:val="en-US"/>
          </w:rPr>
          <m:t>+</m:t>
        </m:r>
        <m:r>
          <w:rPr>
            <w:rFonts w:ascii="Cambria Math" w:eastAsiaTheme="minorEastAsia" w:hAnsi="Cambria Math" w:cstheme="minorHAnsi"/>
            <w:sz w:val="24"/>
            <w:lang w:val="en-US"/>
          </w:rPr>
          <m:t>γ</m:t>
        </m:r>
        <m:sSup>
          <m:sSupPr>
            <m:ctrlPr>
              <w:rPr>
                <w:rFonts w:ascii="Cambria Math" w:hAnsi="Cambria Math" w:cstheme="minorHAnsi"/>
                <w:i/>
                <w:sz w:val="24"/>
                <w:lang w:val="en-US"/>
              </w:rPr>
            </m:ctrlPr>
          </m:sSupPr>
          <m:e>
            <m:d>
              <m:dPr>
                <m:ctrlPr>
                  <w:rPr>
                    <w:rFonts w:ascii="Cambria Math" w:hAnsi="Cambria Math" w:cstheme="minorHAnsi"/>
                    <w:i/>
                    <w:sz w:val="24"/>
                    <w:lang w:val="en-US"/>
                  </w:rPr>
                </m:ctrlPr>
              </m:dPr>
              <m:e>
                <m:r>
                  <w:rPr>
                    <w:rFonts w:ascii="Cambria Math" w:hAnsi="Cambria Math" w:cstheme="minorHAnsi"/>
                    <w:sz w:val="24"/>
                    <w:lang w:val="en-US"/>
                  </w:rPr>
                  <m:t>τ</m:t>
                </m:r>
              </m:e>
            </m:d>
          </m:e>
          <m:sup>
            <m:r>
              <w:rPr>
                <w:rFonts w:ascii="Cambria Math" w:hAnsi="Cambria Math" w:cstheme="minorHAnsi"/>
                <w:sz w:val="24"/>
                <w:lang w:val="en-US"/>
              </w:rPr>
              <m:t>'</m:t>
            </m:r>
          </m:sup>
        </m:sSup>
        <m:sSubSup>
          <m:sSubSupPr>
            <m:ctrlPr>
              <w:rPr>
                <w:rFonts w:ascii="Cambria Math" w:hAnsi="Cambria Math" w:cstheme="minorHAnsi"/>
                <w:i/>
                <w:sz w:val="24"/>
                <w:lang w:val="en-US"/>
              </w:rPr>
            </m:ctrlPr>
          </m:sSubSupPr>
          <m:e>
            <m:r>
              <m:rPr>
                <m:scr m:val="script"/>
              </m:rPr>
              <w:rPr>
                <w:rFonts w:ascii="Cambria Math" w:hAnsi="Cambria Math" w:cstheme="minorHAnsi"/>
                <w:sz w:val="24"/>
                <w:lang w:val="en-US"/>
              </w:rPr>
              <m:t>Z</m:t>
            </m:r>
          </m:e>
          <m:sub>
            <m:r>
              <w:rPr>
                <w:rFonts w:ascii="Cambria Math" w:hAnsi="Cambria Math" w:cstheme="minorHAnsi"/>
                <w:sz w:val="24"/>
                <w:lang w:val="en-US"/>
              </w:rPr>
              <m:t>t</m:t>
            </m:r>
          </m:sub>
          <m:sup>
            <m:r>
              <w:rPr>
                <w:rFonts w:ascii="Cambria Math" w:hAnsi="Cambria Math" w:cstheme="minorHAnsi"/>
                <w:sz w:val="24"/>
                <w:lang w:val="en-US"/>
              </w:rPr>
              <m:t>2</m:t>
            </m:r>
          </m:sup>
        </m:sSubSup>
        <m:r>
          <w:rPr>
            <w:rFonts w:ascii="Cambria Math" w:hAnsi="Cambria Math" w:cstheme="minorHAnsi"/>
            <w:sz w:val="24"/>
            <w:lang w:val="en-US"/>
          </w:rPr>
          <m:t>+</m:t>
        </m:r>
        <m:nary>
          <m:naryPr>
            <m:chr m:val="∑"/>
            <m:limLoc m:val="undOvr"/>
            <m:ctrlPr>
              <w:rPr>
                <w:rFonts w:ascii="Cambria Math" w:hAnsi="Cambria Math" w:cstheme="minorHAnsi"/>
                <w:i/>
                <w:sz w:val="24"/>
                <w:lang w:val="en-US"/>
              </w:rPr>
            </m:ctrlPr>
          </m:naryPr>
          <m:sub>
            <m:r>
              <w:rPr>
                <w:rFonts w:ascii="Cambria Math" w:hAnsi="Cambria Math" w:cstheme="minorHAnsi"/>
                <w:sz w:val="24"/>
                <w:lang w:val="en-US"/>
              </w:rPr>
              <m:t>j=-k</m:t>
            </m:r>
          </m:sub>
          <m:sup>
            <m:r>
              <w:rPr>
                <w:rFonts w:ascii="Cambria Math" w:hAnsi="Cambria Math" w:cstheme="minorHAnsi"/>
                <w:sz w:val="24"/>
                <w:lang w:val="en-US"/>
              </w:rPr>
              <m:t>k</m:t>
            </m:r>
          </m:sup>
          <m:e>
            <m:r>
              <w:rPr>
                <w:rFonts w:ascii="Cambria Math" w:hAnsi="Cambria Math" w:cstheme="minorHAnsi"/>
                <w:sz w:val="24"/>
                <w:lang w:val="en-US"/>
              </w:rPr>
              <m:t>∆</m:t>
            </m:r>
            <m:sSubSup>
              <m:sSubSupPr>
                <m:ctrlPr>
                  <w:rPr>
                    <w:rFonts w:ascii="Cambria Math" w:hAnsi="Cambria Math" w:cstheme="minorHAnsi"/>
                    <w:i/>
                    <w:sz w:val="24"/>
                    <w:lang w:val="en-US"/>
                  </w:rPr>
                </m:ctrlPr>
              </m:sSubSupPr>
              <m:e>
                <m:r>
                  <m:rPr>
                    <m:scr m:val="script"/>
                  </m:rPr>
                  <w:rPr>
                    <w:rFonts w:ascii="Cambria Math" w:hAnsi="Cambria Math" w:cstheme="minorHAnsi"/>
                    <w:sz w:val="24"/>
                    <w:lang w:val="en-US"/>
                  </w:rPr>
                  <m:t>Z</m:t>
                </m:r>
              </m:e>
              <m:sub>
                <m:r>
                  <m:rPr>
                    <m:scr m:val="script"/>
                  </m:rPr>
                  <w:rPr>
                    <w:rFonts w:ascii="Cambria Math" w:hAnsi="Cambria Math" w:cstheme="minorHAnsi"/>
                    <w:sz w:val="24"/>
                    <w:lang w:val="en-US"/>
                  </w:rPr>
                  <m:t>t-</m:t>
                </m:r>
                <m:r>
                  <w:rPr>
                    <w:rFonts w:ascii="Cambria Math" w:hAnsi="Cambria Math" w:cstheme="minorHAnsi"/>
                    <w:sz w:val="24"/>
                    <w:lang w:val="en-US"/>
                  </w:rPr>
                  <m:t>j</m:t>
                </m:r>
              </m:sub>
              <m:sup>
                <m:r>
                  <w:rPr>
                    <w:rFonts w:ascii="Cambria Math" w:hAnsi="Cambria Math" w:cstheme="minorHAnsi"/>
                    <w:sz w:val="24"/>
                    <w:lang w:val="en-US"/>
                  </w:rPr>
                  <m:t>'</m:t>
                </m:r>
              </m:sup>
            </m:sSubSup>
            <m:sSub>
              <m:sSubPr>
                <m:ctrlPr>
                  <w:rPr>
                    <w:rFonts w:ascii="Cambria Math" w:hAnsi="Cambria Math" w:cstheme="minorHAnsi"/>
                    <w:i/>
                    <w:sz w:val="24"/>
                    <w:lang w:val="en-US"/>
                  </w:rPr>
                </m:ctrlPr>
              </m:sSubPr>
              <m:e>
                <m:r>
                  <w:rPr>
                    <w:rFonts w:ascii="Cambria Math" w:hAnsi="Cambria Math" w:cstheme="minorHAnsi"/>
                    <w:sz w:val="24"/>
                    <w:lang w:val="en-US"/>
                  </w:rPr>
                  <m:t>П</m:t>
                </m:r>
              </m:e>
              <m:sub>
                <m:r>
                  <w:rPr>
                    <w:rFonts w:ascii="Cambria Math" w:hAnsi="Cambria Math" w:cstheme="minorHAnsi"/>
                    <w:sz w:val="24"/>
                    <w:lang w:val="en-US"/>
                  </w:rPr>
                  <m:t>j</m:t>
                </m:r>
              </m:sub>
            </m:sSub>
            <m:r>
              <w:rPr>
                <w:rFonts w:ascii="Cambria Math" w:hAnsi="Cambria Math" w:cstheme="minorHAnsi"/>
                <w:sz w:val="24"/>
                <w:lang w:val="en-US"/>
              </w:rPr>
              <m:t>+</m:t>
            </m:r>
            <m:nary>
              <m:naryPr>
                <m:chr m:val="∑"/>
                <m:limLoc m:val="undOvr"/>
                <m:ctrlPr>
                  <w:rPr>
                    <w:rFonts w:ascii="Cambria Math" w:hAnsi="Cambria Math" w:cstheme="minorHAnsi"/>
                    <w:i/>
                    <w:sz w:val="24"/>
                    <w:lang w:val="en-US"/>
                  </w:rPr>
                </m:ctrlPr>
              </m:naryPr>
              <m:sub>
                <m:r>
                  <w:rPr>
                    <w:rFonts w:ascii="Cambria Math" w:hAnsi="Cambria Math" w:cstheme="minorHAnsi"/>
                    <w:sz w:val="24"/>
                    <w:lang w:val="en-US"/>
                  </w:rPr>
                  <m:t>j=-k</m:t>
                </m:r>
              </m:sub>
              <m:sup>
                <m:r>
                  <w:rPr>
                    <w:rFonts w:ascii="Cambria Math" w:hAnsi="Cambria Math" w:cstheme="minorHAnsi"/>
                    <w:sz w:val="24"/>
                    <w:lang w:val="en-US"/>
                  </w:rPr>
                  <m:t>k</m:t>
                </m:r>
              </m:sup>
              <m:e>
                <m:r>
                  <w:rPr>
                    <w:rFonts w:ascii="Cambria Math" w:hAnsi="Cambria Math" w:cstheme="minorHAnsi"/>
                    <w:sz w:val="24"/>
                    <w:lang w:val="en-US"/>
                  </w:rPr>
                  <m:t>∆</m:t>
                </m:r>
                <m:sSubSup>
                  <m:sSubSupPr>
                    <m:ctrlPr>
                      <w:rPr>
                        <w:rFonts w:ascii="Cambria Math" w:hAnsi="Cambria Math" w:cstheme="minorHAnsi"/>
                        <w:i/>
                        <w:sz w:val="24"/>
                        <w:lang w:val="en-US"/>
                      </w:rPr>
                    </m:ctrlPr>
                  </m:sSubSupPr>
                  <m:e>
                    <m:r>
                      <m:rPr>
                        <m:scr m:val="script"/>
                      </m:rPr>
                      <w:rPr>
                        <w:rFonts w:ascii="Cambria Math" w:hAnsi="Cambria Math" w:cstheme="minorHAnsi"/>
                        <w:sz w:val="24"/>
                        <w:lang w:val="en-US"/>
                      </w:rPr>
                      <m:t>Z</m:t>
                    </m:r>
                  </m:e>
                  <m:sub>
                    <m:r>
                      <m:rPr>
                        <m:scr m:val="script"/>
                      </m:rPr>
                      <w:rPr>
                        <w:rFonts w:ascii="Cambria Math" w:hAnsi="Cambria Math" w:cstheme="minorHAnsi"/>
                        <w:sz w:val="24"/>
                        <w:lang w:val="en-US"/>
                      </w:rPr>
                      <m:t>t-</m:t>
                    </m:r>
                    <m:r>
                      <w:rPr>
                        <w:rFonts w:ascii="Cambria Math" w:hAnsi="Cambria Math" w:cstheme="minorHAnsi"/>
                        <w:sz w:val="24"/>
                        <w:lang w:val="en-US"/>
                      </w:rPr>
                      <m:t>j</m:t>
                    </m:r>
                  </m:sub>
                  <m:sup>
                    <m:r>
                      <w:rPr>
                        <w:rFonts w:ascii="Cambria Math" w:hAnsi="Cambria Math" w:cstheme="minorHAnsi"/>
                        <w:sz w:val="24"/>
                        <w:lang w:val="en-US"/>
                      </w:rPr>
                      <m:t>2'</m:t>
                    </m:r>
                  </m:sup>
                </m:sSubSup>
                <m:sSub>
                  <m:sSubPr>
                    <m:ctrlPr>
                      <w:rPr>
                        <w:rFonts w:ascii="Cambria Math" w:hAnsi="Cambria Math" w:cstheme="minorHAnsi"/>
                        <w:i/>
                        <w:sz w:val="24"/>
                        <w:lang w:val="en-US"/>
                      </w:rPr>
                    </m:ctrlPr>
                  </m:sSubPr>
                  <m:e>
                    <m:r>
                      <w:rPr>
                        <w:rFonts w:ascii="Cambria Math" w:hAnsi="Cambria Math" w:cstheme="minorHAnsi"/>
                        <w:sz w:val="24"/>
                        <w:lang w:val="en-US"/>
                      </w:rPr>
                      <m:t>Г</m:t>
                    </m:r>
                  </m:e>
                  <m:sub>
                    <m:r>
                      <w:rPr>
                        <w:rFonts w:ascii="Cambria Math" w:hAnsi="Cambria Math" w:cstheme="minorHAnsi"/>
                        <w:sz w:val="24"/>
                        <w:lang w:val="en-US"/>
                      </w:rPr>
                      <m:t>j</m:t>
                    </m:r>
                  </m:sub>
                </m:sSub>
                <m:r>
                  <w:rPr>
                    <w:rFonts w:ascii="Cambria Math" w:hAnsi="Cambria Math" w:cstheme="minorHAnsi"/>
                    <w:sz w:val="24"/>
                    <w:lang w:val="en-US"/>
                  </w:rPr>
                  <m:t xml:space="preserve"> </m:t>
                </m:r>
                <m:sSubSup>
                  <m:sSubSupPr>
                    <m:ctrlPr>
                      <w:rPr>
                        <w:rFonts w:ascii="Cambria Math" w:hAnsi="Cambria Math" w:cstheme="minorHAnsi"/>
                        <w:i/>
                        <w:sz w:val="24"/>
                        <w:lang w:val="en-US"/>
                      </w:rPr>
                    </m:ctrlPr>
                  </m:sSubSupPr>
                  <m:e>
                    <m:r>
                      <m:rPr>
                        <m:scr m:val="script"/>
                      </m:rPr>
                      <w:rPr>
                        <w:rFonts w:ascii="Cambria Math" w:hAnsi="Cambria Math" w:cstheme="minorHAnsi"/>
                        <w:sz w:val="24"/>
                        <w:lang w:val="en-US"/>
                      </w:rPr>
                      <m:t>F</m:t>
                    </m:r>
                  </m:e>
                  <m:sub>
                    <m:r>
                      <m:rPr>
                        <m:scr m:val="script"/>
                      </m:rPr>
                      <w:rPr>
                        <w:rFonts w:ascii="Cambria Math" w:hAnsi="Cambria Math" w:cstheme="minorHAnsi"/>
                        <w:sz w:val="24"/>
                        <w:lang w:val="en-US"/>
                      </w:rPr>
                      <m:t>u</m:t>
                    </m:r>
                  </m:sub>
                  <m:sup>
                    <m:r>
                      <w:rPr>
                        <w:rFonts w:ascii="Cambria Math" w:hAnsi="Cambria Math" w:cstheme="minorHAnsi"/>
                        <w:sz w:val="24"/>
                        <w:lang w:val="en-US"/>
                      </w:rPr>
                      <m:t>-1</m:t>
                    </m:r>
                  </m:sup>
                </m:sSubSup>
                <m:r>
                  <w:rPr>
                    <w:rFonts w:ascii="Cambria Math" w:hAnsi="Cambria Math" w:cstheme="minorHAnsi"/>
                    <w:sz w:val="24"/>
                    <w:lang w:val="en-US"/>
                  </w:rPr>
                  <m:t>(τ)</m:t>
                </m:r>
              </m:e>
            </m:nary>
            <m:r>
              <w:rPr>
                <w:rFonts w:ascii="Cambria Math" w:hAnsi="Cambria Math" w:cstheme="minorHAnsi"/>
                <w:sz w:val="24"/>
                <w:lang w:val="en-US"/>
              </w:rPr>
              <m:t xml:space="preserve"> </m:t>
            </m:r>
          </m:e>
        </m:nary>
      </m:oMath>
      <w:r w:rsidR="00FF344C" w:rsidRPr="00CD364B">
        <w:rPr>
          <w:rFonts w:eastAsiaTheme="minorEastAsia" w:cstheme="minorHAnsi"/>
          <w:sz w:val="24"/>
          <w:lang w:val="en-US"/>
        </w:rPr>
        <w:t xml:space="preserve"> </w:t>
      </w:r>
      <w:r w:rsidR="00096B1A" w:rsidRPr="00CD364B">
        <w:rPr>
          <w:rFonts w:eastAsiaTheme="minorEastAsia" w:cstheme="minorHAnsi"/>
          <w:sz w:val="24"/>
          <w:lang w:val="en-US"/>
        </w:rPr>
        <w:t xml:space="preserve">                                                                                                                         </w:t>
      </w:r>
      <w:r w:rsidR="00FF344C" w:rsidRPr="00CD364B">
        <w:rPr>
          <w:rFonts w:eastAsiaTheme="minorEastAsia" w:cstheme="minorHAnsi"/>
          <w:sz w:val="24"/>
          <w:lang w:val="en-US"/>
        </w:rPr>
        <w:t>(4)</w:t>
      </w:r>
    </w:p>
    <w:p w14:paraId="7C168FB7" w14:textId="77777777" w:rsidR="00835223" w:rsidRPr="00CD364B" w:rsidRDefault="00835223" w:rsidP="00004F21">
      <w:pPr>
        <w:spacing w:after="0" w:line="360" w:lineRule="auto"/>
        <w:ind w:firstLine="720"/>
        <w:jc w:val="both"/>
        <w:rPr>
          <w:rFonts w:eastAsiaTheme="minorEastAsia" w:cstheme="minorHAnsi"/>
          <w:sz w:val="24"/>
          <w:szCs w:val="24"/>
          <w:lang w:val="en-US"/>
        </w:rPr>
      </w:pPr>
    </w:p>
    <w:p w14:paraId="3DE58ACD" w14:textId="08944816" w:rsidR="00FF344C" w:rsidRPr="00CD364B" w:rsidRDefault="00FF344C" w:rsidP="00004F21">
      <w:pPr>
        <w:spacing w:after="0" w:line="360" w:lineRule="auto"/>
        <w:ind w:firstLine="720"/>
        <w:jc w:val="both"/>
        <w:rPr>
          <w:rFonts w:eastAsiaTheme="minorEastAsia" w:cstheme="minorHAnsi"/>
          <w:sz w:val="24"/>
          <w:lang w:val="en-US"/>
        </w:rPr>
      </w:pPr>
      <w:r w:rsidRPr="00CD364B">
        <w:rPr>
          <w:rFonts w:eastAsiaTheme="minorEastAsia" w:cstheme="minorHAnsi"/>
          <w:sz w:val="24"/>
          <w:szCs w:val="24"/>
          <w:lang w:val="en-US"/>
        </w:rPr>
        <w:t xml:space="preserve">Form the abovementioned equation (4) Xiao (2009) estimated the stability test for cointegrating coefficients. Over all the quantiles, the null hypothesis, </w:t>
      </w:r>
      <m:oMath>
        <m:sSub>
          <m:sSubPr>
            <m:ctrlPr>
              <w:rPr>
                <w:rFonts w:ascii="Cambria Math" w:eastAsiaTheme="minorEastAsia" w:hAnsi="Cambria Math" w:cstheme="minorHAnsi"/>
                <w:i/>
                <w:sz w:val="24"/>
                <w:lang w:val="en-US"/>
              </w:rPr>
            </m:ctrlPr>
          </m:sSubPr>
          <m:e>
            <m:r>
              <w:rPr>
                <w:rFonts w:ascii="Cambria Math" w:eastAsiaTheme="minorEastAsia" w:hAnsi="Cambria Math" w:cstheme="minorHAnsi"/>
                <w:sz w:val="24"/>
                <w:lang w:val="en-US"/>
              </w:rPr>
              <m:t>H</m:t>
            </m:r>
          </m:e>
          <m:sub>
            <m:r>
              <w:rPr>
                <w:rFonts w:ascii="Cambria Math" w:eastAsiaTheme="minorEastAsia" w:hAnsi="Cambria Math" w:cstheme="minorHAnsi"/>
                <w:sz w:val="24"/>
                <w:lang w:val="en-US"/>
              </w:rPr>
              <m:t>0</m:t>
            </m:r>
          </m:sub>
        </m:sSub>
        <m:r>
          <w:rPr>
            <w:rFonts w:ascii="Cambria Math" w:eastAsiaTheme="minorEastAsia" w:hAnsi="Cambria Math" w:cstheme="minorHAnsi"/>
            <w:sz w:val="24"/>
            <w:lang w:val="en-US"/>
          </w:rPr>
          <m:t>: β</m:t>
        </m:r>
        <m:d>
          <m:dPr>
            <m:ctrlPr>
              <w:rPr>
                <w:rFonts w:ascii="Cambria Math" w:eastAsiaTheme="minorEastAsia" w:hAnsi="Cambria Math" w:cstheme="minorHAnsi"/>
                <w:i/>
                <w:sz w:val="24"/>
                <w:lang w:val="en-US"/>
              </w:rPr>
            </m:ctrlPr>
          </m:dPr>
          <m:e>
            <m:r>
              <w:rPr>
                <w:rFonts w:ascii="Cambria Math" w:eastAsiaTheme="minorEastAsia" w:hAnsi="Cambria Math" w:cstheme="minorHAnsi"/>
                <w:sz w:val="24"/>
                <w:lang w:val="en-US"/>
              </w:rPr>
              <m:t>τ</m:t>
            </m:r>
          </m:e>
        </m:d>
        <m:r>
          <w:rPr>
            <w:rFonts w:ascii="Cambria Math" w:eastAsiaTheme="minorEastAsia" w:hAnsi="Cambria Math" w:cstheme="minorHAnsi"/>
            <w:sz w:val="24"/>
            <w:lang w:val="en-US"/>
          </w:rPr>
          <m:t>= β</m:t>
        </m:r>
      </m:oMath>
      <w:r w:rsidRPr="00CD364B">
        <w:rPr>
          <w:rFonts w:eastAsiaTheme="minorEastAsia" w:cstheme="minorHAnsi"/>
          <w:sz w:val="24"/>
          <w:lang w:val="en-US"/>
        </w:rPr>
        <w:t xml:space="preserve"> was examined by Xiao (2009). Further, the researcher introduced a supermum norm of the absolute value of difference </w:t>
      </w:r>
      <m:oMath>
        <m:acc>
          <m:accPr>
            <m:ctrlPr>
              <w:rPr>
                <w:rFonts w:ascii="Cambria Math" w:eastAsiaTheme="minorEastAsia" w:hAnsi="Cambria Math" w:cstheme="minorHAnsi"/>
                <w:i/>
                <w:sz w:val="24"/>
                <w:lang w:val="en-US"/>
              </w:rPr>
            </m:ctrlPr>
          </m:accPr>
          <m:e>
            <m:sSub>
              <m:sSubPr>
                <m:ctrlPr>
                  <w:rPr>
                    <w:rFonts w:ascii="Cambria Math" w:eastAsiaTheme="minorEastAsia" w:hAnsi="Cambria Math" w:cstheme="minorHAnsi"/>
                    <w:i/>
                    <w:sz w:val="24"/>
                    <w:lang w:val="en-US"/>
                  </w:rPr>
                </m:ctrlPr>
              </m:sSubPr>
              <m:e>
                <m:r>
                  <m:rPr>
                    <m:scr m:val="script"/>
                  </m:rPr>
                  <w:rPr>
                    <w:rFonts w:ascii="Cambria Math" w:eastAsiaTheme="minorEastAsia" w:hAnsi="Cambria Math" w:cstheme="minorHAnsi"/>
                    <w:sz w:val="24"/>
                    <w:lang w:val="en-US"/>
                  </w:rPr>
                  <m:t>V</m:t>
                </m:r>
              </m:e>
              <m:sub>
                <m:r>
                  <m:rPr>
                    <m:scr m:val="script"/>
                  </m:rPr>
                  <w:rPr>
                    <w:rFonts w:ascii="Cambria Math" w:eastAsiaTheme="minorEastAsia" w:hAnsi="Cambria Math" w:cstheme="minorHAnsi"/>
                    <w:sz w:val="24"/>
                    <w:lang w:val="en-US"/>
                  </w:rPr>
                  <m:t>n</m:t>
                </m:r>
              </m:sub>
            </m:sSub>
          </m:e>
        </m:acc>
        <m:d>
          <m:dPr>
            <m:ctrlPr>
              <w:rPr>
                <w:rFonts w:ascii="Cambria Math" w:eastAsiaTheme="minorEastAsia" w:hAnsi="Cambria Math" w:cstheme="minorHAnsi"/>
                <w:i/>
                <w:sz w:val="24"/>
                <w:lang w:val="en-US"/>
              </w:rPr>
            </m:ctrlPr>
          </m:dPr>
          <m:e>
            <m:r>
              <w:rPr>
                <w:rFonts w:ascii="Cambria Math" w:eastAsiaTheme="minorEastAsia" w:hAnsi="Cambria Math" w:cstheme="minorHAnsi"/>
                <w:sz w:val="24"/>
                <w:lang w:val="en-US"/>
              </w:rPr>
              <m:t>τ</m:t>
            </m:r>
          </m:e>
        </m:d>
        <m:r>
          <w:rPr>
            <w:rFonts w:ascii="Cambria Math" w:eastAsiaTheme="minorEastAsia" w:hAnsi="Cambria Math" w:cstheme="minorHAnsi"/>
            <w:sz w:val="24"/>
            <w:lang w:val="en-US"/>
          </w:rPr>
          <m:t>=(</m:t>
        </m:r>
        <m:acc>
          <m:accPr>
            <m:ctrlPr>
              <w:rPr>
                <w:rFonts w:ascii="Cambria Math" w:eastAsiaTheme="minorEastAsia" w:hAnsi="Cambria Math" w:cstheme="minorHAnsi"/>
                <w:i/>
                <w:sz w:val="24"/>
                <w:lang w:val="en-US"/>
              </w:rPr>
            </m:ctrlPr>
          </m:accPr>
          <m:e>
            <m:r>
              <w:rPr>
                <w:rFonts w:ascii="Cambria Math" w:eastAsiaTheme="minorEastAsia" w:hAnsi="Cambria Math" w:cstheme="minorHAnsi"/>
                <w:sz w:val="24"/>
                <w:lang w:val="en-US"/>
              </w:rPr>
              <m:t>β</m:t>
            </m:r>
          </m:e>
        </m:acc>
        <m:d>
          <m:dPr>
            <m:ctrlPr>
              <w:rPr>
                <w:rFonts w:ascii="Cambria Math" w:eastAsiaTheme="minorEastAsia" w:hAnsi="Cambria Math" w:cstheme="minorHAnsi"/>
                <w:i/>
                <w:sz w:val="24"/>
                <w:lang w:val="en-US"/>
              </w:rPr>
            </m:ctrlPr>
          </m:dPr>
          <m:e>
            <m:r>
              <w:rPr>
                <w:rFonts w:ascii="Cambria Math" w:eastAsiaTheme="minorEastAsia" w:hAnsi="Cambria Math" w:cstheme="minorHAnsi"/>
                <w:sz w:val="24"/>
                <w:lang w:val="en-US"/>
              </w:rPr>
              <m:t>τ</m:t>
            </m:r>
          </m:e>
        </m:d>
        <m:r>
          <w:rPr>
            <w:rFonts w:ascii="Cambria Math" w:eastAsiaTheme="minorEastAsia" w:hAnsi="Cambria Math" w:cstheme="minorHAnsi"/>
            <w:sz w:val="24"/>
            <w:lang w:val="en-US"/>
          </w:rPr>
          <m:t>-</m:t>
        </m:r>
        <m:acc>
          <m:accPr>
            <m:ctrlPr>
              <w:rPr>
                <w:rFonts w:ascii="Cambria Math" w:eastAsiaTheme="minorEastAsia" w:hAnsi="Cambria Math" w:cstheme="minorHAnsi"/>
                <w:i/>
                <w:sz w:val="24"/>
                <w:lang w:val="en-US"/>
              </w:rPr>
            </m:ctrlPr>
          </m:accPr>
          <m:e>
            <m:r>
              <w:rPr>
                <w:rFonts w:ascii="Cambria Math" w:eastAsiaTheme="minorEastAsia" w:hAnsi="Cambria Math" w:cstheme="minorHAnsi"/>
                <w:sz w:val="24"/>
                <w:lang w:val="en-US"/>
              </w:rPr>
              <m:t>β</m:t>
            </m:r>
          </m:e>
        </m:acc>
        <m:r>
          <w:rPr>
            <w:rFonts w:ascii="Cambria Math" w:eastAsiaTheme="minorEastAsia" w:hAnsi="Cambria Math" w:cstheme="minorHAnsi"/>
            <w:sz w:val="24"/>
            <w:lang w:val="en-US"/>
          </w:rPr>
          <m:t>)</m:t>
        </m:r>
      </m:oMath>
      <w:r w:rsidRPr="00CD364B">
        <w:rPr>
          <w:rFonts w:eastAsiaTheme="minorEastAsia" w:cstheme="minorHAnsi"/>
          <w:sz w:val="24"/>
          <w:lang w:val="en-US"/>
        </w:rPr>
        <w:t xml:space="preserve"> as a test statistic. This test statistic forms the basis for applying test statistic </w:t>
      </w:r>
      <m:oMath>
        <m:sSub>
          <m:sSubPr>
            <m:ctrlPr>
              <w:rPr>
                <w:rFonts w:ascii="Cambria Math" w:eastAsiaTheme="minorEastAsia" w:hAnsi="Cambria Math" w:cstheme="minorHAnsi"/>
                <w:i/>
                <w:sz w:val="24"/>
                <w:lang w:val="en-US"/>
              </w:rPr>
            </m:ctrlPr>
          </m:sSubPr>
          <m:e>
            <m:r>
              <w:rPr>
                <w:rFonts w:ascii="Cambria Math" w:eastAsiaTheme="minorEastAsia" w:hAnsi="Cambria Math" w:cstheme="minorHAnsi"/>
                <w:sz w:val="24"/>
                <w:lang w:val="en-US"/>
              </w:rPr>
              <m:t>sup</m:t>
            </m:r>
          </m:e>
          <m:sub>
            <m:r>
              <w:rPr>
                <w:rFonts w:ascii="Cambria Math" w:eastAsiaTheme="minorEastAsia" w:hAnsi="Cambria Math" w:cstheme="minorHAnsi"/>
                <w:sz w:val="24"/>
                <w:lang w:val="en-US"/>
              </w:rPr>
              <m:t>τ</m:t>
            </m:r>
          </m:sub>
        </m:sSub>
        <m:d>
          <m:dPr>
            <m:begChr m:val="|"/>
            <m:endChr m:val="|"/>
            <m:ctrlPr>
              <w:rPr>
                <w:rFonts w:ascii="Cambria Math" w:eastAsiaTheme="minorEastAsia" w:hAnsi="Cambria Math" w:cstheme="minorHAnsi"/>
                <w:i/>
                <w:sz w:val="24"/>
                <w:lang w:val="en-US"/>
              </w:rPr>
            </m:ctrlPr>
          </m:dPr>
          <m:e>
            <m:acc>
              <m:accPr>
                <m:ctrlPr>
                  <w:rPr>
                    <w:rFonts w:ascii="Cambria Math" w:eastAsiaTheme="minorEastAsia" w:hAnsi="Cambria Math" w:cstheme="minorHAnsi"/>
                    <w:i/>
                    <w:sz w:val="24"/>
                    <w:lang w:val="en-US"/>
                  </w:rPr>
                </m:ctrlPr>
              </m:accPr>
              <m:e>
                <m:sSub>
                  <m:sSubPr>
                    <m:ctrlPr>
                      <w:rPr>
                        <w:rFonts w:ascii="Cambria Math" w:eastAsiaTheme="minorEastAsia" w:hAnsi="Cambria Math" w:cstheme="minorHAnsi"/>
                        <w:i/>
                        <w:sz w:val="24"/>
                        <w:lang w:val="en-US"/>
                      </w:rPr>
                    </m:ctrlPr>
                  </m:sSubPr>
                  <m:e>
                    <m:r>
                      <m:rPr>
                        <m:scr m:val="script"/>
                      </m:rPr>
                      <w:rPr>
                        <w:rFonts w:ascii="Cambria Math" w:eastAsiaTheme="minorEastAsia" w:hAnsi="Cambria Math" w:cstheme="minorHAnsi"/>
                        <w:sz w:val="24"/>
                        <w:lang w:val="en-US"/>
                      </w:rPr>
                      <m:t>V</m:t>
                    </m:r>
                  </m:e>
                  <m:sub>
                    <m:r>
                      <m:rPr>
                        <m:scr m:val="script"/>
                      </m:rPr>
                      <w:rPr>
                        <w:rFonts w:ascii="Cambria Math" w:eastAsiaTheme="minorEastAsia" w:hAnsi="Cambria Math" w:cstheme="minorHAnsi"/>
                        <w:sz w:val="24"/>
                        <w:lang w:val="en-US"/>
                      </w:rPr>
                      <m:t>n</m:t>
                    </m:r>
                  </m:sub>
                </m:sSub>
              </m:e>
            </m:acc>
            <m:d>
              <m:dPr>
                <m:ctrlPr>
                  <w:rPr>
                    <w:rFonts w:ascii="Cambria Math" w:eastAsiaTheme="minorEastAsia" w:hAnsi="Cambria Math" w:cstheme="minorHAnsi"/>
                    <w:i/>
                    <w:sz w:val="24"/>
                    <w:lang w:val="en-US"/>
                  </w:rPr>
                </m:ctrlPr>
              </m:dPr>
              <m:e>
                <m:r>
                  <w:rPr>
                    <w:rFonts w:ascii="Cambria Math" w:eastAsiaTheme="minorEastAsia" w:hAnsi="Cambria Math" w:cstheme="minorHAnsi"/>
                    <w:sz w:val="24"/>
                    <w:lang w:val="en-US"/>
                  </w:rPr>
                  <m:t>τ</m:t>
                </m:r>
              </m:e>
            </m:d>
          </m:e>
        </m:d>
      </m:oMath>
      <w:r w:rsidRPr="00CD364B">
        <w:rPr>
          <w:rFonts w:eastAsiaTheme="minorEastAsia" w:cstheme="minorHAnsi"/>
          <w:sz w:val="24"/>
          <w:lang w:val="en-US"/>
        </w:rPr>
        <w:t xml:space="preserve"> across the distribution of quantiles. The present research follows the idea of Xiao (2009) to estimate </w:t>
      </w:r>
      <m:oMath>
        <m:sSub>
          <m:sSubPr>
            <m:ctrlPr>
              <w:rPr>
                <w:rFonts w:ascii="Cambria Math" w:eastAsiaTheme="minorEastAsia" w:hAnsi="Cambria Math" w:cstheme="minorHAnsi"/>
                <w:i/>
                <w:sz w:val="24"/>
                <w:lang w:val="en-US"/>
              </w:rPr>
            </m:ctrlPr>
          </m:sSubPr>
          <m:e>
            <m:r>
              <w:rPr>
                <w:rFonts w:ascii="Cambria Math" w:eastAsiaTheme="minorEastAsia" w:hAnsi="Cambria Math" w:cstheme="minorHAnsi"/>
                <w:sz w:val="24"/>
                <w:lang w:val="en-US"/>
              </w:rPr>
              <m:t>sup</m:t>
            </m:r>
          </m:e>
          <m:sub>
            <m:r>
              <w:rPr>
                <w:rFonts w:ascii="Cambria Math" w:eastAsiaTheme="minorEastAsia" w:hAnsi="Cambria Math" w:cstheme="minorHAnsi"/>
                <w:sz w:val="24"/>
                <w:lang w:val="en-US"/>
              </w:rPr>
              <m:t>τ</m:t>
            </m:r>
          </m:sub>
        </m:sSub>
        <m:d>
          <m:dPr>
            <m:begChr m:val="|"/>
            <m:endChr m:val="|"/>
            <m:ctrlPr>
              <w:rPr>
                <w:rFonts w:ascii="Cambria Math" w:eastAsiaTheme="minorEastAsia" w:hAnsi="Cambria Math" w:cstheme="minorHAnsi"/>
                <w:i/>
                <w:sz w:val="24"/>
                <w:lang w:val="en-US"/>
              </w:rPr>
            </m:ctrlPr>
          </m:dPr>
          <m:e>
            <m:acc>
              <m:accPr>
                <m:ctrlPr>
                  <w:rPr>
                    <w:rFonts w:ascii="Cambria Math" w:eastAsiaTheme="minorEastAsia" w:hAnsi="Cambria Math" w:cstheme="minorHAnsi"/>
                    <w:i/>
                    <w:sz w:val="24"/>
                    <w:lang w:val="en-US"/>
                  </w:rPr>
                </m:ctrlPr>
              </m:accPr>
              <m:e>
                <m:sSub>
                  <m:sSubPr>
                    <m:ctrlPr>
                      <w:rPr>
                        <w:rFonts w:ascii="Cambria Math" w:eastAsiaTheme="minorEastAsia" w:hAnsi="Cambria Math" w:cstheme="minorHAnsi"/>
                        <w:i/>
                        <w:sz w:val="24"/>
                        <w:lang w:val="en-US"/>
                      </w:rPr>
                    </m:ctrlPr>
                  </m:sSubPr>
                  <m:e>
                    <m:r>
                      <m:rPr>
                        <m:scr m:val="script"/>
                      </m:rPr>
                      <w:rPr>
                        <w:rFonts w:ascii="Cambria Math" w:eastAsiaTheme="minorEastAsia" w:hAnsi="Cambria Math" w:cstheme="minorHAnsi"/>
                        <w:sz w:val="24"/>
                        <w:lang w:val="en-US"/>
                      </w:rPr>
                      <m:t>V</m:t>
                    </m:r>
                  </m:e>
                  <m:sub>
                    <m:r>
                      <m:rPr>
                        <m:scr m:val="script"/>
                      </m:rPr>
                      <w:rPr>
                        <w:rFonts w:ascii="Cambria Math" w:eastAsiaTheme="minorEastAsia" w:hAnsi="Cambria Math" w:cstheme="minorHAnsi"/>
                        <w:sz w:val="24"/>
                        <w:lang w:val="en-US"/>
                      </w:rPr>
                      <m:t>n</m:t>
                    </m:r>
                  </m:sub>
                </m:sSub>
              </m:e>
            </m:acc>
            <m:d>
              <m:dPr>
                <m:ctrlPr>
                  <w:rPr>
                    <w:rFonts w:ascii="Cambria Math" w:eastAsiaTheme="minorEastAsia" w:hAnsi="Cambria Math" w:cstheme="minorHAnsi"/>
                    <w:i/>
                    <w:sz w:val="24"/>
                    <w:lang w:val="en-US"/>
                  </w:rPr>
                </m:ctrlPr>
              </m:dPr>
              <m:e>
                <m:r>
                  <w:rPr>
                    <w:rFonts w:ascii="Cambria Math" w:eastAsiaTheme="minorEastAsia" w:hAnsi="Cambria Math" w:cstheme="minorHAnsi"/>
                    <w:sz w:val="24"/>
                    <w:lang w:val="en-US"/>
                  </w:rPr>
                  <m:t>τ</m:t>
                </m:r>
              </m:e>
            </m:d>
          </m:e>
        </m:d>
      </m:oMath>
      <w:r w:rsidRPr="00CD364B">
        <w:rPr>
          <w:rFonts w:eastAsiaTheme="minorEastAsia" w:cstheme="minorHAnsi"/>
          <w:sz w:val="24"/>
          <w:lang w:val="en-US"/>
        </w:rPr>
        <w:t xml:space="preserve"> test statistic’s critical values by performing 1000 Monte Carlo simulations.</w:t>
      </w:r>
    </w:p>
    <w:p w14:paraId="3B9E16FC" w14:textId="77777777" w:rsidR="00835223" w:rsidRPr="00CD364B" w:rsidRDefault="00835223" w:rsidP="00004F21">
      <w:pPr>
        <w:spacing w:after="0" w:line="360" w:lineRule="auto"/>
        <w:ind w:firstLine="720"/>
        <w:jc w:val="both"/>
        <w:rPr>
          <w:rFonts w:eastAsiaTheme="minorEastAsia" w:cstheme="minorHAnsi"/>
          <w:sz w:val="24"/>
          <w:szCs w:val="24"/>
          <w:lang w:val="en-US"/>
        </w:rPr>
      </w:pPr>
    </w:p>
    <w:p w14:paraId="2A0AA434" w14:textId="205F651C" w:rsidR="00FF344C" w:rsidRPr="00CD364B" w:rsidRDefault="00FF344C" w:rsidP="00004F21">
      <w:pPr>
        <w:pStyle w:val="ListParagraph"/>
        <w:numPr>
          <w:ilvl w:val="1"/>
          <w:numId w:val="1"/>
        </w:numPr>
        <w:spacing w:after="0" w:line="360" w:lineRule="auto"/>
        <w:jc w:val="both"/>
        <w:rPr>
          <w:rFonts w:eastAsiaTheme="minorEastAsia" w:cstheme="minorHAnsi"/>
          <w:b/>
          <w:sz w:val="24"/>
          <w:szCs w:val="24"/>
          <w:lang w:val="en-US"/>
        </w:rPr>
      </w:pPr>
      <w:r w:rsidRPr="00CD364B">
        <w:rPr>
          <w:rFonts w:eastAsiaTheme="minorEastAsia" w:cstheme="minorHAnsi"/>
          <w:b/>
          <w:sz w:val="24"/>
          <w:lang w:val="en-US"/>
        </w:rPr>
        <w:t xml:space="preserve"> Wavelet Multiscale Decomposition</w:t>
      </w:r>
    </w:p>
    <w:p w14:paraId="6E2A2225" w14:textId="77777777" w:rsidR="00835223" w:rsidRPr="00CD364B" w:rsidRDefault="00835223" w:rsidP="00004F21">
      <w:pPr>
        <w:spacing w:after="0" w:line="360" w:lineRule="auto"/>
        <w:jc w:val="both"/>
        <w:rPr>
          <w:rFonts w:cstheme="minorHAnsi"/>
          <w:sz w:val="24"/>
          <w:szCs w:val="24"/>
          <w:lang w:val="en-US"/>
        </w:rPr>
      </w:pPr>
    </w:p>
    <w:p w14:paraId="754A2E89" w14:textId="436502EE" w:rsidR="00FF344C" w:rsidRPr="00CD364B" w:rsidRDefault="00FF344C" w:rsidP="006668C1">
      <w:pPr>
        <w:spacing w:after="0" w:line="360" w:lineRule="auto"/>
        <w:ind w:firstLine="720"/>
        <w:jc w:val="both"/>
        <w:rPr>
          <w:rFonts w:cstheme="minorHAnsi"/>
          <w:sz w:val="24"/>
          <w:szCs w:val="24"/>
          <w:lang w:val="en-US"/>
        </w:rPr>
      </w:pPr>
      <w:r w:rsidRPr="00CD364B">
        <w:rPr>
          <w:rFonts w:cstheme="minorHAnsi"/>
          <w:sz w:val="24"/>
          <w:szCs w:val="24"/>
          <w:lang w:val="en-US"/>
        </w:rPr>
        <w:t xml:space="preserve">The wavelet analysis of any time series combines it’s both time and frequency domain. In contrast to other conventional econometric methods, the wavelet analysis disintegrates a time series data to be </w:t>
      </w:r>
      <w:r w:rsidR="00835223" w:rsidRPr="00CD364B">
        <w:rPr>
          <w:rFonts w:cstheme="minorHAnsi"/>
          <w:sz w:val="24"/>
          <w:szCs w:val="24"/>
          <w:lang w:val="en-US"/>
        </w:rPr>
        <w:t>analyzed</w:t>
      </w:r>
      <w:r w:rsidRPr="00CD364B">
        <w:rPr>
          <w:rFonts w:cstheme="minorHAnsi"/>
          <w:sz w:val="24"/>
          <w:szCs w:val="24"/>
          <w:lang w:val="en-US"/>
        </w:rPr>
        <w:t xml:space="preserve"> into a number of wavelet scales. </w:t>
      </w:r>
      <w:r w:rsidR="00835223" w:rsidRPr="00CD364B">
        <w:rPr>
          <w:rFonts w:cstheme="minorHAnsi"/>
          <w:sz w:val="24"/>
          <w:szCs w:val="24"/>
          <w:lang w:val="en-US"/>
        </w:rPr>
        <w:t>W</w:t>
      </w:r>
      <w:r w:rsidRPr="00CD364B">
        <w:rPr>
          <w:rFonts w:cstheme="minorHAnsi"/>
          <w:sz w:val="24"/>
          <w:szCs w:val="24"/>
          <w:lang w:val="en-US"/>
        </w:rPr>
        <w:t>av</w:t>
      </w:r>
      <w:r w:rsidR="00835223" w:rsidRPr="00CD364B">
        <w:rPr>
          <w:rFonts w:cstheme="minorHAnsi"/>
          <w:sz w:val="24"/>
          <w:szCs w:val="24"/>
          <w:lang w:val="en-US"/>
        </w:rPr>
        <w:t>e</w:t>
      </w:r>
      <w:r w:rsidRPr="00CD364B">
        <w:rPr>
          <w:rFonts w:cstheme="minorHAnsi"/>
          <w:sz w:val="24"/>
          <w:szCs w:val="24"/>
          <w:lang w:val="en-US"/>
        </w:rPr>
        <w:t>lets perform the orthogonal decomposition of a time series data to present it in a non-parametric way (Ramsey, 1999). The wavelets perform frequency decomposition of the time series data and at the same preserve its time series properties. According to Gencay et</w:t>
      </w:r>
      <w:r w:rsidR="00096B1A" w:rsidRPr="00CD364B">
        <w:rPr>
          <w:rFonts w:cstheme="minorHAnsi"/>
          <w:sz w:val="24"/>
          <w:szCs w:val="24"/>
          <w:lang w:val="en-US"/>
        </w:rPr>
        <w:t xml:space="preserve"> </w:t>
      </w:r>
      <w:r w:rsidRPr="00CD364B">
        <w:rPr>
          <w:rFonts w:cstheme="minorHAnsi"/>
          <w:sz w:val="24"/>
          <w:szCs w:val="24"/>
          <w:lang w:val="en-US"/>
        </w:rPr>
        <w:t xml:space="preserve">al. (2002) the Wavelet Transform presents the holistic information pertaining to individual time horizons and locational aspects of a time series data. This unique property of the wavelets makes it suitable to </w:t>
      </w:r>
      <w:r w:rsidR="00140E03" w:rsidRPr="00CD364B">
        <w:rPr>
          <w:rFonts w:cstheme="minorHAnsi"/>
          <w:sz w:val="24"/>
          <w:szCs w:val="24"/>
          <w:lang w:val="en-US"/>
        </w:rPr>
        <w:t>analyze</w:t>
      </w:r>
      <w:r w:rsidRPr="00CD364B">
        <w:rPr>
          <w:rFonts w:cstheme="minorHAnsi"/>
          <w:sz w:val="24"/>
          <w:szCs w:val="24"/>
          <w:lang w:val="en-US"/>
        </w:rPr>
        <w:t xml:space="preserve"> a time series data irrespective of it being stationary or non-stationary.</w:t>
      </w:r>
    </w:p>
    <w:p w14:paraId="76F50AB7" w14:textId="77777777" w:rsidR="00140E03" w:rsidRPr="00CD364B" w:rsidRDefault="00140E03" w:rsidP="00004F21">
      <w:pPr>
        <w:spacing w:after="0" w:line="360" w:lineRule="auto"/>
        <w:jc w:val="both"/>
        <w:rPr>
          <w:rFonts w:cstheme="minorHAnsi"/>
          <w:sz w:val="24"/>
          <w:szCs w:val="24"/>
          <w:lang w:val="en-US"/>
        </w:rPr>
      </w:pPr>
    </w:p>
    <w:p w14:paraId="39E84132" w14:textId="3CAB0C7F" w:rsidR="00FF344C" w:rsidRPr="00CD364B" w:rsidRDefault="00FF344C" w:rsidP="00004F21">
      <w:pPr>
        <w:spacing w:after="0" w:line="360" w:lineRule="auto"/>
        <w:ind w:firstLine="720"/>
        <w:jc w:val="both"/>
        <w:rPr>
          <w:rFonts w:cstheme="minorHAnsi"/>
          <w:sz w:val="24"/>
          <w:szCs w:val="24"/>
          <w:lang w:val="en-US"/>
        </w:rPr>
      </w:pPr>
      <w:r w:rsidRPr="00CD364B">
        <w:rPr>
          <w:rFonts w:cstheme="minorHAnsi"/>
          <w:sz w:val="24"/>
          <w:szCs w:val="24"/>
          <w:lang w:val="en-US"/>
        </w:rPr>
        <w:t xml:space="preserve">According to Ramsey (2002) the functions of any time series data are represented by </w:t>
      </w:r>
      <w:r w:rsidRPr="00CD364B">
        <w:rPr>
          <w:rFonts w:cstheme="minorHAnsi"/>
          <w:sz w:val="24"/>
          <w:lang w:val="en-US"/>
        </w:rPr>
        <w:t>father (ϕ) and mother (ψ) wavelets</w:t>
      </w:r>
      <w:r w:rsidRPr="00CD364B">
        <w:rPr>
          <w:rFonts w:cstheme="minorHAnsi"/>
          <w:sz w:val="24"/>
          <w:szCs w:val="24"/>
          <w:lang w:val="en-US"/>
        </w:rPr>
        <w:t>. The father wavelets represent a signal’s incredibly large</w:t>
      </w:r>
      <w:r w:rsidR="00140E03" w:rsidRPr="00CD364B">
        <w:rPr>
          <w:rFonts w:cstheme="minorHAnsi"/>
          <w:sz w:val="24"/>
          <w:szCs w:val="24"/>
          <w:lang w:val="en-US"/>
        </w:rPr>
        <w:t>-</w:t>
      </w:r>
      <w:r w:rsidRPr="00CD364B">
        <w:rPr>
          <w:rFonts w:cstheme="minorHAnsi"/>
          <w:sz w:val="24"/>
          <w:szCs w:val="24"/>
          <w:lang w:val="en-US"/>
        </w:rPr>
        <w:t xml:space="preserve">scale smooth components while integrating to one. The mother wavelets indicate the deviations occurring in these smooth components and integrate to zero. Father wavelets generate scaling coefficients whereas the mother wavelets produce differencing coefficients. </w:t>
      </w:r>
    </w:p>
    <w:p w14:paraId="1E19E5B8" w14:textId="4CD85428" w:rsidR="00FF344C" w:rsidRPr="00CD364B" w:rsidRDefault="00FF344C" w:rsidP="00004F21">
      <w:pPr>
        <w:spacing w:after="0" w:line="360" w:lineRule="auto"/>
        <w:jc w:val="both"/>
        <w:rPr>
          <w:rFonts w:cstheme="minorHAnsi"/>
          <w:sz w:val="24"/>
          <w:szCs w:val="24"/>
          <w:lang w:val="en-US"/>
        </w:rPr>
      </w:pPr>
      <w:r w:rsidRPr="00CD364B">
        <w:rPr>
          <w:rFonts w:cstheme="minorHAnsi"/>
          <w:sz w:val="24"/>
          <w:szCs w:val="24"/>
          <w:lang w:val="en-US"/>
        </w:rPr>
        <w:lastRenderedPageBreak/>
        <w:t>We represent the father wavelets as</w:t>
      </w:r>
      <w:r w:rsidR="00140E03" w:rsidRPr="00CD364B">
        <w:rPr>
          <w:rFonts w:cstheme="minorHAnsi"/>
          <w:sz w:val="24"/>
          <w:szCs w:val="24"/>
          <w:lang w:val="en-US"/>
        </w:rPr>
        <w:t>:</w:t>
      </w:r>
    </w:p>
    <w:p w14:paraId="222159E6" w14:textId="77777777" w:rsidR="00140E03" w:rsidRPr="00CD364B" w:rsidRDefault="00140E03" w:rsidP="00004F21">
      <w:pPr>
        <w:spacing w:after="0" w:line="360" w:lineRule="auto"/>
        <w:jc w:val="both"/>
        <w:rPr>
          <w:rFonts w:cstheme="minorHAnsi"/>
          <w:sz w:val="24"/>
          <w:szCs w:val="24"/>
          <w:lang w:val="en-US"/>
        </w:rPr>
      </w:pPr>
    </w:p>
    <w:p w14:paraId="628E936A" w14:textId="77777777" w:rsidR="00FF344C" w:rsidRPr="00CD364B" w:rsidRDefault="00FF747F" w:rsidP="00CD5F46">
      <w:pPr>
        <w:spacing w:after="0" w:line="360" w:lineRule="auto"/>
        <w:ind w:firstLine="720"/>
        <w:jc w:val="both"/>
        <w:rPr>
          <w:rFonts w:eastAsiaTheme="minorEastAsia" w:cstheme="minorHAnsi"/>
          <w:sz w:val="24"/>
          <w:lang w:val="en-US"/>
        </w:rPr>
      </w:pPr>
      <m:oMath>
        <m:sSub>
          <m:sSubPr>
            <m:ctrlPr>
              <w:rPr>
                <w:rFonts w:ascii="Cambria Math" w:hAnsi="Cambria Math" w:cstheme="minorHAnsi"/>
                <w:i/>
                <w:sz w:val="24"/>
                <w:lang w:val="en-US"/>
              </w:rPr>
            </m:ctrlPr>
          </m:sSubPr>
          <m:e>
            <m:r>
              <w:rPr>
                <w:rFonts w:ascii="Cambria Math" w:hAnsi="Cambria Math" w:cstheme="minorHAnsi"/>
                <w:sz w:val="24"/>
                <w:lang w:val="en-US"/>
              </w:rPr>
              <m:t>ϕ</m:t>
            </m:r>
          </m:e>
          <m:sub>
            <m:r>
              <m:rPr>
                <m:scr m:val="script"/>
              </m:rPr>
              <w:rPr>
                <w:rFonts w:ascii="Cambria Math" w:hAnsi="Cambria Math" w:cstheme="minorHAnsi"/>
                <w:sz w:val="24"/>
                <w:lang w:val="en-US"/>
              </w:rPr>
              <m:t>j,k</m:t>
            </m:r>
          </m:sub>
        </m:sSub>
        <m:r>
          <w:rPr>
            <w:rFonts w:ascii="Cambria Math" w:hAnsi="Cambria Math" w:cstheme="minorHAnsi"/>
            <w:sz w:val="24"/>
            <w:lang w:val="en-US"/>
          </w:rPr>
          <m:t xml:space="preserve">= </m:t>
        </m:r>
        <m:sSup>
          <m:sSupPr>
            <m:ctrlPr>
              <w:rPr>
                <w:rFonts w:ascii="Cambria Math" w:hAnsi="Cambria Math" w:cstheme="minorHAnsi"/>
                <w:i/>
                <w:sz w:val="24"/>
                <w:lang w:val="en-US"/>
              </w:rPr>
            </m:ctrlPr>
          </m:sSupPr>
          <m:e>
            <m:r>
              <w:rPr>
                <w:rFonts w:ascii="Cambria Math" w:hAnsi="Cambria Math" w:cstheme="minorHAnsi"/>
                <w:sz w:val="24"/>
                <w:lang w:val="en-US"/>
              </w:rPr>
              <m:t>-2</m:t>
            </m:r>
          </m:e>
          <m:sup>
            <m:r>
              <m:rPr>
                <m:scr m:val="script"/>
              </m:rPr>
              <w:rPr>
                <w:rFonts w:ascii="Cambria Math" w:hAnsi="Cambria Math" w:cstheme="minorHAnsi"/>
                <w:sz w:val="24"/>
                <w:lang w:val="en-US"/>
              </w:rPr>
              <m:t>-j</m:t>
            </m:r>
            <m:r>
              <w:rPr>
                <w:rFonts w:ascii="Cambria Math" w:hAnsi="Cambria Math" w:cstheme="minorHAnsi"/>
                <w:sz w:val="24"/>
                <w:lang w:val="en-US"/>
              </w:rPr>
              <m:t>/2</m:t>
            </m:r>
          </m:sup>
        </m:sSup>
        <m:r>
          <w:rPr>
            <w:rFonts w:ascii="Cambria Math" w:hAnsi="Cambria Math" w:cstheme="minorHAnsi"/>
            <w:sz w:val="24"/>
            <w:lang w:val="en-US"/>
          </w:rPr>
          <m:t>ϕ</m:t>
        </m:r>
        <m:d>
          <m:dPr>
            <m:ctrlPr>
              <w:rPr>
                <w:rFonts w:ascii="Cambria Math" w:hAnsi="Cambria Math" w:cstheme="minorHAnsi"/>
                <w:i/>
                <w:sz w:val="24"/>
                <w:lang w:val="en-US"/>
              </w:rPr>
            </m:ctrlPr>
          </m:dPr>
          <m:e>
            <m:f>
              <m:fPr>
                <m:ctrlPr>
                  <w:rPr>
                    <w:rFonts w:ascii="Cambria Math" w:hAnsi="Cambria Math" w:cstheme="minorHAnsi"/>
                    <w:i/>
                    <w:sz w:val="24"/>
                    <w:lang w:val="en-US"/>
                  </w:rPr>
                </m:ctrlPr>
              </m:fPr>
              <m:num>
                <m:r>
                  <w:rPr>
                    <w:rFonts w:ascii="Cambria Math" w:hAnsi="Cambria Math" w:cstheme="minorHAnsi"/>
                    <w:sz w:val="24"/>
                    <w:lang w:val="en-US"/>
                  </w:rPr>
                  <m:t>t-</m:t>
                </m:r>
                <m:sSup>
                  <m:sSupPr>
                    <m:ctrlPr>
                      <w:rPr>
                        <w:rFonts w:ascii="Cambria Math" w:hAnsi="Cambria Math" w:cstheme="minorHAnsi"/>
                        <w:i/>
                        <w:sz w:val="24"/>
                        <w:lang w:val="en-US"/>
                      </w:rPr>
                    </m:ctrlPr>
                  </m:sSupPr>
                  <m:e>
                    <m:r>
                      <w:rPr>
                        <w:rFonts w:ascii="Cambria Math" w:hAnsi="Cambria Math" w:cstheme="minorHAnsi"/>
                        <w:sz w:val="24"/>
                        <w:lang w:val="en-US"/>
                      </w:rPr>
                      <m:t>2</m:t>
                    </m:r>
                  </m:e>
                  <m:sup>
                    <m:r>
                      <w:rPr>
                        <w:rFonts w:ascii="Cambria Math" w:hAnsi="Cambria Math" w:cstheme="minorHAnsi"/>
                        <w:sz w:val="24"/>
                        <w:lang w:val="en-US"/>
                      </w:rPr>
                      <m:t>j</m:t>
                    </m:r>
                  </m:sup>
                </m:sSup>
                <m:r>
                  <m:rPr>
                    <m:scr m:val="script"/>
                  </m:rPr>
                  <w:rPr>
                    <w:rFonts w:ascii="Cambria Math" w:hAnsi="Cambria Math" w:cstheme="minorHAnsi"/>
                    <w:sz w:val="24"/>
                    <w:lang w:val="en-US"/>
                  </w:rPr>
                  <m:t>k</m:t>
                </m:r>
              </m:num>
              <m:den>
                <m:sSup>
                  <m:sSupPr>
                    <m:ctrlPr>
                      <w:rPr>
                        <w:rFonts w:ascii="Cambria Math" w:hAnsi="Cambria Math" w:cstheme="minorHAnsi"/>
                        <w:i/>
                        <w:sz w:val="24"/>
                        <w:lang w:val="en-US"/>
                      </w:rPr>
                    </m:ctrlPr>
                  </m:sSupPr>
                  <m:e>
                    <m:r>
                      <w:rPr>
                        <w:rFonts w:ascii="Cambria Math" w:hAnsi="Cambria Math" w:cstheme="minorHAnsi"/>
                        <w:sz w:val="24"/>
                        <w:lang w:val="en-US"/>
                      </w:rPr>
                      <m:t>2</m:t>
                    </m:r>
                  </m:e>
                  <m:sup>
                    <m:r>
                      <m:rPr>
                        <m:scr m:val="script"/>
                      </m:rPr>
                      <w:rPr>
                        <w:rFonts w:ascii="Cambria Math" w:hAnsi="Cambria Math" w:cstheme="minorHAnsi"/>
                        <w:sz w:val="24"/>
                        <w:lang w:val="en-US"/>
                      </w:rPr>
                      <m:t>j</m:t>
                    </m:r>
                  </m:sup>
                </m:sSup>
              </m:den>
            </m:f>
          </m:e>
        </m:d>
        <m:r>
          <w:rPr>
            <w:rFonts w:ascii="Cambria Math" w:hAnsi="Cambria Math" w:cstheme="minorHAnsi"/>
            <w:sz w:val="24"/>
            <w:lang w:val="en-US"/>
          </w:rPr>
          <m:t xml:space="preserve"> with </m:t>
        </m:r>
        <m:nary>
          <m:naryPr>
            <m:limLoc m:val="undOvr"/>
            <m:subHide m:val="1"/>
            <m:supHide m:val="1"/>
            <m:ctrlPr>
              <w:rPr>
                <w:rFonts w:ascii="Cambria Math" w:hAnsi="Cambria Math" w:cstheme="minorHAnsi"/>
                <w:i/>
                <w:sz w:val="24"/>
                <w:lang w:val="en-US"/>
              </w:rPr>
            </m:ctrlPr>
          </m:naryPr>
          <m:sub/>
          <m:sup/>
          <m:e>
            <m:r>
              <w:rPr>
                <w:rFonts w:ascii="Cambria Math" w:hAnsi="Cambria Math" w:cstheme="minorHAnsi"/>
                <w:sz w:val="24"/>
                <w:lang w:val="en-US"/>
              </w:rPr>
              <m:t xml:space="preserve">ϕ </m:t>
            </m:r>
            <m:d>
              <m:dPr>
                <m:ctrlPr>
                  <w:rPr>
                    <w:rFonts w:ascii="Cambria Math" w:hAnsi="Cambria Math" w:cstheme="minorHAnsi"/>
                    <w:i/>
                    <w:sz w:val="24"/>
                    <w:lang w:val="en-US"/>
                  </w:rPr>
                </m:ctrlPr>
              </m:dPr>
              <m:e>
                <m:r>
                  <m:rPr>
                    <m:scr m:val="script"/>
                  </m:rPr>
                  <w:rPr>
                    <w:rFonts w:ascii="Cambria Math" w:hAnsi="Cambria Math" w:cstheme="minorHAnsi"/>
                    <w:sz w:val="24"/>
                    <w:lang w:val="en-US"/>
                  </w:rPr>
                  <m:t>t</m:t>
                </m:r>
              </m:e>
            </m:d>
            <m:r>
              <m:rPr>
                <m:scr m:val="script"/>
              </m:rPr>
              <w:rPr>
                <w:rFonts w:ascii="Cambria Math" w:hAnsi="Cambria Math" w:cstheme="minorHAnsi"/>
                <w:sz w:val="24"/>
                <w:lang w:val="en-US"/>
              </w:rPr>
              <m:t>dt</m:t>
            </m:r>
            <m:r>
              <w:rPr>
                <w:rFonts w:ascii="Cambria Math" w:hAnsi="Cambria Math" w:cstheme="minorHAnsi"/>
                <w:sz w:val="24"/>
                <w:lang w:val="en-US"/>
              </w:rPr>
              <m:t>=1</m:t>
            </m:r>
          </m:e>
        </m:nary>
      </m:oMath>
      <w:r w:rsidR="00FF344C" w:rsidRPr="00CD364B">
        <w:rPr>
          <w:rFonts w:eastAsiaTheme="minorEastAsia" w:cstheme="minorHAnsi"/>
          <w:sz w:val="24"/>
          <w:lang w:val="en-US"/>
        </w:rPr>
        <w:t xml:space="preserve">                                                                   (5)</w:t>
      </w:r>
    </w:p>
    <w:p w14:paraId="52059012" w14:textId="77777777" w:rsidR="00140E03" w:rsidRPr="00CD364B" w:rsidRDefault="00140E03" w:rsidP="00004F21">
      <w:pPr>
        <w:spacing w:after="0" w:line="360" w:lineRule="auto"/>
        <w:jc w:val="both"/>
        <w:rPr>
          <w:rFonts w:eastAsiaTheme="minorEastAsia" w:cstheme="minorHAnsi"/>
          <w:sz w:val="24"/>
          <w:lang w:val="en-US"/>
        </w:rPr>
      </w:pPr>
    </w:p>
    <w:p w14:paraId="12BA45F7" w14:textId="3A74EAC4" w:rsidR="00FF344C" w:rsidRPr="00CD364B" w:rsidRDefault="00FF344C" w:rsidP="00004F21">
      <w:pPr>
        <w:spacing w:after="0" w:line="360" w:lineRule="auto"/>
        <w:jc w:val="both"/>
        <w:rPr>
          <w:rFonts w:eastAsiaTheme="minorEastAsia" w:cstheme="minorHAnsi"/>
          <w:sz w:val="24"/>
          <w:lang w:val="en-US"/>
        </w:rPr>
      </w:pPr>
      <w:r w:rsidRPr="00CD364B">
        <w:rPr>
          <w:rFonts w:eastAsiaTheme="minorEastAsia" w:cstheme="minorHAnsi"/>
          <w:sz w:val="24"/>
          <w:lang w:val="en-US"/>
        </w:rPr>
        <w:t>The mother wavelet can be indicated as follows:</w:t>
      </w:r>
    </w:p>
    <w:p w14:paraId="325F2E15" w14:textId="77777777" w:rsidR="00140E03" w:rsidRPr="00CD364B" w:rsidRDefault="00140E03" w:rsidP="00004F21">
      <w:pPr>
        <w:spacing w:after="0" w:line="360" w:lineRule="auto"/>
        <w:jc w:val="both"/>
        <w:rPr>
          <w:rFonts w:eastAsiaTheme="minorEastAsia" w:cstheme="minorHAnsi"/>
          <w:sz w:val="24"/>
          <w:lang w:val="en-US"/>
        </w:rPr>
      </w:pPr>
    </w:p>
    <w:p w14:paraId="0F1AE342" w14:textId="77777777" w:rsidR="00FF344C" w:rsidRPr="00CD364B" w:rsidRDefault="00FF747F" w:rsidP="00CD5F46">
      <w:pPr>
        <w:spacing w:after="0" w:line="360" w:lineRule="auto"/>
        <w:ind w:firstLine="720"/>
        <w:jc w:val="both"/>
        <w:rPr>
          <w:rFonts w:eastAsiaTheme="minorEastAsia" w:cstheme="minorHAnsi"/>
          <w:sz w:val="24"/>
          <w:lang w:val="en-US"/>
        </w:rPr>
      </w:pPr>
      <m:oMath>
        <m:sSub>
          <m:sSubPr>
            <m:ctrlPr>
              <w:rPr>
                <w:rFonts w:ascii="Cambria Math" w:hAnsi="Cambria Math" w:cstheme="minorHAnsi"/>
                <w:i/>
                <w:sz w:val="24"/>
                <w:lang w:val="en-US"/>
              </w:rPr>
            </m:ctrlPr>
          </m:sSubPr>
          <m:e>
            <m:r>
              <w:rPr>
                <w:rFonts w:ascii="Cambria Math" w:hAnsi="Cambria Math" w:cstheme="minorHAnsi"/>
                <w:sz w:val="24"/>
                <w:lang w:val="en-US"/>
              </w:rPr>
              <m:t>ψ</m:t>
            </m:r>
          </m:e>
          <m:sub>
            <m:r>
              <m:rPr>
                <m:scr m:val="script"/>
              </m:rPr>
              <w:rPr>
                <w:rFonts w:ascii="Cambria Math" w:hAnsi="Cambria Math" w:cstheme="minorHAnsi"/>
                <w:sz w:val="24"/>
                <w:lang w:val="en-US"/>
              </w:rPr>
              <m:t>j,k</m:t>
            </m:r>
          </m:sub>
        </m:sSub>
        <m:r>
          <w:rPr>
            <w:rFonts w:ascii="Cambria Math" w:hAnsi="Cambria Math" w:cstheme="minorHAnsi"/>
            <w:sz w:val="24"/>
            <w:lang w:val="en-US"/>
          </w:rPr>
          <m:t xml:space="preserve">= </m:t>
        </m:r>
        <m:sSup>
          <m:sSupPr>
            <m:ctrlPr>
              <w:rPr>
                <w:rFonts w:ascii="Cambria Math" w:hAnsi="Cambria Math" w:cstheme="minorHAnsi"/>
                <w:i/>
                <w:sz w:val="24"/>
                <w:lang w:val="en-US"/>
              </w:rPr>
            </m:ctrlPr>
          </m:sSupPr>
          <m:e>
            <m:r>
              <w:rPr>
                <w:rFonts w:ascii="Cambria Math" w:hAnsi="Cambria Math" w:cstheme="minorHAnsi"/>
                <w:sz w:val="24"/>
                <w:lang w:val="en-US"/>
              </w:rPr>
              <m:t>-2</m:t>
            </m:r>
          </m:e>
          <m:sup>
            <m:r>
              <w:rPr>
                <w:rFonts w:ascii="Cambria Math" w:hAnsi="Cambria Math" w:cstheme="minorHAnsi"/>
                <w:sz w:val="24"/>
                <w:lang w:val="en-US"/>
              </w:rPr>
              <m:t>-j/2</m:t>
            </m:r>
          </m:sup>
        </m:sSup>
        <m:r>
          <w:rPr>
            <w:rFonts w:ascii="Cambria Math" w:hAnsi="Cambria Math" w:cstheme="minorHAnsi"/>
            <w:sz w:val="24"/>
            <w:lang w:val="en-US"/>
          </w:rPr>
          <m:t>ψ</m:t>
        </m:r>
        <m:d>
          <m:dPr>
            <m:ctrlPr>
              <w:rPr>
                <w:rFonts w:ascii="Cambria Math" w:hAnsi="Cambria Math" w:cstheme="minorHAnsi"/>
                <w:i/>
                <w:sz w:val="24"/>
                <w:lang w:val="en-US"/>
              </w:rPr>
            </m:ctrlPr>
          </m:dPr>
          <m:e>
            <m:f>
              <m:fPr>
                <m:ctrlPr>
                  <w:rPr>
                    <w:rFonts w:ascii="Cambria Math" w:hAnsi="Cambria Math" w:cstheme="minorHAnsi"/>
                    <w:i/>
                    <w:sz w:val="24"/>
                    <w:lang w:val="en-US"/>
                  </w:rPr>
                </m:ctrlPr>
              </m:fPr>
              <m:num>
                <m:r>
                  <w:rPr>
                    <w:rFonts w:ascii="Cambria Math" w:hAnsi="Cambria Math" w:cstheme="minorHAnsi"/>
                    <w:sz w:val="24"/>
                    <w:lang w:val="en-US"/>
                  </w:rPr>
                  <m:t>t-</m:t>
                </m:r>
                <m:sSup>
                  <m:sSupPr>
                    <m:ctrlPr>
                      <w:rPr>
                        <w:rFonts w:ascii="Cambria Math" w:hAnsi="Cambria Math" w:cstheme="minorHAnsi"/>
                        <w:i/>
                        <w:sz w:val="24"/>
                        <w:lang w:val="en-US"/>
                      </w:rPr>
                    </m:ctrlPr>
                  </m:sSupPr>
                  <m:e>
                    <m:r>
                      <w:rPr>
                        <w:rFonts w:ascii="Cambria Math" w:hAnsi="Cambria Math" w:cstheme="minorHAnsi"/>
                        <w:sz w:val="24"/>
                        <w:lang w:val="en-US"/>
                      </w:rPr>
                      <m:t>2</m:t>
                    </m:r>
                  </m:e>
                  <m:sup>
                    <m:r>
                      <m:rPr>
                        <m:scr m:val="script"/>
                      </m:rPr>
                      <w:rPr>
                        <w:rFonts w:ascii="Cambria Math" w:hAnsi="Cambria Math" w:cstheme="minorHAnsi"/>
                        <w:sz w:val="24"/>
                        <w:lang w:val="en-US"/>
                      </w:rPr>
                      <m:t>j</m:t>
                    </m:r>
                  </m:sup>
                </m:sSup>
                <m:r>
                  <m:rPr>
                    <m:scr m:val="script"/>
                  </m:rPr>
                  <w:rPr>
                    <w:rFonts w:ascii="Cambria Math" w:hAnsi="Cambria Math" w:cstheme="minorHAnsi"/>
                    <w:sz w:val="24"/>
                    <w:lang w:val="en-US"/>
                  </w:rPr>
                  <m:t>k</m:t>
                </m:r>
              </m:num>
              <m:den>
                <m:sSup>
                  <m:sSupPr>
                    <m:ctrlPr>
                      <w:rPr>
                        <w:rFonts w:ascii="Cambria Math" w:hAnsi="Cambria Math" w:cstheme="minorHAnsi"/>
                        <w:i/>
                        <w:sz w:val="24"/>
                        <w:lang w:val="en-US"/>
                      </w:rPr>
                    </m:ctrlPr>
                  </m:sSupPr>
                  <m:e>
                    <m:r>
                      <w:rPr>
                        <w:rFonts w:ascii="Cambria Math" w:hAnsi="Cambria Math" w:cstheme="minorHAnsi"/>
                        <w:sz w:val="24"/>
                        <w:lang w:val="en-US"/>
                      </w:rPr>
                      <m:t>2</m:t>
                    </m:r>
                  </m:e>
                  <m:sup>
                    <m:r>
                      <m:rPr>
                        <m:scr m:val="script"/>
                      </m:rPr>
                      <w:rPr>
                        <w:rFonts w:ascii="Cambria Math" w:hAnsi="Cambria Math" w:cstheme="minorHAnsi"/>
                        <w:sz w:val="24"/>
                        <w:lang w:val="en-US"/>
                      </w:rPr>
                      <m:t>j</m:t>
                    </m:r>
                  </m:sup>
                </m:sSup>
              </m:den>
            </m:f>
          </m:e>
        </m:d>
        <m:r>
          <w:rPr>
            <w:rFonts w:ascii="Cambria Math" w:hAnsi="Cambria Math" w:cstheme="minorHAnsi"/>
            <w:sz w:val="24"/>
            <w:lang w:val="en-US"/>
          </w:rPr>
          <m:t xml:space="preserve"> with </m:t>
        </m:r>
        <m:nary>
          <m:naryPr>
            <m:limLoc m:val="undOvr"/>
            <m:subHide m:val="1"/>
            <m:supHide m:val="1"/>
            <m:ctrlPr>
              <w:rPr>
                <w:rFonts w:ascii="Cambria Math" w:hAnsi="Cambria Math" w:cstheme="minorHAnsi"/>
                <w:i/>
                <w:sz w:val="24"/>
                <w:lang w:val="en-US"/>
              </w:rPr>
            </m:ctrlPr>
          </m:naryPr>
          <m:sub/>
          <m:sup/>
          <m:e>
            <m:r>
              <w:rPr>
                <w:rFonts w:ascii="Cambria Math" w:hAnsi="Cambria Math" w:cstheme="minorHAnsi"/>
                <w:sz w:val="24"/>
                <w:lang w:val="en-US"/>
              </w:rPr>
              <m:t xml:space="preserve">ψ </m:t>
            </m:r>
            <m:d>
              <m:dPr>
                <m:ctrlPr>
                  <w:rPr>
                    <w:rFonts w:ascii="Cambria Math" w:hAnsi="Cambria Math" w:cstheme="minorHAnsi"/>
                    <w:i/>
                    <w:sz w:val="24"/>
                    <w:lang w:val="en-US"/>
                  </w:rPr>
                </m:ctrlPr>
              </m:dPr>
              <m:e>
                <m:r>
                  <m:rPr>
                    <m:scr m:val="script"/>
                  </m:rPr>
                  <w:rPr>
                    <w:rFonts w:ascii="Cambria Math" w:hAnsi="Cambria Math" w:cstheme="minorHAnsi"/>
                    <w:sz w:val="24"/>
                    <w:lang w:val="en-US"/>
                  </w:rPr>
                  <m:t>t</m:t>
                </m:r>
              </m:e>
            </m:d>
            <m:r>
              <m:rPr>
                <m:scr m:val="script"/>
              </m:rPr>
              <w:rPr>
                <w:rFonts w:ascii="Cambria Math" w:hAnsi="Cambria Math" w:cstheme="minorHAnsi"/>
                <w:sz w:val="24"/>
                <w:lang w:val="en-US"/>
              </w:rPr>
              <m:t>dt</m:t>
            </m:r>
            <m:r>
              <w:rPr>
                <w:rFonts w:ascii="Cambria Math" w:hAnsi="Cambria Math" w:cstheme="minorHAnsi"/>
                <w:sz w:val="24"/>
                <w:lang w:val="en-US"/>
              </w:rPr>
              <m:t>=0</m:t>
            </m:r>
          </m:e>
        </m:nary>
      </m:oMath>
      <w:r w:rsidR="00FF344C" w:rsidRPr="00CD364B">
        <w:rPr>
          <w:rFonts w:eastAsiaTheme="minorEastAsia" w:cstheme="minorHAnsi"/>
          <w:sz w:val="24"/>
          <w:lang w:val="en-US"/>
        </w:rPr>
        <w:t xml:space="preserve">                                                                   (6)</w:t>
      </w:r>
    </w:p>
    <w:p w14:paraId="6FD0786C" w14:textId="77777777" w:rsidR="00140E03" w:rsidRPr="00CD364B" w:rsidRDefault="00140E03" w:rsidP="00004F21">
      <w:pPr>
        <w:spacing w:after="0" w:line="360" w:lineRule="auto"/>
        <w:ind w:firstLine="720"/>
        <w:jc w:val="both"/>
        <w:rPr>
          <w:rFonts w:eastAsiaTheme="minorEastAsia" w:cstheme="minorHAnsi"/>
          <w:sz w:val="24"/>
          <w:lang w:val="en-US"/>
        </w:rPr>
      </w:pPr>
    </w:p>
    <w:p w14:paraId="158D1C3E" w14:textId="189F192F" w:rsidR="00FF344C" w:rsidRPr="00CD364B" w:rsidRDefault="00FF344C" w:rsidP="00004F21">
      <w:pPr>
        <w:spacing w:after="0" w:line="360" w:lineRule="auto"/>
        <w:jc w:val="both"/>
        <w:rPr>
          <w:rFonts w:eastAsiaTheme="minorEastAsia" w:cstheme="minorHAnsi"/>
          <w:sz w:val="24"/>
          <w:lang w:val="en-US"/>
        </w:rPr>
      </w:pPr>
      <w:r w:rsidRPr="00CD364B">
        <w:rPr>
          <w:rFonts w:eastAsiaTheme="minorEastAsia" w:cstheme="minorHAnsi"/>
          <w:sz w:val="24"/>
          <w:lang w:val="en-US"/>
        </w:rPr>
        <w:t xml:space="preserve">These </w:t>
      </w:r>
      <w:r w:rsidR="00CE7C18" w:rsidRPr="00CD364B">
        <w:rPr>
          <w:rFonts w:eastAsiaTheme="minorEastAsia" w:cstheme="minorHAnsi"/>
          <w:sz w:val="24"/>
          <w:lang w:val="en-US"/>
        </w:rPr>
        <w:t xml:space="preserve">parent </w:t>
      </w:r>
      <w:r w:rsidRPr="00CD364B">
        <w:rPr>
          <w:rFonts w:eastAsiaTheme="minorEastAsia" w:cstheme="minorHAnsi"/>
          <w:sz w:val="24"/>
          <w:lang w:val="en-US"/>
        </w:rPr>
        <w:t>wavelets form the basic functions defining the coefficients’ sequence. The derived smooth coefficients from the father wavelets are indicated as follows:</w:t>
      </w:r>
    </w:p>
    <w:p w14:paraId="2A95DC51" w14:textId="77777777" w:rsidR="009B5921" w:rsidRPr="00CD364B" w:rsidRDefault="009B5921" w:rsidP="00004F21">
      <w:pPr>
        <w:spacing w:after="0" w:line="360" w:lineRule="auto"/>
        <w:ind w:firstLine="720"/>
        <w:jc w:val="both"/>
        <w:rPr>
          <w:rFonts w:eastAsiaTheme="minorEastAsia" w:cstheme="minorHAnsi"/>
          <w:sz w:val="24"/>
          <w:lang w:val="en-US"/>
        </w:rPr>
      </w:pPr>
    </w:p>
    <w:p w14:paraId="61813204" w14:textId="77777777" w:rsidR="00FF344C" w:rsidRPr="00CD364B" w:rsidRDefault="00FF747F" w:rsidP="00CD5F46">
      <w:pPr>
        <w:spacing w:after="0" w:line="360" w:lineRule="auto"/>
        <w:ind w:firstLine="720"/>
        <w:jc w:val="both"/>
        <w:rPr>
          <w:rFonts w:eastAsiaTheme="minorEastAsia" w:cstheme="minorHAnsi"/>
          <w:sz w:val="24"/>
          <w:lang w:val="en-US"/>
        </w:rPr>
      </w:pPr>
      <m:oMath>
        <m:sSub>
          <m:sSubPr>
            <m:ctrlPr>
              <w:rPr>
                <w:rFonts w:ascii="Cambria Math" w:hAnsi="Cambria Math" w:cstheme="minorHAnsi"/>
                <w:i/>
                <w:sz w:val="24"/>
                <w:lang w:val="en-US"/>
              </w:rPr>
            </m:ctrlPr>
          </m:sSubPr>
          <m:e>
            <m:r>
              <m:rPr>
                <m:scr m:val="script"/>
              </m:rPr>
              <w:rPr>
                <w:rFonts w:ascii="Cambria Math" w:hAnsi="Cambria Math" w:cstheme="minorHAnsi"/>
                <w:sz w:val="24"/>
                <w:lang w:val="en-US"/>
              </w:rPr>
              <m:t>S</m:t>
            </m:r>
          </m:e>
          <m:sub>
            <m:r>
              <m:rPr>
                <m:scr m:val="script"/>
              </m:rPr>
              <w:rPr>
                <w:rFonts w:ascii="Cambria Math" w:hAnsi="Cambria Math" w:cstheme="minorHAnsi"/>
                <w:sz w:val="24"/>
                <w:lang w:val="en-US"/>
              </w:rPr>
              <m:t>j,k</m:t>
            </m:r>
          </m:sub>
        </m:sSub>
        <m:r>
          <w:rPr>
            <w:rFonts w:ascii="Cambria Math" w:hAnsi="Cambria Math" w:cstheme="minorHAnsi"/>
            <w:sz w:val="24"/>
            <w:lang w:val="en-US"/>
          </w:rPr>
          <m:t xml:space="preserve">= </m:t>
        </m:r>
        <m:nary>
          <m:naryPr>
            <m:limLoc m:val="undOvr"/>
            <m:subHide m:val="1"/>
            <m:supHide m:val="1"/>
            <m:ctrlPr>
              <w:rPr>
                <w:rFonts w:ascii="Cambria Math" w:hAnsi="Cambria Math" w:cstheme="minorHAnsi"/>
                <w:i/>
                <w:sz w:val="24"/>
                <w:lang w:val="en-US"/>
              </w:rPr>
            </m:ctrlPr>
          </m:naryPr>
          <m:sub/>
          <m:sup/>
          <m:e>
            <m:r>
              <w:rPr>
                <w:rFonts w:ascii="Cambria Math" w:hAnsi="Cambria Math" w:cstheme="minorHAnsi"/>
                <w:sz w:val="24"/>
                <w:lang w:val="en-US"/>
              </w:rPr>
              <m:t>f(</m:t>
            </m:r>
            <m:r>
              <m:rPr>
                <m:scr m:val="script"/>
              </m:rPr>
              <w:rPr>
                <w:rFonts w:ascii="Cambria Math" w:hAnsi="Cambria Math" w:cstheme="minorHAnsi"/>
                <w:sz w:val="24"/>
                <w:lang w:val="en-US"/>
              </w:rPr>
              <m:t>t)</m:t>
            </m:r>
          </m:e>
        </m:nary>
        <m:sSub>
          <m:sSubPr>
            <m:ctrlPr>
              <w:rPr>
                <w:rFonts w:ascii="Cambria Math" w:hAnsi="Cambria Math" w:cstheme="minorHAnsi"/>
                <w:i/>
                <w:sz w:val="24"/>
                <w:lang w:val="en-US"/>
              </w:rPr>
            </m:ctrlPr>
          </m:sSubPr>
          <m:e>
            <m:r>
              <w:rPr>
                <w:rFonts w:ascii="Cambria Math" w:hAnsi="Cambria Math" w:cstheme="minorHAnsi"/>
                <w:sz w:val="24"/>
                <w:lang w:val="en-US"/>
              </w:rPr>
              <m:t>ϕ</m:t>
            </m:r>
          </m:e>
          <m:sub>
            <m:r>
              <m:rPr>
                <m:scr m:val="script"/>
              </m:rPr>
              <w:rPr>
                <w:rFonts w:ascii="Cambria Math" w:hAnsi="Cambria Math" w:cstheme="minorHAnsi"/>
                <w:sz w:val="24"/>
                <w:lang w:val="en-US"/>
              </w:rPr>
              <m:t>J,k</m:t>
            </m:r>
          </m:sub>
        </m:sSub>
      </m:oMath>
      <w:r w:rsidR="00FF344C" w:rsidRPr="00CD364B">
        <w:rPr>
          <w:rFonts w:eastAsiaTheme="minorEastAsia" w:cstheme="minorHAnsi"/>
          <w:sz w:val="24"/>
          <w:lang w:val="en-US"/>
        </w:rPr>
        <w:t xml:space="preserve">                                                                                                                  (7)</w:t>
      </w:r>
    </w:p>
    <w:p w14:paraId="050364EC" w14:textId="77777777" w:rsidR="00140E03" w:rsidRPr="00CD364B" w:rsidRDefault="00140E03" w:rsidP="00004F21">
      <w:pPr>
        <w:spacing w:after="0" w:line="360" w:lineRule="auto"/>
        <w:ind w:firstLine="720"/>
        <w:jc w:val="both"/>
        <w:rPr>
          <w:rFonts w:eastAsiaTheme="minorEastAsia" w:cstheme="minorHAnsi"/>
          <w:sz w:val="24"/>
          <w:lang w:val="en-US"/>
        </w:rPr>
      </w:pPr>
    </w:p>
    <w:p w14:paraId="3468A5D6" w14:textId="5231EAC3" w:rsidR="00FF344C" w:rsidRPr="00CD364B" w:rsidRDefault="00FF344C" w:rsidP="00004F21">
      <w:pPr>
        <w:spacing w:after="0" w:line="360" w:lineRule="auto"/>
        <w:jc w:val="both"/>
        <w:rPr>
          <w:rFonts w:eastAsiaTheme="minorEastAsia" w:cstheme="minorHAnsi"/>
          <w:sz w:val="24"/>
          <w:lang w:val="en-US"/>
        </w:rPr>
      </w:pPr>
      <w:r w:rsidRPr="00CD364B">
        <w:rPr>
          <w:rFonts w:eastAsiaTheme="minorEastAsia" w:cstheme="minorHAnsi"/>
          <w:sz w:val="24"/>
          <w:lang w:val="en-US"/>
        </w:rPr>
        <w:t>We define the detailed coefficients obtained from the mother wavelets as follows:</w:t>
      </w:r>
    </w:p>
    <w:p w14:paraId="600824C9" w14:textId="77777777" w:rsidR="009B5921" w:rsidRPr="00CD364B" w:rsidRDefault="009B5921" w:rsidP="00096B1A">
      <w:pPr>
        <w:spacing w:after="0" w:line="360" w:lineRule="auto"/>
        <w:ind w:firstLine="720"/>
        <w:jc w:val="both"/>
        <w:rPr>
          <w:rFonts w:eastAsiaTheme="minorEastAsia" w:cstheme="minorHAnsi"/>
          <w:sz w:val="24"/>
          <w:lang w:val="en-US"/>
        </w:rPr>
      </w:pPr>
    </w:p>
    <w:p w14:paraId="2DAEC92D" w14:textId="77777777" w:rsidR="00FF344C" w:rsidRPr="00CD364B" w:rsidRDefault="00FF747F" w:rsidP="00CD5F46">
      <w:pPr>
        <w:spacing w:after="0" w:line="360" w:lineRule="auto"/>
        <w:ind w:firstLine="720"/>
        <w:jc w:val="both"/>
        <w:rPr>
          <w:rFonts w:eastAsiaTheme="minorEastAsia" w:cstheme="minorHAnsi"/>
          <w:sz w:val="24"/>
          <w:lang w:val="en-US"/>
        </w:rPr>
      </w:pPr>
      <m:oMath>
        <m:sSub>
          <m:sSubPr>
            <m:ctrlPr>
              <w:rPr>
                <w:rFonts w:ascii="Cambria Math" w:hAnsi="Cambria Math" w:cstheme="minorHAnsi"/>
                <w:i/>
                <w:sz w:val="24"/>
                <w:lang w:val="en-US"/>
              </w:rPr>
            </m:ctrlPr>
          </m:sSubPr>
          <m:e>
            <m:r>
              <m:rPr>
                <m:scr m:val="script"/>
              </m:rPr>
              <w:rPr>
                <w:rFonts w:ascii="Cambria Math" w:hAnsi="Cambria Math" w:cstheme="minorHAnsi"/>
                <w:sz w:val="24"/>
                <w:lang w:val="en-US"/>
              </w:rPr>
              <m:t>d</m:t>
            </m:r>
          </m:e>
          <m:sub>
            <m:r>
              <m:rPr>
                <m:scr m:val="script"/>
              </m:rPr>
              <w:rPr>
                <w:rFonts w:ascii="Cambria Math" w:hAnsi="Cambria Math" w:cstheme="minorHAnsi"/>
                <w:sz w:val="24"/>
                <w:lang w:val="en-US"/>
              </w:rPr>
              <m:t>j,k</m:t>
            </m:r>
          </m:sub>
        </m:sSub>
        <m:r>
          <w:rPr>
            <w:rFonts w:ascii="Cambria Math" w:hAnsi="Cambria Math" w:cstheme="minorHAnsi"/>
            <w:sz w:val="24"/>
            <w:lang w:val="en-US"/>
          </w:rPr>
          <m:t xml:space="preserve">= </m:t>
        </m:r>
        <m:nary>
          <m:naryPr>
            <m:limLoc m:val="undOvr"/>
            <m:subHide m:val="1"/>
            <m:supHide m:val="1"/>
            <m:ctrlPr>
              <w:rPr>
                <w:rFonts w:ascii="Cambria Math" w:hAnsi="Cambria Math" w:cstheme="minorHAnsi"/>
                <w:i/>
                <w:sz w:val="24"/>
                <w:lang w:val="en-US"/>
              </w:rPr>
            </m:ctrlPr>
          </m:naryPr>
          <m:sub/>
          <m:sup/>
          <m:e>
            <m:r>
              <w:rPr>
                <w:rFonts w:ascii="Cambria Math" w:hAnsi="Cambria Math" w:cstheme="minorHAnsi"/>
                <w:sz w:val="24"/>
                <w:lang w:val="en-US"/>
              </w:rPr>
              <m:t>f(</m:t>
            </m:r>
            <m:r>
              <m:rPr>
                <m:scr m:val="script"/>
              </m:rPr>
              <w:rPr>
                <w:rFonts w:ascii="Cambria Math" w:hAnsi="Cambria Math" w:cstheme="minorHAnsi"/>
                <w:sz w:val="24"/>
                <w:lang w:val="en-US"/>
              </w:rPr>
              <m:t>t)</m:t>
            </m:r>
          </m:e>
        </m:nary>
        <m:sSub>
          <m:sSubPr>
            <m:ctrlPr>
              <w:rPr>
                <w:rFonts w:ascii="Cambria Math" w:hAnsi="Cambria Math" w:cstheme="minorHAnsi"/>
                <w:i/>
                <w:sz w:val="24"/>
                <w:lang w:val="en-US"/>
              </w:rPr>
            </m:ctrlPr>
          </m:sSubPr>
          <m:e>
            <m:r>
              <w:rPr>
                <w:rFonts w:ascii="Cambria Math" w:hAnsi="Cambria Math" w:cstheme="minorHAnsi"/>
                <w:sz w:val="24"/>
                <w:lang w:val="en-US"/>
              </w:rPr>
              <m:t>ψ</m:t>
            </m:r>
          </m:e>
          <m:sub>
            <m:r>
              <m:rPr>
                <m:scr m:val="script"/>
              </m:rPr>
              <w:rPr>
                <w:rFonts w:ascii="Cambria Math" w:hAnsi="Cambria Math" w:cstheme="minorHAnsi"/>
                <w:sz w:val="24"/>
                <w:lang w:val="en-US"/>
              </w:rPr>
              <m:t>J,k</m:t>
            </m:r>
          </m:sub>
        </m:sSub>
      </m:oMath>
      <w:r w:rsidR="00FF344C" w:rsidRPr="00CD364B">
        <w:rPr>
          <w:rFonts w:eastAsiaTheme="minorEastAsia" w:cstheme="minorHAnsi"/>
          <w:sz w:val="24"/>
          <w:lang w:val="en-US"/>
        </w:rPr>
        <w:t xml:space="preserve">   </w:t>
      </w:r>
      <w:r w:rsidR="00FF344C" w:rsidRPr="00CD364B">
        <w:rPr>
          <w:rFonts w:eastAsiaTheme="minorEastAsia" w:cstheme="minorHAnsi"/>
          <w:i/>
          <w:sz w:val="24"/>
          <w:lang w:val="en-US"/>
        </w:rPr>
        <w:t xml:space="preserve">With j = 1………. </w:t>
      </w:r>
      <m:oMath>
        <m:r>
          <m:rPr>
            <m:scr m:val="script"/>
          </m:rPr>
          <w:rPr>
            <w:rFonts w:ascii="Cambria Math" w:hAnsi="Cambria Math" w:cstheme="minorHAnsi"/>
            <w:sz w:val="24"/>
            <w:lang w:val="en-US"/>
          </w:rPr>
          <m:t>J</m:t>
        </m:r>
      </m:oMath>
      <w:r w:rsidR="00FF344C" w:rsidRPr="00CD364B">
        <w:rPr>
          <w:rFonts w:eastAsiaTheme="minorEastAsia" w:cstheme="minorHAnsi"/>
          <w:sz w:val="24"/>
          <w:lang w:val="en-US"/>
        </w:rPr>
        <w:t xml:space="preserve">                                                                                  (8)</w:t>
      </w:r>
    </w:p>
    <w:p w14:paraId="24662DFC" w14:textId="77777777" w:rsidR="009B5921" w:rsidRPr="00CD364B" w:rsidRDefault="009B5921" w:rsidP="00004F21">
      <w:pPr>
        <w:spacing w:after="0" w:line="360" w:lineRule="auto"/>
        <w:ind w:firstLine="720"/>
        <w:jc w:val="both"/>
        <w:rPr>
          <w:rFonts w:eastAsiaTheme="minorEastAsia" w:cstheme="minorHAnsi"/>
          <w:sz w:val="24"/>
          <w:lang w:val="en-US"/>
        </w:rPr>
      </w:pPr>
    </w:p>
    <w:p w14:paraId="2568934C" w14:textId="62438E30" w:rsidR="00FF344C" w:rsidRPr="00CD364B" w:rsidRDefault="00FF344C" w:rsidP="00004F21">
      <w:pPr>
        <w:spacing w:after="0" w:line="360" w:lineRule="auto"/>
        <w:ind w:firstLine="720"/>
        <w:jc w:val="both"/>
        <w:rPr>
          <w:rFonts w:cstheme="minorHAnsi"/>
          <w:sz w:val="24"/>
          <w:lang w:val="en-US"/>
        </w:rPr>
      </w:pPr>
      <w:r w:rsidRPr="00CD364B">
        <w:rPr>
          <w:rFonts w:eastAsiaTheme="minorEastAsia" w:cstheme="minorHAnsi"/>
          <w:sz w:val="24"/>
          <w:lang w:val="en-US"/>
        </w:rPr>
        <w:t xml:space="preserve">The </w:t>
      </w:r>
      <m:oMath>
        <m:sSup>
          <m:sSupPr>
            <m:ctrlPr>
              <w:rPr>
                <w:rFonts w:ascii="Cambria Math" w:hAnsi="Cambria Math" w:cstheme="minorHAnsi"/>
                <w:i/>
                <w:sz w:val="24"/>
                <w:lang w:val="en-US"/>
              </w:rPr>
            </m:ctrlPr>
          </m:sSupPr>
          <m:e>
            <m:r>
              <w:rPr>
                <w:rFonts w:ascii="Cambria Math" w:hAnsi="Cambria Math" w:cstheme="minorHAnsi"/>
                <w:sz w:val="24"/>
                <w:lang w:val="en-US"/>
              </w:rPr>
              <m:t>2</m:t>
            </m:r>
          </m:e>
          <m:sup>
            <m:r>
              <m:rPr>
                <m:scr m:val="script"/>
              </m:rPr>
              <w:rPr>
                <w:rFonts w:ascii="Cambria Math" w:hAnsi="Cambria Math" w:cstheme="minorHAnsi"/>
                <w:sz w:val="24"/>
                <w:lang w:val="en-US"/>
              </w:rPr>
              <m:t>j</m:t>
            </m:r>
          </m:sup>
        </m:sSup>
      </m:oMath>
      <w:r w:rsidRPr="00CD364B">
        <w:rPr>
          <w:rFonts w:eastAsiaTheme="minorEastAsia" w:cstheme="minorHAnsi"/>
          <w:sz w:val="24"/>
          <w:lang w:val="en-US"/>
        </w:rPr>
        <w:t xml:space="preserve"> form the maximal scale of the former, whereas the detailed coefficients deduced from the mother wavelets are at the scales from 1 to </w:t>
      </w:r>
      <m:oMath>
        <m:r>
          <m:rPr>
            <m:scr m:val="script"/>
          </m:rPr>
          <w:rPr>
            <w:rFonts w:ascii="Cambria Math" w:hAnsi="Cambria Math" w:cstheme="minorHAnsi"/>
            <w:sz w:val="24"/>
            <w:lang w:val="en-US"/>
          </w:rPr>
          <m:t>J</m:t>
        </m:r>
      </m:oMath>
      <w:r w:rsidRPr="00CD364B">
        <w:rPr>
          <w:rFonts w:eastAsiaTheme="minorEastAsia" w:cstheme="minorHAnsi"/>
          <w:sz w:val="24"/>
          <w:lang w:val="en-US"/>
        </w:rPr>
        <w:t xml:space="preserve"> We define the function </w:t>
      </w:r>
      <w:r w:rsidRPr="00CD364B">
        <w:rPr>
          <w:rFonts w:cstheme="minorHAnsi"/>
          <w:i/>
          <w:sz w:val="24"/>
          <w:lang w:val="en-US"/>
        </w:rPr>
        <w:t xml:space="preserve">f (.) </w:t>
      </w:r>
      <w:r w:rsidRPr="00CD364B">
        <w:rPr>
          <w:rFonts w:cstheme="minorHAnsi"/>
          <w:sz w:val="24"/>
          <w:lang w:val="en-US"/>
        </w:rPr>
        <w:t xml:space="preserve">from the </w:t>
      </w:r>
      <w:r w:rsidR="009B5921" w:rsidRPr="00CD364B">
        <w:rPr>
          <w:rFonts w:cstheme="minorHAnsi"/>
          <w:sz w:val="24"/>
          <w:lang w:val="en-US"/>
        </w:rPr>
        <w:t>above-mentioned</w:t>
      </w:r>
      <w:r w:rsidRPr="00CD364B">
        <w:rPr>
          <w:rFonts w:cstheme="minorHAnsi"/>
          <w:sz w:val="24"/>
          <w:lang w:val="en-US"/>
        </w:rPr>
        <w:t xml:space="preserve"> coefficients in the following manner</w:t>
      </w:r>
      <w:r w:rsidR="009B5921" w:rsidRPr="00CD364B">
        <w:rPr>
          <w:rFonts w:cstheme="minorHAnsi"/>
          <w:sz w:val="24"/>
          <w:lang w:val="en-US"/>
        </w:rPr>
        <w:t>:</w:t>
      </w:r>
    </w:p>
    <w:p w14:paraId="54B29FED" w14:textId="77777777" w:rsidR="009B5921" w:rsidRPr="00CD364B" w:rsidRDefault="009B5921" w:rsidP="00004F21">
      <w:pPr>
        <w:spacing w:after="0" w:line="360" w:lineRule="auto"/>
        <w:ind w:firstLine="720"/>
        <w:jc w:val="both"/>
        <w:rPr>
          <w:rFonts w:cstheme="minorHAnsi"/>
          <w:sz w:val="24"/>
          <w:lang w:val="en-US"/>
        </w:rPr>
      </w:pPr>
    </w:p>
    <w:p w14:paraId="37E79D2E" w14:textId="152E341D" w:rsidR="00FF344C" w:rsidRPr="00CD364B" w:rsidRDefault="00FF344C" w:rsidP="00CD5F46">
      <w:pPr>
        <w:spacing w:after="0" w:line="360" w:lineRule="auto"/>
        <w:ind w:firstLine="720"/>
        <w:jc w:val="both"/>
        <w:rPr>
          <w:rFonts w:eastAsiaTheme="minorEastAsia" w:cstheme="minorHAnsi"/>
          <w:sz w:val="24"/>
          <w:lang w:val="en-US"/>
        </w:rPr>
      </w:pPr>
      <m:oMath>
        <m:r>
          <w:rPr>
            <w:rFonts w:ascii="Cambria Math" w:hAnsi="Cambria Math" w:cstheme="minorHAnsi"/>
            <w:sz w:val="24"/>
            <w:lang w:val="en-US"/>
          </w:rPr>
          <m:t>f</m:t>
        </m:r>
        <m:d>
          <m:dPr>
            <m:ctrlPr>
              <w:rPr>
                <w:rFonts w:ascii="Cambria Math" w:hAnsi="Cambria Math" w:cstheme="minorHAnsi"/>
                <w:i/>
                <w:sz w:val="24"/>
                <w:lang w:val="en-US"/>
              </w:rPr>
            </m:ctrlPr>
          </m:dPr>
          <m:e>
            <m:r>
              <m:rPr>
                <m:scr m:val="script"/>
              </m:rPr>
              <w:rPr>
                <w:rFonts w:ascii="Cambria Math" w:hAnsi="Cambria Math" w:cstheme="minorHAnsi"/>
                <w:sz w:val="24"/>
                <w:lang w:val="en-US"/>
              </w:rPr>
              <m:t>t</m:t>
            </m:r>
          </m:e>
        </m:d>
        <m:r>
          <w:rPr>
            <w:rFonts w:ascii="Cambria Math" w:hAnsi="Cambria Math" w:cstheme="minorHAnsi"/>
            <w:sz w:val="24"/>
            <w:lang w:val="en-US"/>
          </w:rPr>
          <m:t xml:space="preserve">= </m:t>
        </m:r>
        <m:nary>
          <m:naryPr>
            <m:chr m:val="∑"/>
            <m:limLoc m:val="undOvr"/>
            <m:supHide m:val="1"/>
            <m:ctrlPr>
              <w:rPr>
                <w:rFonts w:ascii="Cambria Math" w:hAnsi="Cambria Math" w:cstheme="minorHAnsi"/>
                <w:i/>
                <w:sz w:val="24"/>
                <w:lang w:val="en-US"/>
              </w:rPr>
            </m:ctrlPr>
          </m:naryPr>
          <m:sub>
            <m:r>
              <m:rPr>
                <m:scr m:val="script"/>
              </m:rPr>
              <w:rPr>
                <w:rFonts w:ascii="Cambria Math" w:hAnsi="Cambria Math" w:cstheme="minorHAnsi"/>
                <w:sz w:val="24"/>
                <w:lang w:val="en-US"/>
              </w:rPr>
              <m:t>k</m:t>
            </m:r>
          </m:sub>
          <m:sup/>
          <m:e>
            <m:sSub>
              <m:sSubPr>
                <m:ctrlPr>
                  <w:rPr>
                    <w:rFonts w:ascii="Cambria Math" w:hAnsi="Cambria Math" w:cstheme="minorHAnsi"/>
                    <w:i/>
                    <w:sz w:val="24"/>
                    <w:lang w:val="en-US"/>
                  </w:rPr>
                </m:ctrlPr>
              </m:sSubPr>
              <m:e>
                <m:r>
                  <m:rPr>
                    <m:scr m:val="script"/>
                  </m:rPr>
                  <w:rPr>
                    <w:rFonts w:ascii="Cambria Math" w:hAnsi="Cambria Math" w:cstheme="minorHAnsi"/>
                    <w:sz w:val="24"/>
                    <w:lang w:val="en-US"/>
                  </w:rPr>
                  <m:t>S</m:t>
                </m:r>
              </m:e>
              <m:sub>
                <m:r>
                  <w:rPr>
                    <w:rFonts w:ascii="Cambria Math" w:hAnsi="Cambria Math" w:cstheme="minorHAnsi"/>
                    <w:sz w:val="24"/>
                    <w:lang w:val="en-US"/>
                  </w:rPr>
                  <m:t>J,</m:t>
                </m:r>
                <m:r>
                  <m:rPr>
                    <m:scr m:val="script"/>
                  </m:rPr>
                  <w:rPr>
                    <w:rFonts w:ascii="Cambria Math" w:hAnsi="Cambria Math" w:cstheme="minorHAnsi"/>
                    <w:sz w:val="24"/>
                    <w:lang w:val="en-US"/>
                  </w:rPr>
                  <m:t>k</m:t>
                </m:r>
              </m:sub>
            </m:sSub>
          </m:e>
        </m:nary>
        <m:sSub>
          <m:sSubPr>
            <m:ctrlPr>
              <w:rPr>
                <w:rFonts w:ascii="Cambria Math" w:hAnsi="Cambria Math" w:cstheme="minorHAnsi"/>
                <w:i/>
                <w:sz w:val="24"/>
                <w:lang w:val="en-US"/>
              </w:rPr>
            </m:ctrlPr>
          </m:sSubPr>
          <m:e>
            <m:r>
              <w:rPr>
                <w:rFonts w:ascii="Cambria Math" w:hAnsi="Cambria Math" w:cstheme="minorHAnsi"/>
                <w:sz w:val="24"/>
                <w:lang w:val="en-US"/>
              </w:rPr>
              <m:t>ϕ</m:t>
            </m:r>
          </m:e>
          <m:sub>
            <m:r>
              <w:rPr>
                <w:rFonts w:ascii="Cambria Math" w:hAnsi="Cambria Math" w:cstheme="minorHAnsi"/>
                <w:sz w:val="24"/>
                <w:lang w:val="en-US"/>
              </w:rPr>
              <m:t>J,</m:t>
            </m:r>
            <m:r>
              <m:rPr>
                <m:scr m:val="script"/>
              </m:rPr>
              <w:rPr>
                <w:rFonts w:ascii="Cambria Math" w:hAnsi="Cambria Math" w:cstheme="minorHAnsi"/>
                <w:sz w:val="24"/>
                <w:lang w:val="en-US"/>
              </w:rPr>
              <m:t>k</m:t>
            </m:r>
          </m:sub>
        </m:sSub>
        <m:d>
          <m:dPr>
            <m:ctrlPr>
              <w:rPr>
                <w:rFonts w:ascii="Cambria Math" w:hAnsi="Cambria Math" w:cstheme="minorHAnsi"/>
                <w:i/>
                <w:sz w:val="24"/>
                <w:lang w:val="en-US"/>
              </w:rPr>
            </m:ctrlPr>
          </m:dPr>
          <m:e>
            <m:r>
              <w:rPr>
                <w:rFonts w:ascii="Cambria Math" w:hAnsi="Cambria Math" w:cstheme="minorHAnsi"/>
                <w:sz w:val="24"/>
                <w:lang w:val="en-US"/>
              </w:rPr>
              <m:t>t</m:t>
            </m:r>
          </m:e>
        </m:d>
        <m:r>
          <w:rPr>
            <w:rFonts w:ascii="Cambria Math" w:hAnsi="Cambria Math" w:cstheme="minorHAnsi"/>
            <w:sz w:val="24"/>
            <w:lang w:val="en-US"/>
          </w:rPr>
          <m:t>+</m:t>
        </m:r>
        <m:nary>
          <m:naryPr>
            <m:chr m:val="∑"/>
            <m:limLoc m:val="undOvr"/>
            <m:supHide m:val="1"/>
            <m:ctrlPr>
              <w:rPr>
                <w:rFonts w:ascii="Cambria Math" w:hAnsi="Cambria Math" w:cstheme="minorHAnsi"/>
                <w:i/>
                <w:sz w:val="24"/>
                <w:lang w:val="en-US"/>
              </w:rPr>
            </m:ctrlPr>
          </m:naryPr>
          <m:sub>
            <m:r>
              <m:rPr>
                <m:scr m:val="script"/>
              </m:rPr>
              <w:rPr>
                <w:rFonts w:ascii="Cambria Math" w:hAnsi="Cambria Math" w:cstheme="minorHAnsi"/>
                <w:sz w:val="24"/>
                <w:lang w:val="en-US"/>
              </w:rPr>
              <m:t>k</m:t>
            </m:r>
          </m:sub>
          <m:sup/>
          <m:e>
            <m:sSub>
              <m:sSubPr>
                <m:ctrlPr>
                  <w:rPr>
                    <w:rFonts w:ascii="Cambria Math" w:hAnsi="Cambria Math" w:cstheme="minorHAnsi"/>
                    <w:i/>
                    <w:sz w:val="24"/>
                    <w:lang w:val="en-US"/>
                  </w:rPr>
                </m:ctrlPr>
              </m:sSubPr>
              <m:e>
                <m:r>
                  <m:rPr>
                    <m:scr m:val="script"/>
                  </m:rPr>
                  <w:rPr>
                    <w:rFonts w:ascii="Cambria Math" w:hAnsi="Cambria Math" w:cstheme="minorHAnsi"/>
                    <w:sz w:val="24"/>
                    <w:lang w:val="en-US"/>
                  </w:rPr>
                  <m:t>d</m:t>
                </m:r>
              </m:e>
              <m:sub>
                <m:r>
                  <w:rPr>
                    <w:rFonts w:ascii="Cambria Math" w:hAnsi="Cambria Math" w:cstheme="minorHAnsi"/>
                    <w:sz w:val="24"/>
                    <w:lang w:val="en-US"/>
                  </w:rPr>
                  <m:t>J,</m:t>
                </m:r>
                <m:r>
                  <m:rPr>
                    <m:scr m:val="script"/>
                  </m:rPr>
                  <w:rPr>
                    <w:rFonts w:ascii="Cambria Math" w:hAnsi="Cambria Math" w:cstheme="minorHAnsi"/>
                    <w:sz w:val="24"/>
                    <w:lang w:val="en-US"/>
                  </w:rPr>
                  <m:t>k</m:t>
                </m:r>
              </m:sub>
            </m:sSub>
          </m:e>
        </m:nary>
        <m:sSub>
          <m:sSubPr>
            <m:ctrlPr>
              <w:rPr>
                <w:rFonts w:ascii="Cambria Math" w:hAnsi="Cambria Math" w:cstheme="minorHAnsi"/>
                <w:i/>
                <w:sz w:val="24"/>
                <w:lang w:val="en-US"/>
              </w:rPr>
            </m:ctrlPr>
          </m:sSubPr>
          <m:e>
            <m:r>
              <w:rPr>
                <w:rFonts w:ascii="Cambria Math" w:hAnsi="Cambria Math" w:cstheme="minorHAnsi"/>
                <w:sz w:val="24"/>
                <w:lang w:val="en-US"/>
              </w:rPr>
              <m:t>ψ</m:t>
            </m:r>
          </m:e>
          <m:sub>
            <m:r>
              <w:rPr>
                <w:rFonts w:ascii="Cambria Math" w:hAnsi="Cambria Math" w:cstheme="minorHAnsi"/>
                <w:sz w:val="24"/>
                <w:lang w:val="en-US"/>
              </w:rPr>
              <m:t>J,</m:t>
            </m:r>
            <m:r>
              <m:rPr>
                <m:scr m:val="script"/>
              </m:rPr>
              <w:rPr>
                <w:rFonts w:ascii="Cambria Math" w:hAnsi="Cambria Math" w:cstheme="minorHAnsi"/>
                <w:sz w:val="24"/>
                <w:lang w:val="en-US"/>
              </w:rPr>
              <m:t>k</m:t>
            </m:r>
          </m:sub>
        </m:sSub>
        <m:d>
          <m:dPr>
            <m:ctrlPr>
              <w:rPr>
                <w:rFonts w:ascii="Cambria Math" w:hAnsi="Cambria Math" w:cstheme="minorHAnsi"/>
                <w:i/>
                <w:sz w:val="24"/>
                <w:lang w:val="en-US"/>
              </w:rPr>
            </m:ctrlPr>
          </m:dPr>
          <m:e>
            <m:r>
              <m:rPr>
                <m:scr m:val="script"/>
              </m:rPr>
              <w:rPr>
                <w:rFonts w:ascii="Cambria Math" w:hAnsi="Cambria Math" w:cstheme="minorHAnsi"/>
                <w:sz w:val="24"/>
                <w:lang w:val="en-US"/>
              </w:rPr>
              <m:t>t</m:t>
            </m:r>
          </m:e>
        </m:d>
        <m:r>
          <w:rPr>
            <w:rFonts w:ascii="Cambria Math" w:hAnsi="Cambria Math" w:cstheme="minorHAnsi"/>
            <w:sz w:val="24"/>
            <w:lang w:val="en-US"/>
          </w:rPr>
          <m:t>….+</m:t>
        </m:r>
        <m:nary>
          <m:naryPr>
            <m:chr m:val="∑"/>
            <m:limLoc m:val="undOvr"/>
            <m:supHide m:val="1"/>
            <m:ctrlPr>
              <w:rPr>
                <w:rFonts w:ascii="Cambria Math" w:hAnsi="Cambria Math" w:cstheme="minorHAnsi"/>
                <w:i/>
                <w:sz w:val="24"/>
                <w:lang w:val="en-US"/>
              </w:rPr>
            </m:ctrlPr>
          </m:naryPr>
          <m:sub>
            <m:r>
              <m:rPr>
                <m:scr m:val="script"/>
              </m:rPr>
              <w:rPr>
                <w:rFonts w:ascii="Cambria Math" w:hAnsi="Cambria Math" w:cstheme="minorHAnsi"/>
                <w:sz w:val="24"/>
                <w:lang w:val="en-US"/>
              </w:rPr>
              <m:t>k</m:t>
            </m:r>
          </m:sub>
          <m:sup/>
          <m:e>
            <m:sSub>
              <m:sSubPr>
                <m:ctrlPr>
                  <w:rPr>
                    <w:rFonts w:ascii="Cambria Math" w:hAnsi="Cambria Math" w:cstheme="minorHAnsi"/>
                    <w:i/>
                    <w:sz w:val="24"/>
                    <w:lang w:val="en-US"/>
                  </w:rPr>
                </m:ctrlPr>
              </m:sSubPr>
              <m:e>
                <m:r>
                  <w:rPr>
                    <w:rFonts w:ascii="Cambria Math" w:hAnsi="Cambria Math" w:cstheme="minorHAnsi"/>
                    <w:sz w:val="24"/>
                    <w:lang w:val="en-US"/>
                  </w:rPr>
                  <m:t>d</m:t>
                </m:r>
              </m:e>
              <m:sub>
                <m:r>
                  <w:rPr>
                    <w:rFonts w:ascii="Cambria Math" w:hAnsi="Cambria Math" w:cstheme="minorHAnsi"/>
                    <w:sz w:val="24"/>
                    <w:lang w:val="en-US"/>
                  </w:rPr>
                  <m:t>J,</m:t>
                </m:r>
                <m:r>
                  <m:rPr>
                    <m:scr m:val="script"/>
                  </m:rPr>
                  <w:rPr>
                    <w:rFonts w:ascii="Cambria Math" w:hAnsi="Cambria Math" w:cstheme="minorHAnsi"/>
                    <w:sz w:val="24"/>
                    <w:lang w:val="en-US"/>
                  </w:rPr>
                  <m:t>k</m:t>
                </m:r>
              </m:sub>
            </m:sSub>
          </m:e>
        </m:nary>
        <m:sSub>
          <m:sSubPr>
            <m:ctrlPr>
              <w:rPr>
                <w:rFonts w:ascii="Cambria Math" w:hAnsi="Cambria Math" w:cstheme="minorHAnsi"/>
                <w:i/>
                <w:sz w:val="24"/>
                <w:lang w:val="en-US"/>
              </w:rPr>
            </m:ctrlPr>
          </m:sSubPr>
          <m:e>
            <m:r>
              <w:rPr>
                <w:rFonts w:ascii="Cambria Math" w:hAnsi="Cambria Math" w:cstheme="minorHAnsi"/>
                <w:sz w:val="24"/>
                <w:lang w:val="en-US"/>
              </w:rPr>
              <m:t>ψ</m:t>
            </m:r>
          </m:e>
          <m:sub>
            <m:r>
              <w:rPr>
                <w:rFonts w:ascii="Cambria Math" w:hAnsi="Cambria Math" w:cstheme="minorHAnsi"/>
                <w:sz w:val="24"/>
                <w:lang w:val="en-US"/>
              </w:rPr>
              <m:t>j,</m:t>
            </m:r>
            <m:r>
              <m:rPr>
                <m:scr m:val="script"/>
              </m:rPr>
              <w:rPr>
                <w:rFonts w:ascii="Cambria Math" w:hAnsi="Cambria Math" w:cstheme="minorHAnsi"/>
                <w:sz w:val="24"/>
                <w:lang w:val="en-US"/>
              </w:rPr>
              <m:t>k</m:t>
            </m:r>
          </m:sub>
        </m:sSub>
        <m:d>
          <m:dPr>
            <m:ctrlPr>
              <w:rPr>
                <w:rFonts w:ascii="Cambria Math" w:hAnsi="Cambria Math" w:cstheme="minorHAnsi"/>
                <w:i/>
                <w:sz w:val="24"/>
                <w:lang w:val="en-US"/>
              </w:rPr>
            </m:ctrlPr>
          </m:dPr>
          <m:e>
            <m:r>
              <m:rPr>
                <m:scr m:val="script"/>
              </m:rPr>
              <w:rPr>
                <w:rFonts w:ascii="Cambria Math" w:hAnsi="Cambria Math" w:cstheme="minorHAnsi"/>
                <w:sz w:val="24"/>
                <w:lang w:val="en-US"/>
              </w:rPr>
              <m:t>t</m:t>
            </m:r>
          </m:e>
        </m:d>
        <m:r>
          <w:rPr>
            <w:rFonts w:ascii="Cambria Math" w:hAnsi="Cambria Math" w:cstheme="minorHAnsi"/>
            <w:sz w:val="24"/>
            <w:lang w:val="en-US"/>
          </w:rPr>
          <m:t>…+</m:t>
        </m:r>
        <m:nary>
          <m:naryPr>
            <m:chr m:val="∑"/>
            <m:limLoc m:val="undOvr"/>
            <m:supHide m:val="1"/>
            <m:ctrlPr>
              <w:rPr>
                <w:rFonts w:ascii="Cambria Math" w:hAnsi="Cambria Math" w:cstheme="minorHAnsi"/>
                <w:i/>
                <w:sz w:val="24"/>
                <w:lang w:val="en-US"/>
              </w:rPr>
            </m:ctrlPr>
          </m:naryPr>
          <m:sub>
            <m:r>
              <m:rPr>
                <m:scr m:val="script"/>
              </m:rPr>
              <w:rPr>
                <w:rFonts w:ascii="Cambria Math" w:hAnsi="Cambria Math" w:cstheme="minorHAnsi"/>
                <w:sz w:val="24"/>
                <w:lang w:val="en-US"/>
              </w:rPr>
              <m:t>k</m:t>
            </m:r>
          </m:sub>
          <m:sup/>
          <m:e>
            <m:sSub>
              <m:sSubPr>
                <m:ctrlPr>
                  <w:rPr>
                    <w:rFonts w:ascii="Cambria Math" w:hAnsi="Cambria Math" w:cstheme="minorHAnsi"/>
                    <w:i/>
                    <w:sz w:val="24"/>
                    <w:lang w:val="en-US"/>
                  </w:rPr>
                </m:ctrlPr>
              </m:sSubPr>
              <m:e>
                <m:r>
                  <w:rPr>
                    <w:rFonts w:ascii="Cambria Math" w:hAnsi="Cambria Math" w:cstheme="minorHAnsi"/>
                    <w:sz w:val="24"/>
                    <w:lang w:val="en-US"/>
                  </w:rPr>
                  <m:t>d</m:t>
                </m:r>
              </m:e>
              <m:sub>
                <m:r>
                  <w:rPr>
                    <w:rFonts w:ascii="Cambria Math" w:hAnsi="Cambria Math" w:cstheme="minorHAnsi"/>
                    <w:sz w:val="24"/>
                    <w:lang w:val="en-US"/>
                  </w:rPr>
                  <m:t>1,</m:t>
                </m:r>
                <m:r>
                  <m:rPr>
                    <m:scr m:val="script"/>
                  </m:rPr>
                  <w:rPr>
                    <w:rFonts w:ascii="Cambria Math" w:hAnsi="Cambria Math" w:cstheme="minorHAnsi"/>
                    <w:sz w:val="24"/>
                    <w:lang w:val="en-US"/>
                  </w:rPr>
                  <m:t>k</m:t>
                </m:r>
              </m:sub>
            </m:sSub>
          </m:e>
        </m:nary>
        <m:sSub>
          <m:sSubPr>
            <m:ctrlPr>
              <w:rPr>
                <w:rFonts w:ascii="Cambria Math" w:hAnsi="Cambria Math" w:cstheme="minorHAnsi"/>
                <w:i/>
                <w:sz w:val="24"/>
                <w:lang w:val="en-US"/>
              </w:rPr>
            </m:ctrlPr>
          </m:sSubPr>
          <m:e>
            <m:r>
              <w:rPr>
                <w:rFonts w:ascii="Cambria Math" w:hAnsi="Cambria Math" w:cstheme="minorHAnsi"/>
                <w:sz w:val="24"/>
                <w:lang w:val="en-US"/>
              </w:rPr>
              <m:t>ψ</m:t>
            </m:r>
          </m:e>
          <m:sub>
            <m:r>
              <w:rPr>
                <w:rFonts w:ascii="Cambria Math" w:hAnsi="Cambria Math" w:cstheme="minorHAnsi"/>
                <w:sz w:val="24"/>
                <w:lang w:val="en-US"/>
              </w:rPr>
              <m:t>1,</m:t>
            </m:r>
            <m:r>
              <m:rPr>
                <m:scr m:val="script"/>
              </m:rPr>
              <w:rPr>
                <w:rFonts w:ascii="Cambria Math" w:hAnsi="Cambria Math" w:cstheme="minorHAnsi"/>
                <w:sz w:val="24"/>
                <w:lang w:val="en-US"/>
              </w:rPr>
              <m:t>k</m:t>
            </m:r>
          </m:sub>
        </m:sSub>
        <m:d>
          <m:dPr>
            <m:ctrlPr>
              <w:rPr>
                <w:rFonts w:ascii="Cambria Math" w:hAnsi="Cambria Math" w:cstheme="minorHAnsi"/>
                <w:i/>
                <w:sz w:val="24"/>
                <w:lang w:val="en-US"/>
              </w:rPr>
            </m:ctrlPr>
          </m:dPr>
          <m:e>
            <m:r>
              <m:rPr>
                <m:scr m:val="script"/>
              </m:rPr>
              <w:rPr>
                <w:rFonts w:ascii="Cambria Math" w:hAnsi="Cambria Math" w:cstheme="minorHAnsi"/>
                <w:sz w:val="24"/>
                <w:lang w:val="en-US"/>
              </w:rPr>
              <m:t>t</m:t>
            </m:r>
          </m:e>
        </m:d>
        <m:r>
          <w:rPr>
            <w:rFonts w:ascii="Cambria Math" w:hAnsi="Cambria Math" w:cstheme="minorHAnsi"/>
            <w:sz w:val="24"/>
            <w:lang w:val="en-US"/>
          </w:rPr>
          <m:t xml:space="preserve"> </m:t>
        </m:r>
      </m:oMath>
      <w:r w:rsidRPr="00CD364B">
        <w:rPr>
          <w:rFonts w:eastAsiaTheme="minorEastAsia" w:cstheme="minorHAnsi"/>
          <w:sz w:val="24"/>
          <w:lang w:val="en-US"/>
        </w:rPr>
        <w:t xml:space="preserve"> (9)</w:t>
      </w:r>
    </w:p>
    <w:p w14:paraId="221E6606" w14:textId="77777777" w:rsidR="009B5921" w:rsidRPr="00CD364B" w:rsidRDefault="009B5921" w:rsidP="00004F21">
      <w:pPr>
        <w:spacing w:after="0" w:line="360" w:lineRule="auto"/>
        <w:jc w:val="both"/>
        <w:rPr>
          <w:rFonts w:eastAsiaTheme="minorEastAsia" w:cstheme="minorHAnsi"/>
          <w:sz w:val="24"/>
          <w:lang w:val="en-US"/>
        </w:rPr>
      </w:pPr>
    </w:p>
    <w:p w14:paraId="4B85CDFE" w14:textId="033CB36C" w:rsidR="00FF344C" w:rsidRPr="00CD364B" w:rsidRDefault="00FF344C" w:rsidP="00004F21">
      <w:pPr>
        <w:spacing w:after="0" w:line="360" w:lineRule="auto"/>
        <w:jc w:val="both"/>
        <w:rPr>
          <w:rFonts w:eastAsiaTheme="minorEastAsia" w:cstheme="minorHAnsi"/>
          <w:sz w:val="24"/>
          <w:lang w:val="en-US"/>
        </w:rPr>
      </w:pPr>
      <w:r w:rsidRPr="00CD364B">
        <w:rPr>
          <w:rFonts w:eastAsiaTheme="minorEastAsia" w:cstheme="minorHAnsi"/>
          <w:sz w:val="24"/>
          <w:lang w:val="en-US"/>
        </w:rPr>
        <w:t xml:space="preserve">When we simplify Equation (5) we get </w:t>
      </w:r>
    </w:p>
    <w:p w14:paraId="4ABBF566" w14:textId="77777777" w:rsidR="009B5921" w:rsidRPr="00CD364B" w:rsidRDefault="009B5921" w:rsidP="00004F21">
      <w:pPr>
        <w:spacing w:after="0" w:line="360" w:lineRule="auto"/>
        <w:jc w:val="both"/>
        <w:rPr>
          <w:rFonts w:eastAsiaTheme="minorEastAsia" w:cstheme="minorHAnsi"/>
          <w:sz w:val="24"/>
          <w:lang w:val="en-US"/>
        </w:rPr>
      </w:pPr>
    </w:p>
    <w:p w14:paraId="673C72C5" w14:textId="77777777" w:rsidR="00FF344C" w:rsidRPr="00CD364B" w:rsidRDefault="00FF344C" w:rsidP="00CD5F46">
      <w:pPr>
        <w:spacing w:after="0" w:line="360" w:lineRule="auto"/>
        <w:ind w:firstLine="720"/>
        <w:jc w:val="both"/>
        <w:rPr>
          <w:rFonts w:eastAsiaTheme="minorEastAsia" w:cstheme="minorHAnsi"/>
          <w:sz w:val="24"/>
          <w:lang w:val="en-US"/>
        </w:rPr>
      </w:pPr>
      <w:r w:rsidRPr="00CD364B">
        <w:rPr>
          <w:rFonts w:cstheme="minorHAnsi"/>
          <w:sz w:val="24"/>
          <w:szCs w:val="24"/>
          <w:lang w:val="en-US"/>
        </w:rPr>
        <w:t xml:space="preserve"> </w:t>
      </w:r>
      <m:oMath>
        <m:r>
          <w:rPr>
            <w:rFonts w:ascii="Cambria Math" w:hAnsi="Cambria Math" w:cstheme="minorHAnsi"/>
            <w:sz w:val="24"/>
            <w:lang w:val="en-US"/>
          </w:rPr>
          <m:t>f</m:t>
        </m:r>
        <m:d>
          <m:dPr>
            <m:ctrlPr>
              <w:rPr>
                <w:rFonts w:ascii="Cambria Math" w:hAnsi="Cambria Math" w:cstheme="minorHAnsi"/>
                <w:i/>
                <w:sz w:val="24"/>
                <w:lang w:val="en-US"/>
              </w:rPr>
            </m:ctrlPr>
          </m:dPr>
          <m:e>
            <m:r>
              <m:rPr>
                <m:scr m:val="script"/>
              </m:rPr>
              <w:rPr>
                <w:rFonts w:ascii="Cambria Math" w:hAnsi="Cambria Math" w:cstheme="minorHAnsi"/>
                <w:sz w:val="24"/>
                <w:lang w:val="en-US"/>
              </w:rPr>
              <m:t>t</m:t>
            </m:r>
          </m:e>
        </m:d>
        <m:r>
          <w:rPr>
            <w:rFonts w:ascii="Cambria Math" w:hAnsi="Cambria Math" w:cstheme="minorHAnsi"/>
            <w:sz w:val="24"/>
            <w:lang w:val="en-US"/>
          </w:rPr>
          <m:t xml:space="preserve">= </m:t>
        </m:r>
        <m:sSub>
          <m:sSubPr>
            <m:ctrlPr>
              <w:rPr>
                <w:rFonts w:ascii="Cambria Math" w:hAnsi="Cambria Math" w:cstheme="minorHAnsi"/>
                <w:i/>
                <w:sz w:val="24"/>
                <w:lang w:val="en-US"/>
              </w:rPr>
            </m:ctrlPr>
          </m:sSubPr>
          <m:e>
            <m:r>
              <m:rPr>
                <m:scr m:val="script"/>
              </m:rPr>
              <w:rPr>
                <w:rFonts w:ascii="Cambria Math" w:hAnsi="Cambria Math" w:cstheme="minorHAnsi"/>
                <w:sz w:val="24"/>
                <w:lang w:val="en-US"/>
              </w:rPr>
              <m:t>S</m:t>
            </m:r>
          </m:e>
          <m:sub>
            <m:r>
              <m:rPr>
                <m:scr m:val="script"/>
              </m:rPr>
              <w:rPr>
                <w:rFonts w:ascii="Cambria Math" w:hAnsi="Cambria Math" w:cstheme="minorHAnsi"/>
                <w:sz w:val="24"/>
                <w:lang w:val="en-US"/>
              </w:rPr>
              <m:t>J</m:t>
            </m:r>
          </m:sub>
        </m:sSub>
        <m:r>
          <w:rPr>
            <w:rFonts w:ascii="Cambria Math" w:hAnsi="Cambria Math" w:cstheme="minorHAnsi"/>
            <w:sz w:val="24"/>
            <w:lang w:val="en-US"/>
          </w:rPr>
          <m:t>+</m:t>
        </m:r>
        <m:sSub>
          <m:sSubPr>
            <m:ctrlPr>
              <w:rPr>
                <w:rFonts w:ascii="Cambria Math" w:hAnsi="Cambria Math" w:cstheme="minorHAnsi"/>
                <w:i/>
                <w:sz w:val="24"/>
                <w:lang w:val="en-US"/>
              </w:rPr>
            </m:ctrlPr>
          </m:sSubPr>
          <m:e>
            <m:r>
              <m:rPr>
                <m:scr m:val="script"/>
              </m:rPr>
              <w:rPr>
                <w:rFonts w:ascii="Cambria Math" w:hAnsi="Cambria Math" w:cstheme="minorHAnsi"/>
                <w:sz w:val="24"/>
                <w:lang w:val="en-US"/>
              </w:rPr>
              <m:t>D</m:t>
            </m:r>
          </m:e>
          <m:sub>
            <m:r>
              <m:rPr>
                <m:scr m:val="script"/>
              </m:rPr>
              <w:rPr>
                <w:rFonts w:ascii="Cambria Math" w:hAnsi="Cambria Math" w:cstheme="minorHAnsi"/>
                <w:sz w:val="24"/>
                <w:lang w:val="en-US"/>
              </w:rPr>
              <m:t>J</m:t>
            </m:r>
          </m:sub>
        </m:sSub>
        <m:r>
          <w:rPr>
            <w:rFonts w:ascii="Cambria Math" w:hAnsi="Cambria Math" w:cstheme="minorHAnsi"/>
            <w:sz w:val="24"/>
            <w:lang w:val="en-US"/>
          </w:rPr>
          <m:t>+</m:t>
        </m:r>
        <m:sSub>
          <m:sSubPr>
            <m:ctrlPr>
              <w:rPr>
                <w:rFonts w:ascii="Cambria Math" w:hAnsi="Cambria Math" w:cstheme="minorHAnsi"/>
                <w:i/>
                <w:sz w:val="24"/>
                <w:lang w:val="en-US"/>
              </w:rPr>
            </m:ctrlPr>
          </m:sSubPr>
          <m:e>
            <m:r>
              <m:rPr>
                <m:scr m:val="script"/>
              </m:rPr>
              <w:rPr>
                <w:rFonts w:ascii="Cambria Math" w:hAnsi="Cambria Math" w:cstheme="minorHAnsi"/>
                <w:sz w:val="24"/>
                <w:lang w:val="en-US"/>
              </w:rPr>
              <m:t>D</m:t>
            </m:r>
          </m:e>
          <m:sub>
            <m:r>
              <m:rPr>
                <m:scr m:val="script"/>
              </m:rPr>
              <w:rPr>
                <w:rFonts w:ascii="Cambria Math" w:hAnsi="Cambria Math" w:cstheme="minorHAnsi"/>
                <w:sz w:val="24"/>
                <w:lang w:val="en-US"/>
              </w:rPr>
              <m:t>J-</m:t>
            </m:r>
            <m:r>
              <w:rPr>
                <w:rFonts w:ascii="Cambria Math" w:hAnsi="Cambria Math" w:cstheme="minorHAnsi"/>
                <w:sz w:val="24"/>
                <w:lang w:val="en-US"/>
              </w:rPr>
              <m:t>1</m:t>
            </m:r>
          </m:sub>
        </m:sSub>
        <m:r>
          <w:rPr>
            <w:rFonts w:ascii="Cambria Math" w:hAnsi="Cambria Math" w:cstheme="minorHAnsi"/>
            <w:sz w:val="24"/>
            <w:lang w:val="en-US"/>
          </w:rPr>
          <m:t>+…+</m:t>
        </m:r>
        <m:sSub>
          <m:sSubPr>
            <m:ctrlPr>
              <w:rPr>
                <w:rFonts w:ascii="Cambria Math" w:hAnsi="Cambria Math" w:cstheme="minorHAnsi"/>
                <w:i/>
                <w:sz w:val="24"/>
                <w:lang w:val="en-US"/>
              </w:rPr>
            </m:ctrlPr>
          </m:sSubPr>
          <m:e>
            <m:r>
              <m:rPr>
                <m:scr m:val="script"/>
              </m:rPr>
              <w:rPr>
                <w:rFonts w:ascii="Cambria Math" w:hAnsi="Cambria Math" w:cstheme="minorHAnsi"/>
                <w:sz w:val="24"/>
                <w:lang w:val="en-US"/>
              </w:rPr>
              <m:t>D</m:t>
            </m:r>
          </m:e>
          <m:sub>
            <m:r>
              <m:rPr>
                <m:scr m:val="script"/>
              </m:rPr>
              <w:rPr>
                <w:rFonts w:ascii="Cambria Math" w:hAnsi="Cambria Math" w:cstheme="minorHAnsi"/>
                <w:sz w:val="24"/>
                <w:lang w:val="en-US"/>
              </w:rPr>
              <m:t>j</m:t>
            </m:r>
          </m:sub>
        </m:sSub>
        <m:r>
          <w:rPr>
            <w:rFonts w:ascii="Cambria Math" w:hAnsi="Cambria Math" w:cstheme="minorHAnsi"/>
            <w:sz w:val="24"/>
            <w:lang w:val="en-US"/>
          </w:rPr>
          <m:t>+…+</m:t>
        </m:r>
        <m:sSub>
          <m:sSubPr>
            <m:ctrlPr>
              <w:rPr>
                <w:rFonts w:ascii="Cambria Math" w:hAnsi="Cambria Math" w:cstheme="minorHAnsi"/>
                <w:i/>
                <w:sz w:val="24"/>
                <w:lang w:val="en-US"/>
              </w:rPr>
            </m:ctrlPr>
          </m:sSubPr>
          <m:e>
            <m:r>
              <m:rPr>
                <m:scr m:val="script"/>
              </m:rPr>
              <w:rPr>
                <w:rFonts w:ascii="Cambria Math" w:hAnsi="Cambria Math" w:cstheme="minorHAnsi"/>
                <w:sz w:val="24"/>
                <w:lang w:val="en-US"/>
              </w:rPr>
              <m:t>D</m:t>
            </m:r>
          </m:e>
          <m:sub>
            <m:r>
              <w:rPr>
                <w:rFonts w:ascii="Cambria Math" w:hAnsi="Cambria Math" w:cstheme="minorHAnsi"/>
                <w:sz w:val="24"/>
                <w:lang w:val="en-US"/>
              </w:rPr>
              <m:t>1</m:t>
            </m:r>
          </m:sub>
        </m:sSub>
      </m:oMath>
      <w:r w:rsidRPr="00CD364B">
        <w:rPr>
          <w:rFonts w:eastAsiaTheme="minorEastAsia" w:cstheme="minorHAnsi"/>
          <w:sz w:val="24"/>
          <w:lang w:val="en-US"/>
        </w:rPr>
        <w:t xml:space="preserve">                                                                    (10)</w:t>
      </w:r>
    </w:p>
    <w:p w14:paraId="150BE62E" w14:textId="1CAA4CF3" w:rsidR="00FF344C" w:rsidRPr="00CD364B" w:rsidRDefault="00FF344C" w:rsidP="00004F21">
      <w:pPr>
        <w:spacing w:after="0" w:line="360" w:lineRule="auto"/>
        <w:jc w:val="both"/>
        <w:rPr>
          <w:rFonts w:eastAsiaTheme="minorEastAsia" w:cstheme="minorHAnsi"/>
          <w:sz w:val="24"/>
          <w:lang w:val="en-US"/>
        </w:rPr>
      </w:pPr>
      <w:r w:rsidRPr="00CD364B">
        <w:rPr>
          <w:rFonts w:eastAsiaTheme="minorEastAsia" w:cstheme="minorHAnsi"/>
          <w:sz w:val="24"/>
          <w:lang w:val="en-US"/>
        </w:rPr>
        <w:t xml:space="preserve">The orthogonal components of the </w:t>
      </w:r>
      <w:r w:rsidR="009B5921" w:rsidRPr="00CD364B">
        <w:rPr>
          <w:rFonts w:eastAsiaTheme="minorEastAsia" w:cstheme="minorHAnsi"/>
          <w:sz w:val="24"/>
          <w:lang w:val="en-US"/>
        </w:rPr>
        <w:t>above-mentioned</w:t>
      </w:r>
      <w:r w:rsidRPr="00CD364B">
        <w:rPr>
          <w:rFonts w:eastAsiaTheme="minorEastAsia" w:cstheme="minorHAnsi"/>
          <w:sz w:val="24"/>
          <w:lang w:val="en-US"/>
        </w:rPr>
        <w:t xml:space="preserve"> equation are represented as follows:</w:t>
      </w:r>
    </w:p>
    <w:p w14:paraId="154A3253" w14:textId="77777777" w:rsidR="009B5921" w:rsidRPr="00CD364B" w:rsidRDefault="009B5921" w:rsidP="00004F21">
      <w:pPr>
        <w:spacing w:after="0" w:line="360" w:lineRule="auto"/>
        <w:jc w:val="both"/>
        <w:rPr>
          <w:rFonts w:eastAsiaTheme="minorEastAsia" w:cstheme="minorHAnsi"/>
          <w:sz w:val="24"/>
          <w:lang w:val="en-US"/>
        </w:rPr>
      </w:pPr>
    </w:p>
    <w:p w14:paraId="048A3ACC" w14:textId="77777777" w:rsidR="00FF344C" w:rsidRPr="00CD364B" w:rsidRDefault="00FF344C" w:rsidP="00CD5F46">
      <w:pPr>
        <w:spacing w:after="0" w:line="360" w:lineRule="auto"/>
        <w:ind w:firstLine="720"/>
        <w:jc w:val="both"/>
        <w:rPr>
          <w:rFonts w:eastAsiaTheme="minorEastAsia" w:cstheme="minorHAnsi"/>
          <w:sz w:val="24"/>
          <w:lang w:val="en-US"/>
        </w:rPr>
      </w:pPr>
      <w:r w:rsidRPr="00CD364B">
        <w:rPr>
          <w:rFonts w:eastAsiaTheme="minorEastAsia" w:cstheme="minorHAnsi"/>
          <w:sz w:val="24"/>
          <w:lang w:val="en-US"/>
        </w:rPr>
        <w:t xml:space="preserve">   </w:t>
      </w:r>
      <m:oMath>
        <m:sSub>
          <m:sSubPr>
            <m:ctrlPr>
              <w:rPr>
                <w:rFonts w:ascii="Cambria Math" w:eastAsiaTheme="minorEastAsia" w:hAnsi="Cambria Math" w:cstheme="minorHAnsi"/>
                <w:i/>
                <w:sz w:val="24"/>
                <w:lang w:val="en-US"/>
              </w:rPr>
            </m:ctrlPr>
          </m:sSubPr>
          <m:e>
            <m:r>
              <m:rPr>
                <m:scr m:val="script"/>
              </m:rPr>
              <w:rPr>
                <w:rFonts w:ascii="Cambria Math" w:eastAsiaTheme="minorEastAsia" w:hAnsi="Cambria Math" w:cstheme="minorHAnsi"/>
                <w:sz w:val="24"/>
                <w:lang w:val="en-US"/>
              </w:rPr>
              <m:t>S</m:t>
            </m:r>
          </m:e>
          <m:sub>
            <m:r>
              <m:rPr>
                <m:scr m:val="script"/>
              </m:rPr>
              <w:rPr>
                <w:rFonts w:ascii="Cambria Math" w:eastAsiaTheme="minorEastAsia" w:hAnsi="Cambria Math" w:cstheme="minorHAnsi"/>
                <w:sz w:val="24"/>
                <w:lang w:val="en-US"/>
              </w:rPr>
              <m:t>I</m:t>
            </m:r>
          </m:sub>
        </m:sSub>
        <m:r>
          <w:rPr>
            <w:rFonts w:ascii="Cambria Math" w:eastAsiaTheme="minorEastAsia" w:hAnsi="Cambria Math" w:cstheme="minorHAnsi"/>
            <w:sz w:val="24"/>
            <w:lang w:val="en-US"/>
          </w:rPr>
          <m:t xml:space="preserve">= </m:t>
        </m:r>
        <m:nary>
          <m:naryPr>
            <m:chr m:val="∑"/>
            <m:limLoc m:val="undOvr"/>
            <m:supHide m:val="1"/>
            <m:ctrlPr>
              <w:rPr>
                <w:rFonts w:ascii="Cambria Math" w:hAnsi="Cambria Math" w:cstheme="minorHAnsi"/>
                <w:i/>
                <w:sz w:val="24"/>
                <w:lang w:val="en-US"/>
              </w:rPr>
            </m:ctrlPr>
          </m:naryPr>
          <m:sub>
            <m:r>
              <w:rPr>
                <w:rFonts w:ascii="Cambria Math" w:hAnsi="Cambria Math" w:cstheme="minorHAnsi"/>
                <w:sz w:val="24"/>
                <w:lang w:val="en-US"/>
              </w:rPr>
              <m:t>k</m:t>
            </m:r>
          </m:sub>
          <m:sup/>
          <m:e>
            <m:sSub>
              <m:sSubPr>
                <m:ctrlPr>
                  <w:rPr>
                    <w:rFonts w:ascii="Cambria Math" w:hAnsi="Cambria Math" w:cstheme="minorHAnsi"/>
                    <w:i/>
                    <w:sz w:val="24"/>
                    <w:lang w:val="en-US"/>
                  </w:rPr>
                </m:ctrlPr>
              </m:sSubPr>
              <m:e>
                <m:r>
                  <m:rPr>
                    <m:scr m:val="script"/>
                  </m:rPr>
                  <w:rPr>
                    <w:rFonts w:ascii="Cambria Math" w:hAnsi="Cambria Math" w:cstheme="minorHAnsi"/>
                    <w:sz w:val="24"/>
                    <w:lang w:val="en-US"/>
                  </w:rPr>
                  <m:t>S</m:t>
                </m:r>
              </m:e>
              <m:sub>
                <m:r>
                  <m:rPr>
                    <m:scr m:val="script"/>
                  </m:rPr>
                  <w:rPr>
                    <w:rFonts w:ascii="Cambria Math" w:hAnsi="Cambria Math" w:cstheme="minorHAnsi"/>
                    <w:sz w:val="24"/>
                    <w:lang w:val="en-US"/>
                  </w:rPr>
                  <m:t>J,</m:t>
                </m:r>
                <m:r>
                  <w:rPr>
                    <w:rFonts w:ascii="Cambria Math" w:hAnsi="Cambria Math" w:cstheme="minorHAnsi"/>
                    <w:sz w:val="24"/>
                    <w:lang w:val="en-US"/>
                  </w:rPr>
                  <m:t>k</m:t>
                </m:r>
              </m:sub>
            </m:sSub>
          </m:e>
        </m:nary>
        <m:sSub>
          <m:sSubPr>
            <m:ctrlPr>
              <w:rPr>
                <w:rFonts w:ascii="Cambria Math" w:hAnsi="Cambria Math" w:cstheme="minorHAnsi"/>
                <w:i/>
                <w:sz w:val="24"/>
                <w:lang w:val="en-US"/>
              </w:rPr>
            </m:ctrlPr>
          </m:sSubPr>
          <m:e>
            <m:r>
              <w:rPr>
                <w:rFonts w:ascii="Cambria Math" w:hAnsi="Cambria Math" w:cstheme="minorHAnsi"/>
                <w:sz w:val="24"/>
                <w:lang w:val="en-US"/>
              </w:rPr>
              <m:t>ϕ</m:t>
            </m:r>
          </m:e>
          <m:sub>
            <m:r>
              <m:rPr>
                <m:scr m:val="script"/>
              </m:rPr>
              <w:rPr>
                <w:rFonts w:ascii="Cambria Math" w:hAnsi="Cambria Math" w:cstheme="minorHAnsi"/>
                <w:sz w:val="24"/>
                <w:lang w:val="en-US"/>
              </w:rPr>
              <m:t>J,</m:t>
            </m:r>
            <m:r>
              <w:rPr>
                <w:rFonts w:ascii="Cambria Math" w:hAnsi="Cambria Math" w:cstheme="minorHAnsi"/>
                <w:sz w:val="24"/>
                <w:lang w:val="en-US"/>
              </w:rPr>
              <m:t>k</m:t>
            </m:r>
          </m:sub>
        </m:sSub>
        <m:d>
          <m:dPr>
            <m:ctrlPr>
              <w:rPr>
                <w:rFonts w:ascii="Cambria Math" w:hAnsi="Cambria Math" w:cstheme="minorHAnsi"/>
                <w:i/>
                <w:sz w:val="24"/>
                <w:lang w:val="en-US"/>
              </w:rPr>
            </m:ctrlPr>
          </m:dPr>
          <m:e>
            <m:r>
              <m:rPr>
                <m:scr m:val="script"/>
              </m:rPr>
              <w:rPr>
                <w:rFonts w:ascii="Cambria Math" w:hAnsi="Cambria Math" w:cstheme="minorHAnsi"/>
                <w:sz w:val="24"/>
                <w:lang w:val="en-US"/>
              </w:rPr>
              <m:t>t</m:t>
            </m:r>
          </m:e>
        </m:d>
      </m:oMath>
      <w:proofErr w:type="gramStart"/>
      <w:r w:rsidRPr="00CD364B">
        <w:rPr>
          <w:rFonts w:eastAsiaTheme="minorEastAsia" w:cstheme="minorHAnsi"/>
          <w:sz w:val="24"/>
          <w:lang w:val="en-US"/>
        </w:rPr>
        <w:t xml:space="preserve">,   </w:t>
      </w:r>
      <w:proofErr w:type="gramEnd"/>
      <w:r w:rsidRPr="00CD364B">
        <w:rPr>
          <w:rFonts w:eastAsiaTheme="minorEastAsia" w:cstheme="minorHAnsi"/>
          <w:sz w:val="24"/>
          <w:lang w:val="en-US"/>
        </w:rPr>
        <w:t xml:space="preserve">                                                                                                                 (11)</w:t>
      </w:r>
    </w:p>
    <w:p w14:paraId="45FE4D8B" w14:textId="77777777" w:rsidR="00FF344C" w:rsidRPr="00CD364B" w:rsidRDefault="00FF747F" w:rsidP="00CD5F46">
      <w:pPr>
        <w:spacing w:after="0" w:line="360" w:lineRule="auto"/>
        <w:ind w:firstLine="720"/>
        <w:jc w:val="both"/>
        <w:rPr>
          <w:rFonts w:eastAsiaTheme="minorEastAsia" w:cstheme="minorHAnsi"/>
          <w:sz w:val="24"/>
          <w:lang w:val="en-US"/>
        </w:rPr>
      </w:pPr>
      <m:oMath>
        <m:sSub>
          <m:sSubPr>
            <m:ctrlPr>
              <w:rPr>
                <w:rFonts w:ascii="Cambria Math" w:eastAsiaTheme="minorEastAsia" w:hAnsi="Cambria Math" w:cstheme="minorHAnsi"/>
                <w:i/>
                <w:sz w:val="24"/>
                <w:lang w:val="en-US"/>
              </w:rPr>
            </m:ctrlPr>
          </m:sSubPr>
          <m:e>
            <m:r>
              <m:rPr>
                <m:scr m:val="script"/>
              </m:rPr>
              <w:rPr>
                <w:rFonts w:ascii="Cambria Math" w:eastAsiaTheme="minorEastAsia" w:hAnsi="Cambria Math" w:cstheme="minorHAnsi"/>
                <w:sz w:val="24"/>
                <w:lang w:val="en-US"/>
              </w:rPr>
              <m:t>D</m:t>
            </m:r>
          </m:e>
          <m:sub>
            <m:r>
              <m:rPr>
                <m:scr m:val="script"/>
              </m:rPr>
              <w:rPr>
                <w:rFonts w:ascii="Cambria Math" w:eastAsiaTheme="minorEastAsia" w:hAnsi="Cambria Math" w:cstheme="minorHAnsi"/>
                <w:sz w:val="24"/>
                <w:lang w:val="en-US"/>
              </w:rPr>
              <m:t>J</m:t>
            </m:r>
          </m:sub>
        </m:sSub>
        <m:r>
          <w:rPr>
            <w:rFonts w:ascii="Cambria Math" w:eastAsiaTheme="minorEastAsia" w:hAnsi="Cambria Math" w:cstheme="minorHAnsi"/>
            <w:sz w:val="24"/>
            <w:lang w:val="en-US"/>
          </w:rPr>
          <m:t xml:space="preserve">= </m:t>
        </m:r>
        <m:nary>
          <m:naryPr>
            <m:chr m:val="∑"/>
            <m:limLoc m:val="undOvr"/>
            <m:supHide m:val="1"/>
            <m:ctrlPr>
              <w:rPr>
                <w:rFonts w:ascii="Cambria Math" w:hAnsi="Cambria Math" w:cstheme="minorHAnsi"/>
                <w:i/>
                <w:sz w:val="24"/>
                <w:lang w:val="en-US"/>
              </w:rPr>
            </m:ctrlPr>
          </m:naryPr>
          <m:sub>
            <m:r>
              <w:rPr>
                <w:rFonts w:ascii="Cambria Math" w:hAnsi="Cambria Math" w:cstheme="minorHAnsi"/>
                <w:sz w:val="24"/>
                <w:lang w:val="en-US"/>
              </w:rPr>
              <m:t>k</m:t>
            </m:r>
          </m:sub>
          <m:sup/>
          <m:e>
            <m:sSub>
              <m:sSubPr>
                <m:ctrlPr>
                  <w:rPr>
                    <w:rFonts w:ascii="Cambria Math" w:hAnsi="Cambria Math" w:cstheme="minorHAnsi"/>
                    <w:i/>
                    <w:sz w:val="24"/>
                    <w:lang w:val="en-US"/>
                  </w:rPr>
                </m:ctrlPr>
              </m:sSubPr>
              <m:e>
                <m:r>
                  <m:rPr>
                    <m:scr m:val="script"/>
                  </m:rPr>
                  <w:rPr>
                    <w:rFonts w:ascii="Cambria Math" w:hAnsi="Cambria Math" w:cstheme="minorHAnsi"/>
                    <w:sz w:val="24"/>
                    <w:lang w:val="en-US"/>
                  </w:rPr>
                  <m:t>d</m:t>
                </m:r>
              </m:e>
              <m:sub>
                <m:r>
                  <m:rPr>
                    <m:scr m:val="script"/>
                  </m:rPr>
                  <w:rPr>
                    <w:rFonts w:ascii="Cambria Math" w:hAnsi="Cambria Math" w:cstheme="minorHAnsi"/>
                    <w:sz w:val="24"/>
                    <w:lang w:val="en-US"/>
                  </w:rPr>
                  <m:t>J,</m:t>
                </m:r>
                <m:r>
                  <w:rPr>
                    <w:rFonts w:ascii="Cambria Math" w:hAnsi="Cambria Math" w:cstheme="minorHAnsi"/>
                    <w:sz w:val="24"/>
                    <w:lang w:val="en-US"/>
                  </w:rPr>
                  <m:t>k</m:t>
                </m:r>
              </m:sub>
            </m:sSub>
          </m:e>
        </m:nary>
        <m:sSub>
          <m:sSubPr>
            <m:ctrlPr>
              <w:rPr>
                <w:rFonts w:ascii="Cambria Math" w:hAnsi="Cambria Math" w:cstheme="minorHAnsi"/>
                <w:i/>
                <w:sz w:val="24"/>
                <w:lang w:val="en-US"/>
              </w:rPr>
            </m:ctrlPr>
          </m:sSubPr>
          <m:e>
            <m:r>
              <w:rPr>
                <w:rFonts w:ascii="Cambria Math" w:hAnsi="Cambria Math" w:cstheme="minorHAnsi"/>
                <w:sz w:val="24"/>
                <w:lang w:val="en-US"/>
              </w:rPr>
              <m:t>ψ</m:t>
            </m:r>
          </m:e>
          <m:sub>
            <m:r>
              <m:rPr>
                <m:scr m:val="script"/>
              </m:rPr>
              <w:rPr>
                <w:rFonts w:ascii="Cambria Math" w:hAnsi="Cambria Math" w:cstheme="minorHAnsi"/>
                <w:sz w:val="24"/>
                <w:lang w:val="en-US"/>
              </w:rPr>
              <m:t>J,</m:t>
            </m:r>
            <m:r>
              <w:rPr>
                <w:rFonts w:ascii="Cambria Math" w:hAnsi="Cambria Math" w:cstheme="minorHAnsi"/>
                <w:sz w:val="24"/>
                <w:lang w:val="en-US"/>
              </w:rPr>
              <m:t>k</m:t>
            </m:r>
          </m:sub>
        </m:sSub>
        <m:d>
          <m:dPr>
            <m:ctrlPr>
              <w:rPr>
                <w:rFonts w:ascii="Cambria Math" w:hAnsi="Cambria Math" w:cstheme="minorHAnsi"/>
                <w:i/>
                <w:sz w:val="24"/>
                <w:lang w:val="en-US"/>
              </w:rPr>
            </m:ctrlPr>
          </m:dPr>
          <m:e>
            <m:r>
              <m:rPr>
                <m:scr m:val="script"/>
              </m:rPr>
              <w:rPr>
                <w:rFonts w:ascii="Cambria Math" w:hAnsi="Cambria Math" w:cstheme="minorHAnsi"/>
                <w:sz w:val="24"/>
                <w:lang w:val="en-US"/>
              </w:rPr>
              <m:t>t</m:t>
            </m:r>
          </m:e>
        </m:d>
        <m:r>
          <w:rPr>
            <w:rFonts w:ascii="Cambria Math" w:eastAsiaTheme="minorEastAsia" w:hAnsi="Cambria Math" w:cstheme="minorHAnsi"/>
            <w:sz w:val="24"/>
            <w:lang w:val="en-US"/>
          </w:rPr>
          <m:t xml:space="preserve">. </m:t>
        </m:r>
      </m:oMath>
      <w:r w:rsidR="00FF344C" w:rsidRPr="00CD364B">
        <w:rPr>
          <w:rFonts w:eastAsiaTheme="minorEastAsia" w:cstheme="minorHAnsi"/>
          <w:sz w:val="24"/>
          <w:lang w:val="en-US"/>
        </w:rPr>
        <w:t xml:space="preserve"> j = </w:t>
      </w:r>
      <w:proofErr w:type="gramStart"/>
      <w:r w:rsidR="00FF344C" w:rsidRPr="00CD364B">
        <w:rPr>
          <w:rFonts w:eastAsiaTheme="minorEastAsia" w:cstheme="minorHAnsi"/>
          <w:sz w:val="24"/>
          <w:lang w:val="en-US"/>
        </w:rPr>
        <w:t>1,…</w:t>
      </w:r>
      <w:proofErr w:type="gramEnd"/>
      <w:r w:rsidR="00FF344C" w:rsidRPr="00CD364B">
        <w:rPr>
          <w:rFonts w:eastAsiaTheme="minorEastAsia" w:cstheme="minorHAnsi"/>
          <w:sz w:val="24"/>
          <w:lang w:val="en-US"/>
        </w:rPr>
        <w:t xml:space="preserve">.  </w:t>
      </w:r>
      <m:oMath>
        <m:r>
          <m:rPr>
            <m:scr m:val="script"/>
          </m:rPr>
          <w:rPr>
            <w:rFonts w:ascii="Cambria Math" w:hAnsi="Cambria Math" w:cstheme="minorHAnsi"/>
            <w:sz w:val="24"/>
            <w:lang w:val="en-US"/>
          </w:rPr>
          <m:t>J</m:t>
        </m:r>
      </m:oMath>
      <w:r w:rsidR="00FF344C" w:rsidRPr="00CD364B">
        <w:rPr>
          <w:rFonts w:eastAsiaTheme="minorEastAsia" w:cstheme="minorHAnsi"/>
          <w:sz w:val="24"/>
          <w:lang w:val="en-US"/>
        </w:rPr>
        <w:t xml:space="preserve">                                                                                                   (12)</w:t>
      </w:r>
    </w:p>
    <w:p w14:paraId="3917D0A5" w14:textId="77777777" w:rsidR="009B5921" w:rsidRPr="00CD364B" w:rsidRDefault="009B5921" w:rsidP="00004F21">
      <w:pPr>
        <w:spacing w:after="0" w:line="360" w:lineRule="auto"/>
        <w:jc w:val="both"/>
        <w:rPr>
          <w:rFonts w:eastAsiaTheme="minorEastAsia" w:cstheme="minorHAnsi"/>
          <w:sz w:val="24"/>
          <w:lang w:val="en-US"/>
        </w:rPr>
      </w:pPr>
    </w:p>
    <w:p w14:paraId="47F1B87E" w14:textId="4C56CD89" w:rsidR="00FF344C" w:rsidRPr="00CD364B" w:rsidRDefault="00FF344C" w:rsidP="00004F21">
      <w:pPr>
        <w:spacing w:after="0" w:line="360" w:lineRule="auto"/>
        <w:jc w:val="both"/>
        <w:rPr>
          <w:rFonts w:eastAsiaTheme="minorEastAsia" w:cstheme="minorHAnsi"/>
          <w:sz w:val="24"/>
          <w:lang w:val="en-US"/>
        </w:rPr>
      </w:pPr>
      <w:r w:rsidRPr="00CD364B">
        <w:rPr>
          <w:rFonts w:eastAsiaTheme="minorEastAsia" w:cstheme="minorHAnsi"/>
          <w:sz w:val="24"/>
          <w:lang w:val="en-US"/>
        </w:rPr>
        <w:t>The multi horizon or multi resolution decomposition of</w:t>
      </w:r>
      <w:r w:rsidR="00C73D3A" w:rsidRPr="00CD364B">
        <w:rPr>
          <w:rFonts w:eastAsiaTheme="minorEastAsia" w:cstheme="minorHAnsi"/>
          <w:sz w:val="24"/>
          <w:lang w:val="en-US"/>
        </w:rPr>
        <w:t xml:space="preserve"> </w:t>
      </w:r>
      <w:proofErr w:type="gramStart"/>
      <w:r w:rsidRPr="00CD364B">
        <w:rPr>
          <w:rFonts w:eastAsiaTheme="minorEastAsia" w:cstheme="minorHAnsi"/>
          <w:i/>
          <w:sz w:val="24"/>
          <w:lang w:val="en-US"/>
        </w:rPr>
        <w:t>f(</w:t>
      </w:r>
      <w:proofErr w:type="gramEnd"/>
      <m:oMath>
        <m:r>
          <m:rPr>
            <m:scr m:val="script"/>
            <m:sty m:val="p"/>
          </m:rPr>
          <w:rPr>
            <w:rFonts w:ascii="Cambria Math" w:eastAsiaTheme="minorEastAsia" w:hAnsi="Cambria Math" w:cstheme="minorHAnsi"/>
            <w:sz w:val="24"/>
            <w:lang w:val="en-US"/>
          </w:rPr>
          <m:t>t</m:t>
        </m:r>
      </m:oMath>
      <w:r w:rsidRPr="00CD364B">
        <w:rPr>
          <w:rFonts w:eastAsiaTheme="minorEastAsia" w:cstheme="minorHAnsi"/>
          <w:i/>
          <w:sz w:val="24"/>
          <w:lang w:val="en-US"/>
        </w:rPr>
        <w:t xml:space="preserve">) </w:t>
      </w:r>
      <w:r w:rsidRPr="00CD364B">
        <w:rPr>
          <w:rFonts w:eastAsiaTheme="minorEastAsia" w:cstheme="minorHAnsi"/>
          <w:sz w:val="24"/>
          <w:lang w:val="en-US"/>
        </w:rPr>
        <w:t xml:space="preserve">is represented as </w:t>
      </w:r>
      <w:r w:rsidRPr="00CD364B">
        <w:rPr>
          <w:rFonts w:eastAsiaTheme="minorEastAsia" w:cstheme="minorHAnsi"/>
          <w:i/>
          <w:sz w:val="24"/>
          <w:lang w:val="en-US"/>
        </w:rPr>
        <w:t>{</w:t>
      </w:r>
      <m:oMath>
        <m:r>
          <m:rPr>
            <m:scr m:val="script"/>
          </m:rPr>
          <w:rPr>
            <w:rFonts w:ascii="Cambria Math" w:eastAsiaTheme="minorEastAsia" w:hAnsi="Cambria Math" w:cstheme="minorHAnsi"/>
            <w:sz w:val="24"/>
            <w:lang w:val="en-US"/>
          </w:rPr>
          <m:t>S</m:t>
        </m:r>
      </m:oMath>
      <w:r w:rsidRPr="00CD364B">
        <w:rPr>
          <w:rFonts w:eastAsiaTheme="minorEastAsia" w:cstheme="minorHAnsi"/>
          <w:i/>
          <w:sz w:val="24"/>
          <w:vertAlign w:val="subscript"/>
          <w:lang w:val="en-US"/>
        </w:rPr>
        <w:t xml:space="preserve">J, </w:t>
      </w:r>
      <m:oMath>
        <m:sSub>
          <m:sSubPr>
            <m:ctrlPr>
              <w:rPr>
                <w:rFonts w:ascii="Cambria Math" w:hAnsi="Cambria Math" w:cstheme="minorHAnsi"/>
                <w:i/>
                <w:sz w:val="24"/>
                <w:lang w:val="en-US"/>
              </w:rPr>
            </m:ctrlPr>
          </m:sSubPr>
          <m:e>
            <m:r>
              <m:rPr>
                <m:scr m:val="script"/>
              </m:rPr>
              <w:rPr>
                <w:rFonts w:ascii="Cambria Math" w:hAnsi="Cambria Math" w:cstheme="minorHAnsi"/>
                <w:sz w:val="24"/>
                <w:lang w:val="en-US"/>
              </w:rPr>
              <m:t>D</m:t>
            </m:r>
          </m:e>
          <m:sub>
            <m:r>
              <m:rPr>
                <m:scr m:val="script"/>
              </m:rPr>
              <w:rPr>
                <w:rFonts w:ascii="Cambria Math" w:hAnsi="Cambria Math" w:cstheme="minorHAnsi"/>
                <w:sz w:val="24"/>
                <w:lang w:val="en-US"/>
              </w:rPr>
              <m:t>J-</m:t>
            </m:r>
            <m:r>
              <w:rPr>
                <w:rFonts w:ascii="Cambria Math" w:hAnsi="Cambria Math" w:cstheme="minorHAnsi"/>
                <w:sz w:val="24"/>
                <w:lang w:val="en-US"/>
              </w:rPr>
              <m:t>1</m:t>
            </m:r>
          </m:sub>
        </m:sSub>
      </m:oMath>
      <w:r w:rsidRPr="00CD364B">
        <w:rPr>
          <w:rFonts w:eastAsiaTheme="minorEastAsia" w:cstheme="minorHAnsi"/>
          <w:i/>
          <w:sz w:val="24"/>
          <w:vertAlign w:val="subscript"/>
          <w:lang w:val="en-US"/>
        </w:rPr>
        <w:t>,… ,</w:t>
      </w:r>
      <w:r w:rsidRPr="00CD364B">
        <w:rPr>
          <w:rFonts w:eastAsiaTheme="minorEastAsia" w:cstheme="minorHAnsi"/>
          <w:i/>
          <w:sz w:val="24"/>
          <w:lang w:val="en-US"/>
        </w:rPr>
        <w:t>D</w:t>
      </w:r>
      <w:r w:rsidRPr="00CD364B">
        <w:rPr>
          <w:rFonts w:eastAsiaTheme="minorEastAsia" w:cstheme="minorHAnsi"/>
          <w:i/>
          <w:sz w:val="24"/>
          <w:vertAlign w:val="subscript"/>
          <w:lang w:val="en-US"/>
        </w:rPr>
        <w:t>1</w:t>
      </w:r>
      <w:r w:rsidRPr="00CD364B">
        <w:rPr>
          <w:rFonts w:eastAsiaTheme="minorEastAsia" w:cstheme="minorHAnsi"/>
          <w:i/>
          <w:sz w:val="24"/>
          <w:lang w:val="en-US"/>
        </w:rPr>
        <w:t>}</w:t>
      </w:r>
      <w:r w:rsidRPr="00CD364B">
        <w:rPr>
          <w:rFonts w:eastAsiaTheme="minorEastAsia" w:cstheme="minorHAnsi"/>
          <w:sz w:val="24"/>
          <w:lang w:val="en-US"/>
        </w:rPr>
        <w:t>.</w:t>
      </w:r>
    </w:p>
    <w:p w14:paraId="21C359E7" w14:textId="77777777" w:rsidR="009B5921" w:rsidRPr="00CD364B" w:rsidRDefault="009B5921" w:rsidP="00004F21">
      <w:pPr>
        <w:spacing w:after="0" w:line="360" w:lineRule="auto"/>
        <w:ind w:firstLine="720"/>
        <w:jc w:val="both"/>
        <w:rPr>
          <w:rFonts w:eastAsiaTheme="minorEastAsia" w:cstheme="minorHAnsi"/>
          <w:sz w:val="24"/>
          <w:lang w:val="en-US"/>
        </w:rPr>
      </w:pPr>
    </w:p>
    <w:p w14:paraId="25B2A7FC" w14:textId="2891F33C" w:rsidR="009B5921" w:rsidRPr="00CD364B" w:rsidRDefault="00FF344C" w:rsidP="006668C1">
      <w:pPr>
        <w:spacing w:after="0" w:line="360" w:lineRule="auto"/>
        <w:ind w:firstLine="720"/>
        <w:jc w:val="both"/>
        <w:rPr>
          <w:rFonts w:eastAsiaTheme="minorEastAsia" w:cstheme="minorHAnsi"/>
          <w:sz w:val="24"/>
          <w:lang w:val="en-US"/>
        </w:rPr>
      </w:pPr>
      <w:r w:rsidRPr="00CD364B">
        <w:rPr>
          <w:rFonts w:eastAsiaTheme="minorEastAsia" w:cstheme="minorHAnsi"/>
          <w:sz w:val="24"/>
          <w:lang w:val="en-US"/>
        </w:rPr>
        <w:t xml:space="preserve">The </w:t>
      </w:r>
      <m:oMath>
        <m:r>
          <m:rPr>
            <m:scr m:val="script"/>
          </m:rPr>
          <w:rPr>
            <w:rFonts w:ascii="Cambria Math" w:hAnsi="Cambria Math" w:cstheme="minorHAnsi"/>
            <w:sz w:val="24"/>
            <w:lang w:val="en-US"/>
          </w:rPr>
          <m:t>J</m:t>
        </m:r>
      </m:oMath>
      <w:r w:rsidR="00096B1A" w:rsidRPr="00CD364B" w:rsidDel="00096B1A">
        <w:rPr>
          <w:rFonts w:eastAsiaTheme="minorEastAsia" w:cstheme="minorHAnsi"/>
          <w:sz w:val="24"/>
          <w:lang w:val="en-US"/>
        </w:rPr>
        <w:t xml:space="preserve"> </w:t>
      </w:r>
      <w:r w:rsidRPr="00CD364B">
        <w:rPr>
          <w:rFonts w:eastAsiaTheme="minorEastAsia" w:cstheme="minorHAnsi"/>
          <w:sz w:val="24"/>
          <w:lang w:val="en-US"/>
        </w:rPr>
        <w:t>th level wavelet detail related with series’ variations at scale λ</w:t>
      </w:r>
      <w:r w:rsidRPr="00CD364B">
        <w:rPr>
          <w:rFonts w:eastAsiaTheme="minorEastAsia" w:cstheme="minorHAnsi"/>
          <w:sz w:val="24"/>
          <w:vertAlign w:val="subscript"/>
          <w:lang w:val="en-US"/>
        </w:rPr>
        <w:t xml:space="preserve">j </w:t>
      </w:r>
      <w:r w:rsidRPr="00CD364B">
        <w:rPr>
          <w:rFonts w:eastAsiaTheme="minorEastAsia" w:cstheme="minorHAnsi"/>
          <w:sz w:val="24"/>
          <w:lang w:val="en-US"/>
        </w:rPr>
        <w:t xml:space="preserve">is estimated by </w:t>
      </w:r>
      <m:oMath>
        <m:sSub>
          <m:sSubPr>
            <m:ctrlPr>
              <w:rPr>
                <w:rFonts w:ascii="Cambria Math" w:hAnsi="Cambria Math" w:cstheme="minorHAnsi"/>
                <w:i/>
                <w:sz w:val="24"/>
                <w:lang w:val="en-US"/>
              </w:rPr>
            </m:ctrlPr>
          </m:sSubPr>
          <m:e>
            <m:r>
              <m:rPr>
                <m:scr m:val="script"/>
              </m:rPr>
              <w:rPr>
                <w:rFonts w:ascii="Cambria Math" w:hAnsi="Cambria Math" w:cstheme="minorHAnsi"/>
                <w:sz w:val="24"/>
                <w:lang w:val="en-US"/>
              </w:rPr>
              <m:t>D</m:t>
            </m:r>
          </m:e>
          <m:sub>
            <m:r>
              <m:rPr>
                <m:scr m:val="script"/>
              </m:rPr>
              <w:rPr>
                <w:rFonts w:ascii="Cambria Math" w:hAnsi="Cambria Math" w:cstheme="minorHAnsi"/>
                <w:sz w:val="24"/>
                <w:lang w:val="en-US"/>
              </w:rPr>
              <m:t>J</m:t>
            </m:r>
          </m:sub>
        </m:sSub>
      </m:oMath>
      <w:r w:rsidRPr="00CD364B">
        <w:rPr>
          <w:rFonts w:eastAsiaTheme="minorEastAsia" w:cstheme="minorHAnsi"/>
          <w:sz w:val="24"/>
          <w:lang w:val="en-US"/>
        </w:rPr>
        <w:t xml:space="preserve">. At each level, the cumulative sum of alterations is defined by </w:t>
      </w:r>
      <m:oMath>
        <m:sSub>
          <m:sSubPr>
            <m:ctrlPr>
              <w:rPr>
                <w:rFonts w:ascii="Cambria Math" w:hAnsi="Cambria Math" w:cstheme="minorHAnsi"/>
                <w:i/>
                <w:sz w:val="24"/>
                <w:lang w:val="en-US"/>
              </w:rPr>
            </m:ctrlPr>
          </m:sSubPr>
          <m:e>
            <m:r>
              <m:rPr>
                <m:scr m:val="script"/>
              </m:rPr>
              <w:rPr>
                <w:rFonts w:ascii="Cambria Math" w:hAnsi="Cambria Math" w:cstheme="minorHAnsi"/>
                <w:sz w:val="24"/>
                <w:lang w:val="en-US"/>
              </w:rPr>
              <m:t>S</m:t>
            </m:r>
          </m:e>
          <m:sub>
            <m:r>
              <m:rPr>
                <m:scr m:val="script"/>
              </m:rPr>
              <w:rPr>
                <w:rFonts w:ascii="Cambria Math" w:hAnsi="Cambria Math" w:cstheme="minorHAnsi"/>
                <w:sz w:val="24"/>
                <w:lang w:val="en-US"/>
              </w:rPr>
              <m:t>J</m:t>
            </m:r>
          </m:sub>
        </m:sSub>
      </m:oMath>
      <w:r w:rsidRPr="00CD364B">
        <w:rPr>
          <w:rFonts w:eastAsiaTheme="minorEastAsia" w:cstheme="minorHAnsi"/>
          <w:sz w:val="24"/>
          <w:lang w:val="en-US"/>
        </w:rPr>
        <w:t xml:space="preserve">. With the increase in </w:t>
      </w:r>
      <m:oMath>
        <m:r>
          <m:rPr>
            <m:scr m:val="script"/>
          </m:rPr>
          <w:rPr>
            <w:rFonts w:ascii="Cambria Math" w:hAnsi="Cambria Math" w:cstheme="minorHAnsi"/>
            <w:sz w:val="24"/>
            <w:lang w:val="en-US"/>
          </w:rPr>
          <m:t>J</m:t>
        </m:r>
      </m:oMath>
      <w:r w:rsidRPr="00CD364B">
        <w:rPr>
          <w:rFonts w:eastAsiaTheme="minorEastAsia" w:cstheme="minorHAnsi"/>
          <w:sz w:val="24"/>
          <w:lang w:val="en-US"/>
        </w:rPr>
        <w:t xml:space="preserve">, </w:t>
      </w:r>
      <m:oMath>
        <m:sSub>
          <m:sSubPr>
            <m:ctrlPr>
              <w:rPr>
                <w:rFonts w:ascii="Cambria Math" w:hAnsi="Cambria Math" w:cstheme="minorHAnsi"/>
                <w:i/>
                <w:sz w:val="24"/>
                <w:lang w:val="en-US"/>
              </w:rPr>
            </m:ctrlPr>
          </m:sSubPr>
          <m:e>
            <m:r>
              <m:rPr>
                <m:scr m:val="script"/>
              </m:rPr>
              <w:rPr>
                <w:rFonts w:ascii="Cambria Math" w:hAnsi="Cambria Math" w:cstheme="minorHAnsi"/>
                <w:sz w:val="24"/>
                <w:lang w:val="en-US"/>
              </w:rPr>
              <m:t>S</m:t>
            </m:r>
          </m:e>
          <m:sub>
            <m:r>
              <m:rPr>
                <m:scr m:val="script"/>
              </m:rPr>
              <w:rPr>
                <w:rFonts w:ascii="Cambria Math" w:hAnsi="Cambria Math" w:cstheme="minorHAnsi"/>
                <w:sz w:val="24"/>
                <w:lang w:val="en-US"/>
              </w:rPr>
              <m:t>J</m:t>
            </m:r>
          </m:sub>
        </m:sSub>
      </m:oMath>
      <w:r w:rsidRPr="00CD364B">
        <w:rPr>
          <w:rFonts w:eastAsiaTheme="minorEastAsia" w:cstheme="minorHAnsi"/>
          <w:sz w:val="24"/>
          <w:lang w:val="en-US"/>
        </w:rPr>
        <w:t xml:space="preserve"> becomes smoother</w:t>
      </w:r>
      <w:r w:rsidR="00C73D3A" w:rsidRPr="00CD364B">
        <w:rPr>
          <w:rFonts w:eastAsiaTheme="minorEastAsia" w:cstheme="minorHAnsi"/>
          <w:sz w:val="24"/>
          <w:lang w:val="en-US"/>
        </w:rPr>
        <w:t xml:space="preserve"> </w:t>
      </w:r>
      <w:r w:rsidRPr="00CD364B">
        <w:rPr>
          <w:rFonts w:eastAsiaTheme="minorEastAsia" w:cstheme="minorHAnsi"/>
          <w:sz w:val="24"/>
          <w:lang w:val="en-US"/>
        </w:rPr>
        <w:t xml:space="preserve">(Gencay et.al., 2002). We further estimate the scaling and wavelet coefficients by incorporating the Maximal Overlap Discrete Wavelet Transform (MODWT). Unlike Discrete Wavelet Transform (DWT), MODWT does not suffer from any limitation like linked with the sample size to an integer multiple of </w:t>
      </w:r>
      <m:oMath>
        <m:sSup>
          <m:sSupPr>
            <m:ctrlPr>
              <w:rPr>
                <w:rFonts w:ascii="Cambria Math" w:eastAsiaTheme="minorEastAsia" w:hAnsi="Cambria Math" w:cstheme="minorHAnsi"/>
                <w:i/>
                <w:sz w:val="24"/>
                <w:lang w:val="en-US"/>
              </w:rPr>
            </m:ctrlPr>
          </m:sSupPr>
          <m:e>
            <m:r>
              <w:rPr>
                <w:rFonts w:ascii="Cambria Math" w:eastAsiaTheme="minorEastAsia" w:hAnsi="Cambria Math" w:cstheme="minorHAnsi"/>
                <w:sz w:val="24"/>
                <w:lang w:val="en-US"/>
              </w:rPr>
              <m:t>2</m:t>
            </m:r>
          </m:e>
          <m:sup>
            <m:sSub>
              <m:sSubPr>
                <m:ctrlPr>
                  <w:rPr>
                    <w:rFonts w:ascii="Cambria Math" w:eastAsiaTheme="minorEastAsia" w:hAnsi="Cambria Math" w:cstheme="minorHAnsi"/>
                    <w:i/>
                    <w:sz w:val="24"/>
                    <w:lang w:val="en-US"/>
                  </w:rPr>
                </m:ctrlPr>
              </m:sSubPr>
              <m:e>
                <m:r>
                  <w:rPr>
                    <w:rFonts w:ascii="Cambria Math" w:eastAsiaTheme="minorEastAsia" w:hAnsi="Cambria Math" w:cstheme="minorHAnsi"/>
                    <w:sz w:val="24"/>
                    <w:lang w:val="en-US"/>
                  </w:rPr>
                  <m:t>J</m:t>
                </m:r>
              </m:e>
              <m:sub>
                <m:r>
                  <w:rPr>
                    <w:rFonts w:ascii="Cambria Math" w:eastAsiaTheme="minorEastAsia" w:hAnsi="Cambria Math" w:cstheme="minorHAnsi"/>
                    <w:sz w:val="24"/>
                    <w:lang w:val="en-US"/>
                  </w:rPr>
                  <m:t>0</m:t>
                </m:r>
              </m:sub>
            </m:sSub>
          </m:sup>
        </m:sSup>
      </m:oMath>
      <w:r w:rsidRPr="00CD364B">
        <w:rPr>
          <w:rFonts w:eastAsiaTheme="minorEastAsia" w:cstheme="minorHAnsi"/>
          <w:sz w:val="24"/>
          <w:lang w:val="en-US"/>
        </w:rPr>
        <w:t xml:space="preserve"> (Percival and Walden, 2000). Moreover, the detailed and smooth coefficients of MODWT are linked with zero phase filters which are instrumental in aligning the original time series features with the features of Multiple Resolution Analysis (MRA). According to Percival (1995) and Percival and Mofjeld (1997), the variance estimators derived from MODWT are also asymptomatically more efficient than of DWT derived estimators. Further unlike DWT, MODWT works with average operator and moving difference which conserves the actual number of observations at each wavelet decomposition scale.</w:t>
      </w:r>
    </w:p>
    <w:p w14:paraId="2A922D69" w14:textId="0F01E46D" w:rsidR="00FF344C" w:rsidRPr="00CD364B" w:rsidRDefault="00FF344C" w:rsidP="00004F21">
      <w:pPr>
        <w:spacing w:after="0" w:line="360" w:lineRule="auto"/>
        <w:ind w:firstLine="720"/>
        <w:jc w:val="both"/>
        <w:rPr>
          <w:rFonts w:eastAsiaTheme="minorEastAsia" w:cstheme="minorHAnsi"/>
          <w:sz w:val="24"/>
          <w:vertAlign w:val="subscript"/>
          <w:lang w:val="en-US"/>
        </w:rPr>
      </w:pPr>
      <w:r w:rsidRPr="00CD364B">
        <w:rPr>
          <w:rFonts w:eastAsiaTheme="minorEastAsia" w:cstheme="minorHAnsi"/>
          <w:sz w:val="24"/>
          <w:lang w:val="en-US"/>
        </w:rPr>
        <w:t xml:space="preserve">In the present paper, we incorporate Daubechies Least Asymmetric (LA) filter of length 8 (LA8) wavelet, which according to Gencay et.al. (2002) are considered smoother than HAAR wavelet filters. Moreover, as compared to HAAR wavelet filters, the LA8 filters provide better </w:t>
      </w:r>
      <w:r w:rsidR="009B5921" w:rsidRPr="00CD364B">
        <w:rPr>
          <w:rFonts w:eastAsiaTheme="minorEastAsia" w:cstheme="minorHAnsi"/>
          <w:sz w:val="24"/>
          <w:lang w:val="en-US"/>
        </w:rPr>
        <w:t>non</w:t>
      </w:r>
      <w:r w:rsidRPr="00CD364B">
        <w:rPr>
          <w:rFonts w:eastAsiaTheme="minorEastAsia" w:cstheme="minorHAnsi"/>
          <w:sz w:val="24"/>
          <w:lang w:val="en-US"/>
        </w:rPr>
        <w:t>-</w:t>
      </w:r>
      <w:r w:rsidR="009B5921" w:rsidRPr="00CD364B">
        <w:rPr>
          <w:rFonts w:eastAsiaTheme="minorEastAsia" w:cstheme="minorHAnsi"/>
          <w:sz w:val="24"/>
          <w:lang w:val="en-US"/>
        </w:rPr>
        <w:t>correlations</w:t>
      </w:r>
      <w:r w:rsidRPr="00CD364B">
        <w:rPr>
          <w:rFonts w:eastAsiaTheme="minorEastAsia" w:cstheme="minorHAnsi"/>
          <w:sz w:val="24"/>
          <w:lang w:val="en-US"/>
        </w:rPr>
        <w:t xml:space="preserve"> across the scales (Cornish et.al. 2006). We decompose the series into wavelet coefficients D</w:t>
      </w:r>
      <w:r w:rsidRPr="00CD364B">
        <w:rPr>
          <w:rFonts w:eastAsiaTheme="minorEastAsia" w:cstheme="minorHAnsi"/>
          <w:sz w:val="24"/>
          <w:vertAlign w:val="subscript"/>
          <w:lang w:val="en-US"/>
        </w:rPr>
        <w:t xml:space="preserve">1 </w:t>
      </w:r>
      <w:r w:rsidRPr="00CD364B">
        <w:rPr>
          <w:rFonts w:eastAsiaTheme="minorEastAsia" w:cstheme="minorHAnsi"/>
          <w:sz w:val="24"/>
          <w:lang w:val="en-US"/>
        </w:rPr>
        <w:t>to D</w:t>
      </w:r>
      <w:r w:rsidRPr="00CD364B">
        <w:rPr>
          <w:rFonts w:eastAsiaTheme="minorEastAsia" w:cstheme="minorHAnsi"/>
          <w:sz w:val="24"/>
          <w:vertAlign w:val="subscript"/>
          <w:lang w:val="en-US"/>
        </w:rPr>
        <w:t>6</w:t>
      </w:r>
      <w:r w:rsidRPr="00CD364B">
        <w:rPr>
          <w:rFonts w:eastAsiaTheme="minorEastAsia" w:cstheme="minorHAnsi"/>
          <w:sz w:val="24"/>
          <w:lang w:val="en-US"/>
        </w:rPr>
        <w:t>. The detail coefficient D</w:t>
      </w:r>
      <w:r w:rsidRPr="00CD364B">
        <w:rPr>
          <w:rFonts w:eastAsiaTheme="minorEastAsia" w:cstheme="minorHAnsi"/>
          <w:sz w:val="24"/>
          <w:vertAlign w:val="subscript"/>
          <w:lang w:val="en-US"/>
        </w:rPr>
        <w:t xml:space="preserve">j </w:t>
      </w:r>
      <w:r w:rsidRPr="00CD364B">
        <w:rPr>
          <w:rFonts w:eastAsiaTheme="minorEastAsia" w:cstheme="minorHAnsi"/>
          <w:sz w:val="24"/>
          <w:lang w:val="en-US"/>
        </w:rPr>
        <w:t>gives the resolution of data at scale 2</w:t>
      </w:r>
      <w:r w:rsidRPr="00CD364B">
        <w:rPr>
          <w:rFonts w:eastAsiaTheme="minorEastAsia" w:cstheme="minorHAnsi"/>
          <w:sz w:val="24"/>
          <w:vertAlign w:val="superscript"/>
          <w:lang w:val="en-US"/>
        </w:rPr>
        <w:t xml:space="preserve">j </w:t>
      </w:r>
      <w:r w:rsidRPr="00CD364B">
        <w:rPr>
          <w:rFonts w:eastAsiaTheme="minorEastAsia" w:cstheme="minorHAnsi"/>
          <w:sz w:val="24"/>
          <w:lang w:val="en-US"/>
        </w:rPr>
        <w:t>to 2</w:t>
      </w:r>
      <w:r w:rsidRPr="00CD364B">
        <w:rPr>
          <w:rFonts w:eastAsiaTheme="minorEastAsia" w:cstheme="minorHAnsi"/>
          <w:sz w:val="24"/>
          <w:vertAlign w:val="superscript"/>
          <w:lang w:val="en-US"/>
        </w:rPr>
        <w:t>j+1</w:t>
      </w:r>
      <w:r w:rsidRPr="00CD364B">
        <w:rPr>
          <w:rFonts w:eastAsiaTheme="minorEastAsia" w:cstheme="minorHAnsi"/>
          <w:sz w:val="24"/>
          <w:lang w:val="en-US"/>
        </w:rPr>
        <w:t>. The oscillations of periods 0-4, 4-8, 8-16, 16-32, 32-64, 64-128, days are represented by λ</w:t>
      </w:r>
      <w:r w:rsidRPr="00CD364B">
        <w:rPr>
          <w:rFonts w:eastAsiaTheme="minorEastAsia" w:cstheme="minorHAnsi"/>
          <w:sz w:val="24"/>
          <w:vertAlign w:val="subscript"/>
          <w:lang w:val="en-US"/>
        </w:rPr>
        <w:t>1</w:t>
      </w:r>
      <w:r w:rsidRPr="00CD364B">
        <w:rPr>
          <w:rFonts w:eastAsiaTheme="minorEastAsia" w:cstheme="minorHAnsi"/>
          <w:sz w:val="24"/>
          <w:lang w:val="en-US"/>
        </w:rPr>
        <w:t>, λ</w:t>
      </w:r>
      <w:r w:rsidRPr="00CD364B">
        <w:rPr>
          <w:rFonts w:eastAsiaTheme="minorEastAsia" w:cstheme="minorHAnsi"/>
          <w:sz w:val="24"/>
          <w:vertAlign w:val="subscript"/>
          <w:lang w:val="en-US"/>
        </w:rPr>
        <w:t>2</w:t>
      </w:r>
      <w:r w:rsidRPr="00CD364B">
        <w:rPr>
          <w:rFonts w:eastAsiaTheme="minorEastAsia" w:cstheme="minorHAnsi"/>
          <w:sz w:val="24"/>
          <w:lang w:val="en-US"/>
        </w:rPr>
        <w:t>, λ</w:t>
      </w:r>
      <w:r w:rsidRPr="00CD364B">
        <w:rPr>
          <w:rFonts w:eastAsiaTheme="minorEastAsia" w:cstheme="minorHAnsi"/>
          <w:sz w:val="24"/>
          <w:vertAlign w:val="subscript"/>
          <w:lang w:val="en-US"/>
        </w:rPr>
        <w:t>3</w:t>
      </w:r>
      <w:r w:rsidRPr="00CD364B">
        <w:rPr>
          <w:rFonts w:eastAsiaTheme="minorEastAsia" w:cstheme="minorHAnsi"/>
          <w:sz w:val="24"/>
          <w:lang w:val="en-US"/>
        </w:rPr>
        <w:t>, λ</w:t>
      </w:r>
      <w:r w:rsidRPr="00CD364B">
        <w:rPr>
          <w:rFonts w:eastAsiaTheme="minorEastAsia" w:cstheme="minorHAnsi"/>
          <w:sz w:val="24"/>
          <w:vertAlign w:val="subscript"/>
          <w:lang w:val="en-US"/>
        </w:rPr>
        <w:t>4</w:t>
      </w:r>
      <w:r w:rsidRPr="00CD364B">
        <w:rPr>
          <w:rFonts w:eastAsiaTheme="minorEastAsia" w:cstheme="minorHAnsi"/>
          <w:sz w:val="24"/>
          <w:lang w:val="en-US"/>
        </w:rPr>
        <w:t>, λ</w:t>
      </w:r>
      <w:r w:rsidRPr="00CD364B">
        <w:rPr>
          <w:rFonts w:eastAsiaTheme="minorEastAsia" w:cstheme="minorHAnsi"/>
          <w:sz w:val="24"/>
          <w:vertAlign w:val="subscript"/>
          <w:lang w:val="en-US"/>
        </w:rPr>
        <w:t>5</w:t>
      </w:r>
      <w:r w:rsidRPr="00CD364B">
        <w:rPr>
          <w:rFonts w:eastAsiaTheme="minorEastAsia" w:cstheme="minorHAnsi"/>
          <w:sz w:val="24"/>
          <w:lang w:val="en-US"/>
        </w:rPr>
        <w:t>, λ</w:t>
      </w:r>
      <w:r w:rsidRPr="00CD364B">
        <w:rPr>
          <w:rFonts w:eastAsiaTheme="minorEastAsia" w:cstheme="minorHAnsi"/>
          <w:sz w:val="24"/>
          <w:vertAlign w:val="subscript"/>
          <w:lang w:val="en-US"/>
        </w:rPr>
        <w:t>6</w:t>
      </w:r>
      <w:r w:rsidRPr="00CD364B">
        <w:rPr>
          <w:rFonts w:eastAsiaTheme="minorEastAsia" w:cstheme="minorHAnsi"/>
          <w:sz w:val="24"/>
          <w:lang w:val="en-US"/>
        </w:rPr>
        <w:t xml:space="preserve">, respectively. The </w:t>
      </w:r>
      <w:r w:rsidR="009B5921" w:rsidRPr="00CD364B">
        <w:rPr>
          <w:rFonts w:eastAsiaTheme="minorEastAsia" w:cstheme="minorHAnsi"/>
          <w:sz w:val="24"/>
          <w:lang w:val="en-US"/>
        </w:rPr>
        <w:t>long-term</w:t>
      </w:r>
      <w:r w:rsidRPr="00CD364B">
        <w:rPr>
          <w:rFonts w:eastAsiaTheme="minorEastAsia" w:cstheme="minorHAnsi"/>
          <w:sz w:val="24"/>
          <w:lang w:val="en-US"/>
        </w:rPr>
        <w:t xml:space="preserve"> movements are represented by wavelet smooth S</w:t>
      </w:r>
      <w:r w:rsidRPr="00CD364B">
        <w:rPr>
          <w:rFonts w:eastAsiaTheme="minorEastAsia" w:cstheme="minorHAnsi"/>
          <w:sz w:val="24"/>
          <w:vertAlign w:val="subscript"/>
          <w:lang w:val="en-US"/>
        </w:rPr>
        <w:t>6.</w:t>
      </w:r>
    </w:p>
    <w:p w14:paraId="61FF2BFC" w14:textId="77777777" w:rsidR="006668C1" w:rsidRPr="00CD364B" w:rsidRDefault="006668C1" w:rsidP="00C11EC9">
      <w:pPr>
        <w:spacing w:after="0" w:line="360" w:lineRule="auto"/>
        <w:jc w:val="both"/>
        <w:rPr>
          <w:rFonts w:eastAsiaTheme="minorEastAsia" w:cstheme="minorHAnsi"/>
          <w:sz w:val="24"/>
          <w:lang w:val="en-US"/>
        </w:rPr>
      </w:pPr>
    </w:p>
    <w:p w14:paraId="44E4E132" w14:textId="220F3D95" w:rsidR="00FF344C" w:rsidRPr="00CD364B" w:rsidRDefault="00FF344C" w:rsidP="00004F21">
      <w:pPr>
        <w:pStyle w:val="ListParagraph"/>
        <w:numPr>
          <w:ilvl w:val="1"/>
          <w:numId w:val="1"/>
        </w:numPr>
        <w:spacing w:after="0" w:line="360" w:lineRule="auto"/>
        <w:jc w:val="both"/>
        <w:rPr>
          <w:rFonts w:cstheme="minorHAnsi"/>
          <w:b/>
          <w:sz w:val="24"/>
          <w:szCs w:val="24"/>
          <w:lang w:val="en-US"/>
        </w:rPr>
      </w:pPr>
      <w:r w:rsidRPr="00CD364B">
        <w:rPr>
          <w:rFonts w:cstheme="minorHAnsi"/>
          <w:b/>
          <w:sz w:val="24"/>
          <w:szCs w:val="24"/>
          <w:lang w:val="en-US"/>
        </w:rPr>
        <w:t xml:space="preserve"> Quantile on Quantile Regression Approach</w:t>
      </w:r>
    </w:p>
    <w:p w14:paraId="32777D6C" w14:textId="77777777" w:rsidR="009B5921" w:rsidRPr="00CD364B" w:rsidRDefault="009B5921" w:rsidP="00004F21">
      <w:pPr>
        <w:spacing w:after="0" w:line="360" w:lineRule="auto"/>
        <w:jc w:val="both"/>
        <w:rPr>
          <w:rFonts w:cstheme="minorHAnsi"/>
          <w:sz w:val="24"/>
          <w:szCs w:val="24"/>
          <w:lang w:val="en-US"/>
        </w:rPr>
      </w:pPr>
    </w:p>
    <w:p w14:paraId="1BA02304" w14:textId="1AD63299" w:rsidR="00FF344C" w:rsidRPr="00CD364B" w:rsidRDefault="00FF344C" w:rsidP="006668C1">
      <w:pPr>
        <w:spacing w:after="0" w:line="360" w:lineRule="auto"/>
        <w:ind w:firstLine="720"/>
        <w:jc w:val="both"/>
        <w:rPr>
          <w:rFonts w:cstheme="minorHAnsi"/>
          <w:sz w:val="24"/>
          <w:szCs w:val="24"/>
          <w:lang w:val="en-US"/>
        </w:rPr>
      </w:pPr>
      <w:r w:rsidRPr="00CD364B">
        <w:rPr>
          <w:rFonts w:cstheme="minorHAnsi"/>
          <w:sz w:val="24"/>
          <w:szCs w:val="24"/>
          <w:lang w:val="en-US"/>
        </w:rPr>
        <w:t xml:space="preserve">The present study intends to </w:t>
      </w:r>
      <w:r w:rsidR="009B5921" w:rsidRPr="00CD364B">
        <w:rPr>
          <w:rFonts w:cstheme="minorHAnsi"/>
          <w:sz w:val="24"/>
          <w:szCs w:val="24"/>
          <w:lang w:val="en-US"/>
        </w:rPr>
        <w:t>characterize</w:t>
      </w:r>
      <w:r w:rsidRPr="00CD364B">
        <w:rPr>
          <w:rFonts w:cstheme="minorHAnsi"/>
          <w:sz w:val="24"/>
          <w:szCs w:val="24"/>
          <w:lang w:val="en-US"/>
        </w:rPr>
        <w:t xml:space="preserve"> the novel features of </w:t>
      </w:r>
      <w:r w:rsidR="0070360C" w:rsidRPr="00CD364B">
        <w:rPr>
          <w:rFonts w:cstheme="minorHAnsi"/>
          <w:sz w:val="24"/>
          <w:szCs w:val="24"/>
          <w:lang w:val="en-US"/>
        </w:rPr>
        <w:t>Quantile-on-Quantile</w:t>
      </w:r>
      <w:r w:rsidRPr="00CD364B">
        <w:rPr>
          <w:rFonts w:cstheme="minorHAnsi"/>
          <w:sz w:val="24"/>
          <w:szCs w:val="24"/>
          <w:lang w:val="en-US"/>
        </w:rPr>
        <w:t xml:space="preserve"> Regression approach introduced by Sim and Zhou (2015). The paper demonstrates bivariate linkage between Global Green Bond Index and Global Environmental and Social Responsibility Index. The </w:t>
      </w:r>
      <w:r w:rsidR="0070360C" w:rsidRPr="00CD364B">
        <w:rPr>
          <w:rFonts w:cstheme="minorHAnsi"/>
          <w:sz w:val="24"/>
          <w:szCs w:val="24"/>
          <w:lang w:val="en-US"/>
        </w:rPr>
        <w:t>Quantile-on-Quantile</w:t>
      </w:r>
      <w:r w:rsidRPr="00CD364B">
        <w:rPr>
          <w:rFonts w:cstheme="minorHAnsi"/>
          <w:sz w:val="24"/>
          <w:szCs w:val="24"/>
          <w:lang w:val="en-US"/>
        </w:rPr>
        <w:t xml:space="preserve"> Regression approach which is inclusive of Quantile Regression Approach primarily examines the effect quantiles of independent variables on the </w:t>
      </w:r>
      <w:r w:rsidRPr="00CD364B">
        <w:rPr>
          <w:rFonts w:cstheme="minorHAnsi"/>
          <w:sz w:val="24"/>
          <w:szCs w:val="24"/>
          <w:lang w:val="en-US"/>
        </w:rPr>
        <w:lastRenderedPageBreak/>
        <w:t xml:space="preserve">quantiles of dependent variables. The </w:t>
      </w:r>
      <w:r w:rsidR="0070360C" w:rsidRPr="00CD364B">
        <w:rPr>
          <w:rFonts w:cstheme="minorHAnsi"/>
          <w:sz w:val="24"/>
          <w:szCs w:val="24"/>
          <w:lang w:val="en-US"/>
        </w:rPr>
        <w:t>Quantile-on-Quantile</w:t>
      </w:r>
      <w:r w:rsidRPr="00CD364B">
        <w:rPr>
          <w:rFonts w:cstheme="minorHAnsi"/>
          <w:sz w:val="24"/>
          <w:szCs w:val="24"/>
          <w:lang w:val="en-US"/>
        </w:rPr>
        <w:t xml:space="preserve"> Regression approach integrates the features of quantile regression as well as non-parametric estimation. The conventional quantile regression approach primarily examines the influence of independent variable on the varied quantiles of dependent variable. The normal Ordinary Least Squares model estimates the conventional effect of a single quantile of an independent variable on the criterion variable. The novel Quantile on Quantile Regression approach combines both these conventional Quantile Regression and normal Ordinary Least Squares to model the inter-linkage between quantiles of both dependent and independent variables. The </w:t>
      </w:r>
      <w:r w:rsidR="0070360C" w:rsidRPr="00CD364B">
        <w:rPr>
          <w:rFonts w:cstheme="minorHAnsi"/>
          <w:sz w:val="24"/>
          <w:szCs w:val="24"/>
          <w:lang w:val="en-US"/>
        </w:rPr>
        <w:t>Quantile-on-Quantile</w:t>
      </w:r>
      <w:r w:rsidRPr="00CD364B">
        <w:rPr>
          <w:rFonts w:cstheme="minorHAnsi"/>
          <w:sz w:val="24"/>
          <w:szCs w:val="24"/>
          <w:lang w:val="en-US"/>
        </w:rPr>
        <w:t xml:space="preserve"> Regression approach which is non parametric in nature can be modelled as follows:</w:t>
      </w:r>
    </w:p>
    <w:p w14:paraId="0C3B052A" w14:textId="77777777" w:rsidR="009B5921" w:rsidRPr="00CD364B" w:rsidRDefault="009B5921" w:rsidP="00004F21">
      <w:pPr>
        <w:spacing w:after="0" w:line="360" w:lineRule="auto"/>
        <w:jc w:val="both"/>
        <w:rPr>
          <w:rFonts w:cstheme="minorHAnsi"/>
          <w:sz w:val="24"/>
          <w:szCs w:val="24"/>
          <w:lang w:val="en-US"/>
        </w:rPr>
      </w:pPr>
    </w:p>
    <w:p w14:paraId="696C20D9" w14:textId="2734F050" w:rsidR="00FF344C" w:rsidRPr="00CD364B" w:rsidRDefault="00FF747F" w:rsidP="00CD5F46">
      <w:pPr>
        <w:spacing w:after="0" w:line="360" w:lineRule="auto"/>
        <w:ind w:firstLine="720"/>
        <w:jc w:val="both"/>
        <w:rPr>
          <w:rFonts w:eastAsiaTheme="minorEastAsia" w:cstheme="minorHAnsi"/>
          <w:sz w:val="24"/>
          <w:szCs w:val="24"/>
          <w:lang w:val="en-US"/>
        </w:rPr>
      </w:pP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ESRI</m:t>
            </m:r>
          </m:e>
          <m:sub>
            <m:r>
              <m:rPr>
                <m:scr m:val="script"/>
              </m:rPr>
              <w:rPr>
                <w:rFonts w:ascii="Cambria Math" w:hAnsi="Cambria Math" w:cstheme="minorHAnsi"/>
                <w:sz w:val="24"/>
                <w:szCs w:val="24"/>
                <w:lang w:val="en-US"/>
              </w:rPr>
              <m:t>t</m:t>
            </m:r>
          </m:sub>
        </m:sSub>
        <m:r>
          <w:rPr>
            <w:rFonts w:ascii="Cambria Math" w:hAnsi="Cambria Math" w:cstheme="minorHAnsi"/>
            <w:sz w:val="24"/>
            <w:szCs w:val="24"/>
            <w:lang w:val="en-US"/>
          </w:rPr>
          <m:t xml:space="preserve">= </m:t>
        </m:r>
        <m:sSup>
          <m:sSupPr>
            <m:ctrlPr>
              <w:rPr>
                <w:rFonts w:ascii="Cambria Math" w:hAnsi="Cambria Math" w:cstheme="minorHAnsi"/>
                <w:i/>
                <w:sz w:val="24"/>
                <w:szCs w:val="24"/>
                <w:lang w:val="en-US"/>
              </w:rPr>
            </m:ctrlPr>
          </m:sSupPr>
          <m:e>
            <m:r>
              <w:rPr>
                <w:rFonts w:ascii="Cambria Math" w:hAnsi="Cambria Math" w:cstheme="minorHAnsi"/>
                <w:sz w:val="24"/>
                <w:szCs w:val="24"/>
                <w:lang w:val="en-US"/>
              </w:rPr>
              <m:t>β</m:t>
            </m:r>
          </m:e>
          <m:sup>
            <m:r>
              <w:rPr>
                <w:rFonts w:ascii="Cambria Math" w:hAnsi="Cambria Math" w:cstheme="minorHAnsi"/>
                <w:sz w:val="24"/>
                <w:szCs w:val="24"/>
                <w:lang w:val="en-US"/>
              </w:rPr>
              <m:t>ε</m:t>
            </m:r>
          </m:sup>
        </m:sSup>
        <m:sSub>
          <m:sSubPr>
            <m:ctrlPr>
              <w:rPr>
                <w:rFonts w:ascii="Cambria Math" w:hAnsi="Cambria Math" w:cstheme="minorHAnsi"/>
                <w:i/>
                <w:sz w:val="24"/>
                <w:szCs w:val="24"/>
                <w:lang w:val="en-US"/>
              </w:rPr>
            </m:ctrlPr>
          </m:sSubPr>
          <m:e>
            <m:r>
              <w:rPr>
                <w:rFonts w:ascii="Cambria Math" w:hAnsi="Cambria Math" w:cstheme="minorHAnsi"/>
                <w:sz w:val="24"/>
                <w:szCs w:val="24"/>
                <w:lang w:val="en-US"/>
              </w:rPr>
              <m:t>(GRBI</m:t>
            </m:r>
          </m:e>
          <m:sub>
            <m:r>
              <m:rPr>
                <m:scr m:val="script"/>
              </m:rPr>
              <w:rPr>
                <w:rFonts w:ascii="Cambria Math" w:hAnsi="Cambria Math" w:cstheme="minorHAnsi"/>
                <w:sz w:val="24"/>
                <w:szCs w:val="24"/>
                <w:lang w:val="en-US"/>
              </w:rPr>
              <m:t>t</m:t>
            </m:r>
          </m:sub>
        </m:sSub>
        <m:r>
          <w:rPr>
            <w:rFonts w:ascii="Cambria Math" w:hAnsi="Cambria Math" w:cstheme="minorHAnsi"/>
            <w:sz w:val="24"/>
            <w:szCs w:val="24"/>
            <w:lang w:val="en-US"/>
          </w:rPr>
          <m:t>)+</m:t>
        </m:r>
        <m:sSubSup>
          <m:sSubSupPr>
            <m:ctrlPr>
              <w:rPr>
                <w:rFonts w:ascii="Cambria Math" w:hAnsi="Cambria Math" w:cstheme="minorHAnsi"/>
                <w:i/>
                <w:sz w:val="24"/>
                <w:szCs w:val="24"/>
                <w:lang w:val="en-US"/>
              </w:rPr>
            </m:ctrlPr>
          </m:sSubSupPr>
          <m:e>
            <m:r>
              <w:rPr>
                <w:rFonts w:ascii="Cambria Math" w:hAnsi="Cambria Math" w:cstheme="minorHAnsi"/>
                <w:sz w:val="24"/>
                <w:szCs w:val="24"/>
                <w:lang w:val="en-US"/>
              </w:rPr>
              <m:t>ϑ</m:t>
            </m:r>
          </m:e>
          <m:sub>
            <m:r>
              <m:rPr>
                <m:scr m:val="script"/>
              </m:rPr>
              <w:rPr>
                <w:rFonts w:ascii="Cambria Math" w:hAnsi="Cambria Math" w:cstheme="minorHAnsi"/>
                <w:sz w:val="24"/>
                <w:szCs w:val="24"/>
                <w:lang w:val="en-US"/>
              </w:rPr>
              <m:t>t</m:t>
            </m:r>
          </m:sub>
          <m:sup>
            <m:r>
              <w:rPr>
                <w:rFonts w:ascii="Cambria Math" w:hAnsi="Cambria Math" w:cstheme="minorHAnsi"/>
                <w:sz w:val="24"/>
                <w:szCs w:val="24"/>
                <w:lang w:val="en-US"/>
              </w:rPr>
              <m:t>ε</m:t>
            </m:r>
          </m:sup>
        </m:sSubSup>
      </m:oMath>
      <w:r w:rsidR="00FF344C" w:rsidRPr="00CD364B">
        <w:rPr>
          <w:rFonts w:eastAsiaTheme="minorEastAsia" w:cstheme="minorHAnsi"/>
          <w:sz w:val="24"/>
          <w:szCs w:val="24"/>
          <w:lang w:val="en-US"/>
        </w:rPr>
        <w:t xml:space="preserve">                                                             </w:t>
      </w:r>
      <w:r w:rsidR="006668C1" w:rsidRPr="00CD364B">
        <w:rPr>
          <w:rFonts w:eastAsiaTheme="minorEastAsia" w:cstheme="minorHAnsi"/>
          <w:sz w:val="24"/>
          <w:szCs w:val="24"/>
          <w:lang w:val="en-US"/>
        </w:rPr>
        <w:t xml:space="preserve">                                </w:t>
      </w:r>
      <w:r w:rsidR="00FF344C" w:rsidRPr="00CD364B">
        <w:rPr>
          <w:rFonts w:eastAsiaTheme="minorEastAsia" w:cstheme="minorHAnsi"/>
          <w:sz w:val="24"/>
          <w:szCs w:val="24"/>
          <w:lang w:val="en-US"/>
        </w:rPr>
        <w:t xml:space="preserve">                    (1</w:t>
      </w:r>
      <w:r w:rsidR="005030A7" w:rsidRPr="00CD364B">
        <w:rPr>
          <w:rFonts w:eastAsiaTheme="minorEastAsia" w:cstheme="minorHAnsi"/>
          <w:sz w:val="24"/>
          <w:szCs w:val="24"/>
          <w:lang w:val="en-US"/>
        </w:rPr>
        <w:t>3</w:t>
      </w:r>
      <w:r w:rsidR="00FF344C" w:rsidRPr="00CD364B">
        <w:rPr>
          <w:rFonts w:eastAsiaTheme="minorEastAsia" w:cstheme="minorHAnsi"/>
          <w:sz w:val="24"/>
          <w:szCs w:val="24"/>
          <w:lang w:val="en-US"/>
        </w:rPr>
        <w:t>)</w:t>
      </w:r>
    </w:p>
    <w:p w14:paraId="2E3AC965" w14:textId="77777777" w:rsidR="009B5921" w:rsidRPr="00CD364B" w:rsidRDefault="009B5921" w:rsidP="00004F21">
      <w:pPr>
        <w:spacing w:after="0" w:line="360" w:lineRule="auto"/>
        <w:ind w:firstLine="720"/>
        <w:jc w:val="both"/>
        <w:rPr>
          <w:rFonts w:cstheme="minorHAnsi"/>
          <w:sz w:val="24"/>
          <w:szCs w:val="24"/>
          <w:lang w:val="en-US"/>
        </w:rPr>
      </w:pPr>
    </w:p>
    <w:p w14:paraId="45ED0852" w14:textId="7997BC67" w:rsidR="009B5921" w:rsidRPr="00CD364B" w:rsidRDefault="00FF344C" w:rsidP="006668C1">
      <w:pPr>
        <w:spacing w:after="0" w:line="360" w:lineRule="auto"/>
        <w:ind w:firstLine="720"/>
        <w:jc w:val="both"/>
        <w:rPr>
          <w:rFonts w:cstheme="minorHAnsi"/>
          <w:sz w:val="24"/>
          <w:szCs w:val="24"/>
          <w:lang w:val="en-US"/>
        </w:rPr>
      </w:pPr>
      <w:r w:rsidRPr="00CD364B">
        <w:rPr>
          <w:rFonts w:cstheme="minorHAnsi"/>
          <w:sz w:val="24"/>
          <w:szCs w:val="24"/>
          <w:lang w:val="en-US"/>
        </w:rPr>
        <w:t xml:space="preserve">The Green Bond Index and Environmental and Social Responsibility Index at a particular time t are represented by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GRBI</m:t>
            </m:r>
          </m:e>
          <m:sub>
            <m:r>
              <m:rPr>
                <m:scr m:val="script"/>
              </m:rPr>
              <w:rPr>
                <w:rFonts w:ascii="Cambria Math" w:hAnsi="Cambria Math" w:cstheme="minorHAnsi"/>
                <w:sz w:val="24"/>
                <w:szCs w:val="24"/>
                <w:lang w:val="en-US"/>
              </w:rPr>
              <m:t>t</m:t>
            </m:r>
          </m:sub>
        </m:sSub>
      </m:oMath>
      <w:r w:rsidRPr="00CD364B">
        <w:rPr>
          <w:rFonts w:eastAsiaTheme="minorEastAsia" w:cstheme="minorHAnsi"/>
          <w:sz w:val="24"/>
          <w:szCs w:val="24"/>
          <w:lang w:val="en-US"/>
        </w:rPr>
        <w:t xml:space="preserve"> and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ESRI</m:t>
            </m:r>
          </m:e>
          <m:sub>
            <m:r>
              <m:rPr>
                <m:scr m:val="script"/>
              </m:rPr>
              <w:rPr>
                <w:rFonts w:ascii="Cambria Math" w:hAnsi="Cambria Math" w:cstheme="minorHAnsi"/>
                <w:sz w:val="24"/>
                <w:szCs w:val="24"/>
                <w:lang w:val="en-US"/>
              </w:rPr>
              <m:t>t</m:t>
            </m:r>
          </m:sub>
        </m:sSub>
      </m:oMath>
      <w:r w:rsidRPr="00CD364B">
        <w:rPr>
          <w:rFonts w:eastAsiaTheme="minorEastAsia" w:cstheme="minorHAnsi"/>
          <w:sz w:val="24"/>
          <w:szCs w:val="24"/>
          <w:lang w:val="en-US"/>
        </w:rPr>
        <w:t xml:space="preserve"> respectively. </w:t>
      </w:r>
      <m:oMath>
        <m:r>
          <w:rPr>
            <w:rFonts w:ascii="Cambria Math" w:hAnsi="Cambria Math" w:cstheme="minorHAnsi"/>
            <w:sz w:val="24"/>
            <w:szCs w:val="24"/>
            <w:lang w:val="en-US"/>
          </w:rPr>
          <m:t>ε</m:t>
        </m:r>
      </m:oMath>
      <w:r w:rsidRPr="00CD364B">
        <w:rPr>
          <w:rFonts w:eastAsiaTheme="minorEastAsia" w:cstheme="minorHAnsi"/>
          <w:sz w:val="24"/>
          <w:szCs w:val="24"/>
          <w:lang w:val="en-US"/>
        </w:rPr>
        <w:t xml:space="preserve"> indicate </w:t>
      </w:r>
      <m:oMath>
        <m:r>
          <w:rPr>
            <w:rFonts w:ascii="Cambria Math" w:hAnsi="Cambria Math" w:cstheme="minorHAnsi"/>
            <w:sz w:val="24"/>
            <w:szCs w:val="24"/>
            <w:lang w:val="en-US"/>
          </w:rPr>
          <m:t>ε</m:t>
        </m:r>
      </m:oMath>
      <w:r w:rsidRPr="00CD364B">
        <w:rPr>
          <w:rFonts w:eastAsiaTheme="minorEastAsia" w:cstheme="minorHAnsi"/>
          <w:sz w:val="24"/>
          <w:szCs w:val="24"/>
          <w:lang w:val="en-US"/>
        </w:rPr>
        <w:t xml:space="preserve">th quantile of the </w:t>
      </w:r>
      <w:r w:rsidRPr="00CD364B">
        <w:rPr>
          <w:rFonts w:cstheme="minorHAnsi"/>
          <w:sz w:val="24"/>
          <w:szCs w:val="24"/>
          <w:lang w:val="en-US"/>
        </w:rPr>
        <w:t xml:space="preserve">conditional distribution growth of Environmental and Social Responsibility Index. The </w:t>
      </w:r>
      <m:oMath>
        <m:r>
          <w:rPr>
            <w:rFonts w:ascii="Cambria Math" w:hAnsi="Cambria Math" w:cstheme="minorHAnsi"/>
            <w:sz w:val="24"/>
            <w:szCs w:val="24"/>
            <w:lang w:val="en-US"/>
          </w:rPr>
          <m:t>ε</m:t>
        </m:r>
      </m:oMath>
      <w:r w:rsidRPr="00CD364B">
        <w:rPr>
          <w:rFonts w:eastAsia="Times New Roman,Italic" w:cstheme="minorHAnsi"/>
          <w:i/>
          <w:iCs/>
          <w:sz w:val="24"/>
          <w:szCs w:val="24"/>
          <w:lang w:val="en-US"/>
        </w:rPr>
        <w:t xml:space="preserve">th </w:t>
      </w:r>
      <w:r w:rsidRPr="00CD364B">
        <w:rPr>
          <w:rFonts w:cstheme="minorHAnsi"/>
          <w:sz w:val="24"/>
          <w:szCs w:val="24"/>
          <w:lang w:val="en-US"/>
        </w:rPr>
        <w:t>quantile of the conditional distribution growth of Environmental and Social Responsibility Index is indicated by</w:t>
      </w:r>
      <m:oMath>
        <m:r>
          <w:rPr>
            <w:rFonts w:ascii="Cambria Math" w:hAnsi="Cambria Math" w:cstheme="minorHAnsi"/>
            <w:sz w:val="24"/>
            <w:szCs w:val="24"/>
            <w:lang w:val="en-US"/>
          </w:rPr>
          <m:t>ε</m:t>
        </m:r>
      </m:oMath>
      <w:r w:rsidRPr="00CD364B">
        <w:rPr>
          <w:rFonts w:cstheme="minorHAnsi"/>
          <w:sz w:val="24"/>
          <w:szCs w:val="24"/>
          <w:lang w:val="en-US"/>
        </w:rPr>
        <w:t xml:space="preserve">. We indicate quantile residual term having </w:t>
      </w:r>
      <m:oMath>
        <m:r>
          <w:rPr>
            <w:rFonts w:ascii="Cambria Math" w:hAnsi="Cambria Math" w:cstheme="minorHAnsi"/>
            <w:sz w:val="24"/>
            <w:szCs w:val="24"/>
            <w:lang w:val="en-US"/>
          </w:rPr>
          <m:t>ε</m:t>
        </m:r>
      </m:oMath>
      <w:r w:rsidRPr="00CD364B">
        <w:rPr>
          <w:rFonts w:eastAsia="Times New Roman,Italic" w:cstheme="minorHAnsi"/>
          <w:i/>
          <w:iCs/>
          <w:sz w:val="24"/>
          <w:szCs w:val="24"/>
          <w:lang w:val="en-US"/>
        </w:rPr>
        <w:t xml:space="preserve">th </w:t>
      </w:r>
      <w:r w:rsidRPr="00CD364B">
        <w:rPr>
          <w:rFonts w:cstheme="minorHAnsi"/>
          <w:sz w:val="24"/>
          <w:szCs w:val="24"/>
          <w:lang w:val="en-US"/>
        </w:rPr>
        <w:t xml:space="preserve">quantile with zero value with </w:t>
      </w:r>
      <m:oMath>
        <m:sSubSup>
          <m:sSubSupPr>
            <m:ctrlPr>
              <w:rPr>
                <w:rFonts w:ascii="Cambria Math" w:hAnsi="Cambria Math" w:cstheme="minorHAnsi"/>
                <w:i/>
                <w:sz w:val="24"/>
                <w:szCs w:val="24"/>
                <w:lang w:val="en-US"/>
              </w:rPr>
            </m:ctrlPr>
          </m:sSubSupPr>
          <m:e>
            <m:r>
              <w:rPr>
                <w:rFonts w:ascii="Cambria Math" w:hAnsi="Cambria Math" w:cstheme="minorHAnsi"/>
                <w:sz w:val="24"/>
                <w:szCs w:val="24"/>
                <w:lang w:val="en-US"/>
              </w:rPr>
              <m:t>ϑ</m:t>
            </m:r>
          </m:e>
          <m:sub>
            <m:r>
              <m:rPr>
                <m:scr m:val="script"/>
              </m:rPr>
              <w:rPr>
                <w:rFonts w:ascii="Cambria Math" w:hAnsi="Cambria Math" w:cstheme="minorHAnsi"/>
                <w:sz w:val="24"/>
                <w:szCs w:val="24"/>
                <w:lang w:val="en-US"/>
              </w:rPr>
              <m:t>t</m:t>
            </m:r>
          </m:sub>
          <m:sup>
            <m:r>
              <w:rPr>
                <w:rFonts w:ascii="Cambria Math" w:hAnsi="Cambria Math" w:cstheme="minorHAnsi"/>
                <w:sz w:val="24"/>
                <w:szCs w:val="24"/>
                <w:lang w:val="en-US"/>
              </w:rPr>
              <m:t>ε</m:t>
            </m:r>
          </m:sup>
        </m:sSubSup>
      </m:oMath>
      <w:r w:rsidRPr="00CD364B">
        <w:rPr>
          <w:rFonts w:eastAsiaTheme="minorEastAsia" w:cstheme="minorHAnsi"/>
          <w:sz w:val="24"/>
          <w:szCs w:val="24"/>
          <w:lang w:val="en-US"/>
        </w:rPr>
        <w:t xml:space="preserve">. </w:t>
      </w:r>
      <m:oMath>
        <m:sSup>
          <m:sSupPr>
            <m:ctrlPr>
              <w:rPr>
                <w:rFonts w:ascii="Cambria Math" w:hAnsi="Cambria Math" w:cstheme="minorHAnsi"/>
                <w:i/>
                <w:sz w:val="24"/>
                <w:szCs w:val="24"/>
                <w:lang w:val="en-US"/>
              </w:rPr>
            </m:ctrlPr>
          </m:sSupPr>
          <m:e>
            <m:r>
              <w:rPr>
                <w:rFonts w:ascii="Cambria Math" w:hAnsi="Cambria Math" w:cstheme="minorHAnsi"/>
                <w:sz w:val="24"/>
                <w:szCs w:val="24"/>
                <w:lang w:val="en-US"/>
              </w:rPr>
              <m:t>β</m:t>
            </m:r>
          </m:e>
          <m:sup>
            <m:r>
              <w:rPr>
                <w:rFonts w:ascii="Cambria Math" w:hAnsi="Cambria Math" w:cstheme="minorHAnsi"/>
                <w:sz w:val="24"/>
                <w:szCs w:val="24"/>
                <w:lang w:val="en-US"/>
              </w:rPr>
              <m:t>ε</m:t>
            </m:r>
          </m:sup>
        </m:sSup>
        <m:r>
          <w:rPr>
            <w:rFonts w:ascii="Cambria Math" w:hAnsi="Cambria Math" w:cstheme="minorHAnsi"/>
            <w:sz w:val="24"/>
            <w:szCs w:val="24"/>
            <w:lang w:val="en-US"/>
          </w:rPr>
          <m:t>(.)</m:t>
        </m:r>
      </m:oMath>
      <w:r w:rsidRPr="00CD364B">
        <w:rPr>
          <w:rFonts w:eastAsiaTheme="minorEastAsia" w:cstheme="minorHAnsi"/>
          <w:sz w:val="24"/>
          <w:szCs w:val="24"/>
          <w:lang w:val="en-US"/>
        </w:rPr>
        <w:t xml:space="preserve"> represent the unidentified function with no prior information on inter-relationship between the variables taken under study. The </w:t>
      </w:r>
      <w:r w:rsidR="0070360C" w:rsidRPr="00CD364B">
        <w:rPr>
          <w:rFonts w:eastAsiaTheme="minorEastAsia" w:cstheme="minorHAnsi"/>
          <w:sz w:val="24"/>
          <w:szCs w:val="24"/>
          <w:lang w:val="en-US"/>
        </w:rPr>
        <w:t>Quantile-on-Quantile</w:t>
      </w:r>
      <w:r w:rsidRPr="00CD364B">
        <w:rPr>
          <w:rFonts w:eastAsiaTheme="minorEastAsia" w:cstheme="minorHAnsi"/>
          <w:sz w:val="24"/>
          <w:szCs w:val="24"/>
          <w:lang w:val="en-US"/>
        </w:rPr>
        <w:t xml:space="preserve"> Regression model is flexible enough to explore and examine the extent of dependency between the variables in their functional form. </w:t>
      </w:r>
    </w:p>
    <w:p w14:paraId="09DB4F6D" w14:textId="59F9F4C1" w:rsidR="009B5921" w:rsidRPr="00CD364B" w:rsidRDefault="00FF344C" w:rsidP="00004F21">
      <w:pPr>
        <w:spacing w:after="0" w:line="360" w:lineRule="auto"/>
        <w:ind w:firstLine="720"/>
        <w:jc w:val="both"/>
        <w:rPr>
          <w:rFonts w:cstheme="minorHAnsi"/>
          <w:sz w:val="24"/>
          <w:szCs w:val="24"/>
          <w:lang w:val="en-US"/>
        </w:rPr>
      </w:pPr>
      <w:r w:rsidRPr="00CD364B">
        <w:rPr>
          <w:rFonts w:cstheme="minorHAnsi"/>
          <w:sz w:val="24"/>
          <w:szCs w:val="24"/>
          <w:lang w:val="en-US"/>
        </w:rPr>
        <w:t xml:space="preserve">Since the bandwidth controls the smoothness of the estimated results its optimal choice is highly imperative for any non-parametric analysis. In specific terms, larger the bandwidth, stronger the bias and smaller the bandwidth, more prevalence of variance in the estimations. </w:t>
      </w:r>
      <w:r w:rsidR="008E0023" w:rsidRPr="00CD364B">
        <w:rPr>
          <w:rFonts w:cstheme="minorHAnsi"/>
          <w:sz w:val="24"/>
          <w:szCs w:val="24"/>
          <w:lang w:val="en-US"/>
        </w:rPr>
        <w:t>Thus,</w:t>
      </w:r>
      <w:r w:rsidRPr="00CD364B">
        <w:rPr>
          <w:rFonts w:cstheme="minorHAnsi"/>
          <w:sz w:val="24"/>
          <w:szCs w:val="24"/>
          <w:lang w:val="en-US"/>
        </w:rPr>
        <w:t xml:space="preserve"> an optimal balance between the bias and the variance in the estimations can be ensured through effective and efficient choice of bandwidth. The present study follows Sim and Zhou (2015) while selecting the bandwidth parameter of h = 0.05.</w:t>
      </w:r>
    </w:p>
    <w:p w14:paraId="3548028A" w14:textId="3164FA19" w:rsidR="00FF344C" w:rsidRPr="00CD364B" w:rsidRDefault="00FF344C" w:rsidP="00004F21">
      <w:pPr>
        <w:spacing w:after="0" w:line="360" w:lineRule="auto"/>
        <w:ind w:firstLine="720"/>
        <w:jc w:val="both"/>
        <w:rPr>
          <w:rFonts w:cstheme="minorHAnsi"/>
          <w:sz w:val="24"/>
          <w:szCs w:val="24"/>
          <w:lang w:val="en-US"/>
        </w:rPr>
      </w:pPr>
      <w:r w:rsidRPr="00CD364B">
        <w:rPr>
          <w:rFonts w:cstheme="minorHAnsi"/>
          <w:sz w:val="24"/>
          <w:szCs w:val="24"/>
          <w:lang w:val="en-US"/>
        </w:rPr>
        <w:t xml:space="preserve"> </w:t>
      </w:r>
    </w:p>
    <w:p w14:paraId="26962D98" w14:textId="0AD8655F" w:rsidR="00FF344C" w:rsidRPr="00CD364B" w:rsidRDefault="00FF344C" w:rsidP="00004F21">
      <w:pPr>
        <w:pStyle w:val="ListParagraph"/>
        <w:numPr>
          <w:ilvl w:val="1"/>
          <w:numId w:val="1"/>
        </w:numPr>
        <w:autoSpaceDE w:val="0"/>
        <w:autoSpaceDN w:val="0"/>
        <w:adjustRightInd w:val="0"/>
        <w:spacing w:after="0" w:line="360" w:lineRule="auto"/>
        <w:jc w:val="both"/>
        <w:rPr>
          <w:rFonts w:eastAsiaTheme="minorEastAsia" w:cstheme="minorHAnsi"/>
          <w:b/>
          <w:sz w:val="24"/>
          <w:szCs w:val="24"/>
          <w:lang w:val="en-US"/>
        </w:rPr>
      </w:pPr>
      <w:r w:rsidRPr="00CD364B">
        <w:rPr>
          <w:rFonts w:eastAsiaTheme="minorEastAsia" w:cstheme="minorHAnsi"/>
          <w:b/>
          <w:sz w:val="24"/>
          <w:szCs w:val="24"/>
          <w:lang w:val="en-US"/>
        </w:rPr>
        <w:t xml:space="preserve"> Granger Causality in Mean and Quantiles Approach</w:t>
      </w:r>
    </w:p>
    <w:p w14:paraId="2AB5AB2E" w14:textId="77777777" w:rsidR="009C226A" w:rsidRPr="00CD364B" w:rsidRDefault="009C226A" w:rsidP="00004F21">
      <w:pPr>
        <w:autoSpaceDE w:val="0"/>
        <w:autoSpaceDN w:val="0"/>
        <w:adjustRightInd w:val="0"/>
        <w:spacing w:after="0" w:line="360" w:lineRule="auto"/>
        <w:jc w:val="both"/>
        <w:rPr>
          <w:rFonts w:eastAsiaTheme="minorEastAsia" w:cstheme="minorHAnsi"/>
          <w:b/>
          <w:sz w:val="24"/>
          <w:szCs w:val="24"/>
          <w:lang w:val="en-US"/>
        </w:rPr>
      </w:pPr>
    </w:p>
    <w:p w14:paraId="6A5FE24E" w14:textId="62AEFD3C" w:rsidR="00FF344C" w:rsidRPr="00CD364B" w:rsidRDefault="00FF344C" w:rsidP="006668C1">
      <w:pPr>
        <w:autoSpaceDE w:val="0"/>
        <w:autoSpaceDN w:val="0"/>
        <w:adjustRightInd w:val="0"/>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We further extend the present research by examining the Granger Causality in the quantiles of Green Bond Index and Environmental and Social Responsibility Index. In terms of </w:t>
      </w:r>
      <w:r w:rsidRPr="00CD364B">
        <w:rPr>
          <w:rFonts w:eastAsiaTheme="minorEastAsia" w:cstheme="minorHAnsi"/>
          <w:sz w:val="24"/>
          <w:szCs w:val="24"/>
          <w:lang w:val="en-US"/>
        </w:rPr>
        <w:lastRenderedPageBreak/>
        <w:t xml:space="preserve">Granger (1969), a particular time series </w:t>
      </w:r>
      <m:oMath>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X</m:t>
            </m:r>
          </m:e>
          <m:sub>
            <m:r>
              <w:rPr>
                <w:rFonts w:ascii="Cambria Math" w:eastAsiaTheme="minorEastAsia" w:hAnsi="Cambria Math" w:cstheme="minorHAnsi"/>
                <w:sz w:val="24"/>
                <w:szCs w:val="24"/>
                <w:lang w:val="en-US"/>
              </w:rPr>
              <m:t>i</m:t>
            </m:r>
          </m:sub>
        </m:sSub>
      </m:oMath>
      <w:r w:rsidRPr="00CD364B">
        <w:rPr>
          <w:rFonts w:eastAsiaTheme="minorEastAsia" w:cstheme="minorHAnsi"/>
          <w:sz w:val="24"/>
          <w:szCs w:val="24"/>
          <w:lang w:val="en-US"/>
        </w:rPr>
        <w:t xml:space="preserve"> does not Granger Cause another time series</w:t>
      </w:r>
      <m:oMath>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 xml:space="preserve"> Z</m:t>
            </m:r>
          </m:e>
          <m:sub>
            <m:r>
              <w:rPr>
                <w:rFonts w:ascii="Cambria Math" w:eastAsiaTheme="minorEastAsia" w:hAnsi="Cambria Math" w:cstheme="minorHAnsi"/>
                <w:sz w:val="24"/>
                <w:szCs w:val="24"/>
                <w:lang w:val="en-US"/>
              </w:rPr>
              <m:t>i</m:t>
            </m:r>
          </m:sub>
        </m:sSub>
      </m:oMath>
      <w:r w:rsidRPr="00CD364B">
        <w:rPr>
          <w:rFonts w:eastAsiaTheme="minorEastAsia" w:cstheme="minorHAnsi"/>
          <w:sz w:val="24"/>
          <w:szCs w:val="24"/>
          <w:lang w:val="en-US"/>
        </w:rPr>
        <w:t xml:space="preserve">, else earlier </w:t>
      </w:r>
      <m:oMath>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X</m:t>
            </m:r>
          </m:e>
          <m:sub>
            <m:r>
              <w:rPr>
                <w:rFonts w:ascii="Cambria Math" w:eastAsiaTheme="minorEastAsia" w:hAnsi="Cambria Math" w:cstheme="minorHAnsi"/>
                <w:sz w:val="24"/>
                <w:szCs w:val="24"/>
                <w:lang w:val="en-US"/>
              </w:rPr>
              <m:t>i</m:t>
            </m:r>
          </m:sub>
        </m:sSub>
      </m:oMath>
      <w:r w:rsidRPr="00CD364B">
        <w:rPr>
          <w:rFonts w:eastAsiaTheme="minorEastAsia" w:cstheme="minorHAnsi"/>
          <w:sz w:val="24"/>
          <w:szCs w:val="24"/>
          <w:lang w:val="en-US"/>
        </w:rPr>
        <w:t xml:space="preserve"> has not been instrumental in </w:t>
      </w:r>
      <w:r w:rsidR="002A1839" w:rsidRPr="00CD364B">
        <w:rPr>
          <w:rFonts w:eastAsiaTheme="minorEastAsia" w:cstheme="minorHAnsi"/>
          <w:sz w:val="24"/>
          <w:szCs w:val="24"/>
          <w:lang w:val="en-US"/>
        </w:rPr>
        <w:t>forecasting</w:t>
      </w:r>
      <m:oMath>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 xml:space="preserve"> Z</m:t>
            </m:r>
          </m:e>
          <m:sub>
            <m:r>
              <w:rPr>
                <w:rFonts w:ascii="Cambria Math" w:eastAsiaTheme="minorEastAsia" w:hAnsi="Cambria Math" w:cstheme="minorHAnsi"/>
                <w:sz w:val="24"/>
                <w:szCs w:val="24"/>
                <w:lang w:val="en-US"/>
              </w:rPr>
              <m:t>i</m:t>
            </m:r>
          </m:sub>
        </m:sSub>
      </m:oMath>
      <w:r w:rsidRPr="00CD364B">
        <w:rPr>
          <w:rFonts w:eastAsiaTheme="minorEastAsia" w:cstheme="minorHAnsi"/>
          <w:sz w:val="24"/>
          <w:szCs w:val="24"/>
          <w:lang w:val="en-US"/>
        </w:rPr>
        <w:t xml:space="preserve">. Let us suppose there is a describing vector </w:t>
      </w:r>
      <m:oMath>
        <m:sSup>
          <m:sSupPr>
            <m:ctrlPr>
              <w:rPr>
                <w:rFonts w:ascii="Cambria Math" w:eastAsiaTheme="minorEastAsia" w:hAnsi="Cambria Math" w:cstheme="minorHAnsi"/>
                <w:i/>
                <w:sz w:val="24"/>
                <w:szCs w:val="24"/>
                <w:lang w:val="en-US"/>
              </w:rPr>
            </m:ctrlPr>
          </m:sSupPr>
          <m:e>
            <m:d>
              <m:dPr>
                <m:ctrlPr>
                  <w:rPr>
                    <w:rFonts w:ascii="Cambria Math" w:eastAsiaTheme="minorEastAsia" w:hAnsi="Cambria Math" w:cstheme="minorHAnsi"/>
                    <w:i/>
                    <w:sz w:val="24"/>
                    <w:szCs w:val="24"/>
                    <w:lang w:val="en-US"/>
                  </w:rPr>
                </m:ctrlPr>
              </m:dPr>
              <m:e>
                <m:sSub>
                  <m:sSubPr>
                    <m:ctrlPr>
                      <w:rPr>
                        <w:rFonts w:ascii="Cambria Math" w:hAnsi="Cambria Math" w:cstheme="minorHAnsi"/>
                        <w:i/>
                        <w:sz w:val="24"/>
                        <w:szCs w:val="24"/>
                        <w:lang w:val="en-US"/>
                      </w:rPr>
                    </m:ctrlPr>
                  </m:sSubPr>
                  <m:e>
                    <m:r>
                      <m:rPr>
                        <m:scr m:val="script"/>
                      </m:rPr>
                      <w:rPr>
                        <w:rFonts w:ascii="Cambria Math" w:hAnsi="Cambria Math" w:cstheme="minorHAnsi"/>
                        <w:sz w:val="24"/>
                        <w:szCs w:val="24"/>
                        <w:lang w:val="en-US"/>
                      </w:rPr>
                      <m:t>M</m:t>
                    </m:r>
                  </m:e>
                  <m:sub>
                    <m:r>
                      <m:rPr>
                        <m:scr m:val="script"/>
                      </m:rPr>
                      <w:rPr>
                        <w:rFonts w:ascii="Cambria Math" w:hAnsi="Cambria Math" w:cstheme="minorHAnsi"/>
                        <w:sz w:val="24"/>
                        <w:szCs w:val="24"/>
                        <w:lang w:val="en-US"/>
                      </w:rPr>
                      <m:t>i</m:t>
                    </m:r>
                  </m:sub>
                </m:sSub>
                <m:r>
                  <w:rPr>
                    <w:rFonts w:ascii="Cambria Math" w:hAnsi="Cambria Math" w:cstheme="minorHAnsi"/>
                    <w:sz w:val="24"/>
                    <w:szCs w:val="24"/>
                    <w:lang w:val="en-US"/>
                  </w:rPr>
                  <m:t>=</m:t>
                </m:r>
                <m:sSubSup>
                  <m:sSubSupPr>
                    <m:ctrlPr>
                      <w:rPr>
                        <w:rFonts w:ascii="Cambria Math" w:hAnsi="Cambria Math" w:cstheme="minorHAnsi"/>
                        <w:i/>
                        <w:sz w:val="24"/>
                        <w:szCs w:val="24"/>
                        <w:lang w:val="en-US"/>
                      </w:rPr>
                    </m:ctrlPr>
                  </m:sSubSupPr>
                  <m:e>
                    <m:r>
                      <m:rPr>
                        <m:scr m:val="script"/>
                      </m:rPr>
                      <w:rPr>
                        <w:rFonts w:ascii="Cambria Math" w:hAnsi="Cambria Math" w:cstheme="minorHAnsi"/>
                        <w:sz w:val="24"/>
                        <w:szCs w:val="24"/>
                        <w:lang w:val="en-US"/>
                      </w:rPr>
                      <m:t>M</m:t>
                    </m:r>
                  </m:e>
                  <m:sub>
                    <m:r>
                      <m:rPr>
                        <m:scr m:val="script"/>
                      </m:rPr>
                      <w:rPr>
                        <w:rFonts w:ascii="Cambria Math" w:hAnsi="Cambria Math" w:cstheme="minorHAnsi"/>
                        <w:sz w:val="24"/>
                        <w:szCs w:val="24"/>
                        <w:lang w:val="en-US"/>
                      </w:rPr>
                      <m:t>i</m:t>
                    </m:r>
                  </m:sub>
                  <m:sup>
                    <m:r>
                      <m:rPr>
                        <m:scr m:val="script"/>
                      </m:rPr>
                      <w:rPr>
                        <w:rFonts w:ascii="Cambria Math" w:hAnsi="Cambria Math" w:cstheme="minorHAnsi"/>
                        <w:sz w:val="24"/>
                        <w:szCs w:val="24"/>
                        <w:lang w:val="en-US"/>
                      </w:rPr>
                      <m:t>Z</m:t>
                    </m:r>
                  </m:sup>
                </m:sSubSup>
                <m:r>
                  <w:rPr>
                    <w:rFonts w:ascii="Cambria Math" w:hAnsi="Cambria Math" w:cstheme="minorHAnsi"/>
                    <w:sz w:val="24"/>
                    <w:szCs w:val="24"/>
                    <w:lang w:val="en-US"/>
                  </w:rPr>
                  <m:t xml:space="preserve">, </m:t>
                </m:r>
                <m:sSubSup>
                  <m:sSubSupPr>
                    <m:ctrlPr>
                      <w:rPr>
                        <w:rFonts w:ascii="Cambria Math" w:hAnsi="Cambria Math" w:cstheme="minorHAnsi"/>
                        <w:i/>
                        <w:sz w:val="24"/>
                        <w:szCs w:val="24"/>
                        <w:lang w:val="en-US"/>
                      </w:rPr>
                    </m:ctrlPr>
                  </m:sSubSupPr>
                  <m:e>
                    <m:r>
                      <m:rPr>
                        <m:scr m:val="script"/>
                      </m:rPr>
                      <w:rPr>
                        <w:rFonts w:ascii="Cambria Math" w:hAnsi="Cambria Math" w:cstheme="minorHAnsi"/>
                        <w:sz w:val="24"/>
                        <w:szCs w:val="24"/>
                        <w:lang w:val="en-US"/>
                      </w:rPr>
                      <m:t>M</m:t>
                    </m:r>
                  </m:e>
                  <m:sub>
                    <m:r>
                      <m:rPr>
                        <m:scr m:val="script"/>
                      </m:rPr>
                      <w:rPr>
                        <w:rFonts w:ascii="Cambria Math" w:hAnsi="Cambria Math" w:cstheme="minorHAnsi"/>
                        <w:sz w:val="24"/>
                        <w:szCs w:val="24"/>
                        <w:lang w:val="en-US"/>
                      </w:rPr>
                      <m:t>i</m:t>
                    </m:r>
                  </m:sub>
                  <m:sup>
                    <m:r>
                      <m:rPr>
                        <m:scr m:val="script"/>
                      </m:rPr>
                      <w:rPr>
                        <w:rFonts w:ascii="Cambria Math" w:hAnsi="Cambria Math" w:cstheme="minorHAnsi"/>
                        <w:sz w:val="24"/>
                        <w:szCs w:val="24"/>
                        <w:lang w:val="en-US"/>
                      </w:rPr>
                      <m:t>X</m:t>
                    </m:r>
                  </m:sup>
                </m:sSubSup>
              </m:e>
            </m:d>
          </m:e>
          <m:sup>
            <m:r>
              <w:rPr>
                <w:rFonts w:ascii="Cambria Math" w:eastAsiaTheme="minorEastAsia" w:hAnsi="Cambria Math" w:cstheme="minorHAnsi"/>
                <w:sz w:val="24"/>
                <w:szCs w:val="24"/>
                <w:lang w:val="en-US"/>
              </w:rPr>
              <m:t>'</m:t>
            </m:r>
          </m:sup>
        </m:sSup>
        <m:r>
          <w:rPr>
            <w:rFonts w:ascii="Cambria Math" w:eastAsiaTheme="minorEastAsia" w:hAnsi="Cambria Math" w:cstheme="minorHAnsi"/>
            <w:sz w:val="24"/>
            <w:szCs w:val="24"/>
            <w:lang w:val="en-US"/>
          </w:rPr>
          <m:t xml:space="preserve">∈ </m:t>
        </m:r>
        <m:sSup>
          <m:sSupPr>
            <m:ctrlPr>
              <w:rPr>
                <w:rFonts w:ascii="Cambria Math" w:eastAsiaTheme="minorEastAsia" w:hAnsi="Cambria Math" w:cstheme="minorHAnsi"/>
                <w:i/>
                <w:sz w:val="24"/>
                <w:szCs w:val="24"/>
                <w:lang w:val="en-US"/>
              </w:rPr>
            </m:ctrlPr>
          </m:sSupPr>
          <m:e>
            <m:r>
              <m:rPr>
                <m:scr m:val="fraktur"/>
              </m:rPr>
              <w:rPr>
                <w:rFonts w:ascii="Cambria Math" w:eastAsiaTheme="minorEastAsia" w:hAnsi="Cambria Math" w:cstheme="minorHAnsi"/>
                <w:sz w:val="24"/>
                <w:szCs w:val="24"/>
                <w:lang w:val="en-US"/>
              </w:rPr>
              <m:t>R</m:t>
            </m:r>
          </m:e>
          <m:sup>
            <m:r>
              <m:rPr>
                <m:scr m:val="script"/>
              </m:rPr>
              <w:rPr>
                <w:rFonts w:ascii="Cambria Math" w:eastAsiaTheme="minorEastAsia" w:hAnsi="Cambria Math" w:cstheme="minorHAnsi"/>
                <w:sz w:val="24"/>
                <w:szCs w:val="24"/>
                <w:lang w:val="en-US"/>
              </w:rPr>
              <m:t>e</m:t>
            </m:r>
          </m:sup>
        </m:sSup>
        <m:r>
          <m:rPr>
            <m:scr m:val="script"/>
          </m:rPr>
          <w:rPr>
            <w:rFonts w:ascii="Cambria Math" w:eastAsiaTheme="minorEastAsia" w:hAnsi="Cambria Math" w:cstheme="minorHAnsi"/>
            <w:sz w:val="24"/>
            <w:szCs w:val="24"/>
            <w:lang w:val="en-US"/>
          </w:rPr>
          <m:t>, e=</m:t>
        </m:r>
        <m:r>
          <w:rPr>
            <w:rFonts w:ascii="Cambria Math" w:eastAsiaTheme="minorEastAsia" w:hAnsi="Cambria Math" w:cstheme="minorHAnsi"/>
            <w:sz w:val="24"/>
            <w:szCs w:val="24"/>
            <w:lang w:val="en-US"/>
          </w:rPr>
          <m:t>o+</m:t>
        </m:r>
        <m:r>
          <m:rPr>
            <m:scr m:val="script"/>
          </m:rPr>
          <w:rPr>
            <w:rFonts w:ascii="Cambria Math" w:eastAsiaTheme="minorEastAsia" w:hAnsi="Cambria Math" w:cstheme="minorHAnsi"/>
            <w:sz w:val="24"/>
            <w:szCs w:val="24"/>
            <w:lang w:val="en-US"/>
          </w:rPr>
          <m:t>q,</m:t>
        </m:r>
      </m:oMath>
      <w:r w:rsidRPr="00CD364B">
        <w:rPr>
          <w:rFonts w:eastAsiaTheme="minorEastAsia" w:cstheme="minorHAnsi"/>
          <w:sz w:val="24"/>
          <w:szCs w:val="24"/>
          <w:lang w:val="en-US"/>
        </w:rPr>
        <w:t xml:space="preserve"> with </w:t>
      </w:r>
      <m:oMath>
        <m:sSubSup>
          <m:sSubSupPr>
            <m:ctrlPr>
              <w:rPr>
                <w:rFonts w:ascii="Cambria Math" w:hAnsi="Cambria Math" w:cstheme="minorHAnsi"/>
                <w:i/>
                <w:sz w:val="24"/>
                <w:szCs w:val="24"/>
                <w:lang w:val="en-US"/>
              </w:rPr>
            </m:ctrlPr>
          </m:sSubSupPr>
          <m:e>
            <m:r>
              <m:rPr>
                <m:scr m:val="script"/>
              </m:rPr>
              <w:rPr>
                <w:rFonts w:ascii="Cambria Math" w:hAnsi="Cambria Math" w:cstheme="minorHAnsi"/>
                <w:sz w:val="24"/>
                <w:szCs w:val="24"/>
                <w:lang w:val="en-US"/>
              </w:rPr>
              <m:t>M</m:t>
            </m:r>
          </m:e>
          <m:sub>
            <m:r>
              <m:rPr>
                <m:scr m:val="script"/>
              </m:rPr>
              <w:rPr>
                <w:rFonts w:ascii="Cambria Math" w:hAnsi="Cambria Math" w:cstheme="minorHAnsi"/>
                <w:sz w:val="24"/>
                <w:szCs w:val="24"/>
                <w:lang w:val="en-US"/>
              </w:rPr>
              <m:t>i</m:t>
            </m:r>
          </m:sub>
          <m:sup>
            <m:r>
              <m:rPr>
                <m:scr m:val="script"/>
              </m:rPr>
              <w:rPr>
                <w:rFonts w:ascii="Cambria Math" w:hAnsi="Cambria Math" w:cstheme="minorHAnsi"/>
                <w:sz w:val="24"/>
                <w:szCs w:val="24"/>
                <w:lang w:val="en-US"/>
              </w:rPr>
              <m:t>X</m:t>
            </m:r>
          </m:sup>
        </m:sSubSup>
      </m:oMath>
      <w:r w:rsidRPr="00CD364B">
        <w:rPr>
          <w:rFonts w:eastAsiaTheme="minorEastAsia" w:cstheme="minorHAnsi"/>
          <w:sz w:val="24"/>
          <w:szCs w:val="24"/>
          <w:lang w:val="en-US"/>
        </w:rPr>
        <w:t xml:space="preserve"> is the former evidence set of</w:t>
      </w:r>
      <m:oMath>
        <m:r>
          <w:rPr>
            <w:rFonts w:ascii="Cambria Math" w:eastAsiaTheme="minorEastAsia" w:hAnsi="Cambria Math" w:cstheme="minorHAnsi"/>
            <w:sz w:val="24"/>
            <w:szCs w:val="24"/>
            <w:lang w:val="en-US"/>
          </w:rPr>
          <m:t xml:space="preserve"> </m:t>
        </m:r>
        <m:sSubSup>
          <m:sSubSupPr>
            <m:ctrlPr>
              <w:rPr>
                <w:rFonts w:ascii="Cambria Math" w:hAnsi="Cambria Math" w:cstheme="minorHAnsi"/>
                <w:i/>
                <w:sz w:val="24"/>
                <w:szCs w:val="24"/>
                <w:lang w:val="en-US"/>
              </w:rPr>
            </m:ctrlPr>
          </m:sSubSupPr>
          <m:e>
            <m:sSub>
              <m:sSubPr>
                <m:ctrlPr>
                  <w:rPr>
                    <w:rFonts w:ascii="Cambria Math" w:hAnsi="Cambria Math" w:cstheme="minorHAnsi"/>
                    <w:i/>
                    <w:sz w:val="24"/>
                    <w:szCs w:val="24"/>
                    <w:lang w:val="en-US"/>
                  </w:rPr>
                </m:ctrlPr>
              </m:sSubPr>
              <m:e>
                <m:r>
                  <m:rPr>
                    <m:scr m:val="script"/>
                  </m:rPr>
                  <w:rPr>
                    <w:rFonts w:ascii="Cambria Math" w:hAnsi="Cambria Math" w:cstheme="minorHAnsi"/>
                    <w:sz w:val="24"/>
                    <w:szCs w:val="24"/>
                    <w:lang w:val="en-US"/>
                  </w:rPr>
                  <m:t>X</m:t>
                </m:r>
              </m:e>
              <m:sub>
                <m:r>
                  <m:rPr>
                    <m:scr m:val="script"/>
                  </m:rPr>
                  <w:rPr>
                    <w:rFonts w:ascii="Cambria Math" w:hAnsi="Cambria Math" w:cstheme="minorHAnsi"/>
                    <w:sz w:val="24"/>
                    <w:szCs w:val="24"/>
                    <w:lang w:val="en-US"/>
                  </w:rPr>
                  <m:t>i</m:t>
                </m:r>
              </m:sub>
            </m:sSub>
            <m:r>
              <m:rPr>
                <m:scr m:val="script"/>
              </m:rPr>
              <w:rPr>
                <w:rFonts w:ascii="Cambria Math" w:hAnsi="Cambria Math" w:cstheme="minorHAnsi"/>
                <w:sz w:val="24"/>
                <w:szCs w:val="24"/>
                <w:lang w:val="en-US"/>
              </w:rPr>
              <m:t>M</m:t>
            </m:r>
          </m:e>
          <m:sub>
            <m:r>
              <m:rPr>
                <m:scr m:val="script"/>
              </m:rPr>
              <w:rPr>
                <w:rFonts w:ascii="Cambria Math" w:hAnsi="Cambria Math" w:cstheme="minorHAnsi"/>
                <w:sz w:val="24"/>
                <w:szCs w:val="24"/>
                <w:lang w:val="en-US"/>
              </w:rPr>
              <m:t>i</m:t>
            </m:r>
          </m:sub>
          <m:sup>
            <m:r>
              <m:rPr>
                <m:scr m:val="script"/>
              </m:rPr>
              <w:rPr>
                <w:rFonts w:ascii="Cambria Math" w:hAnsi="Cambria Math" w:cstheme="minorHAnsi"/>
                <w:sz w:val="24"/>
                <w:szCs w:val="24"/>
                <w:lang w:val="en-US"/>
              </w:rPr>
              <m:t>X</m:t>
            </m:r>
          </m:sup>
        </m:sSubSup>
        <m:r>
          <w:rPr>
            <w:rFonts w:ascii="Cambria Math" w:hAnsi="Cambria Math" w:cstheme="minorHAnsi"/>
            <w:sz w:val="24"/>
            <w:szCs w:val="24"/>
            <w:lang w:val="en-US"/>
          </w:rPr>
          <m:t>≔</m:t>
        </m:r>
        <m:sSup>
          <m:sSupPr>
            <m:ctrlPr>
              <w:rPr>
                <w:rFonts w:ascii="Cambria Math" w:hAnsi="Cambria Math" w:cstheme="minorHAnsi"/>
                <w:i/>
                <w:sz w:val="24"/>
                <w:szCs w:val="24"/>
                <w:lang w:val="en-US"/>
              </w:rPr>
            </m:ctrlPr>
          </m:sSupPr>
          <m:e>
            <m:d>
              <m:dPr>
                <m:ctrlPr>
                  <w:rPr>
                    <w:rFonts w:ascii="Cambria Math" w:hAnsi="Cambria Math" w:cstheme="minorHAnsi"/>
                    <w:i/>
                    <w:sz w:val="24"/>
                    <w:szCs w:val="24"/>
                    <w:lang w:val="en-US"/>
                  </w:rPr>
                </m:ctrlPr>
              </m:dPr>
              <m:e>
                <m:sSub>
                  <m:sSubPr>
                    <m:ctrlPr>
                      <w:rPr>
                        <w:rFonts w:ascii="Cambria Math" w:hAnsi="Cambria Math" w:cstheme="minorHAnsi"/>
                        <w:i/>
                        <w:sz w:val="24"/>
                        <w:szCs w:val="24"/>
                        <w:lang w:val="en-US"/>
                      </w:rPr>
                    </m:ctrlPr>
                  </m:sSubPr>
                  <m:e>
                    <m:r>
                      <m:rPr>
                        <m:scr m:val="script"/>
                      </m:rPr>
                      <w:rPr>
                        <w:rFonts w:ascii="Cambria Math" w:hAnsi="Cambria Math" w:cstheme="minorHAnsi"/>
                        <w:sz w:val="24"/>
                        <w:szCs w:val="24"/>
                        <w:lang w:val="en-US"/>
                      </w:rPr>
                      <m:t>X</m:t>
                    </m:r>
                  </m:e>
                  <m:sub>
                    <m:r>
                      <m:rPr>
                        <m:scr m:val="script"/>
                      </m:rPr>
                      <w:rPr>
                        <w:rFonts w:ascii="Cambria Math" w:hAnsi="Cambria Math" w:cstheme="minorHAnsi"/>
                        <w:sz w:val="24"/>
                        <w:szCs w:val="24"/>
                        <w:lang w:val="en-US"/>
                      </w:rPr>
                      <m:t>i-</m:t>
                    </m:r>
                    <m:r>
                      <w:rPr>
                        <w:rFonts w:ascii="Cambria Math" w:hAnsi="Cambria Math" w:cstheme="minorHAnsi"/>
                        <w:sz w:val="24"/>
                        <w:szCs w:val="24"/>
                        <w:lang w:val="en-US"/>
                      </w:rPr>
                      <m:t>1</m:t>
                    </m:r>
                  </m:sub>
                </m:sSub>
                <m:r>
                  <w:rPr>
                    <w:rFonts w:ascii="Cambria Math" w:hAnsi="Cambria Math" w:cstheme="minorHAnsi"/>
                    <w:sz w:val="24"/>
                    <w:szCs w:val="24"/>
                    <w:lang w:val="en-US"/>
                  </w:rPr>
                  <m:t xml:space="preserve">, … , </m:t>
                </m:r>
                <m:sSub>
                  <m:sSubPr>
                    <m:ctrlPr>
                      <w:rPr>
                        <w:rFonts w:ascii="Cambria Math" w:hAnsi="Cambria Math" w:cstheme="minorHAnsi"/>
                        <w:i/>
                        <w:sz w:val="24"/>
                        <w:szCs w:val="24"/>
                        <w:lang w:val="en-US"/>
                      </w:rPr>
                    </m:ctrlPr>
                  </m:sSubPr>
                  <m:e>
                    <m:r>
                      <m:rPr>
                        <m:scr m:val="script"/>
                      </m:rPr>
                      <w:rPr>
                        <w:rFonts w:ascii="Cambria Math" w:hAnsi="Cambria Math" w:cstheme="minorHAnsi"/>
                        <w:sz w:val="24"/>
                        <w:szCs w:val="24"/>
                        <w:lang w:val="en-US"/>
                      </w:rPr>
                      <m:t>X</m:t>
                    </m:r>
                  </m:e>
                  <m:sub>
                    <m:r>
                      <m:rPr>
                        <m:scr m:val="script"/>
                      </m:rPr>
                      <w:rPr>
                        <w:rFonts w:ascii="Cambria Math" w:hAnsi="Cambria Math" w:cstheme="minorHAnsi"/>
                        <w:sz w:val="24"/>
                        <w:szCs w:val="24"/>
                        <w:lang w:val="en-US"/>
                      </w:rPr>
                      <m:t>i-q</m:t>
                    </m:r>
                  </m:sub>
                </m:sSub>
              </m:e>
            </m:d>
          </m:e>
          <m:sup>
            <m:r>
              <w:rPr>
                <w:rFonts w:ascii="Cambria Math" w:hAnsi="Cambria Math" w:cstheme="minorHAnsi"/>
                <w:sz w:val="24"/>
                <w:szCs w:val="24"/>
                <w:lang w:val="en-US"/>
              </w:rPr>
              <m:t>'</m:t>
            </m:r>
          </m:sup>
        </m:sSup>
        <m:r>
          <w:rPr>
            <w:rFonts w:ascii="Cambria Math" w:hAnsi="Cambria Math" w:cstheme="minorHAnsi"/>
            <w:sz w:val="24"/>
            <w:szCs w:val="24"/>
            <w:lang w:val="en-US"/>
          </w:rPr>
          <m:t>∈</m:t>
        </m:r>
        <m:sSup>
          <m:sSupPr>
            <m:ctrlPr>
              <w:rPr>
                <w:rFonts w:ascii="Cambria Math" w:hAnsi="Cambria Math" w:cstheme="minorHAnsi"/>
                <w:i/>
                <w:sz w:val="24"/>
                <w:szCs w:val="24"/>
                <w:lang w:val="en-US"/>
              </w:rPr>
            </m:ctrlPr>
          </m:sSupPr>
          <m:e>
            <m:r>
              <m:rPr>
                <m:scr m:val="fraktur"/>
              </m:rPr>
              <w:rPr>
                <w:rFonts w:ascii="Cambria Math" w:hAnsi="Cambria Math" w:cstheme="minorHAnsi"/>
                <w:sz w:val="24"/>
                <w:szCs w:val="24"/>
                <w:lang w:val="en-US"/>
              </w:rPr>
              <m:t>R</m:t>
            </m:r>
          </m:e>
          <m:sup>
            <m:r>
              <w:rPr>
                <w:rFonts w:ascii="Cambria Math" w:hAnsi="Cambria Math" w:cstheme="minorHAnsi"/>
                <w:sz w:val="24"/>
                <w:szCs w:val="24"/>
                <w:lang w:val="en-US"/>
              </w:rPr>
              <m:t>q</m:t>
            </m:r>
          </m:sup>
        </m:sSup>
      </m:oMath>
      <w:r w:rsidRPr="00CD364B">
        <w:rPr>
          <w:rFonts w:eastAsiaTheme="minorEastAsia" w:cstheme="minorHAnsi"/>
          <w:sz w:val="24"/>
          <w:szCs w:val="24"/>
          <w:lang w:val="en-US"/>
        </w:rPr>
        <w:t xml:space="preserve">. Further the null hypothesis of Granger non-causality from  </w:t>
      </w:r>
      <m:oMath>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X</m:t>
            </m:r>
          </m:e>
          <m:sub>
            <m:r>
              <w:rPr>
                <w:rFonts w:ascii="Cambria Math" w:eastAsiaTheme="minorEastAsia" w:hAnsi="Cambria Math" w:cstheme="minorHAnsi"/>
                <w:sz w:val="24"/>
                <w:szCs w:val="24"/>
                <w:lang w:val="en-US"/>
              </w:rPr>
              <m:t>i</m:t>
            </m:r>
          </m:sub>
        </m:sSub>
      </m:oMath>
      <w:r w:rsidRPr="00CD364B">
        <w:rPr>
          <w:rFonts w:eastAsiaTheme="minorEastAsia" w:cstheme="minorHAnsi"/>
          <w:sz w:val="24"/>
          <w:szCs w:val="24"/>
          <w:lang w:val="en-US"/>
        </w:rPr>
        <w:t xml:space="preserve"> to </w:t>
      </w:r>
      <m:oMath>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Z</m:t>
            </m:r>
          </m:e>
          <m:sub>
            <m:r>
              <w:rPr>
                <w:rFonts w:ascii="Cambria Math" w:eastAsiaTheme="minorEastAsia" w:hAnsi="Cambria Math" w:cstheme="minorHAnsi"/>
                <w:sz w:val="24"/>
                <w:szCs w:val="24"/>
                <w:lang w:val="en-US"/>
              </w:rPr>
              <m:t>i</m:t>
            </m:r>
          </m:sub>
        </m:sSub>
      </m:oMath>
      <w:r w:rsidRPr="00CD364B">
        <w:rPr>
          <w:rFonts w:eastAsiaTheme="minorEastAsia" w:cstheme="minorHAnsi"/>
          <w:sz w:val="24"/>
          <w:szCs w:val="24"/>
          <w:lang w:val="en-US"/>
        </w:rPr>
        <w:t xml:space="preserve"> is explained as follows:</w:t>
      </w:r>
    </w:p>
    <w:p w14:paraId="6E35D64A" w14:textId="77777777" w:rsidR="00D40CB3" w:rsidRPr="00CD364B" w:rsidRDefault="00D40CB3" w:rsidP="00004F21">
      <w:pPr>
        <w:autoSpaceDE w:val="0"/>
        <w:autoSpaceDN w:val="0"/>
        <w:adjustRightInd w:val="0"/>
        <w:spacing w:after="0" w:line="360" w:lineRule="auto"/>
        <w:jc w:val="both"/>
        <w:rPr>
          <w:rFonts w:eastAsiaTheme="minorEastAsia" w:cstheme="minorHAnsi"/>
          <w:sz w:val="24"/>
          <w:szCs w:val="24"/>
          <w:lang w:val="en-US"/>
        </w:rPr>
      </w:pPr>
    </w:p>
    <w:p w14:paraId="7B79AC1D" w14:textId="0689EFD4" w:rsidR="00FF344C" w:rsidRPr="00CD364B" w:rsidRDefault="00FF747F" w:rsidP="00CD5F46">
      <w:pPr>
        <w:autoSpaceDE w:val="0"/>
        <w:autoSpaceDN w:val="0"/>
        <w:adjustRightInd w:val="0"/>
        <w:spacing w:after="0" w:line="360" w:lineRule="auto"/>
        <w:ind w:firstLine="720"/>
        <w:jc w:val="both"/>
        <w:rPr>
          <w:rFonts w:eastAsiaTheme="minorEastAsia" w:cstheme="minorHAnsi"/>
          <w:sz w:val="24"/>
          <w:szCs w:val="24"/>
          <w:lang w:val="en-US"/>
        </w:rPr>
      </w:pPr>
      <m:oMath>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H</m:t>
            </m:r>
          </m:e>
          <m:sub>
            <m:r>
              <w:rPr>
                <w:rFonts w:ascii="Cambria Math" w:eastAsiaTheme="minorEastAsia" w:hAnsi="Cambria Math" w:cstheme="minorHAnsi"/>
                <w:sz w:val="24"/>
                <w:szCs w:val="24"/>
                <w:lang w:val="en-US"/>
              </w:rPr>
              <m:t>0</m:t>
            </m:r>
          </m:sub>
          <m:sup>
            <m:r>
              <m:rPr>
                <m:scr m:val="script"/>
              </m:rPr>
              <w:rPr>
                <w:rFonts w:ascii="Cambria Math" w:eastAsiaTheme="minorEastAsia" w:hAnsi="Cambria Math" w:cstheme="minorHAnsi"/>
                <w:sz w:val="24"/>
                <w:szCs w:val="24"/>
                <w:lang w:val="en-US"/>
              </w:rPr>
              <m:t>X↛Z</m:t>
            </m:r>
          </m:sup>
        </m:sSubSup>
        <m:r>
          <w:rPr>
            <w:rFonts w:ascii="Cambria Math" w:eastAsiaTheme="minorEastAsia" w:hAnsi="Cambria Math" w:cstheme="minorHAnsi"/>
            <w:sz w:val="24"/>
            <w:szCs w:val="24"/>
            <w:lang w:val="en-US"/>
          </w:rPr>
          <m:t xml:space="preserve">: </m:t>
        </m:r>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F</m:t>
            </m:r>
          </m:e>
          <m:sub>
            <m:r>
              <m:rPr>
                <m:scr m:val="script"/>
              </m:rPr>
              <w:rPr>
                <w:rFonts w:ascii="Cambria Math" w:eastAsiaTheme="minorEastAsia" w:hAnsi="Cambria Math" w:cstheme="minorHAnsi"/>
                <w:sz w:val="24"/>
                <w:szCs w:val="24"/>
                <w:lang w:val="en-US"/>
              </w:rPr>
              <m:t>Z</m:t>
            </m:r>
          </m:sub>
        </m:sSub>
        <m:d>
          <m:dPr>
            <m:ctrlPr>
              <w:rPr>
                <w:rFonts w:ascii="Cambria Math" w:eastAsiaTheme="minorEastAsia" w:hAnsi="Cambria Math" w:cstheme="minorHAnsi"/>
                <w:i/>
                <w:sz w:val="24"/>
                <w:szCs w:val="24"/>
                <w:lang w:val="en-US"/>
              </w:rPr>
            </m:ctrlPr>
          </m:dPr>
          <m:e>
            <m:r>
              <m:rPr>
                <m:scr m:val="script"/>
              </m:rPr>
              <w:rPr>
                <w:rFonts w:ascii="Cambria Math" w:eastAsiaTheme="minorEastAsia" w:hAnsi="Cambria Math" w:cstheme="minorHAnsi"/>
                <w:sz w:val="24"/>
                <w:szCs w:val="24"/>
                <w:lang w:val="en-US"/>
              </w:rPr>
              <m:t>Z</m:t>
            </m:r>
          </m:e>
          <m:e>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M</m:t>
                </m:r>
              </m:e>
              <m:sub>
                <m:r>
                  <m:rPr>
                    <m:scr m:val="script"/>
                  </m:rPr>
                  <w:rPr>
                    <w:rFonts w:ascii="Cambria Math" w:eastAsiaTheme="minorEastAsia" w:hAnsi="Cambria Math" w:cstheme="minorHAnsi"/>
                    <w:sz w:val="24"/>
                    <w:szCs w:val="24"/>
                    <w:lang w:val="en-US"/>
                  </w:rPr>
                  <m:t>i</m:t>
                </m:r>
              </m:sub>
              <m:sup>
                <m:r>
                  <m:rPr>
                    <m:scr m:val="script"/>
                  </m:rPr>
                  <w:rPr>
                    <w:rFonts w:ascii="Cambria Math" w:eastAsiaTheme="minorEastAsia" w:hAnsi="Cambria Math" w:cstheme="minorHAnsi"/>
                    <w:sz w:val="24"/>
                    <w:szCs w:val="24"/>
                    <w:lang w:val="en-US"/>
                  </w:rPr>
                  <m:t>Z</m:t>
                </m:r>
              </m:sup>
            </m:sSubSup>
            <m:r>
              <w:rPr>
                <w:rFonts w:ascii="Cambria Math" w:eastAsiaTheme="minorEastAsia" w:hAnsi="Cambria Math" w:cstheme="minorHAnsi"/>
                <w:sz w:val="24"/>
                <w:szCs w:val="24"/>
                <w:lang w:val="en-US"/>
              </w:rPr>
              <m:t>,</m:t>
            </m:r>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M</m:t>
                </m:r>
              </m:e>
              <m:sub>
                <m:r>
                  <m:rPr>
                    <m:scr m:val="script"/>
                  </m:rPr>
                  <w:rPr>
                    <w:rFonts w:ascii="Cambria Math" w:eastAsiaTheme="minorEastAsia" w:hAnsi="Cambria Math" w:cstheme="minorHAnsi"/>
                    <w:sz w:val="24"/>
                    <w:szCs w:val="24"/>
                    <w:lang w:val="en-US"/>
                  </w:rPr>
                  <m:t>i</m:t>
                </m:r>
              </m:sub>
              <m:sup>
                <m:r>
                  <m:rPr>
                    <m:scr m:val="script"/>
                  </m:rPr>
                  <w:rPr>
                    <w:rFonts w:ascii="Cambria Math" w:eastAsiaTheme="minorEastAsia" w:hAnsi="Cambria Math" w:cstheme="minorHAnsi"/>
                    <w:sz w:val="24"/>
                    <w:szCs w:val="24"/>
                    <w:lang w:val="en-US"/>
                  </w:rPr>
                  <m:t>X</m:t>
                </m:r>
              </m:sup>
            </m:sSubSup>
          </m:e>
        </m:d>
        <m:r>
          <w:rPr>
            <w:rFonts w:ascii="Cambria Math" w:eastAsiaTheme="minorEastAsia" w:hAnsi="Cambria Math" w:cstheme="minorHAnsi"/>
            <w:sz w:val="24"/>
            <w:szCs w:val="24"/>
            <w:lang w:val="en-US"/>
          </w:rPr>
          <m:t>=</m:t>
        </m:r>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F</m:t>
            </m:r>
          </m:e>
          <m:sub>
            <m:r>
              <m:rPr>
                <m:scr m:val="script"/>
              </m:rPr>
              <w:rPr>
                <w:rFonts w:ascii="Cambria Math" w:eastAsiaTheme="minorEastAsia" w:hAnsi="Cambria Math" w:cstheme="minorHAnsi"/>
                <w:sz w:val="24"/>
                <w:szCs w:val="24"/>
                <w:lang w:val="en-US"/>
              </w:rPr>
              <m:t>Z</m:t>
            </m:r>
          </m:sub>
        </m:sSub>
        <m:d>
          <m:dPr>
            <m:ctrlPr>
              <w:rPr>
                <w:rFonts w:ascii="Cambria Math" w:eastAsiaTheme="minorEastAsia" w:hAnsi="Cambria Math" w:cstheme="minorHAnsi"/>
                <w:i/>
                <w:sz w:val="24"/>
                <w:szCs w:val="24"/>
                <w:lang w:val="en-US"/>
              </w:rPr>
            </m:ctrlPr>
          </m:dPr>
          <m:e>
            <m:r>
              <m:rPr>
                <m:scr m:val="script"/>
              </m:rPr>
              <w:rPr>
                <w:rFonts w:ascii="Cambria Math" w:eastAsiaTheme="minorEastAsia" w:hAnsi="Cambria Math" w:cstheme="minorHAnsi"/>
                <w:sz w:val="24"/>
                <w:szCs w:val="24"/>
                <w:lang w:val="en-US"/>
              </w:rPr>
              <m:t>Z</m:t>
            </m:r>
          </m:e>
          <m:e>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M</m:t>
                </m:r>
              </m:e>
              <m:sub>
                <m:r>
                  <m:rPr>
                    <m:scr m:val="script"/>
                  </m:rPr>
                  <w:rPr>
                    <w:rFonts w:ascii="Cambria Math" w:eastAsiaTheme="minorEastAsia" w:hAnsi="Cambria Math" w:cstheme="minorHAnsi"/>
                    <w:sz w:val="24"/>
                    <w:szCs w:val="24"/>
                    <w:lang w:val="en-US"/>
                  </w:rPr>
                  <m:t>i</m:t>
                </m:r>
              </m:sub>
              <m:sup>
                <m:r>
                  <m:rPr>
                    <m:scr m:val="script"/>
                  </m:rPr>
                  <w:rPr>
                    <w:rFonts w:ascii="Cambria Math" w:eastAsiaTheme="minorEastAsia" w:hAnsi="Cambria Math" w:cstheme="minorHAnsi"/>
                    <w:sz w:val="24"/>
                    <w:szCs w:val="24"/>
                    <w:lang w:val="en-US"/>
                  </w:rPr>
                  <m:t>Z</m:t>
                </m:r>
              </m:sup>
            </m:sSubSup>
          </m:e>
        </m:d>
        <m:r>
          <w:rPr>
            <w:rFonts w:ascii="Cambria Math" w:eastAsiaTheme="minorEastAsia" w:hAnsi="Cambria Math" w:cstheme="minorHAnsi"/>
            <w:sz w:val="24"/>
            <w:szCs w:val="24"/>
            <w:lang w:val="en-US"/>
          </w:rPr>
          <m:t xml:space="preserve"> </m:t>
        </m:r>
      </m:oMath>
      <w:r w:rsidR="00FF344C" w:rsidRPr="00CD364B">
        <w:rPr>
          <w:rFonts w:eastAsiaTheme="minorEastAsia" w:cstheme="minorHAnsi"/>
          <w:sz w:val="24"/>
          <w:szCs w:val="24"/>
          <w:lang w:val="en-US"/>
        </w:rPr>
        <w:t xml:space="preserve"> for all </w:t>
      </w:r>
      <m:oMath>
        <m:r>
          <m:rPr>
            <m:scr m:val="script"/>
          </m:rPr>
          <w:rPr>
            <w:rFonts w:ascii="Cambria Math" w:eastAsiaTheme="minorEastAsia" w:hAnsi="Cambria Math" w:cstheme="minorHAnsi"/>
            <w:sz w:val="24"/>
            <w:szCs w:val="24"/>
            <w:lang w:val="en-US"/>
          </w:rPr>
          <m:t>X</m:t>
        </m:r>
        <m:r>
          <w:rPr>
            <w:rFonts w:ascii="Cambria Math" w:eastAsiaTheme="minorEastAsia" w:hAnsi="Cambria Math" w:cstheme="minorHAnsi"/>
            <w:sz w:val="24"/>
            <w:szCs w:val="24"/>
            <w:lang w:val="en-US"/>
          </w:rPr>
          <m:t>ϵ</m:t>
        </m:r>
        <m:r>
          <m:rPr>
            <m:scr m:val="fraktur"/>
          </m:rPr>
          <w:rPr>
            <w:rFonts w:ascii="Cambria Math" w:eastAsiaTheme="minorEastAsia" w:hAnsi="Cambria Math" w:cstheme="minorHAnsi"/>
            <w:sz w:val="24"/>
            <w:szCs w:val="24"/>
            <w:lang w:val="en-US"/>
          </w:rPr>
          <m:t>R</m:t>
        </m:r>
      </m:oMath>
      <w:r w:rsidR="00FF344C" w:rsidRPr="00CD364B">
        <w:rPr>
          <w:rFonts w:eastAsiaTheme="minorEastAsia" w:cstheme="minorHAnsi"/>
          <w:sz w:val="24"/>
          <w:szCs w:val="24"/>
          <w:lang w:val="en-US"/>
        </w:rPr>
        <w:t xml:space="preserve">,                            </w:t>
      </w:r>
      <w:r w:rsidR="006668C1" w:rsidRPr="00CD364B">
        <w:rPr>
          <w:rFonts w:eastAsiaTheme="minorEastAsia" w:cstheme="minorHAnsi"/>
          <w:sz w:val="24"/>
          <w:szCs w:val="24"/>
          <w:lang w:val="en-US"/>
        </w:rPr>
        <w:t xml:space="preserve">                  </w:t>
      </w:r>
      <w:r w:rsidR="00FF344C" w:rsidRPr="00CD364B">
        <w:rPr>
          <w:rFonts w:eastAsiaTheme="minorEastAsia" w:cstheme="minorHAnsi"/>
          <w:sz w:val="24"/>
          <w:szCs w:val="24"/>
          <w:lang w:val="en-US"/>
        </w:rPr>
        <w:t xml:space="preserve">               </w:t>
      </w:r>
      <w:proofErr w:type="gramStart"/>
      <w:r w:rsidR="00FF344C" w:rsidRPr="00CD364B">
        <w:rPr>
          <w:rFonts w:eastAsiaTheme="minorEastAsia" w:cstheme="minorHAnsi"/>
          <w:sz w:val="24"/>
          <w:szCs w:val="24"/>
          <w:lang w:val="en-US"/>
        </w:rPr>
        <w:t xml:space="preserve">   (</w:t>
      </w:r>
      <w:proofErr w:type="gramEnd"/>
      <w:r w:rsidR="00FF344C" w:rsidRPr="00CD364B">
        <w:rPr>
          <w:rFonts w:eastAsiaTheme="minorEastAsia" w:cstheme="minorHAnsi"/>
          <w:sz w:val="24"/>
          <w:szCs w:val="24"/>
          <w:lang w:val="en-US"/>
        </w:rPr>
        <w:t>1</w:t>
      </w:r>
      <w:r w:rsidR="005030A7" w:rsidRPr="00CD364B">
        <w:rPr>
          <w:rFonts w:eastAsiaTheme="minorEastAsia" w:cstheme="minorHAnsi"/>
          <w:sz w:val="24"/>
          <w:szCs w:val="24"/>
          <w:lang w:val="en-US"/>
        </w:rPr>
        <w:t>4</w:t>
      </w:r>
      <w:r w:rsidR="00FF344C" w:rsidRPr="00CD364B">
        <w:rPr>
          <w:rFonts w:eastAsiaTheme="minorEastAsia" w:cstheme="minorHAnsi"/>
          <w:sz w:val="24"/>
          <w:szCs w:val="24"/>
          <w:lang w:val="en-US"/>
        </w:rPr>
        <w:t>)</w:t>
      </w:r>
    </w:p>
    <w:p w14:paraId="5C2DEE4C" w14:textId="77777777" w:rsidR="009B5921" w:rsidRPr="00CD364B" w:rsidRDefault="009B5921" w:rsidP="00004F21">
      <w:pPr>
        <w:autoSpaceDE w:val="0"/>
        <w:autoSpaceDN w:val="0"/>
        <w:adjustRightInd w:val="0"/>
        <w:spacing w:after="0" w:line="360" w:lineRule="auto"/>
        <w:ind w:firstLine="720"/>
        <w:jc w:val="both"/>
        <w:rPr>
          <w:rFonts w:eastAsiaTheme="minorEastAsia" w:cstheme="minorHAnsi"/>
          <w:sz w:val="24"/>
          <w:szCs w:val="24"/>
          <w:lang w:val="en-US"/>
        </w:rPr>
      </w:pPr>
    </w:p>
    <w:p w14:paraId="05CCD651" w14:textId="691BB7CB" w:rsidR="00FF344C" w:rsidRPr="00CD364B" w:rsidRDefault="00FF344C" w:rsidP="00004F21">
      <w:pPr>
        <w:autoSpaceDE w:val="0"/>
        <w:autoSpaceDN w:val="0"/>
        <w:adjustRightInd w:val="0"/>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The </w:t>
      </w:r>
      <m:oMath>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F</m:t>
            </m:r>
          </m:e>
          <m:sub>
            <m:r>
              <m:rPr>
                <m:scr m:val="script"/>
              </m:rPr>
              <w:rPr>
                <w:rFonts w:ascii="Cambria Math" w:eastAsiaTheme="minorEastAsia" w:hAnsi="Cambria Math" w:cstheme="minorHAnsi"/>
                <w:sz w:val="24"/>
                <w:szCs w:val="24"/>
                <w:lang w:val="en-US"/>
              </w:rPr>
              <m:t>Z</m:t>
            </m:r>
          </m:sub>
        </m:sSub>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m:t>
            </m:r>
          </m:e>
          <m:e>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M</m:t>
                </m:r>
              </m:e>
              <m:sub>
                <m:r>
                  <m:rPr>
                    <m:scr m:val="script"/>
                  </m:rPr>
                  <w:rPr>
                    <w:rFonts w:ascii="Cambria Math" w:eastAsiaTheme="minorEastAsia" w:hAnsi="Cambria Math" w:cstheme="minorHAnsi"/>
                    <w:sz w:val="24"/>
                    <w:szCs w:val="24"/>
                    <w:lang w:val="en-US"/>
                  </w:rPr>
                  <m:t>i</m:t>
                </m:r>
              </m:sub>
              <m:sup>
                <m:r>
                  <m:rPr>
                    <m:scr m:val="script"/>
                  </m:rPr>
                  <w:rPr>
                    <w:rFonts w:ascii="Cambria Math" w:eastAsiaTheme="minorEastAsia" w:hAnsi="Cambria Math" w:cstheme="minorHAnsi"/>
                    <w:sz w:val="24"/>
                    <w:szCs w:val="24"/>
                    <w:lang w:val="en-US"/>
                  </w:rPr>
                  <m:t>Z</m:t>
                </m:r>
              </m:sup>
            </m:sSubSup>
            <m:r>
              <w:rPr>
                <w:rFonts w:ascii="Cambria Math" w:eastAsiaTheme="minorEastAsia" w:hAnsi="Cambria Math" w:cstheme="minorHAnsi"/>
                <w:sz w:val="24"/>
                <w:szCs w:val="24"/>
                <w:lang w:val="en-US"/>
              </w:rPr>
              <m:t>,</m:t>
            </m:r>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M</m:t>
                </m:r>
              </m:e>
              <m:sub>
                <m:r>
                  <m:rPr>
                    <m:scr m:val="script"/>
                  </m:rPr>
                  <w:rPr>
                    <w:rFonts w:ascii="Cambria Math" w:eastAsiaTheme="minorEastAsia" w:hAnsi="Cambria Math" w:cstheme="minorHAnsi"/>
                    <w:sz w:val="24"/>
                    <w:szCs w:val="24"/>
                    <w:lang w:val="en-US"/>
                  </w:rPr>
                  <m:t>i</m:t>
                </m:r>
              </m:sub>
              <m:sup>
                <m:r>
                  <m:rPr>
                    <m:scr m:val="script"/>
                  </m:rPr>
                  <w:rPr>
                    <w:rFonts w:ascii="Cambria Math" w:eastAsiaTheme="minorEastAsia" w:hAnsi="Cambria Math" w:cstheme="minorHAnsi"/>
                    <w:sz w:val="24"/>
                    <w:szCs w:val="24"/>
                    <w:lang w:val="en-US"/>
                  </w:rPr>
                  <m:t>X</m:t>
                </m:r>
              </m:sup>
            </m:sSubSup>
          </m:e>
        </m:d>
      </m:oMath>
      <w:r w:rsidRPr="00CD364B">
        <w:rPr>
          <w:rFonts w:eastAsiaTheme="minorEastAsia" w:cstheme="minorHAnsi"/>
          <w:sz w:val="24"/>
          <w:szCs w:val="24"/>
          <w:lang w:val="en-US"/>
        </w:rPr>
        <w:t xml:space="preserve"> is termed as the conditional scattering function of </w:t>
      </w:r>
      <m:oMath>
        <m:sSub>
          <m:sSubPr>
            <m:ctrlPr>
              <w:rPr>
                <w:rFonts w:ascii="Cambria Math" w:hAnsi="Cambria Math" w:cstheme="minorHAnsi"/>
                <w:i/>
                <w:sz w:val="24"/>
                <w:szCs w:val="24"/>
                <w:lang w:val="en-US"/>
              </w:rPr>
            </m:ctrlPr>
          </m:sSubPr>
          <m:e>
            <m:r>
              <m:rPr>
                <m:scr m:val="script"/>
              </m:rPr>
              <w:rPr>
                <w:rFonts w:ascii="Cambria Math" w:hAnsi="Cambria Math" w:cstheme="minorHAnsi"/>
                <w:sz w:val="24"/>
                <w:szCs w:val="24"/>
                <w:lang w:val="en-US"/>
              </w:rPr>
              <m:t>Z</m:t>
            </m:r>
          </m:e>
          <m:sub>
            <m:r>
              <w:rPr>
                <w:rFonts w:ascii="Cambria Math" w:hAnsi="Cambria Math" w:cstheme="minorHAnsi"/>
                <w:sz w:val="24"/>
                <w:szCs w:val="24"/>
                <w:lang w:val="en-US"/>
              </w:rPr>
              <m:t>i</m:t>
            </m:r>
          </m:sub>
        </m:sSub>
      </m:oMath>
      <w:r w:rsidRPr="00CD364B">
        <w:rPr>
          <w:rFonts w:eastAsiaTheme="minorEastAsia" w:cstheme="minorHAnsi"/>
          <w:sz w:val="24"/>
          <w:szCs w:val="24"/>
          <w:lang w:val="en-US"/>
        </w:rPr>
        <w:t xml:space="preserve"> provided </w:t>
      </w:r>
      <m:oMath>
        <m:sSubSup>
          <m:sSubSupPr>
            <m:ctrlPr>
              <w:rPr>
                <w:rFonts w:ascii="Cambria Math" w:hAnsi="Cambria Math" w:cstheme="minorHAnsi"/>
                <w:i/>
                <w:sz w:val="24"/>
                <w:szCs w:val="24"/>
                <w:lang w:val="en-US"/>
              </w:rPr>
            </m:ctrlPr>
          </m:sSubSupPr>
          <m:e>
            <m:r>
              <w:rPr>
                <w:rFonts w:ascii="Cambria Math" w:hAnsi="Cambria Math" w:cstheme="minorHAnsi"/>
                <w:sz w:val="24"/>
                <w:szCs w:val="24"/>
                <w:lang w:val="en-US"/>
              </w:rPr>
              <m:t>(M</m:t>
            </m:r>
          </m:e>
          <m:sub>
            <m:r>
              <m:rPr>
                <m:scr m:val="script"/>
              </m:rPr>
              <w:rPr>
                <w:rFonts w:ascii="Cambria Math" w:hAnsi="Cambria Math" w:cstheme="minorHAnsi"/>
                <w:sz w:val="24"/>
                <w:szCs w:val="24"/>
                <w:lang w:val="en-US"/>
              </w:rPr>
              <m:t>i</m:t>
            </m:r>
          </m:sub>
          <m:sup>
            <m:r>
              <m:rPr>
                <m:scr m:val="script"/>
              </m:rPr>
              <w:rPr>
                <w:rFonts w:ascii="Cambria Math" w:hAnsi="Cambria Math" w:cstheme="minorHAnsi"/>
                <w:sz w:val="24"/>
                <w:szCs w:val="24"/>
                <w:lang w:val="en-US"/>
              </w:rPr>
              <m:t>X</m:t>
            </m:r>
          </m:sup>
        </m:sSubSup>
        <m:r>
          <w:rPr>
            <w:rFonts w:ascii="Cambria Math" w:hAnsi="Cambria Math" w:cstheme="minorHAnsi"/>
            <w:sz w:val="24"/>
            <w:szCs w:val="24"/>
            <w:lang w:val="en-US"/>
          </w:rPr>
          <m:t xml:space="preserve">, </m:t>
        </m:r>
        <m:sSubSup>
          <m:sSubSupPr>
            <m:ctrlPr>
              <w:rPr>
                <w:rFonts w:ascii="Cambria Math" w:hAnsi="Cambria Math" w:cstheme="minorHAnsi"/>
                <w:i/>
                <w:sz w:val="24"/>
                <w:szCs w:val="24"/>
                <w:lang w:val="en-US"/>
              </w:rPr>
            </m:ctrlPr>
          </m:sSubSupPr>
          <m:e>
            <m:r>
              <w:rPr>
                <w:rFonts w:ascii="Cambria Math" w:hAnsi="Cambria Math" w:cstheme="minorHAnsi"/>
                <w:sz w:val="24"/>
                <w:szCs w:val="24"/>
                <w:lang w:val="en-US"/>
              </w:rPr>
              <m:t>M</m:t>
            </m:r>
          </m:e>
          <m:sub>
            <m:r>
              <m:rPr>
                <m:scr m:val="script"/>
              </m:rPr>
              <w:rPr>
                <w:rFonts w:ascii="Cambria Math" w:hAnsi="Cambria Math" w:cstheme="minorHAnsi"/>
                <w:sz w:val="24"/>
                <w:szCs w:val="24"/>
                <w:lang w:val="en-US"/>
              </w:rPr>
              <m:t>i</m:t>
            </m:r>
          </m:sub>
          <m:sup>
            <m:r>
              <m:rPr>
                <m:scr m:val="script"/>
              </m:rPr>
              <w:rPr>
                <w:rFonts w:ascii="Cambria Math" w:hAnsi="Cambria Math" w:cstheme="minorHAnsi"/>
                <w:sz w:val="24"/>
                <w:szCs w:val="24"/>
                <w:lang w:val="en-US"/>
              </w:rPr>
              <m:t>Z</m:t>
            </m:r>
          </m:sup>
        </m:sSubSup>
        <m:r>
          <w:rPr>
            <w:rFonts w:ascii="Cambria Math" w:hAnsi="Cambria Math" w:cstheme="minorHAnsi"/>
            <w:sz w:val="24"/>
            <w:szCs w:val="24"/>
            <w:lang w:val="en-US"/>
          </w:rPr>
          <m:t>)</m:t>
        </m:r>
      </m:oMath>
      <w:r w:rsidRPr="00CD364B">
        <w:rPr>
          <w:rFonts w:eastAsiaTheme="minorEastAsia" w:cstheme="minorHAnsi"/>
          <w:sz w:val="24"/>
          <w:szCs w:val="24"/>
          <w:lang w:val="en-US"/>
        </w:rPr>
        <w:t xml:space="preserve"> in the ambit of null hypothesis represented in equation 1</w:t>
      </w:r>
      <w:r w:rsidR="005030A7" w:rsidRPr="00CD364B">
        <w:rPr>
          <w:rFonts w:eastAsiaTheme="minorEastAsia" w:cstheme="minorHAnsi"/>
          <w:sz w:val="24"/>
          <w:szCs w:val="24"/>
          <w:lang w:val="en-US"/>
        </w:rPr>
        <w:t>4</w:t>
      </w:r>
      <w:r w:rsidRPr="00CD364B">
        <w:rPr>
          <w:rFonts w:eastAsiaTheme="minorEastAsia" w:cstheme="minorHAnsi"/>
          <w:sz w:val="24"/>
          <w:szCs w:val="24"/>
          <w:lang w:val="en-US"/>
        </w:rPr>
        <w:t>. We further follow the work of Troster (2018) in performing the D</w:t>
      </w:r>
      <w:r w:rsidRPr="00CD364B">
        <w:rPr>
          <w:rFonts w:eastAsiaTheme="minorEastAsia" w:cstheme="minorHAnsi"/>
          <w:sz w:val="24"/>
          <w:szCs w:val="24"/>
          <w:vertAlign w:val="subscript"/>
          <w:lang w:val="en-US"/>
        </w:rPr>
        <w:t xml:space="preserve">t </w:t>
      </w:r>
      <w:r w:rsidRPr="00CD364B">
        <w:rPr>
          <w:rFonts w:eastAsiaTheme="minorEastAsia" w:cstheme="minorHAnsi"/>
          <w:sz w:val="24"/>
          <w:szCs w:val="24"/>
          <w:lang w:val="en-US"/>
        </w:rPr>
        <w:t xml:space="preserve">test which identifies the Quantile Auto Regressive (QAR) framework </w:t>
      </w:r>
      <m:oMath>
        <m:r>
          <m:rPr>
            <m:scr m:val="script"/>
          </m:rPr>
          <w:rPr>
            <w:rFonts w:ascii="Cambria Math" w:eastAsiaTheme="minorEastAsia" w:hAnsi="Cambria Math" w:cstheme="minorHAnsi"/>
            <w:sz w:val="24"/>
            <w:szCs w:val="24"/>
            <w:lang w:val="en-US"/>
          </w:rPr>
          <m:t>m(∙)</m:t>
        </m:r>
      </m:oMath>
      <w:r w:rsidRPr="00CD364B">
        <w:rPr>
          <w:rFonts w:eastAsiaTheme="minorEastAsia" w:cstheme="minorHAnsi"/>
          <w:sz w:val="24"/>
          <w:szCs w:val="24"/>
          <w:lang w:val="en-US"/>
        </w:rPr>
        <w:t xml:space="preserve"> for entire</w:t>
      </w:r>
      <m:oMath>
        <m:r>
          <w:rPr>
            <w:rFonts w:ascii="Cambria Math" w:eastAsiaTheme="minorEastAsia" w:hAnsi="Cambria Math" w:cstheme="minorHAnsi"/>
            <w:sz w:val="24"/>
            <w:szCs w:val="24"/>
            <w:lang w:val="en-US"/>
          </w:rPr>
          <m:t xml:space="preserve"> </m:t>
        </m:r>
        <m:r>
          <w:rPr>
            <w:rFonts w:ascii="Cambria Math" w:hAnsi="Cambria Math" w:cstheme="minorHAnsi"/>
            <w:sz w:val="24"/>
            <w:szCs w:val="24"/>
            <w:lang w:val="en-US"/>
          </w:rPr>
          <m:t>π</m:t>
        </m:r>
        <m:r>
          <w:rPr>
            <w:rFonts w:ascii="Cambria Math" w:eastAsiaTheme="minorEastAsia" w:hAnsi="Cambria Math" w:cstheme="minorHAnsi"/>
            <w:sz w:val="24"/>
            <w:szCs w:val="24"/>
            <w:lang w:val="en-US"/>
          </w:rPr>
          <m:t>∈</m:t>
        </m:r>
        <m:r>
          <m:rPr>
            <m:sty m:val="p"/>
          </m:rPr>
          <w:rPr>
            <w:rFonts w:ascii="Cambria Math" w:eastAsiaTheme="minorEastAsia" w:hAnsi="Cambria Math" w:cstheme="minorHAnsi"/>
            <w:sz w:val="24"/>
            <w:szCs w:val="24"/>
            <w:lang w:val="en-US"/>
          </w:rPr>
          <m:t>Γ⊂[0,1]</m:t>
        </m:r>
      </m:oMath>
      <w:r w:rsidRPr="00CD364B">
        <w:rPr>
          <w:rFonts w:eastAsiaTheme="minorEastAsia" w:cstheme="minorHAnsi"/>
          <w:sz w:val="24"/>
          <w:szCs w:val="24"/>
          <w:lang w:val="en-US"/>
        </w:rPr>
        <w:t>, upon the null hypothesis of non-Granger causal relationship. The same may be indicated as follows:</w:t>
      </w:r>
    </w:p>
    <w:p w14:paraId="6766CCF2" w14:textId="77777777" w:rsidR="009B5921" w:rsidRPr="00CD364B" w:rsidRDefault="009B5921" w:rsidP="00004F21">
      <w:pPr>
        <w:autoSpaceDE w:val="0"/>
        <w:autoSpaceDN w:val="0"/>
        <w:adjustRightInd w:val="0"/>
        <w:spacing w:after="0" w:line="360" w:lineRule="auto"/>
        <w:ind w:firstLine="720"/>
        <w:jc w:val="both"/>
        <w:rPr>
          <w:rFonts w:eastAsiaTheme="minorEastAsia" w:cstheme="minorHAnsi"/>
          <w:sz w:val="24"/>
          <w:szCs w:val="24"/>
          <w:lang w:val="en-US"/>
        </w:rPr>
      </w:pPr>
    </w:p>
    <w:p w14:paraId="1E46859E" w14:textId="15ACFF88" w:rsidR="00FF344C" w:rsidRPr="00CD364B" w:rsidRDefault="00FF344C" w:rsidP="00096B1A">
      <w:pPr>
        <w:autoSpaceDE w:val="0"/>
        <w:autoSpaceDN w:val="0"/>
        <w:adjustRightInd w:val="0"/>
        <w:spacing w:after="0" w:line="360" w:lineRule="auto"/>
        <w:ind w:firstLine="720"/>
        <w:jc w:val="both"/>
        <w:rPr>
          <w:rFonts w:eastAsiaTheme="minorEastAsia" w:cstheme="minorHAnsi"/>
          <w:sz w:val="24"/>
          <w:szCs w:val="24"/>
          <w:lang w:val="en-US"/>
        </w:rPr>
      </w:pPr>
      <m:oMath>
        <m:r>
          <w:rPr>
            <w:rFonts w:ascii="Cambria Math" w:eastAsiaTheme="minorEastAsia" w:hAnsi="Cambria Math" w:cstheme="minorHAnsi"/>
            <w:sz w:val="24"/>
            <w:szCs w:val="24"/>
            <w:lang w:val="en-US"/>
          </w:rPr>
          <m:t>QAR</m:t>
        </m:r>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1</m:t>
            </m:r>
          </m:e>
        </m:d>
        <m:r>
          <w:rPr>
            <w:rFonts w:ascii="Cambria Math" w:eastAsiaTheme="minorEastAsia" w:hAnsi="Cambria Math" w:cstheme="minorHAnsi"/>
            <w:sz w:val="24"/>
            <w:szCs w:val="24"/>
            <w:lang w:val="en-US"/>
          </w:rPr>
          <m:t>:</m:t>
        </m:r>
        <m:sSup>
          <m:sSupPr>
            <m:ctrlPr>
              <w:rPr>
                <w:rFonts w:ascii="Cambria Math" w:eastAsiaTheme="minorEastAsia" w:hAnsi="Cambria Math" w:cstheme="minorHAnsi"/>
                <w:i/>
                <w:sz w:val="24"/>
                <w:szCs w:val="24"/>
                <w:lang w:val="en-US"/>
              </w:rPr>
            </m:ctrlPr>
          </m:sSupPr>
          <m:e>
            <m:r>
              <m:rPr>
                <m:scr m:val="script"/>
              </m:rPr>
              <w:rPr>
                <w:rFonts w:ascii="Cambria Math" w:eastAsiaTheme="minorEastAsia" w:hAnsi="Cambria Math" w:cstheme="minorHAnsi"/>
                <w:sz w:val="24"/>
                <w:szCs w:val="24"/>
                <w:lang w:val="en-US"/>
              </w:rPr>
              <m:t>m</m:t>
            </m:r>
          </m:e>
          <m:sup>
            <m:r>
              <w:rPr>
                <w:rFonts w:ascii="Cambria Math" w:eastAsiaTheme="minorEastAsia" w:hAnsi="Cambria Math" w:cstheme="minorHAnsi"/>
                <w:sz w:val="24"/>
                <w:szCs w:val="24"/>
                <w:lang w:val="en-US"/>
              </w:rPr>
              <m:t>1</m:t>
            </m:r>
          </m:sup>
        </m:sSup>
        <m:d>
          <m:dPr>
            <m:ctrlPr>
              <w:rPr>
                <w:rFonts w:ascii="Cambria Math" w:eastAsiaTheme="minorEastAsia" w:hAnsi="Cambria Math" w:cstheme="minorHAnsi"/>
                <w:i/>
                <w:sz w:val="24"/>
                <w:szCs w:val="24"/>
                <w:lang w:val="en-US"/>
              </w:rPr>
            </m:ctrlPr>
          </m:dPr>
          <m:e>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M</m:t>
                </m:r>
              </m:e>
              <m:sub>
                <m:r>
                  <m:rPr>
                    <m:scr m:val="script"/>
                  </m:rPr>
                  <w:rPr>
                    <w:rFonts w:ascii="Cambria Math" w:eastAsiaTheme="minorEastAsia" w:hAnsi="Cambria Math" w:cstheme="minorHAnsi"/>
                    <w:sz w:val="24"/>
                    <w:szCs w:val="24"/>
                    <w:lang w:val="en-US"/>
                  </w:rPr>
                  <m:t>i</m:t>
                </m:r>
              </m:sub>
              <m:sup>
                <m:r>
                  <m:rPr>
                    <m:scr m:val="script"/>
                  </m:rPr>
                  <w:rPr>
                    <w:rFonts w:ascii="Cambria Math" w:eastAsiaTheme="minorEastAsia" w:hAnsi="Cambria Math" w:cstheme="minorHAnsi"/>
                    <w:sz w:val="24"/>
                    <w:szCs w:val="24"/>
                    <w:lang w:val="en-US"/>
                  </w:rPr>
                  <m:t>Z</m:t>
                </m:r>
              </m:sup>
            </m:sSubSup>
          </m:e>
          <m:e>
            <m:r>
              <w:rPr>
                <w:rFonts w:ascii="Cambria Math" w:eastAsiaTheme="minorEastAsia" w:hAnsi="Cambria Math" w:cstheme="minorHAnsi"/>
                <w:sz w:val="24"/>
                <w:szCs w:val="24"/>
                <w:lang w:val="en-US"/>
              </w:rPr>
              <m:t>∂</m:t>
            </m:r>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π</m:t>
                </m:r>
              </m:e>
            </m:d>
          </m:e>
        </m:d>
        <m:r>
          <w:rPr>
            <w:rFonts w:ascii="Cambria Math" w:eastAsiaTheme="minorEastAsia" w:hAnsi="Cambria Math" w:cstheme="minorHAnsi"/>
            <w:sz w:val="24"/>
            <w:szCs w:val="24"/>
            <w:lang w:val="en-US"/>
          </w:rPr>
          <m:t>=</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λ</m:t>
            </m:r>
          </m:e>
          <m:sub>
            <m:r>
              <w:rPr>
                <w:rFonts w:ascii="Cambria Math" w:eastAsiaTheme="minorEastAsia" w:hAnsi="Cambria Math" w:cstheme="minorHAnsi"/>
                <w:sz w:val="24"/>
                <w:szCs w:val="24"/>
                <w:lang w:val="en-US"/>
              </w:rPr>
              <m:t>1</m:t>
            </m:r>
          </m:sub>
        </m:sSub>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π</m:t>
            </m:r>
          </m:e>
        </m:d>
        <m:r>
          <w:rPr>
            <w:rFonts w:ascii="Cambria Math" w:eastAsiaTheme="minorEastAsia" w:hAnsi="Cambria Math" w:cstheme="minorHAnsi"/>
            <w:sz w:val="24"/>
            <w:szCs w:val="24"/>
            <w:lang w:val="en-US"/>
          </w:rPr>
          <m:t>+</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λ</m:t>
            </m:r>
          </m:e>
          <m:sub>
            <m:r>
              <w:rPr>
                <w:rFonts w:ascii="Cambria Math" w:eastAsiaTheme="minorEastAsia" w:hAnsi="Cambria Math" w:cstheme="minorHAnsi"/>
                <w:sz w:val="24"/>
                <w:szCs w:val="24"/>
                <w:lang w:val="en-US"/>
              </w:rPr>
              <m:t>2</m:t>
            </m:r>
          </m:sub>
        </m:sSub>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π</m:t>
            </m:r>
          </m:e>
        </m:d>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Z</m:t>
            </m:r>
          </m:e>
          <m:sub>
            <m:r>
              <m:rPr>
                <m:scr m:val="script"/>
              </m:rPr>
              <w:rPr>
                <w:rFonts w:ascii="Cambria Math" w:eastAsiaTheme="minorEastAsia" w:hAnsi="Cambria Math" w:cstheme="minorHAnsi"/>
                <w:sz w:val="24"/>
                <w:szCs w:val="24"/>
                <w:lang w:val="en-US"/>
              </w:rPr>
              <m:t>i-</m:t>
            </m:r>
            <m:r>
              <w:rPr>
                <w:rFonts w:ascii="Cambria Math" w:eastAsiaTheme="minorEastAsia" w:hAnsi="Cambria Math" w:cstheme="minorHAnsi"/>
                <w:sz w:val="24"/>
                <w:szCs w:val="24"/>
                <w:lang w:val="en-US"/>
              </w:rPr>
              <m:t>1</m:t>
            </m:r>
          </m:sub>
        </m:sSub>
        <m:r>
          <w:rPr>
            <w:rFonts w:ascii="Cambria Math" w:eastAsiaTheme="minorEastAsia" w:hAnsi="Cambria Math" w:cstheme="minorHAnsi"/>
            <w:sz w:val="24"/>
            <w:szCs w:val="24"/>
            <w:lang w:val="en-US"/>
          </w:rPr>
          <m:t>+</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μ</m:t>
            </m:r>
          </m:e>
          <m:sub>
            <m:r>
              <m:rPr>
                <m:scr m:val="script"/>
              </m:rPr>
              <w:rPr>
                <w:rFonts w:ascii="Cambria Math" w:eastAsiaTheme="minorEastAsia" w:hAnsi="Cambria Math" w:cstheme="minorHAnsi"/>
                <w:sz w:val="24"/>
                <w:szCs w:val="24"/>
                <w:lang w:val="en-US"/>
              </w:rPr>
              <m:t>t</m:t>
            </m:r>
          </m:sub>
        </m:sSub>
        <m:sSubSup>
          <m:sSubSupPr>
            <m:ctrlPr>
              <w:rPr>
                <w:rFonts w:ascii="Cambria Math" w:eastAsiaTheme="minorEastAsia" w:hAnsi="Cambria Math" w:cstheme="minorHAnsi"/>
                <w:i/>
                <w:sz w:val="24"/>
                <w:szCs w:val="24"/>
                <w:lang w:val="en-US"/>
              </w:rPr>
            </m:ctrlPr>
          </m:sSubSupPr>
          <m:e>
            <m:r>
              <w:rPr>
                <w:rFonts w:ascii="Cambria Math" w:eastAsiaTheme="minorEastAsia" w:hAnsi="Cambria Math" w:cstheme="minorHAnsi"/>
                <w:sz w:val="24"/>
                <w:szCs w:val="24"/>
                <w:lang w:val="en-US"/>
              </w:rPr>
              <m:t>ψ</m:t>
            </m:r>
          </m:e>
          <m:sub>
            <m:r>
              <m:rPr>
                <m:scr m:val="script"/>
              </m:rPr>
              <w:rPr>
                <w:rFonts w:ascii="Cambria Math" w:eastAsiaTheme="minorEastAsia" w:hAnsi="Cambria Math" w:cstheme="minorHAnsi"/>
                <w:sz w:val="24"/>
                <w:szCs w:val="24"/>
                <w:lang w:val="en-US"/>
              </w:rPr>
              <m:t>X</m:t>
            </m:r>
          </m:sub>
          <m:sup>
            <m:r>
              <w:rPr>
                <w:rFonts w:ascii="Cambria Math" w:eastAsiaTheme="minorEastAsia" w:hAnsi="Cambria Math" w:cstheme="minorHAnsi"/>
                <w:sz w:val="24"/>
                <w:szCs w:val="24"/>
                <w:lang w:val="en-US"/>
              </w:rPr>
              <m:t>-1</m:t>
            </m:r>
          </m:sup>
        </m:sSubSup>
        <m:r>
          <w:rPr>
            <w:rFonts w:ascii="Cambria Math" w:eastAsiaTheme="minorEastAsia" w:hAnsi="Cambria Math" w:cstheme="minorHAnsi"/>
            <w:sz w:val="24"/>
            <w:szCs w:val="24"/>
            <w:lang w:val="en-US"/>
          </w:rPr>
          <m:t xml:space="preserve">(π) </m:t>
        </m:r>
      </m:oMath>
      <w:r w:rsidRPr="00CD364B">
        <w:rPr>
          <w:rFonts w:eastAsiaTheme="minorEastAsia" w:cstheme="minorHAnsi"/>
          <w:sz w:val="24"/>
          <w:szCs w:val="24"/>
          <w:lang w:val="en-US"/>
        </w:rPr>
        <w:t xml:space="preserve">                  (1</w:t>
      </w:r>
      <w:r w:rsidR="005030A7" w:rsidRPr="00CD364B">
        <w:rPr>
          <w:rFonts w:eastAsiaTheme="minorEastAsia" w:cstheme="minorHAnsi"/>
          <w:sz w:val="24"/>
          <w:szCs w:val="24"/>
          <w:lang w:val="en-US"/>
        </w:rPr>
        <w:t>5</w:t>
      </w:r>
      <w:r w:rsidRPr="00CD364B">
        <w:rPr>
          <w:rFonts w:eastAsiaTheme="minorEastAsia" w:cstheme="minorHAnsi"/>
          <w:sz w:val="24"/>
          <w:szCs w:val="24"/>
          <w:lang w:val="en-US"/>
        </w:rPr>
        <w:t>)</w:t>
      </w:r>
    </w:p>
    <w:p w14:paraId="12FCC09C" w14:textId="77777777" w:rsidR="009B5921" w:rsidRPr="00CD364B" w:rsidRDefault="009B5921" w:rsidP="00004F21">
      <w:pPr>
        <w:autoSpaceDE w:val="0"/>
        <w:autoSpaceDN w:val="0"/>
        <w:adjustRightInd w:val="0"/>
        <w:spacing w:after="0" w:line="360" w:lineRule="auto"/>
        <w:jc w:val="both"/>
        <w:rPr>
          <w:rFonts w:eastAsiaTheme="minorEastAsia" w:cstheme="minorHAnsi"/>
          <w:sz w:val="24"/>
          <w:szCs w:val="24"/>
          <w:lang w:val="en-US"/>
        </w:rPr>
      </w:pPr>
    </w:p>
    <w:p w14:paraId="1280CDFA" w14:textId="0575E024" w:rsidR="00FF344C" w:rsidRPr="00CD364B" w:rsidRDefault="00FF344C" w:rsidP="00004F21">
      <w:pPr>
        <w:autoSpaceDE w:val="0"/>
        <w:autoSpaceDN w:val="0"/>
        <w:adjustRightInd w:val="0"/>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where the values </w:t>
      </w:r>
      <m:oMath>
        <m:r>
          <w:rPr>
            <w:rFonts w:ascii="Cambria Math" w:eastAsiaTheme="minorEastAsia" w:hAnsi="Cambria Math" w:cstheme="minorHAnsi"/>
            <w:sz w:val="24"/>
            <w:szCs w:val="24"/>
            <w:lang w:val="en-US"/>
          </w:rPr>
          <m:t>∂</m:t>
        </m:r>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π</m:t>
            </m:r>
          </m:e>
        </m:d>
        <m:r>
          <w:rPr>
            <w:rFonts w:ascii="Cambria Math" w:eastAsiaTheme="minorEastAsia" w:hAnsi="Cambria Math" w:cstheme="minorHAnsi"/>
            <w:sz w:val="24"/>
            <w:szCs w:val="24"/>
            <w:lang w:val="en-US"/>
          </w:rPr>
          <m:t xml:space="preserve">= </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λ</m:t>
            </m:r>
          </m:e>
          <m:sub>
            <m:r>
              <w:rPr>
                <w:rFonts w:ascii="Cambria Math" w:eastAsiaTheme="minorEastAsia" w:hAnsi="Cambria Math" w:cstheme="minorHAnsi"/>
                <w:sz w:val="24"/>
                <w:szCs w:val="24"/>
                <w:lang w:val="en-US"/>
              </w:rPr>
              <m:t>1</m:t>
            </m:r>
          </m:sub>
        </m:sSub>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π</m:t>
            </m:r>
          </m:e>
        </m:d>
        <m:r>
          <w:rPr>
            <w:rFonts w:ascii="Cambria Math" w:eastAsiaTheme="minorEastAsia" w:hAnsi="Cambria Math" w:cstheme="minorHAnsi"/>
            <w:sz w:val="24"/>
            <w:szCs w:val="24"/>
            <w:lang w:val="en-US"/>
          </w:rPr>
          <m:t xml:space="preserve">, </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λ</m:t>
            </m:r>
          </m:e>
          <m:sub>
            <m:r>
              <w:rPr>
                <w:rFonts w:ascii="Cambria Math" w:eastAsiaTheme="minorEastAsia" w:hAnsi="Cambria Math" w:cstheme="minorHAnsi"/>
                <w:sz w:val="24"/>
                <w:szCs w:val="24"/>
                <w:lang w:val="en-US"/>
              </w:rPr>
              <m:t>2</m:t>
            </m:r>
          </m:sub>
        </m:sSub>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π</m:t>
            </m:r>
          </m:e>
        </m:d>
      </m:oMath>
      <w:r w:rsidRPr="00CD364B">
        <w:rPr>
          <w:rFonts w:eastAsiaTheme="minorEastAsia" w:cstheme="minorHAnsi"/>
          <w:sz w:val="24"/>
          <w:szCs w:val="24"/>
          <w:lang w:val="en-US"/>
        </w:rPr>
        <w:t xml:space="preserve"> and </w:t>
      </w:r>
      <m:oMath>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μ</m:t>
            </m:r>
          </m:e>
          <m:sub>
            <m:r>
              <w:rPr>
                <w:rFonts w:ascii="Cambria Math" w:eastAsiaTheme="minorEastAsia" w:hAnsi="Cambria Math" w:cstheme="minorHAnsi"/>
                <w:sz w:val="24"/>
                <w:szCs w:val="24"/>
                <w:lang w:val="en-US"/>
              </w:rPr>
              <m:t>t</m:t>
            </m:r>
          </m:sub>
        </m:sSub>
      </m:oMath>
      <w:r w:rsidRPr="00CD364B">
        <w:rPr>
          <w:rFonts w:eastAsiaTheme="minorEastAsia" w:cstheme="minorHAnsi"/>
          <w:sz w:val="24"/>
          <w:szCs w:val="24"/>
          <w:lang w:val="en-US"/>
        </w:rPr>
        <w:t xml:space="preserve"> are calculated by supreme probability in an identical space of grid of quantiles, and </w:t>
      </w:r>
      <m:oMath>
        <m:sSubSup>
          <m:sSubSupPr>
            <m:ctrlPr>
              <w:rPr>
                <w:rFonts w:ascii="Cambria Math" w:eastAsiaTheme="minorEastAsia" w:hAnsi="Cambria Math" w:cstheme="minorHAnsi"/>
                <w:i/>
                <w:sz w:val="24"/>
                <w:szCs w:val="24"/>
                <w:lang w:val="en-US"/>
              </w:rPr>
            </m:ctrlPr>
          </m:sSubSupPr>
          <m:e>
            <m:r>
              <w:rPr>
                <w:rFonts w:ascii="Cambria Math" w:eastAsiaTheme="minorEastAsia" w:hAnsi="Cambria Math" w:cstheme="minorHAnsi"/>
                <w:sz w:val="24"/>
                <w:szCs w:val="24"/>
                <w:lang w:val="en-US"/>
              </w:rPr>
              <m:t>ψ</m:t>
            </m:r>
          </m:e>
          <m:sub>
            <m:r>
              <m:rPr>
                <m:scr m:val="script"/>
              </m:rPr>
              <w:rPr>
                <w:rFonts w:ascii="Cambria Math" w:eastAsiaTheme="minorEastAsia" w:hAnsi="Cambria Math" w:cstheme="minorHAnsi"/>
                <w:sz w:val="24"/>
                <w:szCs w:val="24"/>
                <w:lang w:val="en-US"/>
              </w:rPr>
              <m:t>X</m:t>
            </m:r>
          </m:sub>
          <m:sup>
            <m:r>
              <w:rPr>
                <w:rFonts w:ascii="Cambria Math" w:eastAsiaTheme="minorEastAsia" w:hAnsi="Cambria Math" w:cstheme="minorHAnsi"/>
                <w:sz w:val="24"/>
                <w:szCs w:val="24"/>
                <w:lang w:val="en-US"/>
              </w:rPr>
              <m:t>-1</m:t>
            </m:r>
          </m:sup>
        </m:sSubSup>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m:t>
            </m:r>
          </m:e>
        </m:d>
      </m:oMath>
      <w:r w:rsidRPr="00CD364B">
        <w:rPr>
          <w:rFonts w:eastAsiaTheme="minorEastAsia" w:cstheme="minorHAnsi"/>
          <w:sz w:val="24"/>
          <w:szCs w:val="24"/>
          <w:lang w:val="en-US"/>
        </w:rPr>
        <w:t xml:space="preserve"> is the converse of a traditional ordinary scattering function. We further rectify the causality sign between the variables, by calculating the Quantile Auto regressive framework in equation 1</w:t>
      </w:r>
      <w:r w:rsidR="005030A7" w:rsidRPr="00CD364B">
        <w:rPr>
          <w:rFonts w:eastAsiaTheme="minorEastAsia" w:cstheme="minorHAnsi"/>
          <w:sz w:val="24"/>
          <w:szCs w:val="24"/>
          <w:lang w:val="en-US"/>
        </w:rPr>
        <w:t>5</w:t>
      </w:r>
      <w:r w:rsidRPr="00CD364B">
        <w:rPr>
          <w:rFonts w:eastAsiaTheme="minorEastAsia" w:cstheme="minorHAnsi"/>
          <w:sz w:val="24"/>
          <w:szCs w:val="24"/>
          <w:lang w:val="en-US"/>
        </w:rPr>
        <w:t xml:space="preserve"> with the lagged variable to another variable. The equation of </w:t>
      </w:r>
      <w:r w:rsidR="002A1839" w:rsidRPr="00CD364B">
        <w:rPr>
          <w:rFonts w:eastAsiaTheme="minorEastAsia" w:cstheme="minorHAnsi"/>
          <w:sz w:val="24"/>
          <w:szCs w:val="24"/>
          <w:lang w:val="en-US"/>
        </w:rPr>
        <w:t>QAR (</w:t>
      </w:r>
      <w:r w:rsidRPr="00CD364B">
        <w:rPr>
          <w:rFonts w:eastAsiaTheme="minorEastAsia" w:cstheme="minorHAnsi"/>
          <w:sz w:val="24"/>
          <w:szCs w:val="24"/>
          <w:lang w:val="en-US"/>
        </w:rPr>
        <w:t>1) model developed from equation 16 may be represented as follows:</w:t>
      </w:r>
    </w:p>
    <w:p w14:paraId="162472CA" w14:textId="77777777" w:rsidR="009B5921" w:rsidRPr="00CD364B" w:rsidRDefault="009B5921" w:rsidP="00004F21">
      <w:pPr>
        <w:autoSpaceDE w:val="0"/>
        <w:autoSpaceDN w:val="0"/>
        <w:adjustRightInd w:val="0"/>
        <w:spacing w:after="0" w:line="360" w:lineRule="auto"/>
        <w:jc w:val="both"/>
        <w:rPr>
          <w:rFonts w:eastAsiaTheme="minorEastAsia" w:cstheme="minorHAnsi"/>
          <w:sz w:val="24"/>
          <w:szCs w:val="24"/>
          <w:lang w:val="en-US"/>
        </w:rPr>
      </w:pPr>
    </w:p>
    <w:p w14:paraId="323C30C9" w14:textId="28D3BC62" w:rsidR="009B5921" w:rsidRPr="00CD364B" w:rsidRDefault="00FF747F" w:rsidP="00096B1A">
      <w:pPr>
        <w:autoSpaceDE w:val="0"/>
        <w:autoSpaceDN w:val="0"/>
        <w:adjustRightInd w:val="0"/>
        <w:spacing w:after="0" w:line="360" w:lineRule="auto"/>
        <w:ind w:firstLine="720"/>
        <w:jc w:val="both"/>
        <w:rPr>
          <w:rFonts w:eastAsiaTheme="minorEastAsia" w:cstheme="minorHAnsi"/>
          <w:sz w:val="24"/>
          <w:szCs w:val="24"/>
          <w:lang w:val="en-US"/>
        </w:rPr>
      </w:pPr>
      <m:oMath>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Q</m:t>
            </m:r>
          </m:e>
          <m:sub>
            <m:r>
              <w:rPr>
                <w:rFonts w:ascii="Cambria Math" w:eastAsiaTheme="minorEastAsia" w:hAnsi="Cambria Math" w:cstheme="minorHAnsi"/>
                <w:sz w:val="24"/>
                <w:szCs w:val="24"/>
                <w:lang w:val="en-US"/>
              </w:rPr>
              <m:t>π</m:t>
            </m:r>
          </m:sub>
          <m:sup>
            <m:r>
              <m:rPr>
                <m:scr m:val="script"/>
              </m:rPr>
              <w:rPr>
                <w:rFonts w:ascii="Cambria Math" w:eastAsiaTheme="minorEastAsia" w:hAnsi="Cambria Math" w:cstheme="minorHAnsi"/>
                <w:sz w:val="24"/>
                <w:szCs w:val="24"/>
                <w:lang w:val="en-US"/>
              </w:rPr>
              <m:t>Z</m:t>
            </m:r>
          </m:sup>
        </m:sSubSup>
        <m:r>
          <w:rPr>
            <w:rFonts w:ascii="Cambria Math" w:eastAsiaTheme="minorEastAsia" w:hAnsi="Cambria Math" w:cstheme="minorHAnsi"/>
            <w:sz w:val="24"/>
            <w:szCs w:val="24"/>
            <w:lang w:val="en-US"/>
          </w:rPr>
          <m:t>=</m:t>
        </m:r>
        <m:d>
          <m:dPr>
            <m:ctrlPr>
              <w:rPr>
                <w:rFonts w:ascii="Cambria Math" w:eastAsiaTheme="minorEastAsia" w:hAnsi="Cambria Math" w:cstheme="minorHAnsi"/>
                <w:i/>
                <w:sz w:val="24"/>
                <w:szCs w:val="24"/>
                <w:lang w:val="en-US"/>
              </w:rPr>
            </m:ctrlPr>
          </m:dPr>
          <m:e>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Z</m:t>
                </m:r>
              </m:e>
              <m:sub>
                <m:r>
                  <m:rPr>
                    <m:scr m:val="script"/>
                  </m:rPr>
                  <w:rPr>
                    <w:rFonts w:ascii="Cambria Math" w:eastAsiaTheme="minorEastAsia" w:hAnsi="Cambria Math" w:cstheme="minorHAnsi"/>
                    <w:sz w:val="24"/>
                    <w:szCs w:val="24"/>
                    <w:lang w:val="en-US"/>
                  </w:rPr>
                  <m:t>i</m:t>
                </m:r>
              </m:sub>
            </m:sSub>
          </m:e>
          <m:e>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M</m:t>
                </m:r>
              </m:e>
              <m:sub>
                <m:r>
                  <m:rPr>
                    <m:scr m:val="script"/>
                  </m:rPr>
                  <w:rPr>
                    <w:rFonts w:ascii="Cambria Math" w:eastAsiaTheme="minorEastAsia" w:hAnsi="Cambria Math" w:cstheme="minorHAnsi"/>
                    <w:sz w:val="24"/>
                    <w:szCs w:val="24"/>
                    <w:lang w:val="en-US"/>
                  </w:rPr>
                  <m:t>i</m:t>
                </m:r>
              </m:sub>
              <m:sup>
                <m:r>
                  <m:rPr>
                    <m:scr m:val="script"/>
                  </m:rPr>
                  <w:rPr>
                    <w:rFonts w:ascii="Cambria Math" w:eastAsiaTheme="minorEastAsia" w:hAnsi="Cambria Math" w:cstheme="minorHAnsi"/>
                    <w:sz w:val="24"/>
                    <w:szCs w:val="24"/>
                    <w:lang w:val="en-US"/>
                  </w:rPr>
                  <m:t>Z</m:t>
                </m:r>
              </m:sup>
            </m:sSubSup>
            <m:r>
              <w:rPr>
                <w:rFonts w:ascii="Cambria Math" w:eastAsiaTheme="minorEastAsia" w:hAnsi="Cambria Math" w:cstheme="minorHAnsi"/>
                <w:sz w:val="24"/>
                <w:szCs w:val="24"/>
                <w:lang w:val="en-US"/>
              </w:rPr>
              <m:t>,</m:t>
            </m:r>
            <m:sSubSup>
              <m:sSubSupPr>
                <m:ctrlPr>
                  <w:rPr>
                    <w:rFonts w:ascii="Cambria Math" w:eastAsiaTheme="minorEastAsia" w:hAnsi="Cambria Math" w:cstheme="minorHAnsi"/>
                    <w:i/>
                    <w:sz w:val="24"/>
                    <w:szCs w:val="24"/>
                    <w:lang w:val="en-US"/>
                  </w:rPr>
                </m:ctrlPr>
              </m:sSubSupPr>
              <m:e>
                <m:r>
                  <m:rPr>
                    <m:scr m:val="script"/>
                  </m:rPr>
                  <w:rPr>
                    <w:rFonts w:ascii="Cambria Math" w:eastAsiaTheme="minorEastAsia" w:hAnsi="Cambria Math" w:cstheme="minorHAnsi"/>
                    <w:sz w:val="24"/>
                    <w:szCs w:val="24"/>
                    <w:lang w:val="en-US"/>
                  </w:rPr>
                  <m:t>M</m:t>
                </m:r>
              </m:e>
              <m:sub>
                <m:r>
                  <m:rPr>
                    <m:scr m:val="script"/>
                  </m:rPr>
                  <w:rPr>
                    <w:rFonts w:ascii="Cambria Math" w:eastAsiaTheme="minorEastAsia" w:hAnsi="Cambria Math" w:cstheme="minorHAnsi"/>
                    <w:sz w:val="24"/>
                    <w:szCs w:val="24"/>
                    <w:lang w:val="en-US"/>
                  </w:rPr>
                  <m:t>i</m:t>
                </m:r>
              </m:sub>
              <m:sup>
                <m:r>
                  <m:rPr>
                    <m:scr m:val="script"/>
                  </m:rPr>
                  <w:rPr>
                    <w:rFonts w:ascii="Cambria Math" w:eastAsiaTheme="minorEastAsia" w:hAnsi="Cambria Math" w:cstheme="minorHAnsi"/>
                    <w:sz w:val="24"/>
                    <w:szCs w:val="24"/>
                    <w:lang w:val="en-US"/>
                  </w:rPr>
                  <m:t>X</m:t>
                </m:r>
              </m:sup>
            </m:sSubSup>
          </m:e>
        </m:d>
        <m:r>
          <w:rPr>
            <w:rFonts w:ascii="Cambria Math" w:eastAsiaTheme="minorEastAsia" w:hAnsi="Cambria Math" w:cstheme="minorHAnsi"/>
            <w:sz w:val="24"/>
            <w:szCs w:val="24"/>
            <w:lang w:val="en-US"/>
          </w:rPr>
          <m:t xml:space="preserve">= </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λ</m:t>
            </m:r>
          </m:e>
          <m:sub>
            <m:r>
              <w:rPr>
                <w:rFonts w:ascii="Cambria Math" w:eastAsiaTheme="minorEastAsia" w:hAnsi="Cambria Math" w:cstheme="minorHAnsi"/>
                <w:sz w:val="24"/>
                <w:szCs w:val="24"/>
                <w:lang w:val="en-US"/>
              </w:rPr>
              <m:t>1</m:t>
            </m:r>
          </m:sub>
        </m:sSub>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π</m:t>
            </m:r>
          </m:e>
        </m:d>
        <m:r>
          <w:rPr>
            <w:rFonts w:ascii="Cambria Math" w:eastAsiaTheme="minorEastAsia" w:hAnsi="Cambria Math" w:cstheme="minorHAnsi"/>
            <w:sz w:val="24"/>
            <w:szCs w:val="24"/>
            <w:lang w:val="en-US"/>
          </w:rPr>
          <m:t>+</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λ</m:t>
            </m:r>
          </m:e>
          <m:sub>
            <m:r>
              <w:rPr>
                <w:rFonts w:ascii="Cambria Math" w:eastAsiaTheme="minorEastAsia" w:hAnsi="Cambria Math" w:cstheme="minorHAnsi"/>
                <w:sz w:val="24"/>
                <w:szCs w:val="24"/>
                <w:lang w:val="en-US"/>
              </w:rPr>
              <m:t>2</m:t>
            </m:r>
          </m:sub>
        </m:sSub>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π</m:t>
            </m:r>
          </m:e>
        </m:d>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Z</m:t>
            </m:r>
          </m:e>
          <m:sub>
            <m:r>
              <m:rPr>
                <m:scr m:val="script"/>
              </m:rPr>
              <w:rPr>
                <w:rFonts w:ascii="Cambria Math" w:eastAsiaTheme="minorEastAsia" w:hAnsi="Cambria Math" w:cstheme="minorHAnsi"/>
                <w:sz w:val="24"/>
                <w:szCs w:val="24"/>
                <w:lang w:val="en-US"/>
              </w:rPr>
              <m:t>i-</m:t>
            </m:r>
            <m:r>
              <w:rPr>
                <w:rFonts w:ascii="Cambria Math" w:eastAsiaTheme="minorEastAsia" w:hAnsi="Cambria Math" w:cstheme="minorHAnsi"/>
                <w:sz w:val="24"/>
                <w:szCs w:val="24"/>
                <w:lang w:val="en-US"/>
              </w:rPr>
              <m:t>1</m:t>
            </m:r>
          </m:sub>
        </m:sSub>
        <m:r>
          <w:rPr>
            <w:rFonts w:ascii="Cambria Math" w:eastAsiaTheme="minorEastAsia" w:hAnsi="Cambria Math" w:cstheme="minorHAnsi"/>
            <w:sz w:val="24"/>
            <w:szCs w:val="24"/>
            <w:lang w:val="en-US"/>
          </w:rPr>
          <m:t>+η</m:t>
        </m:r>
        <m:d>
          <m:dPr>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π</m:t>
            </m:r>
          </m:e>
        </m:d>
        <m:sSub>
          <m:sSubPr>
            <m:ctrlPr>
              <w:rPr>
                <w:rFonts w:ascii="Cambria Math" w:eastAsiaTheme="minorEastAsia" w:hAnsi="Cambria Math" w:cstheme="minorHAnsi"/>
                <w:i/>
                <w:sz w:val="24"/>
                <w:szCs w:val="24"/>
                <w:lang w:val="en-US"/>
              </w:rPr>
            </m:ctrlPr>
          </m:sSubPr>
          <m:e>
            <m:r>
              <m:rPr>
                <m:scr m:val="script"/>
              </m:rPr>
              <w:rPr>
                <w:rFonts w:ascii="Cambria Math" w:eastAsiaTheme="minorEastAsia" w:hAnsi="Cambria Math" w:cstheme="minorHAnsi"/>
                <w:sz w:val="24"/>
                <w:szCs w:val="24"/>
                <w:lang w:val="en-US"/>
              </w:rPr>
              <m:t>X</m:t>
            </m:r>
          </m:e>
          <m:sub>
            <m:r>
              <m:rPr>
                <m:scr m:val="script"/>
              </m:rPr>
              <w:rPr>
                <w:rFonts w:ascii="Cambria Math" w:eastAsiaTheme="minorEastAsia" w:hAnsi="Cambria Math" w:cstheme="minorHAnsi"/>
                <w:sz w:val="24"/>
                <w:szCs w:val="24"/>
                <w:lang w:val="en-US"/>
              </w:rPr>
              <m:t>i-</m:t>
            </m:r>
            <m:r>
              <w:rPr>
                <w:rFonts w:ascii="Cambria Math" w:eastAsiaTheme="minorEastAsia" w:hAnsi="Cambria Math" w:cstheme="minorHAnsi"/>
                <w:sz w:val="24"/>
                <w:szCs w:val="24"/>
                <w:lang w:val="en-US"/>
              </w:rPr>
              <m:t>1</m:t>
            </m:r>
          </m:sub>
        </m:sSub>
        <m:r>
          <w:rPr>
            <w:rFonts w:ascii="Cambria Math" w:eastAsiaTheme="minorEastAsia" w:hAnsi="Cambria Math" w:cstheme="minorHAnsi"/>
            <w:sz w:val="24"/>
            <w:szCs w:val="24"/>
            <w:lang w:val="en-US"/>
          </w:rPr>
          <m:t>+</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μ</m:t>
            </m:r>
          </m:e>
          <m:sub>
            <m:r>
              <m:rPr>
                <m:scr m:val="script"/>
              </m:rPr>
              <w:rPr>
                <w:rFonts w:ascii="Cambria Math" w:eastAsiaTheme="minorEastAsia" w:hAnsi="Cambria Math" w:cstheme="minorHAnsi"/>
                <w:sz w:val="24"/>
                <w:szCs w:val="24"/>
                <w:lang w:val="en-US"/>
              </w:rPr>
              <m:t>t</m:t>
            </m:r>
          </m:sub>
        </m:sSub>
        <m:sSubSup>
          <m:sSubSupPr>
            <m:ctrlPr>
              <w:rPr>
                <w:rFonts w:ascii="Cambria Math" w:eastAsiaTheme="minorEastAsia" w:hAnsi="Cambria Math" w:cstheme="minorHAnsi"/>
                <w:i/>
                <w:sz w:val="24"/>
                <w:szCs w:val="24"/>
                <w:lang w:val="en-US"/>
              </w:rPr>
            </m:ctrlPr>
          </m:sSubSupPr>
          <m:e>
            <m:r>
              <w:rPr>
                <w:rFonts w:ascii="Cambria Math" w:eastAsiaTheme="minorEastAsia" w:hAnsi="Cambria Math" w:cstheme="minorHAnsi"/>
                <w:sz w:val="24"/>
                <w:szCs w:val="24"/>
                <w:lang w:val="en-US"/>
              </w:rPr>
              <m:t>ψ</m:t>
            </m:r>
          </m:e>
          <m:sub>
            <m:r>
              <m:rPr>
                <m:scr m:val="script"/>
              </m:rPr>
              <w:rPr>
                <w:rFonts w:ascii="Cambria Math" w:eastAsiaTheme="minorEastAsia" w:hAnsi="Cambria Math" w:cstheme="minorHAnsi"/>
                <w:sz w:val="24"/>
                <w:szCs w:val="24"/>
                <w:lang w:val="en-US"/>
              </w:rPr>
              <m:t>X</m:t>
            </m:r>
          </m:sub>
          <m:sup>
            <m:r>
              <w:rPr>
                <w:rFonts w:ascii="Cambria Math" w:eastAsiaTheme="minorEastAsia" w:hAnsi="Cambria Math" w:cstheme="minorHAnsi"/>
                <w:sz w:val="24"/>
                <w:szCs w:val="24"/>
                <w:lang w:val="en-US"/>
              </w:rPr>
              <m:t>-1</m:t>
            </m:r>
          </m:sup>
        </m:sSubSup>
        <m:r>
          <w:rPr>
            <w:rFonts w:ascii="Cambria Math" w:eastAsiaTheme="minorEastAsia" w:hAnsi="Cambria Math" w:cstheme="minorHAnsi"/>
            <w:sz w:val="24"/>
            <w:szCs w:val="24"/>
            <w:lang w:val="en-US"/>
          </w:rPr>
          <m:t>(π)</m:t>
        </m:r>
      </m:oMath>
      <w:r w:rsidR="00FF344C" w:rsidRPr="00CD364B">
        <w:rPr>
          <w:rFonts w:eastAsiaTheme="minorEastAsia" w:cstheme="minorHAnsi"/>
          <w:sz w:val="24"/>
          <w:szCs w:val="24"/>
          <w:lang w:val="en-US"/>
        </w:rPr>
        <w:t xml:space="preserve">           </w:t>
      </w:r>
      <w:r w:rsidR="006668C1" w:rsidRPr="00CD364B">
        <w:rPr>
          <w:rFonts w:eastAsiaTheme="minorEastAsia" w:cstheme="minorHAnsi"/>
          <w:sz w:val="24"/>
          <w:szCs w:val="24"/>
          <w:lang w:val="en-US"/>
        </w:rPr>
        <w:t xml:space="preserve">     </w:t>
      </w:r>
      <w:r w:rsidR="00FF344C" w:rsidRPr="00CD364B">
        <w:rPr>
          <w:rFonts w:eastAsiaTheme="minorEastAsia" w:cstheme="minorHAnsi"/>
          <w:sz w:val="24"/>
          <w:szCs w:val="24"/>
          <w:lang w:val="en-US"/>
        </w:rPr>
        <w:t xml:space="preserve">         (1</w:t>
      </w:r>
      <w:r w:rsidR="005030A7" w:rsidRPr="00CD364B">
        <w:rPr>
          <w:rFonts w:eastAsiaTheme="minorEastAsia" w:cstheme="minorHAnsi"/>
          <w:sz w:val="24"/>
          <w:szCs w:val="24"/>
          <w:lang w:val="en-US"/>
        </w:rPr>
        <w:t>6</w:t>
      </w:r>
      <w:r w:rsidR="00FF344C" w:rsidRPr="00CD364B">
        <w:rPr>
          <w:rFonts w:eastAsiaTheme="minorEastAsia" w:cstheme="minorHAnsi"/>
          <w:sz w:val="24"/>
          <w:szCs w:val="24"/>
          <w:lang w:val="en-US"/>
        </w:rPr>
        <w:t>)</w:t>
      </w:r>
    </w:p>
    <w:p w14:paraId="2BB85A1A" w14:textId="77777777" w:rsidR="006668C1" w:rsidRPr="00CD364B" w:rsidRDefault="006668C1" w:rsidP="00C11EC9">
      <w:pPr>
        <w:spacing w:after="0" w:line="360" w:lineRule="auto"/>
        <w:rPr>
          <w:rFonts w:cstheme="minorHAnsi"/>
          <w:i/>
          <w:sz w:val="24"/>
          <w:szCs w:val="24"/>
          <w:lang w:val="en-US"/>
        </w:rPr>
      </w:pPr>
    </w:p>
    <w:p w14:paraId="1C38C038" w14:textId="77777777" w:rsidR="00096B1A" w:rsidRPr="00CD364B" w:rsidRDefault="00096B1A" w:rsidP="00096B1A">
      <w:pPr>
        <w:spacing w:after="0" w:line="360" w:lineRule="auto"/>
        <w:rPr>
          <w:rFonts w:cstheme="minorHAnsi"/>
          <w:b/>
          <w:sz w:val="24"/>
          <w:szCs w:val="24"/>
          <w:lang w:val="en-US"/>
        </w:rPr>
      </w:pPr>
      <w:r w:rsidRPr="00CD364B">
        <w:rPr>
          <w:rFonts w:cstheme="minorHAnsi"/>
          <w:b/>
          <w:sz w:val="24"/>
          <w:szCs w:val="24"/>
          <w:lang w:val="en-US"/>
        </w:rPr>
        <w:t>4. Empirical Results</w:t>
      </w:r>
    </w:p>
    <w:p w14:paraId="6EB8A41C" w14:textId="2F20E788" w:rsidR="00FF344C" w:rsidRPr="00CD364B" w:rsidRDefault="00096B1A" w:rsidP="00CD5F46">
      <w:pPr>
        <w:spacing w:after="0" w:line="360" w:lineRule="auto"/>
        <w:rPr>
          <w:rFonts w:cstheme="minorHAnsi"/>
          <w:b/>
          <w:sz w:val="24"/>
          <w:szCs w:val="24"/>
          <w:lang w:val="en-US"/>
        </w:rPr>
      </w:pPr>
      <w:r w:rsidRPr="00CD364B">
        <w:rPr>
          <w:rFonts w:cstheme="minorHAnsi"/>
          <w:b/>
          <w:sz w:val="24"/>
          <w:szCs w:val="24"/>
          <w:lang w:val="en-US"/>
        </w:rPr>
        <w:t xml:space="preserve">4.1.  </w:t>
      </w:r>
      <w:r w:rsidR="00FF344C" w:rsidRPr="00CD364B">
        <w:rPr>
          <w:rFonts w:cstheme="minorHAnsi"/>
          <w:b/>
          <w:sz w:val="24"/>
          <w:szCs w:val="24"/>
          <w:lang w:val="en-US"/>
        </w:rPr>
        <w:t>Quantile Auto Regressive Unit Root Test (QAR) Test</w:t>
      </w:r>
    </w:p>
    <w:p w14:paraId="466AD1B1" w14:textId="77777777" w:rsidR="009B5921" w:rsidRPr="00CD364B" w:rsidRDefault="009B5921" w:rsidP="00004F21">
      <w:pPr>
        <w:spacing w:after="0" w:line="360" w:lineRule="auto"/>
        <w:jc w:val="both"/>
        <w:rPr>
          <w:rFonts w:cstheme="minorHAnsi"/>
          <w:sz w:val="24"/>
          <w:szCs w:val="24"/>
          <w:lang w:val="en-US"/>
        </w:rPr>
      </w:pPr>
    </w:p>
    <w:p w14:paraId="3C7CB750" w14:textId="540B0926" w:rsidR="00FF344C" w:rsidRPr="00CD364B" w:rsidRDefault="00FF344C" w:rsidP="006668C1">
      <w:pPr>
        <w:spacing w:after="0" w:line="360" w:lineRule="auto"/>
        <w:ind w:firstLine="720"/>
        <w:jc w:val="both"/>
        <w:rPr>
          <w:rFonts w:cstheme="minorHAnsi"/>
          <w:sz w:val="24"/>
          <w:szCs w:val="24"/>
          <w:lang w:val="en-US"/>
        </w:rPr>
      </w:pPr>
      <w:r w:rsidRPr="00CD364B">
        <w:rPr>
          <w:rFonts w:cstheme="minorHAnsi"/>
          <w:sz w:val="24"/>
          <w:szCs w:val="24"/>
          <w:lang w:val="en-US"/>
        </w:rPr>
        <w:t>The estimates from the Quantile Unit Root Test examining the stationarity of data are reported in Table 2. The Quantile Unit Root Test presents the presence of persistence and t-</w:t>
      </w:r>
      <w:r w:rsidRPr="00CD364B">
        <w:rPr>
          <w:rFonts w:cstheme="minorHAnsi"/>
          <w:sz w:val="24"/>
          <w:szCs w:val="24"/>
          <w:lang w:val="en-US"/>
        </w:rPr>
        <w:lastRenderedPageBreak/>
        <w:t>statistics estimates for the null hypothesis postulating that H</w:t>
      </w:r>
      <w:r w:rsidRPr="00CD364B">
        <w:rPr>
          <w:rFonts w:cstheme="minorHAnsi"/>
          <w:sz w:val="24"/>
          <w:szCs w:val="24"/>
          <w:vertAlign w:val="subscript"/>
          <w:lang w:val="en-US"/>
        </w:rPr>
        <w:t xml:space="preserve">0 </w:t>
      </w:r>
      <w:r w:rsidRPr="00CD364B">
        <w:rPr>
          <w:rFonts w:cstheme="minorHAnsi"/>
          <w:sz w:val="24"/>
          <w:szCs w:val="24"/>
          <w:lang w:val="en-US"/>
        </w:rPr>
        <w:t>= a(τ) = 1 for the grid of 19 quantiles T = {0.05-0.95}. The study avoids the issue pertaining to possible presence of serial correlation by employing 10 lags of endogenous variables.  The estimates from the QAR test indicate the presence of unit root at a level for the conditional distribution quantiles thus leading to inference of existence of non-stationarity in the variables’ data. However, at the first order difference, the data is observed to be stationary as confirmed by the QAR estimates.</w:t>
      </w:r>
    </w:p>
    <w:p w14:paraId="67B0F9E4" w14:textId="77777777" w:rsidR="009B5921" w:rsidRPr="00CD364B" w:rsidRDefault="009B5921" w:rsidP="00004F21">
      <w:pPr>
        <w:pStyle w:val="ListParagraph"/>
        <w:spacing w:after="0" w:line="360" w:lineRule="auto"/>
        <w:ind w:left="360"/>
        <w:jc w:val="center"/>
        <w:rPr>
          <w:rFonts w:cstheme="minorHAnsi"/>
          <w:b/>
          <w:sz w:val="24"/>
          <w:szCs w:val="24"/>
          <w:lang w:val="en-US"/>
        </w:rPr>
      </w:pPr>
    </w:p>
    <w:p w14:paraId="268F7806" w14:textId="0AFB59CE" w:rsidR="00FF344C" w:rsidRPr="00CD364B" w:rsidRDefault="00FF344C" w:rsidP="00004F21">
      <w:pPr>
        <w:pStyle w:val="ListParagraph"/>
        <w:spacing w:after="0" w:line="360" w:lineRule="auto"/>
        <w:ind w:left="360"/>
        <w:jc w:val="center"/>
        <w:rPr>
          <w:rFonts w:cstheme="minorHAnsi"/>
          <w:bCs/>
          <w:sz w:val="24"/>
          <w:szCs w:val="24"/>
          <w:lang w:val="en-US"/>
        </w:rPr>
      </w:pPr>
      <w:r w:rsidRPr="00CD364B">
        <w:rPr>
          <w:rFonts w:cstheme="minorHAnsi"/>
          <w:bCs/>
          <w:sz w:val="24"/>
          <w:szCs w:val="24"/>
          <w:lang w:val="en-US"/>
        </w:rPr>
        <w:t>&lt;Insert Table 2 here&gt;</w:t>
      </w:r>
    </w:p>
    <w:p w14:paraId="26727DE1" w14:textId="77777777" w:rsidR="00FF344C" w:rsidRPr="00CD364B" w:rsidRDefault="00FF344C" w:rsidP="00004F21">
      <w:pPr>
        <w:pStyle w:val="ListParagraph"/>
        <w:spacing w:after="0" w:line="360" w:lineRule="auto"/>
        <w:ind w:left="360"/>
        <w:jc w:val="center"/>
        <w:rPr>
          <w:rFonts w:cstheme="minorHAnsi"/>
          <w:b/>
          <w:sz w:val="24"/>
          <w:szCs w:val="24"/>
          <w:lang w:val="en-US"/>
        </w:rPr>
      </w:pPr>
    </w:p>
    <w:p w14:paraId="22BD407E" w14:textId="77777777" w:rsidR="00D61866" w:rsidRPr="00CD364B" w:rsidRDefault="00D61866" w:rsidP="00D61866">
      <w:pPr>
        <w:pStyle w:val="ListParagraph"/>
        <w:spacing w:after="0" w:line="360" w:lineRule="auto"/>
        <w:ind w:left="360"/>
        <w:jc w:val="both"/>
        <w:rPr>
          <w:rFonts w:cstheme="minorHAnsi"/>
          <w:b/>
          <w:sz w:val="24"/>
          <w:szCs w:val="24"/>
          <w:lang w:val="en-US"/>
        </w:rPr>
      </w:pPr>
    </w:p>
    <w:p w14:paraId="6D2989C9" w14:textId="29A32F7D" w:rsidR="00D61866" w:rsidRPr="00CD364B" w:rsidRDefault="00D61866" w:rsidP="00D61866">
      <w:pPr>
        <w:pStyle w:val="ListParagraph"/>
        <w:spacing w:after="0" w:line="360" w:lineRule="auto"/>
        <w:ind w:left="360"/>
        <w:jc w:val="both"/>
        <w:rPr>
          <w:rFonts w:cstheme="minorHAnsi"/>
          <w:b/>
          <w:sz w:val="24"/>
          <w:szCs w:val="24"/>
          <w:lang w:val="en-US"/>
        </w:rPr>
      </w:pPr>
      <w:r w:rsidRPr="00CD364B">
        <w:rPr>
          <w:rFonts w:cstheme="minorHAnsi"/>
          <w:b/>
          <w:sz w:val="24"/>
          <w:szCs w:val="24"/>
          <w:lang w:val="en-US"/>
        </w:rPr>
        <w:t>4.2. The Quantile Cointegration Test</w:t>
      </w:r>
    </w:p>
    <w:p w14:paraId="5366CF92" w14:textId="77777777" w:rsidR="009B5921" w:rsidRPr="00CD364B" w:rsidRDefault="009B5921" w:rsidP="00004F21">
      <w:pPr>
        <w:spacing w:after="0" w:line="360" w:lineRule="auto"/>
        <w:jc w:val="both"/>
        <w:rPr>
          <w:rFonts w:cstheme="minorHAnsi"/>
          <w:sz w:val="24"/>
          <w:szCs w:val="24"/>
          <w:lang w:val="en-US"/>
        </w:rPr>
      </w:pPr>
    </w:p>
    <w:p w14:paraId="4659F680" w14:textId="0B6F99AA" w:rsidR="00FF344C" w:rsidRPr="00CD364B" w:rsidRDefault="00FF344C" w:rsidP="006668C1">
      <w:pPr>
        <w:spacing w:after="0" w:line="360" w:lineRule="auto"/>
        <w:ind w:firstLine="720"/>
        <w:jc w:val="both"/>
        <w:rPr>
          <w:rFonts w:cstheme="minorHAnsi"/>
          <w:sz w:val="24"/>
          <w:szCs w:val="24"/>
          <w:lang w:val="en-US"/>
        </w:rPr>
      </w:pPr>
      <w:r w:rsidRPr="00CD364B">
        <w:rPr>
          <w:rFonts w:cstheme="minorHAnsi"/>
          <w:sz w:val="24"/>
          <w:szCs w:val="24"/>
          <w:lang w:val="en-US"/>
        </w:rPr>
        <w:t>The Quantile Cointegration test introduced by Xiao (2009) investigates the possible presence of cointegration among the variables taken under study. The present study examines the existence of cointegration between Global Green Bond Index and Global Environmental and Social Responsibility Index within the grid of 19 quantiles’ (0.05-0.95) which are equally spaced. Further the given Quantile Cointegration Model employed in the study uses two leads and lags of (</w:t>
      </w:r>
      <m:oMath>
        <m:sSub>
          <m:sSubPr>
            <m:ctrlPr>
              <w:rPr>
                <w:rFonts w:ascii="Cambria Math" w:eastAsia="Times New Roman" w:hAnsi="Cambria Math" w:cstheme="minorHAnsi"/>
                <w:i/>
                <w:sz w:val="24"/>
                <w:szCs w:val="24"/>
                <w:lang w:val="en-US"/>
              </w:rPr>
            </m:ctrlPr>
          </m:sSubPr>
          <m:e>
            <m:r>
              <m:rPr>
                <m:scr m:val="script"/>
              </m:rPr>
              <w:rPr>
                <w:rFonts w:ascii="Cambria Math" w:eastAsia="Times New Roman" w:hAnsi="Cambria Math" w:cstheme="minorHAnsi"/>
                <w:sz w:val="24"/>
                <w:szCs w:val="24"/>
                <w:lang w:val="en-US"/>
              </w:rPr>
              <m:t>∆Z</m:t>
            </m:r>
          </m:e>
          <m:sub>
            <m:r>
              <m:rPr>
                <m:scr m:val="script"/>
              </m:rPr>
              <w:rPr>
                <w:rFonts w:ascii="Cambria Math" w:eastAsia="Times New Roman" w:hAnsi="Cambria Math" w:cstheme="minorHAnsi"/>
                <w:sz w:val="24"/>
                <w:szCs w:val="24"/>
                <w:lang w:val="en-US"/>
              </w:rPr>
              <m:t xml:space="preserve">t, </m:t>
            </m:r>
          </m:sub>
        </m:sSub>
        <m:sSubSup>
          <m:sSubSupPr>
            <m:ctrlPr>
              <w:rPr>
                <w:rFonts w:ascii="Cambria Math" w:eastAsia="Times New Roman" w:hAnsi="Cambria Math" w:cstheme="minorHAnsi"/>
                <w:i/>
                <w:sz w:val="24"/>
                <w:szCs w:val="24"/>
                <w:lang w:val="en-US"/>
              </w:rPr>
            </m:ctrlPr>
          </m:sSubSupPr>
          <m:e>
            <m:r>
              <m:rPr>
                <m:scr m:val="script"/>
              </m:rPr>
              <w:rPr>
                <w:rFonts w:ascii="Cambria Math" w:eastAsia="Times New Roman" w:hAnsi="Cambria Math" w:cstheme="minorHAnsi"/>
                <w:sz w:val="24"/>
                <w:szCs w:val="24"/>
                <w:lang w:val="en-US"/>
              </w:rPr>
              <m:t>∆Z</m:t>
            </m:r>
          </m:e>
          <m:sub>
            <m:r>
              <m:rPr>
                <m:scr m:val="script"/>
              </m:rPr>
              <w:rPr>
                <w:rFonts w:ascii="Cambria Math" w:eastAsia="Times New Roman" w:hAnsi="Cambria Math" w:cstheme="minorHAnsi"/>
                <w:sz w:val="24"/>
                <w:szCs w:val="24"/>
                <w:lang w:val="en-US"/>
              </w:rPr>
              <m:t>t</m:t>
            </m:r>
          </m:sub>
          <m:sup>
            <m:r>
              <w:rPr>
                <w:rFonts w:ascii="Cambria Math" w:eastAsia="Times New Roman" w:hAnsi="Cambria Math" w:cstheme="minorHAnsi"/>
                <w:sz w:val="24"/>
                <w:szCs w:val="24"/>
                <w:lang w:val="en-US"/>
              </w:rPr>
              <m:t>2</m:t>
            </m:r>
          </m:sup>
        </m:sSubSup>
      </m:oMath>
      <w:r w:rsidRPr="00CD364B">
        <w:rPr>
          <w:rFonts w:eastAsiaTheme="minorEastAsia" w:cstheme="minorHAnsi"/>
          <w:sz w:val="24"/>
          <w:szCs w:val="24"/>
          <w:lang w:val="en-US"/>
        </w:rPr>
        <w:t xml:space="preserve">) as presented in Equation 3. The Table 3 reports the estimates from the Quantile Cointegration model performed between Global Green Bond and Environmental and Social Responsibility Index. The estimates from the indicate the presence of asymmetric long run linkage between the quantiles of the given variables which are also statistically significant. </w:t>
      </w:r>
    </w:p>
    <w:p w14:paraId="72A2FA85" w14:textId="77777777" w:rsidR="009B5921" w:rsidRPr="00CD364B" w:rsidRDefault="009B5921" w:rsidP="00004F21">
      <w:pPr>
        <w:pStyle w:val="ListParagraph"/>
        <w:spacing w:after="0" w:line="360" w:lineRule="auto"/>
        <w:ind w:left="360"/>
        <w:jc w:val="center"/>
        <w:rPr>
          <w:rFonts w:cstheme="minorHAnsi"/>
          <w:b/>
          <w:sz w:val="24"/>
          <w:szCs w:val="24"/>
          <w:lang w:val="en-US"/>
        </w:rPr>
      </w:pPr>
    </w:p>
    <w:p w14:paraId="1153E7D9" w14:textId="2A35F273" w:rsidR="00FF344C" w:rsidRPr="00CD364B" w:rsidRDefault="00FF344C" w:rsidP="00004F21">
      <w:pPr>
        <w:pStyle w:val="ListParagraph"/>
        <w:spacing w:after="0" w:line="360" w:lineRule="auto"/>
        <w:ind w:left="360"/>
        <w:jc w:val="center"/>
        <w:rPr>
          <w:rFonts w:cstheme="minorHAnsi"/>
          <w:bCs/>
          <w:sz w:val="24"/>
          <w:szCs w:val="24"/>
          <w:lang w:val="en-US"/>
        </w:rPr>
      </w:pPr>
      <w:r w:rsidRPr="00CD364B">
        <w:rPr>
          <w:rFonts w:cstheme="minorHAnsi"/>
          <w:bCs/>
          <w:sz w:val="24"/>
          <w:szCs w:val="24"/>
          <w:lang w:val="en-US"/>
        </w:rPr>
        <w:t>&lt;Insert Table 3 here&gt;</w:t>
      </w:r>
    </w:p>
    <w:p w14:paraId="11F92EFC" w14:textId="77777777" w:rsidR="006668C1" w:rsidRPr="00CD364B" w:rsidRDefault="006668C1" w:rsidP="000B45F4">
      <w:pPr>
        <w:spacing w:after="0" w:line="360" w:lineRule="auto"/>
        <w:rPr>
          <w:rFonts w:cstheme="minorHAnsi"/>
          <w:b/>
          <w:sz w:val="24"/>
          <w:szCs w:val="24"/>
          <w:lang w:val="en-US"/>
        </w:rPr>
      </w:pPr>
    </w:p>
    <w:p w14:paraId="68C5426C" w14:textId="4A3631C7" w:rsidR="00FF344C" w:rsidRPr="00CD364B" w:rsidRDefault="00AA763E" w:rsidP="00CD5F46">
      <w:pPr>
        <w:pStyle w:val="ListParagraph"/>
        <w:spacing w:after="0" w:line="360" w:lineRule="auto"/>
        <w:ind w:left="360"/>
        <w:jc w:val="both"/>
        <w:rPr>
          <w:rFonts w:cstheme="minorHAnsi"/>
          <w:b/>
          <w:sz w:val="24"/>
          <w:szCs w:val="24"/>
          <w:lang w:val="en-US"/>
        </w:rPr>
      </w:pPr>
      <w:r w:rsidRPr="00CD364B">
        <w:rPr>
          <w:rFonts w:cstheme="minorHAnsi"/>
          <w:b/>
          <w:sz w:val="24"/>
          <w:szCs w:val="24"/>
          <w:lang w:val="en-US"/>
        </w:rPr>
        <w:t xml:space="preserve">4.3. </w:t>
      </w:r>
      <w:r w:rsidR="00FF344C" w:rsidRPr="00CD364B">
        <w:rPr>
          <w:rFonts w:cstheme="minorHAnsi"/>
          <w:b/>
          <w:sz w:val="24"/>
          <w:szCs w:val="24"/>
          <w:lang w:val="en-US"/>
        </w:rPr>
        <w:t xml:space="preserve"> The </w:t>
      </w:r>
      <w:r w:rsidR="008B3AD2" w:rsidRPr="00CD364B">
        <w:rPr>
          <w:rFonts w:cstheme="minorHAnsi"/>
          <w:b/>
          <w:sz w:val="24"/>
          <w:szCs w:val="24"/>
          <w:lang w:val="en-US"/>
        </w:rPr>
        <w:t>Quantile-on-Quantile</w:t>
      </w:r>
      <w:r w:rsidR="00FF344C" w:rsidRPr="00CD364B">
        <w:rPr>
          <w:rFonts w:cstheme="minorHAnsi"/>
          <w:b/>
          <w:sz w:val="24"/>
          <w:szCs w:val="24"/>
          <w:lang w:val="en-US"/>
        </w:rPr>
        <w:t xml:space="preserve"> Estimates</w:t>
      </w:r>
    </w:p>
    <w:p w14:paraId="5A49C352" w14:textId="77777777" w:rsidR="000978D5" w:rsidRPr="00CD364B" w:rsidRDefault="000978D5" w:rsidP="00004F21">
      <w:pPr>
        <w:spacing w:after="0" w:line="360" w:lineRule="auto"/>
        <w:jc w:val="both"/>
        <w:rPr>
          <w:rFonts w:cstheme="minorHAnsi"/>
          <w:sz w:val="24"/>
          <w:szCs w:val="24"/>
          <w:lang w:val="en-US"/>
        </w:rPr>
      </w:pPr>
    </w:p>
    <w:p w14:paraId="07310372" w14:textId="5E84C790" w:rsidR="000978D5" w:rsidRPr="00CD364B" w:rsidRDefault="00FF344C" w:rsidP="006668C1">
      <w:pPr>
        <w:spacing w:after="0" w:line="360" w:lineRule="auto"/>
        <w:ind w:firstLine="720"/>
        <w:jc w:val="both"/>
        <w:rPr>
          <w:rFonts w:eastAsiaTheme="minorEastAsia" w:cstheme="minorHAnsi"/>
          <w:sz w:val="24"/>
          <w:szCs w:val="24"/>
          <w:lang w:val="en-US"/>
        </w:rPr>
      </w:pPr>
      <w:r w:rsidRPr="00CD364B">
        <w:rPr>
          <w:rFonts w:cstheme="minorHAnsi"/>
          <w:sz w:val="24"/>
          <w:szCs w:val="24"/>
          <w:lang w:val="en-US"/>
        </w:rPr>
        <w:t xml:space="preserve">The empirical estimates derived from the </w:t>
      </w:r>
      <w:r w:rsidR="008B3AD2" w:rsidRPr="00CD364B">
        <w:rPr>
          <w:rFonts w:cstheme="minorHAnsi"/>
          <w:sz w:val="24"/>
          <w:szCs w:val="24"/>
          <w:lang w:val="en-US"/>
        </w:rPr>
        <w:t>Quantile-on-Quantile</w:t>
      </w:r>
      <w:r w:rsidRPr="00CD364B">
        <w:rPr>
          <w:rFonts w:cstheme="minorHAnsi"/>
          <w:sz w:val="24"/>
          <w:szCs w:val="24"/>
          <w:lang w:val="en-US"/>
        </w:rPr>
        <w:t xml:space="preserve"> Regression of Global Green Bond Index and its various decomposed series on Global Environmental and Social Responsibility Index are presented in Figure 2. The given Quantile on Quantile Regression analysis illustrated in Figure 2 presents the slope coefficient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β</m:t>
            </m:r>
          </m:e>
          <m:sub>
            <m:r>
              <w:rPr>
                <w:rFonts w:ascii="Cambria Math" w:hAnsi="Cambria Math" w:cstheme="minorHAnsi"/>
                <w:sz w:val="24"/>
                <w:szCs w:val="24"/>
                <w:lang w:val="en-US"/>
              </w:rPr>
              <m:t>1</m:t>
            </m:r>
          </m:sub>
        </m:sSub>
        <m:r>
          <w:rPr>
            <w:rFonts w:ascii="Cambria Math" w:hAnsi="Cambria Math" w:cstheme="minorHAnsi"/>
            <w:sz w:val="24"/>
            <w:szCs w:val="24"/>
            <w:lang w:val="en-US"/>
          </w:rPr>
          <m:t>,(θ,τ)</m:t>
        </m:r>
      </m:oMath>
      <w:r w:rsidRPr="00CD364B">
        <w:rPr>
          <w:rFonts w:eastAsiaTheme="minorEastAsia" w:cstheme="minorHAnsi"/>
          <w:sz w:val="24"/>
          <w:szCs w:val="24"/>
          <w:lang w:val="en-US"/>
        </w:rPr>
        <w:t xml:space="preserve"> estimates. These slope </w:t>
      </w:r>
      <w:r w:rsidRPr="00CD364B">
        <w:rPr>
          <w:rFonts w:eastAsiaTheme="minorEastAsia" w:cstheme="minorHAnsi"/>
          <w:sz w:val="24"/>
          <w:szCs w:val="24"/>
          <w:lang w:val="en-US"/>
        </w:rPr>
        <w:lastRenderedPageBreak/>
        <w:t>coefficient estimates predict the influence of τ</w:t>
      </w:r>
      <w:r w:rsidRPr="00CD364B">
        <w:rPr>
          <w:rFonts w:eastAsiaTheme="minorEastAsia" w:cstheme="minorHAnsi"/>
          <w:sz w:val="24"/>
          <w:szCs w:val="24"/>
          <w:vertAlign w:val="superscript"/>
          <w:lang w:val="en-US"/>
        </w:rPr>
        <w:t xml:space="preserve">th </w:t>
      </w:r>
      <w:r w:rsidRPr="00CD364B">
        <w:rPr>
          <w:rFonts w:eastAsiaTheme="minorEastAsia" w:cstheme="minorHAnsi"/>
          <w:sz w:val="24"/>
          <w:szCs w:val="24"/>
          <w:lang w:val="en-US"/>
        </w:rPr>
        <w:t>quantile of Global Green Bond Index and its decomposed series on the θ</w:t>
      </w:r>
      <w:r w:rsidRPr="00CD364B">
        <w:rPr>
          <w:rFonts w:eastAsiaTheme="minorEastAsia" w:cstheme="minorHAnsi"/>
          <w:sz w:val="24"/>
          <w:szCs w:val="24"/>
          <w:vertAlign w:val="superscript"/>
          <w:lang w:val="en-US"/>
        </w:rPr>
        <w:t xml:space="preserve">th </w:t>
      </w:r>
      <w:r w:rsidRPr="00CD364B">
        <w:rPr>
          <w:rFonts w:eastAsiaTheme="minorEastAsia" w:cstheme="minorHAnsi"/>
          <w:sz w:val="24"/>
          <w:szCs w:val="24"/>
          <w:lang w:val="en-US"/>
        </w:rPr>
        <w:t>quantile of Global Environment and Social Responsibility Index at divergent values of θ and τ.</w:t>
      </w:r>
    </w:p>
    <w:p w14:paraId="5F981C93" w14:textId="63627924" w:rsidR="00D61866" w:rsidRPr="00CD364B" w:rsidRDefault="00D61866" w:rsidP="00CD5F46">
      <w:pPr>
        <w:spacing w:after="0" w:line="360" w:lineRule="auto"/>
        <w:ind w:firstLine="720"/>
        <w:jc w:val="center"/>
        <w:rPr>
          <w:rFonts w:eastAsiaTheme="minorEastAsia" w:cstheme="minorHAnsi"/>
          <w:sz w:val="24"/>
          <w:szCs w:val="24"/>
          <w:lang w:val="en-US"/>
        </w:rPr>
      </w:pPr>
      <w:r w:rsidRPr="00CD364B">
        <w:rPr>
          <w:rFonts w:eastAsiaTheme="minorEastAsia" w:cstheme="minorHAnsi"/>
          <w:sz w:val="24"/>
          <w:szCs w:val="24"/>
          <w:lang w:val="en-US"/>
        </w:rPr>
        <w:t>&lt;Insert Figure 2 here&gt;</w:t>
      </w:r>
    </w:p>
    <w:p w14:paraId="00DE83AF" w14:textId="4F5D1DD2" w:rsidR="006668C1" w:rsidRPr="00CD364B" w:rsidRDefault="00FF344C" w:rsidP="00004F21">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In the composite series, we observe a strong positive effect of Global Green Bond Index (GRBI) on Environmental and Social Responsibility Index (ESRI) in the area adjoining the lower (0.1-0.4) quantiles of both the indices taken under study. However, as we move further, this positive linkage between the variables starts weakening and eventually becomes negative. The weakening of positive effect of Global Green Bond Index on Environmental and Social Responsibility Index can be observed in the middle quantiles of both variables.  In the area adjoining the higher (0.7-0.9) quantiles of Environmental and Social Responsibility Index and lower (0.1-0.3) quantiles of Green Bond Index, we observe a weak negative linkage between the variables. In the rest of the area adjoining the quantiles of the given variables the effect of Green Bond index is observed to be almost negligible. </w:t>
      </w:r>
    </w:p>
    <w:p w14:paraId="6F379623" w14:textId="77777777" w:rsidR="006668C1" w:rsidRPr="00CD364B" w:rsidRDefault="00E14931" w:rsidP="00004F21">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These results indicate that in the initial level, the Green Bond Index </w:t>
      </w:r>
      <w:r w:rsidR="00453479" w:rsidRPr="00CD364B">
        <w:rPr>
          <w:rFonts w:eastAsiaTheme="minorEastAsia" w:cstheme="minorHAnsi"/>
          <w:sz w:val="24"/>
          <w:szCs w:val="24"/>
          <w:lang w:val="en-US"/>
        </w:rPr>
        <w:t xml:space="preserve">(GRBI) </w:t>
      </w:r>
      <w:r w:rsidRPr="00CD364B">
        <w:rPr>
          <w:rFonts w:eastAsiaTheme="minorEastAsia" w:cstheme="minorHAnsi"/>
          <w:sz w:val="24"/>
          <w:szCs w:val="24"/>
          <w:lang w:val="en-US"/>
        </w:rPr>
        <w:t xml:space="preserve">might have a positive impact on the Environmental and Social Responsibility </w:t>
      </w:r>
      <w:r w:rsidR="00453479" w:rsidRPr="00CD364B">
        <w:rPr>
          <w:rFonts w:eastAsiaTheme="minorEastAsia" w:cstheme="minorHAnsi"/>
          <w:sz w:val="24"/>
          <w:szCs w:val="24"/>
          <w:lang w:val="en-US"/>
        </w:rPr>
        <w:t>I</w:t>
      </w:r>
      <w:r w:rsidRPr="00CD364B">
        <w:rPr>
          <w:rFonts w:eastAsiaTheme="minorEastAsia" w:cstheme="minorHAnsi"/>
          <w:sz w:val="24"/>
          <w:szCs w:val="24"/>
          <w:lang w:val="en-US"/>
        </w:rPr>
        <w:t>ndex</w:t>
      </w:r>
      <w:r w:rsidR="00453479" w:rsidRPr="00CD364B">
        <w:rPr>
          <w:rFonts w:eastAsiaTheme="minorEastAsia" w:cstheme="minorHAnsi"/>
          <w:sz w:val="24"/>
          <w:szCs w:val="24"/>
          <w:lang w:val="en-US"/>
        </w:rPr>
        <w:t xml:space="preserve"> (ESRI)</w:t>
      </w:r>
      <w:r w:rsidRPr="00CD364B">
        <w:rPr>
          <w:rFonts w:eastAsiaTheme="minorEastAsia" w:cstheme="minorHAnsi"/>
          <w:sz w:val="24"/>
          <w:szCs w:val="24"/>
          <w:lang w:val="en-US"/>
        </w:rPr>
        <w:t xml:space="preserve">. However, with the rise in both the indices, it can be seen </w:t>
      </w:r>
      <w:r w:rsidR="00453479" w:rsidRPr="00CD364B">
        <w:rPr>
          <w:rFonts w:eastAsiaTheme="minorEastAsia" w:cstheme="minorHAnsi"/>
          <w:sz w:val="24"/>
          <w:szCs w:val="24"/>
          <w:lang w:val="en-US"/>
        </w:rPr>
        <w:t xml:space="preserve">that GRBI </w:t>
      </w:r>
      <w:r w:rsidRPr="00CD364B">
        <w:rPr>
          <w:rFonts w:eastAsiaTheme="minorEastAsia" w:cstheme="minorHAnsi"/>
          <w:sz w:val="24"/>
          <w:szCs w:val="24"/>
          <w:lang w:val="en-US"/>
        </w:rPr>
        <w:t xml:space="preserve">is gradually losing its impact on ESRI. </w:t>
      </w:r>
      <w:r w:rsidR="00453479" w:rsidRPr="00CD364B">
        <w:rPr>
          <w:rFonts w:eastAsiaTheme="minorEastAsia" w:cstheme="minorHAnsi"/>
          <w:sz w:val="24"/>
          <w:szCs w:val="24"/>
          <w:lang w:val="en-US"/>
        </w:rPr>
        <w:t>T</w:t>
      </w:r>
      <w:r w:rsidRPr="00CD364B">
        <w:rPr>
          <w:rFonts w:eastAsiaTheme="minorEastAsia" w:cstheme="minorHAnsi"/>
          <w:sz w:val="24"/>
          <w:szCs w:val="24"/>
          <w:lang w:val="en-US"/>
        </w:rPr>
        <w:t xml:space="preserve">his </w:t>
      </w:r>
      <w:r w:rsidR="00453479" w:rsidRPr="00CD364B">
        <w:rPr>
          <w:rFonts w:eastAsiaTheme="minorEastAsia" w:cstheme="minorHAnsi"/>
          <w:sz w:val="24"/>
          <w:szCs w:val="24"/>
          <w:lang w:val="en-US"/>
        </w:rPr>
        <w:t xml:space="preserve">phenomenon </w:t>
      </w:r>
      <w:r w:rsidRPr="00CD364B">
        <w:rPr>
          <w:rFonts w:eastAsiaTheme="minorEastAsia" w:cstheme="minorHAnsi"/>
          <w:sz w:val="24"/>
          <w:szCs w:val="24"/>
          <w:lang w:val="en-US"/>
        </w:rPr>
        <w:t>might be possible because of focus of the firms on the economic output rather than soc</w:t>
      </w:r>
      <w:r w:rsidR="00453479" w:rsidRPr="00CD364B">
        <w:rPr>
          <w:rFonts w:eastAsiaTheme="minorEastAsia" w:cstheme="minorHAnsi"/>
          <w:sz w:val="24"/>
          <w:szCs w:val="24"/>
          <w:lang w:val="en-US"/>
        </w:rPr>
        <w:t>io-ecolog</w:t>
      </w:r>
      <w:r w:rsidRPr="00CD364B">
        <w:rPr>
          <w:rFonts w:eastAsiaTheme="minorEastAsia" w:cstheme="minorHAnsi"/>
          <w:sz w:val="24"/>
          <w:szCs w:val="24"/>
          <w:lang w:val="en-US"/>
        </w:rPr>
        <w:t>i</w:t>
      </w:r>
      <w:r w:rsidR="00453479" w:rsidRPr="00CD364B">
        <w:rPr>
          <w:rFonts w:eastAsiaTheme="minorEastAsia" w:cstheme="minorHAnsi"/>
          <w:sz w:val="24"/>
          <w:szCs w:val="24"/>
          <w:lang w:val="en-US"/>
        </w:rPr>
        <w:t>c</w:t>
      </w:r>
      <w:r w:rsidRPr="00CD364B">
        <w:rPr>
          <w:rFonts w:eastAsiaTheme="minorEastAsia" w:cstheme="minorHAnsi"/>
          <w:sz w:val="24"/>
          <w:szCs w:val="24"/>
          <w:lang w:val="en-US"/>
        </w:rPr>
        <w:t>al outcome, which traces back to the classic tradeoff between growth and development.</w:t>
      </w:r>
      <w:r w:rsidR="00F06BA1" w:rsidRPr="00CD364B">
        <w:rPr>
          <w:rFonts w:eastAsiaTheme="minorEastAsia" w:cstheme="minorHAnsi"/>
          <w:sz w:val="24"/>
          <w:szCs w:val="24"/>
          <w:lang w:val="en-US"/>
        </w:rPr>
        <w:t xml:space="preserve"> In absence of the policy level directives for ascertaining sustainable development through the business operations, it might be possible that </w:t>
      </w:r>
      <w:r w:rsidR="00167FB0" w:rsidRPr="00CD364B">
        <w:rPr>
          <w:rFonts w:eastAsiaTheme="minorEastAsia" w:cstheme="minorHAnsi"/>
          <w:sz w:val="24"/>
          <w:szCs w:val="24"/>
          <w:lang w:val="en-US"/>
        </w:rPr>
        <w:t xml:space="preserve">firms </w:t>
      </w:r>
      <w:r w:rsidR="00F06BA1" w:rsidRPr="00CD364B">
        <w:rPr>
          <w:rFonts w:eastAsiaTheme="minorEastAsia" w:cstheme="minorHAnsi"/>
          <w:sz w:val="24"/>
          <w:szCs w:val="24"/>
          <w:lang w:val="en-US"/>
        </w:rPr>
        <w:t xml:space="preserve">might use GRBI </w:t>
      </w:r>
      <w:r w:rsidR="001C1D9B" w:rsidRPr="00CD364B">
        <w:rPr>
          <w:rFonts w:eastAsiaTheme="minorEastAsia" w:cstheme="minorHAnsi"/>
          <w:sz w:val="24"/>
          <w:szCs w:val="24"/>
          <w:lang w:val="en-US"/>
        </w:rPr>
        <w:t>as a</w:t>
      </w:r>
      <w:r w:rsidR="00F06BA1" w:rsidRPr="00CD364B">
        <w:rPr>
          <w:rFonts w:eastAsiaTheme="minorEastAsia" w:cstheme="minorHAnsi"/>
          <w:sz w:val="24"/>
          <w:szCs w:val="24"/>
          <w:lang w:val="en-US"/>
        </w:rPr>
        <w:t xml:space="preserve"> tax saving mechanism</w:t>
      </w:r>
      <w:r w:rsidR="001C1D9B" w:rsidRPr="00CD364B">
        <w:rPr>
          <w:rFonts w:eastAsiaTheme="minorEastAsia" w:cstheme="minorHAnsi"/>
          <w:sz w:val="24"/>
          <w:szCs w:val="24"/>
          <w:lang w:val="en-US"/>
        </w:rPr>
        <w:t>,</w:t>
      </w:r>
      <w:r w:rsidR="00F06BA1" w:rsidRPr="00CD364B">
        <w:rPr>
          <w:rFonts w:eastAsiaTheme="minorEastAsia" w:cstheme="minorHAnsi"/>
          <w:sz w:val="24"/>
          <w:szCs w:val="24"/>
          <w:lang w:val="en-US"/>
        </w:rPr>
        <w:t xml:space="preserve"> rather than </w:t>
      </w:r>
      <w:r w:rsidR="001C1D9B" w:rsidRPr="00CD364B">
        <w:rPr>
          <w:rFonts w:eastAsiaTheme="minorEastAsia" w:cstheme="minorHAnsi"/>
          <w:sz w:val="24"/>
          <w:szCs w:val="24"/>
          <w:lang w:val="en-US"/>
        </w:rPr>
        <w:t>envisaging it as a</w:t>
      </w:r>
      <w:r w:rsidR="002B6A79" w:rsidRPr="00CD364B">
        <w:rPr>
          <w:rFonts w:eastAsiaTheme="minorEastAsia" w:cstheme="minorHAnsi"/>
          <w:sz w:val="24"/>
          <w:szCs w:val="24"/>
          <w:lang w:val="en-US"/>
        </w:rPr>
        <w:t>n instrument for</w:t>
      </w:r>
      <w:r w:rsidR="001C1D9B" w:rsidRPr="00CD364B">
        <w:rPr>
          <w:rFonts w:eastAsiaTheme="minorEastAsia" w:cstheme="minorHAnsi"/>
          <w:sz w:val="24"/>
          <w:szCs w:val="24"/>
          <w:lang w:val="en-US"/>
        </w:rPr>
        <w:t xml:space="preserve"> </w:t>
      </w:r>
      <w:r w:rsidR="002B6A79" w:rsidRPr="00CD364B">
        <w:rPr>
          <w:rFonts w:eastAsiaTheme="minorEastAsia" w:cstheme="minorHAnsi"/>
          <w:sz w:val="24"/>
          <w:szCs w:val="24"/>
          <w:lang w:val="en-US"/>
        </w:rPr>
        <w:t xml:space="preserve">generating </w:t>
      </w:r>
      <w:r w:rsidR="00F06BA1" w:rsidRPr="00CD364B">
        <w:rPr>
          <w:rFonts w:eastAsiaTheme="minorEastAsia" w:cstheme="minorHAnsi"/>
          <w:sz w:val="24"/>
          <w:szCs w:val="24"/>
          <w:lang w:val="en-US"/>
        </w:rPr>
        <w:t>soci</w:t>
      </w:r>
      <w:r w:rsidR="001C1D9B" w:rsidRPr="00CD364B">
        <w:rPr>
          <w:rFonts w:eastAsiaTheme="minorEastAsia" w:cstheme="minorHAnsi"/>
          <w:sz w:val="24"/>
          <w:szCs w:val="24"/>
          <w:lang w:val="en-US"/>
        </w:rPr>
        <w:t>o-ecologic</w:t>
      </w:r>
      <w:r w:rsidR="00F06BA1" w:rsidRPr="00CD364B">
        <w:rPr>
          <w:rFonts w:eastAsiaTheme="minorEastAsia" w:cstheme="minorHAnsi"/>
          <w:sz w:val="24"/>
          <w:szCs w:val="24"/>
          <w:lang w:val="en-US"/>
        </w:rPr>
        <w:t>al outcome.</w:t>
      </w:r>
      <w:r w:rsidR="00F8710E" w:rsidRPr="00CD364B">
        <w:rPr>
          <w:rFonts w:eastAsiaTheme="minorEastAsia" w:cstheme="minorHAnsi"/>
          <w:sz w:val="24"/>
          <w:szCs w:val="24"/>
          <w:lang w:val="en-US"/>
        </w:rPr>
        <w:t xml:space="preserve"> </w:t>
      </w:r>
    </w:p>
    <w:p w14:paraId="5CAF4867" w14:textId="77777777" w:rsidR="00D61866" w:rsidRPr="00CD364B" w:rsidRDefault="005534A9" w:rsidP="006668C1">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Moreover, </w:t>
      </w:r>
      <w:r w:rsidR="002B6A79" w:rsidRPr="00CD364B">
        <w:rPr>
          <w:rFonts w:eastAsiaTheme="minorEastAsia" w:cstheme="minorHAnsi"/>
          <w:sz w:val="24"/>
          <w:szCs w:val="24"/>
          <w:lang w:val="en-US"/>
        </w:rPr>
        <w:t xml:space="preserve">in absence of </w:t>
      </w:r>
      <w:r w:rsidR="00F8338A" w:rsidRPr="00CD364B">
        <w:rPr>
          <w:rFonts w:eastAsiaTheme="minorEastAsia" w:cstheme="minorHAnsi"/>
          <w:sz w:val="24"/>
          <w:szCs w:val="24"/>
          <w:lang w:val="en-US"/>
        </w:rPr>
        <w:t xml:space="preserve">the </w:t>
      </w:r>
      <w:r w:rsidRPr="00CD364B">
        <w:rPr>
          <w:rFonts w:eastAsiaTheme="minorEastAsia" w:cstheme="minorHAnsi"/>
          <w:sz w:val="24"/>
          <w:szCs w:val="24"/>
          <w:lang w:val="en-US"/>
        </w:rPr>
        <w:t>properly defined guidelines for monitoring socio-environmental impact of projects, it is quite likely that firms will try to maximize profit, notwithstanding the intended outcome of the financing mechanism.</w:t>
      </w:r>
      <w:r w:rsidR="00BD3DDE" w:rsidRPr="00CD364B">
        <w:rPr>
          <w:rFonts w:cstheme="minorHAnsi"/>
        </w:rPr>
        <w:t xml:space="preserve"> </w:t>
      </w:r>
      <w:r w:rsidR="00BD3DDE" w:rsidRPr="00CD364B">
        <w:rPr>
          <w:rFonts w:eastAsiaTheme="minorEastAsia" w:cstheme="minorHAnsi"/>
          <w:sz w:val="24"/>
          <w:szCs w:val="24"/>
          <w:lang w:val="en-US"/>
        </w:rPr>
        <w:t xml:space="preserve">In the context of the tradeoff between output and outcome, the intended impact of GRBI on ESRI will gradually start to diminish, as the marginal utility of the firms to create a positive socio-ecological externality will start to diminish, as focusing on </w:t>
      </w:r>
      <w:r w:rsidR="009C1A08" w:rsidRPr="00CD364B">
        <w:rPr>
          <w:rFonts w:eastAsiaTheme="minorEastAsia" w:cstheme="minorHAnsi"/>
          <w:sz w:val="24"/>
          <w:szCs w:val="24"/>
          <w:lang w:val="en-US"/>
        </w:rPr>
        <w:t xml:space="preserve">the </w:t>
      </w:r>
      <w:r w:rsidR="00BD3DDE" w:rsidRPr="00CD364B">
        <w:rPr>
          <w:rFonts w:eastAsiaTheme="minorEastAsia" w:cstheme="minorHAnsi"/>
          <w:sz w:val="24"/>
          <w:szCs w:val="24"/>
          <w:lang w:val="en-US"/>
        </w:rPr>
        <w:t>developmental aspects might increase the marginal monitoring cost of the firms.</w:t>
      </w:r>
      <w:r w:rsidR="0054695A" w:rsidRPr="00CD364B">
        <w:rPr>
          <w:rFonts w:cstheme="minorHAnsi"/>
        </w:rPr>
        <w:t xml:space="preserve"> </w:t>
      </w:r>
      <w:r w:rsidR="006668C1" w:rsidRPr="00CD364B">
        <w:rPr>
          <w:rFonts w:eastAsiaTheme="minorEastAsia" w:cstheme="minorHAnsi"/>
          <w:sz w:val="24"/>
          <w:szCs w:val="24"/>
          <w:lang w:val="en-US"/>
        </w:rPr>
        <w:t>Furthermore</w:t>
      </w:r>
      <w:r w:rsidR="0054695A" w:rsidRPr="00CD364B">
        <w:rPr>
          <w:rFonts w:eastAsiaTheme="minorEastAsia" w:cstheme="minorHAnsi"/>
          <w:sz w:val="24"/>
          <w:szCs w:val="24"/>
          <w:lang w:val="en-US"/>
        </w:rPr>
        <w:t xml:space="preserve">, in order to save higher taxes through the GRBI mechanism, firms will rely more on automation in order to demonstrate a perceivable improvement in the environmental quality, and this </w:t>
      </w:r>
      <w:r w:rsidR="006668C1" w:rsidRPr="00CD364B">
        <w:rPr>
          <w:rFonts w:eastAsiaTheme="minorEastAsia" w:cstheme="minorHAnsi"/>
          <w:sz w:val="24"/>
          <w:szCs w:val="24"/>
          <w:lang w:val="en-US"/>
        </w:rPr>
        <w:t>initiative</w:t>
      </w:r>
      <w:r w:rsidR="0054695A" w:rsidRPr="00CD364B">
        <w:rPr>
          <w:rFonts w:eastAsiaTheme="minorEastAsia" w:cstheme="minorHAnsi"/>
          <w:sz w:val="24"/>
          <w:szCs w:val="24"/>
          <w:lang w:val="en-US"/>
        </w:rPr>
        <w:t xml:space="preserve"> might have a detrimental </w:t>
      </w:r>
      <w:r w:rsidR="0054695A" w:rsidRPr="00CD364B">
        <w:rPr>
          <w:rFonts w:eastAsiaTheme="minorEastAsia" w:cstheme="minorHAnsi"/>
          <w:sz w:val="24"/>
          <w:szCs w:val="24"/>
          <w:lang w:val="en-US"/>
        </w:rPr>
        <w:lastRenderedPageBreak/>
        <w:t>impact on the employment scenario across industries. Therefore, it can be assumed that high level of GRBI might have a negative impact on ESRI, as higher proneness towards the betterment of environmental quality by virtue of automation might lead to a disturbance in the social order, in the form of rising unemployment</w:t>
      </w:r>
      <w:r w:rsidR="00331759" w:rsidRPr="00CD364B">
        <w:rPr>
          <w:rFonts w:eastAsiaTheme="minorEastAsia" w:cstheme="minorHAnsi"/>
          <w:sz w:val="24"/>
          <w:szCs w:val="24"/>
          <w:lang w:val="en-US"/>
        </w:rPr>
        <w:t xml:space="preserve"> and consequential income inequality</w:t>
      </w:r>
      <w:r w:rsidR="0054695A" w:rsidRPr="00CD364B">
        <w:rPr>
          <w:rFonts w:eastAsiaTheme="minorEastAsia" w:cstheme="minorHAnsi"/>
          <w:sz w:val="24"/>
          <w:szCs w:val="24"/>
          <w:lang w:val="en-US"/>
        </w:rPr>
        <w:t>. Reflection of this argument can be visible in the latter half of the results.</w:t>
      </w:r>
      <w:r w:rsidR="00331759" w:rsidRPr="00CD364B">
        <w:rPr>
          <w:rFonts w:eastAsiaTheme="minorEastAsia" w:cstheme="minorHAnsi"/>
          <w:sz w:val="24"/>
          <w:szCs w:val="24"/>
          <w:lang w:val="en-US"/>
        </w:rPr>
        <w:t xml:space="preserve"> </w:t>
      </w:r>
    </w:p>
    <w:p w14:paraId="714C2C0B" w14:textId="7461881A" w:rsidR="000978D5" w:rsidRPr="00CD364B" w:rsidRDefault="00331759" w:rsidP="006668C1">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This segment of the results can be </w:t>
      </w:r>
      <w:r w:rsidR="008C5AF8" w:rsidRPr="00CD364B">
        <w:rPr>
          <w:rFonts w:eastAsiaTheme="minorEastAsia" w:cstheme="minorHAnsi"/>
          <w:sz w:val="24"/>
          <w:szCs w:val="24"/>
          <w:lang w:val="en-US"/>
        </w:rPr>
        <w:t xml:space="preserve">compared with </w:t>
      </w:r>
      <w:r w:rsidRPr="00CD364B">
        <w:rPr>
          <w:rFonts w:eastAsiaTheme="minorEastAsia" w:cstheme="minorHAnsi"/>
          <w:sz w:val="24"/>
          <w:szCs w:val="24"/>
          <w:lang w:val="en-US"/>
        </w:rPr>
        <w:t xml:space="preserve">case of the </w:t>
      </w:r>
      <w:r w:rsidR="008C5AF8" w:rsidRPr="00CD364B">
        <w:rPr>
          <w:rFonts w:eastAsiaTheme="minorEastAsia" w:cstheme="minorHAnsi"/>
          <w:sz w:val="24"/>
          <w:szCs w:val="24"/>
          <w:lang w:val="en-US"/>
        </w:rPr>
        <w:t>Next 11 economies, where the energy innovation was found to have a detrimental impact on the social order through rising income inequality (Sinha et al., 2020).</w:t>
      </w:r>
      <w:r w:rsidR="00E86D91" w:rsidRPr="00CD364B">
        <w:rPr>
          <w:rFonts w:eastAsiaTheme="minorEastAsia" w:cstheme="minorHAnsi"/>
          <w:sz w:val="24"/>
          <w:szCs w:val="24"/>
          <w:lang w:val="en-US"/>
        </w:rPr>
        <w:t xml:space="preserve"> In this way, achievement of </w:t>
      </w:r>
      <w:r w:rsidR="0060178F" w:rsidRPr="00CD364B">
        <w:rPr>
          <w:rFonts w:eastAsiaTheme="minorEastAsia" w:cstheme="minorHAnsi"/>
          <w:sz w:val="24"/>
          <w:szCs w:val="24"/>
          <w:lang w:val="en-US"/>
        </w:rPr>
        <w:t xml:space="preserve">the objectives of </w:t>
      </w:r>
      <w:r w:rsidR="00E86D91" w:rsidRPr="00CD364B">
        <w:rPr>
          <w:rFonts w:eastAsiaTheme="minorEastAsia" w:cstheme="minorHAnsi"/>
          <w:sz w:val="24"/>
          <w:szCs w:val="24"/>
          <w:lang w:val="en-US"/>
        </w:rPr>
        <w:t>SDG 9 might enable the nations to achieve the objectives of SDG 13, but will also make them depart from the objectives of SDG 16.</w:t>
      </w:r>
      <w:r w:rsidR="00FD5E72" w:rsidRPr="00CD364B">
        <w:rPr>
          <w:rFonts w:eastAsiaTheme="minorEastAsia" w:cstheme="minorHAnsi"/>
          <w:sz w:val="24"/>
          <w:szCs w:val="24"/>
          <w:lang w:val="en-US"/>
        </w:rPr>
        <w:t xml:space="preserve"> This tradeoff needs to be internalized through suitable policy interventions.</w:t>
      </w:r>
    </w:p>
    <w:p w14:paraId="1DF13755" w14:textId="025490BD" w:rsidR="000978D5" w:rsidRPr="00CD364B" w:rsidRDefault="006948F7" w:rsidP="006668C1">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In order to understand the phenomenon in a more comprehensive manner, w</w:t>
      </w:r>
      <w:r w:rsidR="00FF344C" w:rsidRPr="00CD364B">
        <w:rPr>
          <w:rFonts w:eastAsiaTheme="minorEastAsia" w:cstheme="minorHAnsi"/>
          <w:sz w:val="24"/>
          <w:szCs w:val="24"/>
          <w:lang w:val="en-US"/>
        </w:rPr>
        <w:t xml:space="preserve">e further decompose the series and </w:t>
      </w:r>
      <w:r w:rsidR="00C05FBF" w:rsidRPr="00CD364B">
        <w:rPr>
          <w:rFonts w:eastAsiaTheme="minorEastAsia" w:cstheme="minorHAnsi"/>
          <w:sz w:val="24"/>
          <w:szCs w:val="24"/>
          <w:lang w:val="en-US"/>
        </w:rPr>
        <w:t>analyze</w:t>
      </w:r>
      <w:r w:rsidR="00FF344C" w:rsidRPr="00CD364B">
        <w:rPr>
          <w:rFonts w:eastAsiaTheme="minorEastAsia" w:cstheme="minorHAnsi"/>
          <w:sz w:val="24"/>
          <w:szCs w:val="24"/>
          <w:lang w:val="en-US"/>
        </w:rPr>
        <w:t xml:space="preserve"> the effects of </w:t>
      </w:r>
      <w:r w:rsidR="00BC68E6" w:rsidRPr="00CD364B">
        <w:rPr>
          <w:rFonts w:eastAsiaTheme="minorEastAsia" w:cstheme="minorHAnsi"/>
          <w:sz w:val="24"/>
          <w:szCs w:val="24"/>
          <w:lang w:val="en-US"/>
        </w:rPr>
        <w:t xml:space="preserve">frequency-level </w:t>
      </w:r>
      <w:r w:rsidR="00FF344C" w:rsidRPr="00CD364B">
        <w:rPr>
          <w:rFonts w:eastAsiaTheme="minorEastAsia" w:cstheme="minorHAnsi"/>
          <w:sz w:val="24"/>
          <w:szCs w:val="24"/>
          <w:lang w:val="en-US"/>
        </w:rPr>
        <w:t>decomposed series (D1-D6 and S6) of Global Green Bond Index on Environmental and Social Responsibility Index.  When we examine the influence of decomposed series of Green Bond Index (GRBI</w:t>
      </w:r>
      <w:r w:rsidR="00780A0A" w:rsidRPr="00CD364B">
        <w:rPr>
          <w:rFonts w:eastAsiaTheme="minorEastAsia" w:cstheme="minorHAnsi"/>
          <w:sz w:val="24"/>
          <w:szCs w:val="24"/>
          <w:lang w:val="en-US"/>
        </w:rPr>
        <w:t>.</w:t>
      </w:r>
      <w:r w:rsidR="00FF344C" w:rsidRPr="00CD364B">
        <w:rPr>
          <w:rFonts w:eastAsiaTheme="minorEastAsia" w:cstheme="minorHAnsi"/>
          <w:sz w:val="24"/>
          <w:szCs w:val="24"/>
          <w:lang w:val="en-US"/>
        </w:rPr>
        <w:t xml:space="preserve">D1) on Environmental and Social Responsibility Index we find a similar scenario as observed in the </w:t>
      </w:r>
      <w:r w:rsidR="008B3AD2" w:rsidRPr="00CD364B">
        <w:rPr>
          <w:rFonts w:eastAsiaTheme="minorEastAsia" w:cstheme="minorHAnsi"/>
          <w:sz w:val="24"/>
          <w:szCs w:val="24"/>
          <w:lang w:val="en-US"/>
        </w:rPr>
        <w:t>Quantile-on-Quantile</w:t>
      </w:r>
      <w:r w:rsidR="00FF344C" w:rsidRPr="00CD364B">
        <w:rPr>
          <w:rFonts w:eastAsiaTheme="minorEastAsia" w:cstheme="minorHAnsi"/>
          <w:sz w:val="24"/>
          <w:szCs w:val="24"/>
          <w:lang w:val="en-US"/>
        </w:rPr>
        <w:t xml:space="preserve"> estimates performed on the composite indices. Here also the decomposed series GRBI</w:t>
      </w:r>
      <w:r w:rsidR="00344CE8" w:rsidRPr="00CD364B">
        <w:rPr>
          <w:rFonts w:eastAsiaTheme="minorEastAsia" w:cstheme="minorHAnsi"/>
          <w:sz w:val="24"/>
          <w:szCs w:val="24"/>
          <w:lang w:val="en-US"/>
        </w:rPr>
        <w:t>.</w:t>
      </w:r>
      <w:r w:rsidR="00FF344C" w:rsidRPr="00CD364B">
        <w:rPr>
          <w:rFonts w:eastAsiaTheme="minorEastAsia" w:cstheme="minorHAnsi"/>
          <w:sz w:val="24"/>
          <w:szCs w:val="24"/>
          <w:lang w:val="en-US"/>
        </w:rPr>
        <w:t>D1</w:t>
      </w:r>
      <w:r w:rsidR="00BD4827" w:rsidRPr="00CD364B">
        <w:rPr>
          <w:rFonts w:eastAsiaTheme="minorEastAsia" w:cstheme="minorHAnsi"/>
          <w:sz w:val="24"/>
          <w:szCs w:val="24"/>
          <w:lang w:val="en-US"/>
        </w:rPr>
        <w:t xml:space="preserve"> </w:t>
      </w:r>
      <w:r w:rsidR="00FF344C" w:rsidRPr="00CD364B">
        <w:rPr>
          <w:rFonts w:eastAsiaTheme="minorEastAsia" w:cstheme="minorHAnsi"/>
          <w:sz w:val="24"/>
          <w:szCs w:val="24"/>
          <w:lang w:val="en-US"/>
        </w:rPr>
        <w:t xml:space="preserve">is observed to have strong positive effect on </w:t>
      </w:r>
      <w:r w:rsidR="00617163" w:rsidRPr="00CD364B">
        <w:rPr>
          <w:rFonts w:eastAsiaTheme="minorEastAsia" w:cstheme="minorHAnsi"/>
          <w:sz w:val="24"/>
          <w:szCs w:val="24"/>
          <w:lang w:val="en-US"/>
        </w:rPr>
        <w:t xml:space="preserve">ESRI </w:t>
      </w:r>
      <w:r w:rsidR="00FF344C" w:rsidRPr="00CD364B">
        <w:rPr>
          <w:rFonts w:eastAsiaTheme="minorEastAsia" w:cstheme="minorHAnsi"/>
          <w:sz w:val="24"/>
          <w:szCs w:val="24"/>
          <w:lang w:val="en-US"/>
        </w:rPr>
        <w:t xml:space="preserve">at the area adjoining lower to middle (0.2-0.5) quantiles of both the dependent and independent variables. </w:t>
      </w:r>
      <w:r w:rsidR="008B3AD2" w:rsidRPr="00CD364B">
        <w:rPr>
          <w:rFonts w:eastAsiaTheme="minorEastAsia" w:cstheme="minorHAnsi"/>
          <w:sz w:val="24"/>
          <w:szCs w:val="24"/>
          <w:lang w:val="en-US"/>
        </w:rPr>
        <w:t>However, at</w:t>
      </w:r>
      <w:r w:rsidR="0002018F" w:rsidRPr="00CD364B">
        <w:rPr>
          <w:rFonts w:eastAsiaTheme="minorEastAsia" w:cstheme="minorHAnsi"/>
          <w:sz w:val="24"/>
          <w:szCs w:val="24"/>
          <w:lang w:val="en-US"/>
        </w:rPr>
        <w:t xml:space="preserve"> the </w:t>
      </w:r>
      <w:r w:rsidR="00FF344C" w:rsidRPr="00CD364B">
        <w:rPr>
          <w:rFonts w:eastAsiaTheme="minorEastAsia" w:cstheme="minorHAnsi"/>
          <w:sz w:val="24"/>
          <w:szCs w:val="24"/>
          <w:lang w:val="en-US"/>
        </w:rPr>
        <w:t>rest of the combining quantiles of both the variables the linkage between the decomposed series of Green Bond Index and Environmental and Social Responsibility Inde</w:t>
      </w:r>
      <w:r w:rsidR="0002018F" w:rsidRPr="00CD364B">
        <w:rPr>
          <w:rFonts w:eastAsiaTheme="minorEastAsia" w:cstheme="minorHAnsi"/>
          <w:sz w:val="24"/>
          <w:szCs w:val="24"/>
          <w:lang w:val="en-US"/>
        </w:rPr>
        <w:t xml:space="preserve">x </w:t>
      </w:r>
      <w:r w:rsidR="008B3AD2" w:rsidRPr="00CD364B">
        <w:rPr>
          <w:rFonts w:eastAsiaTheme="minorEastAsia" w:cstheme="minorHAnsi"/>
          <w:sz w:val="24"/>
          <w:szCs w:val="24"/>
          <w:lang w:val="en-US"/>
        </w:rPr>
        <w:t>are negligible</w:t>
      </w:r>
      <w:r w:rsidR="00FF344C" w:rsidRPr="00CD364B">
        <w:rPr>
          <w:rFonts w:eastAsiaTheme="minorEastAsia" w:cstheme="minorHAnsi"/>
          <w:sz w:val="24"/>
          <w:szCs w:val="24"/>
          <w:lang w:val="en-US"/>
        </w:rPr>
        <w:t xml:space="preserve">. Identical scenario is also observed in the influence of decomposed series GRBI.D2 on </w:t>
      </w:r>
      <w:r w:rsidR="0064188E" w:rsidRPr="00CD364B">
        <w:rPr>
          <w:rFonts w:eastAsiaTheme="minorEastAsia" w:cstheme="minorHAnsi"/>
          <w:sz w:val="24"/>
          <w:szCs w:val="24"/>
          <w:lang w:val="en-US"/>
        </w:rPr>
        <w:t xml:space="preserve">ESRI, </w:t>
      </w:r>
      <w:r w:rsidR="00FF344C" w:rsidRPr="00CD364B">
        <w:rPr>
          <w:rFonts w:eastAsiaTheme="minorEastAsia" w:cstheme="minorHAnsi"/>
          <w:sz w:val="24"/>
          <w:szCs w:val="24"/>
          <w:lang w:val="en-US"/>
        </w:rPr>
        <w:t xml:space="preserve">where the strong positive effect of the GRBI.D2 is observed on the </w:t>
      </w:r>
      <w:r w:rsidR="00D6399D" w:rsidRPr="00CD364B">
        <w:rPr>
          <w:rFonts w:eastAsiaTheme="minorEastAsia" w:cstheme="minorHAnsi"/>
          <w:sz w:val="24"/>
          <w:szCs w:val="24"/>
          <w:lang w:val="en-US"/>
        </w:rPr>
        <w:t xml:space="preserve">ESRI </w:t>
      </w:r>
      <w:r w:rsidR="00FF344C" w:rsidRPr="00CD364B">
        <w:rPr>
          <w:rFonts w:eastAsiaTheme="minorEastAsia" w:cstheme="minorHAnsi"/>
          <w:sz w:val="24"/>
          <w:szCs w:val="24"/>
          <w:lang w:val="en-US"/>
        </w:rPr>
        <w:t xml:space="preserve">on the lower to middle (0.2-0.6) quantiles of both GRBI.D2 and ESRI. When we move </w:t>
      </w:r>
      <w:r w:rsidR="00AA4D36" w:rsidRPr="00CD364B">
        <w:rPr>
          <w:rFonts w:eastAsiaTheme="minorEastAsia" w:cstheme="minorHAnsi"/>
          <w:sz w:val="24"/>
          <w:szCs w:val="24"/>
          <w:lang w:val="en-US"/>
        </w:rPr>
        <w:t>further,</w:t>
      </w:r>
      <w:r w:rsidR="00FF344C" w:rsidRPr="00CD364B">
        <w:rPr>
          <w:rFonts w:eastAsiaTheme="minorEastAsia" w:cstheme="minorHAnsi"/>
          <w:sz w:val="24"/>
          <w:szCs w:val="24"/>
          <w:lang w:val="en-US"/>
        </w:rPr>
        <w:t xml:space="preserve"> we observe this positive linkage starts weakening in the middle to higher (0.6-0.9) quantiles of ESRI combined with lower to middle (0.2-0.6) quantiles of GRBI.D2. In rest of the area adjoining the quantiles of the variables the effect of GRBI.D2 on ESRI is observed to be extremely insignificant. </w:t>
      </w:r>
    </w:p>
    <w:p w14:paraId="5E7B0B40" w14:textId="72C91A1A" w:rsidR="000978D5" w:rsidRPr="00CD364B" w:rsidRDefault="00D61866" w:rsidP="006668C1">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W</w:t>
      </w:r>
      <w:r w:rsidR="00FF344C" w:rsidRPr="00CD364B">
        <w:rPr>
          <w:rFonts w:eastAsiaTheme="minorEastAsia" w:cstheme="minorHAnsi"/>
          <w:sz w:val="24"/>
          <w:szCs w:val="24"/>
          <w:lang w:val="en-US"/>
        </w:rPr>
        <w:t xml:space="preserve">e further examine the influence of GRBI.D3 on ESRI under </w:t>
      </w:r>
      <w:r w:rsidR="00341EF1" w:rsidRPr="00CD364B">
        <w:rPr>
          <w:rFonts w:eastAsiaTheme="minorEastAsia" w:cstheme="minorHAnsi"/>
          <w:sz w:val="24"/>
          <w:szCs w:val="24"/>
          <w:lang w:val="en-US"/>
        </w:rPr>
        <w:t>Quantile-on-Quantile</w:t>
      </w:r>
      <w:r w:rsidR="00FF344C" w:rsidRPr="00CD364B">
        <w:rPr>
          <w:rFonts w:eastAsiaTheme="minorEastAsia" w:cstheme="minorHAnsi"/>
          <w:sz w:val="24"/>
          <w:szCs w:val="24"/>
          <w:lang w:val="en-US"/>
        </w:rPr>
        <w:t xml:space="preserve"> Regression framework</w:t>
      </w:r>
      <w:r w:rsidRPr="00CD364B">
        <w:rPr>
          <w:rFonts w:eastAsiaTheme="minorEastAsia" w:cstheme="minorHAnsi"/>
          <w:sz w:val="24"/>
          <w:szCs w:val="24"/>
          <w:lang w:val="en-US"/>
        </w:rPr>
        <w:t>.</w:t>
      </w:r>
      <w:r w:rsidR="00FF344C" w:rsidRPr="00CD364B">
        <w:rPr>
          <w:rFonts w:eastAsiaTheme="minorEastAsia" w:cstheme="minorHAnsi"/>
          <w:sz w:val="24"/>
          <w:szCs w:val="24"/>
          <w:lang w:val="en-US"/>
        </w:rPr>
        <w:t xml:space="preserve"> </w:t>
      </w:r>
      <w:r w:rsidRPr="00CD364B">
        <w:rPr>
          <w:rFonts w:eastAsiaTheme="minorEastAsia" w:cstheme="minorHAnsi"/>
          <w:sz w:val="24"/>
          <w:szCs w:val="24"/>
          <w:lang w:val="en-US"/>
        </w:rPr>
        <w:t>W</w:t>
      </w:r>
      <w:r w:rsidR="00FF344C" w:rsidRPr="00CD364B">
        <w:rPr>
          <w:rFonts w:eastAsiaTheme="minorEastAsia" w:cstheme="minorHAnsi"/>
          <w:sz w:val="24"/>
          <w:szCs w:val="24"/>
          <w:lang w:val="en-US"/>
        </w:rPr>
        <w:t>e find the prevalence of strong positive linkage</w:t>
      </w:r>
      <w:r w:rsidR="0002018F" w:rsidRPr="00CD364B">
        <w:rPr>
          <w:rFonts w:eastAsiaTheme="minorEastAsia" w:cstheme="minorHAnsi"/>
          <w:sz w:val="24"/>
          <w:szCs w:val="24"/>
          <w:lang w:val="en-US"/>
        </w:rPr>
        <w:t>s</w:t>
      </w:r>
      <w:r w:rsidR="00FF344C" w:rsidRPr="00CD364B">
        <w:rPr>
          <w:rFonts w:eastAsiaTheme="minorEastAsia" w:cstheme="minorHAnsi"/>
          <w:sz w:val="24"/>
          <w:szCs w:val="24"/>
          <w:lang w:val="en-US"/>
        </w:rPr>
        <w:t xml:space="preserve"> between the variables across the quantiles of ESRI combined with lower (0.1-0.3) quantiles of GRBI.D3. </w:t>
      </w:r>
      <w:r w:rsidRPr="00CD364B">
        <w:rPr>
          <w:rFonts w:eastAsiaTheme="minorEastAsia" w:cstheme="minorHAnsi"/>
          <w:sz w:val="24"/>
          <w:szCs w:val="24"/>
          <w:lang w:val="en-US"/>
        </w:rPr>
        <w:t xml:space="preserve">Furthermore, </w:t>
      </w:r>
      <w:r w:rsidR="00FF344C" w:rsidRPr="00CD364B">
        <w:rPr>
          <w:rFonts w:eastAsiaTheme="minorEastAsia" w:cstheme="minorHAnsi"/>
          <w:sz w:val="24"/>
          <w:szCs w:val="24"/>
          <w:lang w:val="en-US"/>
        </w:rPr>
        <w:t xml:space="preserve">the positive effect of GRBI.D3 on ESRI becoming almost non-existent. In the </w:t>
      </w:r>
      <w:r w:rsidR="00FF344C" w:rsidRPr="00CD364B">
        <w:rPr>
          <w:rFonts w:eastAsiaTheme="minorEastAsia" w:cstheme="minorHAnsi"/>
          <w:sz w:val="24"/>
          <w:szCs w:val="24"/>
          <w:lang w:val="en-US"/>
        </w:rPr>
        <w:lastRenderedPageBreak/>
        <w:t xml:space="preserve">area adjoining the higher (0.7-0.9) quantiles of GRBI.D3 and lower to middle (0.1-0.5) quantiles of ESRI we find weak to strong negative effect of decomposed series (GRBI.D3) on ESRI. Similarly, the decomposed series GRBI.D4 is observed to have positive effect on ESRI in the area adjoining lower to higher (0.1-0.9) quantiles of ESRI and lower (0.3-0.4) quantiles of GRBI.D4. Further at middle to higher (0.5-0.9) quantiles of GRBI.D4 we observe its negative effect of varying strength (weak to strong) on ESRI across its quantiles. </w:t>
      </w:r>
    </w:p>
    <w:p w14:paraId="0B5A4495" w14:textId="1BFF9232" w:rsidR="00631CE2" w:rsidRPr="00CD364B" w:rsidRDefault="00FF344C" w:rsidP="006668C1">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 xml:space="preserve">When we further decompose the series and </w:t>
      </w:r>
      <w:r w:rsidR="0048085F" w:rsidRPr="00CD364B">
        <w:rPr>
          <w:rFonts w:eastAsiaTheme="minorEastAsia" w:cstheme="minorHAnsi"/>
          <w:sz w:val="24"/>
          <w:szCs w:val="24"/>
          <w:lang w:val="en-US"/>
        </w:rPr>
        <w:t>analyze</w:t>
      </w:r>
      <w:r w:rsidRPr="00CD364B">
        <w:rPr>
          <w:rFonts w:eastAsiaTheme="minorEastAsia" w:cstheme="minorHAnsi"/>
          <w:sz w:val="24"/>
          <w:szCs w:val="24"/>
          <w:lang w:val="en-US"/>
        </w:rPr>
        <w:t xml:space="preserve"> the effect of GRBI.D5 and GRBI.D6 on </w:t>
      </w:r>
      <w:r w:rsidR="009C4E06" w:rsidRPr="00CD364B">
        <w:rPr>
          <w:rFonts w:eastAsiaTheme="minorEastAsia" w:cstheme="minorHAnsi"/>
          <w:sz w:val="24"/>
          <w:szCs w:val="24"/>
          <w:lang w:val="en-US"/>
        </w:rPr>
        <w:t>ESRI</w:t>
      </w:r>
      <w:r w:rsidRPr="00CD364B">
        <w:rPr>
          <w:rFonts w:eastAsiaTheme="minorEastAsia" w:cstheme="minorHAnsi"/>
          <w:sz w:val="24"/>
          <w:szCs w:val="24"/>
          <w:lang w:val="en-US"/>
        </w:rPr>
        <w:t xml:space="preserve">, we find complete absence of its positive effect on ESRI across the quantiles of both dependent and independent variables. We observe a strong negative effect of the decomposed series of Green Bond Index (GRBI.D5 and GRBI.D6) on ESRI at the area encompassing lower to higher (0.1-0.9) quantiles of ESRI and lower (0.1-0.4) quantiles of GRBI.D5 and GRBI.D6. As we move further, from middle to higher (0.5-0.9) quantiles of the independent variable we find this negative effect starts weakening. However, across the quantiles of ESRI and GRBI.D5 and GRBI.D6, we find a complete prevalence of negative linkage between the </w:t>
      </w:r>
      <w:r w:rsidR="002A1839" w:rsidRPr="00CD364B">
        <w:rPr>
          <w:rFonts w:eastAsiaTheme="minorEastAsia" w:cstheme="minorHAnsi"/>
          <w:sz w:val="24"/>
          <w:szCs w:val="24"/>
          <w:lang w:val="en-US"/>
        </w:rPr>
        <w:t>variables. We</w:t>
      </w:r>
      <w:r w:rsidRPr="00CD364B">
        <w:rPr>
          <w:rFonts w:eastAsiaTheme="minorEastAsia" w:cstheme="minorHAnsi"/>
          <w:sz w:val="24"/>
          <w:szCs w:val="24"/>
          <w:lang w:val="en-US"/>
        </w:rPr>
        <w:t xml:space="preserve"> find a similar</w:t>
      </w:r>
      <w:r w:rsidR="0002018F" w:rsidRPr="00CD364B">
        <w:rPr>
          <w:rFonts w:eastAsiaTheme="minorEastAsia" w:cstheme="minorHAnsi"/>
          <w:sz w:val="24"/>
          <w:szCs w:val="24"/>
          <w:lang w:val="en-US"/>
        </w:rPr>
        <w:t xml:space="preserve"> result</w:t>
      </w:r>
      <w:r w:rsidRPr="00CD364B">
        <w:rPr>
          <w:rFonts w:eastAsiaTheme="minorEastAsia" w:cstheme="minorHAnsi"/>
          <w:sz w:val="24"/>
          <w:szCs w:val="24"/>
          <w:lang w:val="en-US"/>
        </w:rPr>
        <w:t>, when we examine the effect of</w:t>
      </w:r>
      <w:r w:rsidR="0002018F" w:rsidRPr="00CD364B">
        <w:rPr>
          <w:rFonts w:eastAsiaTheme="minorEastAsia" w:cstheme="minorHAnsi"/>
          <w:sz w:val="24"/>
          <w:szCs w:val="24"/>
          <w:lang w:val="en-US"/>
        </w:rPr>
        <w:t xml:space="preserve"> the</w:t>
      </w:r>
      <w:r w:rsidRPr="00CD364B">
        <w:rPr>
          <w:rFonts w:eastAsiaTheme="minorEastAsia" w:cstheme="minorHAnsi"/>
          <w:sz w:val="24"/>
          <w:szCs w:val="24"/>
          <w:lang w:val="en-US"/>
        </w:rPr>
        <w:t xml:space="preserve"> most stable component of the decomposed time series of Green Bond Index GRBI.S6 on </w:t>
      </w:r>
      <w:r w:rsidR="0002018F" w:rsidRPr="00CD364B">
        <w:rPr>
          <w:rFonts w:eastAsiaTheme="minorEastAsia" w:cstheme="minorHAnsi"/>
          <w:sz w:val="24"/>
          <w:szCs w:val="24"/>
          <w:lang w:val="en-US"/>
        </w:rPr>
        <w:t>ESRI</w:t>
      </w:r>
      <w:r w:rsidRPr="00CD364B">
        <w:rPr>
          <w:rFonts w:eastAsiaTheme="minorEastAsia" w:cstheme="minorHAnsi"/>
          <w:sz w:val="24"/>
          <w:szCs w:val="24"/>
          <w:lang w:val="en-US"/>
        </w:rPr>
        <w:t>. We find negative influence of decomposed GRBI.S6 of varying strength on ESRI across the quantiles of dependent and independent variables.</w:t>
      </w:r>
    </w:p>
    <w:p w14:paraId="36984EE6" w14:textId="77777777" w:rsidR="000B45F4" w:rsidRPr="00CD364B" w:rsidRDefault="000B45F4" w:rsidP="006668C1">
      <w:pPr>
        <w:spacing w:after="0" w:line="360" w:lineRule="auto"/>
        <w:ind w:firstLine="720"/>
        <w:jc w:val="both"/>
        <w:rPr>
          <w:rFonts w:eastAsiaTheme="minorEastAsia" w:cstheme="minorHAnsi"/>
          <w:sz w:val="24"/>
          <w:szCs w:val="24"/>
          <w:lang w:val="en-US"/>
        </w:rPr>
      </w:pPr>
    </w:p>
    <w:p w14:paraId="09DE9E30" w14:textId="7D8709E9" w:rsidR="0002018F" w:rsidRPr="00CD364B" w:rsidRDefault="00AA763E" w:rsidP="000B45F4">
      <w:pPr>
        <w:pStyle w:val="ListParagraph"/>
        <w:spacing w:after="0" w:line="360" w:lineRule="auto"/>
        <w:ind w:left="360"/>
        <w:jc w:val="both"/>
        <w:rPr>
          <w:rFonts w:cstheme="minorHAnsi"/>
          <w:b/>
          <w:sz w:val="24"/>
          <w:szCs w:val="24"/>
          <w:lang w:val="en-US"/>
        </w:rPr>
      </w:pPr>
      <w:r w:rsidRPr="00CD364B">
        <w:rPr>
          <w:rFonts w:cstheme="minorHAnsi"/>
          <w:b/>
          <w:sz w:val="24"/>
          <w:szCs w:val="24"/>
          <w:lang w:val="en-US"/>
        </w:rPr>
        <w:t xml:space="preserve">4.4. Robustness tests </w:t>
      </w:r>
    </w:p>
    <w:p w14:paraId="103BA6BD" w14:textId="77777777" w:rsidR="000B45F4" w:rsidRPr="00CD364B" w:rsidRDefault="000B45F4" w:rsidP="00CD5F46">
      <w:pPr>
        <w:spacing w:after="0" w:line="360" w:lineRule="auto"/>
        <w:ind w:firstLine="720"/>
        <w:jc w:val="both"/>
        <w:rPr>
          <w:rFonts w:eastAsiaTheme="minorEastAsia" w:cstheme="minorHAnsi"/>
          <w:sz w:val="24"/>
          <w:szCs w:val="24"/>
          <w:lang w:val="en-US"/>
        </w:rPr>
      </w:pPr>
    </w:p>
    <w:p w14:paraId="1C8BF9F8" w14:textId="1D95F4B1" w:rsidR="000978D5" w:rsidRPr="00CD364B" w:rsidRDefault="0002018F" w:rsidP="000B45F4">
      <w:pPr>
        <w:spacing w:after="0" w:line="360" w:lineRule="auto"/>
        <w:ind w:firstLine="720"/>
        <w:jc w:val="both"/>
        <w:rPr>
          <w:rFonts w:cstheme="minorHAnsi"/>
          <w:b/>
          <w:sz w:val="24"/>
          <w:szCs w:val="24"/>
          <w:lang w:val="en-US"/>
        </w:rPr>
      </w:pPr>
      <w:r w:rsidRPr="00CD364B">
        <w:rPr>
          <w:rFonts w:eastAsiaTheme="minorEastAsia" w:cstheme="minorHAnsi"/>
          <w:sz w:val="24"/>
          <w:szCs w:val="24"/>
          <w:lang w:val="en-US"/>
        </w:rPr>
        <w:t xml:space="preserve"> At the next stage of our analysis, we investigate </w:t>
      </w:r>
      <w:r w:rsidR="00A1601F" w:rsidRPr="00CD364B">
        <w:rPr>
          <w:rFonts w:eastAsiaTheme="minorEastAsia" w:cstheme="minorHAnsi"/>
          <w:sz w:val="24"/>
          <w:szCs w:val="24"/>
          <w:lang w:val="en-US"/>
        </w:rPr>
        <w:t xml:space="preserve">all the segments of the results </w:t>
      </w:r>
      <w:r w:rsidRPr="00CD364B">
        <w:rPr>
          <w:rFonts w:eastAsiaTheme="minorEastAsia" w:cstheme="minorHAnsi"/>
          <w:sz w:val="24"/>
          <w:szCs w:val="24"/>
          <w:lang w:val="en-US"/>
        </w:rPr>
        <w:t xml:space="preserve">using </w:t>
      </w:r>
      <w:r w:rsidR="00A1601F" w:rsidRPr="00CD364B">
        <w:rPr>
          <w:rFonts w:eastAsiaTheme="minorEastAsia" w:cstheme="minorHAnsi"/>
          <w:sz w:val="24"/>
          <w:szCs w:val="24"/>
          <w:lang w:val="en-US"/>
        </w:rPr>
        <w:t>the frequency-level wavelet-based QQR analysis. As we move along from the short</w:t>
      </w:r>
      <w:r w:rsidRPr="00CD364B">
        <w:rPr>
          <w:rFonts w:eastAsiaTheme="minorEastAsia" w:cstheme="minorHAnsi"/>
          <w:sz w:val="24"/>
          <w:szCs w:val="24"/>
          <w:lang w:val="en-US"/>
        </w:rPr>
        <w:t>-</w:t>
      </w:r>
      <w:r w:rsidR="00A1601F" w:rsidRPr="00CD364B">
        <w:rPr>
          <w:rFonts w:eastAsiaTheme="minorEastAsia" w:cstheme="minorHAnsi"/>
          <w:sz w:val="24"/>
          <w:szCs w:val="24"/>
          <w:lang w:val="en-US"/>
        </w:rPr>
        <w:t>run to medium</w:t>
      </w:r>
      <w:r w:rsidRPr="00CD364B">
        <w:rPr>
          <w:rFonts w:eastAsiaTheme="minorEastAsia" w:cstheme="minorHAnsi"/>
          <w:sz w:val="24"/>
          <w:szCs w:val="24"/>
          <w:lang w:val="en-US"/>
        </w:rPr>
        <w:t>-</w:t>
      </w:r>
      <w:r w:rsidR="00A1601F" w:rsidRPr="00CD364B">
        <w:rPr>
          <w:rFonts w:eastAsiaTheme="minorEastAsia" w:cstheme="minorHAnsi"/>
          <w:sz w:val="24"/>
          <w:szCs w:val="24"/>
          <w:lang w:val="en-US"/>
        </w:rPr>
        <w:t>run and long</w:t>
      </w:r>
      <w:r w:rsidRPr="00CD364B">
        <w:rPr>
          <w:rFonts w:eastAsiaTheme="minorEastAsia" w:cstheme="minorHAnsi"/>
          <w:sz w:val="24"/>
          <w:szCs w:val="24"/>
          <w:lang w:val="en-US"/>
        </w:rPr>
        <w:t>-</w:t>
      </w:r>
      <w:r w:rsidR="00A1601F" w:rsidRPr="00CD364B">
        <w:rPr>
          <w:rFonts w:eastAsiaTheme="minorEastAsia" w:cstheme="minorHAnsi"/>
          <w:sz w:val="24"/>
          <w:szCs w:val="24"/>
          <w:lang w:val="en-US"/>
        </w:rPr>
        <w:t>run</w:t>
      </w:r>
      <w:r w:rsidRPr="00CD364B">
        <w:rPr>
          <w:rFonts w:eastAsiaTheme="minorEastAsia" w:cstheme="minorHAnsi"/>
          <w:sz w:val="24"/>
          <w:szCs w:val="24"/>
          <w:lang w:val="en-US"/>
        </w:rPr>
        <w:t xml:space="preserve"> frequency domains</w:t>
      </w:r>
      <w:r w:rsidR="00A1601F" w:rsidRPr="00CD364B">
        <w:rPr>
          <w:rFonts w:eastAsiaTheme="minorEastAsia" w:cstheme="minorHAnsi"/>
          <w:sz w:val="24"/>
          <w:szCs w:val="24"/>
          <w:lang w:val="en-US"/>
        </w:rPr>
        <w:t xml:space="preserve">, it can be seen that the positive impact of GRBI on ESRI is not only gradually </w:t>
      </w:r>
      <w:r w:rsidR="000B45F4" w:rsidRPr="00CD364B">
        <w:rPr>
          <w:rFonts w:eastAsiaTheme="minorEastAsia" w:cstheme="minorHAnsi"/>
          <w:sz w:val="24"/>
          <w:szCs w:val="24"/>
          <w:lang w:val="en-US"/>
        </w:rPr>
        <w:t>diminishing but</w:t>
      </w:r>
      <w:r w:rsidR="00A1601F" w:rsidRPr="00CD364B">
        <w:rPr>
          <w:rFonts w:eastAsiaTheme="minorEastAsia" w:cstheme="minorHAnsi"/>
          <w:sz w:val="24"/>
          <w:szCs w:val="24"/>
          <w:lang w:val="en-US"/>
        </w:rPr>
        <w:t xml:space="preserve"> is gradually turning out to be negative.</w:t>
      </w:r>
      <w:r w:rsidR="003178B1" w:rsidRPr="00CD364B">
        <w:rPr>
          <w:rFonts w:eastAsiaTheme="minorEastAsia" w:cstheme="minorHAnsi"/>
          <w:sz w:val="24"/>
          <w:szCs w:val="24"/>
          <w:lang w:val="en-US"/>
        </w:rPr>
        <w:t xml:space="preserve"> </w:t>
      </w:r>
      <w:r w:rsidRPr="00CD364B">
        <w:rPr>
          <w:rFonts w:eastAsiaTheme="minorEastAsia" w:cstheme="minorHAnsi"/>
          <w:sz w:val="24"/>
          <w:szCs w:val="24"/>
          <w:lang w:val="en-US"/>
        </w:rPr>
        <w:t xml:space="preserve">These </w:t>
      </w:r>
      <w:r w:rsidR="003178B1" w:rsidRPr="00CD364B">
        <w:rPr>
          <w:rFonts w:eastAsiaTheme="minorEastAsia" w:cstheme="minorHAnsi"/>
          <w:sz w:val="24"/>
          <w:szCs w:val="24"/>
          <w:lang w:val="en-US"/>
        </w:rPr>
        <w:t xml:space="preserve">results show that during the initial level of implementation, GRBI </w:t>
      </w:r>
      <w:r w:rsidR="00C010C6" w:rsidRPr="00CD364B">
        <w:rPr>
          <w:rFonts w:eastAsiaTheme="minorEastAsia" w:cstheme="minorHAnsi"/>
          <w:sz w:val="24"/>
          <w:szCs w:val="24"/>
          <w:lang w:val="en-US"/>
        </w:rPr>
        <w:t xml:space="preserve">is having </w:t>
      </w:r>
      <w:r w:rsidR="003178B1" w:rsidRPr="00CD364B">
        <w:rPr>
          <w:rFonts w:eastAsiaTheme="minorEastAsia" w:cstheme="minorHAnsi"/>
          <w:sz w:val="24"/>
          <w:szCs w:val="24"/>
          <w:lang w:val="en-US"/>
        </w:rPr>
        <w:t xml:space="preserve">a short run </w:t>
      </w:r>
      <w:r w:rsidR="008648C7" w:rsidRPr="00CD364B">
        <w:rPr>
          <w:rFonts w:eastAsiaTheme="minorEastAsia" w:cstheme="minorHAnsi"/>
          <w:sz w:val="24"/>
          <w:szCs w:val="24"/>
          <w:lang w:val="en-US"/>
        </w:rPr>
        <w:t xml:space="preserve">positive </w:t>
      </w:r>
      <w:r w:rsidR="003178B1" w:rsidRPr="00CD364B">
        <w:rPr>
          <w:rFonts w:eastAsiaTheme="minorEastAsia" w:cstheme="minorHAnsi"/>
          <w:sz w:val="24"/>
          <w:szCs w:val="24"/>
          <w:lang w:val="en-US"/>
        </w:rPr>
        <w:t xml:space="preserve">impact on ESRI. </w:t>
      </w:r>
      <w:r w:rsidR="001C3291" w:rsidRPr="00CD364B">
        <w:rPr>
          <w:rFonts w:eastAsiaTheme="minorEastAsia" w:cstheme="minorHAnsi"/>
          <w:sz w:val="24"/>
          <w:szCs w:val="24"/>
          <w:lang w:val="en-US"/>
        </w:rPr>
        <w:t>This particular result has been found both across the time and the frequency domains, and this demonstrates the validity of the findings.</w:t>
      </w:r>
      <w:r w:rsidR="0044080A" w:rsidRPr="00CD364B">
        <w:rPr>
          <w:rFonts w:eastAsiaTheme="minorEastAsia" w:cstheme="minorHAnsi"/>
          <w:sz w:val="24"/>
          <w:szCs w:val="24"/>
          <w:lang w:val="en-US"/>
        </w:rPr>
        <w:t xml:space="preserve"> </w:t>
      </w:r>
      <w:r w:rsidRPr="00CD364B">
        <w:rPr>
          <w:rFonts w:eastAsiaTheme="minorEastAsia" w:cstheme="minorHAnsi"/>
          <w:sz w:val="24"/>
          <w:szCs w:val="24"/>
          <w:lang w:val="en-US"/>
        </w:rPr>
        <w:t xml:space="preserve">Our </w:t>
      </w:r>
      <w:r w:rsidR="0044080A" w:rsidRPr="00CD364B">
        <w:rPr>
          <w:rFonts w:eastAsiaTheme="minorEastAsia" w:cstheme="minorHAnsi"/>
          <w:sz w:val="24"/>
          <w:szCs w:val="24"/>
          <w:lang w:val="en-US"/>
        </w:rPr>
        <w:t>results demonstrate that inadequately defined policy directives and profit motive of the firms might bring the objectives of sustainable development at the crossroads</w:t>
      </w:r>
      <w:r w:rsidR="00BF67AF" w:rsidRPr="00CD364B">
        <w:rPr>
          <w:rFonts w:eastAsiaTheme="minorEastAsia" w:cstheme="minorHAnsi"/>
          <w:sz w:val="24"/>
          <w:szCs w:val="24"/>
          <w:lang w:val="en-US"/>
        </w:rPr>
        <w:t xml:space="preserve">, </w:t>
      </w:r>
      <w:r w:rsidR="00341EF1" w:rsidRPr="00CD364B">
        <w:rPr>
          <w:rFonts w:eastAsiaTheme="minorEastAsia" w:cstheme="minorHAnsi"/>
          <w:sz w:val="24"/>
          <w:szCs w:val="24"/>
          <w:lang w:val="en-US"/>
        </w:rPr>
        <w:t>i.e.,</w:t>
      </w:r>
      <w:r w:rsidR="00BF67AF" w:rsidRPr="00CD364B">
        <w:rPr>
          <w:rFonts w:eastAsiaTheme="minorEastAsia" w:cstheme="minorHAnsi"/>
          <w:sz w:val="24"/>
          <w:szCs w:val="24"/>
          <w:lang w:val="en-US"/>
        </w:rPr>
        <w:t xml:space="preserve"> policy instrument for assuring sustainable development </w:t>
      </w:r>
      <w:r w:rsidR="00F50203" w:rsidRPr="00CD364B">
        <w:rPr>
          <w:rFonts w:eastAsiaTheme="minorEastAsia" w:cstheme="minorHAnsi"/>
          <w:sz w:val="24"/>
          <w:szCs w:val="24"/>
          <w:lang w:val="en-US"/>
        </w:rPr>
        <w:t>might</w:t>
      </w:r>
      <w:r w:rsidR="00BF67AF" w:rsidRPr="00CD364B">
        <w:rPr>
          <w:rFonts w:eastAsiaTheme="minorEastAsia" w:cstheme="minorHAnsi"/>
          <w:sz w:val="24"/>
          <w:szCs w:val="24"/>
          <w:lang w:val="en-US"/>
        </w:rPr>
        <w:t xml:space="preserve"> turn out to be a double-edged sword</w:t>
      </w:r>
      <w:r w:rsidR="00FB5DC3" w:rsidRPr="00CD364B">
        <w:rPr>
          <w:rFonts w:eastAsiaTheme="minorEastAsia" w:cstheme="minorHAnsi"/>
          <w:sz w:val="24"/>
          <w:szCs w:val="24"/>
          <w:lang w:val="en-US"/>
        </w:rPr>
        <w:t xml:space="preserve">. </w:t>
      </w:r>
      <w:r w:rsidR="00FC750C" w:rsidRPr="00CD364B">
        <w:rPr>
          <w:rFonts w:eastAsiaTheme="minorEastAsia" w:cstheme="minorHAnsi"/>
          <w:sz w:val="24"/>
          <w:szCs w:val="24"/>
          <w:lang w:val="en-US"/>
        </w:rPr>
        <w:t xml:space="preserve">An indication of such a </w:t>
      </w:r>
      <w:r w:rsidR="00FC750C" w:rsidRPr="00CD364B">
        <w:rPr>
          <w:rFonts w:eastAsiaTheme="minorEastAsia" w:cstheme="minorHAnsi"/>
          <w:sz w:val="24"/>
          <w:szCs w:val="24"/>
          <w:lang w:val="en-US"/>
        </w:rPr>
        <w:lastRenderedPageBreak/>
        <w:t>scenario from rent-seeking perspective of public sector firms has been provided by Sinha et al. (2019)</w:t>
      </w:r>
      <w:r w:rsidR="002B1D9A" w:rsidRPr="00CD364B">
        <w:rPr>
          <w:rFonts w:eastAsiaTheme="minorEastAsia" w:cstheme="minorHAnsi"/>
          <w:sz w:val="24"/>
          <w:szCs w:val="24"/>
          <w:lang w:val="en-US"/>
        </w:rPr>
        <w:t>.</w:t>
      </w:r>
    </w:p>
    <w:p w14:paraId="72084D00" w14:textId="76C5035D" w:rsidR="00FF344C" w:rsidRPr="00CD364B" w:rsidRDefault="00FF344C" w:rsidP="00004F21">
      <w:pPr>
        <w:spacing w:after="0" w:line="360" w:lineRule="auto"/>
        <w:ind w:firstLine="720"/>
        <w:jc w:val="both"/>
        <w:rPr>
          <w:rFonts w:eastAsia="Times New Roman" w:cstheme="minorHAnsi"/>
          <w:sz w:val="24"/>
          <w:szCs w:val="24"/>
          <w:lang w:val="en-US"/>
        </w:rPr>
      </w:pPr>
      <w:r w:rsidRPr="00CD364B">
        <w:rPr>
          <w:rFonts w:eastAsiaTheme="minorEastAsia" w:cstheme="minorHAnsi"/>
          <w:sz w:val="24"/>
          <w:szCs w:val="24"/>
          <w:lang w:val="en-US"/>
        </w:rPr>
        <w:t xml:space="preserve">The paper further compares the quantile regression parameter estimates with </w:t>
      </w:r>
      <w:r w:rsidRPr="00CD364B">
        <w:rPr>
          <w:rFonts w:eastAsia="Times New Roman" w:cstheme="minorHAnsi"/>
          <w:sz w:val="24"/>
          <w:szCs w:val="24"/>
          <w:lang w:val="en-US"/>
        </w:rPr>
        <w:t xml:space="preserve">τ- averaged QQ parameter estimates and thus ascertains the validity of the adopted Quantile on Quantile approach. The plots presented in Figure 3 illustrate the estimates of the slope coefficients derived from the Quantile Regression and average of the slope coefficients from </w:t>
      </w:r>
      <w:r w:rsidR="00341EF1" w:rsidRPr="00CD364B">
        <w:rPr>
          <w:rFonts w:eastAsia="Times New Roman" w:cstheme="minorHAnsi"/>
          <w:sz w:val="24"/>
          <w:szCs w:val="24"/>
          <w:lang w:val="en-US"/>
        </w:rPr>
        <w:t>Quantile-on-Quantile</w:t>
      </w:r>
      <w:r w:rsidRPr="00CD364B">
        <w:rPr>
          <w:rFonts w:eastAsia="Times New Roman" w:cstheme="minorHAnsi"/>
          <w:sz w:val="24"/>
          <w:szCs w:val="24"/>
          <w:lang w:val="en-US"/>
        </w:rPr>
        <w:t xml:space="preserve"> Regression. The plots in Figure 3 reveal the trend in slope coefficients of </w:t>
      </w:r>
      <w:r w:rsidR="00341EF1" w:rsidRPr="00CD364B">
        <w:rPr>
          <w:rFonts w:eastAsia="Times New Roman" w:cstheme="minorHAnsi"/>
          <w:sz w:val="24"/>
          <w:szCs w:val="24"/>
          <w:lang w:val="en-US"/>
        </w:rPr>
        <w:t>Quantile-on-Quantile</w:t>
      </w:r>
      <w:r w:rsidRPr="00CD364B">
        <w:rPr>
          <w:rFonts w:eastAsia="Times New Roman" w:cstheme="minorHAnsi"/>
          <w:sz w:val="24"/>
          <w:szCs w:val="24"/>
          <w:lang w:val="en-US"/>
        </w:rPr>
        <w:t xml:space="preserve"> Regression being similar to that of Quantile Regression. However, while examining the impact of original time series of Global Green Bond Index and its decomposed time series</w:t>
      </w:r>
      <w:r w:rsidR="00D83B39" w:rsidRPr="00CD364B">
        <w:rPr>
          <w:rFonts w:eastAsia="Times New Roman" w:cstheme="minorHAnsi"/>
          <w:sz w:val="24"/>
          <w:szCs w:val="24"/>
          <w:lang w:val="en-US"/>
        </w:rPr>
        <w:t>,</w:t>
      </w:r>
      <w:r w:rsidRPr="00CD364B">
        <w:rPr>
          <w:rFonts w:eastAsia="Times New Roman" w:cstheme="minorHAnsi"/>
          <w:sz w:val="24"/>
          <w:szCs w:val="24"/>
          <w:lang w:val="en-US"/>
        </w:rPr>
        <w:t xml:space="preserve"> </w:t>
      </w:r>
      <w:r w:rsidR="00341EF1" w:rsidRPr="00CD364B">
        <w:rPr>
          <w:rFonts w:eastAsia="Times New Roman" w:cstheme="minorHAnsi"/>
          <w:sz w:val="24"/>
          <w:szCs w:val="24"/>
          <w:lang w:val="en-US"/>
        </w:rPr>
        <w:t>i.e.,</w:t>
      </w:r>
      <w:r w:rsidRPr="00CD364B">
        <w:rPr>
          <w:rFonts w:eastAsia="Times New Roman" w:cstheme="minorHAnsi"/>
          <w:sz w:val="24"/>
          <w:szCs w:val="24"/>
          <w:lang w:val="en-US"/>
        </w:rPr>
        <w:t xml:space="preserve"> GRBI.D1, GRBI.D2, GRBI.D3 and GRBI.D4 we may observe the value estimate from </w:t>
      </w:r>
      <w:r w:rsidR="00901FAA" w:rsidRPr="00CD364B">
        <w:rPr>
          <w:rFonts w:eastAsia="Times New Roman" w:cstheme="minorHAnsi"/>
          <w:sz w:val="24"/>
          <w:szCs w:val="24"/>
          <w:lang w:val="en-US"/>
        </w:rPr>
        <w:t>Quantile-on-Quantile</w:t>
      </w:r>
      <w:r w:rsidRPr="00CD364B">
        <w:rPr>
          <w:rFonts w:eastAsia="Times New Roman" w:cstheme="minorHAnsi"/>
          <w:sz w:val="24"/>
          <w:szCs w:val="24"/>
          <w:lang w:val="en-US"/>
        </w:rPr>
        <w:t xml:space="preserve"> Regression being </w:t>
      </w:r>
      <w:r w:rsidR="00974BA0" w:rsidRPr="00CD364B">
        <w:rPr>
          <w:rFonts w:eastAsia="Times New Roman" w:cstheme="minorHAnsi"/>
          <w:sz w:val="24"/>
          <w:szCs w:val="24"/>
          <w:lang w:val="en-US"/>
        </w:rPr>
        <w:t xml:space="preserve">nearly similar to </w:t>
      </w:r>
      <w:r w:rsidRPr="00CD364B">
        <w:rPr>
          <w:rFonts w:eastAsia="Times New Roman" w:cstheme="minorHAnsi"/>
          <w:sz w:val="24"/>
          <w:szCs w:val="24"/>
          <w:lang w:val="en-US"/>
        </w:rPr>
        <w:t xml:space="preserve">that </w:t>
      </w:r>
      <w:r w:rsidR="00974BA0" w:rsidRPr="00CD364B">
        <w:rPr>
          <w:rFonts w:eastAsia="Times New Roman" w:cstheme="minorHAnsi"/>
          <w:sz w:val="24"/>
          <w:szCs w:val="24"/>
          <w:lang w:val="en-US"/>
        </w:rPr>
        <w:t xml:space="preserve">of the results of </w:t>
      </w:r>
      <w:r w:rsidRPr="00CD364B">
        <w:rPr>
          <w:rFonts w:eastAsia="Times New Roman" w:cstheme="minorHAnsi"/>
          <w:sz w:val="24"/>
          <w:szCs w:val="24"/>
          <w:lang w:val="en-US"/>
        </w:rPr>
        <w:t xml:space="preserve">Quantile Regression. On the contrary, the trend line for value estimates of QQ and QR coincide for the effect of GRBI.D5, GRBI.D6 and GRBI.S6 on ESRI. </w:t>
      </w:r>
      <w:r w:rsidR="00712C69" w:rsidRPr="00CD364B">
        <w:rPr>
          <w:rFonts w:eastAsia="Times New Roman" w:cstheme="minorHAnsi"/>
          <w:sz w:val="24"/>
          <w:szCs w:val="24"/>
          <w:lang w:val="en-US"/>
        </w:rPr>
        <w:t xml:space="preserve">This </w:t>
      </w:r>
      <w:r w:rsidR="000B45F4" w:rsidRPr="00CD364B">
        <w:rPr>
          <w:rFonts w:eastAsia="Times New Roman" w:cstheme="minorHAnsi"/>
          <w:sz w:val="24"/>
          <w:szCs w:val="24"/>
          <w:lang w:val="en-US"/>
        </w:rPr>
        <w:t>segment</w:t>
      </w:r>
      <w:r w:rsidR="00712C69" w:rsidRPr="00CD364B">
        <w:rPr>
          <w:rFonts w:eastAsia="Times New Roman" w:cstheme="minorHAnsi"/>
          <w:sz w:val="24"/>
          <w:szCs w:val="24"/>
          <w:lang w:val="en-US"/>
        </w:rPr>
        <w:t xml:space="preserve"> of the findings shows the robustness of the findings of QQR estimates.</w:t>
      </w:r>
    </w:p>
    <w:p w14:paraId="6D787DCD" w14:textId="77777777" w:rsidR="000978D5" w:rsidRPr="00CD364B" w:rsidRDefault="000978D5" w:rsidP="00004F21">
      <w:pPr>
        <w:pStyle w:val="ListParagraph"/>
        <w:spacing w:after="0" w:line="360" w:lineRule="auto"/>
        <w:ind w:left="360" w:firstLine="360"/>
        <w:jc w:val="center"/>
        <w:rPr>
          <w:rFonts w:cstheme="minorHAnsi"/>
          <w:b/>
          <w:sz w:val="24"/>
          <w:szCs w:val="24"/>
          <w:lang w:val="en-US"/>
        </w:rPr>
      </w:pPr>
    </w:p>
    <w:p w14:paraId="60D888C5" w14:textId="427F0760" w:rsidR="00FF344C" w:rsidRPr="00CD364B" w:rsidRDefault="00FF344C" w:rsidP="00004F21">
      <w:pPr>
        <w:pStyle w:val="ListParagraph"/>
        <w:spacing w:after="0" w:line="360" w:lineRule="auto"/>
        <w:ind w:left="360" w:firstLine="360"/>
        <w:jc w:val="center"/>
        <w:rPr>
          <w:rFonts w:cstheme="minorHAnsi"/>
          <w:b/>
          <w:sz w:val="24"/>
          <w:szCs w:val="24"/>
          <w:lang w:val="en-US"/>
        </w:rPr>
      </w:pPr>
      <w:r w:rsidRPr="00CD364B">
        <w:rPr>
          <w:rFonts w:cstheme="minorHAnsi"/>
          <w:b/>
          <w:sz w:val="24"/>
          <w:szCs w:val="24"/>
          <w:lang w:val="en-US"/>
        </w:rPr>
        <w:t>&lt;Insert Figure 3 here&gt;</w:t>
      </w:r>
    </w:p>
    <w:p w14:paraId="1E4AC8EA" w14:textId="77777777" w:rsidR="000978D5" w:rsidRPr="00CD364B" w:rsidRDefault="000978D5" w:rsidP="00004F21">
      <w:pPr>
        <w:pStyle w:val="ListParagraph"/>
        <w:spacing w:after="0" w:line="360" w:lineRule="auto"/>
        <w:ind w:left="360" w:firstLine="360"/>
        <w:jc w:val="center"/>
        <w:rPr>
          <w:rFonts w:cstheme="minorHAnsi"/>
          <w:b/>
          <w:sz w:val="24"/>
          <w:szCs w:val="24"/>
          <w:lang w:val="en-US"/>
        </w:rPr>
      </w:pPr>
    </w:p>
    <w:p w14:paraId="749C0624" w14:textId="106188E5" w:rsidR="00FF344C" w:rsidRPr="00CD364B" w:rsidRDefault="006668C1" w:rsidP="00004F21">
      <w:pPr>
        <w:spacing w:after="0" w:line="360" w:lineRule="auto"/>
        <w:ind w:firstLine="720"/>
        <w:jc w:val="both"/>
        <w:rPr>
          <w:rFonts w:eastAsiaTheme="minorEastAsia" w:cstheme="minorHAnsi"/>
          <w:sz w:val="24"/>
          <w:szCs w:val="24"/>
          <w:lang w:val="en-US"/>
        </w:rPr>
      </w:pPr>
      <w:r w:rsidRPr="00CD364B">
        <w:rPr>
          <w:rFonts w:eastAsiaTheme="minorEastAsia" w:cstheme="minorHAnsi"/>
          <w:sz w:val="24"/>
          <w:szCs w:val="24"/>
          <w:lang w:val="en-US"/>
        </w:rPr>
        <w:t>Finally, we employ</w:t>
      </w:r>
      <w:r w:rsidR="00FF344C" w:rsidRPr="00CD364B">
        <w:rPr>
          <w:rFonts w:eastAsiaTheme="minorEastAsia" w:cstheme="minorHAnsi"/>
          <w:sz w:val="24"/>
          <w:szCs w:val="24"/>
          <w:lang w:val="en-US"/>
        </w:rPr>
        <w:t xml:space="preserve"> the Granger Causality Test in quantiles </w:t>
      </w:r>
      <w:r w:rsidRPr="00CD364B">
        <w:rPr>
          <w:rFonts w:eastAsiaTheme="minorEastAsia" w:cstheme="minorHAnsi"/>
          <w:sz w:val="24"/>
          <w:szCs w:val="24"/>
          <w:lang w:val="en-US"/>
        </w:rPr>
        <w:t>for</w:t>
      </w:r>
      <w:r w:rsidR="00FF344C" w:rsidRPr="00CD364B">
        <w:rPr>
          <w:rFonts w:eastAsiaTheme="minorEastAsia" w:cstheme="minorHAnsi"/>
          <w:sz w:val="24"/>
          <w:szCs w:val="24"/>
          <w:lang w:val="en-US"/>
        </w:rPr>
        <w:t xml:space="preserve"> Green Bond Index and its various decomposed series and Environmental and Social Responsibility Index. The estimates from Granger Causality Test in Quantiles of dependent and independent variables are reported in Table 4. From Table 4 we can very well witness the existence of unidirectional Granger Causality from GRBI and it</w:t>
      </w:r>
      <w:r w:rsidR="00CF6872" w:rsidRPr="00CD364B">
        <w:rPr>
          <w:rFonts w:eastAsiaTheme="minorEastAsia" w:cstheme="minorHAnsi"/>
          <w:sz w:val="24"/>
          <w:szCs w:val="24"/>
          <w:lang w:val="en-US"/>
        </w:rPr>
        <w:t xml:space="preserve"> i</w:t>
      </w:r>
      <w:r w:rsidR="00FF344C" w:rsidRPr="00CD364B">
        <w:rPr>
          <w:rFonts w:eastAsiaTheme="minorEastAsia" w:cstheme="minorHAnsi"/>
          <w:sz w:val="24"/>
          <w:szCs w:val="24"/>
          <w:lang w:val="en-US"/>
        </w:rPr>
        <w:t>s decomposed to ESRI across all the quantiles. The outcome from the Granger Causality Test in Quantiles remain</w:t>
      </w:r>
      <w:r w:rsidR="0002018F" w:rsidRPr="00CD364B">
        <w:rPr>
          <w:rFonts w:eastAsiaTheme="minorEastAsia" w:cstheme="minorHAnsi"/>
          <w:sz w:val="24"/>
          <w:szCs w:val="24"/>
          <w:lang w:val="en-US"/>
        </w:rPr>
        <w:t>s</w:t>
      </w:r>
      <w:r w:rsidR="00FF344C" w:rsidRPr="00CD364B">
        <w:rPr>
          <w:rFonts w:eastAsiaTheme="minorEastAsia" w:cstheme="minorHAnsi"/>
          <w:sz w:val="24"/>
          <w:szCs w:val="24"/>
          <w:lang w:val="en-US"/>
        </w:rPr>
        <w:t xml:space="preserve"> similar for all the lags considered in the present study. The results confirm the significant effect of changes in Green Bond Index and its decomposed series on Global Environmental and Social Responsibility Index. However, at certain instances of extreme lower (0.1) or extreme higher (0.7or 0.9) quantiles we may somewhat observe the presence of bidirectional Granger Causality in Quantiles between both the variables. </w:t>
      </w:r>
      <w:r w:rsidR="00765E79" w:rsidRPr="00CD364B">
        <w:rPr>
          <w:rFonts w:eastAsiaTheme="minorEastAsia" w:cstheme="minorHAnsi"/>
          <w:sz w:val="24"/>
          <w:szCs w:val="24"/>
          <w:lang w:val="en-US"/>
        </w:rPr>
        <w:t xml:space="preserve">The latter section of the findings </w:t>
      </w:r>
      <w:r w:rsidR="00F7749B" w:rsidRPr="00CD364B">
        <w:rPr>
          <w:rFonts w:eastAsiaTheme="minorEastAsia" w:cstheme="minorHAnsi"/>
          <w:sz w:val="24"/>
          <w:szCs w:val="24"/>
          <w:lang w:val="en-US"/>
        </w:rPr>
        <w:t>indicate</w:t>
      </w:r>
      <w:r w:rsidR="00DB382C" w:rsidRPr="00CD364B">
        <w:rPr>
          <w:rFonts w:eastAsiaTheme="minorEastAsia" w:cstheme="minorHAnsi"/>
          <w:sz w:val="24"/>
          <w:szCs w:val="24"/>
          <w:lang w:val="en-US"/>
        </w:rPr>
        <w:t>s</w:t>
      </w:r>
      <w:r w:rsidR="00F7749B" w:rsidRPr="00CD364B">
        <w:rPr>
          <w:rFonts w:eastAsiaTheme="minorEastAsia" w:cstheme="minorHAnsi"/>
          <w:sz w:val="24"/>
          <w:szCs w:val="24"/>
          <w:lang w:val="en-US"/>
        </w:rPr>
        <w:t xml:space="preserve"> that the </w:t>
      </w:r>
      <w:r w:rsidR="00E962C1" w:rsidRPr="00CD364B">
        <w:rPr>
          <w:rFonts w:eastAsiaTheme="minorEastAsia" w:cstheme="minorHAnsi"/>
          <w:sz w:val="24"/>
          <w:szCs w:val="24"/>
          <w:lang w:val="en-US"/>
        </w:rPr>
        <w:t xml:space="preserve">initiation and </w:t>
      </w:r>
      <w:r w:rsidR="00D345C0" w:rsidRPr="00CD364B">
        <w:rPr>
          <w:rFonts w:eastAsiaTheme="minorEastAsia" w:cstheme="minorHAnsi"/>
          <w:sz w:val="24"/>
          <w:szCs w:val="24"/>
          <w:lang w:val="en-US"/>
        </w:rPr>
        <w:t>higher level</w:t>
      </w:r>
      <w:r w:rsidR="00E962C1" w:rsidRPr="00CD364B">
        <w:rPr>
          <w:rFonts w:eastAsiaTheme="minorEastAsia" w:cstheme="minorHAnsi"/>
          <w:sz w:val="24"/>
          <w:szCs w:val="24"/>
          <w:lang w:val="en-US"/>
        </w:rPr>
        <w:t>s</w:t>
      </w:r>
      <w:r w:rsidR="00D345C0" w:rsidRPr="00CD364B">
        <w:rPr>
          <w:rFonts w:eastAsiaTheme="minorEastAsia" w:cstheme="minorHAnsi"/>
          <w:sz w:val="24"/>
          <w:szCs w:val="24"/>
          <w:lang w:val="en-US"/>
        </w:rPr>
        <w:t xml:space="preserve"> of ESRI call for </w:t>
      </w:r>
      <w:r w:rsidR="00E962C1" w:rsidRPr="00CD364B">
        <w:rPr>
          <w:rFonts w:eastAsiaTheme="minorEastAsia" w:cstheme="minorHAnsi"/>
          <w:sz w:val="24"/>
          <w:szCs w:val="24"/>
          <w:lang w:val="en-US"/>
        </w:rPr>
        <w:t xml:space="preserve">equivalent </w:t>
      </w:r>
      <w:r w:rsidR="00DB382C" w:rsidRPr="00CD364B">
        <w:rPr>
          <w:rFonts w:eastAsiaTheme="minorEastAsia" w:cstheme="minorHAnsi"/>
          <w:sz w:val="24"/>
          <w:szCs w:val="24"/>
          <w:lang w:val="en-US"/>
        </w:rPr>
        <w:t>level</w:t>
      </w:r>
      <w:r w:rsidR="00E962C1" w:rsidRPr="00CD364B">
        <w:rPr>
          <w:rFonts w:eastAsiaTheme="minorEastAsia" w:cstheme="minorHAnsi"/>
          <w:sz w:val="24"/>
          <w:szCs w:val="24"/>
          <w:lang w:val="en-US"/>
        </w:rPr>
        <w:t>s</w:t>
      </w:r>
      <w:r w:rsidR="00DB382C" w:rsidRPr="00CD364B">
        <w:rPr>
          <w:rFonts w:eastAsiaTheme="minorEastAsia" w:cstheme="minorHAnsi"/>
          <w:sz w:val="24"/>
          <w:szCs w:val="24"/>
          <w:lang w:val="en-US"/>
        </w:rPr>
        <w:t xml:space="preserve"> of penetration of green bonds</w:t>
      </w:r>
      <w:r w:rsidR="00236BDD" w:rsidRPr="00CD364B">
        <w:rPr>
          <w:rFonts w:eastAsiaTheme="minorEastAsia" w:cstheme="minorHAnsi"/>
          <w:sz w:val="24"/>
          <w:szCs w:val="24"/>
          <w:lang w:val="en-US"/>
        </w:rPr>
        <w:t xml:space="preserve">, which can </w:t>
      </w:r>
      <w:r w:rsidR="004C6C21" w:rsidRPr="00CD364B">
        <w:rPr>
          <w:rFonts w:eastAsiaTheme="minorEastAsia" w:cstheme="minorHAnsi"/>
          <w:sz w:val="24"/>
          <w:szCs w:val="24"/>
          <w:lang w:val="en-US"/>
        </w:rPr>
        <w:t>be reflected in terms of</w:t>
      </w:r>
      <w:r w:rsidR="00C3574F" w:rsidRPr="00CD364B">
        <w:rPr>
          <w:rFonts w:eastAsiaTheme="minorEastAsia" w:cstheme="minorHAnsi"/>
          <w:sz w:val="24"/>
          <w:szCs w:val="24"/>
          <w:lang w:val="en-US"/>
        </w:rPr>
        <w:t xml:space="preserve"> the </w:t>
      </w:r>
      <w:r w:rsidR="00D06CA6" w:rsidRPr="00CD364B">
        <w:rPr>
          <w:rFonts w:eastAsiaTheme="minorEastAsia" w:cstheme="minorHAnsi"/>
          <w:sz w:val="24"/>
          <w:szCs w:val="24"/>
          <w:lang w:val="en-US"/>
        </w:rPr>
        <w:t xml:space="preserve">low and </w:t>
      </w:r>
      <w:r w:rsidR="00375F33" w:rsidRPr="00CD364B">
        <w:rPr>
          <w:rFonts w:eastAsiaTheme="minorEastAsia" w:cstheme="minorHAnsi"/>
          <w:sz w:val="24"/>
          <w:szCs w:val="24"/>
          <w:lang w:val="en-US"/>
        </w:rPr>
        <w:t xml:space="preserve">high returns on GRBI. </w:t>
      </w:r>
      <w:r w:rsidR="009C6A82" w:rsidRPr="00CD364B">
        <w:rPr>
          <w:rFonts w:eastAsiaTheme="minorEastAsia" w:cstheme="minorHAnsi"/>
          <w:sz w:val="24"/>
          <w:szCs w:val="24"/>
          <w:lang w:val="en-US"/>
        </w:rPr>
        <w:t xml:space="preserve">This direction of causality might prove to be significant from the policymaking perspective in a context, where the higher GRBI might </w:t>
      </w:r>
      <w:r w:rsidR="003315CA" w:rsidRPr="00CD364B">
        <w:rPr>
          <w:rFonts w:eastAsiaTheme="minorEastAsia" w:cstheme="minorHAnsi"/>
          <w:sz w:val="24"/>
          <w:szCs w:val="24"/>
          <w:lang w:val="en-US"/>
        </w:rPr>
        <w:t xml:space="preserve">have a </w:t>
      </w:r>
      <w:r w:rsidR="005E39BD" w:rsidRPr="00CD364B">
        <w:rPr>
          <w:rFonts w:eastAsiaTheme="minorEastAsia" w:cstheme="minorHAnsi"/>
          <w:sz w:val="24"/>
          <w:szCs w:val="24"/>
          <w:lang w:val="en-US"/>
        </w:rPr>
        <w:t xml:space="preserve">negative </w:t>
      </w:r>
      <w:r w:rsidR="003315CA" w:rsidRPr="00CD364B">
        <w:rPr>
          <w:rFonts w:eastAsiaTheme="minorEastAsia" w:cstheme="minorHAnsi"/>
          <w:sz w:val="24"/>
          <w:szCs w:val="24"/>
          <w:lang w:val="en-US"/>
        </w:rPr>
        <w:t>influence on ESRI.</w:t>
      </w:r>
    </w:p>
    <w:p w14:paraId="4CED14CF" w14:textId="77777777" w:rsidR="000978D5" w:rsidRPr="00CD364B" w:rsidRDefault="000978D5" w:rsidP="00004F21">
      <w:pPr>
        <w:pStyle w:val="ListParagraph"/>
        <w:spacing w:after="0" w:line="360" w:lineRule="auto"/>
        <w:ind w:left="360" w:firstLine="360"/>
        <w:jc w:val="center"/>
        <w:rPr>
          <w:rFonts w:cstheme="minorHAnsi"/>
          <w:b/>
          <w:sz w:val="24"/>
          <w:szCs w:val="24"/>
          <w:lang w:val="en-US"/>
        </w:rPr>
      </w:pPr>
    </w:p>
    <w:p w14:paraId="13231B48" w14:textId="360A8716" w:rsidR="00FF344C" w:rsidRPr="00CD364B" w:rsidRDefault="00FF344C" w:rsidP="00004F21">
      <w:pPr>
        <w:pStyle w:val="ListParagraph"/>
        <w:spacing w:after="0" w:line="360" w:lineRule="auto"/>
        <w:ind w:left="360" w:firstLine="360"/>
        <w:jc w:val="center"/>
        <w:rPr>
          <w:rFonts w:cstheme="minorHAnsi"/>
          <w:b/>
          <w:sz w:val="24"/>
          <w:szCs w:val="24"/>
          <w:lang w:val="en-US"/>
        </w:rPr>
      </w:pPr>
      <w:r w:rsidRPr="00CD364B">
        <w:rPr>
          <w:rFonts w:cstheme="minorHAnsi"/>
          <w:b/>
          <w:sz w:val="24"/>
          <w:szCs w:val="24"/>
          <w:lang w:val="en-US"/>
        </w:rPr>
        <w:t>&lt;Insert Table 4 here&gt;</w:t>
      </w:r>
    </w:p>
    <w:p w14:paraId="232DEBE6" w14:textId="77777777" w:rsidR="00F066E9" w:rsidRPr="00CD364B" w:rsidRDefault="00F066E9" w:rsidP="00004F21">
      <w:pPr>
        <w:pStyle w:val="ListParagraph"/>
        <w:spacing w:after="0" w:line="360" w:lineRule="auto"/>
        <w:ind w:left="360" w:firstLine="360"/>
        <w:jc w:val="center"/>
        <w:rPr>
          <w:rFonts w:cstheme="minorHAnsi"/>
          <w:b/>
          <w:sz w:val="24"/>
          <w:szCs w:val="24"/>
          <w:lang w:val="en-US"/>
        </w:rPr>
      </w:pPr>
    </w:p>
    <w:p w14:paraId="3DE80BB5" w14:textId="0A58AF43" w:rsidR="00CB5505" w:rsidRPr="00CD364B" w:rsidRDefault="0002018F" w:rsidP="00CD5F46">
      <w:pPr>
        <w:pStyle w:val="ListParagraph"/>
        <w:spacing w:after="0" w:line="360" w:lineRule="auto"/>
        <w:ind w:left="360"/>
        <w:rPr>
          <w:rFonts w:cstheme="minorHAnsi"/>
          <w:b/>
          <w:sz w:val="24"/>
          <w:szCs w:val="24"/>
          <w:lang w:val="en-US"/>
        </w:rPr>
      </w:pPr>
      <w:r w:rsidRPr="00CD364B">
        <w:rPr>
          <w:rFonts w:cstheme="minorHAnsi"/>
          <w:b/>
          <w:sz w:val="24"/>
          <w:szCs w:val="24"/>
          <w:lang w:val="en-US"/>
        </w:rPr>
        <w:t xml:space="preserve">5. </w:t>
      </w:r>
      <w:r w:rsidR="00F066E9" w:rsidRPr="00CD364B">
        <w:rPr>
          <w:rFonts w:cstheme="minorHAnsi"/>
          <w:b/>
          <w:sz w:val="24"/>
          <w:szCs w:val="24"/>
          <w:lang w:val="en-US"/>
        </w:rPr>
        <w:t>Policy Implications</w:t>
      </w:r>
    </w:p>
    <w:p w14:paraId="126AD301" w14:textId="77777777" w:rsidR="008D153D" w:rsidRPr="00CD364B" w:rsidRDefault="008D153D" w:rsidP="008D153D">
      <w:pPr>
        <w:pStyle w:val="ListParagraph"/>
        <w:spacing w:after="0" w:line="360" w:lineRule="auto"/>
        <w:ind w:left="360"/>
        <w:rPr>
          <w:rFonts w:cstheme="minorHAnsi"/>
          <w:b/>
          <w:sz w:val="24"/>
          <w:szCs w:val="24"/>
          <w:lang w:val="en-US"/>
        </w:rPr>
      </w:pPr>
    </w:p>
    <w:p w14:paraId="36B66B7B" w14:textId="1CD6214C" w:rsidR="00FF344C" w:rsidRPr="00CD364B" w:rsidRDefault="0002018F" w:rsidP="00CD5F46">
      <w:pPr>
        <w:pStyle w:val="ListParagraph"/>
        <w:spacing w:after="0" w:line="360" w:lineRule="auto"/>
        <w:ind w:left="360"/>
        <w:jc w:val="both"/>
        <w:rPr>
          <w:rFonts w:cstheme="minorHAnsi"/>
          <w:b/>
          <w:sz w:val="24"/>
          <w:szCs w:val="24"/>
          <w:lang w:val="en-US"/>
        </w:rPr>
      </w:pPr>
      <w:r w:rsidRPr="00CD364B">
        <w:rPr>
          <w:rFonts w:cstheme="minorHAnsi"/>
          <w:b/>
          <w:sz w:val="24"/>
          <w:szCs w:val="24"/>
          <w:lang w:val="en-US"/>
        </w:rPr>
        <w:t xml:space="preserve">5.1 </w:t>
      </w:r>
      <w:r w:rsidR="00CB5505" w:rsidRPr="00CD364B">
        <w:rPr>
          <w:rFonts w:cstheme="minorHAnsi"/>
          <w:b/>
          <w:sz w:val="24"/>
          <w:szCs w:val="24"/>
          <w:lang w:val="en-US"/>
        </w:rPr>
        <w:t>Central policy framework</w:t>
      </w:r>
    </w:p>
    <w:p w14:paraId="3234C4BD" w14:textId="06782406" w:rsidR="00CB5505" w:rsidRPr="00CD364B" w:rsidRDefault="00CB5505" w:rsidP="006668C1">
      <w:pPr>
        <w:spacing w:after="0" w:line="360" w:lineRule="auto"/>
        <w:ind w:firstLine="720"/>
        <w:jc w:val="both"/>
        <w:rPr>
          <w:rFonts w:cstheme="minorHAnsi"/>
          <w:bCs/>
          <w:sz w:val="24"/>
          <w:szCs w:val="24"/>
          <w:lang w:val="en-US"/>
        </w:rPr>
      </w:pPr>
      <w:r w:rsidRPr="00CD364B">
        <w:rPr>
          <w:rFonts w:cstheme="minorHAnsi"/>
          <w:bCs/>
          <w:sz w:val="24"/>
          <w:szCs w:val="24"/>
          <w:lang w:val="en-US"/>
        </w:rPr>
        <w:t>While a high penetration of green bonds with low attainment of SDG objectives</w:t>
      </w:r>
      <w:r w:rsidR="00322D74" w:rsidRPr="00CD364B">
        <w:rPr>
          <w:rFonts w:cstheme="minorHAnsi"/>
          <w:bCs/>
          <w:sz w:val="24"/>
          <w:szCs w:val="24"/>
          <w:lang w:val="en-US"/>
        </w:rPr>
        <w:t xml:space="preserve"> </w:t>
      </w:r>
      <w:r w:rsidRPr="00CD364B">
        <w:rPr>
          <w:rFonts w:cstheme="minorHAnsi"/>
          <w:bCs/>
          <w:sz w:val="24"/>
          <w:szCs w:val="24"/>
          <w:lang w:val="en-US"/>
        </w:rPr>
        <w:t>might</w:t>
      </w:r>
      <w:r w:rsidR="00322D74" w:rsidRPr="00CD364B">
        <w:rPr>
          <w:rFonts w:cstheme="minorHAnsi"/>
          <w:bCs/>
          <w:sz w:val="24"/>
          <w:szCs w:val="24"/>
          <w:lang w:val="en-US"/>
        </w:rPr>
        <w:t xml:space="preserve"> have gradual negative transformational impact on environmental and social responsibility, it </w:t>
      </w:r>
      <w:r w:rsidR="001C3AB0" w:rsidRPr="00CD364B">
        <w:rPr>
          <w:rFonts w:cstheme="minorHAnsi"/>
          <w:bCs/>
          <w:sz w:val="24"/>
          <w:szCs w:val="24"/>
          <w:lang w:val="en-US"/>
        </w:rPr>
        <w:t>can</w:t>
      </w:r>
      <w:r w:rsidR="00322D74" w:rsidRPr="00CD364B">
        <w:rPr>
          <w:rFonts w:cstheme="minorHAnsi"/>
          <w:bCs/>
          <w:sz w:val="24"/>
          <w:szCs w:val="24"/>
          <w:lang w:val="en-US"/>
        </w:rPr>
        <w:t xml:space="preserve"> be assumed that the soci</w:t>
      </w:r>
      <w:r w:rsidR="00E04655" w:rsidRPr="00CD364B">
        <w:rPr>
          <w:rFonts w:cstheme="minorHAnsi"/>
          <w:bCs/>
          <w:sz w:val="24"/>
          <w:szCs w:val="24"/>
          <w:lang w:val="en-US"/>
        </w:rPr>
        <w:t>o-</w:t>
      </w:r>
      <w:r w:rsidR="00322D74" w:rsidRPr="00CD364B">
        <w:rPr>
          <w:rFonts w:cstheme="minorHAnsi"/>
          <w:bCs/>
          <w:sz w:val="24"/>
          <w:szCs w:val="24"/>
          <w:lang w:val="en-US"/>
        </w:rPr>
        <w:t xml:space="preserve">ecological benefits of green </w:t>
      </w:r>
      <w:r w:rsidR="00993D49" w:rsidRPr="00CD364B">
        <w:rPr>
          <w:rFonts w:cstheme="minorHAnsi"/>
          <w:bCs/>
          <w:sz w:val="24"/>
          <w:szCs w:val="24"/>
          <w:lang w:val="en-US"/>
        </w:rPr>
        <w:t>b</w:t>
      </w:r>
      <w:r w:rsidR="00322D74" w:rsidRPr="00CD364B">
        <w:rPr>
          <w:rFonts w:cstheme="minorHAnsi"/>
          <w:bCs/>
          <w:sz w:val="24"/>
          <w:szCs w:val="24"/>
          <w:lang w:val="en-US"/>
        </w:rPr>
        <w:t>ond</w:t>
      </w:r>
      <w:r w:rsidR="00AA763E" w:rsidRPr="00CD364B">
        <w:rPr>
          <w:rFonts w:cstheme="minorHAnsi"/>
          <w:bCs/>
          <w:sz w:val="24"/>
          <w:szCs w:val="24"/>
          <w:lang w:val="en-US"/>
        </w:rPr>
        <w:t>s</w:t>
      </w:r>
      <w:r w:rsidR="00322D74" w:rsidRPr="00CD364B">
        <w:rPr>
          <w:rFonts w:cstheme="minorHAnsi"/>
          <w:bCs/>
          <w:sz w:val="24"/>
          <w:szCs w:val="24"/>
          <w:lang w:val="en-US"/>
        </w:rPr>
        <w:t xml:space="preserve"> have not been communicated to the industrial players effectively. This issue can be considered as a classic outcome-output trade off, and one of the major reasons behind prevalence of this trade-off might be</w:t>
      </w:r>
      <w:r w:rsidR="00921285" w:rsidRPr="00CD364B">
        <w:rPr>
          <w:rFonts w:cstheme="minorHAnsi"/>
          <w:bCs/>
          <w:sz w:val="24"/>
          <w:szCs w:val="24"/>
          <w:lang w:val="en-US"/>
        </w:rPr>
        <w:t xml:space="preserve"> the strategic myopia of the industrial players regarding their </w:t>
      </w:r>
      <w:r w:rsidR="003F22F1" w:rsidRPr="00CD364B">
        <w:rPr>
          <w:rFonts w:cstheme="minorHAnsi"/>
          <w:bCs/>
          <w:sz w:val="24"/>
          <w:szCs w:val="24"/>
          <w:lang w:val="en-US"/>
        </w:rPr>
        <w:t xml:space="preserve">potential </w:t>
      </w:r>
      <w:r w:rsidR="00921285" w:rsidRPr="00CD364B">
        <w:rPr>
          <w:rFonts w:cstheme="minorHAnsi"/>
          <w:bCs/>
          <w:sz w:val="24"/>
          <w:szCs w:val="24"/>
          <w:lang w:val="en-US"/>
        </w:rPr>
        <w:t xml:space="preserve">role in </w:t>
      </w:r>
      <w:r w:rsidR="003F22F1" w:rsidRPr="00CD364B">
        <w:rPr>
          <w:rFonts w:cstheme="minorHAnsi"/>
          <w:bCs/>
          <w:sz w:val="24"/>
          <w:szCs w:val="24"/>
          <w:lang w:val="en-US"/>
        </w:rPr>
        <w:t xml:space="preserve">ascertaining </w:t>
      </w:r>
      <w:r w:rsidR="00921285" w:rsidRPr="00CD364B">
        <w:rPr>
          <w:rFonts w:cstheme="minorHAnsi"/>
          <w:bCs/>
          <w:sz w:val="24"/>
          <w:szCs w:val="24"/>
          <w:lang w:val="en-US"/>
        </w:rPr>
        <w:t>the sustainable development of nation</w:t>
      </w:r>
      <w:r w:rsidR="003F22F1" w:rsidRPr="00CD364B">
        <w:rPr>
          <w:rFonts w:cstheme="minorHAnsi"/>
          <w:bCs/>
          <w:sz w:val="24"/>
          <w:szCs w:val="24"/>
          <w:lang w:val="en-US"/>
        </w:rPr>
        <w:t>s.</w:t>
      </w:r>
      <w:r w:rsidR="00220B69" w:rsidRPr="00CD364B">
        <w:rPr>
          <w:rFonts w:cstheme="minorHAnsi"/>
        </w:rPr>
        <w:t xml:space="preserve"> </w:t>
      </w:r>
      <w:r w:rsidR="000B45F4" w:rsidRPr="00CD364B">
        <w:rPr>
          <w:rFonts w:cstheme="minorHAnsi"/>
          <w:bCs/>
          <w:sz w:val="24"/>
          <w:szCs w:val="24"/>
          <w:lang w:val="en-US"/>
        </w:rPr>
        <w:t>To</w:t>
      </w:r>
      <w:r w:rsidR="00220B69" w:rsidRPr="00CD364B">
        <w:rPr>
          <w:rFonts w:cstheme="minorHAnsi"/>
          <w:bCs/>
          <w:sz w:val="24"/>
          <w:szCs w:val="24"/>
          <w:lang w:val="en-US"/>
        </w:rPr>
        <w:t xml:space="preserve"> </w:t>
      </w:r>
      <w:r w:rsidR="00AA763E" w:rsidRPr="00CD364B">
        <w:rPr>
          <w:rFonts w:cstheme="minorHAnsi"/>
          <w:bCs/>
          <w:sz w:val="24"/>
          <w:szCs w:val="24"/>
          <w:lang w:val="en-US"/>
        </w:rPr>
        <w:t>address this problem</w:t>
      </w:r>
      <w:r w:rsidR="00220B69" w:rsidRPr="00CD364B">
        <w:rPr>
          <w:rFonts w:cstheme="minorHAnsi"/>
          <w:bCs/>
          <w:sz w:val="24"/>
          <w:szCs w:val="24"/>
          <w:lang w:val="en-US"/>
        </w:rPr>
        <w:t>,</w:t>
      </w:r>
      <w:r w:rsidR="00AA763E" w:rsidRPr="00CD364B">
        <w:rPr>
          <w:rFonts w:cstheme="minorHAnsi"/>
          <w:bCs/>
          <w:sz w:val="24"/>
          <w:szCs w:val="24"/>
          <w:lang w:val="en-US"/>
        </w:rPr>
        <w:t xml:space="preserve"> an</w:t>
      </w:r>
      <w:r w:rsidR="00220B69" w:rsidRPr="00CD364B">
        <w:rPr>
          <w:rFonts w:cstheme="minorHAnsi"/>
          <w:bCs/>
          <w:sz w:val="24"/>
          <w:szCs w:val="24"/>
          <w:lang w:val="en-US"/>
        </w:rPr>
        <w:t xml:space="preserve"> appropriate complementary policy mechanism for the green financing channel should be implemented.</w:t>
      </w:r>
      <w:r w:rsidR="0077794F" w:rsidRPr="00CD364B">
        <w:rPr>
          <w:rFonts w:cstheme="minorHAnsi"/>
          <w:bCs/>
          <w:sz w:val="24"/>
          <w:szCs w:val="24"/>
          <w:lang w:val="en-US"/>
        </w:rPr>
        <w:t xml:space="preserve"> </w:t>
      </w:r>
      <w:r w:rsidR="002943F6" w:rsidRPr="00CD364B">
        <w:rPr>
          <w:rFonts w:cstheme="minorHAnsi"/>
          <w:bCs/>
          <w:sz w:val="24"/>
          <w:szCs w:val="24"/>
          <w:lang w:val="en-US"/>
        </w:rPr>
        <w:t>While firms are using green bond</w:t>
      </w:r>
      <w:r w:rsidR="00AA763E" w:rsidRPr="00CD364B">
        <w:rPr>
          <w:rFonts w:cstheme="minorHAnsi"/>
          <w:bCs/>
          <w:sz w:val="24"/>
          <w:szCs w:val="24"/>
          <w:lang w:val="en-US"/>
        </w:rPr>
        <w:t>s</w:t>
      </w:r>
      <w:r w:rsidR="002943F6" w:rsidRPr="00CD364B">
        <w:rPr>
          <w:rFonts w:cstheme="minorHAnsi"/>
          <w:bCs/>
          <w:sz w:val="24"/>
          <w:szCs w:val="24"/>
          <w:lang w:val="en-US"/>
        </w:rPr>
        <w:t xml:space="preserve"> as a mere tax saving mechanism, policymakers need to ensure that the social outcome of financing mechanism is also fulfilled.</w:t>
      </w:r>
      <w:r w:rsidR="002A1CCB" w:rsidRPr="00CD364B">
        <w:rPr>
          <w:rFonts w:cstheme="minorHAnsi"/>
          <w:bCs/>
          <w:sz w:val="24"/>
          <w:szCs w:val="24"/>
          <w:lang w:val="en-US"/>
        </w:rPr>
        <w:t xml:space="preserve"> </w:t>
      </w:r>
    </w:p>
    <w:p w14:paraId="4D55D078" w14:textId="73A46549" w:rsidR="009C792E" w:rsidRPr="00CD364B" w:rsidRDefault="00491E1F" w:rsidP="00CB5505">
      <w:pPr>
        <w:spacing w:after="0" w:line="360" w:lineRule="auto"/>
        <w:ind w:firstLine="720"/>
        <w:jc w:val="both"/>
        <w:rPr>
          <w:rFonts w:cstheme="minorHAnsi"/>
          <w:bCs/>
          <w:sz w:val="24"/>
          <w:szCs w:val="24"/>
          <w:lang w:val="en-US"/>
        </w:rPr>
      </w:pPr>
      <w:r w:rsidRPr="00CD364B">
        <w:rPr>
          <w:rFonts w:cstheme="minorHAnsi"/>
          <w:bCs/>
          <w:sz w:val="24"/>
          <w:szCs w:val="24"/>
          <w:lang w:val="en-US"/>
        </w:rPr>
        <w:t>One of the possible solutions,</w:t>
      </w:r>
      <w:r w:rsidR="00BF649F" w:rsidRPr="00CD364B">
        <w:rPr>
          <w:rFonts w:cstheme="minorHAnsi"/>
          <w:bCs/>
          <w:sz w:val="24"/>
          <w:szCs w:val="24"/>
          <w:lang w:val="en-US"/>
        </w:rPr>
        <w:t xml:space="preserve"> is to create the demand for a positive social outcome, </w:t>
      </w:r>
      <w:r w:rsidRPr="00CD364B">
        <w:rPr>
          <w:rFonts w:cstheme="minorHAnsi"/>
          <w:bCs/>
          <w:sz w:val="24"/>
          <w:szCs w:val="24"/>
          <w:lang w:val="en-US"/>
        </w:rPr>
        <w:t>however the</w:t>
      </w:r>
      <w:r w:rsidR="00BF649F" w:rsidRPr="00CD364B">
        <w:rPr>
          <w:rFonts w:cstheme="minorHAnsi"/>
          <w:bCs/>
          <w:sz w:val="24"/>
          <w:szCs w:val="24"/>
          <w:lang w:val="en-US"/>
        </w:rPr>
        <w:t xml:space="preserve"> implementation of this particular policy can be difficult given the profit motive of the firms. Therefore, policymakers need to implement </w:t>
      </w:r>
      <w:r w:rsidRPr="00CD364B">
        <w:rPr>
          <w:rFonts w:cstheme="minorHAnsi"/>
          <w:bCs/>
          <w:sz w:val="24"/>
          <w:szCs w:val="24"/>
          <w:lang w:val="en-US"/>
        </w:rPr>
        <w:t>a rigorous</w:t>
      </w:r>
      <w:r w:rsidR="00BF649F" w:rsidRPr="00CD364B">
        <w:rPr>
          <w:rFonts w:cstheme="minorHAnsi"/>
          <w:bCs/>
          <w:sz w:val="24"/>
          <w:szCs w:val="24"/>
          <w:lang w:val="en-US"/>
        </w:rPr>
        <w:t xml:space="preserve"> monitoring mechanism for measuring the social outcome</w:t>
      </w:r>
      <w:r w:rsidRPr="00CD364B">
        <w:rPr>
          <w:rFonts w:cstheme="minorHAnsi"/>
          <w:bCs/>
          <w:sz w:val="24"/>
          <w:szCs w:val="24"/>
          <w:lang w:val="en-US"/>
        </w:rPr>
        <w:t>s</w:t>
      </w:r>
      <w:r w:rsidR="00BF649F" w:rsidRPr="00CD364B">
        <w:rPr>
          <w:rFonts w:cstheme="minorHAnsi"/>
          <w:bCs/>
          <w:sz w:val="24"/>
          <w:szCs w:val="24"/>
          <w:lang w:val="en-US"/>
        </w:rPr>
        <w:t xml:space="preserve"> of the projects, so that firms can create sufficient social externality.</w:t>
      </w:r>
      <w:r w:rsidR="009F0743" w:rsidRPr="00CD364B">
        <w:rPr>
          <w:rFonts w:cstheme="minorHAnsi"/>
        </w:rPr>
        <w:t xml:space="preserve"> </w:t>
      </w:r>
      <w:r w:rsidR="009F0743" w:rsidRPr="00CD364B">
        <w:rPr>
          <w:rFonts w:cstheme="minorHAnsi"/>
          <w:bCs/>
          <w:sz w:val="24"/>
          <w:szCs w:val="24"/>
          <w:lang w:val="en-US"/>
        </w:rPr>
        <w:t xml:space="preserve">In this way operational </w:t>
      </w:r>
      <w:r w:rsidR="000A1150" w:rsidRPr="00CD364B">
        <w:rPr>
          <w:rFonts w:cstheme="minorHAnsi"/>
          <w:bCs/>
          <w:sz w:val="24"/>
          <w:szCs w:val="24"/>
          <w:lang w:val="en-US"/>
        </w:rPr>
        <w:t>cost</w:t>
      </w:r>
      <w:r w:rsidRPr="00CD364B">
        <w:rPr>
          <w:rFonts w:cstheme="minorHAnsi"/>
          <w:bCs/>
          <w:sz w:val="24"/>
          <w:szCs w:val="24"/>
          <w:lang w:val="en-US"/>
        </w:rPr>
        <w:t>s</w:t>
      </w:r>
      <w:r w:rsidR="000A1150" w:rsidRPr="00CD364B">
        <w:rPr>
          <w:rFonts w:cstheme="minorHAnsi"/>
          <w:bCs/>
          <w:sz w:val="24"/>
          <w:szCs w:val="24"/>
          <w:lang w:val="en-US"/>
        </w:rPr>
        <w:t xml:space="preserve"> </w:t>
      </w:r>
      <w:r w:rsidR="009F0743" w:rsidRPr="00CD364B">
        <w:rPr>
          <w:rFonts w:cstheme="minorHAnsi"/>
          <w:bCs/>
          <w:sz w:val="24"/>
          <w:szCs w:val="24"/>
          <w:lang w:val="en-US"/>
        </w:rPr>
        <w:t>of the f</w:t>
      </w:r>
      <w:r w:rsidR="000B7066" w:rsidRPr="00CD364B">
        <w:rPr>
          <w:rFonts w:cstheme="minorHAnsi"/>
          <w:bCs/>
          <w:sz w:val="24"/>
          <w:szCs w:val="24"/>
          <w:lang w:val="en-US"/>
        </w:rPr>
        <w:t>i</w:t>
      </w:r>
      <w:r w:rsidR="009F0743" w:rsidRPr="00CD364B">
        <w:rPr>
          <w:rFonts w:cstheme="minorHAnsi"/>
          <w:bCs/>
          <w:sz w:val="24"/>
          <w:szCs w:val="24"/>
          <w:lang w:val="en-US"/>
        </w:rPr>
        <w:t xml:space="preserve">rms might be </w:t>
      </w:r>
      <w:r w:rsidRPr="00CD364B">
        <w:rPr>
          <w:rFonts w:cstheme="minorHAnsi"/>
          <w:bCs/>
          <w:sz w:val="24"/>
          <w:szCs w:val="24"/>
          <w:lang w:val="en-US"/>
        </w:rPr>
        <w:t>increased and</w:t>
      </w:r>
      <w:r w:rsidR="009F0743" w:rsidRPr="00CD364B">
        <w:rPr>
          <w:rFonts w:cstheme="minorHAnsi"/>
          <w:bCs/>
          <w:sz w:val="24"/>
          <w:szCs w:val="24"/>
          <w:lang w:val="en-US"/>
        </w:rPr>
        <w:t xml:space="preserve"> might have a negative impact on the</w:t>
      </w:r>
      <w:r w:rsidR="002F649D" w:rsidRPr="00CD364B">
        <w:rPr>
          <w:rFonts w:cstheme="minorHAnsi"/>
          <w:bCs/>
          <w:sz w:val="24"/>
          <w:szCs w:val="24"/>
          <w:lang w:val="en-US"/>
        </w:rPr>
        <w:t>ir</w:t>
      </w:r>
      <w:r w:rsidR="009F0743" w:rsidRPr="00CD364B">
        <w:rPr>
          <w:rFonts w:cstheme="minorHAnsi"/>
          <w:bCs/>
          <w:sz w:val="24"/>
          <w:szCs w:val="24"/>
          <w:lang w:val="en-US"/>
        </w:rPr>
        <w:t xml:space="preserve"> revenue stream</w:t>
      </w:r>
      <w:r w:rsidR="002F649D" w:rsidRPr="00CD364B">
        <w:rPr>
          <w:rFonts w:cstheme="minorHAnsi"/>
          <w:bCs/>
          <w:sz w:val="24"/>
          <w:szCs w:val="24"/>
          <w:lang w:val="en-US"/>
        </w:rPr>
        <w:t>s</w:t>
      </w:r>
      <w:r w:rsidR="009F0743" w:rsidRPr="00CD364B">
        <w:rPr>
          <w:rFonts w:cstheme="minorHAnsi"/>
          <w:bCs/>
          <w:sz w:val="24"/>
          <w:szCs w:val="24"/>
          <w:lang w:val="en-US"/>
        </w:rPr>
        <w:t xml:space="preserve">. </w:t>
      </w:r>
      <w:r w:rsidR="000B45F4" w:rsidRPr="00CD364B">
        <w:rPr>
          <w:rFonts w:cstheme="minorHAnsi"/>
          <w:bCs/>
          <w:sz w:val="24"/>
          <w:szCs w:val="24"/>
          <w:lang w:val="en-US"/>
        </w:rPr>
        <w:t>To</w:t>
      </w:r>
      <w:r w:rsidR="009F0743" w:rsidRPr="00CD364B">
        <w:rPr>
          <w:rFonts w:cstheme="minorHAnsi"/>
          <w:bCs/>
          <w:sz w:val="24"/>
          <w:szCs w:val="24"/>
          <w:lang w:val="en-US"/>
        </w:rPr>
        <w:t xml:space="preserve"> protect interests of the firms, the policymakers also need to create certain incentivization scheme, so that the firms can be motivated for achieving the intended social outcome </w:t>
      </w:r>
      <w:r w:rsidR="00E51D4F" w:rsidRPr="00CD364B">
        <w:rPr>
          <w:rFonts w:cstheme="minorHAnsi"/>
          <w:bCs/>
          <w:sz w:val="24"/>
          <w:szCs w:val="24"/>
          <w:lang w:val="en-US"/>
        </w:rPr>
        <w:t xml:space="preserve">of </w:t>
      </w:r>
      <w:r w:rsidR="009F0743" w:rsidRPr="00CD364B">
        <w:rPr>
          <w:rFonts w:cstheme="minorHAnsi"/>
          <w:bCs/>
          <w:sz w:val="24"/>
          <w:szCs w:val="24"/>
          <w:lang w:val="en-US"/>
        </w:rPr>
        <w:t>the green financing mechanism.</w:t>
      </w:r>
      <w:r w:rsidR="00A6217F" w:rsidRPr="00CD364B">
        <w:rPr>
          <w:rFonts w:cstheme="minorHAnsi"/>
        </w:rPr>
        <w:t xml:space="preserve"> </w:t>
      </w:r>
      <w:r w:rsidR="00A6217F" w:rsidRPr="00CD364B">
        <w:rPr>
          <w:rFonts w:cstheme="minorHAnsi"/>
          <w:bCs/>
          <w:sz w:val="24"/>
          <w:szCs w:val="24"/>
          <w:lang w:val="en-US"/>
        </w:rPr>
        <w:t xml:space="preserve">Moreover, presence of an incentivization scheme might also bring forth the effectiveness </w:t>
      </w:r>
      <w:r w:rsidR="00D25D3D" w:rsidRPr="00CD364B">
        <w:rPr>
          <w:rFonts w:cstheme="minorHAnsi"/>
          <w:bCs/>
          <w:sz w:val="24"/>
          <w:szCs w:val="24"/>
          <w:lang w:val="en-US"/>
        </w:rPr>
        <w:t xml:space="preserve">of </w:t>
      </w:r>
      <w:r w:rsidR="00A6217F" w:rsidRPr="00CD364B">
        <w:rPr>
          <w:rFonts w:cstheme="minorHAnsi"/>
          <w:bCs/>
          <w:sz w:val="24"/>
          <w:szCs w:val="24"/>
          <w:lang w:val="en-US"/>
        </w:rPr>
        <w:t>promotional activities carried out by policymakers for elucidating the socio-ecological benefits of green bonds among the industrial players. The expectation of supernormal profit in the form of economic incentives, penetration of green bond</w:t>
      </w:r>
      <w:r w:rsidRPr="00CD364B">
        <w:rPr>
          <w:rFonts w:cstheme="minorHAnsi"/>
          <w:bCs/>
          <w:sz w:val="24"/>
          <w:szCs w:val="24"/>
          <w:lang w:val="en-US"/>
        </w:rPr>
        <w:t>s</w:t>
      </w:r>
      <w:r w:rsidR="00A6217F" w:rsidRPr="00CD364B">
        <w:rPr>
          <w:rFonts w:cstheme="minorHAnsi"/>
          <w:bCs/>
          <w:sz w:val="24"/>
          <w:szCs w:val="24"/>
          <w:lang w:val="en-US"/>
        </w:rPr>
        <w:t xml:space="preserve"> might rise while in keeping with the assurance of social benefits communicated and monitored by the policymakers.</w:t>
      </w:r>
      <w:r w:rsidR="00F60905" w:rsidRPr="00CD364B">
        <w:rPr>
          <w:rFonts w:cstheme="minorHAnsi"/>
        </w:rPr>
        <w:t xml:space="preserve"> </w:t>
      </w:r>
      <w:r w:rsidR="00F60905" w:rsidRPr="00CD364B">
        <w:rPr>
          <w:rFonts w:cstheme="minorHAnsi"/>
          <w:bCs/>
          <w:sz w:val="24"/>
          <w:szCs w:val="24"/>
          <w:lang w:val="en-US"/>
        </w:rPr>
        <w:t xml:space="preserve">Issuance of green bonds will eventually support the rise in the green projects, which might exert positive environmental externality. In this way, the financing mechanism of the firms can create </w:t>
      </w:r>
      <w:r w:rsidR="00F60905" w:rsidRPr="00CD364B">
        <w:rPr>
          <w:rFonts w:cstheme="minorHAnsi"/>
          <w:bCs/>
          <w:sz w:val="24"/>
          <w:szCs w:val="24"/>
          <w:lang w:val="en-US"/>
        </w:rPr>
        <w:lastRenderedPageBreak/>
        <w:t>environmental benefits, and the nation might make a progression towards achieving the objective of SDG 13.</w:t>
      </w:r>
    </w:p>
    <w:p w14:paraId="4C15C28A" w14:textId="536E30A9" w:rsidR="009C792E" w:rsidRPr="00CD364B" w:rsidRDefault="00A95495" w:rsidP="006668C1">
      <w:pPr>
        <w:spacing w:after="0" w:line="360" w:lineRule="auto"/>
        <w:ind w:firstLine="720"/>
        <w:jc w:val="both"/>
        <w:rPr>
          <w:rFonts w:cstheme="minorHAnsi"/>
          <w:bCs/>
          <w:sz w:val="24"/>
          <w:szCs w:val="24"/>
          <w:lang w:val="en-US"/>
        </w:rPr>
      </w:pPr>
      <w:r w:rsidRPr="00CD364B">
        <w:rPr>
          <w:rFonts w:cstheme="minorHAnsi"/>
          <w:bCs/>
          <w:sz w:val="24"/>
          <w:szCs w:val="24"/>
          <w:lang w:val="en-US"/>
        </w:rPr>
        <w:t>Effective communication and continuous monitoring by the government might discourage the firms to go beyond a certain limit in terms of implementing automation, and thereby, putting a cap on the possibilities of jobless economic growth.</w:t>
      </w:r>
      <w:r w:rsidR="0032604A" w:rsidRPr="00CD364B">
        <w:rPr>
          <w:rFonts w:cstheme="minorHAnsi"/>
          <w:bCs/>
          <w:sz w:val="24"/>
          <w:szCs w:val="24"/>
          <w:lang w:val="en-US"/>
        </w:rPr>
        <w:t xml:space="preserve"> If the f</w:t>
      </w:r>
      <w:r w:rsidR="001E10E6" w:rsidRPr="00CD364B">
        <w:rPr>
          <w:rFonts w:cstheme="minorHAnsi"/>
          <w:bCs/>
          <w:sz w:val="24"/>
          <w:szCs w:val="24"/>
          <w:lang w:val="en-US"/>
        </w:rPr>
        <w:t>i</w:t>
      </w:r>
      <w:r w:rsidR="0032604A" w:rsidRPr="00CD364B">
        <w:rPr>
          <w:rFonts w:cstheme="minorHAnsi"/>
          <w:bCs/>
          <w:sz w:val="24"/>
          <w:szCs w:val="24"/>
          <w:lang w:val="en-US"/>
        </w:rPr>
        <w:t>rms can maintain a certain capital</w:t>
      </w:r>
      <w:r w:rsidR="001E10E6" w:rsidRPr="00CD364B">
        <w:rPr>
          <w:rFonts w:cstheme="minorHAnsi"/>
          <w:bCs/>
          <w:sz w:val="24"/>
          <w:szCs w:val="24"/>
          <w:lang w:val="en-US"/>
        </w:rPr>
        <w:t>-labor</w:t>
      </w:r>
      <w:r w:rsidR="0032604A" w:rsidRPr="00CD364B">
        <w:rPr>
          <w:rFonts w:cstheme="minorHAnsi"/>
          <w:bCs/>
          <w:sz w:val="24"/>
          <w:szCs w:val="24"/>
          <w:lang w:val="en-US"/>
        </w:rPr>
        <w:t xml:space="preserve"> ratio</w:t>
      </w:r>
      <w:r w:rsidR="0030638E" w:rsidRPr="00CD364B">
        <w:rPr>
          <w:rFonts w:cstheme="minorHAnsi"/>
          <w:bCs/>
          <w:sz w:val="24"/>
          <w:szCs w:val="24"/>
          <w:lang w:val="en-US"/>
        </w:rPr>
        <w:t>,</w:t>
      </w:r>
      <w:r w:rsidR="0032604A" w:rsidRPr="00CD364B">
        <w:rPr>
          <w:rFonts w:cstheme="minorHAnsi"/>
          <w:bCs/>
          <w:sz w:val="24"/>
          <w:szCs w:val="24"/>
          <w:lang w:val="en-US"/>
        </w:rPr>
        <w:t xml:space="preserve"> following the mandated maximum permissible limit of job loss, then firms can add to the prevailing level of per capita income of the citizens</w:t>
      </w:r>
      <w:r w:rsidR="007543DC" w:rsidRPr="00CD364B">
        <w:rPr>
          <w:rFonts w:cstheme="minorHAnsi"/>
        </w:rPr>
        <w:t xml:space="preserve"> </w:t>
      </w:r>
      <w:r w:rsidR="007543DC" w:rsidRPr="00CD364B">
        <w:rPr>
          <w:rFonts w:cstheme="minorHAnsi"/>
          <w:bCs/>
          <w:sz w:val="24"/>
          <w:szCs w:val="24"/>
          <w:lang w:val="en-US"/>
        </w:rPr>
        <w:t xml:space="preserve">by enhancing </w:t>
      </w:r>
      <w:r w:rsidR="00280766" w:rsidRPr="00CD364B">
        <w:rPr>
          <w:rFonts w:cstheme="minorHAnsi"/>
          <w:bCs/>
          <w:sz w:val="24"/>
          <w:szCs w:val="24"/>
          <w:lang w:val="en-US"/>
        </w:rPr>
        <w:t xml:space="preserve">the </w:t>
      </w:r>
      <w:r w:rsidR="007543DC" w:rsidRPr="00CD364B">
        <w:rPr>
          <w:rFonts w:cstheme="minorHAnsi"/>
          <w:bCs/>
          <w:sz w:val="24"/>
          <w:szCs w:val="24"/>
          <w:lang w:val="en-US"/>
        </w:rPr>
        <w:t>scope and scale of job market</w:t>
      </w:r>
      <w:r w:rsidR="0032604A" w:rsidRPr="00CD364B">
        <w:rPr>
          <w:rFonts w:cstheme="minorHAnsi"/>
          <w:bCs/>
          <w:sz w:val="24"/>
          <w:szCs w:val="24"/>
          <w:lang w:val="en-US"/>
        </w:rPr>
        <w:t>.</w:t>
      </w:r>
      <w:r w:rsidR="00AB5E97" w:rsidRPr="00CD364B">
        <w:rPr>
          <w:rFonts w:cstheme="minorHAnsi"/>
          <w:bCs/>
          <w:sz w:val="24"/>
          <w:szCs w:val="24"/>
          <w:lang w:val="en-US"/>
        </w:rPr>
        <w:t xml:space="preserve"> </w:t>
      </w:r>
      <w:r w:rsidR="00DB424E" w:rsidRPr="00CD364B">
        <w:rPr>
          <w:rFonts w:cstheme="minorHAnsi"/>
          <w:bCs/>
          <w:sz w:val="24"/>
          <w:szCs w:val="24"/>
          <w:lang w:val="en-US"/>
        </w:rPr>
        <w:t>In this way, the possible financial innovations being carried out by the firms will lead to not only the betterment of environmental quality but also able to sustainable vocational opportunities, which might lead to rise in the per capita level of income at the industrial level.</w:t>
      </w:r>
      <w:r w:rsidR="002F3BC4" w:rsidRPr="00CD364B">
        <w:rPr>
          <w:rFonts w:cstheme="minorHAnsi"/>
          <w:bCs/>
          <w:sz w:val="24"/>
          <w:szCs w:val="24"/>
          <w:lang w:val="en-US"/>
        </w:rPr>
        <w:t xml:space="preserve"> This policy initiative in terms of </w:t>
      </w:r>
      <w:r w:rsidR="00F9062F" w:rsidRPr="00CD364B">
        <w:rPr>
          <w:rFonts w:cstheme="minorHAnsi"/>
          <w:bCs/>
          <w:sz w:val="24"/>
          <w:szCs w:val="24"/>
          <w:lang w:val="en-US"/>
        </w:rPr>
        <w:t xml:space="preserve">creating </w:t>
      </w:r>
      <w:r w:rsidR="00427935" w:rsidRPr="00CD364B">
        <w:rPr>
          <w:rFonts w:cstheme="minorHAnsi"/>
          <w:bCs/>
          <w:sz w:val="24"/>
          <w:szCs w:val="24"/>
          <w:lang w:val="en-US"/>
        </w:rPr>
        <w:t>an</w:t>
      </w:r>
      <w:r w:rsidR="00F9062F" w:rsidRPr="00CD364B">
        <w:rPr>
          <w:rFonts w:cstheme="minorHAnsi"/>
          <w:bCs/>
          <w:sz w:val="24"/>
          <w:szCs w:val="24"/>
          <w:lang w:val="en-US"/>
        </w:rPr>
        <w:t xml:space="preserve"> incentivized monitoring framework might help the nation to make progression towards achievement of the objectives of SDG 8.</w:t>
      </w:r>
    </w:p>
    <w:p w14:paraId="5D08F8FE" w14:textId="3C450B8E" w:rsidR="00EE01F8" w:rsidRPr="00CD364B" w:rsidRDefault="00EE01F8" w:rsidP="006668C1">
      <w:pPr>
        <w:spacing w:after="0" w:line="360" w:lineRule="auto"/>
        <w:ind w:firstLine="720"/>
        <w:jc w:val="both"/>
        <w:rPr>
          <w:rFonts w:cstheme="minorHAnsi"/>
          <w:bCs/>
          <w:sz w:val="24"/>
          <w:szCs w:val="24"/>
          <w:lang w:val="en-US"/>
        </w:rPr>
      </w:pPr>
    </w:p>
    <w:p w14:paraId="0E68FD92" w14:textId="6CD47831" w:rsidR="00E00E35" w:rsidRPr="00CD364B" w:rsidRDefault="00E00E35" w:rsidP="006668C1">
      <w:pPr>
        <w:spacing w:after="0" w:line="360" w:lineRule="auto"/>
        <w:ind w:firstLine="720"/>
        <w:jc w:val="both"/>
        <w:rPr>
          <w:rFonts w:cstheme="minorHAnsi"/>
          <w:sz w:val="24"/>
          <w:szCs w:val="24"/>
          <w:lang w:val="en-US"/>
        </w:rPr>
      </w:pPr>
    </w:p>
    <w:p w14:paraId="320770A7" w14:textId="446392A1" w:rsidR="00E00E35" w:rsidRPr="00CD364B" w:rsidRDefault="00491E1F" w:rsidP="00CD5F46">
      <w:pPr>
        <w:pStyle w:val="ListParagraph"/>
        <w:spacing w:after="0" w:line="360" w:lineRule="auto"/>
        <w:ind w:left="360"/>
        <w:jc w:val="both"/>
        <w:rPr>
          <w:rFonts w:cstheme="minorHAnsi"/>
          <w:b/>
          <w:sz w:val="24"/>
          <w:szCs w:val="24"/>
          <w:lang w:val="en-US"/>
        </w:rPr>
      </w:pPr>
      <w:r w:rsidRPr="00CD364B">
        <w:rPr>
          <w:rFonts w:cstheme="minorHAnsi"/>
          <w:b/>
          <w:sz w:val="24"/>
          <w:szCs w:val="24"/>
          <w:lang w:val="en-US"/>
        </w:rPr>
        <w:t>5.</w:t>
      </w:r>
      <w:r w:rsidR="00752E0E" w:rsidRPr="00CD364B">
        <w:rPr>
          <w:rFonts w:cstheme="minorHAnsi"/>
          <w:b/>
          <w:sz w:val="24"/>
          <w:szCs w:val="24"/>
          <w:lang w:val="en-US"/>
        </w:rPr>
        <w:t>2</w:t>
      </w:r>
      <w:r w:rsidRPr="00CD364B">
        <w:rPr>
          <w:rFonts w:cstheme="minorHAnsi"/>
          <w:b/>
          <w:sz w:val="24"/>
          <w:szCs w:val="24"/>
          <w:lang w:val="en-US"/>
        </w:rPr>
        <w:t xml:space="preserve">. </w:t>
      </w:r>
      <w:r w:rsidR="00E00E35" w:rsidRPr="00CD364B">
        <w:rPr>
          <w:rFonts w:cstheme="minorHAnsi"/>
          <w:b/>
          <w:sz w:val="24"/>
          <w:szCs w:val="24"/>
          <w:lang w:val="en-US"/>
        </w:rPr>
        <w:t xml:space="preserve"> Policy caveats</w:t>
      </w:r>
    </w:p>
    <w:p w14:paraId="5CF861E7" w14:textId="6FCA7A93" w:rsidR="00CB5505" w:rsidRPr="00CD364B" w:rsidRDefault="00706458" w:rsidP="000B45F4">
      <w:pPr>
        <w:spacing w:after="0" w:line="360" w:lineRule="auto"/>
        <w:ind w:firstLine="720"/>
        <w:jc w:val="both"/>
        <w:rPr>
          <w:rFonts w:cstheme="minorHAnsi"/>
          <w:sz w:val="24"/>
          <w:szCs w:val="24"/>
          <w:lang w:val="en-US"/>
        </w:rPr>
      </w:pPr>
      <w:r w:rsidRPr="00CD364B">
        <w:rPr>
          <w:rFonts w:cstheme="minorHAnsi"/>
          <w:sz w:val="24"/>
          <w:szCs w:val="24"/>
          <w:lang w:val="en-US"/>
        </w:rPr>
        <w:t>When the policy frameworks are being laid out, it is also necessary about to mention about the required caveats and assumptions, in absence of which the policy frameworks might not produce the intended results.</w:t>
      </w:r>
      <w:r w:rsidR="00710B9D" w:rsidRPr="00CD364B">
        <w:rPr>
          <w:rFonts w:cstheme="minorHAnsi"/>
          <w:sz w:val="24"/>
          <w:szCs w:val="24"/>
          <w:lang w:val="en-US"/>
        </w:rPr>
        <w:t xml:space="preserve"> </w:t>
      </w:r>
      <w:r w:rsidR="004556E7" w:rsidRPr="00CD364B">
        <w:rPr>
          <w:rFonts w:cstheme="minorHAnsi"/>
          <w:sz w:val="24"/>
          <w:szCs w:val="24"/>
          <w:lang w:val="en-US"/>
        </w:rPr>
        <w:t xml:space="preserve">First, the policy makers should enforce strict environmental regulations for protecting the pool of natural resources, so that the fossil fuel consumption can be reduced. Second, the policymakers need to ensure an environment of trust for making the diffusion of technologies across the industry effective. Third, while moving away from the traditional fossil fuel-based solutions, it is possible that the labors employed with the traditional fossil fuel-based energy generation sector might losing their jobs, because of the gradual decline in demand for this form of energy. Therefore, the policymakers need to take proactive measures for the capacity building of these labors so that they can be employed in the other industrial sectors. </w:t>
      </w:r>
      <w:r w:rsidR="00491E1F" w:rsidRPr="00CD364B">
        <w:rPr>
          <w:rFonts w:cstheme="minorHAnsi"/>
          <w:sz w:val="24"/>
          <w:szCs w:val="24"/>
          <w:lang w:val="en-US"/>
        </w:rPr>
        <w:t xml:space="preserve">This </w:t>
      </w:r>
      <w:r w:rsidR="000B45F4" w:rsidRPr="00CD364B">
        <w:rPr>
          <w:rFonts w:cstheme="minorHAnsi"/>
          <w:sz w:val="24"/>
          <w:szCs w:val="24"/>
          <w:lang w:val="en-US"/>
        </w:rPr>
        <w:t>policy</w:t>
      </w:r>
      <w:r w:rsidR="004556E7" w:rsidRPr="00CD364B">
        <w:rPr>
          <w:rFonts w:cstheme="minorHAnsi"/>
          <w:sz w:val="24"/>
          <w:szCs w:val="24"/>
          <w:lang w:val="en-US"/>
        </w:rPr>
        <w:t xml:space="preserve"> move is extremely necessary to retain the balance in the social order.</w:t>
      </w:r>
      <w:r w:rsidR="004A334F" w:rsidRPr="00CD364B">
        <w:rPr>
          <w:rFonts w:cstheme="minorHAnsi"/>
          <w:sz w:val="24"/>
          <w:szCs w:val="24"/>
          <w:lang w:val="en-US"/>
        </w:rPr>
        <w:t xml:space="preserve"> Maintenance of these caveats will also help the nation to tread along the developmental trajectory in the long run.</w:t>
      </w:r>
    </w:p>
    <w:p w14:paraId="00490277" w14:textId="77777777" w:rsidR="00491E1F" w:rsidRPr="00CD364B" w:rsidRDefault="00491E1F" w:rsidP="00491E1F">
      <w:pPr>
        <w:pStyle w:val="ListParagraph"/>
        <w:spacing w:after="0" w:line="360" w:lineRule="auto"/>
        <w:ind w:left="360"/>
        <w:jc w:val="both"/>
        <w:rPr>
          <w:rFonts w:cstheme="minorHAnsi"/>
          <w:b/>
          <w:bCs/>
          <w:sz w:val="24"/>
          <w:szCs w:val="24"/>
          <w:lang w:val="en-US"/>
        </w:rPr>
      </w:pPr>
    </w:p>
    <w:p w14:paraId="4659D523" w14:textId="60137391" w:rsidR="00CB5505" w:rsidRPr="00CD364B" w:rsidRDefault="00491E1F" w:rsidP="00CD5F46">
      <w:pPr>
        <w:pStyle w:val="ListParagraph"/>
        <w:spacing w:after="0" w:line="360" w:lineRule="auto"/>
        <w:ind w:left="360"/>
        <w:jc w:val="both"/>
        <w:rPr>
          <w:rFonts w:cstheme="minorHAnsi"/>
          <w:b/>
          <w:bCs/>
          <w:sz w:val="24"/>
          <w:szCs w:val="24"/>
          <w:lang w:val="en-US"/>
        </w:rPr>
      </w:pPr>
      <w:r w:rsidRPr="00CD364B">
        <w:rPr>
          <w:rFonts w:cstheme="minorHAnsi"/>
          <w:b/>
          <w:bCs/>
          <w:sz w:val="24"/>
          <w:szCs w:val="24"/>
          <w:lang w:val="en-US"/>
        </w:rPr>
        <w:t xml:space="preserve">6. </w:t>
      </w:r>
      <w:r w:rsidR="00CB5505" w:rsidRPr="00CD364B">
        <w:rPr>
          <w:rFonts w:cstheme="minorHAnsi"/>
          <w:b/>
          <w:bCs/>
          <w:sz w:val="24"/>
          <w:szCs w:val="24"/>
          <w:lang w:val="en-US"/>
        </w:rPr>
        <w:t>Conclusion</w:t>
      </w:r>
    </w:p>
    <w:p w14:paraId="309DE0A8" w14:textId="77777777" w:rsidR="00CB5505" w:rsidRPr="00CD364B" w:rsidRDefault="00CB5505" w:rsidP="00CB5505">
      <w:pPr>
        <w:pStyle w:val="ListParagraph"/>
        <w:spacing w:after="0" w:line="360" w:lineRule="auto"/>
        <w:ind w:left="360"/>
        <w:jc w:val="both"/>
        <w:rPr>
          <w:rFonts w:cstheme="minorHAnsi"/>
          <w:b/>
          <w:bCs/>
          <w:sz w:val="24"/>
          <w:szCs w:val="24"/>
          <w:lang w:val="en-US"/>
        </w:rPr>
      </w:pPr>
    </w:p>
    <w:p w14:paraId="37C21A84" w14:textId="122C0611" w:rsidR="000B1635" w:rsidRPr="00CD364B" w:rsidRDefault="00CB5505" w:rsidP="00CB5505">
      <w:pPr>
        <w:spacing w:after="0" w:line="360" w:lineRule="auto"/>
        <w:ind w:firstLine="720"/>
        <w:jc w:val="both"/>
        <w:rPr>
          <w:rFonts w:cstheme="minorHAnsi"/>
          <w:sz w:val="24"/>
          <w:szCs w:val="24"/>
          <w:lang w:val="en-US"/>
        </w:rPr>
      </w:pPr>
      <w:r w:rsidRPr="00CD364B">
        <w:rPr>
          <w:rFonts w:cstheme="minorHAnsi"/>
          <w:sz w:val="24"/>
          <w:szCs w:val="24"/>
          <w:lang w:val="en-US"/>
        </w:rPr>
        <w:lastRenderedPageBreak/>
        <w:t xml:space="preserve">Carried out at a global context, the present study explores the possible impact of </w:t>
      </w:r>
      <w:r w:rsidR="00491E1F" w:rsidRPr="00CD364B">
        <w:rPr>
          <w:rFonts w:cstheme="minorHAnsi"/>
          <w:sz w:val="24"/>
          <w:szCs w:val="24"/>
          <w:lang w:val="en-US"/>
        </w:rPr>
        <w:t>green bonds</w:t>
      </w:r>
      <w:r w:rsidRPr="00CD364B">
        <w:rPr>
          <w:rFonts w:cstheme="minorHAnsi"/>
          <w:sz w:val="24"/>
          <w:szCs w:val="24"/>
          <w:lang w:val="en-US"/>
        </w:rPr>
        <w:t xml:space="preserve"> returns</w:t>
      </w:r>
      <w:r w:rsidR="000B1635" w:rsidRPr="00CD364B">
        <w:rPr>
          <w:rFonts w:cstheme="minorHAnsi"/>
          <w:sz w:val="24"/>
          <w:szCs w:val="24"/>
          <w:lang w:val="en-US"/>
        </w:rPr>
        <w:t xml:space="preserve"> (GBRI)</w:t>
      </w:r>
      <w:r w:rsidRPr="00CD364B">
        <w:rPr>
          <w:rFonts w:cstheme="minorHAnsi"/>
          <w:sz w:val="24"/>
          <w:szCs w:val="24"/>
          <w:lang w:val="en-US"/>
        </w:rPr>
        <w:t xml:space="preserve"> on </w:t>
      </w:r>
      <w:r w:rsidR="000B1635" w:rsidRPr="00CD364B">
        <w:rPr>
          <w:rFonts w:cstheme="minorHAnsi"/>
          <w:sz w:val="24"/>
          <w:szCs w:val="24"/>
          <w:lang w:val="en-US"/>
        </w:rPr>
        <w:t xml:space="preserve">environmental </w:t>
      </w:r>
      <w:r w:rsidRPr="00CD364B">
        <w:rPr>
          <w:rFonts w:cstheme="minorHAnsi"/>
          <w:sz w:val="24"/>
          <w:szCs w:val="24"/>
          <w:lang w:val="en-US"/>
        </w:rPr>
        <w:t xml:space="preserve">and </w:t>
      </w:r>
      <w:r w:rsidR="000B1635" w:rsidRPr="00CD364B">
        <w:rPr>
          <w:rFonts w:cstheme="minorHAnsi"/>
          <w:sz w:val="24"/>
          <w:szCs w:val="24"/>
          <w:lang w:val="en-US"/>
        </w:rPr>
        <w:t>s</w:t>
      </w:r>
      <w:r w:rsidRPr="00CD364B">
        <w:rPr>
          <w:rFonts w:cstheme="minorHAnsi"/>
          <w:sz w:val="24"/>
          <w:szCs w:val="24"/>
          <w:lang w:val="en-US"/>
        </w:rPr>
        <w:t xml:space="preserve">ocial </w:t>
      </w:r>
      <w:r w:rsidR="000B1635" w:rsidRPr="00CD364B">
        <w:rPr>
          <w:rFonts w:cstheme="minorHAnsi"/>
          <w:sz w:val="24"/>
          <w:szCs w:val="24"/>
          <w:lang w:val="en-US"/>
        </w:rPr>
        <w:t>r</w:t>
      </w:r>
      <w:r w:rsidRPr="00CD364B">
        <w:rPr>
          <w:rFonts w:cstheme="minorHAnsi"/>
          <w:sz w:val="24"/>
          <w:szCs w:val="24"/>
          <w:lang w:val="en-US"/>
        </w:rPr>
        <w:t xml:space="preserve">esponsibility </w:t>
      </w:r>
      <w:r w:rsidR="000B1635" w:rsidRPr="00CD364B">
        <w:rPr>
          <w:rFonts w:cstheme="minorHAnsi"/>
          <w:sz w:val="24"/>
          <w:szCs w:val="24"/>
          <w:lang w:val="en-US"/>
        </w:rPr>
        <w:t xml:space="preserve">(ESRI) </w:t>
      </w:r>
      <w:r w:rsidRPr="00CD364B">
        <w:rPr>
          <w:rFonts w:cstheme="minorHAnsi"/>
          <w:sz w:val="24"/>
          <w:szCs w:val="24"/>
          <w:lang w:val="en-US"/>
        </w:rPr>
        <w:t xml:space="preserve">during the period </w:t>
      </w:r>
      <w:r w:rsidR="00491E1F" w:rsidRPr="00CD364B">
        <w:rPr>
          <w:rFonts w:cstheme="minorHAnsi"/>
          <w:sz w:val="24"/>
          <w:szCs w:val="24"/>
          <w:lang w:val="en-US"/>
        </w:rPr>
        <w:t xml:space="preserve">from </w:t>
      </w:r>
      <w:r w:rsidRPr="00CD364B">
        <w:rPr>
          <w:rFonts w:cstheme="minorHAnsi"/>
          <w:sz w:val="24"/>
          <w:szCs w:val="24"/>
          <w:lang w:val="en-US"/>
        </w:rPr>
        <w:t xml:space="preserve">October 1, 2010 to September 30, 2020. Using </w:t>
      </w:r>
      <w:r w:rsidR="00491E1F" w:rsidRPr="00CD364B">
        <w:rPr>
          <w:rFonts w:cstheme="minorHAnsi"/>
          <w:sz w:val="24"/>
          <w:szCs w:val="24"/>
          <w:lang w:val="en-US"/>
        </w:rPr>
        <w:t>a combination of advance quantile modelling method</w:t>
      </w:r>
      <w:r w:rsidR="000B1635" w:rsidRPr="00CD364B">
        <w:rPr>
          <w:rFonts w:cstheme="minorHAnsi"/>
          <w:sz w:val="24"/>
          <w:szCs w:val="24"/>
          <w:lang w:val="en-US"/>
        </w:rPr>
        <w:t>s</w:t>
      </w:r>
      <w:r w:rsidR="00491E1F" w:rsidRPr="00CD364B">
        <w:rPr>
          <w:rFonts w:cstheme="minorHAnsi"/>
          <w:sz w:val="24"/>
          <w:szCs w:val="24"/>
          <w:lang w:val="en-US"/>
        </w:rPr>
        <w:t xml:space="preserve"> this paper empirically </w:t>
      </w:r>
      <w:r w:rsidR="000B1635" w:rsidRPr="00CD364B">
        <w:rPr>
          <w:rFonts w:cstheme="minorHAnsi"/>
          <w:sz w:val="24"/>
          <w:szCs w:val="24"/>
          <w:lang w:val="en-US"/>
        </w:rPr>
        <w:t>investigates the patterns of connectedness between the GBRI</w:t>
      </w:r>
      <w:r w:rsidR="000B1635" w:rsidRPr="00CD364B">
        <w:rPr>
          <w:rFonts w:eastAsiaTheme="minorEastAsia" w:cstheme="minorHAnsi"/>
          <w:sz w:val="24"/>
          <w:szCs w:val="24"/>
          <w:lang w:val="en-US"/>
        </w:rPr>
        <w:t xml:space="preserve"> on ESRI</w:t>
      </w:r>
      <w:r w:rsidR="00491E1F" w:rsidRPr="00CD364B">
        <w:rPr>
          <w:rFonts w:cstheme="minorHAnsi"/>
          <w:sz w:val="24"/>
          <w:szCs w:val="24"/>
          <w:lang w:val="en-US"/>
        </w:rPr>
        <w:t xml:space="preserve"> </w:t>
      </w:r>
      <w:r w:rsidR="000B1635" w:rsidRPr="00CD364B">
        <w:rPr>
          <w:rFonts w:cstheme="minorHAnsi"/>
          <w:sz w:val="24"/>
          <w:szCs w:val="24"/>
          <w:lang w:val="en-US"/>
        </w:rPr>
        <w:t xml:space="preserve">providing useful insights for policy development in this area. The robustness of our empirical results confirmed by using the </w:t>
      </w:r>
      <w:r w:rsidRPr="00CD364B">
        <w:rPr>
          <w:rFonts w:cstheme="minorHAnsi"/>
          <w:sz w:val="24"/>
          <w:szCs w:val="24"/>
          <w:lang w:val="en-US"/>
        </w:rPr>
        <w:t xml:space="preserve">wavelet-based quantile modeling </w:t>
      </w:r>
      <w:r w:rsidR="000B1635" w:rsidRPr="00CD364B">
        <w:rPr>
          <w:rFonts w:cstheme="minorHAnsi"/>
          <w:sz w:val="24"/>
          <w:szCs w:val="24"/>
          <w:lang w:val="en-US"/>
        </w:rPr>
        <w:t>and</w:t>
      </w:r>
      <w:r w:rsidRPr="00CD364B">
        <w:rPr>
          <w:rFonts w:cstheme="minorHAnsi"/>
          <w:sz w:val="24"/>
          <w:szCs w:val="24"/>
          <w:lang w:val="en-US"/>
        </w:rPr>
        <w:t xml:space="preserve"> </w:t>
      </w:r>
      <w:r w:rsidR="000B1635" w:rsidRPr="00CD364B">
        <w:rPr>
          <w:rFonts w:cstheme="minorHAnsi"/>
          <w:sz w:val="24"/>
          <w:szCs w:val="24"/>
          <w:lang w:val="en-US"/>
        </w:rPr>
        <w:t>Granger Causality in quantiles approaches.</w:t>
      </w:r>
    </w:p>
    <w:p w14:paraId="6D4CC260" w14:textId="45CD521D" w:rsidR="00CB5505" w:rsidRPr="00CD364B" w:rsidRDefault="000B1635" w:rsidP="00CB5505">
      <w:pPr>
        <w:spacing w:after="0" w:line="360" w:lineRule="auto"/>
        <w:ind w:firstLine="720"/>
        <w:jc w:val="both"/>
        <w:rPr>
          <w:rFonts w:cstheme="minorHAnsi"/>
          <w:sz w:val="24"/>
          <w:szCs w:val="24"/>
          <w:lang w:val="en-US"/>
        </w:rPr>
      </w:pPr>
      <w:r w:rsidRPr="00CD364B">
        <w:rPr>
          <w:rFonts w:cstheme="minorHAnsi"/>
          <w:sz w:val="24"/>
          <w:szCs w:val="24"/>
          <w:lang w:val="en-US"/>
        </w:rPr>
        <w:t xml:space="preserve">We observe not only the </w:t>
      </w:r>
      <w:r w:rsidR="00CB5505" w:rsidRPr="00CD364B">
        <w:rPr>
          <w:rFonts w:cstheme="minorHAnsi"/>
          <w:sz w:val="24"/>
          <w:szCs w:val="24"/>
          <w:lang w:val="en-US"/>
        </w:rPr>
        <w:t>transformation</w:t>
      </w:r>
      <w:r w:rsidRPr="00CD364B">
        <w:rPr>
          <w:rFonts w:cstheme="minorHAnsi"/>
          <w:sz w:val="24"/>
          <w:szCs w:val="24"/>
          <w:lang w:val="en-US"/>
        </w:rPr>
        <w:t>al</w:t>
      </w:r>
      <w:r w:rsidR="00CB5505" w:rsidRPr="00CD364B">
        <w:rPr>
          <w:rFonts w:cstheme="minorHAnsi"/>
          <w:sz w:val="24"/>
          <w:szCs w:val="24"/>
          <w:lang w:val="en-US"/>
        </w:rPr>
        <w:t xml:space="preserve"> impact of </w:t>
      </w:r>
      <w:r w:rsidRPr="00CD364B">
        <w:rPr>
          <w:rFonts w:cstheme="minorHAnsi"/>
          <w:sz w:val="24"/>
          <w:szCs w:val="24"/>
          <w:lang w:val="en-US"/>
        </w:rPr>
        <w:t>green bonds</w:t>
      </w:r>
      <w:r w:rsidR="00CB5505" w:rsidRPr="00CD364B">
        <w:rPr>
          <w:rFonts w:cstheme="minorHAnsi"/>
          <w:sz w:val="24"/>
          <w:szCs w:val="24"/>
          <w:lang w:val="en-US"/>
        </w:rPr>
        <w:t xml:space="preserve"> returns on </w:t>
      </w:r>
      <w:r w:rsidRPr="00CD364B">
        <w:rPr>
          <w:rFonts w:cstheme="minorHAnsi"/>
          <w:sz w:val="24"/>
          <w:szCs w:val="24"/>
          <w:lang w:val="en-US"/>
        </w:rPr>
        <w:t>the e</w:t>
      </w:r>
      <w:r w:rsidR="00CB5505" w:rsidRPr="00CD364B">
        <w:rPr>
          <w:rFonts w:cstheme="minorHAnsi"/>
          <w:sz w:val="24"/>
          <w:szCs w:val="24"/>
          <w:lang w:val="en-US"/>
        </w:rPr>
        <w:t xml:space="preserve">nvironmental and </w:t>
      </w:r>
      <w:r w:rsidRPr="00CD364B">
        <w:rPr>
          <w:rFonts w:cstheme="minorHAnsi"/>
          <w:sz w:val="24"/>
          <w:szCs w:val="24"/>
          <w:lang w:val="en-US"/>
        </w:rPr>
        <w:t>s</w:t>
      </w:r>
      <w:r w:rsidR="00CB5505" w:rsidRPr="00CD364B">
        <w:rPr>
          <w:rFonts w:cstheme="minorHAnsi"/>
          <w:sz w:val="24"/>
          <w:szCs w:val="24"/>
          <w:lang w:val="en-US"/>
        </w:rPr>
        <w:t xml:space="preserve">ocial </w:t>
      </w:r>
      <w:r w:rsidRPr="00CD364B">
        <w:rPr>
          <w:rFonts w:cstheme="minorHAnsi"/>
          <w:sz w:val="24"/>
          <w:szCs w:val="24"/>
          <w:lang w:val="en-US"/>
        </w:rPr>
        <w:t>r</w:t>
      </w:r>
      <w:r w:rsidR="00CB5505" w:rsidRPr="00CD364B">
        <w:rPr>
          <w:rFonts w:cstheme="minorHAnsi"/>
          <w:sz w:val="24"/>
          <w:szCs w:val="24"/>
          <w:lang w:val="en-US"/>
        </w:rPr>
        <w:t>esponsibility</w:t>
      </w:r>
      <w:r w:rsidRPr="00CD364B">
        <w:rPr>
          <w:rFonts w:cstheme="minorHAnsi"/>
          <w:sz w:val="24"/>
          <w:szCs w:val="24"/>
          <w:lang w:val="en-US"/>
        </w:rPr>
        <w:t xml:space="preserve">, but also uncover </w:t>
      </w:r>
      <w:r w:rsidR="00CB5505" w:rsidRPr="00CD364B">
        <w:rPr>
          <w:rFonts w:cstheme="minorHAnsi"/>
          <w:sz w:val="24"/>
          <w:szCs w:val="24"/>
          <w:lang w:val="en-US"/>
        </w:rPr>
        <w:t xml:space="preserve">in the role of </w:t>
      </w:r>
      <w:r w:rsidRPr="00CD364B">
        <w:rPr>
          <w:rFonts w:cstheme="minorHAnsi"/>
          <w:sz w:val="24"/>
          <w:szCs w:val="24"/>
          <w:lang w:val="en-US"/>
        </w:rPr>
        <w:t>e</w:t>
      </w:r>
      <w:r w:rsidR="00CB5505" w:rsidRPr="00CD364B">
        <w:rPr>
          <w:rFonts w:cstheme="minorHAnsi"/>
          <w:sz w:val="24"/>
          <w:szCs w:val="24"/>
          <w:lang w:val="en-US"/>
        </w:rPr>
        <w:t xml:space="preserve">nvironmental and </w:t>
      </w:r>
      <w:r w:rsidRPr="00CD364B">
        <w:rPr>
          <w:rFonts w:cstheme="minorHAnsi"/>
          <w:sz w:val="24"/>
          <w:szCs w:val="24"/>
          <w:lang w:val="en-US"/>
        </w:rPr>
        <w:t>s</w:t>
      </w:r>
      <w:r w:rsidR="00CB5505" w:rsidRPr="00CD364B">
        <w:rPr>
          <w:rFonts w:cstheme="minorHAnsi"/>
          <w:sz w:val="24"/>
          <w:szCs w:val="24"/>
          <w:lang w:val="en-US"/>
        </w:rPr>
        <w:t xml:space="preserve">ocial </w:t>
      </w:r>
      <w:r w:rsidRPr="00CD364B">
        <w:rPr>
          <w:rFonts w:cstheme="minorHAnsi"/>
          <w:sz w:val="24"/>
          <w:szCs w:val="24"/>
          <w:lang w:val="en-US"/>
        </w:rPr>
        <w:t>r</w:t>
      </w:r>
      <w:r w:rsidR="00CB5505" w:rsidRPr="00CD364B">
        <w:rPr>
          <w:rFonts w:cstheme="minorHAnsi"/>
          <w:sz w:val="24"/>
          <w:szCs w:val="24"/>
          <w:lang w:val="en-US"/>
        </w:rPr>
        <w:t>esponsibility in initiating and sustaining the</w:t>
      </w:r>
      <w:r w:rsidRPr="00CD364B">
        <w:rPr>
          <w:rFonts w:cstheme="minorHAnsi"/>
          <w:sz w:val="24"/>
          <w:szCs w:val="24"/>
          <w:lang w:val="en-US"/>
        </w:rPr>
        <w:t xml:space="preserve"> green bonds</w:t>
      </w:r>
      <w:r w:rsidR="00CB5505" w:rsidRPr="00CD364B">
        <w:rPr>
          <w:rFonts w:cstheme="minorHAnsi"/>
          <w:sz w:val="24"/>
          <w:szCs w:val="24"/>
          <w:lang w:val="en-US"/>
        </w:rPr>
        <w:t xml:space="preserve"> market. The outcome of this study might be employed to devise a policy framework for accomplishing the SDG objectives, and this framework can be considered as an example for the countries, which are characterized by high penetration of </w:t>
      </w:r>
      <w:r w:rsidR="007165CE" w:rsidRPr="00CD364B">
        <w:rPr>
          <w:rFonts w:cstheme="minorHAnsi"/>
          <w:sz w:val="24"/>
          <w:szCs w:val="24"/>
          <w:lang w:val="en-US"/>
        </w:rPr>
        <w:t>green bonds</w:t>
      </w:r>
      <w:r w:rsidR="00CB5505" w:rsidRPr="00CD364B">
        <w:rPr>
          <w:rFonts w:cstheme="minorHAnsi"/>
          <w:sz w:val="24"/>
          <w:szCs w:val="24"/>
          <w:lang w:val="en-US"/>
        </w:rPr>
        <w:t xml:space="preserve"> with low attainment </w:t>
      </w:r>
      <w:r w:rsidR="007165CE" w:rsidRPr="00CD364B">
        <w:rPr>
          <w:rFonts w:cstheme="minorHAnsi"/>
          <w:sz w:val="24"/>
          <w:szCs w:val="24"/>
          <w:lang w:val="en-US"/>
        </w:rPr>
        <w:t>to</w:t>
      </w:r>
      <w:r w:rsidR="00CB5505" w:rsidRPr="00CD364B">
        <w:rPr>
          <w:rFonts w:cstheme="minorHAnsi"/>
          <w:sz w:val="24"/>
          <w:szCs w:val="24"/>
          <w:lang w:val="en-US"/>
        </w:rPr>
        <w:t xml:space="preserve"> SDG objectives.</w:t>
      </w:r>
    </w:p>
    <w:p w14:paraId="003AA44D" w14:textId="4E2AA3ED" w:rsidR="00CB5505" w:rsidRPr="00CD364B" w:rsidRDefault="00CB5505" w:rsidP="00CB5505">
      <w:pPr>
        <w:spacing w:after="0" w:line="360" w:lineRule="auto"/>
        <w:ind w:firstLine="720"/>
        <w:jc w:val="both"/>
        <w:rPr>
          <w:rFonts w:cstheme="minorHAnsi"/>
          <w:sz w:val="24"/>
          <w:szCs w:val="24"/>
          <w:lang w:val="en-US"/>
        </w:rPr>
      </w:pPr>
      <w:r w:rsidRPr="00CD364B">
        <w:rPr>
          <w:rFonts w:cstheme="minorHAnsi"/>
          <w:sz w:val="24"/>
          <w:szCs w:val="24"/>
          <w:lang w:val="en-US"/>
        </w:rPr>
        <w:t xml:space="preserve">Finally, </w:t>
      </w:r>
      <w:r w:rsidR="007165CE" w:rsidRPr="00CD364B">
        <w:rPr>
          <w:rFonts w:cstheme="minorHAnsi"/>
          <w:sz w:val="24"/>
          <w:szCs w:val="24"/>
          <w:lang w:val="en-US"/>
        </w:rPr>
        <w:t>we acknowledge the</w:t>
      </w:r>
      <w:r w:rsidRPr="00CD364B">
        <w:rPr>
          <w:rFonts w:cstheme="minorHAnsi"/>
          <w:sz w:val="24"/>
          <w:szCs w:val="24"/>
          <w:lang w:val="en-US"/>
        </w:rPr>
        <w:t xml:space="preserve"> limitations of this </w:t>
      </w:r>
      <w:r w:rsidR="007165CE" w:rsidRPr="00CD364B">
        <w:rPr>
          <w:rFonts w:cstheme="minorHAnsi"/>
          <w:sz w:val="24"/>
          <w:szCs w:val="24"/>
          <w:lang w:val="en-US"/>
        </w:rPr>
        <w:t xml:space="preserve">research and understand that </w:t>
      </w:r>
      <w:r w:rsidRPr="00CD364B">
        <w:rPr>
          <w:rFonts w:cstheme="minorHAnsi"/>
          <w:sz w:val="24"/>
          <w:szCs w:val="24"/>
          <w:lang w:val="en-US"/>
        </w:rPr>
        <w:t>this study can be extended in</w:t>
      </w:r>
      <w:r w:rsidR="007165CE" w:rsidRPr="00CD364B">
        <w:rPr>
          <w:rFonts w:cstheme="minorHAnsi"/>
          <w:sz w:val="24"/>
          <w:szCs w:val="24"/>
          <w:lang w:val="en-US"/>
        </w:rPr>
        <w:t xml:space="preserve"> the</w:t>
      </w:r>
      <w:r w:rsidRPr="00CD364B">
        <w:rPr>
          <w:rFonts w:cstheme="minorHAnsi"/>
          <w:sz w:val="24"/>
          <w:szCs w:val="24"/>
          <w:lang w:val="en-US"/>
        </w:rPr>
        <w:t xml:space="preserve"> future. </w:t>
      </w:r>
      <w:r w:rsidR="007165CE" w:rsidRPr="00CD364B">
        <w:rPr>
          <w:rFonts w:cstheme="minorHAnsi"/>
          <w:sz w:val="24"/>
          <w:szCs w:val="24"/>
          <w:lang w:val="en-US"/>
        </w:rPr>
        <w:t>Our paper</w:t>
      </w:r>
      <w:r w:rsidRPr="00CD364B">
        <w:rPr>
          <w:rFonts w:cstheme="minorHAnsi"/>
          <w:sz w:val="24"/>
          <w:szCs w:val="24"/>
          <w:lang w:val="en-US"/>
        </w:rPr>
        <w:t xml:space="preserve"> has embarked upon a bivariate analytical approach</w:t>
      </w:r>
      <w:r w:rsidR="007165CE" w:rsidRPr="00CD364B">
        <w:rPr>
          <w:rFonts w:cstheme="minorHAnsi"/>
          <w:sz w:val="24"/>
          <w:szCs w:val="24"/>
          <w:lang w:val="en-US"/>
        </w:rPr>
        <w:t>, which might be restrictive considering the scale of the problem that we targeted</w:t>
      </w:r>
      <w:r w:rsidRPr="00CD364B">
        <w:rPr>
          <w:rFonts w:cstheme="minorHAnsi"/>
          <w:sz w:val="24"/>
          <w:szCs w:val="24"/>
          <w:lang w:val="en-US"/>
        </w:rPr>
        <w:t xml:space="preserve">. Consideration of additional contextual aspects, e.g. entrepreneurship development, level of human development, and </w:t>
      </w:r>
      <w:r w:rsidR="000B45F4" w:rsidRPr="00CD364B">
        <w:rPr>
          <w:rFonts w:cstheme="minorHAnsi"/>
          <w:sz w:val="24"/>
          <w:szCs w:val="24"/>
          <w:lang w:val="en-US"/>
        </w:rPr>
        <w:t>geopolitical</w:t>
      </w:r>
      <w:r w:rsidRPr="00CD364B">
        <w:rPr>
          <w:rFonts w:cstheme="minorHAnsi"/>
          <w:sz w:val="24"/>
          <w:szCs w:val="24"/>
          <w:lang w:val="en-US"/>
        </w:rPr>
        <w:t xml:space="preserve"> aspects could </w:t>
      </w:r>
      <w:r w:rsidR="007165CE" w:rsidRPr="00CD364B">
        <w:rPr>
          <w:rFonts w:cstheme="minorHAnsi"/>
          <w:sz w:val="24"/>
          <w:szCs w:val="24"/>
          <w:lang w:val="en-US"/>
        </w:rPr>
        <w:t xml:space="preserve">help to provide </w:t>
      </w:r>
      <w:r w:rsidRPr="00CD364B">
        <w:rPr>
          <w:rFonts w:cstheme="minorHAnsi"/>
          <w:sz w:val="24"/>
          <w:szCs w:val="24"/>
          <w:lang w:val="en-US"/>
        </w:rPr>
        <w:t xml:space="preserve">additional policy-level insights. </w:t>
      </w:r>
      <w:r w:rsidR="007165CE" w:rsidRPr="00CD364B">
        <w:rPr>
          <w:rFonts w:cstheme="minorHAnsi"/>
          <w:sz w:val="24"/>
          <w:szCs w:val="24"/>
          <w:lang w:val="en-US"/>
        </w:rPr>
        <w:t>Our</w:t>
      </w:r>
      <w:r w:rsidRPr="00CD364B">
        <w:rPr>
          <w:rFonts w:cstheme="minorHAnsi"/>
          <w:sz w:val="24"/>
          <w:szCs w:val="24"/>
          <w:lang w:val="en-US"/>
        </w:rPr>
        <w:t xml:space="preserve"> study </w:t>
      </w:r>
      <w:r w:rsidR="007165CE" w:rsidRPr="00CD364B">
        <w:rPr>
          <w:rFonts w:cstheme="minorHAnsi"/>
          <w:sz w:val="24"/>
          <w:szCs w:val="24"/>
          <w:lang w:val="en-US"/>
        </w:rPr>
        <w:t>employs a</w:t>
      </w:r>
      <w:r w:rsidRPr="00CD364B">
        <w:rPr>
          <w:rFonts w:cstheme="minorHAnsi"/>
          <w:sz w:val="24"/>
          <w:szCs w:val="24"/>
          <w:lang w:val="en-US"/>
        </w:rPr>
        <w:t xml:space="preserve"> baseline approach </w:t>
      </w:r>
      <w:r w:rsidR="000B45F4" w:rsidRPr="00CD364B">
        <w:rPr>
          <w:rFonts w:cstheme="minorHAnsi"/>
          <w:sz w:val="24"/>
          <w:szCs w:val="24"/>
          <w:lang w:val="en-US"/>
        </w:rPr>
        <w:t>to</w:t>
      </w:r>
      <w:r w:rsidR="007165CE" w:rsidRPr="00CD364B">
        <w:rPr>
          <w:rFonts w:cstheme="minorHAnsi"/>
          <w:sz w:val="24"/>
          <w:szCs w:val="24"/>
          <w:lang w:val="en-US"/>
        </w:rPr>
        <w:t xml:space="preserve"> </w:t>
      </w:r>
      <w:r w:rsidRPr="00CD364B">
        <w:rPr>
          <w:rFonts w:cstheme="minorHAnsi"/>
          <w:sz w:val="24"/>
          <w:szCs w:val="24"/>
          <w:lang w:val="en-US"/>
        </w:rPr>
        <w:t>understand the impact of green financing mechanism on socio-ecological sustainability</w:t>
      </w:r>
      <w:r w:rsidR="007165CE" w:rsidRPr="00CD364B">
        <w:rPr>
          <w:rFonts w:cstheme="minorHAnsi"/>
          <w:sz w:val="24"/>
          <w:szCs w:val="24"/>
          <w:lang w:val="en-US"/>
        </w:rPr>
        <w:t xml:space="preserve">, while </w:t>
      </w:r>
      <w:r w:rsidRPr="00CD364B">
        <w:rPr>
          <w:rFonts w:cstheme="minorHAnsi"/>
          <w:sz w:val="24"/>
          <w:szCs w:val="24"/>
          <w:lang w:val="en-US"/>
        </w:rPr>
        <w:t xml:space="preserve">future studies </w:t>
      </w:r>
      <w:r w:rsidR="007165CE" w:rsidRPr="00CD364B">
        <w:rPr>
          <w:rFonts w:cstheme="minorHAnsi"/>
          <w:sz w:val="24"/>
          <w:szCs w:val="24"/>
          <w:lang w:val="en-US"/>
        </w:rPr>
        <w:t>can be</w:t>
      </w:r>
      <w:r w:rsidRPr="00CD364B">
        <w:rPr>
          <w:rFonts w:cstheme="minorHAnsi"/>
          <w:sz w:val="24"/>
          <w:szCs w:val="24"/>
          <w:lang w:val="en-US"/>
        </w:rPr>
        <w:t xml:space="preserve"> conducted based on the volatility of returns, and co-movement among the indices.</w:t>
      </w:r>
    </w:p>
    <w:p w14:paraId="3D5CBB10" w14:textId="768586F1" w:rsidR="00896BF5" w:rsidRPr="00CD364B" w:rsidRDefault="00896BF5" w:rsidP="00004F21">
      <w:pPr>
        <w:spacing w:after="0" w:line="360" w:lineRule="auto"/>
        <w:jc w:val="both"/>
        <w:rPr>
          <w:rFonts w:cstheme="minorHAnsi"/>
          <w:sz w:val="24"/>
          <w:szCs w:val="24"/>
          <w:lang w:val="en-US"/>
        </w:rPr>
      </w:pPr>
      <w:r w:rsidRPr="00CD364B">
        <w:rPr>
          <w:rFonts w:cstheme="minorHAnsi"/>
          <w:sz w:val="24"/>
          <w:szCs w:val="24"/>
          <w:lang w:val="en-US"/>
        </w:rPr>
        <w:br w:type="page"/>
      </w:r>
    </w:p>
    <w:p w14:paraId="59AB8813" w14:textId="0B3F26BB" w:rsidR="00896BF5" w:rsidRPr="00CD364B" w:rsidRDefault="00896BF5" w:rsidP="00004F21">
      <w:pPr>
        <w:spacing w:after="0" w:line="360" w:lineRule="auto"/>
        <w:jc w:val="both"/>
        <w:rPr>
          <w:rFonts w:cstheme="minorHAnsi"/>
          <w:b/>
          <w:bCs/>
          <w:sz w:val="24"/>
          <w:szCs w:val="24"/>
          <w:lang w:val="en-US"/>
        </w:rPr>
      </w:pPr>
      <w:r w:rsidRPr="00CD364B">
        <w:rPr>
          <w:rFonts w:cstheme="minorHAnsi"/>
          <w:b/>
          <w:bCs/>
          <w:sz w:val="24"/>
          <w:szCs w:val="24"/>
          <w:lang w:val="en-US"/>
        </w:rPr>
        <w:lastRenderedPageBreak/>
        <w:t>References</w:t>
      </w:r>
    </w:p>
    <w:p w14:paraId="1009A262"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Agliardi, E., Agliardi, R., 2019. Financing environmentally-sustainable projects with green bonds</w:t>
      </w:r>
      <w:r w:rsidRPr="00CD364B">
        <w:rPr>
          <w:rFonts w:cstheme="minorHAnsi"/>
          <w:i/>
          <w:iCs/>
          <w:sz w:val="24"/>
          <w:szCs w:val="24"/>
          <w:lang w:val="en-US"/>
        </w:rPr>
        <w:t>. Environment and Development Economics, 24</w:t>
      </w:r>
      <w:r w:rsidRPr="00CD364B">
        <w:rPr>
          <w:rFonts w:cstheme="minorHAnsi"/>
          <w:sz w:val="24"/>
          <w:szCs w:val="24"/>
          <w:lang w:val="en-US"/>
        </w:rPr>
        <w:t>(6), 608-623.</w:t>
      </w:r>
    </w:p>
    <w:p w14:paraId="5CA755E1" w14:textId="551232BB"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Balcilar, M., Gupta, R., &amp; Pierdzioch, C. (2016). Does uncertainty move the gold price? New evidence from a nonparametric causality-in-quantiles test.</w:t>
      </w:r>
      <w:r w:rsidR="00CF628A" w:rsidRPr="00CD364B">
        <w:rPr>
          <w:rFonts w:cstheme="minorHAnsi"/>
          <w:sz w:val="24"/>
          <w:szCs w:val="24"/>
          <w:shd w:val="clear" w:color="auto" w:fill="FFFFFF"/>
        </w:rPr>
        <w:t xml:space="preserve"> </w:t>
      </w:r>
      <w:r w:rsidRPr="00CD364B">
        <w:rPr>
          <w:rFonts w:cstheme="minorHAnsi"/>
          <w:i/>
          <w:iCs/>
          <w:sz w:val="24"/>
          <w:szCs w:val="24"/>
          <w:shd w:val="clear" w:color="auto" w:fill="FFFFFF"/>
        </w:rPr>
        <w:t>Resources Policy</w:t>
      </w:r>
      <w:r w:rsidRPr="00CD364B">
        <w:rPr>
          <w:rFonts w:cstheme="minorHAnsi"/>
          <w:sz w:val="24"/>
          <w:szCs w:val="24"/>
          <w:shd w:val="clear" w:color="auto" w:fill="FFFFFF"/>
        </w:rPr>
        <w:t>,</w:t>
      </w:r>
      <w:r w:rsidR="00CF628A" w:rsidRPr="00CD364B">
        <w:rPr>
          <w:rFonts w:cstheme="minorHAnsi"/>
          <w:sz w:val="24"/>
          <w:szCs w:val="24"/>
          <w:shd w:val="clear" w:color="auto" w:fill="FFFFFF"/>
        </w:rPr>
        <w:t xml:space="preserve"> </w:t>
      </w:r>
      <w:r w:rsidRPr="00CD364B">
        <w:rPr>
          <w:rFonts w:cstheme="minorHAnsi"/>
          <w:i/>
          <w:iCs/>
          <w:sz w:val="24"/>
          <w:szCs w:val="24"/>
          <w:shd w:val="clear" w:color="auto" w:fill="FFFFFF"/>
        </w:rPr>
        <w:t>49</w:t>
      </w:r>
      <w:r w:rsidRPr="00CD364B">
        <w:rPr>
          <w:rFonts w:cstheme="minorHAnsi"/>
          <w:sz w:val="24"/>
          <w:szCs w:val="24"/>
          <w:shd w:val="clear" w:color="auto" w:fill="FFFFFF"/>
        </w:rPr>
        <w:t>, 74-80.</w:t>
      </w:r>
    </w:p>
    <w:p w14:paraId="1A966F22"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Banga, J., 2019. The green bond market: a potential source of climate finance for developing countries. </w:t>
      </w:r>
      <w:r w:rsidRPr="00CD364B">
        <w:rPr>
          <w:rFonts w:cstheme="minorHAnsi"/>
          <w:i/>
          <w:iCs/>
          <w:sz w:val="24"/>
          <w:szCs w:val="24"/>
          <w:lang w:val="en-US"/>
        </w:rPr>
        <w:t>Journal of Sustainable Finance &amp; Investment, 9</w:t>
      </w:r>
      <w:r w:rsidRPr="00CD364B">
        <w:rPr>
          <w:rFonts w:cstheme="minorHAnsi"/>
          <w:sz w:val="24"/>
          <w:szCs w:val="24"/>
          <w:lang w:val="en-US"/>
        </w:rPr>
        <w:t>(1), 17-32.</w:t>
      </w:r>
    </w:p>
    <w:p w14:paraId="18322F64" w14:textId="4C4647C7"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Bekiros, S., Gupta, R., &amp; Majumdar, A. (2016). Incorporating economic policy uncertainty in US equity premium models: a nonlinear predictability analysis.</w:t>
      </w:r>
      <w:r w:rsidR="00CF628A" w:rsidRPr="00CD364B">
        <w:rPr>
          <w:rFonts w:cstheme="minorHAnsi"/>
          <w:sz w:val="24"/>
          <w:szCs w:val="24"/>
          <w:shd w:val="clear" w:color="auto" w:fill="FFFFFF"/>
        </w:rPr>
        <w:t xml:space="preserve"> </w:t>
      </w:r>
      <w:r w:rsidRPr="00CD364B">
        <w:rPr>
          <w:rFonts w:cstheme="minorHAnsi"/>
          <w:i/>
          <w:iCs/>
          <w:sz w:val="24"/>
          <w:szCs w:val="24"/>
          <w:shd w:val="clear" w:color="auto" w:fill="FFFFFF"/>
        </w:rPr>
        <w:t>Finance Research Letters</w:t>
      </w:r>
      <w:r w:rsidRPr="00CD364B">
        <w:rPr>
          <w:rFonts w:cstheme="minorHAnsi"/>
          <w:sz w:val="24"/>
          <w:szCs w:val="24"/>
          <w:shd w:val="clear" w:color="auto" w:fill="FFFFFF"/>
        </w:rPr>
        <w:t>,</w:t>
      </w:r>
      <w:r w:rsidR="00CF628A" w:rsidRPr="00CD364B">
        <w:rPr>
          <w:rFonts w:cstheme="minorHAnsi"/>
          <w:sz w:val="24"/>
          <w:szCs w:val="24"/>
          <w:shd w:val="clear" w:color="auto" w:fill="FFFFFF"/>
        </w:rPr>
        <w:t xml:space="preserve"> </w:t>
      </w:r>
      <w:r w:rsidRPr="00CD364B">
        <w:rPr>
          <w:rFonts w:cstheme="minorHAnsi"/>
          <w:i/>
          <w:iCs/>
          <w:sz w:val="24"/>
          <w:szCs w:val="24"/>
          <w:shd w:val="clear" w:color="auto" w:fill="FFFFFF"/>
        </w:rPr>
        <w:t>18</w:t>
      </w:r>
      <w:r w:rsidRPr="00CD364B">
        <w:rPr>
          <w:rFonts w:cstheme="minorHAnsi"/>
          <w:sz w:val="24"/>
          <w:szCs w:val="24"/>
          <w:shd w:val="clear" w:color="auto" w:fill="FFFFFF"/>
        </w:rPr>
        <w:t>, 291-296.</w:t>
      </w:r>
    </w:p>
    <w:p w14:paraId="5850C01B"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Braouezec, Y., Joliet, R., 2019. Time to invest in corporate social responsibility and the value of CSR operations: The case of environmental externalities. </w:t>
      </w:r>
      <w:r w:rsidRPr="00CD364B">
        <w:rPr>
          <w:rFonts w:cstheme="minorHAnsi"/>
          <w:i/>
          <w:iCs/>
          <w:sz w:val="24"/>
          <w:szCs w:val="24"/>
          <w:lang w:val="en-US"/>
        </w:rPr>
        <w:t>Managerial and Decision Economics, 40</w:t>
      </w:r>
      <w:r w:rsidRPr="00CD364B">
        <w:rPr>
          <w:rFonts w:cstheme="minorHAnsi"/>
          <w:sz w:val="24"/>
          <w:szCs w:val="24"/>
          <w:lang w:val="en-US"/>
        </w:rPr>
        <w:t>(5), 539-549.</w:t>
      </w:r>
    </w:p>
    <w:p w14:paraId="632E5A8B" w14:textId="147F9A3E" w:rsidR="00791EF5" w:rsidRPr="00CD364B" w:rsidRDefault="00791EF5" w:rsidP="00004F21">
      <w:pPr>
        <w:spacing w:after="0" w:line="360" w:lineRule="auto"/>
        <w:ind w:left="567" w:hanging="567"/>
        <w:jc w:val="both"/>
        <w:rPr>
          <w:rFonts w:cstheme="minorHAnsi"/>
          <w:sz w:val="24"/>
          <w:szCs w:val="24"/>
          <w:lang w:val="en-US"/>
        </w:rPr>
      </w:pPr>
      <w:r w:rsidRPr="00CD364B">
        <w:rPr>
          <w:rFonts w:cstheme="minorHAnsi"/>
          <w:sz w:val="24"/>
          <w:szCs w:val="24"/>
          <w:lang w:val="en-US"/>
        </w:rPr>
        <w:t>Buhari, D.Ğ.A., Lorente, D.B., Nasir, M.A., 2020. European commitment to COP21 and the role of energy consumption, FDI, trade and economic complexity in sustaining economic growth. Journal of Environmental Management, 273, 111146.</w:t>
      </w:r>
    </w:p>
    <w:p w14:paraId="2CE6AF2A" w14:textId="46310F8C"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Clapp, C., Alfsen, K.H., Lund, H.F., Pillay, K., 2015. Green bonds and environmental integrity: Insights from cicero second opinions. </w:t>
      </w:r>
      <w:r w:rsidRPr="00CD364B">
        <w:rPr>
          <w:rFonts w:cstheme="minorHAnsi"/>
          <w:i/>
          <w:iCs/>
          <w:sz w:val="24"/>
          <w:szCs w:val="24"/>
          <w:lang w:val="en-US"/>
        </w:rPr>
        <w:t>Nature Climate Change, 5</w:t>
      </w:r>
      <w:r w:rsidRPr="00CD364B">
        <w:rPr>
          <w:rFonts w:cstheme="minorHAnsi"/>
          <w:sz w:val="24"/>
          <w:szCs w:val="24"/>
          <w:lang w:val="en-US"/>
        </w:rPr>
        <w:t>.</w:t>
      </w:r>
    </w:p>
    <w:p w14:paraId="28DAB28E" w14:textId="2FF05A90"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Cornish, S. L., Thompson, S. T., &amp; Wieman, C. E. (2006). Formation of bright matter-wave solitons during the collapse of attractive Bose-Einstein condensates.</w:t>
      </w:r>
      <w:r w:rsidR="00CF628A" w:rsidRPr="00CD364B">
        <w:rPr>
          <w:rFonts w:cstheme="minorHAnsi"/>
          <w:sz w:val="24"/>
          <w:szCs w:val="24"/>
          <w:shd w:val="clear" w:color="auto" w:fill="FFFFFF"/>
        </w:rPr>
        <w:t xml:space="preserve"> </w:t>
      </w:r>
      <w:r w:rsidRPr="00CD364B">
        <w:rPr>
          <w:rFonts w:cstheme="minorHAnsi"/>
          <w:i/>
          <w:iCs/>
          <w:sz w:val="24"/>
          <w:szCs w:val="24"/>
          <w:shd w:val="clear" w:color="auto" w:fill="FFFFFF"/>
        </w:rPr>
        <w:t>Physical review letters</w:t>
      </w:r>
      <w:r w:rsidRPr="00CD364B">
        <w:rPr>
          <w:rFonts w:cstheme="minorHAnsi"/>
          <w:sz w:val="24"/>
          <w:szCs w:val="24"/>
          <w:shd w:val="clear" w:color="auto" w:fill="FFFFFF"/>
        </w:rPr>
        <w:t>,</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96</w:t>
      </w:r>
      <w:r w:rsidRPr="00CD364B">
        <w:rPr>
          <w:rFonts w:cstheme="minorHAnsi"/>
          <w:sz w:val="24"/>
          <w:szCs w:val="24"/>
          <w:shd w:val="clear" w:color="auto" w:fill="FFFFFF"/>
        </w:rPr>
        <w:t>(17), 170401.</w:t>
      </w:r>
    </w:p>
    <w:p w14:paraId="6900B252" w14:textId="35B0D87F"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Engle, R. F., &amp; Granger, C. W. (1987). Co-integration and error correction: representation, estimation, and testing.</w:t>
      </w:r>
      <w:r w:rsidR="00CF628A" w:rsidRPr="00CD364B">
        <w:rPr>
          <w:rFonts w:cstheme="minorHAnsi"/>
          <w:sz w:val="24"/>
          <w:szCs w:val="24"/>
          <w:shd w:val="clear" w:color="auto" w:fill="FFFFFF"/>
        </w:rPr>
        <w:t xml:space="preserve"> </w:t>
      </w:r>
      <w:r w:rsidRPr="00CD364B">
        <w:rPr>
          <w:rFonts w:cstheme="minorHAnsi"/>
          <w:i/>
          <w:iCs/>
          <w:sz w:val="24"/>
          <w:szCs w:val="24"/>
          <w:shd w:val="clear" w:color="auto" w:fill="FFFFFF"/>
        </w:rPr>
        <w:t>Econometrica: journal of the Econometric Society</w:t>
      </w:r>
      <w:r w:rsidRPr="00CD364B">
        <w:rPr>
          <w:rFonts w:cstheme="minorHAnsi"/>
          <w:sz w:val="24"/>
          <w:szCs w:val="24"/>
          <w:shd w:val="clear" w:color="auto" w:fill="FFFFFF"/>
        </w:rPr>
        <w:t>, 251-276.</w:t>
      </w:r>
    </w:p>
    <w:p w14:paraId="5AC5F198"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Flammer, C., 2020. Green bonds: effectiveness and implications for public policy. Environmental and Energy Policy and the Economy, 1(1), 95-128.</w:t>
      </w:r>
    </w:p>
    <w:p w14:paraId="76D22D15" w14:textId="32CF0FF8"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Galvao Jr, A. F. (2009). Unit root quantile autoregression testing using covariates.</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Journal of econometrics</w:t>
      </w:r>
      <w:r w:rsidRPr="00CD364B">
        <w:rPr>
          <w:rFonts w:cstheme="minorHAnsi"/>
          <w:sz w:val="24"/>
          <w:szCs w:val="24"/>
          <w:shd w:val="clear" w:color="auto" w:fill="FFFFFF"/>
        </w:rPr>
        <w:t>,</w:t>
      </w:r>
      <w:r w:rsidR="00CF628A" w:rsidRPr="00CD364B">
        <w:rPr>
          <w:rFonts w:cstheme="minorHAnsi"/>
          <w:sz w:val="24"/>
          <w:szCs w:val="24"/>
          <w:shd w:val="clear" w:color="auto" w:fill="FFFFFF"/>
        </w:rPr>
        <w:t xml:space="preserve"> </w:t>
      </w:r>
      <w:r w:rsidRPr="00CD364B">
        <w:rPr>
          <w:rFonts w:cstheme="minorHAnsi"/>
          <w:i/>
          <w:iCs/>
          <w:sz w:val="24"/>
          <w:szCs w:val="24"/>
          <w:shd w:val="clear" w:color="auto" w:fill="FFFFFF"/>
        </w:rPr>
        <w:t>152</w:t>
      </w:r>
      <w:r w:rsidRPr="00CD364B">
        <w:rPr>
          <w:rFonts w:cstheme="minorHAnsi"/>
          <w:sz w:val="24"/>
          <w:szCs w:val="24"/>
          <w:shd w:val="clear" w:color="auto" w:fill="FFFFFF"/>
        </w:rPr>
        <w:t>(2), 165-178.</w:t>
      </w:r>
    </w:p>
    <w:p w14:paraId="781868CD"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Garroway, C., Carpentier, C.L., 2019. Why are we behind on SDG finance and what can we do about </w:t>
      </w:r>
      <w:proofErr w:type="gramStart"/>
      <w:r w:rsidRPr="00CD364B">
        <w:rPr>
          <w:rFonts w:cstheme="minorHAnsi"/>
          <w:sz w:val="24"/>
          <w:szCs w:val="24"/>
          <w:lang w:val="en-US"/>
        </w:rPr>
        <w:t>it?.</w:t>
      </w:r>
      <w:proofErr w:type="gramEnd"/>
      <w:r w:rsidRPr="00CD364B">
        <w:rPr>
          <w:rFonts w:cstheme="minorHAnsi"/>
          <w:sz w:val="24"/>
          <w:szCs w:val="24"/>
          <w:lang w:val="en-US"/>
        </w:rPr>
        <w:t xml:space="preserve"> United Nations Conference on Trade and Development.</w:t>
      </w:r>
    </w:p>
    <w:p w14:paraId="5B796925" w14:textId="59E13E1C"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Gençay, R., Selçuk, F., &amp; Whitcher, B. J. (2002).</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An introduction to wavelets and other filtering methods in finance and economics</w:t>
      </w:r>
      <w:r w:rsidRPr="00CD364B">
        <w:rPr>
          <w:rFonts w:cstheme="minorHAnsi"/>
          <w:sz w:val="24"/>
          <w:szCs w:val="24"/>
          <w:shd w:val="clear" w:color="auto" w:fill="FFFFFF"/>
        </w:rPr>
        <w:t>. Elsevier.</w:t>
      </w:r>
    </w:p>
    <w:p w14:paraId="5BC3A734"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lastRenderedPageBreak/>
        <w:t xml:space="preserve">Gianfrate, G., Peri, M., 2019. The green advantage: Exploring the convenience of issuing green bonds. </w:t>
      </w:r>
      <w:r w:rsidRPr="00CD364B">
        <w:rPr>
          <w:rFonts w:cstheme="minorHAnsi"/>
          <w:i/>
          <w:iCs/>
          <w:sz w:val="24"/>
          <w:szCs w:val="24"/>
          <w:lang w:val="en-US"/>
        </w:rPr>
        <w:t>Journal of Cleaner Production, 219</w:t>
      </w:r>
      <w:r w:rsidRPr="00CD364B">
        <w:rPr>
          <w:rFonts w:cstheme="minorHAnsi"/>
          <w:sz w:val="24"/>
          <w:szCs w:val="24"/>
          <w:lang w:val="en-US"/>
        </w:rPr>
        <w:t>, 127-135.</w:t>
      </w:r>
    </w:p>
    <w:p w14:paraId="7BF24BE8" w14:textId="1A0787D6"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Granger, C. W. (1969). Investigating causal relations by econometric models and cross-spectral methods.</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Econometrica: journal of the Econometric Society</w:t>
      </w:r>
      <w:r w:rsidRPr="00CD364B">
        <w:rPr>
          <w:rFonts w:cstheme="minorHAnsi"/>
          <w:sz w:val="24"/>
          <w:szCs w:val="24"/>
          <w:shd w:val="clear" w:color="auto" w:fill="FFFFFF"/>
        </w:rPr>
        <w:t>, 37(3), 424-438.</w:t>
      </w:r>
    </w:p>
    <w:p w14:paraId="68AE6106" w14:textId="5821C3BD" w:rsidR="00791EF5" w:rsidRPr="00CD364B" w:rsidRDefault="00791EF5" w:rsidP="00CF628A">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Huynh, T.L.D., Hille, E., Nasir, M.A., 2020. Diversification in the age of the 4th industrial revolution: The role of artificial intelligence, green bonds and cryptocurrencies. Technological Forecasting and Social Change, 159, 120188.</w:t>
      </w:r>
    </w:p>
    <w:p w14:paraId="4C028937" w14:textId="78C8B49E" w:rsidR="00BF401B" w:rsidRPr="00CD364B" w:rsidRDefault="00BF401B" w:rsidP="00CF628A">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Karyawati, G., Subroto, B., Sutrisno, T., Saraswati, E.</w:t>
      </w:r>
      <w:r w:rsidR="00EB7D99" w:rsidRPr="00CD364B">
        <w:rPr>
          <w:rFonts w:cstheme="minorHAnsi"/>
          <w:sz w:val="24"/>
          <w:szCs w:val="24"/>
          <w:shd w:val="clear" w:color="auto" w:fill="FFFFFF"/>
        </w:rPr>
        <w:t>,</w:t>
      </w:r>
      <w:r w:rsidRPr="00CD364B">
        <w:rPr>
          <w:rFonts w:cstheme="minorHAnsi"/>
          <w:sz w:val="24"/>
          <w:szCs w:val="24"/>
          <w:shd w:val="clear" w:color="auto" w:fill="FFFFFF"/>
        </w:rPr>
        <w:t xml:space="preserve"> 2020. Explaining the complexity relationship of CSR and financial performance using neo-institutional theory. Journal of Asian Business and Economic Studies, 27(3), 227-244.</w:t>
      </w:r>
    </w:p>
    <w:p w14:paraId="1956F134" w14:textId="72D1974C"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Koenker, R., &amp; Xiao, Z. (2004). Unit root quantile autoregression inference. </w:t>
      </w:r>
      <w:r w:rsidRPr="00CD364B">
        <w:rPr>
          <w:rFonts w:cstheme="minorHAnsi"/>
          <w:i/>
          <w:iCs/>
          <w:sz w:val="24"/>
          <w:szCs w:val="24"/>
          <w:shd w:val="clear" w:color="auto" w:fill="FFFFFF"/>
        </w:rPr>
        <w:t>Journal of the American Statistical Association</w:t>
      </w:r>
      <w:r w:rsidRPr="00CD364B">
        <w:rPr>
          <w:rFonts w:cstheme="minorHAnsi"/>
          <w:sz w:val="24"/>
          <w:szCs w:val="24"/>
          <w:shd w:val="clear" w:color="auto" w:fill="FFFFFF"/>
        </w:rPr>
        <w:t>, </w:t>
      </w:r>
      <w:r w:rsidRPr="00CD364B">
        <w:rPr>
          <w:rFonts w:cstheme="minorHAnsi"/>
          <w:i/>
          <w:iCs/>
          <w:sz w:val="24"/>
          <w:szCs w:val="24"/>
          <w:shd w:val="clear" w:color="auto" w:fill="FFFFFF"/>
        </w:rPr>
        <w:t>99</w:t>
      </w:r>
      <w:r w:rsidRPr="00CD364B">
        <w:rPr>
          <w:rFonts w:cstheme="minorHAnsi"/>
          <w:sz w:val="24"/>
          <w:szCs w:val="24"/>
          <w:shd w:val="clear" w:color="auto" w:fill="FFFFFF"/>
        </w:rPr>
        <w:t>(467), 775-787.</w:t>
      </w:r>
    </w:p>
    <w:p w14:paraId="6DA6336C" w14:textId="4EEB7F8F" w:rsidR="00BF401B" w:rsidRPr="00CD364B" w:rsidRDefault="00BF401B"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Kovilage, M.P., 2020. Influence of lean-green practices on organizational sustainable performance, Journal of Asian Business and Economic Studies, Vol. ahead-of-print No. ahead-of-print. https://doi.org/10.1108/JABES-11-2019-0115.</w:t>
      </w:r>
    </w:p>
    <w:p w14:paraId="37701D5A" w14:textId="6D1FF236"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Meadows, D.L., 1974. Limits to Growth a Finite World. </w:t>
      </w:r>
      <w:r w:rsidR="00860F10" w:rsidRPr="00CD364B">
        <w:rPr>
          <w:rFonts w:cstheme="minorHAnsi"/>
          <w:sz w:val="24"/>
          <w:szCs w:val="24"/>
          <w:lang w:val="en-US"/>
        </w:rPr>
        <w:t>Cambridge</w:t>
      </w:r>
      <w:r w:rsidRPr="00CD364B">
        <w:rPr>
          <w:rFonts w:cstheme="minorHAnsi"/>
          <w:sz w:val="24"/>
          <w:szCs w:val="24"/>
          <w:lang w:val="en-US"/>
        </w:rPr>
        <w:t xml:space="preserve"> University Press.</w:t>
      </w:r>
    </w:p>
    <w:p w14:paraId="4C2C3C8E" w14:textId="77777777" w:rsidR="0047111F" w:rsidRPr="00CD364B" w:rsidRDefault="0047111F" w:rsidP="0047111F">
      <w:pPr>
        <w:spacing w:after="0" w:line="360" w:lineRule="auto"/>
        <w:ind w:left="567" w:hanging="567"/>
        <w:jc w:val="both"/>
        <w:rPr>
          <w:rFonts w:cstheme="minorHAnsi"/>
          <w:sz w:val="24"/>
          <w:szCs w:val="24"/>
          <w:lang w:val="en-US"/>
        </w:rPr>
      </w:pPr>
      <w:r w:rsidRPr="00CD364B">
        <w:rPr>
          <w:rFonts w:cstheme="minorHAnsi"/>
          <w:sz w:val="24"/>
          <w:szCs w:val="24"/>
          <w:lang w:val="en-US"/>
        </w:rPr>
        <w:t>Nasir, M.A., Huynh, T.L.D., Tram, H.T.X., 2019. Role of financial development, economic growth &amp; foreign direct investment in driving climate change: A case of emerging ASEAN. Journal of Environmental Management, 242, 131-141.</w:t>
      </w:r>
    </w:p>
    <w:p w14:paraId="5CC8044E" w14:textId="581BFBCF" w:rsidR="0047111F" w:rsidRPr="00CD364B" w:rsidRDefault="0047111F" w:rsidP="0047111F">
      <w:pPr>
        <w:spacing w:after="0" w:line="360" w:lineRule="auto"/>
        <w:ind w:left="567" w:hanging="567"/>
        <w:jc w:val="both"/>
        <w:rPr>
          <w:rFonts w:cstheme="minorHAnsi"/>
          <w:sz w:val="24"/>
          <w:szCs w:val="24"/>
          <w:lang w:val="en-US"/>
        </w:rPr>
      </w:pPr>
      <w:r w:rsidRPr="00CD364B">
        <w:rPr>
          <w:rFonts w:cstheme="minorHAnsi"/>
          <w:sz w:val="24"/>
          <w:szCs w:val="24"/>
          <w:lang w:val="en-US"/>
        </w:rPr>
        <w:t>Nasir, M.A., Canh, N.P., Le, T.N.L., 2021. Environmental degradation &amp; role of financialisation, economic development, industrialisation and trade liberalisation. Journal of Environmental Management, 277, 111471.</w:t>
      </w:r>
    </w:p>
    <w:p w14:paraId="6322C7C8" w14:textId="7573210E"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Ng, A.W., 2018. From sustainability accounting to a green financing system: Institutional legitimacy and market heterogeneity in a global financial centre. </w:t>
      </w:r>
      <w:r w:rsidRPr="00CD364B">
        <w:rPr>
          <w:rFonts w:cstheme="minorHAnsi"/>
          <w:i/>
          <w:iCs/>
          <w:sz w:val="24"/>
          <w:szCs w:val="24"/>
          <w:lang w:val="en-US"/>
        </w:rPr>
        <w:t>Journal of Cleaner Production, 195</w:t>
      </w:r>
      <w:r w:rsidRPr="00CD364B">
        <w:rPr>
          <w:rFonts w:cstheme="minorHAnsi"/>
          <w:sz w:val="24"/>
          <w:szCs w:val="24"/>
          <w:lang w:val="en-US"/>
        </w:rPr>
        <w:t>, 585-592.</w:t>
      </w:r>
    </w:p>
    <w:p w14:paraId="644B8840" w14:textId="139D7AC9" w:rsidR="003D4422" w:rsidRPr="00CD364B" w:rsidRDefault="003D4422" w:rsidP="00004F21">
      <w:pPr>
        <w:spacing w:after="0" w:line="360" w:lineRule="auto"/>
        <w:ind w:left="567" w:hanging="567"/>
        <w:jc w:val="both"/>
        <w:rPr>
          <w:rFonts w:cstheme="minorHAnsi"/>
          <w:sz w:val="24"/>
          <w:szCs w:val="24"/>
          <w:lang w:val="en-US"/>
        </w:rPr>
      </w:pPr>
      <w:r w:rsidRPr="00CD364B">
        <w:rPr>
          <w:rFonts w:cstheme="minorHAnsi"/>
          <w:sz w:val="24"/>
          <w:szCs w:val="24"/>
          <w:lang w:val="en-US"/>
        </w:rPr>
        <w:t>Nguyen, D.K., Huynh, T.L.D., Nasir, M.A., 2021. Carbon emissions determinants and forecasting: Evidence from G6 countries. Journal of Environmental Management, 285, 111988.</w:t>
      </w:r>
    </w:p>
    <w:p w14:paraId="48572570" w14:textId="1B8F520D"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Nguyen, T.C., Chuc, A.T., Dang, L., 2018. Green finance in Vietnam: barriers and solutions. ADBI Working paper No. 886, Asian Development Bank Institute.</w:t>
      </w:r>
    </w:p>
    <w:p w14:paraId="18EA5100" w14:textId="3D3F9B38"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Percival, D. B., &amp; Mofjeld, H. O. (1997). Analysis of subtidal coastal sea level fluctuations using wavelets.</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Journal of the American Statistical Association</w:t>
      </w:r>
      <w:r w:rsidRPr="00CD364B">
        <w:rPr>
          <w:rFonts w:cstheme="minorHAnsi"/>
          <w:sz w:val="24"/>
          <w:szCs w:val="24"/>
          <w:shd w:val="clear" w:color="auto" w:fill="FFFFFF"/>
        </w:rPr>
        <w:t>,</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92</w:t>
      </w:r>
      <w:r w:rsidRPr="00CD364B">
        <w:rPr>
          <w:rFonts w:cstheme="minorHAnsi"/>
          <w:sz w:val="24"/>
          <w:szCs w:val="24"/>
          <w:shd w:val="clear" w:color="auto" w:fill="FFFFFF"/>
        </w:rPr>
        <w:t>(439), 868-880.</w:t>
      </w:r>
    </w:p>
    <w:p w14:paraId="70323C92" w14:textId="69CC55EC"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lastRenderedPageBreak/>
        <w:t>Percival, D. B., &amp; Walden, A. T. (2000).</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Wavelet methods for time series analysis</w:t>
      </w:r>
      <w:r w:rsidR="00860F10" w:rsidRPr="00CD364B">
        <w:rPr>
          <w:rFonts w:cstheme="minorHAnsi"/>
          <w:sz w:val="24"/>
          <w:szCs w:val="24"/>
          <w:shd w:val="clear" w:color="auto" w:fill="FFFFFF"/>
        </w:rPr>
        <w:t xml:space="preserve"> </w:t>
      </w:r>
      <w:r w:rsidRPr="00CD364B">
        <w:rPr>
          <w:rFonts w:cstheme="minorHAnsi"/>
          <w:sz w:val="24"/>
          <w:szCs w:val="24"/>
          <w:shd w:val="clear" w:color="auto" w:fill="FFFFFF"/>
        </w:rPr>
        <w:t>(Vol. 4). Cambridge university press.</w:t>
      </w:r>
    </w:p>
    <w:p w14:paraId="524AA97F" w14:textId="602E3283"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Percival, D. P. (1995). On estimation of the wavelet variance.</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Biometrika</w:t>
      </w:r>
      <w:r w:rsidRPr="00CD364B">
        <w:rPr>
          <w:rFonts w:cstheme="minorHAnsi"/>
          <w:sz w:val="24"/>
          <w:szCs w:val="24"/>
          <w:shd w:val="clear" w:color="auto" w:fill="FFFFFF"/>
        </w:rPr>
        <w:t>,</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82</w:t>
      </w:r>
      <w:r w:rsidRPr="00CD364B">
        <w:rPr>
          <w:rFonts w:cstheme="minorHAnsi"/>
          <w:sz w:val="24"/>
          <w:szCs w:val="24"/>
          <w:shd w:val="clear" w:color="auto" w:fill="FFFFFF"/>
        </w:rPr>
        <w:t>(3), 619-631.</w:t>
      </w:r>
    </w:p>
    <w:p w14:paraId="6754BED4" w14:textId="5F382444" w:rsidR="00496678" w:rsidRPr="00CD364B" w:rsidRDefault="00496678"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 xml:space="preserve">Pham, L., Huynh, T.L.D., 2020. How does investor attention influence the green bond </w:t>
      </w:r>
      <w:proofErr w:type="gramStart"/>
      <w:r w:rsidRPr="00CD364B">
        <w:rPr>
          <w:rFonts w:cstheme="minorHAnsi"/>
          <w:sz w:val="24"/>
          <w:szCs w:val="24"/>
          <w:shd w:val="clear" w:color="auto" w:fill="FFFFFF"/>
        </w:rPr>
        <w:t>market?.</w:t>
      </w:r>
      <w:proofErr w:type="gramEnd"/>
      <w:r w:rsidRPr="00CD364B">
        <w:rPr>
          <w:rFonts w:cstheme="minorHAnsi"/>
          <w:sz w:val="24"/>
          <w:szCs w:val="24"/>
          <w:shd w:val="clear" w:color="auto" w:fill="FFFFFF"/>
        </w:rPr>
        <w:t xml:space="preserve"> Finance Research Letters, 35, 101533.</w:t>
      </w:r>
    </w:p>
    <w:p w14:paraId="07A3A24A" w14:textId="17C66CF0" w:rsidR="00B42230" w:rsidRPr="00CD364B" w:rsidRDefault="00B42230"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Pham, N.M., Huynh, T.L.D., Nasir, M.A., 2020. Environmental consequences of population, affluence and technological progress for European countries: A Malthusian view. Journal of Environmental Management, 260, 110143.</w:t>
      </w:r>
    </w:p>
    <w:p w14:paraId="15553BBD" w14:textId="2CCB2052"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Ramsey, J. B. (1999). The contribution of wavelets to the analysis of economic and financial data. </w:t>
      </w:r>
      <w:r w:rsidRPr="00CD364B">
        <w:rPr>
          <w:rFonts w:cstheme="minorHAnsi"/>
          <w:i/>
          <w:iCs/>
          <w:sz w:val="24"/>
          <w:szCs w:val="24"/>
          <w:shd w:val="clear" w:color="auto" w:fill="FFFFFF"/>
        </w:rPr>
        <w:t>Philosophical Transactions of the Royal Society of London. Series A: Mathematical, Physical and Engineering Sciences</w:t>
      </w:r>
      <w:r w:rsidRPr="00CD364B">
        <w:rPr>
          <w:rFonts w:cstheme="minorHAnsi"/>
          <w:sz w:val="24"/>
          <w:szCs w:val="24"/>
          <w:shd w:val="clear" w:color="auto" w:fill="FFFFFF"/>
        </w:rPr>
        <w:t>, </w:t>
      </w:r>
      <w:r w:rsidRPr="00CD364B">
        <w:rPr>
          <w:rFonts w:cstheme="minorHAnsi"/>
          <w:i/>
          <w:iCs/>
          <w:sz w:val="24"/>
          <w:szCs w:val="24"/>
          <w:shd w:val="clear" w:color="auto" w:fill="FFFFFF"/>
        </w:rPr>
        <w:t>357</w:t>
      </w:r>
      <w:r w:rsidRPr="00CD364B">
        <w:rPr>
          <w:rFonts w:cstheme="minorHAnsi"/>
          <w:sz w:val="24"/>
          <w:szCs w:val="24"/>
          <w:shd w:val="clear" w:color="auto" w:fill="FFFFFF"/>
        </w:rPr>
        <w:t>(1760), 2593-2606.</w:t>
      </w:r>
    </w:p>
    <w:p w14:paraId="01E189E5" w14:textId="42CCD217"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Ramsey, J. B. (2002). Wavelets in economics and finance: Past and future.</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Studies in Nonlinear Dynamics &amp; Econometrics</w:t>
      </w:r>
      <w:r w:rsidRPr="00CD364B">
        <w:rPr>
          <w:rFonts w:cstheme="minorHAnsi"/>
          <w:sz w:val="24"/>
          <w:szCs w:val="24"/>
          <w:shd w:val="clear" w:color="auto" w:fill="FFFFFF"/>
        </w:rPr>
        <w:t>,</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6</w:t>
      </w:r>
      <w:r w:rsidRPr="00CD364B">
        <w:rPr>
          <w:rFonts w:cstheme="minorHAnsi"/>
          <w:sz w:val="24"/>
          <w:szCs w:val="24"/>
          <w:shd w:val="clear" w:color="auto" w:fill="FFFFFF"/>
        </w:rPr>
        <w:t>(3), 1-23.</w:t>
      </w:r>
    </w:p>
    <w:p w14:paraId="4473CD90"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Reboredo, J.C., 2018. Green bond and financial markets: Co-movement, diversification and price spillover effects. </w:t>
      </w:r>
      <w:r w:rsidRPr="00CD364B">
        <w:rPr>
          <w:rFonts w:cstheme="minorHAnsi"/>
          <w:i/>
          <w:iCs/>
          <w:sz w:val="24"/>
          <w:szCs w:val="24"/>
          <w:lang w:val="en-US"/>
        </w:rPr>
        <w:t>Energy Economics, 74</w:t>
      </w:r>
      <w:r w:rsidRPr="00CD364B">
        <w:rPr>
          <w:rFonts w:cstheme="minorHAnsi"/>
          <w:sz w:val="24"/>
          <w:szCs w:val="24"/>
          <w:lang w:val="en-US"/>
        </w:rPr>
        <w:t>, 38-50.</w:t>
      </w:r>
    </w:p>
    <w:p w14:paraId="29A1F012" w14:textId="3544F544"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Saikkonen, P. (1991). Asymptotically efficient estimation of cointegration regressions.</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Econometric theory</w:t>
      </w:r>
      <w:r w:rsidRPr="00CD364B">
        <w:rPr>
          <w:rFonts w:cstheme="minorHAnsi"/>
          <w:sz w:val="24"/>
          <w:szCs w:val="24"/>
          <w:shd w:val="clear" w:color="auto" w:fill="FFFFFF"/>
        </w:rPr>
        <w:t>, 1-21.</w:t>
      </w:r>
    </w:p>
    <w:p w14:paraId="047DBA93" w14:textId="77777777" w:rsidR="00B42230" w:rsidRPr="00CD364B" w:rsidRDefault="00B42230" w:rsidP="00B42230">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Shahbaz, M., Nasir, M.A., Roubaud, D., 2018. Environmental degradation in France: the effects of FDI, financial development, and energy innovations. Energy Economics, 74, 843-857.</w:t>
      </w:r>
    </w:p>
    <w:p w14:paraId="666B4CF3" w14:textId="77777777" w:rsidR="00B42230" w:rsidRPr="00CD364B" w:rsidRDefault="00B42230" w:rsidP="00B42230">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Shahbaz, M., Nasir, M.A., Hille, E., Mahalik, M.K., 2020a. UK's net-zero carbon emissions target: Investigating the potential role of economic growth, financial development, and R&amp;D expenditures based on historical data (1870–2017). Technological Forecasting and Social Change, 161, 120255.</w:t>
      </w:r>
    </w:p>
    <w:p w14:paraId="151D70C3" w14:textId="77777777" w:rsidR="00B42230" w:rsidRPr="00CD364B" w:rsidRDefault="00B42230" w:rsidP="00B42230">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 xml:space="preserve">Shahbaz, M., Kablan, S., Hammoudeh, S., Nasir, M.A., Kontoleon, A., 2020b. Environmental implications of increased US oil production and liberal growth agenda in post-Paris Agreement era. Journal of Environmental Management, 271, 110785. </w:t>
      </w:r>
    </w:p>
    <w:p w14:paraId="4483BC74" w14:textId="1714D433" w:rsidR="00211D56" w:rsidRPr="00CD364B" w:rsidRDefault="00211D56" w:rsidP="00B42230">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Sharif, A., Afshan, S., &amp; Qureshi, M. A. (2019). Idolization and ramification between globalization and ecological footprints: evidence from quantile-on-quantile approach.</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Environmental Science and Pollution Research</w:t>
      </w:r>
      <w:r w:rsidRPr="00CD364B">
        <w:rPr>
          <w:rFonts w:cstheme="minorHAnsi"/>
          <w:sz w:val="24"/>
          <w:szCs w:val="24"/>
          <w:shd w:val="clear" w:color="auto" w:fill="FFFFFF"/>
        </w:rPr>
        <w:t>,</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26</w:t>
      </w:r>
      <w:r w:rsidRPr="00CD364B">
        <w:rPr>
          <w:rFonts w:cstheme="minorHAnsi"/>
          <w:sz w:val="24"/>
          <w:szCs w:val="24"/>
          <w:shd w:val="clear" w:color="auto" w:fill="FFFFFF"/>
        </w:rPr>
        <w:t>(11), 11191-11211.</w:t>
      </w:r>
    </w:p>
    <w:p w14:paraId="0CE186C9"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Sim, N., Zhou, H., 2015. Oil prices, US stock return, and the dependence between their quantiles. </w:t>
      </w:r>
      <w:r w:rsidRPr="00CD364B">
        <w:rPr>
          <w:rFonts w:cstheme="minorHAnsi"/>
          <w:i/>
          <w:iCs/>
          <w:sz w:val="24"/>
          <w:szCs w:val="24"/>
          <w:lang w:val="en-US"/>
        </w:rPr>
        <w:t>Journal of Banking &amp; Finance, 55</w:t>
      </w:r>
      <w:r w:rsidRPr="00CD364B">
        <w:rPr>
          <w:rFonts w:cstheme="minorHAnsi"/>
          <w:sz w:val="24"/>
          <w:szCs w:val="24"/>
          <w:lang w:val="en-US"/>
        </w:rPr>
        <w:t>, 1-8.</w:t>
      </w:r>
    </w:p>
    <w:p w14:paraId="42FC7BED" w14:textId="3E711D6B"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shd w:val="clear" w:color="auto" w:fill="FFFFFF"/>
        </w:rPr>
        <w:lastRenderedPageBreak/>
        <w:t>Sinha, A., Gupta, M., Shahbaz, M., &amp; Sengupta, T. (2019). Impact of corruption in public sector on environmental quality: Implications for sustainability in BRICS and next 11 countries.</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Journal of Cleaner Production</w:t>
      </w:r>
      <w:r w:rsidRPr="00CD364B">
        <w:rPr>
          <w:rFonts w:cstheme="minorHAnsi"/>
          <w:sz w:val="24"/>
          <w:szCs w:val="24"/>
          <w:shd w:val="clear" w:color="auto" w:fill="FFFFFF"/>
        </w:rPr>
        <w:t>,</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232</w:t>
      </w:r>
      <w:r w:rsidRPr="00CD364B">
        <w:rPr>
          <w:rFonts w:cstheme="minorHAnsi"/>
          <w:sz w:val="24"/>
          <w:szCs w:val="24"/>
          <w:shd w:val="clear" w:color="auto" w:fill="FFFFFF"/>
        </w:rPr>
        <w:t>, 1379-1393.</w:t>
      </w:r>
    </w:p>
    <w:p w14:paraId="6B2B01B2"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Sinha, A., Gupta, M., Shahbaz, M., Sengupta, T., 2019. Impact of corruption in public sector on environmental quality: Implications for sustainability in BRICS and next 11 countries. </w:t>
      </w:r>
      <w:r w:rsidRPr="00CD364B">
        <w:rPr>
          <w:rFonts w:cstheme="minorHAnsi"/>
          <w:i/>
          <w:iCs/>
          <w:sz w:val="24"/>
          <w:szCs w:val="24"/>
          <w:lang w:val="en-US"/>
        </w:rPr>
        <w:t>Journal of Cleaner Production, 232</w:t>
      </w:r>
      <w:r w:rsidRPr="00CD364B">
        <w:rPr>
          <w:rFonts w:cstheme="minorHAnsi"/>
          <w:sz w:val="24"/>
          <w:szCs w:val="24"/>
          <w:lang w:val="en-US"/>
        </w:rPr>
        <w:t>, 1379-1393.</w:t>
      </w:r>
    </w:p>
    <w:p w14:paraId="6BECF842" w14:textId="3B1C82E9"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Sinha, A., Sengupta, T., &amp; Saha, T. (2020). Technology policy and environmental quality at crossroads: Designing SDG policies for select Asia Pacific countries.</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Technological Forecasting and Social Change</w:t>
      </w:r>
      <w:r w:rsidRPr="00CD364B">
        <w:rPr>
          <w:rFonts w:cstheme="minorHAnsi"/>
          <w:sz w:val="24"/>
          <w:szCs w:val="24"/>
          <w:shd w:val="clear" w:color="auto" w:fill="FFFFFF"/>
        </w:rPr>
        <w:t>,</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161</w:t>
      </w:r>
      <w:r w:rsidRPr="00CD364B">
        <w:rPr>
          <w:rFonts w:cstheme="minorHAnsi"/>
          <w:sz w:val="24"/>
          <w:szCs w:val="24"/>
          <w:shd w:val="clear" w:color="auto" w:fill="FFFFFF"/>
        </w:rPr>
        <w:t>, 120317.</w:t>
      </w:r>
    </w:p>
    <w:p w14:paraId="7CFCD9B5"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Sinha, A., Sengupta, T., Kalugina, O., Gulzar, M.A., 2020a. Does distribution of energy innovation impact distribution of income: A quantile-based SDG modeling approach. </w:t>
      </w:r>
      <w:r w:rsidRPr="00CD364B">
        <w:rPr>
          <w:rFonts w:cstheme="minorHAnsi"/>
          <w:i/>
          <w:iCs/>
          <w:sz w:val="24"/>
          <w:szCs w:val="24"/>
          <w:lang w:val="en-US"/>
        </w:rPr>
        <w:t>Technological Forecasting and Social Change, 160</w:t>
      </w:r>
      <w:r w:rsidRPr="00CD364B">
        <w:rPr>
          <w:rFonts w:cstheme="minorHAnsi"/>
          <w:sz w:val="24"/>
          <w:szCs w:val="24"/>
          <w:lang w:val="en-US"/>
        </w:rPr>
        <w:t>, 120224.</w:t>
      </w:r>
    </w:p>
    <w:p w14:paraId="0B38FDF3"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Sinha, A., Shah, M.I., Sengupta, T., Jiao, Z., 2020b. Analyzing technology-emissions association in Top-10 polluted MENA countries: How to ascertain sustainable development by quantile modeling approach. </w:t>
      </w:r>
      <w:r w:rsidRPr="00CD364B">
        <w:rPr>
          <w:rFonts w:cstheme="minorHAnsi"/>
          <w:i/>
          <w:iCs/>
          <w:sz w:val="24"/>
          <w:szCs w:val="24"/>
          <w:lang w:val="en-US"/>
        </w:rPr>
        <w:t>Journal of Environmental Management, 267</w:t>
      </w:r>
      <w:r w:rsidRPr="00CD364B">
        <w:rPr>
          <w:rFonts w:cstheme="minorHAnsi"/>
          <w:sz w:val="24"/>
          <w:szCs w:val="24"/>
          <w:lang w:val="en-US"/>
        </w:rPr>
        <w:t>, 110602.</w:t>
      </w:r>
    </w:p>
    <w:p w14:paraId="24731D3C" w14:textId="481D84B0"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Troster, V., Shahbaz, M., &amp; Uddin, G. S. (2018). Renewable energy, oil prices, and economic activity: A Granger-causality in quantiles analysis. </w:t>
      </w:r>
      <w:r w:rsidRPr="00CD364B">
        <w:rPr>
          <w:rFonts w:cstheme="minorHAnsi"/>
          <w:i/>
          <w:iCs/>
          <w:sz w:val="24"/>
          <w:szCs w:val="24"/>
          <w:shd w:val="clear" w:color="auto" w:fill="FFFFFF"/>
        </w:rPr>
        <w:t>Energy Economics</w:t>
      </w:r>
      <w:r w:rsidRPr="00CD364B">
        <w:rPr>
          <w:rFonts w:cstheme="minorHAnsi"/>
          <w:sz w:val="24"/>
          <w:szCs w:val="24"/>
          <w:shd w:val="clear" w:color="auto" w:fill="FFFFFF"/>
        </w:rPr>
        <w:t>, </w:t>
      </w:r>
      <w:r w:rsidRPr="00CD364B">
        <w:rPr>
          <w:rFonts w:cstheme="minorHAnsi"/>
          <w:i/>
          <w:iCs/>
          <w:sz w:val="24"/>
          <w:szCs w:val="24"/>
          <w:shd w:val="clear" w:color="auto" w:fill="FFFFFF"/>
        </w:rPr>
        <w:t>70</w:t>
      </w:r>
      <w:r w:rsidRPr="00CD364B">
        <w:rPr>
          <w:rFonts w:cstheme="minorHAnsi"/>
          <w:sz w:val="24"/>
          <w:szCs w:val="24"/>
          <w:shd w:val="clear" w:color="auto" w:fill="FFFFFF"/>
        </w:rPr>
        <w:t>, 440-452.</w:t>
      </w:r>
    </w:p>
    <w:p w14:paraId="5B697993" w14:textId="1C3DD66D" w:rsidR="00A12C65" w:rsidRPr="00CD364B" w:rsidRDefault="00A12C65" w:rsidP="00D207C9">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Ullah, S., Akhtar, P., Zaefarian, G., 2018. Dealing with endogeneity bias: The generalized method of moments (GMM) for panel data. Industrial Marketing Management, 71, 69-78.</w:t>
      </w:r>
    </w:p>
    <w:p w14:paraId="2F782516" w14:textId="6D8D28F7" w:rsidR="00D207C9" w:rsidRPr="00CD364B" w:rsidRDefault="00D207C9" w:rsidP="00D207C9">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Ullah, S., Zaefarian, G., Ullah, F., 2020. How to use instrumental variables in addressing endogeneity? A step-by-step procedure for non-specialists. Industrial Marketing Management.</w:t>
      </w:r>
    </w:p>
    <w:p w14:paraId="6F3544FC"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United Nations Global Compact, 2019. Scaling Finance for the Sustainable Development Goals.</w:t>
      </w:r>
    </w:p>
    <w:p w14:paraId="69A46E9B"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United Nations, 2015. Addid Ababa Action Agenda of the Third International Conference on Financial for Development.</w:t>
      </w:r>
    </w:p>
    <w:p w14:paraId="64342246"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United Nations, 2019. The Sustainable Development Goals Report 2019.</w:t>
      </w:r>
    </w:p>
    <w:p w14:paraId="3F13BBD5"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Urban, F., Siciliano, G., Wallbott, L., Lederer, M., Dang Nguyen, A., 2018. Green transformations in Vietnam's energy sector. Asia &amp; the Pacific Policy Studies, 5(3), 558-582.</w:t>
      </w:r>
    </w:p>
    <w:p w14:paraId="7319C380"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lastRenderedPageBreak/>
        <w:t xml:space="preserve">Wang, Y., Zhi, Q., 2016. The role of green finance in environmental protection: Two aspects of market mechanism and policies. </w:t>
      </w:r>
      <w:r w:rsidRPr="00CD364B">
        <w:rPr>
          <w:rFonts w:cstheme="minorHAnsi"/>
          <w:i/>
          <w:iCs/>
          <w:sz w:val="24"/>
          <w:szCs w:val="24"/>
          <w:lang w:val="en-US"/>
        </w:rPr>
        <w:t>Energy Procedia, 104</w:t>
      </w:r>
      <w:r w:rsidRPr="00CD364B">
        <w:rPr>
          <w:rFonts w:cstheme="minorHAnsi"/>
          <w:sz w:val="24"/>
          <w:szCs w:val="24"/>
          <w:lang w:val="en-US"/>
        </w:rPr>
        <w:t>, 311-316.</w:t>
      </w:r>
    </w:p>
    <w:p w14:paraId="3E6DFFA2"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World Bank, 2009. Green Bond. Available at: </w:t>
      </w:r>
      <w:hyperlink r:id="rId8" w:history="1">
        <w:r w:rsidRPr="00CD364B">
          <w:rPr>
            <w:rStyle w:val="Hyperlink"/>
            <w:rFonts w:cstheme="minorHAnsi"/>
            <w:color w:val="auto"/>
            <w:sz w:val="24"/>
            <w:szCs w:val="24"/>
            <w:lang w:val="en-US"/>
          </w:rPr>
          <w:t>http://pubdocs.worldbank.org/en/570371507751951589/investor-update-green-bond-2009.pdf</w:t>
        </w:r>
      </w:hyperlink>
      <w:r w:rsidRPr="00CD364B">
        <w:rPr>
          <w:rFonts w:cstheme="minorHAnsi"/>
          <w:sz w:val="24"/>
          <w:szCs w:val="24"/>
          <w:lang w:val="en-US"/>
        </w:rPr>
        <w:t xml:space="preserve"> </w:t>
      </w:r>
    </w:p>
    <w:p w14:paraId="1CF4C6B1" w14:textId="535634F0" w:rsidR="00211D56" w:rsidRPr="00CD364B" w:rsidRDefault="00211D56" w:rsidP="00004F21">
      <w:pPr>
        <w:spacing w:after="0" w:line="360" w:lineRule="auto"/>
        <w:ind w:left="720" w:hanging="720"/>
        <w:jc w:val="both"/>
        <w:rPr>
          <w:rFonts w:cstheme="minorHAnsi"/>
          <w:sz w:val="24"/>
          <w:szCs w:val="24"/>
          <w:shd w:val="clear" w:color="auto" w:fill="FFFFFF"/>
        </w:rPr>
      </w:pPr>
      <w:r w:rsidRPr="00CD364B">
        <w:rPr>
          <w:rFonts w:cstheme="minorHAnsi"/>
          <w:sz w:val="24"/>
          <w:szCs w:val="24"/>
          <w:shd w:val="clear" w:color="auto" w:fill="FFFFFF"/>
        </w:rPr>
        <w:t>Xiao, Z. (2009). Quantile cointegrating regression.</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 xml:space="preserve">Journal of </w:t>
      </w:r>
      <w:r w:rsidR="00860F10" w:rsidRPr="00CD364B">
        <w:rPr>
          <w:rFonts w:cstheme="minorHAnsi"/>
          <w:i/>
          <w:iCs/>
          <w:sz w:val="24"/>
          <w:szCs w:val="24"/>
          <w:shd w:val="clear" w:color="auto" w:fill="FFFFFF"/>
        </w:rPr>
        <w:t>E</w:t>
      </w:r>
      <w:r w:rsidRPr="00CD364B">
        <w:rPr>
          <w:rFonts w:cstheme="minorHAnsi"/>
          <w:i/>
          <w:iCs/>
          <w:sz w:val="24"/>
          <w:szCs w:val="24"/>
          <w:shd w:val="clear" w:color="auto" w:fill="FFFFFF"/>
        </w:rPr>
        <w:t>conometrics</w:t>
      </w:r>
      <w:r w:rsidRPr="00CD364B">
        <w:rPr>
          <w:rFonts w:cstheme="minorHAnsi"/>
          <w:sz w:val="24"/>
          <w:szCs w:val="24"/>
          <w:shd w:val="clear" w:color="auto" w:fill="FFFFFF"/>
        </w:rPr>
        <w:t>,</w:t>
      </w:r>
      <w:r w:rsidR="00860F10" w:rsidRPr="00CD364B">
        <w:rPr>
          <w:rFonts w:cstheme="minorHAnsi"/>
          <w:sz w:val="24"/>
          <w:szCs w:val="24"/>
          <w:shd w:val="clear" w:color="auto" w:fill="FFFFFF"/>
        </w:rPr>
        <w:t xml:space="preserve"> </w:t>
      </w:r>
      <w:r w:rsidRPr="00CD364B">
        <w:rPr>
          <w:rFonts w:cstheme="minorHAnsi"/>
          <w:i/>
          <w:iCs/>
          <w:sz w:val="24"/>
          <w:szCs w:val="24"/>
          <w:shd w:val="clear" w:color="auto" w:fill="FFFFFF"/>
        </w:rPr>
        <w:t>150</w:t>
      </w:r>
      <w:r w:rsidRPr="00CD364B">
        <w:rPr>
          <w:rFonts w:cstheme="minorHAnsi"/>
          <w:sz w:val="24"/>
          <w:szCs w:val="24"/>
          <w:shd w:val="clear" w:color="auto" w:fill="FFFFFF"/>
        </w:rPr>
        <w:t>(2), 248-260.</w:t>
      </w:r>
    </w:p>
    <w:p w14:paraId="757729CC"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Zerbib, O.D., 2019. The effect of pro-environmental preferences on bond prices: Evidence from green bonds. </w:t>
      </w:r>
      <w:r w:rsidRPr="00CD364B">
        <w:rPr>
          <w:rFonts w:cstheme="minorHAnsi"/>
          <w:i/>
          <w:iCs/>
          <w:sz w:val="24"/>
          <w:szCs w:val="24"/>
          <w:lang w:val="en-US"/>
        </w:rPr>
        <w:t>Journal of Banking &amp; Finance, 98</w:t>
      </w:r>
      <w:r w:rsidRPr="00CD364B">
        <w:rPr>
          <w:rFonts w:cstheme="minorHAnsi"/>
          <w:sz w:val="24"/>
          <w:szCs w:val="24"/>
          <w:lang w:val="en-US"/>
        </w:rPr>
        <w:t>, 39-60.</w:t>
      </w:r>
    </w:p>
    <w:p w14:paraId="778B6B78" w14:textId="77777777" w:rsidR="00211D56" w:rsidRPr="00CD364B" w:rsidRDefault="00211D56" w:rsidP="00004F21">
      <w:pPr>
        <w:spacing w:after="0" w:line="360" w:lineRule="auto"/>
        <w:ind w:left="567" w:hanging="567"/>
        <w:jc w:val="both"/>
        <w:rPr>
          <w:rFonts w:cstheme="minorHAnsi"/>
          <w:sz w:val="24"/>
          <w:szCs w:val="24"/>
          <w:lang w:val="en-US"/>
        </w:rPr>
      </w:pPr>
      <w:r w:rsidRPr="00CD364B">
        <w:rPr>
          <w:rFonts w:cstheme="minorHAnsi"/>
          <w:sz w:val="24"/>
          <w:szCs w:val="24"/>
          <w:lang w:val="en-US"/>
        </w:rPr>
        <w:t xml:space="preserve">Zhou, X., Cui, Y., 2019. Green bonds, corporate performance, and corporate social responsibility. </w:t>
      </w:r>
      <w:r w:rsidRPr="00CD364B">
        <w:rPr>
          <w:rFonts w:cstheme="minorHAnsi"/>
          <w:i/>
          <w:iCs/>
          <w:sz w:val="24"/>
          <w:szCs w:val="24"/>
          <w:lang w:val="en-US"/>
        </w:rPr>
        <w:t>Sustainability, 11</w:t>
      </w:r>
      <w:r w:rsidRPr="00CD364B">
        <w:rPr>
          <w:rFonts w:cstheme="minorHAnsi"/>
          <w:sz w:val="24"/>
          <w:szCs w:val="24"/>
          <w:lang w:val="en-US"/>
        </w:rPr>
        <w:t>(23), 6881.</w:t>
      </w:r>
    </w:p>
    <w:p w14:paraId="37DEC772" w14:textId="77777777" w:rsidR="00117A51" w:rsidRPr="00CD364B" w:rsidRDefault="00117A51" w:rsidP="00004F21">
      <w:pPr>
        <w:spacing w:after="0" w:line="360" w:lineRule="auto"/>
        <w:ind w:left="567" w:hanging="567"/>
        <w:jc w:val="both"/>
        <w:rPr>
          <w:rFonts w:cstheme="minorHAnsi"/>
          <w:sz w:val="24"/>
          <w:szCs w:val="24"/>
          <w:lang w:val="en-US"/>
        </w:rPr>
      </w:pPr>
    </w:p>
    <w:p w14:paraId="78964317" w14:textId="77777777" w:rsidR="00117A51" w:rsidRPr="00CD364B" w:rsidRDefault="00117A51" w:rsidP="00004F21">
      <w:pPr>
        <w:spacing w:after="0" w:line="360" w:lineRule="auto"/>
        <w:ind w:left="567" w:hanging="567"/>
        <w:jc w:val="both"/>
        <w:rPr>
          <w:rFonts w:cstheme="minorHAnsi"/>
          <w:sz w:val="24"/>
          <w:szCs w:val="24"/>
          <w:lang w:val="en-US"/>
        </w:rPr>
      </w:pPr>
    </w:p>
    <w:p w14:paraId="3798D207" w14:textId="77777777" w:rsidR="00117A51" w:rsidRPr="00CD364B" w:rsidRDefault="00117A51" w:rsidP="00004F21">
      <w:pPr>
        <w:spacing w:after="0" w:line="360" w:lineRule="auto"/>
        <w:ind w:left="567" w:hanging="567"/>
        <w:jc w:val="both"/>
        <w:rPr>
          <w:rFonts w:cstheme="minorHAnsi"/>
          <w:sz w:val="24"/>
          <w:szCs w:val="24"/>
          <w:lang w:val="en-US"/>
        </w:rPr>
      </w:pPr>
    </w:p>
    <w:p w14:paraId="7CBE1601" w14:textId="77777777" w:rsidR="00117A51" w:rsidRPr="00CD364B" w:rsidRDefault="00117A51" w:rsidP="00004F21">
      <w:pPr>
        <w:spacing w:after="0" w:line="360" w:lineRule="auto"/>
        <w:ind w:left="567" w:hanging="567"/>
        <w:jc w:val="both"/>
        <w:rPr>
          <w:rFonts w:cstheme="minorHAnsi"/>
          <w:sz w:val="24"/>
          <w:szCs w:val="24"/>
          <w:lang w:val="en-US"/>
        </w:rPr>
      </w:pPr>
    </w:p>
    <w:p w14:paraId="4B8E35E2" w14:textId="77777777" w:rsidR="00117A51" w:rsidRPr="00CD364B" w:rsidRDefault="00117A51" w:rsidP="00004F21">
      <w:pPr>
        <w:spacing w:after="0" w:line="360" w:lineRule="auto"/>
        <w:ind w:left="567" w:hanging="567"/>
        <w:jc w:val="both"/>
        <w:rPr>
          <w:rFonts w:cstheme="minorHAnsi"/>
          <w:sz w:val="24"/>
          <w:szCs w:val="24"/>
          <w:lang w:val="en-US"/>
        </w:rPr>
        <w:sectPr w:rsidR="00117A51" w:rsidRPr="00CD364B">
          <w:footerReference w:type="default" r:id="rId9"/>
          <w:pgSz w:w="11906" w:h="16838"/>
          <w:pgMar w:top="1440" w:right="1440" w:bottom="1440" w:left="1440" w:header="708" w:footer="708" w:gutter="0"/>
          <w:cols w:space="708"/>
          <w:docGrid w:linePitch="360"/>
        </w:sectPr>
      </w:pPr>
    </w:p>
    <w:p w14:paraId="438F5912" w14:textId="47A432E4" w:rsidR="00117A51" w:rsidRPr="00CD364B" w:rsidRDefault="00117A51" w:rsidP="00860F10">
      <w:pPr>
        <w:keepNext/>
        <w:spacing w:line="360" w:lineRule="auto"/>
        <w:ind w:left="-709"/>
        <w:jc w:val="center"/>
        <w:rPr>
          <w:rFonts w:cstheme="minorHAnsi"/>
          <w:b/>
          <w:bCs/>
          <w:sz w:val="24"/>
          <w:szCs w:val="24"/>
          <w:lang w:val="en-US"/>
        </w:rPr>
      </w:pPr>
      <w:r w:rsidRPr="00CD364B">
        <w:rPr>
          <w:rFonts w:cstheme="minorHAnsi"/>
          <w:b/>
          <w:bCs/>
          <w:sz w:val="24"/>
          <w:szCs w:val="24"/>
          <w:lang w:val="en-US"/>
        </w:rPr>
        <w:lastRenderedPageBreak/>
        <w:t>Figures &amp; Tables</w:t>
      </w:r>
    </w:p>
    <w:p w14:paraId="01412A07" w14:textId="499516A3" w:rsidR="00117A51" w:rsidRPr="00CD364B" w:rsidRDefault="008333D0" w:rsidP="008333D0">
      <w:pPr>
        <w:pStyle w:val="Caption"/>
        <w:spacing w:line="360" w:lineRule="auto"/>
        <w:jc w:val="center"/>
        <w:rPr>
          <w:rFonts w:cstheme="minorHAnsi"/>
          <w:b/>
          <w:bCs/>
          <w:i w:val="0"/>
          <w:iCs w:val="0"/>
          <w:color w:val="auto"/>
          <w:sz w:val="24"/>
          <w:szCs w:val="24"/>
          <w:lang w:val="en-US"/>
        </w:rPr>
      </w:pPr>
      <w:r w:rsidRPr="00CD364B">
        <w:rPr>
          <w:rFonts w:cstheme="minorHAnsi"/>
          <w:b/>
          <w:bCs/>
          <w:i w:val="0"/>
          <w:iCs w:val="0"/>
          <w:color w:val="auto"/>
          <w:sz w:val="24"/>
          <w:szCs w:val="24"/>
          <w:lang w:val="en-US"/>
        </w:rPr>
        <w:t xml:space="preserve">Figure </w:t>
      </w:r>
      <w:r w:rsidRPr="00CD364B">
        <w:rPr>
          <w:rFonts w:cstheme="minorHAnsi"/>
          <w:b/>
          <w:bCs/>
          <w:i w:val="0"/>
          <w:iCs w:val="0"/>
          <w:color w:val="auto"/>
          <w:sz w:val="24"/>
          <w:szCs w:val="24"/>
          <w:lang w:val="en-US"/>
        </w:rPr>
        <w:fldChar w:fldCharType="begin"/>
      </w:r>
      <w:r w:rsidRPr="00CD364B">
        <w:rPr>
          <w:rFonts w:cstheme="minorHAnsi"/>
          <w:b/>
          <w:bCs/>
          <w:i w:val="0"/>
          <w:iCs w:val="0"/>
          <w:color w:val="auto"/>
          <w:sz w:val="24"/>
          <w:szCs w:val="24"/>
          <w:lang w:val="en-US"/>
        </w:rPr>
        <w:instrText xml:space="preserve"> SEQ Figure \* ARABIC </w:instrText>
      </w:r>
      <w:r w:rsidRPr="00CD364B">
        <w:rPr>
          <w:rFonts w:cstheme="minorHAnsi"/>
          <w:b/>
          <w:bCs/>
          <w:i w:val="0"/>
          <w:iCs w:val="0"/>
          <w:color w:val="auto"/>
          <w:sz w:val="24"/>
          <w:szCs w:val="24"/>
          <w:lang w:val="en-US"/>
        </w:rPr>
        <w:fldChar w:fldCharType="separate"/>
      </w:r>
      <w:r w:rsidRPr="00CD364B">
        <w:rPr>
          <w:rFonts w:cstheme="minorHAnsi"/>
          <w:b/>
          <w:bCs/>
          <w:i w:val="0"/>
          <w:iCs w:val="0"/>
          <w:noProof/>
          <w:color w:val="auto"/>
          <w:sz w:val="24"/>
          <w:szCs w:val="24"/>
          <w:lang w:val="en-US"/>
        </w:rPr>
        <w:t>1</w:t>
      </w:r>
      <w:r w:rsidRPr="00CD364B">
        <w:rPr>
          <w:rFonts w:cstheme="minorHAnsi"/>
          <w:b/>
          <w:bCs/>
          <w:i w:val="0"/>
          <w:iCs w:val="0"/>
          <w:color w:val="auto"/>
          <w:sz w:val="24"/>
          <w:szCs w:val="24"/>
          <w:lang w:val="en-US"/>
        </w:rPr>
        <w:fldChar w:fldCharType="end"/>
      </w:r>
      <w:r w:rsidRPr="00CD364B">
        <w:rPr>
          <w:rFonts w:cstheme="minorHAnsi"/>
          <w:b/>
          <w:bCs/>
          <w:i w:val="0"/>
          <w:iCs w:val="0"/>
          <w:color w:val="auto"/>
          <w:sz w:val="24"/>
          <w:szCs w:val="24"/>
          <w:lang w:val="en-US"/>
        </w:rPr>
        <w:t>. Trend plot of Environmental &amp; Social Responsibility Index and Green Bond Index</w:t>
      </w:r>
    </w:p>
    <w:p w14:paraId="6D58DA2F" w14:textId="77777777" w:rsidR="00117A51" w:rsidRPr="00CD364B" w:rsidRDefault="00117A51" w:rsidP="00004F21">
      <w:pPr>
        <w:keepNext/>
        <w:spacing w:line="360" w:lineRule="auto"/>
        <w:ind w:left="-709"/>
        <w:jc w:val="center"/>
        <w:rPr>
          <w:rFonts w:cstheme="minorHAnsi"/>
          <w:lang w:val="en-US"/>
        </w:rPr>
      </w:pPr>
      <w:r w:rsidRPr="00CD364B">
        <w:rPr>
          <w:rFonts w:cstheme="minorHAnsi"/>
          <w:lang w:val="en-US"/>
        </w:rPr>
        <w:object w:dxaOrig="10180" w:dyaOrig="7260" w14:anchorId="29B5E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5pt;height:378pt" o:ole="" o:bordertopcolor="this" o:borderleftcolor="this" o:borderbottomcolor="this" o:borderrightcolor="this">
            <v:imagedata r:id="rId10" o:title=""/>
          </v:shape>
          <o:OLEObject Type="Embed" ProgID="EViews.Workfile.2" ShapeID="_x0000_i1025" DrawAspect="Content" ObjectID="_1685965026" r:id="rId11"/>
        </w:object>
      </w:r>
    </w:p>
    <w:p w14:paraId="00F969AF" w14:textId="1A50E618" w:rsidR="00117A51" w:rsidRPr="00CD364B" w:rsidRDefault="008D153D" w:rsidP="008D153D">
      <w:pPr>
        <w:spacing w:after="0" w:line="360" w:lineRule="auto"/>
        <w:jc w:val="center"/>
        <w:rPr>
          <w:rFonts w:cstheme="minorHAnsi"/>
          <w:b/>
          <w:bCs/>
          <w:lang w:val="en-US"/>
        </w:rPr>
      </w:pPr>
      <w:r w:rsidRPr="00CD364B">
        <w:rPr>
          <w:rFonts w:cstheme="minorHAnsi"/>
          <w:b/>
          <w:bCs/>
          <w:lang w:val="en-US"/>
        </w:rPr>
        <w:t>Table 1. Descriptive Statistics</w:t>
      </w:r>
    </w:p>
    <w:p w14:paraId="7B5816C4" w14:textId="77777777" w:rsidR="00117A51" w:rsidRPr="00CD364B" w:rsidRDefault="00117A51" w:rsidP="00004F21">
      <w:pPr>
        <w:spacing w:after="0" w:line="360" w:lineRule="auto"/>
        <w:rPr>
          <w:rFonts w:cstheme="minorHAnsi"/>
          <w:lang w:val="en-US"/>
        </w:rPr>
      </w:pPr>
    </w:p>
    <w:tbl>
      <w:tblPr>
        <w:tblW w:w="5000" w:type="pct"/>
        <w:jc w:val="center"/>
        <w:tblLook w:val="04A0" w:firstRow="1" w:lastRow="0" w:firstColumn="1" w:lastColumn="0" w:noHBand="0" w:noVBand="1"/>
      </w:tblPr>
      <w:tblGrid>
        <w:gridCol w:w="3022"/>
        <w:gridCol w:w="2998"/>
        <w:gridCol w:w="3006"/>
      </w:tblGrid>
      <w:tr w:rsidR="00CD364B" w:rsidRPr="00CD364B" w14:paraId="53A25BA4" w14:textId="77777777" w:rsidTr="00DA6CBD">
        <w:trPr>
          <w:trHeight w:val="91"/>
          <w:jc w:val="center"/>
        </w:trPr>
        <w:tc>
          <w:tcPr>
            <w:tcW w:w="1674" w:type="pct"/>
            <w:tcBorders>
              <w:top w:val="single" w:sz="4" w:space="0" w:color="auto"/>
              <w:bottom w:val="single" w:sz="4" w:space="0" w:color="auto"/>
            </w:tcBorders>
            <w:shd w:val="clear" w:color="auto" w:fill="auto"/>
            <w:noWrap/>
            <w:vAlign w:val="bottom"/>
            <w:hideMark/>
          </w:tcPr>
          <w:p w14:paraId="5B3C06A8"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Variables</w:t>
            </w:r>
          </w:p>
        </w:tc>
        <w:tc>
          <w:tcPr>
            <w:tcW w:w="1661" w:type="pct"/>
            <w:tcBorders>
              <w:top w:val="single" w:sz="4" w:space="0" w:color="auto"/>
              <w:bottom w:val="single" w:sz="4" w:space="0" w:color="auto"/>
            </w:tcBorders>
            <w:shd w:val="clear" w:color="auto" w:fill="auto"/>
            <w:noWrap/>
            <w:vAlign w:val="bottom"/>
            <w:hideMark/>
          </w:tcPr>
          <w:p w14:paraId="28D8437C" w14:textId="77777777" w:rsidR="00117A51" w:rsidRPr="00CD364B" w:rsidRDefault="00117A51" w:rsidP="008333D0">
            <w:pPr>
              <w:spacing w:after="0" w:line="276" w:lineRule="auto"/>
              <w:jc w:val="center"/>
              <w:rPr>
                <w:rFonts w:eastAsia="Times New Roman" w:cstheme="minorHAnsi"/>
                <w:b/>
                <w:bCs/>
                <w:sz w:val="20"/>
                <w:szCs w:val="20"/>
                <w:lang w:val="en-US"/>
              </w:rPr>
            </w:pPr>
            <w:r w:rsidRPr="00CD364B">
              <w:rPr>
                <w:rFonts w:eastAsia="Times New Roman" w:cstheme="minorHAnsi"/>
                <w:b/>
                <w:bCs/>
                <w:sz w:val="20"/>
                <w:szCs w:val="20"/>
                <w:lang w:val="en-US"/>
              </w:rPr>
              <w:t>ESRI</w:t>
            </w:r>
          </w:p>
        </w:tc>
        <w:tc>
          <w:tcPr>
            <w:tcW w:w="1665" w:type="pct"/>
            <w:tcBorders>
              <w:top w:val="single" w:sz="4" w:space="0" w:color="auto"/>
              <w:bottom w:val="single" w:sz="4" w:space="0" w:color="auto"/>
            </w:tcBorders>
            <w:shd w:val="clear" w:color="auto" w:fill="auto"/>
            <w:noWrap/>
            <w:vAlign w:val="bottom"/>
            <w:hideMark/>
          </w:tcPr>
          <w:p w14:paraId="0BA1A778" w14:textId="77777777" w:rsidR="00117A51" w:rsidRPr="00CD364B" w:rsidRDefault="00117A51" w:rsidP="008333D0">
            <w:pPr>
              <w:spacing w:after="0" w:line="276" w:lineRule="auto"/>
              <w:jc w:val="center"/>
              <w:rPr>
                <w:rFonts w:eastAsia="Times New Roman" w:cstheme="minorHAnsi"/>
                <w:b/>
                <w:bCs/>
                <w:sz w:val="20"/>
                <w:szCs w:val="20"/>
                <w:lang w:val="en-US"/>
              </w:rPr>
            </w:pPr>
            <w:r w:rsidRPr="00CD364B">
              <w:rPr>
                <w:rFonts w:eastAsia="Times New Roman" w:cstheme="minorHAnsi"/>
                <w:b/>
                <w:bCs/>
                <w:sz w:val="20"/>
                <w:szCs w:val="20"/>
                <w:lang w:val="en-US"/>
              </w:rPr>
              <w:t>GRBI</w:t>
            </w:r>
          </w:p>
        </w:tc>
      </w:tr>
      <w:tr w:rsidR="00CD364B" w:rsidRPr="00CD364B" w14:paraId="408EC038" w14:textId="77777777" w:rsidTr="00DA6CBD">
        <w:trPr>
          <w:trHeight w:val="91"/>
          <w:jc w:val="center"/>
        </w:trPr>
        <w:tc>
          <w:tcPr>
            <w:tcW w:w="1674" w:type="pct"/>
            <w:tcBorders>
              <w:top w:val="single" w:sz="4" w:space="0" w:color="auto"/>
            </w:tcBorders>
            <w:shd w:val="clear" w:color="auto" w:fill="auto"/>
            <w:noWrap/>
            <w:vAlign w:val="bottom"/>
            <w:hideMark/>
          </w:tcPr>
          <w:p w14:paraId="16A2937F"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 xml:space="preserve"> Mean</w:t>
            </w:r>
          </w:p>
        </w:tc>
        <w:tc>
          <w:tcPr>
            <w:tcW w:w="1661" w:type="pct"/>
            <w:tcBorders>
              <w:top w:val="single" w:sz="4" w:space="0" w:color="auto"/>
            </w:tcBorders>
            <w:shd w:val="clear" w:color="auto" w:fill="auto"/>
            <w:noWrap/>
            <w:vAlign w:val="bottom"/>
            <w:hideMark/>
          </w:tcPr>
          <w:p w14:paraId="76013EB5"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0.000045</w:t>
            </w:r>
          </w:p>
        </w:tc>
        <w:tc>
          <w:tcPr>
            <w:tcW w:w="1665" w:type="pct"/>
            <w:tcBorders>
              <w:top w:val="single" w:sz="4" w:space="0" w:color="auto"/>
            </w:tcBorders>
            <w:shd w:val="clear" w:color="auto" w:fill="auto"/>
            <w:noWrap/>
            <w:vAlign w:val="bottom"/>
            <w:hideMark/>
          </w:tcPr>
          <w:p w14:paraId="28CFA236"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0.000347</w:t>
            </w:r>
          </w:p>
        </w:tc>
      </w:tr>
      <w:tr w:rsidR="00CD364B" w:rsidRPr="00CD364B" w14:paraId="07A64ADF" w14:textId="77777777" w:rsidTr="00DA6CBD">
        <w:trPr>
          <w:trHeight w:val="91"/>
          <w:jc w:val="center"/>
        </w:trPr>
        <w:tc>
          <w:tcPr>
            <w:tcW w:w="1674" w:type="pct"/>
            <w:shd w:val="clear" w:color="auto" w:fill="auto"/>
            <w:noWrap/>
            <w:vAlign w:val="bottom"/>
            <w:hideMark/>
          </w:tcPr>
          <w:p w14:paraId="3F70EC93"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 xml:space="preserve"> Minimum</w:t>
            </w:r>
          </w:p>
        </w:tc>
        <w:tc>
          <w:tcPr>
            <w:tcW w:w="1661" w:type="pct"/>
            <w:shd w:val="clear" w:color="auto" w:fill="auto"/>
            <w:noWrap/>
            <w:vAlign w:val="bottom"/>
            <w:hideMark/>
          </w:tcPr>
          <w:p w14:paraId="6A30A123"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-0.030789</w:t>
            </w:r>
          </w:p>
        </w:tc>
        <w:tc>
          <w:tcPr>
            <w:tcW w:w="1665" w:type="pct"/>
            <w:shd w:val="clear" w:color="auto" w:fill="auto"/>
            <w:noWrap/>
            <w:vAlign w:val="bottom"/>
            <w:hideMark/>
          </w:tcPr>
          <w:p w14:paraId="66A29E78"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-0.125476</w:t>
            </w:r>
          </w:p>
        </w:tc>
      </w:tr>
      <w:tr w:rsidR="00CD364B" w:rsidRPr="00CD364B" w14:paraId="23C1CB56" w14:textId="77777777" w:rsidTr="00DA6CBD">
        <w:trPr>
          <w:trHeight w:val="91"/>
          <w:jc w:val="center"/>
        </w:trPr>
        <w:tc>
          <w:tcPr>
            <w:tcW w:w="1674" w:type="pct"/>
            <w:shd w:val="clear" w:color="auto" w:fill="auto"/>
            <w:noWrap/>
            <w:vAlign w:val="bottom"/>
            <w:hideMark/>
          </w:tcPr>
          <w:p w14:paraId="1193085C"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 xml:space="preserve"> Maximum</w:t>
            </w:r>
          </w:p>
        </w:tc>
        <w:tc>
          <w:tcPr>
            <w:tcW w:w="1661" w:type="pct"/>
            <w:shd w:val="clear" w:color="auto" w:fill="auto"/>
            <w:noWrap/>
            <w:vAlign w:val="bottom"/>
            <w:hideMark/>
          </w:tcPr>
          <w:p w14:paraId="50B45F81"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0.025727</w:t>
            </w:r>
          </w:p>
        </w:tc>
        <w:tc>
          <w:tcPr>
            <w:tcW w:w="1665" w:type="pct"/>
            <w:shd w:val="clear" w:color="auto" w:fill="auto"/>
            <w:noWrap/>
            <w:vAlign w:val="bottom"/>
            <w:hideMark/>
          </w:tcPr>
          <w:p w14:paraId="32C0A68A"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0.092403</w:t>
            </w:r>
          </w:p>
        </w:tc>
      </w:tr>
      <w:tr w:rsidR="00CD364B" w:rsidRPr="00CD364B" w14:paraId="3513B796" w14:textId="77777777" w:rsidTr="00DA6CBD">
        <w:trPr>
          <w:trHeight w:val="91"/>
          <w:jc w:val="center"/>
        </w:trPr>
        <w:tc>
          <w:tcPr>
            <w:tcW w:w="1674" w:type="pct"/>
            <w:shd w:val="clear" w:color="auto" w:fill="auto"/>
            <w:noWrap/>
            <w:vAlign w:val="bottom"/>
            <w:hideMark/>
          </w:tcPr>
          <w:p w14:paraId="5CA2557E"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 xml:space="preserve"> Std. Dev.</w:t>
            </w:r>
          </w:p>
        </w:tc>
        <w:tc>
          <w:tcPr>
            <w:tcW w:w="1661" w:type="pct"/>
            <w:shd w:val="clear" w:color="auto" w:fill="auto"/>
            <w:noWrap/>
            <w:vAlign w:val="bottom"/>
            <w:hideMark/>
          </w:tcPr>
          <w:p w14:paraId="5AB6A5E7"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0.003918</w:t>
            </w:r>
          </w:p>
        </w:tc>
        <w:tc>
          <w:tcPr>
            <w:tcW w:w="1665" w:type="pct"/>
            <w:shd w:val="clear" w:color="auto" w:fill="auto"/>
            <w:noWrap/>
            <w:vAlign w:val="bottom"/>
            <w:hideMark/>
          </w:tcPr>
          <w:p w14:paraId="2C0774AC"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0.010516</w:t>
            </w:r>
          </w:p>
        </w:tc>
      </w:tr>
      <w:tr w:rsidR="00CD364B" w:rsidRPr="00CD364B" w14:paraId="7E85F6E0" w14:textId="77777777" w:rsidTr="00DA6CBD">
        <w:trPr>
          <w:trHeight w:val="91"/>
          <w:jc w:val="center"/>
        </w:trPr>
        <w:tc>
          <w:tcPr>
            <w:tcW w:w="1674" w:type="pct"/>
            <w:shd w:val="clear" w:color="auto" w:fill="auto"/>
            <w:noWrap/>
            <w:vAlign w:val="bottom"/>
            <w:hideMark/>
          </w:tcPr>
          <w:p w14:paraId="5076CBCF"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 xml:space="preserve"> Skewness</w:t>
            </w:r>
          </w:p>
        </w:tc>
        <w:tc>
          <w:tcPr>
            <w:tcW w:w="1661" w:type="pct"/>
            <w:shd w:val="clear" w:color="auto" w:fill="auto"/>
            <w:noWrap/>
            <w:vAlign w:val="bottom"/>
            <w:hideMark/>
          </w:tcPr>
          <w:p w14:paraId="7875A7A0"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-0.350107</w:t>
            </w:r>
          </w:p>
        </w:tc>
        <w:tc>
          <w:tcPr>
            <w:tcW w:w="1665" w:type="pct"/>
            <w:shd w:val="clear" w:color="auto" w:fill="auto"/>
            <w:noWrap/>
            <w:vAlign w:val="bottom"/>
            <w:hideMark/>
          </w:tcPr>
          <w:p w14:paraId="54ACA6C0"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-0.984011</w:t>
            </w:r>
          </w:p>
        </w:tc>
      </w:tr>
      <w:tr w:rsidR="00CD364B" w:rsidRPr="00CD364B" w14:paraId="071B0D63" w14:textId="77777777" w:rsidTr="00DA6CBD">
        <w:trPr>
          <w:trHeight w:val="91"/>
          <w:jc w:val="center"/>
        </w:trPr>
        <w:tc>
          <w:tcPr>
            <w:tcW w:w="1674" w:type="pct"/>
            <w:shd w:val="clear" w:color="auto" w:fill="auto"/>
            <w:noWrap/>
            <w:vAlign w:val="bottom"/>
            <w:hideMark/>
          </w:tcPr>
          <w:p w14:paraId="745CFB7D"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 xml:space="preserve"> Kurtosis</w:t>
            </w:r>
          </w:p>
        </w:tc>
        <w:tc>
          <w:tcPr>
            <w:tcW w:w="1661" w:type="pct"/>
            <w:shd w:val="clear" w:color="auto" w:fill="auto"/>
            <w:noWrap/>
            <w:vAlign w:val="bottom"/>
            <w:hideMark/>
          </w:tcPr>
          <w:p w14:paraId="2E28DE07"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9.789043</w:t>
            </w:r>
          </w:p>
        </w:tc>
        <w:tc>
          <w:tcPr>
            <w:tcW w:w="1665" w:type="pct"/>
            <w:shd w:val="clear" w:color="auto" w:fill="auto"/>
            <w:noWrap/>
            <w:vAlign w:val="bottom"/>
            <w:hideMark/>
          </w:tcPr>
          <w:p w14:paraId="70DA7082"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23.874770</w:t>
            </w:r>
          </w:p>
        </w:tc>
      </w:tr>
      <w:tr w:rsidR="00CD364B" w:rsidRPr="00CD364B" w14:paraId="75634AF0" w14:textId="77777777" w:rsidTr="00DA6CBD">
        <w:trPr>
          <w:trHeight w:val="91"/>
          <w:jc w:val="center"/>
        </w:trPr>
        <w:tc>
          <w:tcPr>
            <w:tcW w:w="1674" w:type="pct"/>
            <w:shd w:val="clear" w:color="auto" w:fill="auto"/>
            <w:noWrap/>
            <w:vAlign w:val="bottom"/>
            <w:hideMark/>
          </w:tcPr>
          <w:p w14:paraId="33DD40A5"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 xml:space="preserve"> Jarque-Bera</w:t>
            </w:r>
          </w:p>
        </w:tc>
        <w:tc>
          <w:tcPr>
            <w:tcW w:w="1661" w:type="pct"/>
            <w:shd w:val="clear" w:color="auto" w:fill="auto"/>
            <w:noWrap/>
            <w:vAlign w:val="bottom"/>
            <w:hideMark/>
          </w:tcPr>
          <w:p w14:paraId="4A05BDD3"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4632.909***</w:t>
            </w:r>
          </w:p>
        </w:tc>
        <w:tc>
          <w:tcPr>
            <w:tcW w:w="1665" w:type="pct"/>
            <w:shd w:val="clear" w:color="auto" w:fill="auto"/>
            <w:noWrap/>
            <w:vAlign w:val="bottom"/>
            <w:hideMark/>
          </w:tcPr>
          <w:p w14:paraId="59503738"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43724.763***</w:t>
            </w:r>
          </w:p>
        </w:tc>
      </w:tr>
      <w:tr w:rsidR="00CD364B" w:rsidRPr="00CD364B" w14:paraId="6E352DF0" w14:textId="77777777" w:rsidTr="00DA6CBD">
        <w:trPr>
          <w:trHeight w:val="91"/>
          <w:jc w:val="center"/>
        </w:trPr>
        <w:tc>
          <w:tcPr>
            <w:tcW w:w="5000" w:type="pct"/>
            <w:gridSpan w:val="3"/>
            <w:shd w:val="clear" w:color="auto" w:fill="auto"/>
            <w:noWrap/>
            <w:vAlign w:val="bottom"/>
            <w:hideMark/>
          </w:tcPr>
          <w:p w14:paraId="7D3ED318"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Correlation Matrix</w:t>
            </w:r>
          </w:p>
        </w:tc>
      </w:tr>
      <w:tr w:rsidR="00CD364B" w:rsidRPr="00CD364B" w14:paraId="54CE43E7" w14:textId="77777777" w:rsidTr="00DA6CBD">
        <w:trPr>
          <w:trHeight w:val="91"/>
          <w:jc w:val="center"/>
        </w:trPr>
        <w:tc>
          <w:tcPr>
            <w:tcW w:w="1674" w:type="pct"/>
            <w:shd w:val="clear" w:color="auto" w:fill="auto"/>
            <w:noWrap/>
            <w:vAlign w:val="bottom"/>
            <w:hideMark/>
          </w:tcPr>
          <w:p w14:paraId="09303186"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ESRI</w:t>
            </w:r>
          </w:p>
        </w:tc>
        <w:tc>
          <w:tcPr>
            <w:tcW w:w="1661" w:type="pct"/>
            <w:shd w:val="clear" w:color="auto" w:fill="auto"/>
            <w:noWrap/>
            <w:vAlign w:val="bottom"/>
            <w:hideMark/>
          </w:tcPr>
          <w:p w14:paraId="18E8935C"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1.000000</w:t>
            </w:r>
          </w:p>
        </w:tc>
        <w:tc>
          <w:tcPr>
            <w:tcW w:w="1665" w:type="pct"/>
            <w:shd w:val="clear" w:color="auto" w:fill="auto"/>
            <w:noWrap/>
            <w:vAlign w:val="bottom"/>
            <w:hideMark/>
          </w:tcPr>
          <w:p w14:paraId="2D69F44F"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w:t>
            </w:r>
          </w:p>
        </w:tc>
      </w:tr>
      <w:tr w:rsidR="00CD364B" w:rsidRPr="00CD364B" w14:paraId="67901571" w14:textId="77777777" w:rsidTr="00DA6CBD">
        <w:trPr>
          <w:trHeight w:val="91"/>
          <w:jc w:val="center"/>
        </w:trPr>
        <w:tc>
          <w:tcPr>
            <w:tcW w:w="1674" w:type="pct"/>
            <w:tcBorders>
              <w:bottom w:val="single" w:sz="4" w:space="0" w:color="auto"/>
            </w:tcBorders>
            <w:shd w:val="clear" w:color="auto" w:fill="auto"/>
            <w:noWrap/>
            <w:vAlign w:val="bottom"/>
            <w:hideMark/>
          </w:tcPr>
          <w:p w14:paraId="080FE085" w14:textId="77777777" w:rsidR="00117A51" w:rsidRPr="00CD364B" w:rsidRDefault="00117A51" w:rsidP="008333D0">
            <w:pPr>
              <w:spacing w:after="0" w:line="276" w:lineRule="auto"/>
              <w:rPr>
                <w:rFonts w:eastAsia="Times New Roman" w:cstheme="minorHAnsi"/>
                <w:b/>
                <w:bCs/>
                <w:sz w:val="20"/>
                <w:szCs w:val="20"/>
                <w:lang w:val="en-US"/>
              </w:rPr>
            </w:pPr>
            <w:r w:rsidRPr="00CD364B">
              <w:rPr>
                <w:rFonts w:eastAsia="Times New Roman" w:cstheme="minorHAnsi"/>
                <w:b/>
                <w:bCs/>
                <w:sz w:val="20"/>
                <w:szCs w:val="20"/>
                <w:lang w:val="en-US"/>
              </w:rPr>
              <w:t>GRBI</w:t>
            </w:r>
          </w:p>
        </w:tc>
        <w:tc>
          <w:tcPr>
            <w:tcW w:w="1661" w:type="pct"/>
            <w:tcBorders>
              <w:bottom w:val="single" w:sz="4" w:space="0" w:color="auto"/>
            </w:tcBorders>
            <w:shd w:val="clear" w:color="auto" w:fill="auto"/>
            <w:noWrap/>
            <w:vAlign w:val="bottom"/>
            <w:hideMark/>
          </w:tcPr>
          <w:p w14:paraId="6424FB7F"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0.8478***</w:t>
            </w:r>
          </w:p>
        </w:tc>
        <w:tc>
          <w:tcPr>
            <w:tcW w:w="1665" w:type="pct"/>
            <w:tcBorders>
              <w:bottom w:val="single" w:sz="4" w:space="0" w:color="auto"/>
            </w:tcBorders>
            <w:shd w:val="clear" w:color="auto" w:fill="auto"/>
            <w:noWrap/>
            <w:vAlign w:val="bottom"/>
            <w:hideMark/>
          </w:tcPr>
          <w:p w14:paraId="79D12547" w14:textId="77777777" w:rsidR="00117A51" w:rsidRPr="00CD364B" w:rsidRDefault="00117A51" w:rsidP="008333D0">
            <w:pPr>
              <w:spacing w:after="0" w:line="276" w:lineRule="auto"/>
              <w:jc w:val="right"/>
              <w:rPr>
                <w:rFonts w:eastAsia="Times New Roman" w:cstheme="minorHAnsi"/>
                <w:sz w:val="20"/>
                <w:szCs w:val="20"/>
                <w:lang w:val="en-US"/>
              </w:rPr>
            </w:pPr>
            <w:r w:rsidRPr="00CD364B">
              <w:rPr>
                <w:rFonts w:eastAsia="Times New Roman" w:cstheme="minorHAnsi"/>
                <w:sz w:val="20"/>
                <w:szCs w:val="20"/>
                <w:lang w:val="en-US"/>
              </w:rPr>
              <w:t>1.000000</w:t>
            </w:r>
          </w:p>
        </w:tc>
      </w:tr>
      <w:tr w:rsidR="00117A51" w:rsidRPr="00CD364B" w14:paraId="405FA74E" w14:textId="77777777" w:rsidTr="00DA6CBD">
        <w:trPr>
          <w:trHeight w:val="91"/>
          <w:jc w:val="center"/>
        </w:trPr>
        <w:tc>
          <w:tcPr>
            <w:tcW w:w="5000" w:type="pct"/>
            <w:gridSpan w:val="3"/>
            <w:tcBorders>
              <w:top w:val="single" w:sz="4" w:space="0" w:color="auto"/>
            </w:tcBorders>
            <w:shd w:val="clear" w:color="auto" w:fill="auto"/>
            <w:vAlign w:val="bottom"/>
            <w:hideMark/>
          </w:tcPr>
          <w:p w14:paraId="1D938B9C" w14:textId="5CB2686F" w:rsidR="00117A51" w:rsidRPr="00CD364B" w:rsidRDefault="00117A51" w:rsidP="008333D0">
            <w:pPr>
              <w:spacing w:after="0" w:line="276" w:lineRule="auto"/>
              <w:rPr>
                <w:rFonts w:eastAsia="Times New Roman" w:cstheme="minorHAnsi"/>
                <w:sz w:val="20"/>
                <w:szCs w:val="20"/>
                <w:lang w:val="en-US"/>
              </w:rPr>
            </w:pPr>
            <w:r w:rsidRPr="00CD364B">
              <w:rPr>
                <w:rFonts w:eastAsia="Times New Roman" w:cstheme="minorHAnsi"/>
                <w:sz w:val="20"/>
                <w:szCs w:val="20"/>
                <w:lang w:val="en-US"/>
              </w:rPr>
              <w:t>Note: *** represents that variables are significant at 1% level of significance. ESRI represents Environmental &amp; Social Responsibility Index and GRBI denotes Green Bond Index. Source: Authors Estimation</w:t>
            </w:r>
          </w:p>
        </w:tc>
      </w:tr>
    </w:tbl>
    <w:p w14:paraId="1C5026B0" w14:textId="77777777" w:rsidR="008333D0" w:rsidRPr="00CD364B" w:rsidRDefault="008333D0" w:rsidP="00DA6CBD">
      <w:pPr>
        <w:spacing w:line="360" w:lineRule="auto"/>
        <w:jc w:val="center"/>
        <w:rPr>
          <w:rFonts w:eastAsia="Times New Roman" w:cstheme="minorHAnsi"/>
          <w:b/>
          <w:bCs/>
          <w:sz w:val="24"/>
          <w:szCs w:val="24"/>
          <w:lang w:val="en-US"/>
        </w:rPr>
      </w:pPr>
    </w:p>
    <w:p w14:paraId="30A227B0" w14:textId="629F8221" w:rsidR="00117A51" w:rsidRPr="00CD364B" w:rsidRDefault="00DA6CBD" w:rsidP="00DA6CBD">
      <w:pPr>
        <w:spacing w:line="360" w:lineRule="auto"/>
        <w:jc w:val="center"/>
        <w:rPr>
          <w:rFonts w:cstheme="minorHAnsi"/>
          <w:sz w:val="28"/>
          <w:szCs w:val="28"/>
          <w:lang w:val="en-US"/>
        </w:rPr>
      </w:pPr>
      <w:r w:rsidRPr="00CD364B">
        <w:rPr>
          <w:rFonts w:eastAsia="Times New Roman" w:cstheme="minorHAnsi"/>
          <w:b/>
          <w:bCs/>
          <w:sz w:val="24"/>
          <w:szCs w:val="24"/>
          <w:lang w:val="en-US"/>
        </w:rPr>
        <w:lastRenderedPageBreak/>
        <w:t>Table 2: Quantile Unit Root test</w:t>
      </w:r>
    </w:p>
    <w:tbl>
      <w:tblPr>
        <w:tblW w:w="5000" w:type="pct"/>
        <w:jc w:val="center"/>
        <w:tblLook w:val="04A0" w:firstRow="1" w:lastRow="0" w:firstColumn="1" w:lastColumn="0" w:noHBand="0" w:noVBand="1"/>
      </w:tblPr>
      <w:tblGrid>
        <w:gridCol w:w="1642"/>
        <w:gridCol w:w="1125"/>
        <w:gridCol w:w="1282"/>
        <w:gridCol w:w="1283"/>
        <w:gridCol w:w="1125"/>
        <w:gridCol w:w="1282"/>
        <w:gridCol w:w="1287"/>
      </w:tblGrid>
      <w:tr w:rsidR="00CD364B" w:rsidRPr="00CD364B" w14:paraId="28A8ADD7" w14:textId="77777777" w:rsidTr="00DA6CBD">
        <w:trPr>
          <w:trHeight w:val="246"/>
          <w:jc w:val="center"/>
        </w:trPr>
        <w:tc>
          <w:tcPr>
            <w:tcW w:w="910" w:type="pct"/>
            <w:vMerge w:val="restart"/>
            <w:tcBorders>
              <w:top w:val="single" w:sz="4" w:space="0" w:color="auto"/>
            </w:tcBorders>
            <w:shd w:val="clear" w:color="auto" w:fill="auto"/>
            <w:noWrap/>
            <w:vAlign w:val="center"/>
            <w:hideMark/>
          </w:tcPr>
          <w:p w14:paraId="215208FC" w14:textId="77777777" w:rsidR="00117A51" w:rsidRPr="00CD364B" w:rsidRDefault="00117A51" w:rsidP="00004F21">
            <w:pPr>
              <w:spacing w:after="0" w:line="360" w:lineRule="auto"/>
              <w:jc w:val="center"/>
              <w:rPr>
                <w:rFonts w:eastAsia="Times New Roman" w:cstheme="minorHAnsi"/>
                <w:b/>
                <w:bCs/>
                <w:sz w:val="18"/>
                <w:szCs w:val="18"/>
                <w:lang w:val="en-US"/>
              </w:rPr>
            </w:pPr>
            <w:r w:rsidRPr="00CD364B">
              <w:rPr>
                <w:rFonts w:eastAsia="Times New Roman" w:cstheme="minorHAnsi"/>
                <w:b/>
                <w:bCs/>
                <w:sz w:val="18"/>
                <w:szCs w:val="18"/>
                <w:lang w:val="en-US"/>
              </w:rPr>
              <w:t>Quantile</w:t>
            </w:r>
          </w:p>
        </w:tc>
        <w:tc>
          <w:tcPr>
            <w:tcW w:w="2044" w:type="pct"/>
            <w:gridSpan w:val="3"/>
            <w:tcBorders>
              <w:top w:val="single" w:sz="4" w:space="0" w:color="auto"/>
              <w:bottom w:val="single" w:sz="4" w:space="0" w:color="auto"/>
            </w:tcBorders>
            <w:shd w:val="clear" w:color="auto" w:fill="auto"/>
            <w:noWrap/>
            <w:vAlign w:val="center"/>
            <w:hideMark/>
          </w:tcPr>
          <w:p w14:paraId="632F6504"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ESRI</w:t>
            </w:r>
          </w:p>
        </w:tc>
        <w:tc>
          <w:tcPr>
            <w:tcW w:w="2045" w:type="pct"/>
            <w:gridSpan w:val="3"/>
            <w:tcBorders>
              <w:top w:val="single" w:sz="4" w:space="0" w:color="auto"/>
              <w:bottom w:val="single" w:sz="4" w:space="0" w:color="auto"/>
            </w:tcBorders>
            <w:shd w:val="clear" w:color="auto" w:fill="auto"/>
            <w:noWrap/>
            <w:vAlign w:val="center"/>
            <w:hideMark/>
          </w:tcPr>
          <w:p w14:paraId="2C433082"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GRBI</w:t>
            </w:r>
          </w:p>
        </w:tc>
      </w:tr>
      <w:tr w:rsidR="00CD364B" w:rsidRPr="00CD364B" w14:paraId="77DFC6C9" w14:textId="77777777" w:rsidTr="00DA6CBD">
        <w:trPr>
          <w:trHeight w:val="246"/>
          <w:jc w:val="center"/>
        </w:trPr>
        <w:tc>
          <w:tcPr>
            <w:tcW w:w="910" w:type="pct"/>
            <w:vMerge/>
            <w:tcBorders>
              <w:bottom w:val="single" w:sz="4" w:space="0" w:color="auto"/>
            </w:tcBorders>
            <w:vAlign w:val="center"/>
            <w:hideMark/>
          </w:tcPr>
          <w:p w14:paraId="6A21D6F0" w14:textId="77777777" w:rsidR="00117A51" w:rsidRPr="00CD364B" w:rsidRDefault="00117A51" w:rsidP="00004F21">
            <w:pPr>
              <w:spacing w:after="0" w:line="360" w:lineRule="auto"/>
              <w:rPr>
                <w:rFonts w:eastAsia="Times New Roman" w:cstheme="minorHAnsi"/>
                <w:b/>
                <w:bCs/>
                <w:sz w:val="18"/>
                <w:szCs w:val="18"/>
                <w:lang w:val="en-US"/>
              </w:rPr>
            </w:pPr>
          </w:p>
        </w:tc>
        <w:tc>
          <w:tcPr>
            <w:tcW w:w="623" w:type="pct"/>
            <w:tcBorders>
              <w:top w:val="single" w:sz="4" w:space="0" w:color="auto"/>
              <w:bottom w:val="single" w:sz="4" w:space="0" w:color="auto"/>
            </w:tcBorders>
            <w:shd w:val="clear" w:color="auto" w:fill="auto"/>
            <w:noWrap/>
            <w:vAlign w:val="center"/>
            <w:hideMark/>
          </w:tcPr>
          <w:p w14:paraId="2F3F9A1E" w14:textId="77777777" w:rsidR="00117A51" w:rsidRPr="00CD364B" w:rsidRDefault="00117A51" w:rsidP="00004F21">
            <w:pPr>
              <w:spacing w:after="0" w:line="360" w:lineRule="auto"/>
              <w:jc w:val="center"/>
              <w:rPr>
                <w:rFonts w:eastAsia="Times New Roman" w:cstheme="minorHAnsi"/>
                <w:b/>
                <w:bCs/>
                <w:sz w:val="18"/>
                <w:szCs w:val="18"/>
                <w:lang w:val="en-US"/>
              </w:rPr>
            </w:pPr>
            <w:r w:rsidRPr="00CD364B">
              <w:rPr>
                <w:rFonts w:eastAsia="Times New Roman" w:cstheme="minorHAnsi"/>
                <w:b/>
                <w:bCs/>
                <w:sz w:val="18"/>
                <w:szCs w:val="18"/>
                <w:lang w:val="en-US"/>
              </w:rPr>
              <w:t>α(τ)</w:t>
            </w:r>
          </w:p>
        </w:tc>
        <w:tc>
          <w:tcPr>
            <w:tcW w:w="710" w:type="pct"/>
            <w:tcBorders>
              <w:top w:val="single" w:sz="4" w:space="0" w:color="auto"/>
              <w:bottom w:val="single" w:sz="4" w:space="0" w:color="auto"/>
            </w:tcBorders>
            <w:shd w:val="clear" w:color="auto" w:fill="auto"/>
            <w:noWrap/>
            <w:vAlign w:val="center"/>
            <w:hideMark/>
          </w:tcPr>
          <w:p w14:paraId="36083E13" w14:textId="77777777" w:rsidR="00117A51" w:rsidRPr="00CD364B" w:rsidRDefault="00117A51" w:rsidP="00004F21">
            <w:pPr>
              <w:spacing w:after="0" w:line="360" w:lineRule="auto"/>
              <w:jc w:val="center"/>
              <w:rPr>
                <w:rFonts w:eastAsia="Times New Roman" w:cstheme="minorHAnsi"/>
                <w:b/>
                <w:bCs/>
                <w:sz w:val="18"/>
                <w:szCs w:val="18"/>
                <w:lang w:val="en-US"/>
              </w:rPr>
            </w:pPr>
            <w:r w:rsidRPr="00CD364B">
              <w:rPr>
                <w:rFonts w:eastAsia="Times New Roman" w:cstheme="minorHAnsi"/>
                <w:b/>
                <w:bCs/>
                <w:sz w:val="18"/>
                <w:szCs w:val="18"/>
                <w:lang w:val="en-US"/>
              </w:rPr>
              <w:t>t-stats</w:t>
            </w:r>
          </w:p>
        </w:tc>
        <w:tc>
          <w:tcPr>
            <w:tcW w:w="711" w:type="pct"/>
            <w:tcBorders>
              <w:top w:val="single" w:sz="4" w:space="0" w:color="auto"/>
              <w:bottom w:val="single" w:sz="4" w:space="0" w:color="auto"/>
            </w:tcBorders>
            <w:shd w:val="clear" w:color="auto" w:fill="auto"/>
            <w:noWrap/>
            <w:vAlign w:val="center"/>
            <w:hideMark/>
          </w:tcPr>
          <w:p w14:paraId="75423C2F" w14:textId="77777777" w:rsidR="00117A51" w:rsidRPr="00CD364B" w:rsidRDefault="00117A51" w:rsidP="00004F21">
            <w:pPr>
              <w:spacing w:after="0" w:line="360" w:lineRule="auto"/>
              <w:jc w:val="center"/>
              <w:rPr>
                <w:rFonts w:eastAsia="Times New Roman" w:cstheme="minorHAnsi"/>
                <w:b/>
                <w:bCs/>
                <w:sz w:val="18"/>
                <w:szCs w:val="18"/>
                <w:lang w:val="en-US"/>
              </w:rPr>
            </w:pPr>
            <w:r w:rsidRPr="00CD364B">
              <w:rPr>
                <w:rFonts w:eastAsia="Times New Roman" w:cstheme="minorHAnsi"/>
                <w:b/>
                <w:bCs/>
                <w:sz w:val="18"/>
                <w:szCs w:val="18"/>
                <w:lang w:val="en-US"/>
              </w:rPr>
              <w:t>C.V</w:t>
            </w:r>
          </w:p>
        </w:tc>
        <w:tc>
          <w:tcPr>
            <w:tcW w:w="623" w:type="pct"/>
            <w:tcBorders>
              <w:top w:val="single" w:sz="4" w:space="0" w:color="auto"/>
              <w:bottom w:val="single" w:sz="4" w:space="0" w:color="auto"/>
            </w:tcBorders>
            <w:shd w:val="clear" w:color="auto" w:fill="auto"/>
            <w:noWrap/>
            <w:vAlign w:val="center"/>
            <w:hideMark/>
          </w:tcPr>
          <w:p w14:paraId="090BDCC0" w14:textId="77777777" w:rsidR="00117A51" w:rsidRPr="00CD364B" w:rsidRDefault="00117A51" w:rsidP="00004F21">
            <w:pPr>
              <w:spacing w:after="0" w:line="360" w:lineRule="auto"/>
              <w:jc w:val="center"/>
              <w:rPr>
                <w:rFonts w:eastAsia="Times New Roman" w:cstheme="minorHAnsi"/>
                <w:b/>
                <w:bCs/>
                <w:sz w:val="18"/>
                <w:szCs w:val="18"/>
                <w:lang w:val="en-US"/>
              </w:rPr>
            </w:pPr>
            <w:r w:rsidRPr="00CD364B">
              <w:rPr>
                <w:rFonts w:eastAsia="Times New Roman" w:cstheme="minorHAnsi"/>
                <w:b/>
                <w:bCs/>
                <w:sz w:val="18"/>
                <w:szCs w:val="18"/>
                <w:lang w:val="en-US"/>
              </w:rPr>
              <w:t>α(τ)</w:t>
            </w:r>
          </w:p>
        </w:tc>
        <w:tc>
          <w:tcPr>
            <w:tcW w:w="710" w:type="pct"/>
            <w:tcBorders>
              <w:top w:val="single" w:sz="4" w:space="0" w:color="auto"/>
              <w:bottom w:val="single" w:sz="4" w:space="0" w:color="auto"/>
            </w:tcBorders>
            <w:shd w:val="clear" w:color="auto" w:fill="auto"/>
            <w:noWrap/>
            <w:vAlign w:val="center"/>
            <w:hideMark/>
          </w:tcPr>
          <w:p w14:paraId="27206707" w14:textId="77777777" w:rsidR="00117A51" w:rsidRPr="00CD364B" w:rsidRDefault="00117A51" w:rsidP="00004F21">
            <w:pPr>
              <w:spacing w:after="0" w:line="360" w:lineRule="auto"/>
              <w:jc w:val="center"/>
              <w:rPr>
                <w:rFonts w:eastAsia="Times New Roman" w:cstheme="minorHAnsi"/>
                <w:b/>
                <w:bCs/>
                <w:sz w:val="18"/>
                <w:szCs w:val="18"/>
                <w:lang w:val="en-US"/>
              </w:rPr>
            </w:pPr>
            <w:r w:rsidRPr="00CD364B">
              <w:rPr>
                <w:rFonts w:eastAsia="Times New Roman" w:cstheme="minorHAnsi"/>
                <w:b/>
                <w:bCs/>
                <w:sz w:val="18"/>
                <w:szCs w:val="18"/>
                <w:lang w:val="en-US"/>
              </w:rPr>
              <w:t>t-stats</w:t>
            </w:r>
          </w:p>
        </w:tc>
        <w:tc>
          <w:tcPr>
            <w:tcW w:w="712" w:type="pct"/>
            <w:tcBorders>
              <w:top w:val="single" w:sz="4" w:space="0" w:color="auto"/>
              <w:bottom w:val="single" w:sz="4" w:space="0" w:color="auto"/>
            </w:tcBorders>
            <w:shd w:val="clear" w:color="auto" w:fill="auto"/>
            <w:noWrap/>
            <w:vAlign w:val="center"/>
            <w:hideMark/>
          </w:tcPr>
          <w:p w14:paraId="211D30A4" w14:textId="77777777" w:rsidR="00117A51" w:rsidRPr="00CD364B" w:rsidRDefault="00117A51" w:rsidP="00004F21">
            <w:pPr>
              <w:spacing w:after="0" w:line="360" w:lineRule="auto"/>
              <w:jc w:val="center"/>
              <w:rPr>
                <w:rFonts w:eastAsia="Times New Roman" w:cstheme="minorHAnsi"/>
                <w:b/>
                <w:bCs/>
                <w:sz w:val="18"/>
                <w:szCs w:val="18"/>
                <w:lang w:val="en-US"/>
              </w:rPr>
            </w:pPr>
            <w:r w:rsidRPr="00CD364B">
              <w:rPr>
                <w:rFonts w:eastAsia="Times New Roman" w:cstheme="minorHAnsi"/>
                <w:b/>
                <w:bCs/>
                <w:sz w:val="18"/>
                <w:szCs w:val="18"/>
                <w:lang w:val="en-US"/>
              </w:rPr>
              <w:t>C.V</w:t>
            </w:r>
          </w:p>
        </w:tc>
      </w:tr>
      <w:tr w:rsidR="00CD364B" w:rsidRPr="00CD364B" w14:paraId="7387C461" w14:textId="77777777" w:rsidTr="00DA6CBD">
        <w:trPr>
          <w:trHeight w:val="237"/>
          <w:jc w:val="center"/>
        </w:trPr>
        <w:tc>
          <w:tcPr>
            <w:tcW w:w="910" w:type="pct"/>
            <w:tcBorders>
              <w:top w:val="single" w:sz="4" w:space="0" w:color="auto"/>
            </w:tcBorders>
            <w:shd w:val="clear" w:color="auto" w:fill="auto"/>
            <w:noWrap/>
            <w:vAlign w:val="center"/>
            <w:hideMark/>
          </w:tcPr>
          <w:p w14:paraId="5EDA0A99"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0.05</w:t>
            </w:r>
          </w:p>
        </w:tc>
        <w:tc>
          <w:tcPr>
            <w:tcW w:w="623" w:type="pct"/>
            <w:tcBorders>
              <w:top w:val="single" w:sz="4" w:space="0" w:color="auto"/>
            </w:tcBorders>
            <w:shd w:val="clear" w:color="auto" w:fill="auto"/>
            <w:noWrap/>
            <w:vAlign w:val="center"/>
            <w:hideMark/>
          </w:tcPr>
          <w:p w14:paraId="6DD579E7"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0.907</w:t>
            </w:r>
          </w:p>
        </w:tc>
        <w:tc>
          <w:tcPr>
            <w:tcW w:w="710" w:type="pct"/>
            <w:tcBorders>
              <w:top w:val="single" w:sz="4" w:space="0" w:color="auto"/>
            </w:tcBorders>
            <w:shd w:val="clear" w:color="auto" w:fill="auto"/>
            <w:noWrap/>
            <w:vAlign w:val="center"/>
            <w:hideMark/>
          </w:tcPr>
          <w:p w14:paraId="31B2897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-2.282</w:t>
            </w:r>
          </w:p>
        </w:tc>
        <w:tc>
          <w:tcPr>
            <w:tcW w:w="711" w:type="pct"/>
            <w:tcBorders>
              <w:top w:val="single" w:sz="4" w:space="0" w:color="auto"/>
            </w:tcBorders>
            <w:shd w:val="clear" w:color="auto" w:fill="auto"/>
            <w:noWrap/>
            <w:vAlign w:val="center"/>
            <w:hideMark/>
          </w:tcPr>
          <w:p w14:paraId="29500EC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-2.332</w:t>
            </w:r>
          </w:p>
        </w:tc>
        <w:tc>
          <w:tcPr>
            <w:tcW w:w="623" w:type="pct"/>
            <w:tcBorders>
              <w:top w:val="single" w:sz="4" w:space="0" w:color="auto"/>
            </w:tcBorders>
            <w:shd w:val="clear" w:color="auto" w:fill="auto"/>
            <w:noWrap/>
            <w:vAlign w:val="center"/>
            <w:hideMark/>
          </w:tcPr>
          <w:p w14:paraId="7F53570E"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0.893</w:t>
            </w:r>
          </w:p>
        </w:tc>
        <w:tc>
          <w:tcPr>
            <w:tcW w:w="710" w:type="pct"/>
            <w:tcBorders>
              <w:top w:val="single" w:sz="4" w:space="0" w:color="auto"/>
            </w:tcBorders>
            <w:shd w:val="clear" w:color="auto" w:fill="auto"/>
            <w:noWrap/>
            <w:vAlign w:val="center"/>
            <w:hideMark/>
          </w:tcPr>
          <w:p w14:paraId="3B3FBCD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-1.577</w:t>
            </w:r>
          </w:p>
        </w:tc>
        <w:tc>
          <w:tcPr>
            <w:tcW w:w="712" w:type="pct"/>
            <w:tcBorders>
              <w:top w:val="single" w:sz="4" w:space="0" w:color="auto"/>
            </w:tcBorders>
            <w:shd w:val="clear" w:color="auto" w:fill="auto"/>
            <w:noWrap/>
            <w:vAlign w:val="center"/>
            <w:hideMark/>
          </w:tcPr>
          <w:p w14:paraId="173BFDE4"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-2.292</w:t>
            </w:r>
          </w:p>
        </w:tc>
      </w:tr>
      <w:tr w:rsidR="00CD364B" w:rsidRPr="00CD364B" w14:paraId="27A4AA85" w14:textId="77777777" w:rsidTr="00DA6CBD">
        <w:trPr>
          <w:trHeight w:val="237"/>
          <w:jc w:val="center"/>
        </w:trPr>
        <w:tc>
          <w:tcPr>
            <w:tcW w:w="910" w:type="pct"/>
            <w:shd w:val="clear" w:color="auto" w:fill="auto"/>
            <w:noWrap/>
            <w:vAlign w:val="center"/>
            <w:hideMark/>
          </w:tcPr>
          <w:p w14:paraId="3A85B20D"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0.10</w:t>
            </w:r>
          </w:p>
        </w:tc>
        <w:tc>
          <w:tcPr>
            <w:tcW w:w="623" w:type="pct"/>
            <w:shd w:val="clear" w:color="auto" w:fill="auto"/>
            <w:noWrap/>
            <w:vAlign w:val="center"/>
            <w:hideMark/>
          </w:tcPr>
          <w:p w14:paraId="360C7D7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0.908</w:t>
            </w:r>
          </w:p>
        </w:tc>
        <w:tc>
          <w:tcPr>
            <w:tcW w:w="710" w:type="pct"/>
            <w:shd w:val="clear" w:color="auto" w:fill="auto"/>
            <w:noWrap/>
            <w:vAlign w:val="center"/>
            <w:hideMark/>
          </w:tcPr>
          <w:p w14:paraId="1835B817"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-2.111</w:t>
            </w:r>
          </w:p>
        </w:tc>
        <w:tc>
          <w:tcPr>
            <w:tcW w:w="711" w:type="pct"/>
            <w:shd w:val="clear" w:color="auto" w:fill="auto"/>
            <w:noWrap/>
            <w:vAlign w:val="center"/>
            <w:hideMark/>
          </w:tcPr>
          <w:p w14:paraId="5FE401E0"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-2.490</w:t>
            </w:r>
          </w:p>
        </w:tc>
        <w:tc>
          <w:tcPr>
            <w:tcW w:w="623" w:type="pct"/>
            <w:shd w:val="clear" w:color="auto" w:fill="auto"/>
            <w:noWrap/>
            <w:vAlign w:val="center"/>
            <w:hideMark/>
          </w:tcPr>
          <w:p w14:paraId="4928DF11"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0.894</w:t>
            </w:r>
          </w:p>
        </w:tc>
        <w:tc>
          <w:tcPr>
            <w:tcW w:w="710" w:type="pct"/>
            <w:shd w:val="clear" w:color="auto" w:fill="auto"/>
            <w:noWrap/>
            <w:vAlign w:val="center"/>
            <w:hideMark/>
          </w:tcPr>
          <w:p w14:paraId="4002703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-2.057</w:t>
            </w:r>
          </w:p>
        </w:tc>
        <w:tc>
          <w:tcPr>
            <w:tcW w:w="712" w:type="pct"/>
            <w:shd w:val="clear" w:color="auto" w:fill="auto"/>
            <w:noWrap/>
            <w:vAlign w:val="center"/>
            <w:hideMark/>
          </w:tcPr>
          <w:p w14:paraId="389783B6"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-2.562</w:t>
            </w:r>
          </w:p>
        </w:tc>
      </w:tr>
      <w:tr w:rsidR="00CD364B" w:rsidRPr="00CD364B" w14:paraId="1FEF6D62" w14:textId="77777777" w:rsidTr="00DA6CBD">
        <w:trPr>
          <w:trHeight w:val="237"/>
          <w:jc w:val="center"/>
        </w:trPr>
        <w:tc>
          <w:tcPr>
            <w:tcW w:w="910" w:type="pct"/>
            <w:shd w:val="clear" w:color="auto" w:fill="auto"/>
            <w:noWrap/>
            <w:vAlign w:val="center"/>
            <w:hideMark/>
          </w:tcPr>
          <w:p w14:paraId="732E7C24"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0.20</w:t>
            </w:r>
          </w:p>
        </w:tc>
        <w:tc>
          <w:tcPr>
            <w:tcW w:w="623" w:type="pct"/>
            <w:shd w:val="clear" w:color="auto" w:fill="auto"/>
            <w:noWrap/>
            <w:vAlign w:val="center"/>
            <w:hideMark/>
          </w:tcPr>
          <w:p w14:paraId="595D6A63"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0.915</w:t>
            </w:r>
          </w:p>
        </w:tc>
        <w:tc>
          <w:tcPr>
            <w:tcW w:w="710" w:type="pct"/>
            <w:shd w:val="clear" w:color="auto" w:fill="auto"/>
            <w:noWrap/>
            <w:vAlign w:val="center"/>
            <w:hideMark/>
          </w:tcPr>
          <w:p w14:paraId="6FC734CC"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-0.653</w:t>
            </w:r>
          </w:p>
        </w:tc>
        <w:tc>
          <w:tcPr>
            <w:tcW w:w="711" w:type="pct"/>
            <w:shd w:val="clear" w:color="auto" w:fill="auto"/>
            <w:noWrap/>
            <w:vAlign w:val="center"/>
            <w:hideMark/>
          </w:tcPr>
          <w:p w14:paraId="48417856"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-2.694</w:t>
            </w:r>
          </w:p>
        </w:tc>
        <w:tc>
          <w:tcPr>
            <w:tcW w:w="623" w:type="pct"/>
            <w:shd w:val="clear" w:color="auto" w:fill="auto"/>
            <w:noWrap/>
            <w:vAlign w:val="center"/>
            <w:hideMark/>
          </w:tcPr>
          <w:p w14:paraId="12B2496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0.912</w:t>
            </w:r>
          </w:p>
        </w:tc>
        <w:tc>
          <w:tcPr>
            <w:tcW w:w="710" w:type="pct"/>
            <w:shd w:val="clear" w:color="auto" w:fill="auto"/>
            <w:noWrap/>
            <w:vAlign w:val="center"/>
            <w:hideMark/>
          </w:tcPr>
          <w:p w14:paraId="5CB66C79"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-1.228</w:t>
            </w:r>
          </w:p>
        </w:tc>
        <w:tc>
          <w:tcPr>
            <w:tcW w:w="712" w:type="pct"/>
            <w:shd w:val="clear" w:color="auto" w:fill="auto"/>
            <w:noWrap/>
            <w:vAlign w:val="center"/>
            <w:hideMark/>
          </w:tcPr>
          <w:p w14:paraId="5D6C546B"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-2.683</w:t>
            </w:r>
          </w:p>
        </w:tc>
      </w:tr>
      <w:tr w:rsidR="00CD364B" w:rsidRPr="00CD364B" w14:paraId="39DB90B5" w14:textId="77777777" w:rsidTr="00DA6CBD">
        <w:trPr>
          <w:trHeight w:val="237"/>
          <w:jc w:val="center"/>
        </w:trPr>
        <w:tc>
          <w:tcPr>
            <w:tcW w:w="910" w:type="pct"/>
            <w:shd w:val="clear" w:color="auto" w:fill="auto"/>
            <w:noWrap/>
            <w:vAlign w:val="center"/>
            <w:hideMark/>
          </w:tcPr>
          <w:p w14:paraId="3F43FA48"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0.30</w:t>
            </w:r>
          </w:p>
        </w:tc>
        <w:tc>
          <w:tcPr>
            <w:tcW w:w="623" w:type="pct"/>
            <w:shd w:val="clear" w:color="auto" w:fill="auto"/>
            <w:noWrap/>
            <w:vAlign w:val="center"/>
            <w:hideMark/>
          </w:tcPr>
          <w:p w14:paraId="2DE5600B"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53A24F33"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-0.436</w:t>
            </w:r>
          </w:p>
        </w:tc>
        <w:tc>
          <w:tcPr>
            <w:tcW w:w="711" w:type="pct"/>
            <w:shd w:val="clear" w:color="auto" w:fill="auto"/>
            <w:noWrap/>
            <w:vAlign w:val="center"/>
            <w:hideMark/>
          </w:tcPr>
          <w:p w14:paraId="14C54321"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-2.699</w:t>
            </w:r>
          </w:p>
        </w:tc>
        <w:tc>
          <w:tcPr>
            <w:tcW w:w="623" w:type="pct"/>
            <w:shd w:val="clear" w:color="auto" w:fill="auto"/>
            <w:noWrap/>
            <w:vAlign w:val="center"/>
            <w:hideMark/>
          </w:tcPr>
          <w:p w14:paraId="6EACF62B"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0.916</w:t>
            </w:r>
          </w:p>
        </w:tc>
        <w:tc>
          <w:tcPr>
            <w:tcW w:w="710" w:type="pct"/>
            <w:shd w:val="clear" w:color="auto" w:fill="auto"/>
            <w:noWrap/>
            <w:vAlign w:val="center"/>
            <w:hideMark/>
          </w:tcPr>
          <w:p w14:paraId="7C6CBDC3"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-0.884</w:t>
            </w:r>
          </w:p>
        </w:tc>
        <w:tc>
          <w:tcPr>
            <w:tcW w:w="712" w:type="pct"/>
            <w:shd w:val="clear" w:color="auto" w:fill="auto"/>
            <w:noWrap/>
            <w:vAlign w:val="center"/>
            <w:hideMark/>
          </w:tcPr>
          <w:p w14:paraId="72B8E2A4"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-2.520</w:t>
            </w:r>
          </w:p>
        </w:tc>
      </w:tr>
      <w:tr w:rsidR="00CD364B" w:rsidRPr="00CD364B" w14:paraId="2CA4F250" w14:textId="77777777" w:rsidTr="00DA6CBD">
        <w:trPr>
          <w:trHeight w:val="237"/>
          <w:jc w:val="center"/>
        </w:trPr>
        <w:tc>
          <w:tcPr>
            <w:tcW w:w="910" w:type="pct"/>
            <w:shd w:val="clear" w:color="auto" w:fill="auto"/>
            <w:noWrap/>
            <w:vAlign w:val="center"/>
            <w:hideMark/>
          </w:tcPr>
          <w:p w14:paraId="374B5595"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0.40</w:t>
            </w:r>
          </w:p>
        </w:tc>
        <w:tc>
          <w:tcPr>
            <w:tcW w:w="623" w:type="pct"/>
            <w:shd w:val="clear" w:color="auto" w:fill="auto"/>
            <w:noWrap/>
            <w:vAlign w:val="center"/>
            <w:hideMark/>
          </w:tcPr>
          <w:p w14:paraId="601F0932"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21B0BBBA"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-1.144</w:t>
            </w:r>
          </w:p>
        </w:tc>
        <w:tc>
          <w:tcPr>
            <w:tcW w:w="711" w:type="pct"/>
            <w:shd w:val="clear" w:color="auto" w:fill="auto"/>
            <w:noWrap/>
            <w:vAlign w:val="center"/>
            <w:hideMark/>
          </w:tcPr>
          <w:p w14:paraId="141E8C04"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-2.769</w:t>
            </w:r>
          </w:p>
        </w:tc>
        <w:tc>
          <w:tcPr>
            <w:tcW w:w="623" w:type="pct"/>
            <w:shd w:val="clear" w:color="auto" w:fill="auto"/>
            <w:noWrap/>
            <w:vAlign w:val="center"/>
            <w:hideMark/>
          </w:tcPr>
          <w:p w14:paraId="72EE26D4"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355487C1"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-0.573</w:t>
            </w:r>
          </w:p>
        </w:tc>
        <w:tc>
          <w:tcPr>
            <w:tcW w:w="712" w:type="pct"/>
            <w:shd w:val="clear" w:color="auto" w:fill="auto"/>
            <w:noWrap/>
            <w:vAlign w:val="center"/>
            <w:hideMark/>
          </w:tcPr>
          <w:p w14:paraId="06E8D0F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-2.507</w:t>
            </w:r>
          </w:p>
        </w:tc>
      </w:tr>
      <w:tr w:rsidR="00CD364B" w:rsidRPr="00CD364B" w14:paraId="4F594748" w14:textId="77777777" w:rsidTr="00DA6CBD">
        <w:trPr>
          <w:trHeight w:val="237"/>
          <w:jc w:val="center"/>
        </w:trPr>
        <w:tc>
          <w:tcPr>
            <w:tcW w:w="910" w:type="pct"/>
            <w:shd w:val="clear" w:color="auto" w:fill="auto"/>
            <w:noWrap/>
            <w:vAlign w:val="center"/>
            <w:hideMark/>
          </w:tcPr>
          <w:p w14:paraId="4EF0C074"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0.50</w:t>
            </w:r>
          </w:p>
        </w:tc>
        <w:tc>
          <w:tcPr>
            <w:tcW w:w="623" w:type="pct"/>
            <w:shd w:val="clear" w:color="auto" w:fill="auto"/>
            <w:noWrap/>
            <w:vAlign w:val="center"/>
            <w:hideMark/>
          </w:tcPr>
          <w:p w14:paraId="0513F05F"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68F911E6"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-1.943</w:t>
            </w:r>
          </w:p>
        </w:tc>
        <w:tc>
          <w:tcPr>
            <w:tcW w:w="711" w:type="pct"/>
            <w:shd w:val="clear" w:color="auto" w:fill="auto"/>
            <w:noWrap/>
            <w:vAlign w:val="center"/>
            <w:hideMark/>
          </w:tcPr>
          <w:p w14:paraId="363096E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-2.795</w:t>
            </w:r>
          </w:p>
        </w:tc>
        <w:tc>
          <w:tcPr>
            <w:tcW w:w="623" w:type="pct"/>
            <w:shd w:val="clear" w:color="auto" w:fill="auto"/>
            <w:noWrap/>
            <w:vAlign w:val="center"/>
            <w:hideMark/>
          </w:tcPr>
          <w:p w14:paraId="0119B014"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51849D6C"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-0.297</w:t>
            </w:r>
          </w:p>
        </w:tc>
        <w:tc>
          <w:tcPr>
            <w:tcW w:w="712" w:type="pct"/>
            <w:shd w:val="clear" w:color="auto" w:fill="auto"/>
            <w:noWrap/>
            <w:vAlign w:val="center"/>
            <w:hideMark/>
          </w:tcPr>
          <w:p w14:paraId="67980DE0"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-2.528</w:t>
            </w:r>
          </w:p>
        </w:tc>
      </w:tr>
      <w:tr w:rsidR="00CD364B" w:rsidRPr="00CD364B" w14:paraId="58E85CAD" w14:textId="77777777" w:rsidTr="00DA6CBD">
        <w:trPr>
          <w:trHeight w:val="237"/>
          <w:jc w:val="center"/>
        </w:trPr>
        <w:tc>
          <w:tcPr>
            <w:tcW w:w="910" w:type="pct"/>
            <w:shd w:val="clear" w:color="auto" w:fill="auto"/>
            <w:noWrap/>
            <w:vAlign w:val="center"/>
            <w:hideMark/>
          </w:tcPr>
          <w:p w14:paraId="2F106721"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0.60</w:t>
            </w:r>
          </w:p>
        </w:tc>
        <w:tc>
          <w:tcPr>
            <w:tcW w:w="623" w:type="pct"/>
            <w:shd w:val="clear" w:color="auto" w:fill="auto"/>
            <w:noWrap/>
            <w:vAlign w:val="center"/>
            <w:hideMark/>
          </w:tcPr>
          <w:p w14:paraId="23512BE4"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7C0D8791"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-0.629</w:t>
            </w:r>
          </w:p>
        </w:tc>
        <w:tc>
          <w:tcPr>
            <w:tcW w:w="711" w:type="pct"/>
            <w:shd w:val="clear" w:color="auto" w:fill="auto"/>
            <w:noWrap/>
            <w:vAlign w:val="center"/>
            <w:hideMark/>
          </w:tcPr>
          <w:p w14:paraId="2E16B94B"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-2.765</w:t>
            </w:r>
          </w:p>
        </w:tc>
        <w:tc>
          <w:tcPr>
            <w:tcW w:w="623" w:type="pct"/>
            <w:shd w:val="clear" w:color="auto" w:fill="auto"/>
            <w:noWrap/>
            <w:vAlign w:val="center"/>
            <w:hideMark/>
          </w:tcPr>
          <w:p w14:paraId="38CF3036"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7F7969C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0.201</w:t>
            </w:r>
          </w:p>
        </w:tc>
        <w:tc>
          <w:tcPr>
            <w:tcW w:w="712" w:type="pct"/>
            <w:shd w:val="clear" w:color="auto" w:fill="auto"/>
            <w:noWrap/>
            <w:vAlign w:val="center"/>
            <w:hideMark/>
          </w:tcPr>
          <w:p w14:paraId="6FDBA8D1"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-2.532</w:t>
            </w:r>
          </w:p>
        </w:tc>
      </w:tr>
      <w:tr w:rsidR="00CD364B" w:rsidRPr="00CD364B" w14:paraId="40167D3A" w14:textId="77777777" w:rsidTr="00DA6CBD">
        <w:trPr>
          <w:trHeight w:val="237"/>
          <w:jc w:val="center"/>
        </w:trPr>
        <w:tc>
          <w:tcPr>
            <w:tcW w:w="910" w:type="pct"/>
            <w:shd w:val="clear" w:color="auto" w:fill="auto"/>
            <w:noWrap/>
            <w:vAlign w:val="center"/>
            <w:hideMark/>
          </w:tcPr>
          <w:p w14:paraId="65383156"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0.70</w:t>
            </w:r>
          </w:p>
        </w:tc>
        <w:tc>
          <w:tcPr>
            <w:tcW w:w="623" w:type="pct"/>
            <w:shd w:val="clear" w:color="auto" w:fill="auto"/>
            <w:noWrap/>
            <w:vAlign w:val="center"/>
            <w:hideMark/>
          </w:tcPr>
          <w:p w14:paraId="37C99DF0"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4CBCD707"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-0.370</w:t>
            </w:r>
          </w:p>
        </w:tc>
        <w:tc>
          <w:tcPr>
            <w:tcW w:w="711" w:type="pct"/>
            <w:shd w:val="clear" w:color="auto" w:fill="auto"/>
            <w:noWrap/>
            <w:vAlign w:val="center"/>
            <w:hideMark/>
          </w:tcPr>
          <w:p w14:paraId="03921564"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-2.645</w:t>
            </w:r>
          </w:p>
        </w:tc>
        <w:tc>
          <w:tcPr>
            <w:tcW w:w="623" w:type="pct"/>
            <w:shd w:val="clear" w:color="auto" w:fill="auto"/>
            <w:noWrap/>
            <w:vAlign w:val="center"/>
            <w:hideMark/>
          </w:tcPr>
          <w:p w14:paraId="164B5BBF"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640B6DA0"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0.181</w:t>
            </w:r>
          </w:p>
        </w:tc>
        <w:tc>
          <w:tcPr>
            <w:tcW w:w="712" w:type="pct"/>
            <w:shd w:val="clear" w:color="auto" w:fill="auto"/>
            <w:noWrap/>
            <w:vAlign w:val="center"/>
            <w:hideMark/>
          </w:tcPr>
          <w:p w14:paraId="257978A8"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-2.565</w:t>
            </w:r>
          </w:p>
        </w:tc>
      </w:tr>
      <w:tr w:rsidR="00CD364B" w:rsidRPr="00CD364B" w14:paraId="53E8CB72" w14:textId="77777777" w:rsidTr="00DA6CBD">
        <w:trPr>
          <w:trHeight w:val="237"/>
          <w:jc w:val="center"/>
        </w:trPr>
        <w:tc>
          <w:tcPr>
            <w:tcW w:w="910" w:type="pct"/>
            <w:shd w:val="clear" w:color="auto" w:fill="auto"/>
            <w:noWrap/>
            <w:vAlign w:val="center"/>
            <w:hideMark/>
          </w:tcPr>
          <w:p w14:paraId="39CEFCC0"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0.80</w:t>
            </w:r>
          </w:p>
        </w:tc>
        <w:tc>
          <w:tcPr>
            <w:tcW w:w="623" w:type="pct"/>
            <w:shd w:val="clear" w:color="auto" w:fill="auto"/>
            <w:noWrap/>
            <w:vAlign w:val="center"/>
            <w:hideMark/>
          </w:tcPr>
          <w:p w14:paraId="54C3340E"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0.916</w:t>
            </w:r>
          </w:p>
        </w:tc>
        <w:tc>
          <w:tcPr>
            <w:tcW w:w="710" w:type="pct"/>
            <w:shd w:val="clear" w:color="auto" w:fill="auto"/>
            <w:noWrap/>
            <w:vAlign w:val="center"/>
            <w:hideMark/>
          </w:tcPr>
          <w:p w14:paraId="5FB0E2E9"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-0.453</w:t>
            </w:r>
          </w:p>
        </w:tc>
        <w:tc>
          <w:tcPr>
            <w:tcW w:w="711" w:type="pct"/>
            <w:shd w:val="clear" w:color="auto" w:fill="auto"/>
            <w:noWrap/>
            <w:vAlign w:val="center"/>
            <w:hideMark/>
          </w:tcPr>
          <w:p w14:paraId="1FFDFF14"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-2.665</w:t>
            </w:r>
          </w:p>
        </w:tc>
        <w:tc>
          <w:tcPr>
            <w:tcW w:w="623" w:type="pct"/>
            <w:shd w:val="clear" w:color="auto" w:fill="auto"/>
            <w:noWrap/>
            <w:vAlign w:val="center"/>
            <w:hideMark/>
          </w:tcPr>
          <w:p w14:paraId="6E2F7476"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0.920</w:t>
            </w:r>
          </w:p>
        </w:tc>
        <w:tc>
          <w:tcPr>
            <w:tcW w:w="710" w:type="pct"/>
            <w:shd w:val="clear" w:color="auto" w:fill="auto"/>
            <w:noWrap/>
            <w:vAlign w:val="center"/>
            <w:hideMark/>
          </w:tcPr>
          <w:p w14:paraId="2D93B6AC"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0.900</w:t>
            </w:r>
          </w:p>
        </w:tc>
        <w:tc>
          <w:tcPr>
            <w:tcW w:w="712" w:type="pct"/>
            <w:shd w:val="clear" w:color="auto" w:fill="auto"/>
            <w:noWrap/>
            <w:vAlign w:val="center"/>
            <w:hideMark/>
          </w:tcPr>
          <w:p w14:paraId="16D3BC3A"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-2.625</w:t>
            </w:r>
          </w:p>
        </w:tc>
      </w:tr>
      <w:tr w:rsidR="00CD364B" w:rsidRPr="00CD364B" w14:paraId="0DE88E0B" w14:textId="77777777" w:rsidTr="00DA6CBD">
        <w:trPr>
          <w:trHeight w:val="237"/>
          <w:jc w:val="center"/>
        </w:trPr>
        <w:tc>
          <w:tcPr>
            <w:tcW w:w="910" w:type="pct"/>
            <w:shd w:val="clear" w:color="auto" w:fill="auto"/>
            <w:noWrap/>
            <w:vAlign w:val="center"/>
            <w:hideMark/>
          </w:tcPr>
          <w:p w14:paraId="24D1AE1B"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0.90</w:t>
            </w:r>
          </w:p>
        </w:tc>
        <w:tc>
          <w:tcPr>
            <w:tcW w:w="623" w:type="pct"/>
            <w:shd w:val="clear" w:color="auto" w:fill="auto"/>
            <w:noWrap/>
            <w:vAlign w:val="center"/>
            <w:hideMark/>
          </w:tcPr>
          <w:p w14:paraId="1B11058C"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0.917</w:t>
            </w:r>
          </w:p>
        </w:tc>
        <w:tc>
          <w:tcPr>
            <w:tcW w:w="710" w:type="pct"/>
            <w:shd w:val="clear" w:color="auto" w:fill="auto"/>
            <w:noWrap/>
            <w:vAlign w:val="center"/>
            <w:hideMark/>
          </w:tcPr>
          <w:p w14:paraId="770E8720"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-0.361</w:t>
            </w:r>
          </w:p>
        </w:tc>
        <w:tc>
          <w:tcPr>
            <w:tcW w:w="711" w:type="pct"/>
            <w:shd w:val="clear" w:color="auto" w:fill="auto"/>
            <w:noWrap/>
            <w:vAlign w:val="center"/>
            <w:hideMark/>
          </w:tcPr>
          <w:p w14:paraId="0362CA78"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-2.348</w:t>
            </w:r>
          </w:p>
        </w:tc>
        <w:tc>
          <w:tcPr>
            <w:tcW w:w="623" w:type="pct"/>
            <w:shd w:val="clear" w:color="auto" w:fill="auto"/>
            <w:noWrap/>
            <w:vAlign w:val="center"/>
            <w:hideMark/>
          </w:tcPr>
          <w:p w14:paraId="7FFE0A2C"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0.921</w:t>
            </w:r>
          </w:p>
        </w:tc>
        <w:tc>
          <w:tcPr>
            <w:tcW w:w="710" w:type="pct"/>
            <w:shd w:val="clear" w:color="auto" w:fill="auto"/>
            <w:noWrap/>
            <w:vAlign w:val="center"/>
            <w:hideMark/>
          </w:tcPr>
          <w:p w14:paraId="4FD93D1C"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0.313</w:t>
            </w:r>
          </w:p>
        </w:tc>
        <w:tc>
          <w:tcPr>
            <w:tcW w:w="712" w:type="pct"/>
            <w:shd w:val="clear" w:color="auto" w:fill="auto"/>
            <w:noWrap/>
            <w:vAlign w:val="center"/>
            <w:hideMark/>
          </w:tcPr>
          <w:p w14:paraId="5C0A3037"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-2.364</w:t>
            </w:r>
          </w:p>
        </w:tc>
      </w:tr>
      <w:tr w:rsidR="00CD364B" w:rsidRPr="00CD364B" w14:paraId="6C01E0B6" w14:textId="77777777" w:rsidTr="00DA6CBD">
        <w:trPr>
          <w:trHeight w:val="246"/>
          <w:jc w:val="center"/>
        </w:trPr>
        <w:tc>
          <w:tcPr>
            <w:tcW w:w="910" w:type="pct"/>
            <w:tcBorders>
              <w:bottom w:val="single" w:sz="4" w:space="0" w:color="auto"/>
            </w:tcBorders>
            <w:shd w:val="clear" w:color="auto" w:fill="auto"/>
            <w:noWrap/>
            <w:vAlign w:val="center"/>
            <w:hideMark/>
          </w:tcPr>
          <w:p w14:paraId="2D9DEA3A"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0.95</w:t>
            </w:r>
          </w:p>
        </w:tc>
        <w:tc>
          <w:tcPr>
            <w:tcW w:w="623" w:type="pct"/>
            <w:tcBorders>
              <w:bottom w:val="single" w:sz="4" w:space="0" w:color="auto"/>
            </w:tcBorders>
            <w:shd w:val="clear" w:color="auto" w:fill="auto"/>
            <w:noWrap/>
            <w:vAlign w:val="center"/>
            <w:hideMark/>
          </w:tcPr>
          <w:p w14:paraId="1E2F8FAF"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0.920</w:t>
            </w:r>
          </w:p>
        </w:tc>
        <w:tc>
          <w:tcPr>
            <w:tcW w:w="710" w:type="pct"/>
            <w:tcBorders>
              <w:bottom w:val="single" w:sz="4" w:space="0" w:color="auto"/>
            </w:tcBorders>
            <w:shd w:val="clear" w:color="auto" w:fill="auto"/>
            <w:noWrap/>
            <w:vAlign w:val="center"/>
            <w:hideMark/>
          </w:tcPr>
          <w:p w14:paraId="21A7F389"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1.069</w:t>
            </w:r>
          </w:p>
        </w:tc>
        <w:tc>
          <w:tcPr>
            <w:tcW w:w="711" w:type="pct"/>
            <w:tcBorders>
              <w:bottom w:val="single" w:sz="4" w:space="0" w:color="auto"/>
            </w:tcBorders>
            <w:shd w:val="clear" w:color="auto" w:fill="auto"/>
            <w:noWrap/>
            <w:vAlign w:val="center"/>
            <w:hideMark/>
          </w:tcPr>
          <w:p w14:paraId="433682C5"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-2.124</w:t>
            </w:r>
          </w:p>
        </w:tc>
        <w:tc>
          <w:tcPr>
            <w:tcW w:w="623" w:type="pct"/>
            <w:tcBorders>
              <w:bottom w:val="single" w:sz="4" w:space="0" w:color="auto"/>
            </w:tcBorders>
            <w:shd w:val="clear" w:color="auto" w:fill="auto"/>
            <w:noWrap/>
            <w:vAlign w:val="center"/>
            <w:hideMark/>
          </w:tcPr>
          <w:p w14:paraId="1D439BA8"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0.935</w:t>
            </w:r>
          </w:p>
        </w:tc>
        <w:tc>
          <w:tcPr>
            <w:tcW w:w="710" w:type="pct"/>
            <w:tcBorders>
              <w:bottom w:val="single" w:sz="4" w:space="0" w:color="auto"/>
            </w:tcBorders>
            <w:shd w:val="clear" w:color="auto" w:fill="auto"/>
            <w:noWrap/>
            <w:vAlign w:val="center"/>
            <w:hideMark/>
          </w:tcPr>
          <w:p w14:paraId="45B73893"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1.073</w:t>
            </w:r>
          </w:p>
        </w:tc>
        <w:tc>
          <w:tcPr>
            <w:tcW w:w="712" w:type="pct"/>
            <w:tcBorders>
              <w:bottom w:val="single" w:sz="4" w:space="0" w:color="auto"/>
            </w:tcBorders>
            <w:shd w:val="clear" w:color="auto" w:fill="auto"/>
            <w:noWrap/>
            <w:vAlign w:val="center"/>
            <w:hideMark/>
          </w:tcPr>
          <w:p w14:paraId="21023041"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-2.562</w:t>
            </w:r>
          </w:p>
        </w:tc>
      </w:tr>
      <w:tr w:rsidR="00117A51" w:rsidRPr="00CD364B" w14:paraId="738AE7E7" w14:textId="77777777" w:rsidTr="00DA6CBD">
        <w:trPr>
          <w:trHeight w:val="237"/>
          <w:jc w:val="center"/>
        </w:trPr>
        <w:tc>
          <w:tcPr>
            <w:tcW w:w="5000" w:type="pct"/>
            <w:gridSpan w:val="7"/>
            <w:tcBorders>
              <w:top w:val="single" w:sz="4" w:space="0" w:color="auto"/>
            </w:tcBorders>
            <w:shd w:val="clear" w:color="auto" w:fill="auto"/>
            <w:vAlign w:val="center"/>
            <w:hideMark/>
          </w:tcPr>
          <w:p w14:paraId="1F16A1AD" w14:textId="77777777" w:rsidR="00117A51" w:rsidRPr="00CD364B" w:rsidRDefault="00117A51" w:rsidP="00004F21">
            <w:pPr>
              <w:spacing w:after="0" w:line="360" w:lineRule="auto"/>
              <w:jc w:val="both"/>
              <w:rPr>
                <w:rFonts w:eastAsia="Times New Roman" w:cstheme="minorHAnsi"/>
                <w:sz w:val="20"/>
                <w:szCs w:val="20"/>
                <w:lang w:val="en-US"/>
              </w:rPr>
            </w:pPr>
            <w:r w:rsidRPr="00CD364B">
              <w:rPr>
                <w:rFonts w:eastAsia="Times New Roman" w:cstheme="minorHAnsi"/>
                <w:sz w:val="20"/>
                <w:szCs w:val="20"/>
                <w:lang w:val="en-US"/>
              </w:rPr>
              <w:t>Notes: The table shows point estimates and t-statistics values for the 5% significance level.</w:t>
            </w:r>
          </w:p>
          <w:p w14:paraId="4245318E" w14:textId="77777777" w:rsidR="00117A51" w:rsidRPr="00CD364B" w:rsidRDefault="00117A51" w:rsidP="00004F21">
            <w:pPr>
              <w:spacing w:after="0" w:line="360" w:lineRule="auto"/>
              <w:jc w:val="both"/>
              <w:rPr>
                <w:rFonts w:eastAsia="Times New Roman" w:cstheme="minorHAnsi"/>
                <w:sz w:val="20"/>
                <w:szCs w:val="20"/>
                <w:lang w:val="en-US"/>
              </w:rPr>
            </w:pPr>
            <w:r w:rsidRPr="00CD364B">
              <w:rPr>
                <w:rFonts w:eastAsia="Times New Roman" w:cstheme="minorHAnsi"/>
                <w:sz w:val="20"/>
                <w:szCs w:val="20"/>
                <w:lang w:val="en-US"/>
              </w:rPr>
              <w:t xml:space="preserve">Source: Author Estimation. </w:t>
            </w:r>
          </w:p>
        </w:tc>
      </w:tr>
    </w:tbl>
    <w:p w14:paraId="32EF8886" w14:textId="77777777" w:rsidR="00117A51" w:rsidRPr="00CD364B" w:rsidRDefault="00117A51" w:rsidP="00004F21">
      <w:pPr>
        <w:spacing w:line="360" w:lineRule="auto"/>
        <w:rPr>
          <w:rFonts w:cstheme="minorHAnsi"/>
          <w:lang w:val="en-US"/>
        </w:rPr>
      </w:pPr>
    </w:p>
    <w:p w14:paraId="00B5B609" w14:textId="1CEB8103" w:rsidR="008E6F2A" w:rsidRPr="00CD364B" w:rsidRDefault="00DA6CBD" w:rsidP="00DA6CBD">
      <w:pPr>
        <w:spacing w:line="360" w:lineRule="auto"/>
        <w:jc w:val="center"/>
        <w:rPr>
          <w:rFonts w:cstheme="minorHAnsi"/>
          <w:b/>
          <w:bCs/>
          <w:sz w:val="24"/>
          <w:szCs w:val="24"/>
          <w:lang w:val="en-US"/>
        </w:rPr>
      </w:pPr>
      <w:r w:rsidRPr="00CD364B">
        <w:rPr>
          <w:rFonts w:cstheme="minorHAnsi"/>
          <w:b/>
          <w:bCs/>
          <w:sz w:val="24"/>
          <w:szCs w:val="24"/>
          <w:lang w:val="en-US"/>
        </w:rPr>
        <w:t>Table 3: Quantile Cointegration Test Results</w:t>
      </w:r>
    </w:p>
    <w:tbl>
      <w:tblPr>
        <w:tblW w:w="8152" w:type="dxa"/>
        <w:jc w:val="center"/>
        <w:tblLook w:val="04A0" w:firstRow="1" w:lastRow="0" w:firstColumn="1" w:lastColumn="0" w:noHBand="0" w:noVBand="1"/>
      </w:tblPr>
      <w:tblGrid>
        <w:gridCol w:w="2567"/>
        <w:gridCol w:w="1008"/>
        <w:gridCol w:w="1319"/>
        <w:gridCol w:w="1085"/>
        <w:gridCol w:w="1085"/>
        <w:gridCol w:w="1088"/>
      </w:tblGrid>
      <w:tr w:rsidR="00CD364B" w:rsidRPr="00CD364B" w14:paraId="65DE8302" w14:textId="77777777" w:rsidTr="00DA6CBD">
        <w:trPr>
          <w:trHeight w:val="175"/>
          <w:jc w:val="center"/>
        </w:trPr>
        <w:tc>
          <w:tcPr>
            <w:tcW w:w="2567" w:type="dxa"/>
            <w:tcBorders>
              <w:top w:val="single" w:sz="4" w:space="0" w:color="auto"/>
              <w:bottom w:val="single" w:sz="4" w:space="0" w:color="auto"/>
            </w:tcBorders>
            <w:shd w:val="clear" w:color="auto" w:fill="auto"/>
            <w:noWrap/>
            <w:vAlign w:val="center"/>
            <w:hideMark/>
          </w:tcPr>
          <w:p w14:paraId="446C0979"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Model</w:t>
            </w:r>
          </w:p>
        </w:tc>
        <w:tc>
          <w:tcPr>
            <w:tcW w:w="1008" w:type="dxa"/>
            <w:tcBorders>
              <w:top w:val="single" w:sz="4" w:space="0" w:color="auto"/>
              <w:bottom w:val="single" w:sz="4" w:space="0" w:color="auto"/>
            </w:tcBorders>
            <w:shd w:val="clear" w:color="auto" w:fill="auto"/>
            <w:noWrap/>
            <w:vAlign w:val="center"/>
            <w:hideMark/>
          </w:tcPr>
          <w:p w14:paraId="7FB44F41"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Coeff.</w:t>
            </w:r>
          </w:p>
        </w:tc>
        <w:tc>
          <w:tcPr>
            <w:tcW w:w="1319" w:type="dxa"/>
            <w:tcBorders>
              <w:top w:val="single" w:sz="4" w:space="0" w:color="auto"/>
              <w:bottom w:val="single" w:sz="4" w:space="0" w:color="auto"/>
            </w:tcBorders>
            <w:shd w:val="clear" w:color="auto" w:fill="auto"/>
            <w:noWrap/>
            <w:vAlign w:val="center"/>
            <w:hideMark/>
          </w:tcPr>
          <w:p w14:paraId="43516AD2"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Sup</w:t>
            </w:r>
            <w:r w:rsidRPr="00CD364B">
              <w:rPr>
                <w:rFonts w:eastAsia="Times New Roman" w:cstheme="minorHAnsi"/>
                <w:b/>
                <w:bCs/>
                <w:sz w:val="20"/>
                <w:szCs w:val="20"/>
                <w:vertAlign w:val="subscript"/>
                <w:lang w:val="en-US"/>
              </w:rPr>
              <w:t xml:space="preserve">τ </w:t>
            </w:r>
            <w:r w:rsidRPr="00CD364B">
              <w:rPr>
                <w:rFonts w:eastAsia="Times New Roman" w:cstheme="minorHAnsi"/>
                <w:b/>
                <w:bCs/>
                <w:sz w:val="20"/>
                <w:szCs w:val="20"/>
                <w:lang w:val="en-US"/>
              </w:rPr>
              <w:t>| V</w:t>
            </w:r>
            <w:r w:rsidRPr="00CD364B">
              <w:rPr>
                <w:rFonts w:eastAsia="Times New Roman" w:cstheme="minorHAnsi"/>
                <w:b/>
                <w:bCs/>
                <w:sz w:val="20"/>
                <w:szCs w:val="20"/>
                <w:vertAlign w:val="subscript"/>
                <w:lang w:val="en-US"/>
              </w:rPr>
              <w:t>n</w:t>
            </w:r>
            <w:r w:rsidRPr="00CD364B">
              <w:rPr>
                <w:rFonts w:eastAsia="Times New Roman" w:cstheme="minorHAnsi"/>
                <w:b/>
                <w:bCs/>
                <w:sz w:val="20"/>
                <w:szCs w:val="20"/>
                <w:lang w:val="en-US"/>
              </w:rPr>
              <w:t>(τ) |</w:t>
            </w:r>
          </w:p>
        </w:tc>
        <w:tc>
          <w:tcPr>
            <w:tcW w:w="1085" w:type="dxa"/>
            <w:tcBorders>
              <w:top w:val="single" w:sz="4" w:space="0" w:color="auto"/>
              <w:bottom w:val="single" w:sz="4" w:space="0" w:color="auto"/>
            </w:tcBorders>
            <w:shd w:val="clear" w:color="auto" w:fill="auto"/>
            <w:noWrap/>
            <w:vAlign w:val="center"/>
            <w:hideMark/>
          </w:tcPr>
          <w:p w14:paraId="257BDE05"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CV1</w:t>
            </w:r>
          </w:p>
        </w:tc>
        <w:tc>
          <w:tcPr>
            <w:tcW w:w="1085" w:type="dxa"/>
            <w:tcBorders>
              <w:top w:val="single" w:sz="4" w:space="0" w:color="auto"/>
              <w:bottom w:val="single" w:sz="4" w:space="0" w:color="auto"/>
            </w:tcBorders>
            <w:shd w:val="clear" w:color="auto" w:fill="auto"/>
            <w:noWrap/>
            <w:vAlign w:val="center"/>
            <w:hideMark/>
          </w:tcPr>
          <w:p w14:paraId="1C013697"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CV5</w:t>
            </w:r>
          </w:p>
        </w:tc>
        <w:tc>
          <w:tcPr>
            <w:tcW w:w="1088" w:type="dxa"/>
            <w:tcBorders>
              <w:top w:val="single" w:sz="4" w:space="0" w:color="auto"/>
              <w:bottom w:val="single" w:sz="4" w:space="0" w:color="auto"/>
            </w:tcBorders>
            <w:shd w:val="clear" w:color="auto" w:fill="auto"/>
            <w:noWrap/>
            <w:vAlign w:val="center"/>
            <w:hideMark/>
          </w:tcPr>
          <w:p w14:paraId="75981159" w14:textId="77777777" w:rsidR="00117A51" w:rsidRPr="00CD364B" w:rsidRDefault="00117A51" w:rsidP="00004F21">
            <w:pPr>
              <w:spacing w:after="0" w:line="360" w:lineRule="auto"/>
              <w:jc w:val="center"/>
              <w:rPr>
                <w:rFonts w:eastAsia="Times New Roman" w:cstheme="minorHAnsi"/>
                <w:b/>
                <w:bCs/>
                <w:sz w:val="20"/>
                <w:szCs w:val="20"/>
                <w:lang w:val="en-US"/>
              </w:rPr>
            </w:pPr>
            <w:r w:rsidRPr="00CD364B">
              <w:rPr>
                <w:rFonts w:eastAsia="Times New Roman" w:cstheme="minorHAnsi"/>
                <w:b/>
                <w:bCs/>
                <w:sz w:val="20"/>
                <w:szCs w:val="20"/>
                <w:lang w:val="en-US"/>
              </w:rPr>
              <w:t>CV10</w:t>
            </w:r>
          </w:p>
        </w:tc>
      </w:tr>
      <w:tr w:rsidR="00CD364B" w:rsidRPr="00CD364B" w14:paraId="07DA8430" w14:textId="77777777" w:rsidTr="00DA6CBD">
        <w:trPr>
          <w:trHeight w:val="175"/>
          <w:jc w:val="center"/>
        </w:trPr>
        <w:tc>
          <w:tcPr>
            <w:tcW w:w="2567" w:type="dxa"/>
            <w:vMerge w:val="restart"/>
            <w:tcBorders>
              <w:top w:val="single" w:sz="4" w:space="0" w:color="auto"/>
              <w:bottom w:val="single" w:sz="4" w:space="0" w:color="auto"/>
            </w:tcBorders>
            <w:shd w:val="clear" w:color="auto" w:fill="auto"/>
            <w:noWrap/>
            <w:vAlign w:val="center"/>
            <w:hideMark/>
          </w:tcPr>
          <w:p w14:paraId="2454D159"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ESRI</w:t>
            </w:r>
            <w:r w:rsidRPr="00CD364B">
              <w:rPr>
                <w:rFonts w:eastAsia="Times New Roman" w:cstheme="minorHAnsi"/>
                <w:sz w:val="20"/>
                <w:szCs w:val="20"/>
                <w:vertAlign w:val="subscript"/>
                <w:lang w:val="en-US"/>
              </w:rPr>
              <w:t>t</w:t>
            </w:r>
            <w:r w:rsidRPr="00CD364B">
              <w:rPr>
                <w:rFonts w:eastAsia="Times New Roman" w:cstheme="minorHAnsi"/>
                <w:sz w:val="20"/>
                <w:szCs w:val="20"/>
                <w:lang w:val="en-US"/>
              </w:rPr>
              <w:t xml:space="preserve"> vs. GRBI</w:t>
            </w:r>
            <w:r w:rsidRPr="00CD364B">
              <w:rPr>
                <w:rFonts w:eastAsia="Times New Roman" w:cstheme="minorHAnsi"/>
                <w:sz w:val="20"/>
                <w:szCs w:val="20"/>
                <w:vertAlign w:val="subscript"/>
                <w:lang w:val="en-US"/>
              </w:rPr>
              <w:t>t</w:t>
            </w:r>
          </w:p>
        </w:tc>
        <w:tc>
          <w:tcPr>
            <w:tcW w:w="1008" w:type="dxa"/>
            <w:tcBorders>
              <w:top w:val="single" w:sz="4" w:space="0" w:color="auto"/>
              <w:bottom w:val="single" w:sz="4" w:space="0" w:color="auto"/>
            </w:tcBorders>
            <w:shd w:val="clear" w:color="auto" w:fill="auto"/>
            <w:noWrap/>
            <w:vAlign w:val="center"/>
            <w:hideMark/>
          </w:tcPr>
          <w:p w14:paraId="64F01334"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β</w:t>
            </w:r>
          </w:p>
        </w:tc>
        <w:tc>
          <w:tcPr>
            <w:tcW w:w="1319" w:type="dxa"/>
            <w:tcBorders>
              <w:top w:val="single" w:sz="4" w:space="0" w:color="auto"/>
              <w:bottom w:val="single" w:sz="4" w:space="0" w:color="auto"/>
            </w:tcBorders>
            <w:shd w:val="clear" w:color="auto" w:fill="auto"/>
            <w:noWrap/>
            <w:vAlign w:val="center"/>
            <w:hideMark/>
          </w:tcPr>
          <w:p w14:paraId="691DA3DB" w14:textId="77777777" w:rsidR="00117A51" w:rsidRPr="00CD364B" w:rsidRDefault="00117A51" w:rsidP="00004F21">
            <w:pPr>
              <w:spacing w:after="0" w:line="360" w:lineRule="auto"/>
              <w:jc w:val="right"/>
              <w:rPr>
                <w:rFonts w:eastAsia="Times New Roman" w:cstheme="minorHAnsi"/>
                <w:sz w:val="20"/>
                <w:szCs w:val="20"/>
                <w:lang w:val="en-US"/>
              </w:rPr>
            </w:pPr>
            <w:r w:rsidRPr="00CD364B">
              <w:rPr>
                <w:rFonts w:eastAsia="Times New Roman" w:cstheme="minorHAnsi"/>
                <w:sz w:val="20"/>
                <w:szCs w:val="20"/>
                <w:lang w:val="en-US"/>
              </w:rPr>
              <w:t>87436.312</w:t>
            </w:r>
          </w:p>
        </w:tc>
        <w:tc>
          <w:tcPr>
            <w:tcW w:w="1085" w:type="dxa"/>
            <w:tcBorders>
              <w:top w:val="single" w:sz="4" w:space="0" w:color="auto"/>
              <w:bottom w:val="single" w:sz="4" w:space="0" w:color="auto"/>
            </w:tcBorders>
            <w:shd w:val="clear" w:color="auto" w:fill="auto"/>
            <w:noWrap/>
            <w:vAlign w:val="center"/>
            <w:hideMark/>
          </w:tcPr>
          <w:p w14:paraId="3123ECF7" w14:textId="77777777" w:rsidR="00117A51" w:rsidRPr="00CD364B" w:rsidRDefault="00117A51" w:rsidP="00004F21">
            <w:pPr>
              <w:spacing w:after="0" w:line="360" w:lineRule="auto"/>
              <w:jc w:val="right"/>
              <w:rPr>
                <w:rFonts w:eastAsia="Times New Roman" w:cstheme="minorHAnsi"/>
                <w:sz w:val="20"/>
                <w:szCs w:val="20"/>
                <w:lang w:val="en-US"/>
              </w:rPr>
            </w:pPr>
            <w:r w:rsidRPr="00CD364B">
              <w:rPr>
                <w:rFonts w:eastAsia="Times New Roman" w:cstheme="minorHAnsi"/>
                <w:sz w:val="20"/>
                <w:szCs w:val="20"/>
                <w:lang w:val="en-US"/>
              </w:rPr>
              <w:t>59431.477</w:t>
            </w:r>
          </w:p>
        </w:tc>
        <w:tc>
          <w:tcPr>
            <w:tcW w:w="1085" w:type="dxa"/>
            <w:tcBorders>
              <w:top w:val="single" w:sz="4" w:space="0" w:color="auto"/>
              <w:bottom w:val="single" w:sz="4" w:space="0" w:color="auto"/>
            </w:tcBorders>
            <w:shd w:val="clear" w:color="auto" w:fill="auto"/>
            <w:noWrap/>
            <w:vAlign w:val="center"/>
            <w:hideMark/>
          </w:tcPr>
          <w:p w14:paraId="4A46827E" w14:textId="77777777" w:rsidR="00117A51" w:rsidRPr="00CD364B" w:rsidRDefault="00117A51" w:rsidP="00004F21">
            <w:pPr>
              <w:spacing w:after="0" w:line="360" w:lineRule="auto"/>
              <w:jc w:val="right"/>
              <w:rPr>
                <w:rFonts w:eastAsia="Times New Roman" w:cstheme="minorHAnsi"/>
                <w:sz w:val="20"/>
                <w:szCs w:val="20"/>
                <w:lang w:val="en-US"/>
              </w:rPr>
            </w:pPr>
            <w:r w:rsidRPr="00CD364B">
              <w:rPr>
                <w:rFonts w:eastAsia="Times New Roman" w:cstheme="minorHAnsi"/>
                <w:sz w:val="20"/>
                <w:szCs w:val="20"/>
                <w:lang w:val="en-US"/>
              </w:rPr>
              <w:t>50382.416</w:t>
            </w:r>
          </w:p>
        </w:tc>
        <w:tc>
          <w:tcPr>
            <w:tcW w:w="1088" w:type="dxa"/>
            <w:tcBorders>
              <w:top w:val="single" w:sz="4" w:space="0" w:color="auto"/>
              <w:bottom w:val="single" w:sz="4" w:space="0" w:color="auto"/>
            </w:tcBorders>
            <w:shd w:val="clear" w:color="auto" w:fill="auto"/>
            <w:noWrap/>
            <w:vAlign w:val="center"/>
            <w:hideMark/>
          </w:tcPr>
          <w:p w14:paraId="0E08EF8C" w14:textId="77777777" w:rsidR="00117A51" w:rsidRPr="00CD364B" w:rsidRDefault="00117A51" w:rsidP="00004F21">
            <w:pPr>
              <w:spacing w:after="0" w:line="360" w:lineRule="auto"/>
              <w:jc w:val="right"/>
              <w:rPr>
                <w:rFonts w:eastAsia="Times New Roman" w:cstheme="minorHAnsi"/>
                <w:sz w:val="20"/>
                <w:szCs w:val="20"/>
                <w:lang w:val="en-US"/>
              </w:rPr>
            </w:pPr>
            <w:r w:rsidRPr="00CD364B">
              <w:rPr>
                <w:rFonts w:eastAsia="Times New Roman" w:cstheme="minorHAnsi"/>
                <w:sz w:val="20"/>
                <w:szCs w:val="20"/>
                <w:lang w:val="en-US"/>
              </w:rPr>
              <w:t>47215.765</w:t>
            </w:r>
          </w:p>
        </w:tc>
      </w:tr>
      <w:tr w:rsidR="00CD364B" w:rsidRPr="00CD364B" w14:paraId="0219FE8B" w14:textId="77777777" w:rsidTr="00DA6CBD">
        <w:trPr>
          <w:trHeight w:val="175"/>
          <w:jc w:val="center"/>
        </w:trPr>
        <w:tc>
          <w:tcPr>
            <w:tcW w:w="2567" w:type="dxa"/>
            <w:vMerge/>
            <w:tcBorders>
              <w:top w:val="single" w:sz="4" w:space="0" w:color="auto"/>
              <w:bottom w:val="single" w:sz="4" w:space="0" w:color="auto"/>
            </w:tcBorders>
            <w:vAlign w:val="center"/>
            <w:hideMark/>
          </w:tcPr>
          <w:p w14:paraId="650DCCFF" w14:textId="77777777" w:rsidR="00117A51" w:rsidRPr="00CD364B" w:rsidRDefault="00117A51" w:rsidP="00004F21">
            <w:pPr>
              <w:spacing w:after="0" w:line="360" w:lineRule="auto"/>
              <w:rPr>
                <w:rFonts w:eastAsia="Times New Roman" w:cstheme="minorHAnsi"/>
                <w:sz w:val="20"/>
                <w:szCs w:val="20"/>
                <w:lang w:val="en-US"/>
              </w:rPr>
            </w:pPr>
          </w:p>
        </w:tc>
        <w:tc>
          <w:tcPr>
            <w:tcW w:w="1008" w:type="dxa"/>
            <w:tcBorders>
              <w:top w:val="single" w:sz="4" w:space="0" w:color="auto"/>
              <w:bottom w:val="single" w:sz="4" w:space="0" w:color="auto"/>
            </w:tcBorders>
            <w:shd w:val="clear" w:color="auto" w:fill="auto"/>
            <w:noWrap/>
            <w:vAlign w:val="center"/>
            <w:hideMark/>
          </w:tcPr>
          <w:p w14:paraId="5D7E4F3E" w14:textId="77777777" w:rsidR="00117A51" w:rsidRPr="00CD364B" w:rsidRDefault="00117A51" w:rsidP="00004F21">
            <w:pPr>
              <w:spacing w:after="0" w:line="360" w:lineRule="auto"/>
              <w:jc w:val="center"/>
              <w:rPr>
                <w:rFonts w:eastAsia="Times New Roman" w:cstheme="minorHAnsi"/>
                <w:sz w:val="20"/>
                <w:szCs w:val="20"/>
                <w:lang w:val="en-US"/>
              </w:rPr>
            </w:pPr>
            <w:r w:rsidRPr="00CD364B">
              <w:rPr>
                <w:rFonts w:eastAsia="Times New Roman" w:cstheme="minorHAnsi"/>
                <w:sz w:val="20"/>
                <w:szCs w:val="20"/>
                <w:lang w:val="en-US"/>
              </w:rPr>
              <w:t>γ</w:t>
            </w:r>
          </w:p>
        </w:tc>
        <w:tc>
          <w:tcPr>
            <w:tcW w:w="1319" w:type="dxa"/>
            <w:tcBorders>
              <w:top w:val="single" w:sz="4" w:space="0" w:color="auto"/>
              <w:bottom w:val="single" w:sz="4" w:space="0" w:color="auto"/>
            </w:tcBorders>
            <w:shd w:val="clear" w:color="auto" w:fill="auto"/>
            <w:noWrap/>
            <w:vAlign w:val="center"/>
            <w:hideMark/>
          </w:tcPr>
          <w:p w14:paraId="51B2D9FC" w14:textId="77777777" w:rsidR="00117A51" w:rsidRPr="00CD364B" w:rsidRDefault="00117A51" w:rsidP="00004F21">
            <w:pPr>
              <w:spacing w:after="0" w:line="360" w:lineRule="auto"/>
              <w:jc w:val="right"/>
              <w:rPr>
                <w:rFonts w:eastAsia="Times New Roman" w:cstheme="minorHAnsi"/>
                <w:sz w:val="20"/>
                <w:szCs w:val="20"/>
                <w:lang w:val="en-US"/>
              </w:rPr>
            </w:pPr>
            <w:r w:rsidRPr="00CD364B">
              <w:rPr>
                <w:rFonts w:eastAsia="Times New Roman" w:cstheme="minorHAnsi"/>
                <w:sz w:val="20"/>
                <w:szCs w:val="20"/>
                <w:lang w:val="en-US"/>
              </w:rPr>
              <w:t>16477.049</w:t>
            </w:r>
          </w:p>
        </w:tc>
        <w:tc>
          <w:tcPr>
            <w:tcW w:w="1085" w:type="dxa"/>
            <w:tcBorders>
              <w:top w:val="single" w:sz="4" w:space="0" w:color="auto"/>
              <w:bottom w:val="single" w:sz="4" w:space="0" w:color="auto"/>
            </w:tcBorders>
            <w:shd w:val="clear" w:color="auto" w:fill="auto"/>
            <w:noWrap/>
            <w:vAlign w:val="center"/>
            <w:hideMark/>
          </w:tcPr>
          <w:p w14:paraId="556177EE" w14:textId="77777777" w:rsidR="00117A51" w:rsidRPr="00CD364B" w:rsidRDefault="00117A51" w:rsidP="00004F21">
            <w:pPr>
              <w:spacing w:after="0" w:line="360" w:lineRule="auto"/>
              <w:jc w:val="right"/>
              <w:rPr>
                <w:rFonts w:eastAsia="Times New Roman" w:cstheme="minorHAnsi"/>
                <w:sz w:val="20"/>
                <w:szCs w:val="20"/>
                <w:lang w:val="en-US"/>
              </w:rPr>
            </w:pPr>
            <w:r w:rsidRPr="00CD364B">
              <w:rPr>
                <w:rFonts w:eastAsia="Times New Roman" w:cstheme="minorHAnsi"/>
                <w:sz w:val="20"/>
                <w:szCs w:val="20"/>
                <w:lang w:val="en-US"/>
              </w:rPr>
              <w:t>9475.991</w:t>
            </w:r>
          </w:p>
        </w:tc>
        <w:tc>
          <w:tcPr>
            <w:tcW w:w="1085" w:type="dxa"/>
            <w:tcBorders>
              <w:top w:val="single" w:sz="4" w:space="0" w:color="auto"/>
              <w:bottom w:val="single" w:sz="4" w:space="0" w:color="auto"/>
            </w:tcBorders>
            <w:shd w:val="clear" w:color="auto" w:fill="auto"/>
            <w:noWrap/>
            <w:vAlign w:val="center"/>
            <w:hideMark/>
          </w:tcPr>
          <w:p w14:paraId="1742C812" w14:textId="77777777" w:rsidR="00117A51" w:rsidRPr="00CD364B" w:rsidRDefault="00117A51" w:rsidP="00004F21">
            <w:pPr>
              <w:spacing w:after="0" w:line="360" w:lineRule="auto"/>
              <w:jc w:val="right"/>
              <w:rPr>
                <w:rFonts w:eastAsia="Times New Roman" w:cstheme="minorHAnsi"/>
                <w:sz w:val="20"/>
                <w:szCs w:val="20"/>
                <w:lang w:val="en-US"/>
              </w:rPr>
            </w:pPr>
            <w:r w:rsidRPr="00CD364B">
              <w:rPr>
                <w:rFonts w:eastAsia="Times New Roman" w:cstheme="minorHAnsi"/>
                <w:sz w:val="20"/>
                <w:szCs w:val="20"/>
                <w:lang w:val="en-US"/>
              </w:rPr>
              <w:t>6114.003</w:t>
            </w:r>
          </w:p>
        </w:tc>
        <w:tc>
          <w:tcPr>
            <w:tcW w:w="1088" w:type="dxa"/>
            <w:tcBorders>
              <w:top w:val="single" w:sz="4" w:space="0" w:color="auto"/>
              <w:bottom w:val="single" w:sz="4" w:space="0" w:color="auto"/>
            </w:tcBorders>
            <w:shd w:val="clear" w:color="auto" w:fill="auto"/>
            <w:noWrap/>
            <w:vAlign w:val="center"/>
            <w:hideMark/>
          </w:tcPr>
          <w:p w14:paraId="78020F83" w14:textId="77777777" w:rsidR="00117A51" w:rsidRPr="00CD364B" w:rsidRDefault="00117A51" w:rsidP="00004F21">
            <w:pPr>
              <w:spacing w:after="0" w:line="360" w:lineRule="auto"/>
              <w:jc w:val="right"/>
              <w:rPr>
                <w:rFonts w:eastAsia="Times New Roman" w:cstheme="minorHAnsi"/>
                <w:sz w:val="20"/>
                <w:szCs w:val="20"/>
                <w:lang w:val="en-US"/>
              </w:rPr>
            </w:pPr>
            <w:r w:rsidRPr="00CD364B">
              <w:rPr>
                <w:rFonts w:eastAsia="Times New Roman" w:cstheme="minorHAnsi"/>
                <w:sz w:val="20"/>
                <w:szCs w:val="20"/>
                <w:lang w:val="en-US"/>
              </w:rPr>
              <w:t>4441.374</w:t>
            </w:r>
          </w:p>
        </w:tc>
      </w:tr>
      <w:tr w:rsidR="00117A51" w:rsidRPr="00CD364B" w14:paraId="4872A57A" w14:textId="77777777" w:rsidTr="00DA6CBD">
        <w:trPr>
          <w:trHeight w:val="963"/>
          <w:jc w:val="center"/>
        </w:trPr>
        <w:tc>
          <w:tcPr>
            <w:tcW w:w="8152" w:type="dxa"/>
            <w:gridSpan w:val="6"/>
            <w:tcBorders>
              <w:top w:val="single" w:sz="4" w:space="0" w:color="auto"/>
            </w:tcBorders>
            <w:shd w:val="clear" w:color="auto" w:fill="auto"/>
            <w:vAlign w:val="center"/>
            <w:hideMark/>
          </w:tcPr>
          <w:p w14:paraId="3A46C7FA" w14:textId="77777777" w:rsidR="00117A51" w:rsidRPr="00CD364B" w:rsidRDefault="00117A51" w:rsidP="00DA6CBD">
            <w:pPr>
              <w:spacing w:after="0" w:line="240" w:lineRule="auto"/>
              <w:jc w:val="both"/>
              <w:rPr>
                <w:rFonts w:eastAsia="Times New Roman" w:cstheme="minorHAnsi"/>
                <w:sz w:val="20"/>
                <w:szCs w:val="20"/>
                <w:lang w:val="en-US"/>
              </w:rPr>
            </w:pPr>
            <w:r w:rsidRPr="00CD364B">
              <w:rPr>
                <w:rFonts w:eastAsia="Times New Roman" w:cstheme="minorHAnsi"/>
                <w:i/>
                <w:iCs/>
                <w:sz w:val="20"/>
                <w:szCs w:val="20"/>
                <w:lang w:val="en-US"/>
              </w:rPr>
              <w:t>Note:</w:t>
            </w:r>
            <w:r w:rsidRPr="00CD364B">
              <w:rPr>
                <w:rFonts w:eastAsia="Times New Roman" w:cstheme="minorHAnsi"/>
                <w:sz w:val="20"/>
                <w:szCs w:val="20"/>
                <w:lang w:val="en-US"/>
              </w:rPr>
              <w:t xml:space="preserve"> This table presents the results of the quantile cointegration test of Xiao (2009) for the logarithm of the Environmental &amp; Social Responsibility Index (ESRI) and Green Bond Index (GRBI). We test the stability of the coefficients β and γ in the quantile cointegration model and CV1, CV5, and CV10 are the critical values of statistical significance at 1%, 5%, and 10%, respectively. We use 1000 Monte Carlo simulations to generate the critical values. We use an equally spaced grid of 19 quantiles, [0.05-0.95], to calculate the test statistic of the quantile cointegration model between ESRI &amp; GRBI. </w:t>
            </w:r>
          </w:p>
        </w:tc>
      </w:tr>
    </w:tbl>
    <w:p w14:paraId="71431A20" w14:textId="77777777" w:rsidR="00117A51" w:rsidRPr="00CD364B" w:rsidRDefault="00117A51" w:rsidP="00004F21">
      <w:pPr>
        <w:spacing w:line="360" w:lineRule="auto"/>
        <w:rPr>
          <w:rFonts w:cstheme="minorHAnsi"/>
          <w:lang w:val="en-US"/>
        </w:rPr>
      </w:pPr>
    </w:p>
    <w:p w14:paraId="3567D448" w14:textId="77777777" w:rsidR="00DA6CBD" w:rsidRPr="00CD364B" w:rsidRDefault="00DA6CBD" w:rsidP="00DA6CBD">
      <w:pPr>
        <w:spacing w:line="360" w:lineRule="auto"/>
        <w:jc w:val="center"/>
        <w:rPr>
          <w:rFonts w:cstheme="minorHAnsi"/>
          <w:b/>
          <w:bCs/>
          <w:sz w:val="24"/>
          <w:szCs w:val="24"/>
          <w:lang w:val="en-US"/>
        </w:rPr>
      </w:pPr>
    </w:p>
    <w:p w14:paraId="3497CF3E" w14:textId="4ECAFD10" w:rsidR="00DA6CBD" w:rsidRPr="00CD364B" w:rsidRDefault="00DA6CBD" w:rsidP="00DA6CBD">
      <w:pPr>
        <w:spacing w:line="360" w:lineRule="auto"/>
        <w:jc w:val="center"/>
        <w:rPr>
          <w:rFonts w:cstheme="minorHAnsi"/>
          <w:b/>
          <w:bCs/>
          <w:sz w:val="24"/>
          <w:szCs w:val="24"/>
          <w:lang w:val="en-US"/>
        </w:rPr>
      </w:pPr>
    </w:p>
    <w:p w14:paraId="5C5B3790" w14:textId="326F669B" w:rsidR="008333D0" w:rsidRPr="00CD364B" w:rsidRDefault="008333D0" w:rsidP="00DA6CBD">
      <w:pPr>
        <w:spacing w:line="360" w:lineRule="auto"/>
        <w:jc w:val="center"/>
        <w:rPr>
          <w:rFonts w:cstheme="minorHAnsi"/>
          <w:b/>
          <w:bCs/>
          <w:sz w:val="24"/>
          <w:szCs w:val="24"/>
          <w:lang w:val="en-US"/>
        </w:rPr>
      </w:pPr>
    </w:p>
    <w:p w14:paraId="76C0133C" w14:textId="77777777" w:rsidR="008333D0" w:rsidRPr="00CD364B" w:rsidRDefault="008333D0" w:rsidP="00DA6CBD">
      <w:pPr>
        <w:spacing w:line="360" w:lineRule="auto"/>
        <w:jc w:val="center"/>
        <w:rPr>
          <w:rFonts w:cstheme="minorHAnsi"/>
          <w:b/>
          <w:bCs/>
          <w:sz w:val="24"/>
          <w:szCs w:val="24"/>
          <w:lang w:val="en-US"/>
        </w:rPr>
      </w:pPr>
    </w:p>
    <w:p w14:paraId="0CA1CF87" w14:textId="77777777" w:rsidR="00DA6CBD" w:rsidRPr="00CD364B" w:rsidRDefault="00DA6CBD" w:rsidP="00DA6CBD">
      <w:pPr>
        <w:spacing w:line="360" w:lineRule="auto"/>
        <w:jc w:val="center"/>
        <w:rPr>
          <w:rFonts w:cstheme="minorHAnsi"/>
          <w:b/>
          <w:bCs/>
          <w:sz w:val="24"/>
          <w:szCs w:val="24"/>
          <w:lang w:val="en-US"/>
        </w:rPr>
      </w:pPr>
    </w:p>
    <w:p w14:paraId="3B47EAFC" w14:textId="0D8C2D87" w:rsidR="00DA6CBD" w:rsidRPr="00CD364B" w:rsidRDefault="00DA6CBD" w:rsidP="00DA6CBD">
      <w:pPr>
        <w:spacing w:line="360" w:lineRule="auto"/>
        <w:jc w:val="center"/>
        <w:rPr>
          <w:rFonts w:cstheme="minorHAnsi"/>
          <w:b/>
          <w:bCs/>
          <w:sz w:val="24"/>
          <w:szCs w:val="24"/>
          <w:lang w:val="en-US"/>
        </w:rPr>
      </w:pPr>
      <w:r w:rsidRPr="00CD364B">
        <w:rPr>
          <w:rFonts w:cstheme="minorHAnsi"/>
          <w:b/>
          <w:bCs/>
          <w:sz w:val="24"/>
          <w:szCs w:val="24"/>
          <w:lang w:val="en-US"/>
        </w:rPr>
        <w:lastRenderedPageBreak/>
        <w:t>Figure 2: Quantile on Quantile estimates of slope coefficient</w:t>
      </w:r>
    </w:p>
    <w:tbl>
      <w:tblPr>
        <w:tblStyle w:val="TableGrid"/>
        <w:tblW w:w="10092" w:type="dxa"/>
        <w:jc w:val="center"/>
        <w:tblLook w:val="04A0" w:firstRow="1" w:lastRow="0" w:firstColumn="1" w:lastColumn="0" w:noHBand="0" w:noVBand="1"/>
      </w:tblPr>
      <w:tblGrid>
        <w:gridCol w:w="5046"/>
        <w:gridCol w:w="5046"/>
      </w:tblGrid>
      <w:tr w:rsidR="00CD364B" w:rsidRPr="00CD364B" w14:paraId="3D211987" w14:textId="77777777" w:rsidTr="00004F21">
        <w:trPr>
          <w:trHeight w:val="270"/>
          <w:jc w:val="center"/>
        </w:trPr>
        <w:tc>
          <w:tcPr>
            <w:tcW w:w="10092" w:type="dxa"/>
            <w:gridSpan w:val="2"/>
          </w:tcPr>
          <w:p w14:paraId="5CFBA621"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Impact of Green Bond Index on Environmental &amp; Social Responsibility Index</w:t>
            </w:r>
          </w:p>
        </w:tc>
      </w:tr>
      <w:tr w:rsidR="00CD364B" w:rsidRPr="00CD364B" w14:paraId="77DBCD54" w14:textId="77777777" w:rsidTr="00004F21">
        <w:trPr>
          <w:trHeight w:val="2140"/>
          <w:jc w:val="center"/>
        </w:trPr>
        <w:tc>
          <w:tcPr>
            <w:tcW w:w="5046" w:type="dxa"/>
          </w:tcPr>
          <w:p w14:paraId="39DD2C35"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w:t>
            </w:r>
          </w:p>
          <w:p w14:paraId="74F5B0C3" w14:textId="77777777" w:rsidR="00117A51" w:rsidRPr="00CD364B" w:rsidRDefault="00117A51" w:rsidP="00004F21">
            <w:pPr>
              <w:spacing w:line="360" w:lineRule="auto"/>
              <w:jc w:val="center"/>
              <w:rPr>
                <w:rFonts w:cstheme="minorHAnsi"/>
                <w:b/>
                <w:bCs/>
                <w:sz w:val="20"/>
                <w:szCs w:val="20"/>
                <w:lang w:val="en-US"/>
              </w:rPr>
            </w:pPr>
            <w:r w:rsidRPr="00CD364B">
              <w:rPr>
                <w:rFonts w:cstheme="minorHAnsi"/>
                <w:b/>
                <w:bCs/>
                <w:noProof/>
                <w:sz w:val="20"/>
                <w:szCs w:val="20"/>
                <w:lang w:val="en-US"/>
              </w:rPr>
              <w:drawing>
                <wp:inline distT="0" distB="0" distL="0" distR="0" wp14:anchorId="085810BE" wp14:editId="35870557">
                  <wp:extent cx="3060000" cy="2318400"/>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ESRI-GRBI (RAW).jpg"/>
                          <pic:cNvPicPr/>
                        </pic:nvPicPr>
                        <pic:blipFill>
                          <a:blip r:embed="rId12">
                            <a:extLst>
                              <a:ext uri="{28A0092B-C50C-407E-A947-70E740481C1C}">
                                <a14:useLocalDpi xmlns:a14="http://schemas.microsoft.com/office/drawing/2010/main" val="0"/>
                              </a:ext>
                            </a:extLst>
                          </a:blip>
                          <a:stretch>
                            <a:fillRect/>
                          </a:stretch>
                        </pic:blipFill>
                        <pic:spPr>
                          <a:xfrm>
                            <a:off x="0" y="0"/>
                            <a:ext cx="3060000" cy="2318400"/>
                          </a:xfrm>
                          <a:prstGeom prst="rect">
                            <a:avLst/>
                          </a:prstGeom>
                        </pic:spPr>
                      </pic:pic>
                    </a:graphicData>
                  </a:graphic>
                </wp:inline>
              </w:drawing>
            </w:r>
          </w:p>
        </w:tc>
        <w:tc>
          <w:tcPr>
            <w:tcW w:w="5046" w:type="dxa"/>
          </w:tcPr>
          <w:p w14:paraId="108B1BEF"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(D1)</w:t>
            </w:r>
          </w:p>
          <w:p w14:paraId="43BB534D" w14:textId="77777777" w:rsidR="00117A51" w:rsidRPr="00CD364B" w:rsidRDefault="00117A51" w:rsidP="00004F21">
            <w:pPr>
              <w:spacing w:line="360" w:lineRule="auto"/>
              <w:rPr>
                <w:rFonts w:cstheme="minorHAnsi"/>
                <w:b/>
                <w:bCs/>
                <w:sz w:val="20"/>
                <w:szCs w:val="20"/>
                <w:lang w:val="en-US"/>
              </w:rPr>
            </w:pPr>
            <w:r w:rsidRPr="00CD364B">
              <w:rPr>
                <w:rFonts w:cstheme="minorHAnsi"/>
                <w:b/>
                <w:bCs/>
                <w:noProof/>
                <w:sz w:val="20"/>
                <w:szCs w:val="20"/>
                <w:lang w:val="en-US"/>
              </w:rPr>
              <w:drawing>
                <wp:inline distT="0" distB="0" distL="0" distR="0" wp14:anchorId="17E4BCEA" wp14:editId="3D301C79">
                  <wp:extent cx="3060000" cy="2340000"/>
                  <wp:effectExtent l="0" t="0" r="7620" b="317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2. ESRI-GRBI (D1).jpg"/>
                          <pic:cNvPicPr/>
                        </pic:nvPicPr>
                        <pic:blipFill>
                          <a:blip r:embed="rId13">
                            <a:extLst>
                              <a:ext uri="{28A0092B-C50C-407E-A947-70E740481C1C}">
                                <a14:useLocalDpi xmlns:a14="http://schemas.microsoft.com/office/drawing/2010/main" val="0"/>
                              </a:ext>
                            </a:extLst>
                          </a:blip>
                          <a:stretch>
                            <a:fillRect/>
                          </a:stretch>
                        </pic:blipFill>
                        <pic:spPr>
                          <a:xfrm>
                            <a:off x="0" y="0"/>
                            <a:ext cx="3060000" cy="2340000"/>
                          </a:xfrm>
                          <a:prstGeom prst="rect">
                            <a:avLst/>
                          </a:prstGeom>
                        </pic:spPr>
                      </pic:pic>
                    </a:graphicData>
                  </a:graphic>
                </wp:inline>
              </w:drawing>
            </w:r>
          </w:p>
          <w:p w14:paraId="047782A6" w14:textId="77777777" w:rsidR="00117A51" w:rsidRPr="00CD364B" w:rsidRDefault="00117A51" w:rsidP="00004F21">
            <w:pPr>
              <w:spacing w:line="360" w:lineRule="auto"/>
              <w:rPr>
                <w:rFonts w:cstheme="minorHAnsi"/>
                <w:b/>
                <w:bCs/>
                <w:sz w:val="20"/>
                <w:szCs w:val="20"/>
                <w:lang w:val="en-US"/>
              </w:rPr>
            </w:pPr>
          </w:p>
        </w:tc>
      </w:tr>
      <w:tr w:rsidR="00CD364B" w:rsidRPr="00CD364B" w14:paraId="3282C5B9" w14:textId="77777777" w:rsidTr="00004F21">
        <w:trPr>
          <w:trHeight w:val="260"/>
          <w:jc w:val="center"/>
        </w:trPr>
        <w:tc>
          <w:tcPr>
            <w:tcW w:w="5046" w:type="dxa"/>
          </w:tcPr>
          <w:p w14:paraId="4661041B"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(D2)</w:t>
            </w:r>
          </w:p>
          <w:p w14:paraId="12E74B90" w14:textId="77777777" w:rsidR="00117A51" w:rsidRPr="00CD364B" w:rsidRDefault="00117A51" w:rsidP="00004F21">
            <w:pPr>
              <w:spacing w:line="360" w:lineRule="auto"/>
              <w:jc w:val="center"/>
              <w:rPr>
                <w:rFonts w:cstheme="minorHAnsi"/>
                <w:b/>
                <w:bCs/>
                <w:sz w:val="20"/>
                <w:szCs w:val="20"/>
                <w:lang w:val="en-US"/>
              </w:rPr>
            </w:pPr>
            <w:r w:rsidRPr="00CD364B">
              <w:rPr>
                <w:rFonts w:cstheme="minorHAnsi"/>
                <w:b/>
                <w:bCs/>
                <w:noProof/>
                <w:sz w:val="20"/>
                <w:szCs w:val="20"/>
                <w:lang w:val="en-US"/>
              </w:rPr>
              <w:drawing>
                <wp:inline distT="0" distB="0" distL="0" distR="0" wp14:anchorId="79C12206" wp14:editId="014338BE">
                  <wp:extent cx="3060000" cy="2340000"/>
                  <wp:effectExtent l="0" t="0" r="7620" b="31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3. ESRI-GRBI (D2).jpg"/>
                          <pic:cNvPicPr/>
                        </pic:nvPicPr>
                        <pic:blipFill>
                          <a:blip r:embed="rId14">
                            <a:extLst>
                              <a:ext uri="{28A0092B-C50C-407E-A947-70E740481C1C}">
                                <a14:useLocalDpi xmlns:a14="http://schemas.microsoft.com/office/drawing/2010/main" val="0"/>
                              </a:ext>
                            </a:extLst>
                          </a:blip>
                          <a:stretch>
                            <a:fillRect/>
                          </a:stretch>
                        </pic:blipFill>
                        <pic:spPr>
                          <a:xfrm>
                            <a:off x="0" y="0"/>
                            <a:ext cx="3060000" cy="2340000"/>
                          </a:xfrm>
                          <a:prstGeom prst="rect">
                            <a:avLst/>
                          </a:prstGeom>
                        </pic:spPr>
                      </pic:pic>
                    </a:graphicData>
                  </a:graphic>
                </wp:inline>
              </w:drawing>
            </w:r>
          </w:p>
        </w:tc>
        <w:tc>
          <w:tcPr>
            <w:tcW w:w="5046" w:type="dxa"/>
          </w:tcPr>
          <w:p w14:paraId="4E4A9F4A"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(D3)</w:t>
            </w:r>
          </w:p>
          <w:p w14:paraId="1FCDBAC4" w14:textId="77777777" w:rsidR="00117A51" w:rsidRPr="00CD364B" w:rsidRDefault="00117A51" w:rsidP="00004F21">
            <w:pPr>
              <w:spacing w:line="360" w:lineRule="auto"/>
              <w:jc w:val="center"/>
              <w:rPr>
                <w:rFonts w:cstheme="minorHAnsi"/>
                <w:b/>
                <w:bCs/>
                <w:sz w:val="20"/>
                <w:szCs w:val="20"/>
                <w:lang w:val="en-US"/>
              </w:rPr>
            </w:pPr>
            <w:r w:rsidRPr="00CD364B">
              <w:rPr>
                <w:rFonts w:cstheme="minorHAnsi"/>
                <w:b/>
                <w:bCs/>
                <w:noProof/>
                <w:sz w:val="20"/>
                <w:szCs w:val="20"/>
                <w:lang w:val="en-US"/>
              </w:rPr>
              <w:drawing>
                <wp:inline distT="0" distB="0" distL="0" distR="0" wp14:anchorId="0AE48E8B" wp14:editId="7D3D22D7">
                  <wp:extent cx="3060000" cy="2340000"/>
                  <wp:effectExtent l="0" t="0" r="7620" b="317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4. ESRI-GRBI (D3).jpg"/>
                          <pic:cNvPicPr/>
                        </pic:nvPicPr>
                        <pic:blipFill>
                          <a:blip r:embed="rId15">
                            <a:extLst>
                              <a:ext uri="{28A0092B-C50C-407E-A947-70E740481C1C}">
                                <a14:useLocalDpi xmlns:a14="http://schemas.microsoft.com/office/drawing/2010/main" val="0"/>
                              </a:ext>
                            </a:extLst>
                          </a:blip>
                          <a:stretch>
                            <a:fillRect/>
                          </a:stretch>
                        </pic:blipFill>
                        <pic:spPr>
                          <a:xfrm>
                            <a:off x="0" y="0"/>
                            <a:ext cx="3060000" cy="2340000"/>
                          </a:xfrm>
                          <a:prstGeom prst="rect">
                            <a:avLst/>
                          </a:prstGeom>
                        </pic:spPr>
                      </pic:pic>
                    </a:graphicData>
                  </a:graphic>
                </wp:inline>
              </w:drawing>
            </w:r>
          </w:p>
        </w:tc>
      </w:tr>
      <w:tr w:rsidR="00CD364B" w:rsidRPr="00CD364B" w14:paraId="65AB73D4" w14:textId="77777777" w:rsidTr="00004F21">
        <w:trPr>
          <w:trHeight w:val="270"/>
          <w:jc w:val="center"/>
        </w:trPr>
        <w:tc>
          <w:tcPr>
            <w:tcW w:w="5046" w:type="dxa"/>
          </w:tcPr>
          <w:p w14:paraId="5DE81FD9"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(D4)</w:t>
            </w:r>
          </w:p>
          <w:p w14:paraId="2D1AB946" w14:textId="77777777" w:rsidR="00117A51" w:rsidRPr="00CD364B" w:rsidRDefault="00117A51" w:rsidP="00004F21">
            <w:pPr>
              <w:spacing w:line="360" w:lineRule="auto"/>
              <w:rPr>
                <w:rFonts w:cstheme="minorHAnsi"/>
                <w:b/>
                <w:bCs/>
                <w:sz w:val="20"/>
                <w:szCs w:val="20"/>
                <w:lang w:val="en-US"/>
              </w:rPr>
            </w:pPr>
            <w:r w:rsidRPr="00CD364B">
              <w:rPr>
                <w:rFonts w:cstheme="minorHAnsi"/>
                <w:b/>
                <w:bCs/>
                <w:noProof/>
                <w:sz w:val="20"/>
                <w:szCs w:val="20"/>
                <w:lang w:val="en-US"/>
              </w:rPr>
              <w:drawing>
                <wp:inline distT="0" distB="0" distL="0" distR="0" wp14:anchorId="2D6E8E3A" wp14:editId="05530989">
                  <wp:extent cx="3060000" cy="2340000"/>
                  <wp:effectExtent l="0" t="0" r="7620" b="317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5. ESRI-GRBI (D4).jpg"/>
                          <pic:cNvPicPr/>
                        </pic:nvPicPr>
                        <pic:blipFill>
                          <a:blip r:embed="rId16">
                            <a:extLst>
                              <a:ext uri="{28A0092B-C50C-407E-A947-70E740481C1C}">
                                <a14:useLocalDpi xmlns:a14="http://schemas.microsoft.com/office/drawing/2010/main" val="0"/>
                              </a:ext>
                            </a:extLst>
                          </a:blip>
                          <a:stretch>
                            <a:fillRect/>
                          </a:stretch>
                        </pic:blipFill>
                        <pic:spPr>
                          <a:xfrm>
                            <a:off x="0" y="0"/>
                            <a:ext cx="3060000" cy="2340000"/>
                          </a:xfrm>
                          <a:prstGeom prst="rect">
                            <a:avLst/>
                          </a:prstGeom>
                        </pic:spPr>
                      </pic:pic>
                    </a:graphicData>
                  </a:graphic>
                </wp:inline>
              </w:drawing>
            </w:r>
          </w:p>
        </w:tc>
        <w:tc>
          <w:tcPr>
            <w:tcW w:w="5046" w:type="dxa"/>
          </w:tcPr>
          <w:p w14:paraId="75428C6A"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(D5)</w:t>
            </w:r>
          </w:p>
          <w:p w14:paraId="1511C47C" w14:textId="77777777" w:rsidR="00117A51" w:rsidRPr="00CD364B" w:rsidRDefault="00117A51" w:rsidP="00004F21">
            <w:pPr>
              <w:spacing w:line="360" w:lineRule="auto"/>
              <w:rPr>
                <w:rFonts w:cstheme="minorHAnsi"/>
                <w:b/>
                <w:bCs/>
                <w:sz w:val="20"/>
                <w:szCs w:val="20"/>
                <w:lang w:val="en-US"/>
              </w:rPr>
            </w:pPr>
            <w:r w:rsidRPr="00CD364B">
              <w:rPr>
                <w:rFonts w:cstheme="minorHAnsi"/>
                <w:b/>
                <w:bCs/>
                <w:noProof/>
                <w:sz w:val="20"/>
                <w:szCs w:val="20"/>
                <w:lang w:val="en-US"/>
              </w:rPr>
              <w:drawing>
                <wp:inline distT="0" distB="0" distL="0" distR="0" wp14:anchorId="5DA184AA" wp14:editId="186B5AEE">
                  <wp:extent cx="3060000" cy="2340000"/>
                  <wp:effectExtent l="0" t="0" r="7620" b="317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6. ESRI-GRBI (D5).jpg"/>
                          <pic:cNvPicPr/>
                        </pic:nvPicPr>
                        <pic:blipFill>
                          <a:blip r:embed="rId17">
                            <a:extLst>
                              <a:ext uri="{28A0092B-C50C-407E-A947-70E740481C1C}">
                                <a14:useLocalDpi xmlns:a14="http://schemas.microsoft.com/office/drawing/2010/main" val="0"/>
                              </a:ext>
                            </a:extLst>
                          </a:blip>
                          <a:stretch>
                            <a:fillRect/>
                          </a:stretch>
                        </pic:blipFill>
                        <pic:spPr>
                          <a:xfrm>
                            <a:off x="0" y="0"/>
                            <a:ext cx="3060000" cy="2340000"/>
                          </a:xfrm>
                          <a:prstGeom prst="rect">
                            <a:avLst/>
                          </a:prstGeom>
                        </pic:spPr>
                      </pic:pic>
                    </a:graphicData>
                  </a:graphic>
                </wp:inline>
              </w:drawing>
            </w:r>
          </w:p>
        </w:tc>
      </w:tr>
      <w:tr w:rsidR="00CD364B" w:rsidRPr="00CD364B" w14:paraId="3594BDCE" w14:textId="77777777" w:rsidTr="00004F21">
        <w:trPr>
          <w:trHeight w:val="270"/>
          <w:jc w:val="center"/>
        </w:trPr>
        <w:tc>
          <w:tcPr>
            <w:tcW w:w="5046" w:type="dxa"/>
          </w:tcPr>
          <w:p w14:paraId="7D87815A"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lastRenderedPageBreak/>
              <w:t>GRBI (D6)</w:t>
            </w:r>
          </w:p>
          <w:p w14:paraId="527A44C4" w14:textId="77777777" w:rsidR="00117A51" w:rsidRPr="00CD364B" w:rsidRDefault="00117A51" w:rsidP="00004F21">
            <w:pPr>
              <w:spacing w:line="360" w:lineRule="auto"/>
              <w:rPr>
                <w:rFonts w:cstheme="minorHAnsi"/>
                <w:b/>
                <w:bCs/>
                <w:sz w:val="20"/>
                <w:szCs w:val="20"/>
                <w:lang w:val="en-US"/>
              </w:rPr>
            </w:pPr>
            <w:r w:rsidRPr="00CD364B">
              <w:rPr>
                <w:rFonts w:cstheme="minorHAnsi"/>
                <w:b/>
                <w:bCs/>
                <w:noProof/>
                <w:sz w:val="20"/>
                <w:szCs w:val="20"/>
                <w:lang w:val="en-US"/>
              </w:rPr>
              <w:drawing>
                <wp:inline distT="0" distB="0" distL="0" distR="0" wp14:anchorId="698C28E3" wp14:editId="410970CB">
                  <wp:extent cx="3060000" cy="2340000"/>
                  <wp:effectExtent l="0" t="0" r="7620" b="317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7. ESRI-GRBI (D6).jpg"/>
                          <pic:cNvPicPr/>
                        </pic:nvPicPr>
                        <pic:blipFill>
                          <a:blip r:embed="rId18">
                            <a:extLst>
                              <a:ext uri="{28A0092B-C50C-407E-A947-70E740481C1C}">
                                <a14:useLocalDpi xmlns:a14="http://schemas.microsoft.com/office/drawing/2010/main" val="0"/>
                              </a:ext>
                            </a:extLst>
                          </a:blip>
                          <a:stretch>
                            <a:fillRect/>
                          </a:stretch>
                        </pic:blipFill>
                        <pic:spPr>
                          <a:xfrm>
                            <a:off x="0" y="0"/>
                            <a:ext cx="3060000" cy="2340000"/>
                          </a:xfrm>
                          <a:prstGeom prst="rect">
                            <a:avLst/>
                          </a:prstGeom>
                        </pic:spPr>
                      </pic:pic>
                    </a:graphicData>
                  </a:graphic>
                </wp:inline>
              </w:drawing>
            </w:r>
          </w:p>
        </w:tc>
        <w:tc>
          <w:tcPr>
            <w:tcW w:w="5046" w:type="dxa"/>
          </w:tcPr>
          <w:p w14:paraId="37AD02C6"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(S6)</w:t>
            </w:r>
          </w:p>
          <w:p w14:paraId="03502B2B" w14:textId="77777777" w:rsidR="00117A51" w:rsidRPr="00CD364B" w:rsidRDefault="00117A51" w:rsidP="00004F21">
            <w:pPr>
              <w:spacing w:line="360" w:lineRule="auto"/>
              <w:rPr>
                <w:rFonts w:cstheme="minorHAnsi"/>
                <w:b/>
                <w:bCs/>
                <w:sz w:val="20"/>
                <w:szCs w:val="20"/>
                <w:lang w:val="en-US"/>
              </w:rPr>
            </w:pPr>
            <w:r w:rsidRPr="00CD364B">
              <w:rPr>
                <w:rFonts w:cstheme="minorHAnsi"/>
                <w:b/>
                <w:bCs/>
                <w:noProof/>
                <w:sz w:val="20"/>
                <w:szCs w:val="20"/>
                <w:lang w:val="en-US"/>
              </w:rPr>
              <w:drawing>
                <wp:inline distT="0" distB="0" distL="0" distR="0" wp14:anchorId="2238FDE8" wp14:editId="7F715ECE">
                  <wp:extent cx="3060000" cy="2340000"/>
                  <wp:effectExtent l="0" t="0" r="7620" b="317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8. ESRI-GRBI (S6).jpg"/>
                          <pic:cNvPicPr/>
                        </pic:nvPicPr>
                        <pic:blipFill>
                          <a:blip r:embed="rId19">
                            <a:extLst>
                              <a:ext uri="{28A0092B-C50C-407E-A947-70E740481C1C}">
                                <a14:useLocalDpi xmlns:a14="http://schemas.microsoft.com/office/drawing/2010/main" val="0"/>
                              </a:ext>
                            </a:extLst>
                          </a:blip>
                          <a:stretch>
                            <a:fillRect/>
                          </a:stretch>
                        </pic:blipFill>
                        <pic:spPr>
                          <a:xfrm>
                            <a:off x="0" y="0"/>
                            <a:ext cx="3060000" cy="2340000"/>
                          </a:xfrm>
                          <a:prstGeom prst="rect">
                            <a:avLst/>
                          </a:prstGeom>
                        </pic:spPr>
                      </pic:pic>
                    </a:graphicData>
                  </a:graphic>
                </wp:inline>
              </w:drawing>
            </w:r>
          </w:p>
        </w:tc>
      </w:tr>
      <w:tr w:rsidR="00117A51" w:rsidRPr="00CD364B" w14:paraId="58F551B0" w14:textId="77777777" w:rsidTr="00004F21">
        <w:trPr>
          <w:trHeight w:val="270"/>
          <w:jc w:val="center"/>
        </w:trPr>
        <w:tc>
          <w:tcPr>
            <w:tcW w:w="10092" w:type="dxa"/>
            <w:gridSpan w:val="2"/>
          </w:tcPr>
          <w:p w14:paraId="26424F9F" w14:textId="6EBA9758" w:rsidR="00117A51" w:rsidRPr="00CD364B" w:rsidRDefault="00117A51" w:rsidP="00DA6CBD">
            <w:pPr>
              <w:jc w:val="both"/>
              <w:rPr>
                <w:rFonts w:cstheme="minorHAnsi"/>
                <w:sz w:val="20"/>
                <w:szCs w:val="20"/>
                <w:lang w:val="en-US"/>
              </w:rPr>
            </w:pPr>
            <w:r w:rsidRPr="00CD364B">
              <w:rPr>
                <w:rFonts w:cstheme="minorHAnsi"/>
                <w:b/>
                <w:bCs/>
                <w:i/>
                <w:iCs/>
                <w:sz w:val="20"/>
                <w:szCs w:val="20"/>
                <w:lang w:val="en-US"/>
              </w:rPr>
              <w:t>Note:</w:t>
            </w:r>
            <w:r w:rsidRPr="00CD364B">
              <w:rPr>
                <w:rFonts w:cstheme="minorHAnsi"/>
                <w:b/>
                <w:bCs/>
                <w:sz w:val="20"/>
                <w:szCs w:val="20"/>
                <w:lang w:val="en-US"/>
              </w:rPr>
              <w:t xml:space="preserve"> </w:t>
            </w:r>
            <w:r w:rsidRPr="00CD364B">
              <w:rPr>
                <w:rFonts w:cstheme="minorHAnsi"/>
                <w:sz w:val="20"/>
                <w:szCs w:val="20"/>
                <w:lang w:val="en-US"/>
              </w:rPr>
              <w:t>GRBI represents Green bond index, GRBI-D</w:t>
            </w:r>
            <w:r w:rsidRPr="00CD364B">
              <w:rPr>
                <w:rFonts w:cstheme="minorHAnsi"/>
                <w:i/>
                <w:iCs/>
                <w:sz w:val="20"/>
                <w:szCs w:val="20"/>
                <w:lang w:val="en-US"/>
              </w:rPr>
              <w:t>i:</w:t>
            </w:r>
            <w:r w:rsidRPr="00CD364B">
              <w:rPr>
                <w:rFonts w:cstheme="minorHAnsi"/>
                <w:sz w:val="20"/>
                <w:szCs w:val="20"/>
                <w:lang w:val="en-US"/>
              </w:rPr>
              <w:t xml:space="preserve"> 0–4, 4–8, 8–16, 16–32, 32–64, 64–128days; </w:t>
            </w:r>
            <w:proofErr w:type="gramStart"/>
            <w:r w:rsidRPr="00CD364B">
              <w:rPr>
                <w:rFonts w:cstheme="minorHAnsi"/>
                <w:i/>
                <w:iCs/>
                <w:sz w:val="20"/>
                <w:szCs w:val="20"/>
                <w:lang w:val="en-US"/>
              </w:rPr>
              <w:t xml:space="preserve">i </w:t>
            </w:r>
            <w:r w:rsidRPr="00CD364B">
              <w:rPr>
                <w:rFonts w:cstheme="minorHAnsi"/>
                <w:sz w:val="20"/>
                <w:szCs w:val="20"/>
                <w:lang w:val="en-US"/>
              </w:rPr>
              <w:t>:</w:t>
            </w:r>
            <w:proofErr w:type="gramEnd"/>
            <w:r w:rsidRPr="00CD364B">
              <w:rPr>
                <w:rFonts w:cstheme="minorHAnsi"/>
                <w:sz w:val="20"/>
                <w:szCs w:val="20"/>
                <w:lang w:val="en-US"/>
              </w:rPr>
              <w:t xml:space="preserve"> 1,2,..6; GRBI.s6: long- term movement</w:t>
            </w:r>
            <w:r w:rsidR="00DA6CBD" w:rsidRPr="00CD364B">
              <w:rPr>
                <w:rFonts w:cstheme="minorHAnsi"/>
                <w:sz w:val="20"/>
                <w:szCs w:val="20"/>
                <w:lang w:val="en-US"/>
              </w:rPr>
              <w:t>.</w:t>
            </w:r>
          </w:p>
        </w:tc>
      </w:tr>
    </w:tbl>
    <w:p w14:paraId="564BBF5A" w14:textId="77777777" w:rsidR="00117A51" w:rsidRPr="00CD364B" w:rsidRDefault="00117A51" w:rsidP="00004F21">
      <w:pPr>
        <w:spacing w:line="360" w:lineRule="auto"/>
        <w:rPr>
          <w:rFonts w:cstheme="minorHAnsi"/>
          <w:lang w:val="en-US"/>
        </w:rPr>
      </w:pPr>
    </w:p>
    <w:p w14:paraId="56152187" w14:textId="77777777" w:rsidR="008E6F2A" w:rsidRPr="00CD364B" w:rsidRDefault="008E6F2A" w:rsidP="00004F21">
      <w:pPr>
        <w:spacing w:line="360" w:lineRule="auto"/>
        <w:rPr>
          <w:rFonts w:cstheme="minorHAnsi"/>
          <w:lang w:val="en-US"/>
        </w:rPr>
      </w:pPr>
    </w:p>
    <w:p w14:paraId="30AE4AC1" w14:textId="1BB0A6D1" w:rsidR="008E6F2A" w:rsidRPr="00CD364B" w:rsidRDefault="00DA6CBD" w:rsidP="00DA6CBD">
      <w:pPr>
        <w:spacing w:line="360" w:lineRule="auto"/>
        <w:jc w:val="center"/>
        <w:rPr>
          <w:rFonts w:cstheme="minorHAnsi"/>
          <w:b/>
          <w:bCs/>
          <w:sz w:val="24"/>
          <w:szCs w:val="24"/>
          <w:lang w:val="en-US"/>
        </w:rPr>
      </w:pPr>
      <w:r w:rsidRPr="00CD364B">
        <w:rPr>
          <w:rFonts w:cstheme="minorHAnsi"/>
          <w:b/>
          <w:bCs/>
          <w:sz w:val="24"/>
          <w:szCs w:val="24"/>
          <w:lang w:val="en-US"/>
        </w:rPr>
        <w:t>Figure 3. Comparison between QQR and QR estimates</w:t>
      </w:r>
    </w:p>
    <w:tbl>
      <w:tblPr>
        <w:tblStyle w:val="TableGrid"/>
        <w:tblW w:w="10092" w:type="dxa"/>
        <w:jc w:val="center"/>
        <w:tblLook w:val="04A0" w:firstRow="1" w:lastRow="0" w:firstColumn="1" w:lastColumn="0" w:noHBand="0" w:noVBand="1"/>
      </w:tblPr>
      <w:tblGrid>
        <w:gridCol w:w="5046"/>
        <w:gridCol w:w="5046"/>
      </w:tblGrid>
      <w:tr w:rsidR="00CD364B" w:rsidRPr="00CD364B" w14:paraId="66A57931" w14:textId="77777777" w:rsidTr="00004F21">
        <w:trPr>
          <w:trHeight w:val="270"/>
          <w:jc w:val="center"/>
        </w:trPr>
        <w:tc>
          <w:tcPr>
            <w:tcW w:w="10092" w:type="dxa"/>
            <w:gridSpan w:val="2"/>
          </w:tcPr>
          <w:p w14:paraId="23BEB7FF"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Impact of Green Bond Index on Environmental &amp; Social Responsibility Index</w:t>
            </w:r>
          </w:p>
        </w:tc>
      </w:tr>
      <w:tr w:rsidR="00CD364B" w:rsidRPr="00CD364B" w14:paraId="037E5B92" w14:textId="77777777" w:rsidTr="00004F21">
        <w:trPr>
          <w:trHeight w:val="2140"/>
          <w:jc w:val="center"/>
        </w:trPr>
        <w:tc>
          <w:tcPr>
            <w:tcW w:w="5046" w:type="dxa"/>
          </w:tcPr>
          <w:p w14:paraId="7527388B"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w:t>
            </w:r>
          </w:p>
          <w:p w14:paraId="7CB13456" w14:textId="77777777" w:rsidR="00117A51" w:rsidRPr="00CD364B" w:rsidRDefault="00117A51" w:rsidP="00004F21">
            <w:pPr>
              <w:spacing w:line="360" w:lineRule="auto"/>
              <w:jc w:val="center"/>
              <w:rPr>
                <w:rFonts w:cstheme="minorHAnsi"/>
                <w:b/>
                <w:bCs/>
                <w:sz w:val="20"/>
                <w:szCs w:val="20"/>
                <w:lang w:val="en-US"/>
              </w:rPr>
            </w:pPr>
            <w:r w:rsidRPr="00CD364B">
              <w:rPr>
                <w:rFonts w:cstheme="minorHAnsi"/>
                <w:noProof/>
                <w:lang w:val="en-US"/>
              </w:rPr>
              <w:drawing>
                <wp:inline distT="0" distB="0" distL="0" distR="0" wp14:anchorId="3B4F0783" wp14:editId="61DFFE09">
                  <wp:extent cx="3060000" cy="2340000"/>
                  <wp:effectExtent l="0" t="0" r="7620" b="3175"/>
                  <wp:docPr id="11" name="Chart 1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046" w:type="dxa"/>
          </w:tcPr>
          <w:p w14:paraId="3531D395"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(D1)</w:t>
            </w:r>
          </w:p>
          <w:p w14:paraId="538EDD36" w14:textId="77777777" w:rsidR="00117A51" w:rsidRPr="00CD364B" w:rsidRDefault="00117A51" w:rsidP="00004F21">
            <w:pPr>
              <w:spacing w:line="360" w:lineRule="auto"/>
              <w:rPr>
                <w:rFonts w:cstheme="minorHAnsi"/>
                <w:b/>
                <w:bCs/>
                <w:sz w:val="20"/>
                <w:szCs w:val="20"/>
                <w:lang w:val="en-US"/>
              </w:rPr>
            </w:pPr>
            <w:r w:rsidRPr="00CD364B">
              <w:rPr>
                <w:rFonts w:cstheme="minorHAnsi"/>
                <w:noProof/>
                <w:lang w:val="en-US"/>
              </w:rPr>
              <w:drawing>
                <wp:inline distT="0" distB="0" distL="0" distR="0" wp14:anchorId="69218A1D" wp14:editId="46BC7B7D">
                  <wp:extent cx="3060000" cy="2340000"/>
                  <wp:effectExtent l="0" t="0" r="7620" b="3175"/>
                  <wp:docPr id="12" name="Chart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C9318B" w14:textId="77777777" w:rsidR="00117A51" w:rsidRPr="00CD364B" w:rsidRDefault="00117A51" w:rsidP="00004F21">
            <w:pPr>
              <w:spacing w:line="360" w:lineRule="auto"/>
              <w:rPr>
                <w:rFonts w:cstheme="minorHAnsi"/>
                <w:b/>
                <w:bCs/>
                <w:sz w:val="20"/>
                <w:szCs w:val="20"/>
                <w:lang w:val="en-US"/>
              </w:rPr>
            </w:pPr>
          </w:p>
        </w:tc>
      </w:tr>
      <w:tr w:rsidR="00CD364B" w:rsidRPr="00CD364B" w14:paraId="3D1C7B5E" w14:textId="77777777" w:rsidTr="008E6F2A">
        <w:trPr>
          <w:trHeight w:val="4085"/>
          <w:jc w:val="center"/>
        </w:trPr>
        <w:tc>
          <w:tcPr>
            <w:tcW w:w="5046" w:type="dxa"/>
          </w:tcPr>
          <w:p w14:paraId="218B9AC0"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lastRenderedPageBreak/>
              <w:t>GRBI (D2)</w:t>
            </w:r>
          </w:p>
          <w:p w14:paraId="03BC7FC3" w14:textId="77777777" w:rsidR="00117A51" w:rsidRPr="00CD364B" w:rsidRDefault="00117A51" w:rsidP="00004F21">
            <w:pPr>
              <w:spacing w:line="360" w:lineRule="auto"/>
              <w:rPr>
                <w:rFonts w:cstheme="minorHAnsi"/>
                <w:b/>
                <w:bCs/>
                <w:sz w:val="20"/>
                <w:szCs w:val="20"/>
                <w:lang w:val="en-US"/>
              </w:rPr>
            </w:pPr>
            <w:r w:rsidRPr="00CD364B">
              <w:rPr>
                <w:rFonts w:cstheme="minorHAnsi"/>
                <w:noProof/>
                <w:lang w:val="en-US"/>
              </w:rPr>
              <w:drawing>
                <wp:inline distT="0" distB="0" distL="0" distR="0" wp14:anchorId="47DA350A" wp14:editId="1931972D">
                  <wp:extent cx="3060000" cy="2340000"/>
                  <wp:effectExtent l="0" t="0" r="7620" b="3175"/>
                  <wp:docPr id="13" name="Chart 1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046" w:type="dxa"/>
          </w:tcPr>
          <w:p w14:paraId="717DFE4E"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(D3)</w:t>
            </w:r>
          </w:p>
          <w:p w14:paraId="0991E575" w14:textId="77777777" w:rsidR="00117A51" w:rsidRPr="00CD364B" w:rsidRDefault="00117A51" w:rsidP="00004F21">
            <w:pPr>
              <w:spacing w:line="360" w:lineRule="auto"/>
              <w:rPr>
                <w:rFonts w:cstheme="minorHAnsi"/>
                <w:b/>
                <w:bCs/>
                <w:sz w:val="20"/>
                <w:szCs w:val="20"/>
                <w:lang w:val="en-US"/>
              </w:rPr>
            </w:pPr>
            <w:r w:rsidRPr="00CD364B">
              <w:rPr>
                <w:rFonts w:cstheme="minorHAnsi"/>
                <w:noProof/>
                <w:lang w:val="en-US"/>
              </w:rPr>
              <w:drawing>
                <wp:inline distT="0" distB="0" distL="0" distR="0" wp14:anchorId="1E816B52" wp14:editId="65FEF7B0">
                  <wp:extent cx="3060000" cy="2340000"/>
                  <wp:effectExtent l="0" t="0" r="7620" b="3175"/>
                  <wp:docPr id="14" name="Chart 1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CD364B" w:rsidRPr="00CD364B" w14:paraId="6B015B69" w14:textId="77777777" w:rsidTr="008E6F2A">
        <w:trPr>
          <w:trHeight w:val="4130"/>
          <w:jc w:val="center"/>
        </w:trPr>
        <w:tc>
          <w:tcPr>
            <w:tcW w:w="5046" w:type="dxa"/>
          </w:tcPr>
          <w:p w14:paraId="08B59207"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(D4)</w:t>
            </w:r>
          </w:p>
          <w:p w14:paraId="38AFD7F5" w14:textId="77777777" w:rsidR="00117A51" w:rsidRPr="00CD364B" w:rsidRDefault="00117A51" w:rsidP="00004F21">
            <w:pPr>
              <w:spacing w:line="360" w:lineRule="auto"/>
              <w:rPr>
                <w:rFonts w:cstheme="minorHAnsi"/>
                <w:b/>
                <w:bCs/>
                <w:sz w:val="20"/>
                <w:szCs w:val="20"/>
                <w:lang w:val="en-US"/>
              </w:rPr>
            </w:pPr>
            <w:r w:rsidRPr="00CD364B">
              <w:rPr>
                <w:rFonts w:cstheme="minorHAnsi"/>
                <w:noProof/>
                <w:lang w:val="en-US"/>
              </w:rPr>
              <w:drawing>
                <wp:inline distT="0" distB="0" distL="0" distR="0" wp14:anchorId="0170FF0C" wp14:editId="66F5163F">
                  <wp:extent cx="3060000" cy="2340000"/>
                  <wp:effectExtent l="0" t="0" r="7620" b="3175"/>
                  <wp:docPr id="15" name="Chart 1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46" w:type="dxa"/>
          </w:tcPr>
          <w:p w14:paraId="4CFC9B6F"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(D5)</w:t>
            </w:r>
          </w:p>
          <w:p w14:paraId="11E3CB77" w14:textId="77777777" w:rsidR="00117A51" w:rsidRPr="00CD364B" w:rsidRDefault="00117A51" w:rsidP="00004F21">
            <w:pPr>
              <w:spacing w:line="360" w:lineRule="auto"/>
              <w:rPr>
                <w:rFonts w:cstheme="minorHAnsi"/>
                <w:b/>
                <w:bCs/>
                <w:sz w:val="20"/>
                <w:szCs w:val="20"/>
                <w:lang w:val="en-US"/>
              </w:rPr>
            </w:pPr>
            <w:r w:rsidRPr="00CD364B">
              <w:rPr>
                <w:rFonts w:cstheme="minorHAnsi"/>
                <w:noProof/>
                <w:lang w:val="en-US"/>
              </w:rPr>
              <w:drawing>
                <wp:inline distT="0" distB="0" distL="0" distR="0" wp14:anchorId="63635324" wp14:editId="747972BA">
                  <wp:extent cx="3060000" cy="2340000"/>
                  <wp:effectExtent l="0" t="0" r="7620" b="3175"/>
                  <wp:docPr id="16" name="Chart 1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CD364B" w:rsidRPr="00CD364B" w14:paraId="7495502A" w14:textId="77777777" w:rsidTr="008E6F2A">
        <w:trPr>
          <w:trHeight w:val="4130"/>
          <w:jc w:val="center"/>
        </w:trPr>
        <w:tc>
          <w:tcPr>
            <w:tcW w:w="5046" w:type="dxa"/>
          </w:tcPr>
          <w:p w14:paraId="2E1CBA6A"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(D6)</w:t>
            </w:r>
          </w:p>
          <w:p w14:paraId="1F28444F" w14:textId="77777777" w:rsidR="00117A51" w:rsidRPr="00CD364B" w:rsidRDefault="00117A51" w:rsidP="00004F21">
            <w:pPr>
              <w:spacing w:line="360" w:lineRule="auto"/>
              <w:rPr>
                <w:rFonts w:cstheme="minorHAnsi"/>
                <w:b/>
                <w:bCs/>
                <w:sz w:val="20"/>
                <w:szCs w:val="20"/>
                <w:lang w:val="en-US"/>
              </w:rPr>
            </w:pPr>
            <w:r w:rsidRPr="00CD364B">
              <w:rPr>
                <w:rFonts w:cstheme="minorHAnsi"/>
                <w:noProof/>
                <w:lang w:val="en-US"/>
              </w:rPr>
              <w:drawing>
                <wp:inline distT="0" distB="0" distL="0" distR="0" wp14:anchorId="723343ED" wp14:editId="33C1CCC4">
                  <wp:extent cx="3060000" cy="2340000"/>
                  <wp:effectExtent l="0" t="0" r="7620" b="3175"/>
                  <wp:docPr id="17" name="Chart 17">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46" w:type="dxa"/>
          </w:tcPr>
          <w:p w14:paraId="66D14F55" w14:textId="77777777" w:rsidR="00117A51" w:rsidRPr="00CD364B" w:rsidRDefault="00117A51" w:rsidP="00004F21">
            <w:pPr>
              <w:spacing w:line="360" w:lineRule="auto"/>
              <w:rPr>
                <w:rFonts w:cstheme="minorHAnsi"/>
                <w:b/>
                <w:bCs/>
                <w:sz w:val="20"/>
                <w:szCs w:val="20"/>
                <w:lang w:val="en-US"/>
              </w:rPr>
            </w:pPr>
            <w:r w:rsidRPr="00CD364B">
              <w:rPr>
                <w:rFonts w:cstheme="minorHAnsi"/>
                <w:b/>
                <w:bCs/>
                <w:sz w:val="20"/>
                <w:szCs w:val="20"/>
                <w:lang w:val="en-US"/>
              </w:rPr>
              <w:t>GRBI (S6)</w:t>
            </w:r>
          </w:p>
          <w:p w14:paraId="06DD5868" w14:textId="77777777" w:rsidR="00117A51" w:rsidRPr="00CD364B" w:rsidRDefault="00117A51" w:rsidP="00004F21">
            <w:pPr>
              <w:spacing w:line="360" w:lineRule="auto"/>
              <w:rPr>
                <w:rFonts w:cstheme="minorHAnsi"/>
                <w:b/>
                <w:bCs/>
                <w:sz w:val="20"/>
                <w:szCs w:val="20"/>
                <w:lang w:val="en-US"/>
              </w:rPr>
            </w:pPr>
            <w:r w:rsidRPr="00CD364B">
              <w:rPr>
                <w:rFonts w:cstheme="minorHAnsi"/>
                <w:noProof/>
                <w:lang w:val="en-US"/>
              </w:rPr>
              <w:drawing>
                <wp:inline distT="0" distB="0" distL="0" distR="0" wp14:anchorId="2CD943CF" wp14:editId="260B366A">
                  <wp:extent cx="3060000" cy="2340000"/>
                  <wp:effectExtent l="0" t="0" r="7620" b="3175"/>
                  <wp:docPr id="18" name="Chart 1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117A51" w:rsidRPr="00CD364B" w14:paraId="432CD403" w14:textId="77777777" w:rsidTr="00004F21">
        <w:trPr>
          <w:trHeight w:val="308"/>
          <w:jc w:val="center"/>
        </w:trPr>
        <w:tc>
          <w:tcPr>
            <w:tcW w:w="10092" w:type="dxa"/>
            <w:gridSpan w:val="2"/>
          </w:tcPr>
          <w:p w14:paraId="1F3158EA" w14:textId="7DCFCACD" w:rsidR="00117A51" w:rsidRPr="00CD364B" w:rsidRDefault="00117A51" w:rsidP="00004F21">
            <w:pPr>
              <w:spacing w:line="360" w:lineRule="auto"/>
              <w:jc w:val="both"/>
              <w:rPr>
                <w:rFonts w:cstheme="minorHAnsi"/>
                <w:sz w:val="20"/>
                <w:szCs w:val="20"/>
                <w:lang w:val="en-US"/>
              </w:rPr>
            </w:pPr>
            <w:r w:rsidRPr="00CD364B">
              <w:rPr>
                <w:rFonts w:cstheme="minorHAnsi"/>
                <w:b/>
                <w:bCs/>
                <w:sz w:val="20"/>
                <w:szCs w:val="20"/>
                <w:lang w:val="en-US"/>
              </w:rPr>
              <w:t xml:space="preserve">Note: </w:t>
            </w:r>
            <w:r w:rsidRPr="00CD364B">
              <w:rPr>
                <w:rFonts w:cstheme="minorHAnsi"/>
                <w:sz w:val="20"/>
                <w:szCs w:val="20"/>
                <w:lang w:val="en-US"/>
              </w:rPr>
              <w:t>The graph shows the estimates of the slope coefficients against the quantiles of Environmental &amp; Social Responsibility Index in the y-axis and the quantiles of decomposing green bond index (d1, d2, . . . d6 and s6) in the x-axis</w:t>
            </w:r>
            <w:r w:rsidR="008333D0" w:rsidRPr="00CD364B">
              <w:rPr>
                <w:rFonts w:cstheme="minorHAnsi"/>
                <w:sz w:val="20"/>
                <w:szCs w:val="20"/>
                <w:lang w:val="en-US"/>
              </w:rPr>
              <w:t>.</w:t>
            </w:r>
          </w:p>
        </w:tc>
      </w:tr>
    </w:tbl>
    <w:p w14:paraId="29CE4A1D" w14:textId="77777777" w:rsidR="00117A51" w:rsidRPr="00CD364B" w:rsidRDefault="00117A51" w:rsidP="00004F21">
      <w:pPr>
        <w:spacing w:line="360" w:lineRule="auto"/>
        <w:rPr>
          <w:rFonts w:cstheme="minorHAnsi"/>
          <w:lang w:val="en-US"/>
        </w:rPr>
      </w:pPr>
    </w:p>
    <w:p w14:paraId="69FDF7E6" w14:textId="20ED1E1B" w:rsidR="00117A51" w:rsidRPr="00CD364B" w:rsidRDefault="008333D0" w:rsidP="008333D0">
      <w:pPr>
        <w:spacing w:line="360" w:lineRule="auto"/>
        <w:jc w:val="center"/>
        <w:rPr>
          <w:rFonts w:cstheme="minorHAnsi"/>
          <w:b/>
          <w:bCs/>
          <w:sz w:val="24"/>
          <w:szCs w:val="24"/>
          <w:lang w:val="en-US"/>
        </w:rPr>
      </w:pPr>
      <w:r w:rsidRPr="00CD364B">
        <w:rPr>
          <w:rFonts w:cstheme="minorHAnsi"/>
          <w:b/>
          <w:bCs/>
          <w:sz w:val="24"/>
          <w:szCs w:val="24"/>
          <w:lang w:val="en-US"/>
        </w:rPr>
        <w:lastRenderedPageBreak/>
        <w:t>Table 4. Results of Wavelet Based Granger Causality in Quantile approach.</w:t>
      </w:r>
    </w:p>
    <w:tbl>
      <w:tblPr>
        <w:tblW w:w="10450" w:type="dxa"/>
        <w:jc w:val="center"/>
        <w:tblLook w:val="04A0" w:firstRow="1" w:lastRow="0" w:firstColumn="1" w:lastColumn="0" w:noHBand="0" w:noVBand="1"/>
      </w:tblPr>
      <w:tblGrid>
        <w:gridCol w:w="1127"/>
        <w:gridCol w:w="1173"/>
        <w:gridCol w:w="974"/>
        <w:gridCol w:w="974"/>
        <w:gridCol w:w="977"/>
        <w:gridCol w:w="1127"/>
        <w:gridCol w:w="1173"/>
        <w:gridCol w:w="974"/>
        <w:gridCol w:w="974"/>
        <w:gridCol w:w="977"/>
      </w:tblGrid>
      <w:tr w:rsidR="00CD364B" w:rsidRPr="00CD364B" w14:paraId="5600016E" w14:textId="77777777" w:rsidTr="008333D0">
        <w:trPr>
          <w:trHeight w:val="284"/>
          <w:jc w:val="center"/>
        </w:trPr>
        <w:tc>
          <w:tcPr>
            <w:tcW w:w="5225" w:type="dxa"/>
            <w:gridSpan w:val="5"/>
            <w:tcBorders>
              <w:top w:val="single" w:sz="4" w:space="0" w:color="auto"/>
              <w:bottom w:val="single" w:sz="4" w:space="0" w:color="auto"/>
            </w:tcBorders>
            <w:shd w:val="clear" w:color="auto" w:fill="auto"/>
            <w:noWrap/>
            <w:vAlign w:val="bottom"/>
            <w:hideMark/>
          </w:tcPr>
          <w:p w14:paraId="4DE7946C"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Panel A: ΔGRBI shocks to ΔESRI</w:t>
            </w:r>
          </w:p>
        </w:tc>
        <w:tc>
          <w:tcPr>
            <w:tcW w:w="5225" w:type="dxa"/>
            <w:gridSpan w:val="5"/>
            <w:tcBorders>
              <w:top w:val="single" w:sz="4" w:space="0" w:color="auto"/>
              <w:bottom w:val="single" w:sz="4" w:space="0" w:color="auto"/>
            </w:tcBorders>
            <w:shd w:val="clear" w:color="auto" w:fill="auto"/>
            <w:noWrap/>
            <w:vAlign w:val="bottom"/>
            <w:hideMark/>
          </w:tcPr>
          <w:p w14:paraId="4835E0DB"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Panel B: ΔESRI shocks to ΔGRBI</w:t>
            </w:r>
          </w:p>
        </w:tc>
      </w:tr>
      <w:tr w:rsidR="00CD364B" w:rsidRPr="00CD364B" w14:paraId="7550BFFF" w14:textId="77777777" w:rsidTr="008333D0">
        <w:trPr>
          <w:trHeight w:val="284"/>
          <w:jc w:val="center"/>
        </w:trPr>
        <w:tc>
          <w:tcPr>
            <w:tcW w:w="1127" w:type="dxa"/>
            <w:vMerge w:val="restart"/>
            <w:tcBorders>
              <w:top w:val="single" w:sz="4" w:space="0" w:color="auto"/>
            </w:tcBorders>
            <w:shd w:val="clear" w:color="auto" w:fill="auto"/>
            <w:vAlign w:val="bottom"/>
            <w:hideMark/>
          </w:tcPr>
          <w:p w14:paraId="5943CAED"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Time Scale</w:t>
            </w:r>
          </w:p>
        </w:tc>
        <w:tc>
          <w:tcPr>
            <w:tcW w:w="1173" w:type="dxa"/>
            <w:vMerge w:val="restart"/>
            <w:tcBorders>
              <w:top w:val="single" w:sz="4" w:space="0" w:color="auto"/>
            </w:tcBorders>
            <w:shd w:val="clear" w:color="auto" w:fill="auto"/>
            <w:noWrap/>
            <w:vAlign w:val="center"/>
            <w:hideMark/>
          </w:tcPr>
          <w:p w14:paraId="18CCCA81"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quantiles</w:t>
            </w:r>
          </w:p>
        </w:tc>
        <w:tc>
          <w:tcPr>
            <w:tcW w:w="2925" w:type="dxa"/>
            <w:gridSpan w:val="3"/>
            <w:tcBorders>
              <w:top w:val="single" w:sz="4" w:space="0" w:color="auto"/>
            </w:tcBorders>
            <w:shd w:val="clear" w:color="auto" w:fill="auto"/>
            <w:noWrap/>
            <w:vAlign w:val="bottom"/>
            <w:hideMark/>
          </w:tcPr>
          <w:p w14:paraId="038179A1"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Number of lags</w:t>
            </w:r>
          </w:p>
        </w:tc>
        <w:tc>
          <w:tcPr>
            <w:tcW w:w="1127" w:type="dxa"/>
            <w:vMerge w:val="restart"/>
            <w:tcBorders>
              <w:top w:val="single" w:sz="4" w:space="0" w:color="auto"/>
            </w:tcBorders>
            <w:shd w:val="clear" w:color="auto" w:fill="auto"/>
            <w:vAlign w:val="bottom"/>
            <w:hideMark/>
          </w:tcPr>
          <w:p w14:paraId="1923C2E6"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Time Scale</w:t>
            </w:r>
          </w:p>
        </w:tc>
        <w:tc>
          <w:tcPr>
            <w:tcW w:w="1173" w:type="dxa"/>
            <w:vMerge w:val="restart"/>
            <w:tcBorders>
              <w:top w:val="single" w:sz="4" w:space="0" w:color="auto"/>
            </w:tcBorders>
            <w:shd w:val="clear" w:color="auto" w:fill="auto"/>
            <w:noWrap/>
            <w:vAlign w:val="center"/>
            <w:hideMark/>
          </w:tcPr>
          <w:p w14:paraId="0BF8A7E2"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quantiles</w:t>
            </w:r>
          </w:p>
        </w:tc>
        <w:tc>
          <w:tcPr>
            <w:tcW w:w="2925" w:type="dxa"/>
            <w:gridSpan w:val="3"/>
            <w:tcBorders>
              <w:top w:val="single" w:sz="4" w:space="0" w:color="auto"/>
            </w:tcBorders>
            <w:shd w:val="clear" w:color="auto" w:fill="auto"/>
            <w:noWrap/>
            <w:vAlign w:val="bottom"/>
            <w:hideMark/>
          </w:tcPr>
          <w:p w14:paraId="5D4D30AA"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Number of lags</w:t>
            </w:r>
          </w:p>
        </w:tc>
      </w:tr>
      <w:tr w:rsidR="00CD364B" w:rsidRPr="00CD364B" w14:paraId="3614FD57" w14:textId="77777777" w:rsidTr="008333D0">
        <w:trPr>
          <w:trHeight w:val="284"/>
          <w:jc w:val="center"/>
        </w:trPr>
        <w:tc>
          <w:tcPr>
            <w:tcW w:w="1127" w:type="dxa"/>
            <w:vMerge/>
            <w:tcBorders>
              <w:bottom w:val="single" w:sz="4" w:space="0" w:color="auto"/>
            </w:tcBorders>
            <w:vAlign w:val="center"/>
            <w:hideMark/>
          </w:tcPr>
          <w:p w14:paraId="35E29C76" w14:textId="77777777" w:rsidR="00117A51" w:rsidRPr="00CD364B" w:rsidRDefault="00117A51" w:rsidP="008333D0">
            <w:pPr>
              <w:spacing w:after="0" w:line="240" w:lineRule="auto"/>
              <w:rPr>
                <w:rFonts w:eastAsia="Times New Roman" w:cstheme="minorHAnsi"/>
                <w:b/>
                <w:bCs/>
                <w:sz w:val="20"/>
                <w:szCs w:val="20"/>
                <w:lang w:val="en-US"/>
              </w:rPr>
            </w:pPr>
          </w:p>
        </w:tc>
        <w:tc>
          <w:tcPr>
            <w:tcW w:w="1173" w:type="dxa"/>
            <w:vMerge/>
            <w:tcBorders>
              <w:bottom w:val="single" w:sz="4" w:space="0" w:color="auto"/>
            </w:tcBorders>
            <w:vAlign w:val="center"/>
            <w:hideMark/>
          </w:tcPr>
          <w:p w14:paraId="51993A66" w14:textId="77777777" w:rsidR="00117A51" w:rsidRPr="00CD364B" w:rsidRDefault="00117A51" w:rsidP="008333D0">
            <w:pPr>
              <w:spacing w:after="0" w:line="240" w:lineRule="auto"/>
              <w:rPr>
                <w:rFonts w:eastAsia="Times New Roman" w:cstheme="minorHAnsi"/>
                <w:b/>
                <w:bCs/>
                <w:sz w:val="20"/>
                <w:szCs w:val="20"/>
                <w:lang w:val="en-US"/>
              </w:rPr>
            </w:pPr>
          </w:p>
        </w:tc>
        <w:tc>
          <w:tcPr>
            <w:tcW w:w="974" w:type="dxa"/>
            <w:tcBorders>
              <w:bottom w:val="single" w:sz="4" w:space="0" w:color="auto"/>
            </w:tcBorders>
            <w:shd w:val="clear" w:color="auto" w:fill="auto"/>
            <w:noWrap/>
            <w:vAlign w:val="bottom"/>
            <w:hideMark/>
          </w:tcPr>
          <w:p w14:paraId="7E624B98"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1</w:t>
            </w:r>
          </w:p>
        </w:tc>
        <w:tc>
          <w:tcPr>
            <w:tcW w:w="974" w:type="dxa"/>
            <w:tcBorders>
              <w:bottom w:val="single" w:sz="4" w:space="0" w:color="auto"/>
            </w:tcBorders>
            <w:shd w:val="clear" w:color="auto" w:fill="auto"/>
            <w:noWrap/>
            <w:vAlign w:val="bottom"/>
            <w:hideMark/>
          </w:tcPr>
          <w:p w14:paraId="1BFAFFAE"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2</w:t>
            </w:r>
          </w:p>
        </w:tc>
        <w:tc>
          <w:tcPr>
            <w:tcW w:w="977" w:type="dxa"/>
            <w:tcBorders>
              <w:bottom w:val="single" w:sz="4" w:space="0" w:color="auto"/>
            </w:tcBorders>
            <w:shd w:val="clear" w:color="auto" w:fill="auto"/>
            <w:noWrap/>
            <w:vAlign w:val="bottom"/>
            <w:hideMark/>
          </w:tcPr>
          <w:p w14:paraId="072F7AA0"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3</w:t>
            </w:r>
          </w:p>
        </w:tc>
        <w:tc>
          <w:tcPr>
            <w:tcW w:w="1127" w:type="dxa"/>
            <w:vMerge/>
            <w:tcBorders>
              <w:bottom w:val="single" w:sz="4" w:space="0" w:color="auto"/>
            </w:tcBorders>
            <w:vAlign w:val="center"/>
            <w:hideMark/>
          </w:tcPr>
          <w:p w14:paraId="437FF962" w14:textId="77777777" w:rsidR="00117A51" w:rsidRPr="00CD364B" w:rsidRDefault="00117A51" w:rsidP="008333D0">
            <w:pPr>
              <w:spacing w:after="0" w:line="240" w:lineRule="auto"/>
              <w:rPr>
                <w:rFonts w:eastAsia="Times New Roman" w:cstheme="minorHAnsi"/>
                <w:b/>
                <w:bCs/>
                <w:sz w:val="20"/>
                <w:szCs w:val="20"/>
                <w:lang w:val="en-US"/>
              </w:rPr>
            </w:pPr>
          </w:p>
        </w:tc>
        <w:tc>
          <w:tcPr>
            <w:tcW w:w="1173" w:type="dxa"/>
            <w:vMerge/>
            <w:tcBorders>
              <w:bottom w:val="single" w:sz="4" w:space="0" w:color="auto"/>
            </w:tcBorders>
            <w:vAlign w:val="center"/>
            <w:hideMark/>
          </w:tcPr>
          <w:p w14:paraId="1F8EF35A" w14:textId="77777777" w:rsidR="00117A51" w:rsidRPr="00CD364B" w:rsidRDefault="00117A51" w:rsidP="008333D0">
            <w:pPr>
              <w:spacing w:after="0" w:line="240" w:lineRule="auto"/>
              <w:rPr>
                <w:rFonts w:eastAsia="Times New Roman" w:cstheme="minorHAnsi"/>
                <w:b/>
                <w:bCs/>
                <w:sz w:val="20"/>
                <w:szCs w:val="20"/>
                <w:lang w:val="en-US"/>
              </w:rPr>
            </w:pPr>
          </w:p>
        </w:tc>
        <w:tc>
          <w:tcPr>
            <w:tcW w:w="974" w:type="dxa"/>
            <w:tcBorders>
              <w:bottom w:val="single" w:sz="4" w:space="0" w:color="auto"/>
            </w:tcBorders>
            <w:shd w:val="clear" w:color="auto" w:fill="auto"/>
            <w:noWrap/>
            <w:vAlign w:val="bottom"/>
            <w:hideMark/>
          </w:tcPr>
          <w:p w14:paraId="4A1A99DD"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1</w:t>
            </w:r>
          </w:p>
        </w:tc>
        <w:tc>
          <w:tcPr>
            <w:tcW w:w="974" w:type="dxa"/>
            <w:tcBorders>
              <w:bottom w:val="single" w:sz="4" w:space="0" w:color="auto"/>
            </w:tcBorders>
            <w:shd w:val="clear" w:color="auto" w:fill="auto"/>
            <w:noWrap/>
            <w:vAlign w:val="bottom"/>
            <w:hideMark/>
          </w:tcPr>
          <w:p w14:paraId="798D88C6"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2</w:t>
            </w:r>
          </w:p>
        </w:tc>
        <w:tc>
          <w:tcPr>
            <w:tcW w:w="977" w:type="dxa"/>
            <w:tcBorders>
              <w:bottom w:val="single" w:sz="4" w:space="0" w:color="auto"/>
            </w:tcBorders>
            <w:shd w:val="clear" w:color="auto" w:fill="auto"/>
            <w:noWrap/>
            <w:vAlign w:val="bottom"/>
            <w:hideMark/>
          </w:tcPr>
          <w:p w14:paraId="45C51DCC"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3</w:t>
            </w:r>
          </w:p>
        </w:tc>
      </w:tr>
      <w:tr w:rsidR="00CD364B" w:rsidRPr="00CD364B" w14:paraId="050813F6" w14:textId="77777777" w:rsidTr="008333D0">
        <w:trPr>
          <w:trHeight w:val="284"/>
          <w:jc w:val="center"/>
        </w:trPr>
        <w:tc>
          <w:tcPr>
            <w:tcW w:w="1127" w:type="dxa"/>
            <w:tcBorders>
              <w:top w:val="single" w:sz="4" w:space="0" w:color="auto"/>
            </w:tcBorders>
            <w:shd w:val="clear" w:color="auto" w:fill="auto"/>
            <w:noWrap/>
            <w:vAlign w:val="bottom"/>
            <w:hideMark/>
          </w:tcPr>
          <w:p w14:paraId="5E47D177"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Raw Data</w:t>
            </w:r>
          </w:p>
        </w:tc>
        <w:tc>
          <w:tcPr>
            <w:tcW w:w="1173" w:type="dxa"/>
            <w:tcBorders>
              <w:top w:val="single" w:sz="4" w:space="0" w:color="auto"/>
            </w:tcBorders>
            <w:shd w:val="clear" w:color="auto" w:fill="auto"/>
            <w:noWrap/>
            <w:vAlign w:val="bottom"/>
            <w:hideMark/>
          </w:tcPr>
          <w:p w14:paraId="043B9A6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7D9FF30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top w:val="single" w:sz="4" w:space="0" w:color="auto"/>
            </w:tcBorders>
            <w:shd w:val="clear" w:color="auto" w:fill="auto"/>
            <w:noWrap/>
            <w:vAlign w:val="bottom"/>
            <w:hideMark/>
          </w:tcPr>
          <w:p w14:paraId="7C3C476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top w:val="single" w:sz="4" w:space="0" w:color="auto"/>
            </w:tcBorders>
            <w:shd w:val="clear" w:color="auto" w:fill="auto"/>
            <w:noWrap/>
            <w:vAlign w:val="bottom"/>
            <w:hideMark/>
          </w:tcPr>
          <w:p w14:paraId="2F8C739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top w:val="single" w:sz="4" w:space="0" w:color="auto"/>
            </w:tcBorders>
            <w:shd w:val="clear" w:color="auto" w:fill="auto"/>
            <w:noWrap/>
            <w:vAlign w:val="bottom"/>
            <w:hideMark/>
          </w:tcPr>
          <w:p w14:paraId="3A3A5539" w14:textId="77777777" w:rsidR="00117A51" w:rsidRPr="00CD364B" w:rsidRDefault="00117A51" w:rsidP="008333D0">
            <w:pPr>
              <w:spacing w:after="0" w:line="240" w:lineRule="auto"/>
              <w:jc w:val="center"/>
              <w:rPr>
                <w:rFonts w:eastAsia="Times New Roman" w:cstheme="minorHAnsi"/>
                <w:b/>
                <w:bCs/>
                <w:sz w:val="20"/>
                <w:szCs w:val="20"/>
                <w:lang w:val="en-US"/>
              </w:rPr>
            </w:pPr>
            <w:r w:rsidRPr="00CD364B">
              <w:rPr>
                <w:rFonts w:eastAsia="Times New Roman" w:cstheme="minorHAnsi"/>
                <w:b/>
                <w:bCs/>
                <w:sz w:val="20"/>
                <w:szCs w:val="20"/>
                <w:lang w:val="en-US"/>
              </w:rPr>
              <w:t>Raw Data</w:t>
            </w:r>
          </w:p>
        </w:tc>
        <w:tc>
          <w:tcPr>
            <w:tcW w:w="1173" w:type="dxa"/>
            <w:tcBorders>
              <w:top w:val="single" w:sz="4" w:space="0" w:color="auto"/>
            </w:tcBorders>
            <w:shd w:val="clear" w:color="auto" w:fill="auto"/>
            <w:noWrap/>
            <w:vAlign w:val="bottom"/>
            <w:hideMark/>
          </w:tcPr>
          <w:p w14:paraId="6AE4337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4F981CB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0.568</w:t>
            </w:r>
          </w:p>
        </w:tc>
        <w:tc>
          <w:tcPr>
            <w:tcW w:w="974" w:type="dxa"/>
            <w:tcBorders>
              <w:top w:val="single" w:sz="4" w:space="0" w:color="auto"/>
            </w:tcBorders>
            <w:shd w:val="clear" w:color="auto" w:fill="auto"/>
            <w:noWrap/>
            <w:vAlign w:val="bottom"/>
            <w:hideMark/>
          </w:tcPr>
          <w:p w14:paraId="1991D43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0.340</w:t>
            </w:r>
          </w:p>
        </w:tc>
        <w:tc>
          <w:tcPr>
            <w:tcW w:w="977" w:type="dxa"/>
            <w:tcBorders>
              <w:top w:val="single" w:sz="4" w:space="0" w:color="auto"/>
            </w:tcBorders>
            <w:shd w:val="clear" w:color="auto" w:fill="auto"/>
            <w:noWrap/>
            <w:vAlign w:val="bottom"/>
            <w:hideMark/>
          </w:tcPr>
          <w:p w14:paraId="0A87565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0.249</w:t>
            </w:r>
          </w:p>
        </w:tc>
      </w:tr>
      <w:tr w:rsidR="00CD364B" w:rsidRPr="00CD364B" w14:paraId="393161D4" w14:textId="77777777" w:rsidTr="008333D0">
        <w:trPr>
          <w:trHeight w:val="284"/>
          <w:jc w:val="center"/>
        </w:trPr>
        <w:tc>
          <w:tcPr>
            <w:tcW w:w="1127" w:type="dxa"/>
            <w:shd w:val="clear" w:color="auto" w:fill="auto"/>
            <w:noWrap/>
            <w:vAlign w:val="bottom"/>
            <w:hideMark/>
          </w:tcPr>
          <w:p w14:paraId="21F27B5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E73850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60C48E5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6F950C5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4407986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726DD0B9"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9ED435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1E3D3D7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0.947</w:t>
            </w:r>
          </w:p>
        </w:tc>
        <w:tc>
          <w:tcPr>
            <w:tcW w:w="974" w:type="dxa"/>
            <w:shd w:val="clear" w:color="auto" w:fill="auto"/>
            <w:noWrap/>
            <w:vAlign w:val="bottom"/>
            <w:hideMark/>
          </w:tcPr>
          <w:p w14:paraId="2E6AF3F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0.469</w:t>
            </w:r>
          </w:p>
        </w:tc>
        <w:tc>
          <w:tcPr>
            <w:tcW w:w="977" w:type="dxa"/>
            <w:shd w:val="clear" w:color="auto" w:fill="auto"/>
            <w:noWrap/>
            <w:vAlign w:val="bottom"/>
            <w:hideMark/>
          </w:tcPr>
          <w:p w14:paraId="581F05E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0.597</w:t>
            </w:r>
          </w:p>
        </w:tc>
      </w:tr>
      <w:tr w:rsidR="00CD364B" w:rsidRPr="00CD364B" w14:paraId="3A062192" w14:textId="77777777" w:rsidTr="008333D0">
        <w:trPr>
          <w:trHeight w:val="284"/>
          <w:jc w:val="center"/>
        </w:trPr>
        <w:tc>
          <w:tcPr>
            <w:tcW w:w="1127" w:type="dxa"/>
            <w:shd w:val="clear" w:color="auto" w:fill="auto"/>
            <w:noWrap/>
            <w:vAlign w:val="bottom"/>
            <w:hideMark/>
          </w:tcPr>
          <w:p w14:paraId="3682DABB"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50E142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1828A67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6A86EBD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5124AF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39D2672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7CC2E5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4F19A98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0.381</w:t>
            </w:r>
          </w:p>
        </w:tc>
        <w:tc>
          <w:tcPr>
            <w:tcW w:w="974" w:type="dxa"/>
            <w:shd w:val="clear" w:color="auto" w:fill="auto"/>
            <w:noWrap/>
            <w:vAlign w:val="bottom"/>
            <w:hideMark/>
          </w:tcPr>
          <w:p w14:paraId="26895A3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0.587</w:t>
            </w:r>
          </w:p>
        </w:tc>
        <w:tc>
          <w:tcPr>
            <w:tcW w:w="977" w:type="dxa"/>
            <w:shd w:val="clear" w:color="auto" w:fill="auto"/>
            <w:noWrap/>
            <w:vAlign w:val="bottom"/>
            <w:hideMark/>
          </w:tcPr>
          <w:p w14:paraId="7E55BB7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0.536</w:t>
            </w:r>
          </w:p>
        </w:tc>
      </w:tr>
      <w:tr w:rsidR="00CD364B" w:rsidRPr="00CD364B" w14:paraId="7902CBC4" w14:textId="77777777" w:rsidTr="008333D0">
        <w:trPr>
          <w:trHeight w:val="284"/>
          <w:jc w:val="center"/>
        </w:trPr>
        <w:tc>
          <w:tcPr>
            <w:tcW w:w="1127" w:type="dxa"/>
            <w:shd w:val="clear" w:color="auto" w:fill="auto"/>
            <w:noWrap/>
            <w:vAlign w:val="bottom"/>
            <w:hideMark/>
          </w:tcPr>
          <w:p w14:paraId="1842A76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01CA0D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7554099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3400AE6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192EDF3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3635ECE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DCDAB3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662F16C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0.667</w:t>
            </w:r>
          </w:p>
        </w:tc>
        <w:tc>
          <w:tcPr>
            <w:tcW w:w="974" w:type="dxa"/>
            <w:shd w:val="clear" w:color="auto" w:fill="auto"/>
            <w:noWrap/>
            <w:vAlign w:val="bottom"/>
            <w:hideMark/>
          </w:tcPr>
          <w:p w14:paraId="3789C56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0.637</w:t>
            </w:r>
          </w:p>
        </w:tc>
        <w:tc>
          <w:tcPr>
            <w:tcW w:w="977" w:type="dxa"/>
            <w:shd w:val="clear" w:color="auto" w:fill="auto"/>
            <w:noWrap/>
            <w:vAlign w:val="bottom"/>
            <w:hideMark/>
          </w:tcPr>
          <w:p w14:paraId="3B66FCF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0.263</w:t>
            </w:r>
          </w:p>
        </w:tc>
      </w:tr>
      <w:tr w:rsidR="00CD364B" w:rsidRPr="00CD364B" w14:paraId="04BF7DFE" w14:textId="77777777" w:rsidTr="008333D0">
        <w:trPr>
          <w:trHeight w:val="284"/>
          <w:jc w:val="center"/>
        </w:trPr>
        <w:tc>
          <w:tcPr>
            <w:tcW w:w="1127" w:type="dxa"/>
            <w:shd w:val="clear" w:color="auto" w:fill="auto"/>
            <w:noWrap/>
            <w:vAlign w:val="bottom"/>
            <w:hideMark/>
          </w:tcPr>
          <w:p w14:paraId="7B50281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D1E1CC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1742908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6FAE5DA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F4BEA1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6E60827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77B0B9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167793D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0.669</w:t>
            </w:r>
          </w:p>
        </w:tc>
        <w:tc>
          <w:tcPr>
            <w:tcW w:w="974" w:type="dxa"/>
            <w:shd w:val="clear" w:color="auto" w:fill="auto"/>
            <w:noWrap/>
            <w:vAlign w:val="bottom"/>
            <w:hideMark/>
          </w:tcPr>
          <w:p w14:paraId="046E801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0.169</w:t>
            </w:r>
          </w:p>
        </w:tc>
        <w:tc>
          <w:tcPr>
            <w:tcW w:w="977" w:type="dxa"/>
            <w:shd w:val="clear" w:color="auto" w:fill="auto"/>
            <w:noWrap/>
            <w:vAlign w:val="bottom"/>
            <w:hideMark/>
          </w:tcPr>
          <w:p w14:paraId="1E357B1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0.520</w:t>
            </w:r>
          </w:p>
        </w:tc>
      </w:tr>
      <w:tr w:rsidR="00CD364B" w:rsidRPr="00CD364B" w14:paraId="59B02E6C" w14:textId="77777777" w:rsidTr="008333D0">
        <w:trPr>
          <w:trHeight w:val="284"/>
          <w:jc w:val="center"/>
        </w:trPr>
        <w:tc>
          <w:tcPr>
            <w:tcW w:w="1127" w:type="dxa"/>
            <w:shd w:val="clear" w:color="auto" w:fill="auto"/>
            <w:noWrap/>
            <w:vAlign w:val="bottom"/>
            <w:hideMark/>
          </w:tcPr>
          <w:p w14:paraId="415136F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3B581D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4542B0C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A83B6E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1A0D81A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1332EE09"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3E27C0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42BBF6B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0.234</w:t>
            </w:r>
          </w:p>
        </w:tc>
        <w:tc>
          <w:tcPr>
            <w:tcW w:w="974" w:type="dxa"/>
            <w:shd w:val="clear" w:color="auto" w:fill="auto"/>
            <w:noWrap/>
            <w:vAlign w:val="bottom"/>
            <w:hideMark/>
          </w:tcPr>
          <w:p w14:paraId="3FF3FDA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0.235</w:t>
            </w:r>
          </w:p>
        </w:tc>
        <w:tc>
          <w:tcPr>
            <w:tcW w:w="977" w:type="dxa"/>
            <w:shd w:val="clear" w:color="auto" w:fill="auto"/>
            <w:noWrap/>
            <w:vAlign w:val="bottom"/>
            <w:hideMark/>
          </w:tcPr>
          <w:p w14:paraId="0E57CF1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0.535</w:t>
            </w:r>
          </w:p>
        </w:tc>
      </w:tr>
      <w:tr w:rsidR="00CD364B" w:rsidRPr="00CD364B" w14:paraId="5DDB3FB5" w14:textId="77777777" w:rsidTr="008333D0">
        <w:trPr>
          <w:trHeight w:val="284"/>
          <w:jc w:val="center"/>
        </w:trPr>
        <w:tc>
          <w:tcPr>
            <w:tcW w:w="1127" w:type="dxa"/>
            <w:shd w:val="clear" w:color="auto" w:fill="auto"/>
            <w:noWrap/>
            <w:vAlign w:val="bottom"/>
            <w:hideMark/>
          </w:tcPr>
          <w:p w14:paraId="56F1BE4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31C6F0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44DB0CF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28E5CB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4A88B12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7900ED9F"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3A8DF6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708F48F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0.746</w:t>
            </w:r>
          </w:p>
        </w:tc>
        <w:tc>
          <w:tcPr>
            <w:tcW w:w="974" w:type="dxa"/>
            <w:shd w:val="clear" w:color="auto" w:fill="auto"/>
            <w:noWrap/>
            <w:vAlign w:val="bottom"/>
            <w:hideMark/>
          </w:tcPr>
          <w:p w14:paraId="43EED75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0.855</w:t>
            </w:r>
          </w:p>
        </w:tc>
        <w:tc>
          <w:tcPr>
            <w:tcW w:w="977" w:type="dxa"/>
            <w:shd w:val="clear" w:color="auto" w:fill="auto"/>
            <w:noWrap/>
            <w:vAlign w:val="bottom"/>
            <w:hideMark/>
          </w:tcPr>
          <w:p w14:paraId="3CC7F3A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0.731</w:t>
            </w:r>
          </w:p>
        </w:tc>
      </w:tr>
      <w:tr w:rsidR="00CD364B" w:rsidRPr="00CD364B" w14:paraId="4AE67F95" w14:textId="77777777" w:rsidTr="008333D0">
        <w:trPr>
          <w:trHeight w:val="284"/>
          <w:jc w:val="center"/>
        </w:trPr>
        <w:tc>
          <w:tcPr>
            <w:tcW w:w="1127" w:type="dxa"/>
            <w:shd w:val="clear" w:color="auto" w:fill="auto"/>
            <w:noWrap/>
            <w:vAlign w:val="bottom"/>
            <w:hideMark/>
          </w:tcPr>
          <w:p w14:paraId="3F27EE2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9E726A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33C1C2A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B549A1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67A84B0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3E525FB9"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92F076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1C3D154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0.359</w:t>
            </w:r>
          </w:p>
        </w:tc>
        <w:tc>
          <w:tcPr>
            <w:tcW w:w="974" w:type="dxa"/>
            <w:shd w:val="clear" w:color="auto" w:fill="auto"/>
            <w:noWrap/>
            <w:vAlign w:val="bottom"/>
            <w:hideMark/>
          </w:tcPr>
          <w:p w14:paraId="6E650FB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0.648</w:t>
            </w:r>
          </w:p>
        </w:tc>
        <w:tc>
          <w:tcPr>
            <w:tcW w:w="977" w:type="dxa"/>
            <w:shd w:val="clear" w:color="auto" w:fill="auto"/>
            <w:noWrap/>
            <w:vAlign w:val="bottom"/>
            <w:hideMark/>
          </w:tcPr>
          <w:p w14:paraId="3617D22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0.757</w:t>
            </w:r>
          </w:p>
        </w:tc>
      </w:tr>
      <w:tr w:rsidR="00CD364B" w:rsidRPr="00CD364B" w14:paraId="0F31C2D4" w14:textId="77777777" w:rsidTr="008333D0">
        <w:trPr>
          <w:trHeight w:val="284"/>
          <w:jc w:val="center"/>
        </w:trPr>
        <w:tc>
          <w:tcPr>
            <w:tcW w:w="1127" w:type="dxa"/>
            <w:shd w:val="clear" w:color="auto" w:fill="auto"/>
            <w:noWrap/>
            <w:vAlign w:val="bottom"/>
            <w:hideMark/>
          </w:tcPr>
          <w:p w14:paraId="07B9474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9F13C7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66A8DBB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7701264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226AA9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206A53D2"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A1E5C4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69C7217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0.193</w:t>
            </w:r>
          </w:p>
        </w:tc>
        <w:tc>
          <w:tcPr>
            <w:tcW w:w="974" w:type="dxa"/>
            <w:shd w:val="clear" w:color="auto" w:fill="auto"/>
            <w:noWrap/>
            <w:vAlign w:val="bottom"/>
            <w:hideMark/>
          </w:tcPr>
          <w:p w14:paraId="175B3D2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0.841</w:t>
            </w:r>
          </w:p>
        </w:tc>
        <w:tc>
          <w:tcPr>
            <w:tcW w:w="977" w:type="dxa"/>
            <w:shd w:val="clear" w:color="auto" w:fill="auto"/>
            <w:noWrap/>
            <w:vAlign w:val="bottom"/>
            <w:hideMark/>
          </w:tcPr>
          <w:p w14:paraId="2246BF9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0.336</w:t>
            </w:r>
          </w:p>
        </w:tc>
      </w:tr>
      <w:tr w:rsidR="00CD364B" w:rsidRPr="00CD364B" w14:paraId="7375DCAC" w14:textId="77777777" w:rsidTr="008333D0">
        <w:trPr>
          <w:trHeight w:val="284"/>
          <w:jc w:val="center"/>
        </w:trPr>
        <w:tc>
          <w:tcPr>
            <w:tcW w:w="1127" w:type="dxa"/>
            <w:tcBorders>
              <w:bottom w:val="single" w:sz="4" w:space="0" w:color="auto"/>
            </w:tcBorders>
            <w:shd w:val="clear" w:color="auto" w:fill="auto"/>
            <w:noWrap/>
            <w:vAlign w:val="bottom"/>
            <w:hideMark/>
          </w:tcPr>
          <w:p w14:paraId="030BFBDD"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7DC9ED4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46A0AC2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bottom w:val="single" w:sz="4" w:space="0" w:color="auto"/>
            </w:tcBorders>
            <w:shd w:val="clear" w:color="auto" w:fill="auto"/>
            <w:noWrap/>
            <w:vAlign w:val="bottom"/>
            <w:hideMark/>
          </w:tcPr>
          <w:p w14:paraId="1CF8A87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bottom w:val="single" w:sz="4" w:space="0" w:color="auto"/>
            </w:tcBorders>
            <w:shd w:val="clear" w:color="auto" w:fill="auto"/>
            <w:noWrap/>
            <w:vAlign w:val="bottom"/>
            <w:hideMark/>
          </w:tcPr>
          <w:p w14:paraId="0A647AD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bottom w:val="single" w:sz="4" w:space="0" w:color="auto"/>
            </w:tcBorders>
            <w:shd w:val="clear" w:color="auto" w:fill="auto"/>
            <w:noWrap/>
            <w:vAlign w:val="bottom"/>
            <w:hideMark/>
          </w:tcPr>
          <w:p w14:paraId="4BCA0D4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216C685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56EA80C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0.026**</w:t>
            </w:r>
          </w:p>
        </w:tc>
        <w:tc>
          <w:tcPr>
            <w:tcW w:w="974" w:type="dxa"/>
            <w:tcBorders>
              <w:bottom w:val="single" w:sz="4" w:space="0" w:color="auto"/>
            </w:tcBorders>
            <w:shd w:val="clear" w:color="auto" w:fill="auto"/>
            <w:noWrap/>
            <w:vAlign w:val="bottom"/>
            <w:hideMark/>
          </w:tcPr>
          <w:p w14:paraId="7D5B499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0.036**</w:t>
            </w:r>
          </w:p>
        </w:tc>
        <w:tc>
          <w:tcPr>
            <w:tcW w:w="977" w:type="dxa"/>
            <w:tcBorders>
              <w:bottom w:val="single" w:sz="4" w:space="0" w:color="auto"/>
            </w:tcBorders>
            <w:shd w:val="clear" w:color="auto" w:fill="auto"/>
            <w:noWrap/>
            <w:vAlign w:val="bottom"/>
            <w:hideMark/>
          </w:tcPr>
          <w:p w14:paraId="3222933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0.004**</w:t>
            </w:r>
          </w:p>
        </w:tc>
      </w:tr>
      <w:tr w:rsidR="00CD364B" w:rsidRPr="00CD364B" w14:paraId="22293DFA" w14:textId="77777777" w:rsidTr="008333D0">
        <w:trPr>
          <w:trHeight w:val="284"/>
          <w:jc w:val="center"/>
        </w:trPr>
        <w:tc>
          <w:tcPr>
            <w:tcW w:w="1127" w:type="dxa"/>
            <w:tcBorders>
              <w:top w:val="single" w:sz="4" w:space="0" w:color="auto"/>
            </w:tcBorders>
            <w:shd w:val="clear" w:color="auto" w:fill="auto"/>
            <w:noWrap/>
            <w:vAlign w:val="bottom"/>
            <w:hideMark/>
          </w:tcPr>
          <w:p w14:paraId="0B9FA7D3"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D1</w:t>
            </w:r>
          </w:p>
        </w:tc>
        <w:tc>
          <w:tcPr>
            <w:tcW w:w="1173" w:type="dxa"/>
            <w:tcBorders>
              <w:top w:val="single" w:sz="4" w:space="0" w:color="auto"/>
            </w:tcBorders>
            <w:shd w:val="clear" w:color="auto" w:fill="auto"/>
            <w:noWrap/>
            <w:vAlign w:val="bottom"/>
            <w:hideMark/>
          </w:tcPr>
          <w:p w14:paraId="06F60E8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28978EA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top w:val="single" w:sz="4" w:space="0" w:color="auto"/>
            </w:tcBorders>
            <w:shd w:val="clear" w:color="auto" w:fill="auto"/>
            <w:noWrap/>
            <w:vAlign w:val="bottom"/>
            <w:hideMark/>
          </w:tcPr>
          <w:p w14:paraId="59489F6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top w:val="single" w:sz="4" w:space="0" w:color="auto"/>
            </w:tcBorders>
            <w:shd w:val="clear" w:color="auto" w:fill="auto"/>
            <w:noWrap/>
            <w:vAlign w:val="bottom"/>
            <w:hideMark/>
          </w:tcPr>
          <w:p w14:paraId="5218A44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top w:val="single" w:sz="4" w:space="0" w:color="auto"/>
            </w:tcBorders>
            <w:shd w:val="clear" w:color="auto" w:fill="auto"/>
            <w:noWrap/>
            <w:vAlign w:val="bottom"/>
            <w:hideMark/>
          </w:tcPr>
          <w:p w14:paraId="16636B40"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D1</w:t>
            </w:r>
          </w:p>
        </w:tc>
        <w:tc>
          <w:tcPr>
            <w:tcW w:w="1173" w:type="dxa"/>
            <w:tcBorders>
              <w:top w:val="single" w:sz="4" w:space="0" w:color="auto"/>
            </w:tcBorders>
            <w:shd w:val="clear" w:color="auto" w:fill="auto"/>
            <w:noWrap/>
            <w:vAlign w:val="bottom"/>
            <w:hideMark/>
          </w:tcPr>
          <w:p w14:paraId="7F162AD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1076B44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0.280</w:t>
            </w:r>
          </w:p>
        </w:tc>
        <w:tc>
          <w:tcPr>
            <w:tcW w:w="974" w:type="dxa"/>
            <w:tcBorders>
              <w:top w:val="single" w:sz="4" w:space="0" w:color="auto"/>
            </w:tcBorders>
            <w:shd w:val="clear" w:color="auto" w:fill="auto"/>
            <w:noWrap/>
            <w:vAlign w:val="bottom"/>
            <w:hideMark/>
          </w:tcPr>
          <w:p w14:paraId="34EFD65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0.381</w:t>
            </w:r>
          </w:p>
        </w:tc>
        <w:tc>
          <w:tcPr>
            <w:tcW w:w="977" w:type="dxa"/>
            <w:tcBorders>
              <w:top w:val="single" w:sz="4" w:space="0" w:color="auto"/>
            </w:tcBorders>
            <w:shd w:val="clear" w:color="auto" w:fill="auto"/>
            <w:noWrap/>
            <w:vAlign w:val="bottom"/>
            <w:hideMark/>
          </w:tcPr>
          <w:p w14:paraId="6FFEEF2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0.974</w:t>
            </w:r>
          </w:p>
        </w:tc>
      </w:tr>
      <w:tr w:rsidR="00CD364B" w:rsidRPr="00CD364B" w14:paraId="6905913B" w14:textId="77777777" w:rsidTr="008333D0">
        <w:trPr>
          <w:trHeight w:val="284"/>
          <w:jc w:val="center"/>
        </w:trPr>
        <w:tc>
          <w:tcPr>
            <w:tcW w:w="1127" w:type="dxa"/>
            <w:shd w:val="clear" w:color="auto" w:fill="auto"/>
            <w:noWrap/>
            <w:vAlign w:val="bottom"/>
            <w:hideMark/>
          </w:tcPr>
          <w:p w14:paraId="233B6A1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96134F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6139CE4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01AC79B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0C6A3E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6F8B55EC"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F6C30A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0492479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0.262</w:t>
            </w:r>
          </w:p>
        </w:tc>
        <w:tc>
          <w:tcPr>
            <w:tcW w:w="974" w:type="dxa"/>
            <w:shd w:val="clear" w:color="auto" w:fill="auto"/>
            <w:noWrap/>
            <w:vAlign w:val="bottom"/>
            <w:hideMark/>
          </w:tcPr>
          <w:p w14:paraId="7AD0263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0.148</w:t>
            </w:r>
          </w:p>
        </w:tc>
        <w:tc>
          <w:tcPr>
            <w:tcW w:w="977" w:type="dxa"/>
            <w:shd w:val="clear" w:color="auto" w:fill="auto"/>
            <w:noWrap/>
            <w:vAlign w:val="bottom"/>
            <w:hideMark/>
          </w:tcPr>
          <w:p w14:paraId="1E561F9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0.422</w:t>
            </w:r>
          </w:p>
        </w:tc>
      </w:tr>
      <w:tr w:rsidR="00CD364B" w:rsidRPr="00CD364B" w14:paraId="3AB566B8" w14:textId="77777777" w:rsidTr="008333D0">
        <w:trPr>
          <w:trHeight w:val="284"/>
          <w:jc w:val="center"/>
        </w:trPr>
        <w:tc>
          <w:tcPr>
            <w:tcW w:w="1127" w:type="dxa"/>
            <w:shd w:val="clear" w:color="auto" w:fill="auto"/>
            <w:noWrap/>
            <w:vAlign w:val="bottom"/>
            <w:hideMark/>
          </w:tcPr>
          <w:p w14:paraId="15A16DEF"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D033A1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2FD7B2F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00FA3D8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1B1603B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3699170A"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A15A94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1C0B9AE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0.244</w:t>
            </w:r>
          </w:p>
        </w:tc>
        <w:tc>
          <w:tcPr>
            <w:tcW w:w="974" w:type="dxa"/>
            <w:shd w:val="clear" w:color="auto" w:fill="auto"/>
            <w:noWrap/>
            <w:vAlign w:val="bottom"/>
            <w:hideMark/>
          </w:tcPr>
          <w:p w14:paraId="04434E4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0.300</w:t>
            </w:r>
          </w:p>
        </w:tc>
        <w:tc>
          <w:tcPr>
            <w:tcW w:w="977" w:type="dxa"/>
            <w:shd w:val="clear" w:color="auto" w:fill="auto"/>
            <w:noWrap/>
            <w:vAlign w:val="bottom"/>
            <w:hideMark/>
          </w:tcPr>
          <w:p w14:paraId="251F3EB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0.362</w:t>
            </w:r>
          </w:p>
        </w:tc>
      </w:tr>
      <w:tr w:rsidR="00CD364B" w:rsidRPr="00CD364B" w14:paraId="6886C7F3" w14:textId="77777777" w:rsidTr="008333D0">
        <w:trPr>
          <w:trHeight w:val="284"/>
          <w:jc w:val="center"/>
        </w:trPr>
        <w:tc>
          <w:tcPr>
            <w:tcW w:w="1127" w:type="dxa"/>
            <w:shd w:val="clear" w:color="auto" w:fill="auto"/>
            <w:noWrap/>
            <w:vAlign w:val="bottom"/>
            <w:hideMark/>
          </w:tcPr>
          <w:p w14:paraId="5C3266D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49F9F8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4AB7764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7B40534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6DC7EFC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2A46CAF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8E50A3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05C5F1C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0.176</w:t>
            </w:r>
          </w:p>
        </w:tc>
        <w:tc>
          <w:tcPr>
            <w:tcW w:w="974" w:type="dxa"/>
            <w:shd w:val="clear" w:color="auto" w:fill="auto"/>
            <w:noWrap/>
            <w:vAlign w:val="bottom"/>
            <w:hideMark/>
          </w:tcPr>
          <w:p w14:paraId="15D9BE8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0.135</w:t>
            </w:r>
          </w:p>
        </w:tc>
        <w:tc>
          <w:tcPr>
            <w:tcW w:w="977" w:type="dxa"/>
            <w:shd w:val="clear" w:color="auto" w:fill="auto"/>
            <w:noWrap/>
            <w:vAlign w:val="bottom"/>
            <w:hideMark/>
          </w:tcPr>
          <w:p w14:paraId="5D6E38D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0.801</w:t>
            </w:r>
          </w:p>
        </w:tc>
      </w:tr>
      <w:tr w:rsidR="00CD364B" w:rsidRPr="00CD364B" w14:paraId="57FB4D54" w14:textId="77777777" w:rsidTr="008333D0">
        <w:trPr>
          <w:trHeight w:val="284"/>
          <w:jc w:val="center"/>
        </w:trPr>
        <w:tc>
          <w:tcPr>
            <w:tcW w:w="1127" w:type="dxa"/>
            <w:shd w:val="clear" w:color="auto" w:fill="auto"/>
            <w:noWrap/>
            <w:vAlign w:val="bottom"/>
            <w:hideMark/>
          </w:tcPr>
          <w:p w14:paraId="15B1923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8421E4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7B9006F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5F674F7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1961B66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49F12D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5A1926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527A2EE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0.703</w:t>
            </w:r>
          </w:p>
        </w:tc>
        <w:tc>
          <w:tcPr>
            <w:tcW w:w="974" w:type="dxa"/>
            <w:shd w:val="clear" w:color="auto" w:fill="auto"/>
            <w:noWrap/>
            <w:vAlign w:val="bottom"/>
            <w:hideMark/>
          </w:tcPr>
          <w:p w14:paraId="3466BB8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0.264</w:t>
            </w:r>
          </w:p>
        </w:tc>
        <w:tc>
          <w:tcPr>
            <w:tcW w:w="977" w:type="dxa"/>
            <w:shd w:val="clear" w:color="auto" w:fill="auto"/>
            <w:noWrap/>
            <w:vAlign w:val="bottom"/>
            <w:hideMark/>
          </w:tcPr>
          <w:p w14:paraId="6434C87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0.884</w:t>
            </w:r>
          </w:p>
        </w:tc>
      </w:tr>
      <w:tr w:rsidR="00CD364B" w:rsidRPr="00CD364B" w14:paraId="251A3D9A" w14:textId="77777777" w:rsidTr="008333D0">
        <w:trPr>
          <w:trHeight w:val="284"/>
          <w:jc w:val="center"/>
        </w:trPr>
        <w:tc>
          <w:tcPr>
            <w:tcW w:w="1127" w:type="dxa"/>
            <w:shd w:val="clear" w:color="auto" w:fill="auto"/>
            <w:noWrap/>
            <w:vAlign w:val="bottom"/>
            <w:hideMark/>
          </w:tcPr>
          <w:p w14:paraId="5ED2700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A206E3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5931449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5221446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614ACED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0DED94ED"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E770FE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68A9050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0.337</w:t>
            </w:r>
          </w:p>
        </w:tc>
        <w:tc>
          <w:tcPr>
            <w:tcW w:w="974" w:type="dxa"/>
            <w:shd w:val="clear" w:color="auto" w:fill="auto"/>
            <w:noWrap/>
            <w:vAlign w:val="bottom"/>
            <w:hideMark/>
          </w:tcPr>
          <w:p w14:paraId="3732B2B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0.957</w:t>
            </w:r>
          </w:p>
        </w:tc>
        <w:tc>
          <w:tcPr>
            <w:tcW w:w="977" w:type="dxa"/>
            <w:shd w:val="clear" w:color="auto" w:fill="auto"/>
            <w:noWrap/>
            <w:vAlign w:val="bottom"/>
            <w:hideMark/>
          </w:tcPr>
          <w:p w14:paraId="2EFFC44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0.505</w:t>
            </w:r>
          </w:p>
        </w:tc>
      </w:tr>
      <w:tr w:rsidR="00CD364B" w:rsidRPr="00CD364B" w14:paraId="7107A838" w14:textId="77777777" w:rsidTr="008333D0">
        <w:trPr>
          <w:trHeight w:val="284"/>
          <w:jc w:val="center"/>
        </w:trPr>
        <w:tc>
          <w:tcPr>
            <w:tcW w:w="1127" w:type="dxa"/>
            <w:shd w:val="clear" w:color="auto" w:fill="auto"/>
            <w:noWrap/>
            <w:vAlign w:val="bottom"/>
            <w:hideMark/>
          </w:tcPr>
          <w:p w14:paraId="7AB9F3F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AD04AD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33D37E9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53ACE71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2B2AFF1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2B8971CC"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2DF616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5EA93C8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0.048**</w:t>
            </w:r>
          </w:p>
        </w:tc>
        <w:tc>
          <w:tcPr>
            <w:tcW w:w="974" w:type="dxa"/>
            <w:shd w:val="clear" w:color="auto" w:fill="auto"/>
            <w:noWrap/>
            <w:vAlign w:val="bottom"/>
            <w:hideMark/>
          </w:tcPr>
          <w:p w14:paraId="1D85090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0.047**</w:t>
            </w:r>
          </w:p>
        </w:tc>
        <w:tc>
          <w:tcPr>
            <w:tcW w:w="977" w:type="dxa"/>
            <w:shd w:val="clear" w:color="auto" w:fill="auto"/>
            <w:noWrap/>
            <w:vAlign w:val="bottom"/>
            <w:hideMark/>
          </w:tcPr>
          <w:p w14:paraId="13B710A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0.842</w:t>
            </w:r>
          </w:p>
        </w:tc>
      </w:tr>
      <w:tr w:rsidR="00CD364B" w:rsidRPr="00CD364B" w14:paraId="30533F2F" w14:textId="77777777" w:rsidTr="008333D0">
        <w:trPr>
          <w:trHeight w:val="284"/>
          <w:jc w:val="center"/>
        </w:trPr>
        <w:tc>
          <w:tcPr>
            <w:tcW w:w="1127" w:type="dxa"/>
            <w:shd w:val="clear" w:color="auto" w:fill="auto"/>
            <w:noWrap/>
            <w:vAlign w:val="bottom"/>
            <w:hideMark/>
          </w:tcPr>
          <w:p w14:paraId="4DCD5159"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8B6977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6FDDFC7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322C00B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D24DE1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6A6A4372"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9AA53B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665B660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0.534</w:t>
            </w:r>
          </w:p>
        </w:tc>
        <w:tc>
          <w:tcPr>
            <w:tcW w:w="974" w:type="dxa"/>
            <w:shd w:val="clear" w:color="auto" w:fill="auto"/>
            <w:noWrap/>
            <w:vAlign w:val="bottom"/>
            <w:hideMark/>
          </w:tcPr>
          <w:p w14:paraId="5B65273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0.048**</w:t>
            </w:r>
          </w:p>
        </w:tc>
        <w:tc>
          <w:tcPr>
            <w:tcW w:w="977" w:type="dxa"/>
            <w:shd w:val="clear" w:color="auto" w:fill="auto"/>
            <w:noWrap/>
            <w:vAlign w:val="bottom"/>
            <w:hideMark/>
          </w:tcPr>
          <w:p w14:paraId="529EC75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0.797</w:t>
            </w:r>
          </w:p>
        </w:tc>
      </w:tr>
      <w:tr w:rsidR="00CD364B" w:rsidRPr="00CD364B" w14:paraId="727D0E65" w14:textId="77777777" w:rsidTr="008333D0">
        <w:trPr>
          <w:trHeight w:val="284"/>
          <w:jc w:val="center"/>
        </w:trPr>
        <w:tc>
          <w:tcPr>
            <w:tcW w:w="1127" w:type="dxa"/>
            <w:shd w:val="clear" w:color="auto" w:fill="auto"/>
            <w:noWrap/>
            <w:vAlign w:val="bottom"/>
            <w:hideMark/>
          </w:tcPr>
          <w:p w14:paraId="04ABC65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CE4D06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011B95E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1A525EE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650FFFF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31DC6F1B"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09F270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24A9885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0.517</w:t>
            </w:r>
          </w:p>
        </w:tc>
        <w:tc>
          <w:tcPr>
            <w:tcW w:w="974" w:type="dxa"/>
            <w:shd w:val="clear" w:color="auto" w:fill="auto"/>
            <w:noWrap/>
            <w:vAlign w:val="bottom"/>
            <w:hideMark/>
          </w:tcPr>
          <w:p w14:paraId="16E160F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0.575</w:t>
            </w:r>
          </w:p>
        </w:tc>
        <w:tc>
          <w:tcPr>
            <w:tcW w:w="977" w:type="dxa"/>
            <w:shd w:val="clear" w:color="auto" w:fill="auto"/>
            <w:noWrap/>
            <w:vAlign w:val="bottom"/>
            <w:hideMark/>
          </w:tcPr>
          <w:p w14:paraId="5F52471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0.201</w:t>
            </w:r>
          </w:p>
        </w:tc>
      </w:tr>
      <w:tr w:rsidR="00CD364B" w:rsidRPr="00CD364B" w14:paraId="1EB28BB9" w14:textId="77777777" w:rsidTr="008333D0">
        <w:trPr>
          <w:trHeight w:val="284"/>
          <w:jc w:val="center"/>
        </w:trPr>
        <w:tc>
          <w:tcPr>
            <w:tcW w:w="1127" w:type="dxa"/>
            <w:tcBorders>
              <w:bottom w:val="single" w:sz="4" w:space="0" w:color="auto"/>
            </w:tcBorders>
            <w:shd w:val="clear" w:color="auto" w:fill="auto"/>
            <w:noWrap/>
            <w:vAlign w:val="bottom"/>
            <w:hideMark/>
          </w:tcPr>
          <w:p w14:paraId="429E33E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4A38E38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037D930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bottom w:val="single" w:sz="4" w:space="0" w:color="auto"/>
            </w:tcBorders>
            <w:shd w:val="clear" w:color="auto" w:fill="auto"/>
            <w:noWrap/>
            <w:vAlign w:val="bottom"/>
            <w:hideMark/>
          </w:tcPr>
          <w:p w14:paraId="037D427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bottom w:val="single" w:sz="4" w:space="0" w:color="auto"/>
            </w:tcBorders>
            <w:shd w:val="clear" w:color="auto" w:fill="auto"/>
            <w:noWrap/>
            <w:vAlign w:val="bottom"/>
            <w:hideMark/>
          </w:tcPr>
          <w:p w14:paraId="776C86E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bottom w:val="single" w:sz="4" w:space="0" w:color="auto"/>
            </w:tcBorders>
            <w:shd w:val="clear" w:color="auto" w:fill="auto"/>
            <w:noWrap/>
            <w:vAlign w:val="bottom"/>
            <w:hideMark/>
          </w:tcPr>
          <w:p w14:paraId="19814A4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100B5C5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1EE2213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0.036**</w:t>
            </w:r>
          </w:p>
        </w:tc>
        <w:tc>
          <w:tcPr>
            <w:tcW w:w="974" w:type="dxa"/>
            <w:tcBorders>
              <w:bottom w:val="single" w:sz="4" w:space="0" w:color="auto"/>
            </w:tcBorders>
            <w:shd w:val="clear" w:color="auto" w:fill="auto"/>
            <w:noWrap/>
            <w:vAlign w:val="bottom"/>
            <w:hideMark/>
          </w:tcPr>
          <w:p w14:paraId="642109E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0.805</w:t>
            </w:r>
          </w:p>
        </w:tc>
        <w:tc>
          <w:tcPr>
            <w:tcW w:w="977" w:type="dxa"/>
            <w:tcBorders>
              <w:bottom w:val="single" w:sz="4" w:space="0" w:color="auto"/>
            </w:tcBorders>
            <w:shd w:val="clear" w:color="auto" w:fill="auto"/>
            <w:noWrap/>
            <w:vAlign w:val="bottom"/>
            <w:hideMark/>
          </w:tcPr>
          <w:p w14:paraId="6284E0D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0.247</w:t>
            </w:r>
          </w:p>
        </w:tc>
      </w:tr>
      <w:tr w:rsidR="00CD364B" w:rsidRPr="00CD364B" w14:paraId="6B217496" w14:textId="77777777" w:rsidTr="008333D0">
        <w:trPr>
          <w:trHeight w:val="284"/>
          <w:jc w:val="center"/>
        </w:trPr>
        <w:tc>
          <w:tcPr>
            <w:tcW w:w="1127" w:type="dxa"/>
            <w:tcBorders>
              <w:top w:val="single" w:sz="4" w:space="0" w:color="auto"/>
            </w:tcBorders>
            <w:shd w:val="clear" w:color="auto" w:fill="auto"/>
            <w:noWrap/>
            <w:vAlign w:val="bottom"/>
            <w:hideMark/>
          </w:tcPr>
          <w:p w14:paraId="42A6F619"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D2</w:t>
            </w:r>
          </w:p>
        </w:tc>
        <w:tc>
          <w:tcPr>
            <w:tcW w:w="1173" w:type="dxa"/>
            <w:tcBorders>
              <w:top w:val="single" w:sz="4" w:space="0" w:color="auto"/>
            </w:tcBorders>
            <w:shd w:val="clear" w:color="auto" w:fill="auto"/>
            <w:noWrap/>
            <w:vAlign w:val="bottom"/>
            <w:hideMark/>
          </w:tcPr>
          <w:p w14:paraId="1A3BF84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09B04B1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top w:val="single" w:sz="4" w:space="0" w:color="auto"/>
            </w:tcBorders>
            <w:shd w:val="clear" w:color="auto" w:fill="auto"/>
            <w:noWrap/>
            <w:vAlign w:val="bottom"/>
            <w:hideMark/>
          </w:tcPr>
          <w:p w14:paraId="4B3D1A3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top w:val="single" w:sz="4" w:space="0" w:color="auto"/>
            </w:tcBorders>
            <w:shd w:val="clear" w:color="auto" w:fill="auto"/>
            <w:noWrap/>
            <w:vAlign w:val="bottom"/>
            <w:hideMark/>
          </w:tcPr>
          <w:p w14:paraId="022311D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top w:val="single" w:sz="4" w:space="0" w:color="auto"/>
            </w:tcBorders>
            <w:shd w:val="clear" w:color="auto" w:fill="auto"/>
            <w:noWrap/>
            <w:vAlign w:val="bottom"/>
            <w:hideMark/>
          </w:tcPr>
          <w:p w14:paraId="1670FE04"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D2</w:t>
            </w:r>
          </w:p>
        </w:tc>
        <w:tc>
          <w:tcPr>
            <w:tcW w:w="1173" w:type="dxa"/>
            <w:tcBorders>
              <w:top w:val="single" w:sz="4" w:space="0" w:color="auto"/>
            </w:tcBorders>
            <w:shd w:val="clear" w:color="auto" w:fill="auto"/>
            <w:noWrap/>
            <w:vAlign w:val="bottom"/>
            <w:hideMark/>
          </w:tcPr>
          <w:p w14:paraId="07CD91D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745F7F1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0.185</w:t>
            </w:r>
          </w:p>
        </w:tc>
        <w:tc>
          <w:tcPr>
            <w:tcW w:w="974" w:type="dxa"/>
            <w:tcBorders>
              <w:top w:val="single" w:sz="4" w:space="0" w:color="auto"/>
            </w:tcBorders>
            <w:shd w:val="clear" w:color="auto" w:fill="auto"/>
            <w:noWrap/>
            <w:vAlign w:val="bottom"/>
            <w:hideMark/>
          </w:tcPr>
          <w:p w14:paraId="0E9AE3A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0.823</w:t>
            </w:r>
          </w:p>
        </w:tc>
        <w:tc>
          <w:tcPr>
            <w:tcW w:w="977" w:type="dxa"/>
            <w:tcBorders>
              <w:top w:val="single" w:sz="4" w:space="0" w:color="auto"/>
            </w:tcBorders>
            <w:shd w:val="clear" w:color="auto" w:fill="auto"/>
            <w:noWrap/>
            <w:vAlign w:val="bottom"/>
            <w:hideMark/>
          </w:tcPr>
          <w:p w14:paraId="671D53B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0.613</w:t>
            </w:r>
          </w:p>
        </w:tc>
      </w:tr>
      <w:tr w:rsidR="00CD364B" w:rsidRPr="00CD364B" w14:paraId="3175050D" w14:textId="77777777" w:rsidTr="008333D0">
        <w:trPr>
          <w:trHeight w:val="284"/>
          <w:jc w:val="center"/>
        </w:trPr>
        <w:tc>
          <w:tcPr>
            <w:tcW w:w="1127" w:type="dxa"/>
            <w:shd w:val="clear" w:color="auto" w:fill="auto"/>
            <w:noWrap/>
            <w:vAlign w:val="bottom"/>
            <w:hideMark/>
          </w:tcPr>
          <w:p w14:paraId="7D8287EA"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3A50BB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3DBFB1D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7E15713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17A475F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1B4D4BE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F64F2D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5EC4345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0.105</w:t>
            </w:r>
          </w:p>
        </w:tc>
        <w:tc>
          <w:tcPr>
            <w:tcW w:w="974" w:type="dxa"/>
            <w:shd w:val="clear" w:color="auto" w:fill="auto"/>
            <w:noWrap/>
            <w:vAlign w:val="bottom"/>
            <w:hideMark/>
          </w:tcPr>
          <w:p w14:paraId="28189D3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0.945</w:t>
            </w:r>
          </w:p>
        </w:tc>
        <w:tc>
          <w:tcPr>
            <w:tcW w:w="977" w:type="dxa"/>
            <w:shd w:val="clear" w:color="auto" w:fill="auto"/>
            <w:noWrap/>
            <w:vAlign w:val="bottom"/>
            <w:hideMark/>
          </w:tcPr>
          <w:p w14:paraId="5352FB0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0.276</w:t>
            </w:r>
          </w:p>
        </w:tc>
      </w:tr>
      <w:tr w:rsidR="00CD364B" w:rsidRPr="00CD364B" w14:paraId="727A3725" w14:textId="77777777" w:rsidTr="008333D0">
        <w:trPr>
          <w:trHeight w:val="284"/>
          <w:jc w:val="center"/>
        </w:trPr>
        <w:tc>
          <w:tcPr>
            <w:tcW w:w="1127" w:type="dxa"/>
            <w:shd w:val="clear" w:color="auto" w:fill="auto"/>
            <w:noWrap/>
            <w:vAlign w:val="bottom"/>
            <w:hideMark/>
          </w:tcPr>
          <w:p w14:paraId="714F7E77"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1B384A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2EF4EA6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04D0AB2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442290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092C6D5A"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86BC29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29147A0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0.704</w:t>
            </w:r>
          </w:p>
        </w:tc>
        <w:tc>
          <w:tcPr>
            <w:tcW w:w="974" w:type="dxa"/>
            <w:shd w:val="clear" w:color="auto" w:fill="auto"/>
            <w:noWrap/>
            <w:vAlign w:val="bottom"/>
            <w:hideMark/>
          </w:tcPr>
          <w:p w14:paraId="119A960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0.464</w:t>
            </w:r>
          </w:p>
        </w:tc>
        <w:tc>
          <w:tcPr>
            <w:tcW w:w="977" w:type="dxa"/>
            <w:shd w:val="clear" w:color="auto" w:fill="auto"/>
            <w:noWrap/>
            <w:vAlign w:val="bottom"/>
            <w:hideMark/>
          </w:tcPr>
          <w:p w14:paraId="727AF79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0.746</w:t>
            </w:r>
          </w:p>
        </w:tc>
      </w:tr>
      <w:tr w:rsidR="00CD364B" w:rsidRPr="00CD364B" w14:paraId="676EF726" w14:textId="77777777" w:rsidTr="008333D0">
        <w:trPr>
          <w:trHeight w:val="284"/>
          <w:jc w:val="center"/>
        </w:trPr>
        <w:tc>
          <w:tcPr>
            <w:tcW w:w="1127" w:type="dxa"/>
            <w:shd w:val="clear" w:color="auto" w:fill="auto"/>
            <w:noWrap/>
            <w:vAlign w:val="bottom"/>
            <w:hideMark/>
          </w:tcPr>
          <w:p w14:paraId="55A2830C"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68A3FE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10C21A8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018124F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2748CE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C4E139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A53855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312E440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0.792</w:t>
            </w:r>
          </w:p>
        </w:tc>
        <w:tc>
          <w:tcPr>
            <w:tcW w:w="974" w:type="dxa"/>
            <w:shd w:val="clear" w:color="auto" w:fill="auto"/>
            <w:noWrap/>
            <w:vAlign w:val="bottom"/>
            <w:hideMark/>
          </w:tcPr>
          <w:p w14:paraId="56F38A1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0.355</w:t>
            </w:r>
          </w:p>
        </w:tc>
        <w:tc>
          <w:tcPr>
            <w:tcW w:w="977" w:type="dxa"/>
            <w:shd w:val="clear" w:color="auto" w:fill="auto"/>
            <w:noWrap/>
            <w:vAlign w:val="bottom"/>
            <w:hideMark/>
          </w:tcPr>
          <w:p w14:paraId="5805893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0.825</w:t>
            </w:r>
          </w:p>
        </w:tc>
      </w:tr>
      <w:tr w:rsidR="00CD364B" w:rsidRPr="00CD364B" w14:paraId="4F2ED6E9" w14:textId="77777777" w:rsidTr="008333D0">
        <w:trPr>
          <w:trHeight w:val="284"/>
          <w:jc w:val="center"/>
        </w:trPr>
        <w:tc>
          <w:tcPr>
            <w:tcW w:w="1127" w:type="dxa"/>
            <w:shd w:val="clear" w:color="auto" w:fill="auto"/>
            <w:noWrap/>
            <w:vAlign w:val="bottom"/>
            <w:hideMark/>
          </w:tcPr>
          <w:p w14:paraId="270C4EAA"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E328BC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142917B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07800A8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62062E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337E7EC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6D14EE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76CC2AB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0.441</w:t>
            </w:r>
          </w:p>
        </w:tc>
        <w:tc>
          <w:tcPr>
            <w:tcW w:w="974" w:type="dxa"/>
            <w:shd w:val="clear" w:color="auto" w:fill="auto"/>
            <w:noWrap/>
            <w:vAlign w:val="bottom"/>
            <w:hideMark/>
          </w:tcPr>
          <w:p w14:paraId="118F769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0.403</w:t>
            </w:r>
          </w:p>
        </w:tc>
        <w:tc>
          <w:tcPr>
            <w:tcW w:w="977" w:type="dxa"/>
            <w:shd w:val="clear" w:color="auto" w:fill="auto"/>
            <w:noWrap/>
            <w:vAlign w:val="bottom"/>
            <w:hideMark/>
          </w:tcPr>
          <w:p w14:paraId="47C4424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0.551</w:t>
            </w:r>
          </w:p>
        </w:tc>
      </w:tr>
      <w:tr w:rsidR="00CD364B" w:rsidRPr="00CD364B" w14:paraId="68F31725" w14:textId="77777777" w:rsidTr="008333D0">
        <w:trPr>
          <w:trHeight w:val="284"/>
          <w:jc w:val="center"/>
        </w:trPr>
        <w:tc>
          <w:tcPr>
            <w:tcW w:w="1127" w:type="dxa"/>
            <w:shd w:val="clear" w:color="auto" w:fill="auto"/>
            <w:noWrap/>
            <w:vAlign w:val="bottom"/>
            <w:hideMark/>
          </w:tcPr>
          <w:p w14:paraId="52F788ED"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D4CD59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07AB1ED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4ACA998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970F38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D3BB5A5"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6B463D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6167145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0.333</w:t>
            </w:r>
          </w:p>
        </w:tc>
        <w:tc>
          <w:tcPr>
            <w:tcW w:w="974" w:type="dxa"/>
            <w:shd w:val="clear" w:color="auto" w:fill="auto"/>
            <w:noWrap/>
            <w:vAlign w:val="bottom"/>
            <w:hideMark/>
          </w:tcPr>
          <w:p w14:paraId="4A83E9E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0.692</w:t>
            </w:r>
          </w:p>
        </w:tc>
        <w:tc>
          <w:tcPr>
            <w:tcW w:w="977" w:type="dxa"/>
            <w:shd w:val="clear" w:color="auto" w:fill="auto"/>
            <w:noWrap/>
            <w:vAlign w:val="bottom"/>
            <w:hideMark/>
          </w:tcPr>
          <w:p w14:paraId="41B21C4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0.345</w:t>
            </w:r>
          </w:p>
        </w:tc>
      </w:tr>
      <w:tr w:rsidR="00CD364B" w:rsidRPr="00CD364B" w14:paraId="56F04878" w14:textId="77777777" w:rsidTr="008333D0">
        <w:trPr>
          <w:trHeight w:val="284"/>
          <w:jc w:val="center"/>
        </w:trPr>
        <w:tc>
          <w:tcPr>
            <w:tcW w:w="1127" w:type="dxa"/>
            <w:shd w:val="clear" w:color="auto" w:fill="auto"/>
            <w:noWrap/>
            <w:vAlign w:val="bottom"/>
            <w:hideMark/>
          </w:tcPr>
          <w:p w14:paraId="50CBDA5B"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784AED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78339F5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6F75439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0AE05E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2F24CB2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19364E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7E92B1F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0.696</w:t>
            </w:r>
          </w:p>
        </w:tc>
        <w:tc>
          <w:tcPr>
            <w:tcW w:w="974" w:type="dxa"/>
            <w:shd w:val="clear" w:color="auto" w:fill="auto"/>
            <w:noWrap/>
            <w:vAlign w:val="bottom"/>
            <w:hideMark/>
          </w:tcPr>
          <w:p w14:paraId="5CC15FB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0.956</w:t>
            </w:r>
          </w:p>
        </w:tc>
        <w:tc>
          <w:tcPr>
            <w:tcW w:w="977" w:type="dxa"/>
            <w:shd w:val="clear" w:color="auto" w:fill="auto"/>
            <w:noWrap/>
            <w:vAlign w:val="bottom"/>
            <w:hideMark/>
          </w:tcPr>
          <w:p w14:paraId="018142E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0.549</w:t>
            </w:r>
          </w:p>
        </w:tc>
      </w:tr>
      <w:tr w:rsidR="00CD364B" w:rsidRPr="00CD364B" w14:paraId="6A0D5328" w14:textId="77777777" w:rsidTr="008333D0">
        <w:trPr>
          <w:trHeight w:val="284"/>
          <w:jc w:val="center"/>
        </w:trPr>
        <w:tc>
          <w:tcPr>
            <w:tcW w:w="1127" w:type="dxa"/>
            <w:shd w:val="clear" w:color="auto" w:fill="auto"/>
            <w:noWrap/>
            <w:vAlign w:val="bottom"/>
            <w:hideMark/>
          </w:tcPr>
          <w:p w14:paraId="5B19186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CCA39E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251C30E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458BF92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25E36AE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2089BA5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EBDCCC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3265EB3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0.952</w:t>
            </w:r>
          </w:p>
        </w:tc>
        <w:tc>
          <w:tcPr>
            <w:tcW w:w="974" w:type="dxa"/>
            <w:shd w:val="clear" w:color="auto" w:fill="auto"/>
            <w:noWrap/>
            <w:vAlign w:val="bottom"/>
            <w:hideMark/>
          </w:tcPr>
          <w:p w14:paraId="0AFCD58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0.012</w:t>
            </w:r>
          </w:p>
        </w:tc>
        <w:tc>
          <w:tcPr>
            <w:tcW w:w="977" w:type="dxa"/>
            <w:shd w:val="clear" w:color="auto" w:fill="auto"/>
            <w:noWrap/>
            <w:vAlign w:val="bottom"/>
            <w:hideMark/>
          </w:tcPr>
          <w:p w14:paraId="20975E6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0.198</w:t>
            </w:r>
          </w:p>
        </w:tc>
      </w:tr>
      <w:tr w:rsidR="00CD364B" w:rsidRPr="00CD364B" w14:paraId="1B10AFCA" w14:textId="77777777" w:rsidTr="008333D0">
        <w:trPr>
          <w:trHeight w:val="284"/>
          <w:jc w:val="center"/>
        </w:trPr>
        <w:tc>
          <w:tcPr>
            <w:tcW w:w="1127" w:type="dxa"/>
            <w:shd w:val="clear" w:color="auto" w:fill="auto"/>
            <w:noWrap/>
            <w:vAlign w:val="bottom"/>
            <w:hideMark/>
          </w:tcPr>
          <w:p w14:paraId="1C3C192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89D84B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5DF87BD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0B4363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3C906B3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0B6D0BC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1695DA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723ACEB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0.750</w:t>
            </w:r>
          </w:p>
        </w:tc>
        <w:tc>
          <w:tcPr>
            <w:tcW w:w="974" w:type="dxa"/>
            <w:shd w:val="clear" w:color="auto" w:fill="auto"/>
            <w:noWrap/>
            <w:vAlign w:val="bottom"/>
            <w:hideMark/>
          </w:tcPr>
          <w:p w14:paraId="551A519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0.800</w:t>
            </w:r>
          </w:p>
        </w:tc>
        <w:tc>
          <w:tcPr>
            <w:tcW w:w="977" w:type="dxa"/>
            <w:shd w:val="clear" w:color="auto" w:fill="auto"/>
            <w:noWrap/>
            <w:vAlign w:val="bottom"/>
            <w:hideMark/>
          </w:tcPr>
          <w:p w14:paraId="6DBA31A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0.488</w:t>
            </w:r>
          </w:p>
        </w:tc>
      </w:tr>
      <w:tr w:rsidR="00CD364B" w:rsidRPr="00CD364B" w14:paraId="507C7BC2" w14:textId="77777777" w:rsidTr="008333D0">
        <w:trPr>
          <w:trHeight w:val="284"/>
          <w:jc w:val="center"/>
        </w:trPr>
        <w:tc>
          <w:tcPr>
            <w:tcW w:w="1127" w:type="dxa"/>
            <w:tcBorders>
              <w:bottom w:val="single" w:sz="4" w:space="0" w:color="auto"/>
            </w:tcBorders>
            <w:shd w:val="clear" w:color="auto" w:fill="auto"/>
            <w:noWrap/>
            <w:vAlign w:val="bottom"/>
            <w:hideMark/>
          </w:tcPr>
          <w:p w14:paraId="6A348842"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7C5C4EC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7C47EDD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bottom w:val="single" w:sz="4" w:space="0" w:color="auto"/>
            </w:tcBorders>
            <w:shd w:val="clear" w:color="auto" w:fill="auto"/>
            <w:noWrap/>
            <w:vAlign w:val="bottom"/>
            <w:hideMark/>
          </w:tcPr>
          <w:p w14:paraId="6E7CCD3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bottom w:val="single" w:sz="4" w:space="0" w:color="auto"/>
            </w:tcBorders>
            <w:shd w:val="clear" w:color="auto" w:fill="auto"/>
            <w:noWrap/>
            <w:vAlign w:val="bottom"/>
            <w:hideMark/>
          </w:tcPr>
          <w:p w14:paraId="44DA7F8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bottom w:val="single" w:sz="4" w:space="0" w:color="auto"/>
            </w:tcBorders>
            <w:shd w:val="clear" w:color="auto" w:fill="auto"/>
            <w:noWrap/>
            <w:vAlign w:val="bottom"/>
            <w:hideMark/>
          </w:tcPr>
          <w:p w14:paraId="0D5BBE02"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1395034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56ABAF9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0.003***</w:t>
            </w:r>
          </w:p>
        </w:tc>
        <w:tc>
          <w:tcPr>
            <w:tcW w:w="974" w:type="dxa"/>
            <w:tcBorders>
              <w:bottom w:val="single" w:sz="4" w:space="0" w:color="auto"/>
            </w:tcBorders>
            <w:shd w:val="clear" w:color="auto" w:fill="auto"/>
            <w:noWrap/>
            <w:vAlign w:val="bottom"/>
            <w:hideMark/>
          </w:tcPr>
          <w:p w14:paraId="137CADF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0.008***</w:t>
            </w:r>
          </w:p>
        </w:tc>
        <w:tc>
          <w:tcPr>
            <w:tcW w:w="977" w:type="dxa"/>
            <w:tcBorders>
              <w:bottom w:val="single" w:sz="4" w:space="0" w:color="auto"/>
            </w:tcBorders>
            <w:shd w:val="clear" w:color="auto" w:fill="auto"/>
            <w:noWrap/>
            <w:vAlign w:val="bottom"/>
            <w:hideMark/>
          </w:tcPr>
          <w:p w14:paraId="312AC2B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0.009***</w:t>
            </w:r>
          </w:p>
        </w:tc>
      </w:tr>
      <w:tr w:rsidR="00CD364B" w:rsidRPr="00CD364B" w14:paraId="10D92FE8" w14:textId="77777777" w:rsidTr="008333D0">
        <w:trPr>
          <w:trHeight w:val="284"/>
          <w:jc w:val="center"/>
        </w:trPr>
        <w:tc>
          <w:tcPr>
            <w:tcW w:w="1127" w:type="dxa"/>
            <w:tcBorders>
              <w:top w:val="single" w:sz="4" w:space="0" w:color="auto"/>
            </w:tcBorders>
            <w:shd w:val="clear" w:color="auto" w:fill="auto"/>
            <w:noWrap/>
            <w:vAlign w:val="bottom"/>
            <w:hideMark/>
          </w:tcPr>
          <w:p w14:paraId="52A4B1CB"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D3</w:t>
            </w:r>
          </w:p>
        </w:tc>
        <w:tc>
          <w:tcPr>
            <w:tcW w:w="1173" w:type="dxa"/>
            <w:tcBorders>
              <w:top w:val="single" w:sz="4" w:space="0" w:color="auto"/>
            </w:tcBorders>
            <w:shd w:val="clear" w:color="auto" w:fill="auto"/>
            <w:noWrap/>
            <w:vAlign w:val="bottom"/>
            <w:hideMark/>
          </w:tcPr>
          <w:p w14:paraId="13459D4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70B063A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top w:val="single" w:sz="4" w:space="0" w:color="auto"/>
            </w:tcBorders>
            <w:shd w:val="clear" w:color="auto" w:fill="auto"/>
            <w:noWrap/>
            <w:vAlign w:val="bottom"/>
            <w:hideMark/>
          </w:tcPr>
          <w:p w14:paraId="39EC890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top w:val="single" w:sz="4" w:space="0" w:color="auto"/>
            </w:tcBorders>
            <w:shd w:val="clear" w:color="auto" w:fill="auto"/>
            <w:noWrap/>
            <w:vAlign w:val="bottom"/>
            <w:hideMark/>
          </w:tcPr>
          <w:p w14:paraId="4251158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top w:val="single" w:sz="4" w:space="0" w:color="auto"/>
            </w:tcBorders>
            <w:shd w:val="clear" w:color="auto" w:fill="auto"/>
            <w:noWrap/>
            <w:vAlign w:val="bottom"/>
            <w:hideMark/>
          </w:tcPr>
          <w:p w14:paraId="3BB3A2ED"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D3</w:t>
            </w:r>
          </w:p>
        </w:tc>
        <w:tc>
          <w:tcPr>
            <w:tcW w:w="1173" w:type="dxa"/>
            <w:tcBorders>
              <w:top w:val="single" w:sz="4" w:space="0" w:color="auto"/>
            </w:tcBorders>
            <w:shd w:val="clear" w:color="auto" w:fill="auto"/>
            <w:noWrap/>
            <w:vAlign w:val="bottom"/>
            <w:hideMark/>
          </w:tcPr>
          <w:p w14:paraId="757E317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053D8EF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0.364</w:t>
            </w:r>
          </w:p>
        </w:tc>
        <w:tc>
          <w:tcPr>
            <w:tcW w:w="974" w:type="dxa"/>
            <w:tcBorders>
              <w:top w:val="single" w:sz="4" w:space="0" w:color="auto"/>
            </w:tcBorders>
            <w:shd w:val="clear" w:color="auto" w:fill="auto"/>
            <w:noWrap/>
            <w:vAlign w:val="bottom"/>
            <w:hideMark/>
          </w:tcPr>
          <w:p w14:paraId="25A315B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0.283</w:t>
            </w:r>
          </w:p>
        </w:tc>
        <w:tc>
          <w:tcPr>
            <w:tcW w:w="977" w:type="dxa"/>
            <w:tcBorders>
              <w:top w:val="single" w:sz="4" w:space="0" w:color="auto"/>
            </w:tcBorders>
            <w:shd w:val="clear" w:color="auto" w:fill="auto"/>
            <w:noWrap/>
            <w:vAlign w:val="bottom"/>
            <w:hideMark/>
          </w:tcPr>
          <w:p w14:paraId="7C84E1D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0.903</w:t>
            </w:r>
          </w:p>
        </w:tc>
      </w:tr>
      <w:tr w:rsidR="00CD364B" w:rsidRPr="00CD364B" w14:paraId="58A973E1" w14:textId="77777777" w:rsidTr="008333D0">
        <w:trPr>
          <w:trHeight w:val="284"/>
          <w:jc w:val="center"/>
        </w:trPr>
        <w:tc>
          <w:tcPr>
            <w:tcW w:w="1127" w:type="dxa"/>
            <w:shd w:val="clear" w:color="auto" w:fill="auto"/>
            <w:noWrap/>
            <w:vAlign w:val="bottom"/>
            <w:hideMark/>
          </w:tcPr>
          <w:p w14:paraId="770F844F"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953D14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0F90269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8258FF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44104B5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402768A7"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2E6A7E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25C455E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0.983</w:t>
            </w:r>
          </w:p>
        </w:tc>
        <w:tc>
          <w:tcPr>
            <w:tcW w:w="974" w:type="dxa"/>
            <w:shd w:val="clear" w:color="auto" w:fill="auto"/>
            <w:noWrap/>
            <w:vAlign w:val="bottom"/>
            <w:hideMark/>
          </w:tcPr>
          <w:p w14:paraId="782185D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0.838</w:t>
            </w:r>
          </w:p>
        </w:tc>
        <w:tc>
          <w:tcPr>
            <w:tcW w:w="977" w:type="dxa"/>
            <w:shd w:val="clear" w:color="auto" w:fill="auto"/>
            <w:noWrap/>
            <w:vAlign w:val="bottom"/>
            <w:hideMark/>
          </w:tcPr>
          <w:p w14:paraId="3917948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0.469</w:t>
            </w:r>
          </w:p>
        </w:tc>
      </w:tr>
      <w:tr w:rsidR="00CD364B" w:rsidRPr="00CD364B" w14:paraId="40618823" w14:textId="77777777" w:rsidTr="008333D0">
        <w:trPr>
          <w:trHeight w:val="284"/>
          <w:jc w:val="center"/>
        </w:trPr>
        <w:tc>
          <w:tcPr>
            <w:tcW w:w="1127" w:type="dxa"/>
            <w:shd w:val="clear" w:color="auto" w:fill="auto"/>
            <w:noWrap/>
            <w:vAlign w:val="bottom"/>
            <w:hideMark/>
          </w:tcPr>
          <w:p w14:paraId="77CF561A"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8271BB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3F5EB6C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F961FA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2D49D23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0413565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4E300F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43A915F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0.995</w:t>
            </w:r>
          </w:p>
        </w:tc>
        <w:tc>
          <w:tcPr>
            <w:tcW w:w="974" w:type="dxa"/>
            <w:shd w:val="clear" w:color="auto" w:fill="auto"/>
            <w:noWrap/>
            <w:vAlign w:val="bottom"/>
            <w:hideMark/>
          </w:tcPr>
          <w:p w14:paraId="48BD7A5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0.405</w:t>
            </w:r>
          </w:p>
        </w:tc>
        <w:tc>
          <w:tcPr>
            <w:tcW w:w="977" w:type="dxa"/>
            <w:shd w:val="clear" w:color="auto" w:fill="auto"/>
            <w:noWrap/>
            <w:vAlign w:val="bottom"/>
            <w:hideMark/>
          </w:tcPr>
          <w:p w14:paraId="280AC62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0.911</w:t>
            </w:r>
          </w:p>
        </w:tc>
      </w:tr>
      <w:tr w:rsidR="00CD364B" w:rsidRPr="00CD364B" w14:paraId="24F3338D" w14:textId="77777777" w:rsidTr="008333D0">
        <w:trPr>
          <w:trHeight w:val="284"/>
          <w:jc w:val="center"/>
        </w:trPr>
        <w:tc>
          <w:tcPr>
            <w:tcW w:w="1127" w:type="dxa"/>
            <w:shd w:val="clear" w:color="auto" w:fill="auto"/>
            <w:noWrap/>
            <w:vAlign w:val="bottom"/>
            <w:hideMark/>
          </w:tcPr>
          <w:p w14:paraId="78B06DB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36F19B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783A7FE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7748EB5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4379A50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2CBDB6F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5211A5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61FD4C8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0.483</w:t>
            </w:r>
          </w:p>
        </w:tc>
        <w:tc>
          <w:tcPr>
            <w:tcW w:w="974" w:type="dxa"/>
            <w:shd w:val="clear" w:color="auto" w:fill="auto"/>
            <w:noWrap/>
            <w:vAlign w:val="bottom"/>
            <w:hideMark/>
          </w:tcPr>
          <w:p w14:paraId="4D6EDD9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0.857</w:t>
            </w:r>
          </w:p>
        </w:tc>
        <w:tc>
          <w:tcPr>
            <w:tcW w:w="977" w:type="dxa"/>
            <w:shd w:val="clear" w:color="auto" w:fill="auto"/>
            <w:noWrap/>
            <w:vAlign w:val="bottom"/>
            <w:hideMark/>
          </w:tcPr>
          <w:p w14:paraId="3136F8C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0.311</w:t>
            </w:r>
          </w:p>
        </w:tc>
      </w:tr>
      <w:tr w:rsidR="00CD364B" w:rsidRPr="00CD364B" w14:paraId="08CCF940" w14:textId="77777777" w:rsidTr="008333D0">
        <w:trPr>
          <w:trHeight w:val="284"/>
          <w:jc w:val="center"/>
        </w:trPr>
        <w:tc>
          <w:tcPr>
            <w:tcW w:w="1127" w:type="dxa"/>
            <w:shd w:val="clear" w:color="auto" w:fill="auto"/>
            <w:noWrap/>
            <w:vAlign w:val="bottom"/>
            <w:hideMark/>
          </w:tcPr>
          <w:p w14:paraId="210D7DB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D9CB8F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20717DC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3CF31A2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53F225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7215F53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F6E32D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51A19B4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0.397</w:t>
            </w:r>
          </w:p>
        </w:tc>
        <w:tc>
          <w:tcPr>
            <w:tcW w:w="974" w:type="dxa"/>
            <w:shd w:val="clear" w:color="auto" w:fill="auto"/>
            <w:noWrap/>
            <w:vAlign w:val="bottom"/>
            <w:hideMark/>
          </w:tcPr>
          <w:p w14:paraId="3FCDE01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0.404</w:t>
            </w:r>
          </w:p>
        </w:tc>
        <w:tc>
          <w:tcPr>
            <w:tcW w:w="977" w:type="dxa"/>
            <w:shd w:val="clear" w:color="auto" w:fill="auto"/>
            <w:noWrap/>
            <w:vAlign w:val="bottom"/>
            <w:hideMark/>
          </w:tcPr>
          <w:p w14:paraId="581A6CC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0.230</w:t>
            </w:r>
          </w:p>
        </w:tc>
      </w:tr>
      <w:tr w:rsidR="00CD364B" w:rsidRPr="00CD364B" w14:paraId="17F848DE" w14:textId="77777777" w:rsidTr="008333D0">
        <w:trPr>
          <w:trHeight w:val="284"/>
          <w:jc w:val="center"/>
        </w:trPr>
        <w:tc>
          <w:tcPr>
            <w:tcW w:w="1127" w:type="dxa"/>
            <w:shd w:val="clear" w:color="auto" w:fill="auto"/>
            <w:noWrap/>
            <w:vAlign w:val="bottom"/>
            <w:hideMark/>
          </w:tcPr>
          <w:p w14:paraId="3A82BAA2"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43E9D0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311B475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7E8CFC7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1BD767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C7646A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080B6C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24F0DFC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0.914</w:t>
            </w:r>
          </w:p>
        </w:tc>
        <w:tc>
          <w:tcPr>
            <w:tcW w:w="974" w:type="dxa"/>
            <w:shd w:val="clear" w:color="auto" w:fill="auto"/>
            <w:noWrap/>
            <w:vAlign w:val="bottom"/>
            <w:hideMark/>
          </w:tcPr>
          <w:p w14:paraId="47C606A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0.659</w:t>
            </w:r>
          </w:p>
        </w:tc>
        <w:tc>
          <w:tcPr>
            <w:tcW w:w="977" w:type="dxa"/>
            <w:shd w:val="clear" w:color="auto" w:fill="auto"/>
            <w:noWrap/>
            <w:vAlign w:val="bottom"/>
            <w:hideMark/>
          </w:tcPr>
          <w:p w14:paraId="12F9E5F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0.523</w:t>
            </w:r>
          </w:p>
        </w:tc>
      </w:tr>
      <w:tr w:rsidR="00CD364B" w:rsidRPr="00CD364B" w14:paraId="28DB485A" w14:textId="77777777" w:rsidTr="008333D0">
        <w:trPr>
          <w:trHeight w:val="284"/>
          <w:jc w:val="center"/>
        </w:trPr>
        <w:tc>
          <w:tcPr>
            <w:tcW w:w="1127" w:type="dxa"/>
            <w:shd w:val="clear" w:color="auto" w:fill="auto"/>
            <w:noWrap/>
            <w:vAlign w:val="bottom"/>
            <w:hideMark/>
          </w:tcPr>
          <w:p w14:paraId="2B102419"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545967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79A9523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6FC376F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38B7FF7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05CFEC9F"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4B53D5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07FE370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0.369</w:t>
            </w:r>
          </w:p>
        </w:tc>
        <w:tc>
          <w:tcPr>
            <w:tcW w:w="974" w:type="dxa"/>
            <w:shd w:val="clear" w:color="auto" w:fill="auto"/>
            <w:noWrap/>
            <w:vAlign w:val="bottom"/>
            <w:hideMark/>
          </w:tcPr>
          <w:p w14:paraId="3E92B36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0.482</w:t>
            </w:r>
          </w:p>
        </w:tc>
        <w:tc>
          <w:tcPr>
            <w:tcW w:w="977" w:type="dxa"/>
            <w:shd w:val="clear" w:color="auto" w:fill="auto"/>
            <w:noWrap/>
            <w:vAlign w:val="bottom"/>
            <w:hideMark/>
          </w:tcPr>
          <w:p w14:paraId="1CF973C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0.034**</w:t>
            </w:r>
          </w:p>
        </w:tc>
      </w:tr>
      <w:tr w:rsidR="00CD364B" w:rsidRPr="00CD364B" w14:paraId="21B688B4" w14:textId="77777777" w:rsidTr="008333D0">
        <w:trPr>
          <w:trHeight w:val="284"/>
          <w:jc w:val="center"/>
        </w:trPr>
        <w:tc>
          <w:tcPr>
            <w:tcW w:w="1127" w:type="dxa"/>
            <w:shd w:val="clear" w:color="auto" w:fill="auto"/>
            <w:noWrap/>
            <w:vAlign w:val="bottom"/>
            <w:hideMark/>
          </w:tcPr>
          <w:p w14:paraId="7F735ADD"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771DD0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363827A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3555B8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1CA41BB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EC6EEC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0C318D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279CD41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0.562</w:t>
            </w:r>
          </w:p>
        </w:tc>
        <w:tc>
          <w:tcPr>
            <w:tcW w:w="974" w:type="dxa"/>
            <w:shd w:val="clear" w:color="auto" w:fill="auto"/>
            <w:noWrap/>
            <w:vAlign w:val="bottom"/>
            <w:hideMark/>
          </w:tcPr>
          <w:p w14:paraId="4680292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0.780</w:t>
            </w:r>
          </w:p>
        </w:tc>
        <w:tc>
          <w:tcPr>
            <w:tcW w:w="977" w:type="dxa"/>
            <w:shd w:val="clear" w:color="auto" w:fill="auto"/>
            <w:noWrap/>
            <w:vAlign w:val="bottom"/>
            <w:hideMark/>
          </w:tcPr>
          <w:p w14:paraId="3DB69D1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0.612</w:t>
            </w:r>
          </w:p>
        </w:tc>
      </w:tr>
      <w:tr w:rsidR="00CD364B" w:rsidRPr="00CD364B" w14:paraId="0D13EC30" w14:textId="77777777" w:rsidTr="008333D0">
        <w:trPr>
          <w:trHeight w:val="284"/>
          <w:jc w:val="center"/>
        </w:trPr>
        <w:tc>
          <w:tcPr>
            <w:tcW w:w="1127" w:type="dxa"/>
            <w:shd w:val="clear" w:color="auto" w:fill="auto"/>
            <w:noWrap/>
            <w:vAlign w:val="bottom"/>
            <w:hideMark/>
          </w:tcPr>
          <w:p w14:paraId="72A71E1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039EA6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18E2B5C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4C657CB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6C6F8E3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0EAFC43A"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8079C7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27097DC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0.926</w:t>
            </w:r>
          </w:p>
        </w:tc>
        <w:tc>
          <w:tcPr>
            <w:tcW w:w="974" w:type="dxa"/>
            <w:shd w:val="clear" w:color="auto" w:fill="auto"/>
            <w:noWrap/>
            <w:vAlign w:val="bottom"/>
            <w:hideMark/>
          </w:tcPr>
          <w:p w14:paraId="322C311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0.143</w:t>
            </w:r>
          </w:p>
        </w:tc>
        <w:tc>
          <w:tcPr>
            <w:tcW w:w="977" w:type="dxa"/>
            <w:shd w:val="clear" w:color="auto" w:fill="auto"/>
            <w:noWrap/>
            <w:vAlign w:val="bottom"/>
            <w:hideMark/>
          </w:tcPr>
          <w:p w14:paraId="6464E0E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0.752</w:t>
            </w:r>
          </w:p>
        </w:tc>
      </w:tr>
      <w:tr w:rsidR="00CD364B" w:rsidRPr="00CD364B" w14:paraId="600F04C9" w14:textId="77777777" w:rsidTr="008333D0">
        <w:trPr>
          <w:trHeight w:val="284"/>
          <w:jc w:val="center"/>
        </w:trPr>
        <w:tc>
          <w:tcPr>
            <w:tcW w:w="1127" w:type="dxa"/>
            <w:tcBorders>
              <w:bottom w:val="single" w:sz="4" w:space="0" w:color="auto"/>
            </w:tcBorders>
            <w:shd w:val="clear" w:color="auto" w:fill="auto"/>
            <w:noWrap/>
            <w:vAlign w:val="bottom"/>
            <w:hideMark/>
          </w:tcPr>
          <w:p w14:paraId="505895C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7175B5F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4BD204E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bottom w:val="single" w:sz="4" w:space="0" w:color="auto"/>
            </w:tcBorders>
            <w:shd w:val="clear" w:color="auto" w:fill="auto"/>
            <w:noWrap/>
            <w:vAlign w:val="bottom"/>
            <w:hideMark/>
          </w:tcPr>
          <w:p w14:paraId="531281F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bottom w:val="single" w:sz="4" w:space="0" w:color="auto"/>
            </w:tcBorders>
            <w:shd w:val="clear" w:color="auto" w:fill="auto"/>
            <w:noWrap/>
            <w:vAlign w:val="bottom"/>
            <w:hideMark/>
          </w:tcPr>
          <w:p w14:paraId="081079C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bottom w:val="single" w:sz="4" w:space="0" w:color="auto"/>
            </w:tcBorders>
            <w:shd w:val="clear" w:color="auto" w:fill="auto"/>
            <w:noWrap/>
            <w:vAlign w:val="bottom"/>
            <w:hideMark/>
          </w:tcPr>
          <w:p w14:paraId="7B1BD49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75B7081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09BDF11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0.140</w:t>
            </w:r>
          </w:p>
        </w:tc>
        <w:tc>
          <w:tcPr>
            <w:tcW w:w="974" w:type="dxa"/>
            <w:tcBorders>
              <w:bottom w:val="single" w:sz="4" w:space="0" w:color="auto"/>
            </w:tcBorders>
            <w:shd w:val="clear" w:color="auto" w:fill="auto"/>
            <w:noWrap/>
            <w:vAlign w:val="bottom"/>
            <w:hideMark/>
          </w:tcPr>
          <w:p w14:paraId="56D5A7C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0.701</w:t>
            </w:r>
          </w:p>
        </w:tc>
        <w:tc>
          <w:tcPr>
            <w:tcW w:w="977" w:type="dxa"/>
            <w:tcBorders>
              <w:bottom w:val="single" w:sz="4" w:space="0" w:color="auto"/>
            </w:tcBorders>
            <w:shd w:val="clear" w:color="auto" w:fill="auto"/>
            <w:noWrap/>
            <w:vAlign w:val="bottom"/>
            <w:hideMark/>
          </w:tcPr>
          <w:p w14:paraId="5D92B3F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0.980</w:t>
            </w:r>
          </w:p>
        </w:tc>
      </w:tr>
      <w:tr w:rsidR="00CD364B" w:rsidRPr="00CD364B" w14:paraId="2A9C0907" w14:textId="77777777" w:rsidTr="008333D0">
        <w:trPr>
          <w:trHeight w:val="284"/>
          <w:jc w:val="center"/>
        </w:trPr>
        <w:tc>
          <w:tcPr>
            <w:tcW w:w="1127" w:type="dxa"/>
            <w:tcBorders>
              <w:top w:val="single" w:sz="4" w:space="0" w:color="auto"/>
            </w:tcBorders>
            <w:shd w:val="clear" w:color="auto" w:fill="auto"/>
            <w:noWrap/>
            <w:vAlign w:val="bottom"/>
            <w:hideMark/>
          </w:tcPr>
          <w:p w14:paraId="3B378F1A"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D4</w:t>
            </w:r>
          </w:p>
        </w:tc>
        <w:tc>
          <w:tcPr>
            <w:tcW w:w="1173" w:type="dxa"/>
            <w:tcBorders>
              <w:top w:val="single" w:sz="4" w:space="0" w:color="auto"/>
            </w:tcBorders>
            <w:shd w:val="clear" w:color="auto" w:fill="auto"/>
            <w:noWrap/>
            <w:vAlign w:val="bottom"/>
            <w:hideMark/>
          </w:tcPr>
          <w:p w14:paraId="5D79AA7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1F8E79A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top w:val="single" w:sz="4" w:space="0" w:color="auto"/>
            </w:tcBorders>
            <w:shd w:val="clear" w:color="auto" w:fill="auto"/>
            <w:noWrap/>
            <w:vAlign w:val="bottom"/>
            <w:hideMark/>
          </w:tcPr>
          <w:p w14:paraId="37DD689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top w:val="single" w:sz="4" w:space="0" w:color="auto"/>
            </w:tcBorders>
            <w:shd w:val="clear" w:color="auto" w:fill="auto"/>
            <w:noWrap/>
            <w:vAlign w:val="bottom"/>
            <w:hideMark/>
          </w:tcPr>
          <w:p w14:paraId="440129F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top w:val="single" w:sz="4" w:space="0" w:color="auto"/>
            </w:tcBorders>
            <w:shd w:val="clear" w:color="auto" w:fill="auto"/>
            <w:noWrap/>
            <w:vAlign w:val="bottom"/>
            <w:hideMark/>
          </w:tcPr>
          <w:p w14:paraId="7BB2BCEB"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D4</w:t>
            </w:r>
          </w:p>
        </w:tc>
        <w:tc>
          <w:tcPr>
            <w:tcW w:w="1173" w:type="dxa"/>
            <w:tcBorders>
              <w:top w:val="single" w:sz="4" w:space="0" w:color="auto"/>
            </w:tcBorders>
            <w:shd w:val="clear" w:color="auto" w:fill="auto"/>
            <w:noWrap/>
            <w:vAlign w:val="bottom"/>
            <w:hideMark/>
          </w:tcPr>
          <w:p w14:paraId="1306705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790FB17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0.124</w:t>
            </w:r>
          </w:p>
        </w:tc>
        <w:tc>
          <w:tcPr>
            <w:tcW w:w="974" w:type="dxa"/>
            <w:tcBorders>
              <w:top w:val="single" w:sz="4" w:space="0" w:color="auto"/>
            </w:tcBorders>
            <w:shd w:val="clear" w:color="auto" w:fill="auto"/>
            <w:noWrap/>
            <w:vAlign w:val="bottom"/>
            <w:hideMark/>
          </w:tcPr>
          <w:p w14:paraId="6A17D42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0.359</w:t>
            </w:r>
          </w:p>
        </w:tc>
        <w:tc>
          <w:tcPr>
            <w:tcW w:w="977" w:type="dxa"/>
            <w:tcBorders>
              <w:top w:val="single" w:sz="4" w:space="0" w:color="auto"/>
            </w:tcBorders>
            <w:shd w:val="clear" w:color="auto" w:fill="auto"/>
            <w:noWrap/>
            <w:vAlign w:val="bottom"/>
            <w:hideMark/>
          </w:tcPr>
          <w:p w14:paraId="2F31F54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0.446</w:t>
            </w:r>
          </w:p>
        </w:tc>
      </w:tr>
      <w:tr w:rsidR="00CD364B" w:rsidRPr="00CD364B" w14:paraId="15A777C4" w14:textId="77777777" w:rsidTr="008333D0">
        <w:trPr>
          <w:trHeight w:val="284"/>
          <w:jc w:val="center"/>
        </w:trPr>
        <w:tc>
          <w:tcPr>
            <w:tcW w:w="1127" w:type="dxa"/>
            <w:shd w:val="clear" w:color="auto" w:fill="auto"/>
            <w:noWrap/>
            <w:vAlign w:val="bottom"/>
            <w:hideMark/>
          </w:tcPr>
          <w:p w14:paraId="3F130FA9"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94C901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6941EB4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0EBB97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E37E12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10C6635A"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5DE2BA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573E0CE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0.063*</w:t>
            </w:r>
          </w:p>
        </w:tc>
        <w:tc>
          <w:tcPr>
            <w:tcW w:w="974" w:type="dxa"/>
            <w:shd w:val="clear" w:color="auto" w:fill="auto"/>
            <w:noWrap/>
            <w:vAlign w:val="bottom"/>
            <w:hideMark/>
          </w:tcPr>
          <w:p w14:paraId="02819BD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0.074*</w:t>
            </w:r>
          </w:p>
        </w:tc>
        <w:tc>
          <w:tcPr>
            <w:tcW w:w="977" w:type="dxa"/>
            <w:shd w:val="clear" w:color="auto" w:fill="auto"/>
            <w:noWrap/>
            <w:vAlign w:val="bottom"/>
            <w:hideMark/>
          </w:tcPr>
          <w:p w14:paraId="41452BA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0.675</w:t>
            </w:r>
          </w:p>
        </w:tc>
      </w:tr>
      <w:tr w:rsidR="00CD364B" w:rsidRPr="00CD364B" w14:paraId="243337C1" w14:textId="77777777" w:rsidTr="008333D0">
        <w:trPr>
          <w:trHeight w:val="284"/>
          <w:jc w:val="center"/>
        </w:trPr>
        <w:tc>
          <w:tcPr>
            <w:tcW w:w="1127" w:type="dxa"/>
            <w:shd w:val="clear" w:color="auto" w:fill="auto"/>
            <w:noWrap/>
            <w:vAlign w:val="bottom"/>
            <w:hideMark/>
          </w:tcPr>
          <w:p w14:paraId="54AA4E2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4841D1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7B5D7BD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4C64913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4923C81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7CC0F84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20152F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57D7ECB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0.465</w:t>
            </w:r>
          </w:p>
        </w:tc>
        <w:tc>
          <w:tcPr>
            <w:tcW w:w="974" w:type="dxa"/>
            <w:shd w:val="clear" w:color="auto" w:fill="auto"/>
            <w:noWrap/>
            <w:vAlign w:val="bottom"/>
            <w:hideMark/>
          </w:tcPr>
          <w:p w14:paraId="11A0604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0.924</w:t>
            </w:r>
          </w:p>
        </w:tc>
        <w:tc>
          <w:tcPr>
            <w:tcW w:w="977" w:type="dxa"/>
            <w:shd w:val="clear" w:color="auto" w:fill="auto"/>
            <w:noWrap/>
            <w:vAlign w:val="bottom"/>
            <w:hideMark/>
          </w:tcPr>
          <w:p w14:paraId="50994D3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0.581</w:t>
            </w:r>
          </w:p>
        </w:tc>
      </w:tr>
      <w:tr w:rsidR="00CD364B" w:rsidRPr="00CD364B" w14:paraId="18EDEC80" w14:textId="77777777" w:rsidTr="008333D0">
        <w:trPr>
          <w:trHeight w:val="284"/>
          <w:jc w:val="center"/>
        </w:trPr>
        <w:tc>
          <w:tcPr>
            <w:tcW w:w="1127" w:type="dxa"/>
            <w:shd w:val="clear" w:color="auto" w:fill="auto"/>
            <w:noWrap/>
            <w:vAlign w:val="bottom"/>
            <w:hideMark/>
          </w:tcPr>
          <w:p w14:paraId="5BEEB09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lastRenderedPageBreak/>
              <w:t> </w:t>
            </w:r>
          </w:p>
        </w:tc>
        <w:tc>
          <w:tcPr>
            <w:tcW w:w="1173" w:type="dxa"/>
            <w:shd w:val="clear" w:color="auto" w:fill="auto"/>
            <w:noWrap/>
            <w:vAlign w:val="bottom"/>
            <w:hideMark/>
          </w:tcPr>
          <w:p w14:paraId="6EFA7E8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1AD4044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52B5543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116D7B5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3021372F"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54ECE9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3B58E38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0.106</w:t>
            </w:r>
          </w:p>
        </w:tc>
        <w:tc>
          <w:tcPr>
            <w:tcW w:w="974" w:type="dxa"/>
            <w:shd w:val="clear" w:color="auto" w:fill="auto"/>
            <w:noWrap/>
            <w:vAlign w:val="bottom"/>
            <w:hideMark/>
          </w:tcPr>
          <w:p w14:paraId="5C1E90D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0.979</w:t>
            </w:r>
          </w:p>
        </w:tc>
        <w:tc>
          <w:tcPr>
            <w:tcW w:w="977" w:type="dxa"/>
            <w:shd w:val="clear" w:color="auto" w:fill="auto"/>
            <w:noWrap/>
            <w:vAlign w:val="bottom"/>
            <w:hideMark/>
          </w:tcPr>
          <w:p w14:paraId="1BA80C5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0.899</w:t>
            </w:r>
          </w:p>
        </w:tc>
      </w:tr>
      <w:tr w:rsidR="00CD364B" w:rsidRPr="00CD364B" w14:paraId="266D2DA1" w14:textId="77777777" w:rsidTr="008333D0">
        <w:trPr>
          <w:trHeight w:val="284"/>
          <w:jc w:val="center"/>
        </w:trPr>
        <w:tc>
          <w:tcPr>
            <w:tcW w:w="1127" w:type="dxa"/>
            <w:shd w:val="clear" w:color="auto" w:fill="auto"/>
            <w:noWrap/>
            <w:vAlign w:val="bottom"/>
            <w:hideMark/>
          </w:tcPr>
          <w:p w14:paraId="7A96B93F"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34DA26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545CB88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041F6B0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445A02E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4C2E0819"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CF9790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29A5DCF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0.855</w:t>
            </w:r>
          </w:p>
        </w:tc>
        <w:tc>
          <w:tcPr>
            <w:tcW w:w="974" w:type="dxa"/>
            <w:shd w:val="clear" w:color="auto" w:fill="auto"/>
            <w:noWrap/>
            <w:vAlign w:val="bottom"/>
            <w:hideMark/>
          </w:tcPr>
          <w:p w14:paraId="5B1B93A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0.702</w:t>
            </w:r>
          </w:p>
        </w:tc>
        <w:tc>
          <w:tcPr>
            <w:tcW w:w="977" w:type="dxa"/>
            <w:shd w:val="clear" w:color="auto" w:fill="auto"/>
            <w:noWrap/>
            <w:vAlign w:val="bottom"/>
            <w:hideMark/>
          </w:tcPr>
          <w:p w14:paraId="4BFC3AE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0.694</w:t>
            </w:r>
          </w:p>
        </w:tc>
      </w:tr>
      <w:tr w:rsidR="00CD364B" w:rsidRPr="00CD364B" w14:paraId="40847342" w14:textId="77777777" w:rsidTr="008333D0">
        <w:trPr>
          <w:trHeight w:val="284"/>
          <w:jc w:val="center"/>
        </w:trPr>
        <w:tc>
          <w:tcPr>
            <w:tcW w:w="1127" w:type="dxa"/>
            <w:shd w:val="clear" w:color="auto" w:fill="auto"/>
            <w:noWrap/>
            <w:vAlign w:val="bottom"/>
            <w:hideMark/>
          </w:tcPr>
          <w:p w14:paraId="457C2E5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8098F1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31C2A7D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13ADB81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A7B89F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4069ADFD"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1449F2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309A3F4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0.440</w:t>
            </w:r>
          </w:p>
        </w:tc>
        <w:tc>
          <w:tcPr>
            <w:tcW w:w="974" w:type="dxa"/>
            <w:shd w:val="clear" w:color="auto" w:fill="auto"/>
            <w:noWrap/>
            <w:vAlign w:val="bottom"/>
            <w:hideMark/>
          </w:tcPr>
          <w:p w14:paraId="287A9C2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0.676</w:t>
            </w:r>
          </w:p>
        </w:tc>
        <w:tc>
          <w:tcPr>
            <w:tcW w:w="977" w:type="dxa"/>
            <w:shd w:val="clear" w:color="auto" w:fill="auto"/>
            <w:noWrap/>
            <w:vAlign w:val="bottom"/>
            <w:hideMark/>
          </w:tcPr>
          <w:p w14:paraId="02C451D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0.610</w:t>
            </w:r>
          </w:p>
        </w:tc>
      </w:tr>
      <w:tr w:rsidR="00CD364B" w:rsidRPr="00CD364B" w14:paraId="79F68AA7" w14:textId="77777777" w:rsidTr="008333D0">
        <w:trPr>
          <w:trHeight w:val="284"/>
          <w:jc w:val="center"/>
        </w:trPr>
        <w:tc>
          <w:tcPr>
            <w:tcW w:w="1127" w:type="dxa"/>
            <w:shd w:val="clear" w:color="auto" w:fill="auto"/>
            <w:noWrap/>
            <w:vAlign w:val="bottom"/>
            <w:hideMark/>
          </w:tcPr>
          <w:p w14:paraId="34466FC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D3A72F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16585EF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57410F2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75EE9BE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DDF3C1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810218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7DE3319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0.648</w:t>
            </w:r>
          </w:p>
        </w:tc>
        <w:tc>
          <w:tcPr>
            <w:tcW w:w="974" w:type="dxa"/>
            <w:shd w:val="clear" w:color="auto" w:fill="auto"/>
            <w:noWrap/>
            <w:vAlign w:val="bottom"/>
            <w:hideMark/>
          </w:tcPr>
          <w:p w14:paraId="0FF1C61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0.310</w:t>
            </w:r>
          </w:p>
        </w:tc>
        <w:tc>
          <w:tcPr>
            <w:tcW w:w="977" w:type="dxa"/>
            <w:shd w:val="clear" w:color="auto" w:fill="auto"/>
            <w:noWrap/>
            <w:vAlign w:val="bottom"/>
            <w:hideMark/>
          </w:tcPr>
          <w:p w14:paraId="4948692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0.699</w:t>
            </w:r>
          </w:p>
        </w:tc>
      </w:tr>
      <w:tr w:rsidR="00CD364B" w:rsidRPr="00CD364B" w14:paraId="51C7AA36" w14:textId="77777777" w:rsidTr="008333D0">
        <w:trPr>
          <w:trHeight w:val="284"/>
          <w:jc w:val="center"/>
        </w:trPr>
        <w:tc>
          <w:tcPr>
            <w:tcW w:w="1127" w:type="dxa"/>
            <w:shd w:val="clear" w:color="auto" w:fill="auto"/>
            <w:noWrap/>
            <w:vAlign w:val="bottom"/>
            <w:hideMark/>
          </w:tcPr>
          <w:p w14:paraId="02321D3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79658E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3DDE9FE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0A8E13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9D4F0B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49229DDA"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00E8F1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5993FF2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0.650</w:t>
            </w:r>
          </w:p>
        </w:tc>
        <w:tc>
          <w:tcPr>
            <w:tcW w:w="974" w:type="dxa"/>
            <w:shd w:val="clear" w:color="auto" w:fill="auto"/>
            <w:noWrap/>
            <w:vAlign w:val="bottom"/>
            <w:hideMark/>
          </w:tcPr>
          <w:p w14:paraId="1DAF816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0.952</w:t>
            </w:r>
          </w:p>
        </w:tc>
        <w:tc>
          <w:tcPr>
            <w:tcW w:w="977" w:type="dxa"/>
            <w:shd w:val="clear" w:color="auto" w:fill="auto"/>
            <w:noWrap/>
            <w:vAlign w:val="bottom"/>
            <w:hideMark/>
          </w:tcPr>
          <w:p w14:paraId="71046C9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0.138</w:t>
            </w:r>
          </w:p>
        </w:tc>
      </w:tr>
      <w:tr w:rsidR="00CD364B" w:rsidRPr="00CD364B" w14:paraId="4F0FF2A0" w14:textId="77777777" w:rsidTr="008333D0">
        <w:trPr>
          <w:trHeight w:val="284"/>
          <w:jc w:val="center"/>
        </w:trPr>
        <w:tc>
          <w:tcPr>
            <w:tcW w:w="1127" w:type="dxa"/>
            <w:shd w:val="clear" w:color="auto" w:fill="auto"/>
            <w:noWrap/>
            <w:vAlign w:val="bottom"/>
            <w:hideMark/>
          </w:tcPr>
          <w:p w14:paraId="73D9B819"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278992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679879F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5F8B917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858241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386DB0D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32524A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22FD107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0.923</w:t>
            </w:r>
          </w:p>
        </w:tc>
        <w:tc>
          <w:tcPr>
            <w:tcW w:w="974" w:type="dxa"/>
            <w:shd w:val="clear" w:color="auto" w:fill="auto"/>
            <w:noWrap/>
            <w:vAlign w:val="bottom"/>
            <w:hideMark/>
          </w:tcPr>
          <w:p w14:paraId="616E46C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0.456</w:t>
            </w:r>
          </w:p>
        </w:tc>
        <w:tc>
          <w:tcPr>
            <w:tcW w:w="977" w:type="dxa"/>
            <w:shd w:val="clear" w:color="auto" w:fill="auto"/>
            <w:noWrap/>
            <w:vAlign w:val="bottom"/>
            <w:hideMark/>
          </w:tcPr>
          <w:p w14:paraId="5E9D2E8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0.545</w:t>
            </w:r>
          </w:p>
        </w:tc>
      </w:tr>
      <w:tr w:rsidR="00CD364B" w:rsidRPr="00CD364B" w14:paraId="02424B47" w14:textId="77777777" w:rsidTr="008333D0">
        <w:trPr>
          <w:trHeight w:val="284"/>
          <w:jc w:val="center"/>
        </w:trPr>
        <w:tc>
          <w:tcPr>
            <w:tcW w:w="1127" w:type="dxa"/>
            <w:tcBorders>
              <w:bottom w:val="single" w:sz="4" w:space="0" w:color="auto"/>
            </w:tcBorders>
            <w:shd w:val="clear" w:color="auto" w:fill="auto"/>
            <w:noWrap/>
            <w:vAlign w:val="bottom"/>
            <w:hideMark/>
          </w:tcPr>
          <w:p w14:paraId="31DBB35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547B50C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19D6525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bottom w:val="single" w:sz="4" w:space="0" w:color="auto"/>
            </w:tcBorders>
            <w:shd w:val="clear" w:color="auto" w:fill="auto"/>
            <w:noWrap/>
            <w:vAlign w:val="bottom"/>
            <w:hideMark/>
          </w:tcPr>
          <w:p w14:paraId="4E216CA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bottom w:val="single" w:sz="4" w:space="0" w:color="auto"/>
            </w:tcBorders>
            <w:shd w:val="clear" w:color="auto" w:fill="auto"/>
            <w:noWrap/>
            <w:vAlign w:val="bottom"/>
            <w:hideMark/>
          </w:tcPr>
          <w:p w14:paraId="73514FF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bottom w:val="single" w:sz="4" w:space="0" w:color="auto"/>
            </w:tcBorders>
            <w:shd w:val="clear" w:color="auto" w:fill="auto"/>
            <w:noWrap/>
            <w:vAlign w:val="bottom"/>
            <w:hideMark/>
          </w:tcPr>
          <w:p w14:paraId="117519F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5471AF6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2864109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0.007***</w:t>
            </w:r>
          </w:p>
        </w:tc>
        <w:tc>
          <w:tcPr>
            <w:tcW w:w="974" w:type="dxa"/>
            <w:tcBorders>
              <w:bottom w:val="single" w:sz="4" w:space="0" w:color="auto"/>
            </w:tcBorders>
            <w:shd w:val="clear" w:color="auto" w:fill="auto"/>
            <w:noWrap/>
            <w:vAlign w:val="bottom"/>
            <w:hideMark/>
          </w:tcPr>
          <w:p w14:paraId="21DD2D7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0.004***</w:t>
            </w:r>
          </w:p>
        </w:tc>
        <w:tc>
          <w:tcPr>
            <w:tcW w:w="977" w:type="dxa"/>
            <w:tcBorders>
              <w:bottom w:val="single" w:sz="4" w:space="0" w:color="auto"/>
            </w:tcBorders>
            <w:shd w:val="clear" w:color="auto" w:fill="auto"/>
            <w:noWrap/>
            <w:vAlign w:val="bottom"/>
            <w:hideMark/>
          </w:tcPr>
          <w:p w14:paraId="3D2652C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0.001***</w:t>
            </w:r>
          </w:p>
        </w:tc>
      </w:tr>
      <w:tr w:rsidR="00CD364B" w:rsidRPr="00CD364B" w14:paraId="4ADF3171" w14:textId="77777777" w:rsidTr="008333D0">
        <w:trPr>
          <w:trHeight w:val="284"/>
          <w:jc w:val="center"/>
        </w:trPr>
        <w:tc>
          <w:tcPr>
            <w:tcW w:w="1127" w:type="dxa"/>
            <w:tcBorders>
              <w:top w:val="single" w:sz="4" w:space="0" w:color="auto"/>
            </w:tcBorders>
            <w:shd w:val="clear" w:color="auto" w:fill="auto"/>
            <w:noWrap/>
            <w:vAlign w:val="bottom"/>
            <w:hideMark/>
          </w:tcPr>
          <w:p w14:paraId="444E91FF"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D5</w:t>
            </w:r>
          </w:p>
        </w:tc>
        <w:tc>
          <w:tcPr>
            <w:tcW w:w="1173" w:type="dxa"/>
            <w:tcBorders>
              <w:top w:val="single" w:sz="4" w:space="0" w:color="auto"/>
            </w:tcBorders>
            <w:shd w:val="clear" w:color="auto" w:fill="auto"/>
            <w:noWrap/>
            <w:vAlign w:val="bottom"/>
            <w:hideMark/>
          </w:tcPr>
          <w:p w14:paraId="1543CE1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6546FD4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top w:val="single" w:sz="4" w:space="0" w:color="auto"/>
            </w:tcBorders>
            <w:shd w:val="clear" w:color="auto" w:fill="auto"/>
            <w:noWrap/>
            <w:vAlign w:val="bottom"/>
            <w:hideMark/>
          </w:tcPr>
          <w:p w14:paraId="6F6FAFA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top w:val="single" w:sz="4" w:space="0" w:color="auto"/>
            </w:tcBorders>
            <w:shd w:val="clear" w:color="auto" w:fill="auto"/>
            <w:noWrap/>
            <w:vAlign w:val="bottom"/>
            <w:hideMark/>
          </w:tcPr>
          <w:p w14:paraId="2AB3C86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top w:val="single" w:sz="4" w:space="0" w:color="auto"/>
            </w:tcBorders>
            <w:shd w:val="clear" w:color="auto" w:fill="auto"/>
            <w:noWrap/>
            <w:vAlign w:val="bottom"/>
            <w:hideMark/>
          </w:tcPr>
          <w:p w14:paraId="4E1D078A"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D5</w:t>
            </w:r>
          </w:p>
        </w:tc>
        <w:tc>
          <w:tcPr>
            <w:tcW w:w="1173" w:type="dxa"/>
            <w:tcBorders>
              <w:top w:val="single" w:sz="4" w:space="0" w:color="auto"/>
            </w:tcBorders>
            <w:shd w:val="clear" w:color="auto" w:fill="auto"/>
            <w:noWrap/>
            <w:vAlign w:val="bottom"/>
            <w:hideMark/>
          </w:tcPr>
          <w:p w14:paraId="4AB7225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6EACF19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0.658</w:t>
            </w:r>
          </w:p>
        </w:tc>
        <w:tc>
          <w:tcPr>
            <w:tcW w:w="974" w:type="dxa"/>
            <w:tcBorders>
              <w:top w:val="single" w:sz="4" w:space="0" w:color="auto"/>
            </w:tcBorders>
            <w:shd w:val="clear" w:color="auto" w:fill="auto"/>
            <w:noWrap/>
            <w:vAlign w:val="bottom"/>
            <w:hideMark/>
          </w:tcPr>
          <w:p w14:paraId="7BBE12F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0.730</w:t>
            </w:r>
          </w:p>
        </w:tc>
        <w:tc>
          <w:tcPr>
            <w:tcW w:w="977" w:type="dxa"/>
            <w:tcBorders>
              <w:top w:val="single" w:sz="4" w:space="0" w:color="auto"/>
            </w:tcBorders>
            <w:shd w:val="clear" w:color="auto" w:fill="auto"/>
            <w:noWrap/>
            <w:vAlign w:val="bottom"/>
            <w:hideMark/>
          </w:tcPr>
          <w:p w14:paraId="45EA5C2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0.599</w:t>
            </w:r>
          </w:p>
        </w:tc>
      </w:tr>
      <w:tr w:rsidR="00CD364B" w:rsidRPr="00CD364B" w14:paraId="7A9C3E06" w14:textId="77777777" w:rsidTr="008333D0">
        <w:trPr>
          <w:trHeight w:val="284"/>
          <w:jc w:val="center"/>
        </w:trPr>
        <w:tc>
          <w:tcPr>
            <w:tcW w:w="1127" w:type="dxa"/>
            <w:shd w:val="clear" w:color="auto" w:fill="auto"/>
            <w:noWrap/>
            <w:vAlign w:val="bottom"/>
            <w:hideMark/>
          </w:tcPr>
          <w:p w14:paraId="6F78A8F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2F81C8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036B0B1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3C950CA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3D1271D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07A53AB7"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8CA458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32D993E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0.561</w:t>
            </w:r>
          </w:p>
        </w:tc>
        <w:tc>
          <w:tcPr>
            <w:tcW w:w="974" w:type="dxa"/>
            <w:shd w:val="clear" w:color="auto" w:fill="auto"/>
            <w:noWrap/>
            <w:vAlign w:val="bottom"/>
            <w:hideMark/>
          </w:tcPr>
          <w:p w14:paraId="600C9CB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0.807</w:t>
            </w:r>
          </w:p>
        </w:tc>
        <w:tc>
          <w:tcPr>
            <w:tcW w:w="977" w:type="dxa"/>
            <w:shd w:val="clear" w:color="auto" w:fill="auto"/>
            <w:noWrap/>
            <w:vAlign w:val="bottom"/>
            <w:hideMark/>
          </w:tcPr>
          <w:p w14:paraId="5EE4624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0.561</w:t>
            </w:r>
          </w:p>
        </w:tc>
      </w:tr>
      <w:tr w:rsidR="00CD364B" w:rsidRPr="00CD364B" w14:paraId="6C3737C9" w14:textId="77777777" w:rsidTr="008333D0">
        <w:trPr>
          <w:trHeight w:val="284"/>
          <w:jc w:val="center"/>
        </w:trPr>
        <w:tc>
          <w:tcPr>
            <w:tcW w:w="1127" w:type="dxa"/>
            <w:shd w:val="clear" w:color="auto" w:fill="auto"/>
            <w:noWrap/>
            <w:vAlign w:val="bottom"/>
            <w:hideMark/>
          </w:tcPr>
          <w:p w14:paraId="57045767"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C99E18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166F0E4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3D849AA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232CF99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0F6FED4D"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3EF557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1FAEED2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0.969</w:t>
            </w:r>
          </w:p>
        </w:tc>
        <w:tc>
          <w:tcPr>
            <w:tcW w:w="974" w:type="dxa"/>
            <w:shd w:val="clear" w:color="auto" w:fill="auto"/>
            <w:noWrap/>
            <w:vAlign w:val="bottom"/>
            <w:hideMark/>
          </w:tcPr>
          <w:p w14:paraId="14CBF39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0.331</w:t>
            </w:r>
          </w:p>
        </w:tc>
        <w:tc>
          <w:tcPr>
            <w:tcW w:w="977" w:type="dxa"/>
            <w:shd w:val="clear" w:color="auto" w:fill="auto"/>
            <w:noWrap/>
            <w:vAlign w:val="bottom"/>
            <w:hideMark/>
          </w:tcPr>
          <w:p w14:paraId="6F4CB13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0.984</w:t>
            </w:r>
          </w:p>
        </w:tc>
      </w:tr>
      <w:tr w:rsidR="00CD364B" w:rsidRPr="00CD364B" w14:paraId="7DC73282" w14:textId="77777777" w:rsidTr="008333D0">
        <w:trPr>
          <w:trHeight w:val="284"/>
          <w:jc w:val="center"/>
        </w:trPr>
        <w:tc>
          <w:tcPr>
            <w:tcW w:w="1127" w:type="dxa"/>
            <w:shd w:val="clear" w:color="auto" w:fill="auto"/>
            <w:noWrap/>
            <w:vAlign w:val="bottom"/>
            <w:hideMark/>
          </w:tcPr>
          <w:p w14:paraId="1D640BD7"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226E74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4983AD7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5BA389A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2BE56F9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1BF6C11C"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45B0D1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1410FA0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0.842</w:t>
            </w:r>
          </w:p>
        </w:tc>
        <w:tc>
          <w:tcPr>
            <w:tcW w:w="974" w:type="dxa"/>
            <w:shd w:val="clear" w:color="auto" w:fill="auto"/>
            <w:noWrap/>
            <w:vAlign w:val="bottom"/>
            <w:hideMark/>
          </w:tcPr>
          <w:p w14:paraId="6A53AE0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0.490</w:t>
            </w:r>
          </w:p>
        </w:tc>
        <w:tc>
          <w:tcPr>
            <w:tcW w:w="977" w:type="dxa"/>
            <w:shd w:val="clear" w:color="auto" w:fill="auto"/>
            <w:noWrap/>
            <w:vAlign w:val="bottom"/>
            <w:hideMark/>
          </w:tcPr>
          <w:p w14:paraId="2747850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0.214</w:t>
            </w:r>
          </w:p>
        </w:tc>
      </w:tr>
      <w:tr w:rsidR="00CD364B" w:rsidRPr="00CD364B" w14:paraId="20A9E15F" w14:textId="77777777" w:rsidTr="008333D0">
        <w:trPr>
          <w:trHeight w:val="284"/>
          <w:jc w:val="center"/>
        </w:trPr>
        <w:tc>
          <w:tcPr>
            <w:tcW w:w="1127" w:type="dxa"/>
            <w:shd w:val="clear" w:color="auto" w:fill="auto"/>
            <w:noWrap/>
            <w:vAlign w:val="bottom"/>
            <w:hideMark/>
          </w:tcPr>
          <w:p w14:paraId="5DE9A4A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75F800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55BE633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03F0AE9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4367860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758D1E2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1CA515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099FB05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0.701</w:t>
            </w:r>
          </w:p>
        </w:tc>
        <w:tc>
          <w:tcPr>
            <w:tcW w:w="974" w:type="dxa"/>
            <w:shd w:val="clear" w:color="auto" w:fill="auto"/>
            <w:noWrap/>
            <w:vAlign w:val="bottom"/>
            <w:hideMark/>
          </w:tcPr>
          <w:p w14:paraId="4E3D518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0.033**</w:t>
            </w:r>
          </w:p>
        </w:tc>
        <w:tc>
          <w:tcPr>
            <w:tcW w:w="977" w:type="dxa"/>
            <w:shd w:val="clear" w:color="auto" w:fill="auto"/>
            <w:noWrap/>
            <w:vAlign w:val="bottom"/>
            <w:hideMark/>
          </w:tcPr>
          <w:p w14:paraId="216E546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0.582</w:t>
            </w:r>
          </w:p>
        </w:tc>
      </w:tr>
      <w:tr w:rsidR="00CD364B" w:rsidRPr="00CD364B" w14:paraId="081CC8B6" w14:textId="77777777" w:rsidTr="008333D0">
        <w:trPr>
          <w:trHeight w:val="284"/>
          <w:jc w:val="center"/>
        </w:trPr>
        <w:tc>
          <w:tcPr>
            <w:tcW w:w="1127" w:type="dxa"/>
            <w:shd w:val="clear" w:color="auto" w:fill="auto"/>
            <w:noWrap/>
            <w:vAlign w:val="bottom"/>
            <w:hideMark/>
          </w:tcPr>
          <w:p w14:paraId="3037B215"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3B7AEC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18B9491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1735925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7D3B895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7010ACDD"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AC4879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70931FB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0.751</w:t>
            </w:r>
          </w:p>
        </w:tc>
        <w:tc>
          <w:tcPr>
            <w:tcW w:w="974" w:type="dxa"/>
            <w:shd w:val="clear" w:color="auto" w:fill="auto"/>
            <w:noWrap/>
            <w:vAlign w:val="bottom"/>
            <w:hideMark/>
          </w:tcPr>
          <w:p w14:paraId="5735C57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0.512</w:t>
            </w:r>
          </w:p>
        </w:tc>
        <w:tc>
          <w:tcPr>
            <w:tcW w:w="977" w:type="dxa"/>
            <w:shd w:val="clear" w:color="auto" w:fill="auto"/>
            <w:noWrap/>
            <w:vAlign w:val="bottom"/>
            <w:hideMark/>
          </w:tcPr>
          <w:p w14:paraId="44E45EF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0.148</w:t>
            </w:r>
          </w:p>
        </w:tc>
      </w:tr>
      <w:tr w:rsidR="00CD364B" w:rsidRPr="00CD364B" w14:paraId="1039670F" w14:textId="77777777" w:rsidTr="008333D0">
        <w:trPr>
          <w:trHeight w:val="284"/>
          <w:jc w:val="center"/>
        </w:trPr>
        <w:tc>
          <w:tcPr>
            <w:tcW w:w="1127" w:type="dxa"/>
            <w:shd w:val="clear" w:color="auto" w:fill="auto"/>
            <w:noWrap/>
            <w:vAlign w:val="bottom"/>
            <w:hideMark/>
          </w:tcPr>
          <w:p w14:paraId="534C957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C0E6AD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1025A2E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0EE862B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4201A0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E92D7E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270B71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792BE95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0.565</w:t>
            </w:r>
          </w:p>
        </w:tc>
        <w:tc>
          <w:tcPr>
            <w:tcW w:w="974" w:type="dxa"/>
            <w:shd w:val="clear" w:color="auto" w:fill="auto"/>
            <w:noWrap/>
            <w:vAlign w:val="bottom"/>
            <w:hideMark/>
          </w:tcPr>
          <w:p w14:paraId="24A339C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0.821</w:t>
            </w:r>
          </w:p>
        </w:tc>
        <w:tc>
          <w:tcPr>
            <w:tcW w:w="977" w:type="dxa"/>
            <w:shd w:val="clear" w:color="auto" w:fill="auto"/>
            <w:noWrap/>
            <w:vAlign w:val="bottom"/>
            <w:hideMark/>
          </w:tcPr>
          <w:p w14:paraId="24EC16F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0.067*</w:t>
            </w:r>
          </w:p>
        </w:tc>
      </w:tr>
      <w:tr w:rsidR="00CD364B" w:rsidRPr="00CD364B" w14:paraId="471774F8" w14:textId="77777777" w:rsidTr="008333D0">
        <w:trPr>
          <w:trHeight w:val="284"/>
          <w:jc w:val="center"/>
        </w:trPr>
        <w:tc>
          <w:tcPr>
            <w:tcW w:w="1127" w:type="dxa"/>
            <w:shd w:val="clear" w:color="auto" w:fill="auto"/>
            <w:noWrap/>
            <w:vAlign w:val="bottom"/>
            <w:hideMark/>
          </w:tcPr>
          <w:p w14:paraId="05336AD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095888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23A36A2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4F2C1C1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6A3F0BA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0FAEE95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439DEF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7B2B339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0.009***</w:t>
            </w:r>
          </w:p>
        </w:tc>
        <w:tc>
          <w:tcPr>
            <w:tcW w:w="974" w:type="dxa"/>
            <w:shd w:val="clear" w:color="auto" w:fill="auto"/>
            <w:noWrap/>
            <w:vAlign w:val="bottom"/>
            <w:hideMark/>
          </w:tcPr>
          <w:p w14:paraId="436833B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0.576</w:t>
            </w:r>
          </w:p>
        </w:tc>
        <w:tc>
          <w:tcPr>
            <w:tcW w:w="977" w:type="dxa"/>
            <w:shd w:val="clear" w:color="auto" w:fill="auto"/>
            <w:noWrap/>
            <w:vAlign w:val="bottom"/>
            <w:hideMark/>
          </w:tcPr>
          <w:p w14:paraId="0F944B3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0.279</w:t>
            </w:r>
          </w:p>
        </w:tc>
      </w:tr>
      <w:tr w:rsidR="00CD364B" w:rsidRPr="00CD364B" w14:paraId="3F1EA67F" w14:textId="77777777" w:rsidTr="008333D0">
        <w:trPr>
          <w:trHeight w:val="284"/>
          <w:jc w:val="center"/>
        </w:trPr>
        <w:tc>
          <w:tcPr>
            <w:tcW w:w="1127" w:type="dxa"/>
            <w:shd w:val="clear" w:color="auto" w:fill="auto"/>
            <w:noWrap/>
            <w:vAlign w:val="bottom"/>
            <w:hideMark/>
          </w:tcPr>
          <w:p w14:paraId="69EF3A1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9936E3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47F7741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7B2C8C5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7710A91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534B0B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16BA3E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797BF62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0.354</w:t>
            </w:r>
          </w:p>
        </w:tc>
        <w:tc>
          <w:tcPr>
            <w:tcW w:w="974" w:type="dxa"/>
            <w:shd w:val="clear" w:color="auto" w:fill="auto"/>
            <w:noWrap/>
            <w:vAlign w:val="bottom"/>
            <w:hideMark/>
          </w:tcPr>
          <w:p w14:paraId="239F7EE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0.544</w:t>
            </w:r>
          </w:p>
        </w:tc>
        <w:tc>
          <w:tcPr>
            <w:tcW w:w="977" w:type="dxa"/>
            <w:shd w:val="clear" w:color="auto" w:fill="auto"/>
            <w:noWrap/>
            <w:vAlign w:val="bottom"/>
            <w:hideMark/>
          </w:tcPr>
          <w:p w14:paraId="38D42F1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0.971</w:t>
            </w:r>
          </w:p>
        </w:tc>
      </w:tr>
      <w:tr w:rsidR="00CD364B" w:rsidRPr="00CD364B" w14:paraId="6BBD3CC9" w14:textId="77777777" w:rsidTr="008333D0">
        <w:trPr>
          <w:trHeight w:val="284"/>
          <w:jc w:val="center"/>
        </w:trPr>
        <w:tc>
          <w:tcPr>
            <w:tcW w:w="1127" w:type="dxa"/>
            <w:tcBorders>
              <w:bottom w:val="single" w:sz="4" w:space="0" w:color="auto"/>
            </w:tcBorders>
            <w:shd w:val="clear" w:color="auto" w:fill="auto"/>
            <w:noWrap/>
            <w:vAlign w:val="bottom"/>
            <w:hideMark/>
          </w:tcPr>
          <w:p w14:paraId="15E631A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3B0A98A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208EE3C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bottom w:val="single" w:sz="4" w:space="0" w:color="auto"/>
            </w:tcBorders>
            <w:shd w:val="clear" w:color="auto" w:fill="auto"/>
            <w:noWrap/>
            <w:vAlign w:val="bottom"/>
            <w:hideMark/>
          </w:tcPr>
          <w:p w14:paraId="24C45FF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bottom w:val="single" w:sz="4" w:space="0" w:color="auto"/>
            </w:tcBorders>
            <w:shd w:val="clear" w:color="auto" w:fill="auto"/>
            <w:noWrap/>
            <w:vAlign w:val="bottom"/>
            <w:hideMark/>
          </w:tcPr>
          <w:p w14:paraId="1CA191E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bottom w:val="single" w:sz="4" w:space="0" w:color="auto"/>
            </w:tcBorders>
            <w:shd w:val="clear" w:color="auto" w:fill="auto"/>
            <w:noWrap/>
            <w:vAlign w:val="bottom"/>
            <w:hideMark/>
          </w:tcPr>
          <w:p w14:paraId="7D67B76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0EF35B1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28F91F4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0.134</w:t>
            </w:r>
          </w:p>
        </w:tc>
        <w:tc>
          <w:tcPr>
            <w:tcW w:w="974" w:type="dxa"/>
            <w:tcBorders>
              <w:bottom w:val="single" w:sz="4" w:space="0" w:color="auto"/>
            </w:tcBorders>
            <w:shd w:val="clear" w:color="auto" w:fill="auto"/>
            <w:noWrap/>
            <w:vAlign w:val="bottom"/>
            <w:hideMark/>
          </w:tcPr>
          <w:p w14:paraId="7832801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0.100</w:t>
            </w:r>
          </w:p>
        </w:tc>
        <w:tc>
          <w:tcPr>
            <w:tcW w:w="977" w:type="dxa"/>
            <w:tcBorders>
              <w:bottom w:val="single" w:sz="4" w:space="0" w:color="auto"/>
            </w:tcBorders>
            <w:shd w:val="clear" w:color="auto" w:fill="auto"/>
            <w:noWrap/>
            <w:vAlign w:val="bottom"/>
            <w:hideMark/>
          </w:tcPr>
          <w:p w14:paraId="44682E1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0.146</w:t>
            </w:r>
          </w:p>
        </w:tc>
      </w:tr>
      <w:tr w:rsidR="00CD364B" w:rsidRPr="00CD364B" w14:paraId="7D9AEA3B" w14:textId="77777777" w:rsidTr="008333D0">
        <w:trPr>
          <w:trHeight w:val="284"/>
          <w:jc w:val="center"/>
        </w:trPr>
        <w:tc>
          <w:tcPr>
            <w:tcW w:w="1127" w:type="dxa"/>
            <w:tcBorders>
              <w:top w:val="single" w:sz="4" w:space="0" w:color="auto"/>
            </w:tcBorders>
            <w:shd w:val="clear" w:color="auto" w:fill="auto"/>
            <w:noWrap/>
            <w:vAlign w:val="bottom"/>
            <w:hideMark/>
          </w:tcPr>
          <w:p w14:paraId="55D1E4B4"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D6</w:t>
            </w:r>
          </w:p>
        </w:tc>
        <w:tc>
          <w:tcPr>
            <w:tcW w:w="1173" w:type="dxa"/>
            <w:tcBorders>
              <w:top w:val="single" w:sz="4" w:space="0" w:color="auto"/>
            </w:tcBorders>
            <w:shd w:val="clear" w:color="auto" w:fill="auto"/>
            <w:noWrap/>
            <w:vAlign w:val="bottom"/>
            <w:hideMark/>
          </w:tcPr>
          <w:p w14:paraId="703FA6A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54E8552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top w:val="single" w:sz="4" w:space="0" w:color="auto"/>
            </w:tcBorders>
            <w:shd w:val="clear" w:color="auto" w:fill="auto"/>
            <w:noWrap/>
            <w:vAlign w:val="bottom"/>
            <w:hideMark/>
          </w:tcPr>
          <w:p w14:paraId="70171A3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top w:val="single" w:sz="4" w:space="0" w:color="auto"/>
            </w:tcBorders>
            <w:shd w:val="clear" w:color="auto" w:fill="auto"/>
            <w:noWrap/>
            <w:vAlign w:val="bottom"/>
            <w:hideMark/>
          </w:tcPr>
          <w:p w14:paraId="4155D5D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top w:val="single" w:sz="4" w:space="0" w:color="auto"/>
            </w:tcBorders>
            <w:shd w:val="clear" w:color="auto" w:fill="auto"/>
            <w:noWrap/>
            <w:vAlign w:val="bottom"/>
            <w:hideMark/>
          </w:tcPr>
          <w:p w14:paraId="14FAABD9"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D6</w:t>
            </w:r>
          </w:p>
        </w:tc>
        <w:tc>
          <w:tcPr>
            <w:tcW w:w="1173" w:type="dxa"/>
            <w:tcBorders>
              <w:top w:val="single" w:sz="4" w:space="0" w:color="auto"/>
            </w:tcBorders>
            <w:shd w:val="clear" w:color="auto" w:fill="auto"/>
            <w:noWrap/>
            <w:vAlign w:val="bottom"/>
            <w:hideMark/>
          </w:tcPr>
          <w:p w14:paraId="6F9F638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50B9CE4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0.168</w:t>
            </w:r>
          </w:p>
        </w:tc>
        <w:tc>
          <w:tcPr>
            <w:tcW w:w="974" w:type="dxa"/>
            <w:tcBorders>
              <w:top w:val="single" w:sz="4" w:space="0" w:color="auto"/>
            </w:tcBorders>
            <w:shd w:val="clear" w:color="auto" w:fill="auto"/>
            <w:noWrap/>
            <w:vAlign w:val="bottom"/>
            <w:hideMark/>
          </w:tcPr>
          <w:p w14:paraId="032BD92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0.469</w:t>
            </w:r>
          </w:p>
        </w:tc>
        <w:tc>
          <w:tcPr>
            <w:tcW w:w="977" w:type="dxa"/>
            <w:tcBorders>
              <w:top w:val="single" w:sz="4" w:space="0" w:color="auto"/>
            </w:tcBorders>
            <w:shd w:val="clear" w:color="auto" w:fill="auto"/>
            <w:noWrap/>
            <w:vAlign w:val="bottom"/>
            <w:hideMark/>
          </w:tcPr>
          <w:p w14:paraId="4436991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0.266</w:t>
            </w:r>
          </w:p>
        </w:tc>
      </w:tr>
      <w:tr w:rsidR="00CD364B" w:rsidRPr="00CD364B" w14:paraId="7D2A8938" w14:textId="77777777" w:rsidTr="008333D0">
        <w:trPr>
          <w:trHeight w:val="284"/>
          <w:jc w:val="center"/>
        </w:trPr>
        <w:tc>
          <w:tcPr>
            <w:tcW w:w="1127" w:type="dxa"/>
            <w:shd w:val="clear" w:color="auto" w:fill="auto"/>
            <w:noWrap/>
            <w:vAlign w:val="bottom"/>
            <w:hideMark/>
          </w:tcPr>
          <w:p w14:paraId="3B18CE19"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1A767E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4E48F19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5F67FE7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3399532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1C17BCB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5AE644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1E4A0EC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0.152</w:t>
            </w:r>
          </w:p>
        </w:tc>
        <w:tc>
          <w:tcPr>
            <w:tcW w:w="974" w:type="dxa"/>
            <w:shd w:val="clear" w:color="auto" w:fill="auto"/>
            <w:noWrap/>
            <w:vAlign w:val="bottom"/>
            <w:hideMark/>
          </w:tcPr>
          <w:p w14:paraId="1A259BF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0.055</w:t>
            </w:r>
          </w:p>
        </w:tc>
        <w:tc>
          <w:tcPr>
            <w:tcW w:w="977" w:type="dxa"/>
            <w:shd w:val="clear" w:color="auto" w:fill="auto"/>
            <w:noWrap/>
            <w:vAlign w:val="bottom"/>
            <w:hideMark/>
          </w:tcPr>
          <w:p w14:paraId="2FDE45D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0.569</w:t>
            </w:r>
          </w:p>
        </w:tc>
      </w:tr>
      <w:tr w:rsidR="00CD364B" w:rsidRPr="00CD364B" w14:paraId="44F886F9" w14:textId="77777777" w:rsidTr="008333D0">
        <w:trPr>
          <w:trHeight w:val="284"/>
          <w:jc w:val="center"/>
        </w:trPr>
        <w:tc>
          <w:tcPr>
            <w:tcW w:w="1127" w:type="dxa"/>
            <w:shd w:val="clear" w:color="auto" w:fill="auto"/>
            <w:noWrap/>
            <w:vAlign w:val="bottom"/>
            <w:hideMark/>
          </w:tcPr>
          <w:p w14:paraId="63DF1F0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1B743B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6EAD7EF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10ECF8D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6E132D8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70C6F460"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B9A00C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7E1CE6D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0.760</w:t>
            </w:r>
          </w:p>
        </w:tc>
        <w:tc>
          <w:tcPr>
            <w:tcW w:w="974" w:type="dxa"/>
            <w:shd w:val="clear" w:color="auto" w:fill="auto"/>
            <w:noWrap/>
            <w:vAlign w:val="bottom"/>
            <w:hideMark/>
          </w:tcPr>
          <w:p w14:paraId="35D200A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0.659</w:t>
            </w:r>
          </w:p>
        </w:tc>
        <w:tc>
          <w:tcPr>
            <w:tcW w:w="977" w:type="dxa"/>
            <w:shd w:val="clear" w:color="auto" w:fill="auto"/>
            <w:noWrap/>
            <w:vAlign w:val="bottom"/>
            <w:hideMark/>
          </w:tcPr>
          <w:p w14:paraId="546F17F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0.686</w:t>
            </w:r>
          </w:p>
        </w:tc>
      </w:tr>
      <w:tr w:rsidR="00CD364B" w:rsidRPr="00CD364B" w14:paraId="282337B3" w14:textId="77777777" w:rsidTr="008333D0">
        <w:trPr>
          <w:trHeight w:val="284"/>
          <w:jc w:val="center"/>
        </w:trPr>
        <w:tc>
          <w:tcPr>
            <w:tcW w:w="1127" w:type="dxa"/>
            <w:shd w:val="clear" w:color="auto" w:fill="auto"/>
            <w:noWrap/>
            <w:vAlign w:val="bottom"/>
            <w:hideMark/>
          </w:tcPr>
          <w:p w14:paraId="0D5EE98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D31CF8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4AF39F6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7F36E3B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77CAF79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408A1FEC"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DF76B2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67D605B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0.665</w:t>
            </w:r>
          </w:p>
        </w:tc>
        <w:tc>
          <w:tcPr>
            <w:tcW w:w="974" w:type="dxa"/>
            <w:shd w:val="clear" w:color="auto" w:fill="auto"/>
            <w:noWrap/>
            <w:vAlign w:val="bottom"/>
            <w:hideMark/>
          </w:tcPr>
          <w:p w14:paraId="18A61BD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0.579</w:t>
            </w:r>
          </w:p>
        </w:tc>
        <w:tc>
          <w:tcPr>
            <w:tcW w:w="977" w:type="dxa"/>
            <w:shd w:val="clear" w:color="auto" w:fill="auto"/>
            <w:noWrap/>
            <w:vAlign w:val="bottom"/>
            <w:hideMark/>
          </w:tcPr>
          <w:p w14:paraId="3785EEB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0.213</w:t>
            </w:r>
          </w:p>
        </w:tc>
      </w:tr>
      <w:tr w:rsidR="00CD364B" w:rsidRPr="00CD364B" w14:paraId="2F35AF87" w14:textId="77777777" w:rsidTr="008333D0">
        <w:trPr>
          <w:trHeight w:val="284"/>
          <w:jc w:val="center"/>
        </w:trPr>
        <w:tc>
          <w:tcPr>
            <w:tcW w:w="1127" w:type="dxa"/>
            <w:shd w:val="clear" w:color="auto" w:fill="auto"/>
            <w:noWrap/>
            <w:vAlign w:val="bottom"/>
            <w:hideMark/>
          </w:tcPr>
          <w:p w14:paraId="6A1C8C5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441D0C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4BF3724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5574F88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36EEC8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1747ADD"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C9A543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479E8DD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0.165</w:t>
            </w:r>
          </w:p>
        </w:tc>
        <w:tc>
          <w:tcPr>
            <w:tcW w:w="974" w:type="dxa"/>
            <w:shd w:val="clear" w:color="auto" w:fill="auto"/>
            <w:noWrap/>
            <w:vAlign w:val="bottom"/>
            <w:hideMark/>
          </w:tcPr>
          <w:p w14:paraId="28B4375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0.610</w:t>
            </w:r>
          </w:p>
        </w:tc>
        <w:tc>
          <w:tcPr>
            <w:tcW w:w="977" w:type="dxa"/>
            <w:shd w:val="clear" w:color="auto" w:fill="auto"/>
            <w:noWrap/>
            <w:vAlign w:val="bottom"/>
            <w:hideMark/>
          </w:tcPr>
          <w:p w14:paraId="24BAD97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0.985</w:t>
            </w:r>
          </w:p>
        </w:tc>
      </w:tr>
      <w:tr w:rsidR="00CD364B" w:rsidRPr="00CD364B" w14:paraId="6A10E1C8" w14:textId="77777777" w:rsidTr="008333D0">
        <w:trPr>
          <w:trHeight w:val="284"/>
          <w:jc w:val="center"/>
        </w:trPr>
        <w:tc>
          <w:tcPr>
            <w:tcW w:w="1127" w:type="dxa"/>
            <w:shd w:val="clear" w:color="auto" w:fill="auto"/>
            <w:noWrap/>
            <w:vAlign w:val="bottom"/>
            <w:hideMark/>
          </w:tcPr>
          <w:p w14:paraId="399BAD3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450719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3D22958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72D0516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3CD0076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13B8E7B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79F180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6D697A4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0.279</w:t>
            </w:r>
          </w:p>
        </w:tc>
        <w:tc>
          <w:tcPr>
            <w:tcW w:w="974" w:type="dxa"/>
            <w:shd w:val="clear" w:color="auto" w:fill="auto"/>
            <w:noWrap/>
            <w:vAlign w:val="bottom"/>
            <w:hideMark/>
          </w:tcPr>
          <w:p w14:paraId="0284659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0.472</w:t>
            </w:r>
          </w:p>
        </w:tc>
        <w:tc>
          <w:tcPr>
            <w:tcW w:w="977" w:type="dxa"/>
            <w:shd w:val="clear" w:color="auto" w:fill="auto"/>
            <w:noWrap/>
            <w:vAlign w:val="bottom"/>
            <w:hideMark/>
          </w:tcPr>
          <w:p w14:paraId="2C3AE28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0.661</w:t>
            </w:r>
          </w:p>
        </w:tc>
      </w:tr>
      <w:tr w:rsidR="00CD364B" w:rsidRPr="00CD364B" w14:paraId="0F8DC118" w14:textId="77777777" w:rsidTr="008333D0">
        <w:trPr>
          <w:trHeight w:val="284"/>
          <w:jc w:val="center"/>
        </w:trPr>
        <w:tc>
          <w:tcPr>
            <w:tcW w:w="1127" w:type="dxa"/>
            <w:shd w:val="clear" w:color="auto" w:fill="auto"/>
            <w:noWrap/>
            <w:vAlign w:val="bottom"/>
            <w:hideMark/>
          </w:tcPr>
          <w:p w14:paraId="24B2A1DB"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3F80D1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0E1C51C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6F7B02E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D2B6B8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65C8ED9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84F81A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4D2D248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0.814</w:t>
            </w:r>
          </w:p>
        </w:tc>
        <w:tc>
          <w:tcPr>
            <w:tcW w:w="974" w:type="dxa"/>
            <w:shd w:val="clear" w:color="auto" w:fill="auto"/>
            <w:noWrap/>
            <w:vAlign w:val="bottom"/>
            <w:hideMark/>
          </w:tcPr>
          <w:p w14:paraId="57DE3DF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0.028**</w:t>
            </w:r>
          </w:p>
        </w:tc>
        <w:tc>
          <w:tcPr>
            <w:tcW w:w="977" w:type="dxa"/>
            <w:shd w:val="clear" w:color="auto" w:fill="auto"/>
            <w:noWrap/>
            <w:vAlign w:val="bottom"/>
            <w:hideMark/>
          </w:tcPr>
          <w:p w14:paraId="03FCAD3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0.231</w:t>
            </w:r>
          </w:p>
        </w:tc>
      </w:tr>
      <w:tr w:rsidR="00CD364B" w:rsidRPr="00CD364B" w14:paraId="73828C1A" w14:textId="77777777" w:rsidTr="008333D0">
        <w:trPr>
          <w:trHeight w:val="284"/>
          <w:jc w:val="center"/>
        </w:trPr>
        <w:tc>
          <w:tcPr>
            <w:tcW w:w="1127" w:type="dxa"/>
            <w:shd w:val="clear" w:color="auto" w:fill="auto"/>
            <w:noWrap/>
            <w:vAlign w:val="bottom"/>
            <w:hideMark/>
          </w:tcPr>
          <w:p w14:paraId="4C356C57"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88A2F6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28496E8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2422821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AE5A40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36D20A5D"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32E4749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015A9B4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0.208</w:t>
            </w:r>
          </w:p>
        </w:tc>
        <w:tc>
          <w:tcPr>
            <w:tcW w:w="974" w:type="dxa"/>
            <w:shd w:val="clear" w:color="auto" w:fill="auto"/>
            <w:noWrap/>
            <w:vAlign w:val="bottom"/>
            <w:hideMark/>
          </w:tcPr>
          <w:p w14:paraId="0C03D062"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0.116</w:t>
            </w:r>
          </w:p>
        </w:tc>
        <w:tc>
          <w:tcPr>
            <w:tcW w:w="977" w:type="dxa"/>
            <w:shd w:val="clear" w:color="auto" w:fill="auto"/>
            <w:noWrap/>
            <w:vAlign w:val="bottom"/>
            <w:hideMark/>
          </w:tcPr>
          <w:p w14:paraId="095DEE1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0.274</w:t>
            </w:r>
          </w:p>
        </w:tc>
      </w:tr>
      <w:tr w:rsidR="00CD364B" w:rsidRPr="00CD364B" w14:paraId="610D4005" w14:textId="77777777" w:rsidTr="008333D0">
        <w:trPr>
          <w:trHeight w:val="284"/>
          <w:jc w:val="center"/>
        </w:trPr>
        <w:tc>
          <w:tcPr>
            <w:tcW w:w="1127" w:type="dxa"/>
            <w:shd w:val="clear" w:color="auto" w:fill="auto"/>
            <w:noWrap/>
            <w:vAlign w:val="bottom"/>
            <w:hideMark/>
          </w:tcPr>
          <w:p w14:paraId="7245B10C"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6A61BA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5D7FF77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114463D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7B64AD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776265AF"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4E3D84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03ECA5E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0.857</w:t>
            </w:r>
          </w:p>
        </w:tc>
        <w:tc>
          <w:tcPr>
            <w:tcW w:w="974" w:type="dxa"/>
            <w:shd w:val="clear" w:color="auto" w:fill="auto"/>
            <w:noWrap/>
            <w:vAlign w:val="bottom"/>
            <w:hideMark/>
          </w:tcPr>
          <w:p w14:paraId="28A5A32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0.327</w:t>
            </w:r>
          </w:p>
        </w:tc>
        <w:tc>
          <w:tcPr>
            <w:tcW w:w="977" w:type="dxa"/>
            <w:shd w:val="clear" w:color="auto" w:fill="auto"/>
            <w:noWrap/>
            <w:vAlign w:val="bottom"/>
            <w:hideMark/>
          </w:tcPr>
          <w:p w14:paraId="756FE76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0.211</w:t>
            </w:r>
          </w:p>
        </w:tc>
      </w:tr>
      <w:tr w:rsidR="00CD364B" w:rsidRPr="00CD364B" w14:paraId="43C645B3" w14:textId="77777777" w:rsidTr="008333D0">
        <w:trPr>
          <w:trHeight w:val="284"/>
          <w:jc w:val="center"/>
        </w:trPr>
        <w:tc>
          <w:tcPr>
            <w:tcW w:w="1127" w:type="dxa"/>
            <w:tcBorders>
              <w:bottom w:val="single" w:sz="4" w:space="0" w:color="auto"/>
            </w:tcBorders>
            <w:shd w:val="clear" w:color="auto" w:fill="auto"/>
            <w:noWrap/>
            <w:vAlign w:val="bottom"/>
            <w:hideMark/>
          </w:tcPr>
          <w:p w14:paraId="545DE55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31343F8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3C7600B9"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bottom w:val="single" w:sz="4" w:space="0" w:color="auto"/>
            </w:tcBorders>
            <w:shd w:val="clear" w:color="auto" w:fill="auto"/>
            <w:noWrap/>
            <w:vAlign w:val="bottom"/>
            <w:hideMark/>
          </w:tcPr>
          <w:p w14:paraId="16069B8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bottom w:val="single" w:sz="4" w:space="0" w:color="auto"/>
            </w:tcBorders>
            <w:shd w:val="clear" w:color="auto" w:fill="auto"/>
            <w:noWrap/>
            <w:vAlign w:val="bottom"/>
            <w:hideMark/>
          </w:tcPr>
          <w:p w14:paraId="1688D66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bottom w:val="single" w:sz="4" w:space="0" w:color="auto"/>
            </w:tcBorders>
            <w:shd w:val="clear" w:color="auto" w:fill="auto"/>
            <w:noWrap/>
            <w:vAlign w:val="bottom"/>
            <w:hideMark/>
          </w:tcPr>
          <w:p w14:paraId="1A969AF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1EC2E1C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355B4031"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0.372</w:t>
            </w:r>
          </w:p>
        </w:tc>
        <w:tc>
          <w:tcPr>
            <w:tcW w:w="974" w:type="dxa"/>
            <w:tcBorders>
              <w:bottom w:val="single" w:sz="4" w:space="0" w:color="auto"/>
            </w:tcBorders>
            <w:shd w:val="clear" w:color="auto" w:fill="auto"/>
            <w:noWrap/>
            <w:vAlign w:val="bottom"/>
            <w:hideMark/>
          </w:tcPr>
          <w:p w14:paraId="08BA6F8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0.412</w:t>
            </w:r>
          </w:p>
        </w:tc>
        <w:tc>
          <w:tcPr>
            <w:tcW w:w="977" w:type="dxa"/>
            <w:tcBorders>
              <w:bottom w:val="single" w:sz="4" w:space="0" w:color="auto"/>
            </w:tcBorders>
            <w:shd w:val="clear" w:color="auto" w:fill="auto"/>
            <w:noWrap/>
            <w:vAlign w:val="bottom"/>
            <w:hideMark/>
          </w:tcPr>
          <w:p w14:paraId="7355F5DE"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0.745</w:t>
            </w:r>
          </w:p>
        </w:tc>
      </w:tr>
      <w:tr w:rsidR="00CD364B" w:rsidRPr="00CD364B" w14:paraId="3575A939" w14:textId="77777777" w:rsidTr="008333D0">
        <w:trPr>
          <w:trHeight w:val="284"/>
          <w:jc w:val="center"/>
        </w:trPr>
        <w:tc>
          <w:tcPr>
            <w:tcW w:w="1127" w:type="dxa"/>
            <w:tcBorders>
              <w:top w:val="single" w:sz="4" w:space="0" w:color="auto"/>
            </w:tcBorders>
            <w:shd w:val="clear" w:color="auto" w:fill="auto"/>
            <w:noWrap/>
            <w:vAlign w:val="bottom"/>
            <w:hideMark/>
          </w:tcPr>
          <w:p w14:paraId="286CCE34"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S6</w:t>
            </w:r>
          </w:p>
        </w:tc>
        <w:tc>
          <w:tcPr>
            <w:tcW w:w="1173" w:type="dxa"/>
            <w:tcBorders>
              <w:top w:val="single" w:sz="4" w:space="0" w:color="auto"/>
            </w:tcBorders>
            <w:shd w:val="clear" w:color="auto" w:fill="auto"/>
            <w:noWrap/>
            <w:vAlign w:val="bottom"/>
            <w:hideMark/>
          </w:tcPr>
          <w:p w14:paraId="712F632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41FAB25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top w:val="single" w:sz="4" w:space="0" w:color="auto"/>
            </w:tcBorders>
            <w:shd w:val="clear" w:color="auto" w:fill="auto"/>
            <w:noWrap/>
            <w:vAlign w:val="bottom"/>
            <w:hideMark/>
          </w:tcPr>
          <w:p w14:paraId="4998AD3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top w:val="single" w:sz="4" w:space="0" w:color="auto"/>
            </w:tcBorders>
            <w:shd w:val="clear" w:color="auto" w:fill="auto"/>
            <w:noWrap/>
            <w:vAlign w:val="bottom"/>
            <w:hideMark/>
          </w:tcPr>
          <w:p w14:paraId="0139E942"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top w:val="single" w:sz="4" w:space="0" w:color="auto"/>
            </w:tcBorders>
            <w:shd w:val="clear" w:color="auto" w:fill="auto"/>
            <w:noWrap/>
            <w:vAlign w:val="bottom"/>
            <w:hideMark/>
          </w:tcPr>
          <w:p w14:paraId="25B62706" w14:textId="77777777" w:rsidR="00117A51" w:rsidRPr="00CD364B" w:rsidRDefault="00117A51" w:rsidP="008333D0">
            <w:pPr>
              <w:spacing w:after="0" w:line="240" w:lineRule="auto"/>
              <w:rPr>
                <w:rFonts w:eastAsia="Times New Roman" w:cstheme="minorHAnsi"/>
                <w:b/>
                <w:bCs/>
                <w:sz w:val="20"/>
                <w:szCs w:val="20"/>
                <w:lang w:val="en-US"/>
              </w:rPr>
            </w:pPr>
            <w:r w:rsidRPr="00CD364B">
              <w:rPr>
                <w:rFonts w:eastAsia="Times New Roman" w:cstheme="minorHAnsi"/>
                <w:b/>
                <w:bCs/>
                <w:sz w:val="20"/>
                <w:szCs w:val="20"/>
                <w:lang w:val="en-US"/>
              </w:rPr>
              <w:t>S6</w:t>
            </w:r>
          </w:p>
        </w:tc>
        <w:tc>
          <w:tcPr>
            <w:tcW w:w="1173" w:type="dxa"/>
            <w:tcBorders>
              <w:top w:val="single" w:sz="4" w:space="0" w:color="auto"/>
            </w:tcBorders>
            <w:shd w:val="clear" w:color="auto" w:fill="auto"/>
            <w:noWrap/>
            <w:vAlign w:val="bottom"/>
            <w:hideMark/>
          </w:tcPr>
          <w:p w14:paraId="5803E4C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[0.10-0.90]</w:t>
            </w:r>
          </w:p>
        </w:tc>
        <w:tc>
          <w:tcPr>
            <w:tcW w:w="974" w:type="dxa"/>
            <w:tcBorders>
              <w:top w:val="single" w:sz="4" w:space="0" w:color="auto"/>
            </w:tcBorders>
            <w:shd w:val="clear" w:color="auto" w:fill="auto"/>
            <w:noWrap/>
            <w:vAlign w:val="bottom"/>
            <w:hideMark/>
          </w:tcPr>
          <w:p w14:paraId="286D66B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0.952</w:t>
            </w:r>
          </w:p>
        </w:tc>
        <w:tc>
          <w:tcPr>
            <w:tcW w:w="974" w:type="dxa"/>
            <w:tcBorders>
              <w:top w:val="single" w:sz="4" w:space="0" w:color="auto"/>
            </w:tcBorders>
            <w:shd w:val="clear" w:color="auto" w:fill="auto"/>
            <w:noWrap/>
            <w:vAlign w:val="bottom"/>
            <w:hideMark/>
          </w:tcPr>
          <w:p w14:paraId="080AAC1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0.030**</w:t>
            </w:r>
          </w:p>
        </w:tc>
        <w:tc>
          <w:tcPr>
            <w:tcW w:w="977" w:type="dxa"/>
            <w:tcBorders>
              <w:top w:val="single" w:sz="4" w:space="0" w:color="auto"/>
            </w:tcBorders>
            <w:shd w:val="clear" w:color="auto" w:fill="auto"/>
            <w:noWrap/>
            <w:vAlign w:val="bottom"/>
            <w:hideMark/>
          </w:tcPr>
          <w:p w14:paraId="1C77A80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0.356</w:t>
            </w:r>
          </w:p>
        </w:tc>
      </w:tr>
      <w:tr w:rsidR="00CD364B" w:rsidRPr="00CD364B" w14:paraId="7C03D5F0" w14:textId="77777777" w:rsidTr="008333D0">
        <w:trPr>
          <w:trHeight w:val="284"/>
          <w:jc w:val="center"/>
        </w:trPr>
        <w:tc>
          <w:tcPr>
            <w:tcW w:w="1127" w:type="dxa"/>
            <w:shd w:val="clear" w:color="auto" w:fill="auto"/>
            <w:noWrap/>
            <w:vAlign w:val="bottom"/>
            <w:hideMark/>
          </w:tcPr>
          <w:p w14:paraId="7DE9CEA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0DA948B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3258488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7FE298D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330F36D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69B8C1BB"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FED100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0.10</w:t>
            </w:r>
          </w:p>
        </w:tc>
        <w:tc>
          <w:tcPr>
            <w:tcW w:w="974" w:type="dxa"/>
            <w:shd w:val="clear" w:color="auto" w:fill="auto"/>
            <w:noWrap/>
            <w:vAlign w:val="bottom"/>
            <w:hideMark/>
          </w:tcPr>
          <w:p w14:paraId="748CC85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0.068*</w:t>
            </w:r>
          </w:p>
        </w:tc>
        <w:tc>
          <w:tcPr>
            <w:tcW w:w="974" w:type="dxa"/>
            <w:shd w:val="clear" w:color="auto" w:fill="auto"/>
            <w:noWrap/>
            <w:vAlign w:val="bottom"/>
            <w:hideMark/>
          </w:tcPr>
          <w:p w14:paraId="57EF804F"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0.877</w:t>
            </w:r>
          </w:p>
        </w:tc>
        <w:tc>
          <w:tcPr>
            <w:tcW w:w="977" w:type="dxa"/>
            <w:shd w:val="clear" w:color="auto" w:fill="auto"/>
            <w:noWrap/>
            <w:vAlign w:val="bottom"/>
            <w:hideMark/>
          </w:tcPr>
          <w:p w14:paraId="1A1A3F8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0.534</w:t>
            </w:r>
          </w:p>
        </w:tc>
      </w:tr>
      <w:tr w:rsidR="00CD364B" w:rsidRPr="00CD364B" w14:paraId="29F7B4EC" w14:textId="77777777" w:rsidTr="008333D0">
        <w:trPr>
          <w:trHeight w:val="284"/>
          <w:jc w:val="center"/>
        </w:trPr>
        <w:tc>
          <w:tcPr>
            <w:tcW w:w="1127" w:type="dxa"/>
            <w:shd w:val="clear" w:color="auto" w:fill="auto"/>
            <w:noWrap/>
            <w:vAlign w:val="bottom"/>
            <w:hideMark/>
          </w:tcPr>
          <w:p w14:paraId="3A33455C"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BF8A6E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6D28970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4936EBF1"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5B0654E4"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1CF38E97"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6B1EF9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0.20</w:t>
            </w:r>
          </w:p>
        </w:tc>
        <w:tc>
          <w:tcPr>
            <w:tcW w:w="974" w:type="dxa"/>
            <w:shd w:val="clear" w:color="auto" w:fill="auto"/>
            <w:noWrap/>
            <w:vAlign w:val="bottom"/>
            <w:hideMark/>
          </w:tcPr>
          <w:p w14:paraId="3340C780"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0.725</w:t>
            </w:r>
          </w:p>
        </w:tc>
        <w:tc>
          <w:tcPr>
            <w:tcW w:w="974" w:type="dxa"/>
            <w:shd w:val="clear" w:color="auto" w:fill="auto"/>
            <w:noWrap/>
            <w:vAlign w:val="bottom"/>
            <w:hideMark/>
          </w:tcPr>
          <w:p w14:paraId="57323EF5"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0.371</w:t>
            </w:r>
          </w:p>
        </w:tc>
        <w:tc>
          <w:tcPr>
            <w:tcW w:w="977" w:type="dxa"/>
            <w:shd w:val="clear" w:color="auto" w:fill="auto"/>
            <w:noWrap/>
            <w:vAlign w:val="bottom"/>
            <w:hideMark/>
          </w:tcPr>
          <w:p w14:paraId="3DA6257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0.961</w:t>
            </w:r>
          </w:p>
        </w:tc>
      </w:tr>
      <w:tr w:rsidR="00CD364B" w:rsidRPr="00CD364B" w14:paraId="21DB3A06" w14:textId="77777777" w:rsidTr="008333D0">
        <w:trPr>
          <w:trHeight w:val="284"/>
          <w:jc w:val="center"/>
        </w:trPr>
        <w:tc>
          <w:tcPr>
            <w:tcW w:w="1127" w:type="dxa"/>
            <w:shd w:val="clear" w:color="auto" w:fill="auto"/>
            <w:noWrap/>
            <w:vAlign w:val="bottom"/>
            <w:hideMark/>
          </w:tcPr>
          <w:p w14:paraId="1EE49D2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36D855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5BA1E9F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6D9AB1BA"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62A1217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A8D6D2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7EA06CD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0.30</w:t>
            </w:r>
          </w:p>
        </w:tc>
        <w:tc>
          <w:tcPr>
            <w:tcW w:w="974" w:type="dxa"/>
            <w:shd w:val="clear" w:color="auto" w:fill="auto"/>
            <w:noWrap/>
            <w:vAlign w:val="bottom"/>
            <w:hideMark/>
          </w:tcPr>
          <w:p w14:paraId="6B7C7CD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0.799</w:t>
            </w:r>
          </w:p>
        </w:tc>
        <w:tc>
          <w:tcPr>
            <w:tcW w:w="974" w:type="dxa"/>
            <w:shd w:val="clear" w:color="auto" w:fill="auto"/>
            <w:noWrap/>
            <w:vAlign w:val="bottom"/>
            <w:hideMark/>
          </w:tcPr>
          <w:p w14:paraId="21CE7DB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0.576</w:t>
            </w:r>
          </w:p>
        </w:tc>
        <w:tc>
          <w:tcPr>
            <w:tcW w:w="977" w:type="dxa"/>
            <w:shd w:val="clear" w:color="auto" w:fill="auto"/>
            <w:noWrap/>
            <w:vAlign w:val="bottom"/>
            <w:hideMark/>
          </w:tcPr>
          <w:p w14:paraId="09B93963"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0.386</w:t>
            </w:r>
          </w:p>
        </w:tc>
      </w:tr>
      <w:tr w:rsidR="00CD364B" w:rsidRPr="00CD364B" w14:paraId="30217A90" w14:textId="77777777" w:rsidTr="008333D0">
        <w:trPr>
          <w:trHeight w:val="284"/>
          <w:jc w:val="center"/>
        </w:trPr>
        <w:tc>
          <w:tcPr>
            <w:tcW w:w="1127" w:type="dxa"/>
            <w:shd w:val="clear" w:color="auto" w:fill="auto"/>
            <w:noWrap/>
            <w:vAlign w:val="bottom"/>
            <w:hideMark/>
          </w:tcPr>
          <w:p w14:paraId="724DAE5A"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2926990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48CA3FF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1205DCE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05F927E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427D4893"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B55FFF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0.40</w:t>
            </w:r>
          </w:p>
        </w:tc>
        <w:tc>
          <w:tcPr>
            <w:tcW w:w="974" w:type="dxa"/>
            <w:shd w:val="clear" w:color="auto" w:fill="auto"/>
            <w:noWrap/>
            <w:vAlign w:val="bottom"/>
            <w:hideMark/>
          </w:tcPr>
          <w:p w14:paraId="0D48F13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0.818</w:t>
            </w:r>
          </w:p>
        </w:tc>
        <w:tc>
          <w:tcPr>
            <w:tcW w:w="974" w:type="dxa"/>
            <w:shd w:val="clear" w:color="auto" w:fill="auto"/>
            <w:noWrap/>
            <w:vAlign w:val="bottom"/>
            <w:hideMark/>
          </w:tcPr>
          <w:p w14:paraId="425B4A1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0.031</w:t>
            </w:r>
          </w:p>
        </w:tc>
        <w:tc>
          <w:tcPr>
            <w:tcW w:w="977" w:type="dxa"/>
            <w:shd w:val="clear" w:color="auto" w:fill="auto"/>
            <w:noWrap/>
            <w:vAlign w:val="bottom"/>
            <w:hideMark/>
          </w:tcPr>
          <w:p w14:paraId="433700AB"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0.239</w:t>
            </w:r>
          </w:p>
        </w:tc>
      </w:tr>
      <w:tr w:rsidR="00CD364B" w:rsidRPr="00CD364B" w14:paraId="10B7E072" w14:textId="77777777" w:rsidTr="008333D0">
        <w:trPr>
          <w:trHeight w:val="284"/>
          <w:jc w:val="center"/>
        </w:trPr>
        <w:tc>
          <w:tcPr>
            <w:tcW w:w="1127" w:type="dxa"/>
            <w:shd w:val="clear" w:color="auto" w:fill="auto"/>
            <w:noWrap/>
            <w:vAlign w:val="bottom"/>
            <w:hideMark/>
          </w:tcPr>
          <w:p w14:paraId="0F67A302"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5E53C2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16414F0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6281957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20509D0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4FA3D28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ACF7FF8"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0.50</w:t>
            </w:r>
          </w:p>
        </w:tc>
        <w:tc>
          <w:tcPr>
            <w:tcW w:w="974" w:type="dxa"/>
            <w:shd w:val="clear" w:color="auto" w:fill="auto"/>
            <w:noWrap/>
            <w:vAlign w:val="bottom"/>
            <w:hideMark/>
          </w:tcPr>
          <w:p w14:paraId="656D3684"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0.438</w:t>
            </w:r>
          </w:p>
        </w:tc>
        <w:tc>
          <w:tcPr>
            <w:tcW w:w="974" w:type="dxa"/>
            <w:shd w:val="clear" w:color="auto" w:fill="auto"/>
            <w:noWrap/>
            <w:vAlign w:val="bottom"/>
            <w:hideMark/>
          </w:tcPr>
          <w:p w14:paraId="29D15599"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0.365</w:t>
            </w:r>
          </w:p>
        </w:tc>
        <w:tc>
          <w:tcPr>
            <w:tcW w:w="977" w:type="dxa"/>
            <w:shd w:val="clear" w:color="auto" w:fill="auto"/>
            <w:noWrap/>
            <w:vAlign w:val="bottom"/>
            <w:hideMark/>
          </w:tcPr>
          <w:p w14:paraId="5ECD9AC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0.182</w:t>
            </w:r>
          </w:p>
        </w:tc>
      </w:tr>
      <w:tr w:rsidR="00CD364B" w:rsidRPr="00CD364B" w14:paraId="4E9F6CB0" w14:textId="77777777" w:rsidTr="008333D0">
        <w:trPr>
          <w:trHeight w:val="284"/>
          <w:jc w:val="center"/>
        </w:trPr>
        <w:tc>
          <w:tcPr>
            <w:tcW w:w="1127" w:type="dxa"/>
            <w:shd w:val="clear" w:color="auto" w:fill="auto"/>
            <w:noWrap/>
            <w:vAlign w:val="bottom"/>
            <w:hideMark/>
          </w:tcPr>
          <w:p w14:paraId="792A3D91"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6488E0C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722525D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162A5FC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72A8729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4341C26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CCBF3C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0.60</w:t>
            </w:r>
          </w:p>
        </w:tc>
        <w:tc>
          <w:tcPr>
            <w:tcW w:w="974" w:type="dxa"/>
            <w:shd w:val="clear" w:color="auto" w:fill="auto"/>
            <w:noWrap/>
            <w:vAlign w:val="bottom"/>
            <w:hideMark/>
          </w:tcPr>
          <w:p w14:paraId="475538D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0.755</w:t>
            </w:r>
          </w:p>
        </w:tc>
        <w:tc>
          <w:tcPr>
            <w:tcW w:w="974" w:type="dxa"/>
            <w:shd w:val="clear" w:color="auto" w:fill="auto"/>
            <w:noWrap/>
            <w:vAlign w:val="bottom"/>
            <w:hideMark/>
          </w:tcPr>
          <w:p w14:paraId="2B729ED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0.543</w:t>
            </w:r>
          </w:p>
        </w:tc>
        <w:tc>
          <w:tcPr>
            <w:tcW w:w="977" w:type="dxa"/>
            <w:shd w:val="clear" w:color="auto" w:fill="auto"/>
            <w:noWrap/>
            <w:vAlign w:val="bottom"/>
            <w:hideMark/>
          </w:tcPr>
          <w:p w14:paraId="67449F48"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0.057*</w:t>
            </w:r>
          </w:p>
        </w:tc>
      </w:tr>
      <w:tr w:rsidR="00CD364B" w:rsidRPr="00CD364B" w14:paraId="0A6FAEB1" w14:textId="77777777" w:rsidTr="008333D0">
        <w:trPr>
          <w:trHeight w:val="284"/>
          <w:jc w:val="center"/>
        </w:trPr>
        <w:tc>
          <w:tcPr>
            <w:tcW w:w="1127" w:type="dxa"/>
            <w:shd w:val="clear" w:color="auto" w:fill="auto"/>
            <w:noWrap/>
            <w:vAlign w:val="bottom"/>
            <w:hideMark/>
          </w:tcPr>
          <w:p w14:paraId="55198C7B"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502F1DC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3A9645F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3207EDED"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753F6FF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1DB752E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CF3A78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0.70</w:t>
            </w:r>
          </w:p>
        </w:tc>
        <w:tc>
          <w:tcPr>
            <w:tcW w:w="974" w:type="dxa"/>
            <w:shd w:val="clear" w:color="auto" w:fill="auto"/>
            <w:noWrap/>
            <w:vAlign w:val="bottom"/>
            <w:hideMark/>
          </w:tcPr>
          <w:p w14:paraId="4A6FCB4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0.443</w:t>
            </w:r>
          </w:p>
        </w:tc>
        <w:tc>
          <w:tcPr>
            <w:tcW w:w="974" w:type="dxa"/>
            <w:shd w:val="clear" w:color="auto" w:fill="auto"/>
            <w:noWrap/>
            <w:vAlign w:val="bottom"/>
            <w:hideMark/>
          </w:tcPr>
          <w:p w14:paraId="3DD7253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0.649</w:t>
            </w:r>
          </w:p>
        </w:tc>
        <w:tc>
          <w:tcPr>
            <w:tcW w:w="977" w:type="dxa"/>
            <w:shd w:val="clear" w:color="auto" w:fill="auto"/>
            <w:noWrap/>
            <w:vAlign w:val="bottom"/>
            <w:hideMark/>
          </w:tcPr>
          <w:p w14:paraId="01BB531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0.641</w:t>
            </w:r>
          </w:p>
        </w:tc>
      </w:tr>
      <w:tr w:rsidR="00CD364B" w:rsidRPr="00CD364B" w14:paraId="7800C897" w14:textId="77777777" w:rsidTr="008333D0">
        <w:trPr>
          <w:trHeight w:val="284"/>
          <w:jc w:val="center"/>
        </w:trPr>
        <w:tc>
          <w:tcPr>
            <w:tcW w:w="1127" w:type="dxa"/>
            <w:shd w:val="clear" w:color="auto" w:fill="auto"/>
            <w:noWrap/>
            <w:vAlign w:val="bottom"/>
            <w:hideMark/>
          </w:tcPr>
          <w:p w14:paraId="798D7026"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42146D50"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24B26903"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shd w:val="clear" w:color="auto" w:fill="auto"/>
            <w:noWrap/>
            <w:vAlign w:val="bottom"/>
            <w:hideMark/>
          </w:tcPr>
          <w:p w14:paraId="6B734E7C"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shd w:val="clear" w:color="auto" w:fill="auto"/>
            <w:noWrap/>
            <w:vAlign w:val="bottom"/>
            <w:hideMark/>
          </w:tcPr>
          <w:p w14:paraId="4196E64E"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shd w:val="clear" w:color="auto" w:fill="auto"/>
            <w:noWrap/>
            <w:vAlign w:val="bottom"/>
            <w:hideMark/>
          </w:tcPr>
          <w:p w14:paraId="550E1088"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shd w:val="clear" w:color="auto" w:fill="auto"/>
            <w:noWrap/>
            <w:vAlign w:val="bottom"/>
            <w:hideMark/>
          </w:tcPr>
          <w:p w14:paraId="179D1537"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0.80</w:t>
            </w:r>
          </w:p>
        </w:tc>
        <w:tc>
          <w:tcPr>
            <w:tcW w:w="974" w:type="dxa"/>
            <w:shd w:val="clear" w:color="auto" w:fill="auto"/>
            <w:noWrap/>
            <w:vAlign w:val="bottom"/>
            <w:hideMark/>
          </w:tcPr>
          <w:p w14:paraId="0043905D"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0.080*</w:t>
            </w:r>
          </w:p>
        </w:tc>
        <w:tc>
          <w:tcPr>
            <w:tcW w:w="974" w:type="dxa"/>
            <w:shd w:val="clear" w:color="auto" w:fill="auto"/>
            <w:noWrap/>
            <w:vAlign w:val="bottom"/>
            <w:hideMark/>
          </w:tcPr>
          <w:p w14:paraId="3B05E7C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0.266</w:t>
            </w:r>
          </w:p>
        </w:tc>
        <w:tc>
          <w:tcPr>
            <w:tcW w:w="977" w:type="dxa"/>
            <w:shd w:val="clear" w:color="auto" w:fill="auto"/>
            <w:noWrap/>
            <w:vAlign w:val="bottom"/>
            <w:hideMark/>
          </w:tcPr>
          <w:p w14:paraId="6C9A56CC"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0.398</w:t>
            </w:r>
          </w:p>
        </w:tc>
      </w:tr>
      <w:tr w:rsidR="00CD364B" w:rsidRPr="00CD364B" w14:paraId="3001C7A6" w14:textId="77777777" w:rsidTr="008333D0">
        <w:trPr>
          <w:trHeight w:val="284"/>
          <w:jc w:val="center"/>
        </w:trPr>
        <w:tc>
          <w:tcPr>
            <w:tcW w:w="1127" w:type="dxa"/>
            <w:tcBorders>
              <w:bottom w:val="single" w:sz="4" w:space="0" w:color="auto"/>
            </w:tcBorders>
            <w:shd w:val="clear" w:color="auto" w:fill="auto"/>
            <w:noWrap/>
            <w:vAlign w:val="bottom"/>
            <w:hideMark/>
          </w:tcPr>
          <w:p w14:paraId="511C4C0E"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459E9106"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6F2E682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4" w:type="dxa"/>
            <w:tcBorders>
              <w:bottom w:val="single" w:sz="4" w:space="0" w:color="auto"/>
            </w:tcBorders>
            <w:shd w:val="clear" w:color="auto" w:fill="auto"/>
            <w:noWrap/>
            <w:vAlign w:val="bottom"/>
            <w:hideMark/>
          </w:tcPr>
          <w:p w14:paraId="625E52E5"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977" w:type="dxa"/>
            <w:tcBorders>
              <w:bottom w:val="single" w:sz="4" w:space="0" w:color="auto"/>
            </w:tcBorders>
            <w:shd w:val="clear" w:color="auto" w:fill="auto"/>
            <w:noWrap/>
            <w:vAlign w:val="bottom"/>
            <w:hideMark/>
          </w:tcPr>
          <w:p w14:paraId="579EF3FB"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0.000***</w:t>
            </w:r>
          </w:p>
        </w:tc>
        <w:tc>
          <w:tcPr>
            <w:tcW w:w="1127" w:type="dxa"/>
            <w:tcBorders>
              <w:bottom w:val="single" w:sz="4" w:space="0" w:color="auto"/>
            </w:tcBorders>
            <w:shd w:val="clear" w:color="auto" w:fill="auto"/>
            <w:noWrap/>
            <w:vAlign w:val="bottom"/>
            <w:hideMark/>
          </w:tcPr>
          <w:p w14:paraId="0802C764"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sz w:val="20"/>
                <w:szCs w:val="20"/>
                <w:lang w:val="en-US"/>
              </w:rPr>
              <w:t> </w:t>
            </w:r>
          </w:p>
        </w:tc>
        <w:tc>
          <w:tcPr>
            <w:tcW w:w="1173" w:type="dxa"/>
            <w:tcBorders>
              <w:bottom w:val="single" w:sz="4" w:space="0" w:color="auto"/>
            </w:tcBorders>
            <w:shd w:val="clear" w:color="auto" w:fill="auto"/>
            <w:noWrap/>
            <w:vAlign w:val="bottom"/>
            <w:hideMark/>
          </w:tcPr>
          <w:p w14:paraId="6DA80DAF" w14:textId="77777777" w:rsidR="00117A51" w:rsidRPr="00CD364B" w:rsidRDefault="00117A51" w:rsidP="008333D0">
            <w:pPr>
              <w:spacing w:after="0" w:line="240" w:lineRule="auto"/>
              <w:jc w:val="center"/>
              <w:rPr>
                <w:rFonts w:eastAsia="Times New Roman" w:cstheme="minorHAnsi"/>
                <w:sz w:val="20"/>
                <w:szCs w:val="20"/>
                <w:lang w:val="en-US"/>
              </w:rPr>
            </w:pPr>
            <w:r w:rsidRPr="00CD364B">
              <w:rPr>
                <w:rFonts w:eastAsia="Times New Roman" w:cstheme="minorHAnsi"/>
                <w:sz w:val="20"/>
                <w:szCs w:val="20"/>
                <w:lang w:val="en-US"/>
              </w:rPr>
              <w:t>0.90</w:t>
            </w:r>
          </w:p>
        </w:tc>
        <w:tc>
          <w:tcPr>
            <w:tcW w:w="974" w:type="dxa"/>
            <w:tcBorders>
              <w:bottom w:val="single" w:sz="4" w:space="0" w:color="auto"/>
            </w:tcBorders>
            <w:shd w:val="clear" w:color="auto" w:fill="auto"/>
            <w:noWrap/>
            <w:vAlign w:val="bottom"/>
            <w:hideMark/>
          </w:tcPr>
          <w:p w14:paraId="6321E1EA"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0.001***</w:t>
            </w:r>
          </w:p>
        </w:tc>
        <w:tc>
          <w:tcPr>
            <w:tcW w:w="974" w:type="dxa"/>
            <w:tcBorders>
              <w:bottom w:val="single" w:sz="4" w:space="0" w:color="auto"/>
            </w:tcBorders>
            <w:shd w:val="clear" w:color="auto" w:fill="auto"/>
            <w:noWrap/>
            <w:vAlign w:val="bottom"/>
            <w:hideMark/>
          </w:tcPr>
          <w:p w14:paraId="25E4CB37"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0.004***</w:t>
            </w:r>
          </w:p>
        </w:tc>
        <w:tc>
          <w:tcPr>
            <w:tcW w:w="977" w:type="dxa"/>
            <w:tcBorders>
              <w:bottom w:val="single" w:sz="4" w:space="0" w:color="auto"/>
            </w:tcBorders>
            <w:shd w:val="clear" w:color="auto" w:fill="auto"/>
            <w:noWrap/>
            <w:vAlign w:val="bottom"/>
            <w:hideMark/>
          </w:tcPr>
          <w:p w14:paraId="5554C476" w14:textId="77777777" w:rsidR="00117A51" w:rsidRPr="00CD364B" w:rsidRDefault="00117A51" w:rsidP="008333D0">
            <w:pPr>
              <w:spacing w:after="0" w:line="240" w:lineRule="auto"/>
              <w:jc w:val="right"/>
              <w:rPr>
                <w:rFonts w:eastAsia="Times New Roman" w:cstheme="minorHAnsi"/>
                <w:sz w:val="20"/>
                <w:szCs w:val="20"/>
                <w:lang w:val="en-US"/>
              </w:rPr>
            </w:pPr>
            <w:r w:rsidRPr="00CD364B">
              <w:rPr>
                <w:rFonts w:eastAsia="Times New Roman" w:cstheme="minorHAnsi"/>
                <w:sz w:val="20"/>
                <w:szCs w:val="20"/>
                <w:lang w:val="en-US"/>
              </w:rPr>
              <w:t>0.007***</w:t>
            </w:r>
          </w:p>
        </w:tc>
      </w:tr>
      <w:tr w:rsidR="00117A51" w:rsidRPr="00CD364B" w14:paraId="07B6BC07" w14:textId="77777777" w:rsidTr="008333D0">
        <w:trPr>
          <w:trHeight w:val="284"/>
          <w:jc w:val="center"/>
        </w:trPr>
        <w:tc>
          <w:tcPr>
            <w:tcW w:w="10450" w:type="dxa"/>
            <w:gridSpan w:val="10"/>
            <w:tcBorders>
              <w:top w:val="single" w:sz="4" w:space="0" w:color="auto"/>
            </w:tcBorders>
            <w:shd w:val="clear" w:color="auto" w:fill="auto"/>
            <w:hideMark/>
          </w:tcPr>
          <w:p w14:paraId="4F54EA8B" w14:textId="77777777" w:rsidR="00117A51" w:rsidRPr="00CD364B" w:rsidRDefault="00117A51" w:rsidP="008333D0">
            <w:pPr>
              <w:spacing w:after="0" w:line="240" w:lineRule="auto"/>
              <w:rPr>
                <w:rFonts w:eastAsia="Times New Roman" w:cstheme="minorHAnsi"/>
                <w:sz w:val="20"/>
                <w:szCs w:val="20"/>
                <w:lang w:val="en-US"/>
              </w:rPr>
            </w:pPr>
            <w:r w:rsidRPr="00CD364B">
              <w:rPr>
                <w:rFonts w:eastAsia="Times New Roman" w:cstheme="minorHAnsi"/>
                <w:i/>
                <w:iCs/>
                <w:sz w:val="20"/>
                <w:szCs w:val="20"/>
                <w:lang w:val="en-US"/>
              </w:rPr>
              <w:t>Notes:</w:t>
            </w:r>
            <w:r w:rsidRPr="00CD364B">
              <w:rPr>
                <w:rFonts w:eastAsia="Times New Roman" w:cstheme="minorHAnsi"/>
                <w:sz w:val="20"/>
                <w:szCs w:val="20"/>
                <w:lang w:val="en-US"/>
              </w:rPr>
              <w:t xml:space="preserve"> **, *** represents the significant level of null hypothesis rejected at 5% or 1%. D1-D6 represents the time horizons with timescales of 0-4, 4-8, 8-16, 16-32, 32-64 and 64-128 days, respectively.</w:t>
            </w:r>
          </w:p>
        </w:tc>
      </w:tr>
    </w:tbl>
    <w:p w14:paraId="235F1ECC" w14:textId="6DCE2EC7" w:rsidR="00117A51" w:rsidRPr="00CD364B" w:rsidRDefault="00117A51" w:rsidP="00004F21">
      <w:pPr>
        <w:spacing w:after="0" w:line="360" w:lineRule="auto"/>
        <w:ind w:left="567" w:hanging="567"/>
        <w:jc w:val="both"/>
        <w:rPr>
          <w:rFonts w:cstheme="minorHAnsi"/>
          <w:sz w:val="24"/>
          <w:szCs w:val="24"/>
          <w:lang w:val="en-US"/>
        </w:rPr>
      </w:pPr>
    </w:p>
    <w:p w14:paraId="37AA9B5D" w14:textId="19DD64D4" w:rsidR="00EF38EC" w:rsidRPr="00CD364B" w:rsidRDefault="00EF38EC" w:rsidP="00004F21">
      <w:pPr>
        <w:spacing w:after="0" w:line="360" w:lineRule="auto"/>
        <w:ind w:left="567" w:hanging="567"/>
        <w:jc w:val="both"/>
        <w:rPr>
          <w:rFonts w:cstheme="minorHAnsi"/>
          <w:sz w:val="24"/>
          <w:szCs w:val="24"/>
          <w:lang w:val="en-US"/>
        </w:rPr>
        <w:sectPr w:rsidR="00EF38EC" w:rsidRPr="00CD364B">
          <w:pgSz w:w="11906" w:h="16838"/>
          <w:pgMar w:top="1440" w:right="1440" w:bottom="1440" w:left="1440" w:header="708" w:footer="708" w:gutter="0"/>
          <w:cols w:space="708"/>
          <w:docGrid w:linePitch="360"/>
        </w:sectPr>
      </w:pPr>
    </w:p>
    <w:p w14:paraId="256E123D" w14:textId="2ED1A74E" w:rsidR="00EF38EC" w:rsidRPr="00CD364B" w:rsidRDefault="00751624" w:rsidP="00751624">
      <w:pPr>
        <w:jc w:val="center"/>
        <w:rPr>
          <w:b/>
          <w:bCs/>
          <w:sz w:val="24"/>
          <w:szCs w:val="24"/>
        </w:rPr>
      </w:pPr>
      <w:r w:rsidRPr="00CD364B">
        <w:rPr>
          <w:b/>
          <w:bCs/>
          <w:sz w:val="24"/>
          <w:szCs w:val="24"/>
        </w:rPr>
        <w:lastRenderedPageBreak/>
        <w:t>Appendix 1: Summary of the literature</w:t>
      </w:r>
    </w:p>
    <w:tbl>
      <w:tblPr>
        <w:tblStyle w:val="TableGrid"/>
        <w:tblW w:w="14824" w:type="dxa"/>
        <w:jc w:val="center"/>
        <w:tblLook w:val="04A0" w:firstRow="1" w:lastRow="0" w:firstColumn="1" w:lastColumn="0" w:noHBand="0" w:noVBand="1"/>
      </w:tblPr>
      <w:tblGrid>
        <w:gridCol w:w="2859"/>
        <w:gridCol w:w="2729"/>
        <w:gridCol w:w="3025"/>
        <w:gridCol w:w="3061"/>
        <w:gridCol w:w="3150"/>
      </w:tblGrid>
      <w:tr w:rsidR="00CD364B" w:rsidRPr="00CD364B" w14:paraId="7A228C16" w14:textId="77777777" w:rsidTr="00790448">
        <w:trPr>
          <w:jc w:val="center"/>
        </w:trPr>
        <w:tc>
          <w:tcPr>
            <w:tcW w:w="2859" w:type="dxa"/>
          </w:tcPr>
          <w:p w14:paraId="0ABE78B8" w14:textId="77777777" w:rsidR="00EF38EC" w:rsidRPr="00CD364B" w:rsidRDefault="00EF38EC" w:rsidP="008A0888">
            <w:pPr>
              <w:rPr>
                <w:b/>
                <w:bCs/>
                <w:sz w:val="20"/>
                <w:szCs w:val="20"/>
              </w:rPr>
            </w:pPr>
            <w:r w:rsidRPr="00CD364B">
              <w:rPr>
                <w:b/>
                <w:bCs/>
                <w:sz w:val="20"/>
                <w:szCs w:val="20"/>
              </w:rPr>
              <w:t>Author</w:t>
            </w:r>
          </w:p>
        </w:tc>
        <w:tc>
          <w:tcPr>
            <w:tcW w:w="2729" w:type="dxa"/>
          </w:tcPr>
          <w:p w14:paraId="4829D40E" w14:textId="77777777" w:rsidR="00EF38EC" w:rsidRPr="00CD364B" w:rsidRDefault="00EF38EC" w:rsidP="008A0888">
            <w:pPr>
              <w:rPr>
                <w:b/>
                <w:bCs/>
                <w:sz w:val="20"/>
                <w:szCs w:val="20"/>
              </w:rPr>
            </w:pPr>
            <w:r w:rsidRPr="00CD364B">
              <w:rPr>
                <w:b/>
                <w:bCs/>
                <w:sz w:val="20"/>
                <w:szCs w:val="20"/>
              </w:rPr>
              <w:t>Geography</w:t>
            </w:r>
          </w:p>
        </w:tc>
        <w:tc>
          <w:tcPr>
            <w:tcW w:w="3025" w:type="dxa"/>
          </w:tcPr>
          <w:p w14:paraId="07B8F32F" w14:textId="77777777" w:rsidR="00EF38EC" w:rsidRPr="00CD364B" w:rsidRDefault="00EF38EC" w:rsidP="008A0888">
            <w:pPr>
              <w:rPr>
                <w:b/>
                <w:bCs/>
                <w:sz w:val="20"/>
                <w:szCs w:val="20"/>
              </w:rPr>
            </w:pPr>
            <w:r w:rsidRPr="00CD364B">
              <w:rPr>
                <w:b/>
                <w:bCs/>
                <w:sz w:val="20"/>
                <w:szCs w:val="20"/>
              </w:rPr>
              <w:t>Period</w:t>
            </w:r>
          </w:p>
        </w:tc>
        <w:tc>
          <w:tcPr>
            <w:tcW w:w="3061" w:type="dxa"/>
          </w:tcPr>
          <w:p w14:paraId="5D55FA3C" w14:textId="77777777" w:rsidR="00EF38EC" w:rsidRPr="00CD364B" w:rsidRDefault="00EF38EC" w:rsidP="008A0888">
            <w:pPr>
              <w:rPr>
                <w:b/>
                <w:bCs/>
                <w:sz w:val="20"/>
                <w:szCs w:val="20"/>
              </w:rPr>
            </w:pPr>
            <w:r w:rsidRPr="00CD364B">
              <w:rPr>
                <w:b/>
                <w:bCs/>
                <w:sz w:val="20"/>
                <w:szCs w:val="20"/>
              </w:rPr>
              <w:t>Method</w:t>
            </w:r>
          </w:p>
        </w:tc>
        <w:tc>
          <w:tcPr>
            <w:tcW w:w="3150" w:type="dxa"/>
          </w:tcPr>
          <w:p w14:paraId="466DB76C" w14:textId="77777777" w:rsidR="00EF38EC" w:rsidRPr="00CD364B" w:rsidRDefault="00EF38EC" w:rsidP="008A0888">
            <w:pPr>
              <w:rPr>
                <w:b/>
                <w:bCs/>
                <w:sz w:val="20"/>
                <w:szCs w:val="20"/>
              </w:rPr>
            </w:pPr>
            <w:r w:rsidRPr="00CD364B">
              <w:rPr>
                <w:b/>
                <w:bCs/>
                <w:sz w:val="20"/>
                <w:szCs w:val="20"/>
              </w:rPr>
              <w:t>Outcome</w:t>
            </w:r>
          </w:p>
        </w:tc>
      </w:tr>
      <w:tr w:rsidR="00CD364B" w:rsidRPr="00CD364B" w14:paraId="373A3652" w14:textId="77777777" w:rsidTr="00790448">
        <w:trPr>
          <w:jc w:val="center"/>
        </w:trPr>
        <w:tc>
          <w:tcPr>
            <w:tcW w:w="2859" w:type="dxa"/>
          </w:tcPr>
          <w:p w14:paraId="42993D04" w14:textId="1C33A2D2" w:rsidR="00EF38EC" w:rsidRPr="00CD364B" w:rsidRDefault="00EF38EC" w:rsidP="00EF38EC">
            <w:pPr>
              <w:rPr>
                <w:sz w:val="20"/>
                <w:szCs w:val="20"/>
              </w:rPr>
            </w:pPr>
            <w:r w:rsidRPr="00CD364B">
              <w:rPr>
                <w:sz w:val="20"/>
                <w:szCs w:val="20"/>
              </w:rPr>
              <w:t>Clapp et.al. (2015)</w:t>
            </w:r>
          </w:p>
        </w:tc>
        <w:tc>
          <w:tcPr>
            <w:tcW w:w="2729" w:type="dxa"/>
          </w:tcPr>
          <w:p w14:paraId="0BC6AD3B" w14:textId="03FA1DAC" w:rsidR="00EF38EC" w:rsidRPr="00CD364B" w:rsidRDefault="00EF38EC" w:rsidP="00EF38EC">
            <w:pPr>
              <w:rPr>
                <w:sz w:val="20"/>
                <w:szCs w:val="20"/>
              </w:rPr>
            </w:pPr>
            <w:r w:rsidRPr="00CD364B">
              <w:rPr>
                <w:sz w:val="20"/>
                <w:szCs w:val="20"/>
              </w:rPr>
              <w:t>Global Market</w:t>
            </w:r>
          </w:p>
        </w:tc>
        <w:tc>
          <w:tcPr>
            <w:tcW w:w="3025" w:type="dxa"/>
          </w:tcPr>
          <w:p w14:paraId="5FF05DB0" w14:textId="77777777" w:rsidR="00EF38EC" w:rsidRPr="00CD364B" w:rsidRDefault="00EF38EC" w:rsidP="00EF38EC">
            <w:pPr>
              <w:rPr>
                <w:sz w:val="20"/>
                <w:szCs w:val="20"/>
              </w:rPr>
            </w:pPr>
          </w:p>
        </w:tc>
        <w:tc>
          <w:tcPr>
            <w:tcW w:w="3061" w:type="dxa"/>
          </w:tcPr>
          <w:p w14:paraId="23471E0D" w14:textId="2D50F89F" w:rsidR="00EF38EC" w:rsidRPr="00CD364B" w:rsidRDefault="00EF38EC" w:rsidP="00EF38EC">
            <w:pPr>
              <w:rPr>
                <w:sz w:val="20"/>
                <w:szCs w:val="20"/>
              </w:rPr>
            </w:pPr>
            <w:r w:rsidRPr="00CD364B">
              <w:rPr>
                <w:sz w:val="20"/>
                <w:szCs w:val="20"/>
              </w:rPr>
              <w:t>Opinion based survey</w:t>
            </w:r>
          </w:p>
        </w:tc>
        <w:tc>
          <w:tcPr>
            <w:tcW w:w="3150" w:type="dxa"/>
          </w:tcPr>
          <w:p w14:paraId="7A58AEE3" w14:textId="165EBAE4" w:rsidR="00EF38EC" w:rsidRPr="00CD364B" w:rsidRDefault="00EF38EC" w:rsidP="00EF38EC">
            <w:pPr>
              <w:rPr>
                <w:sz w:val="20"/>
                <w:szCs w:val="20"/>
              </w:rPr>
            </w:pPr>
            <w:r w:rsidRPr="00CD364B">
              <w:rPr>
                <w:sz w:val="20"/>
                <w:szCs w:val="20"/>
              </w:rPr>
              <w:t xml:space="preserve">Management aligning their policies with the climate risk attribute to greater confidence in green bond. </w:t>
            </w:r>
          </w:p>
        </w:tc>
      </w:tr>
      <w:tr w:rsidR="00CD364B" w:rsidRPr="00CD364B" w14:paraId="2A60BE56" w14:textId="77777777" w:rsidTr="00790448">
        <w:trPr>
          <w:jc w:val="center"/>
        </w:trPr>
        <w:tc>
          <w:tcPr>
            <w:tcW w:w="2859" w:type="dxa"/>
          </w:tcPr>
          <w:p w14:paraId="7C0C1E32" w14:textId="6FF6C94C" w:rsidR="00EF38EC" w:rsidRPr="00CD364B" w:rsidRDefault="00EF38EC" w:rsidP="00EF38EC">
            <w:pPr>
              <w:rPr>
                <w:sz w:val="20"/>
                <w:szCs w:val="20"/>
              </w:rPr>
            </w:pPr>
            <w:r w:rsidRPr="00CD364B">
              <w:rPr>
                <w:sz w:val="20"/>
                <w:szCs w:val="20"/>
              </w:rPr>
              <w:t>Wang and Zhi (2016)</w:t>
            </w:r>
          </w:p>
        </w:tc>
        <w:tc>
          <w:tcPr>
            <w:tcW w:w="2729" w:type="dxa"/>
          </w:tcPr>
          <w:p w14:paraId="77EF5108" w14:textId="6B79E3D3" w:rsidR="00EF38EC" w:rsidRPr="00CD364B" w:rsidRDefault="004C7C8D" w:rsidP="00EF38EC">
            <w:pPr>
              <w:rPr>
                <w:sz w:val="20"/>
                <w:szCs w:val="20"/>
              </w:rPr>
            </w:pPr>
            <w:r w:rsidRPr="00CD364B">
              <w:rPr>
                <w:sz w:val="20"/>
                <w:szCs w:val="20"/>
              </w:rPr>
              <w:t>NA</w:t>
            </w:r>
          </w:p>
        </w:tc>
        <w:tc>
          <w:tcPr>
            <w:tcW w:w="3025" w:type="dxa"/>
          </w:tcPr>
          <w:p w14:paraId="33049D43" w14:textId="51D175F7" w:rsidR="00EF38EC" w:rsidRPr="00CD364B" w:rsidRDefault="004C7C8D" w:rsidP="00EF38EC">
            <w:pPr>
              <w:rPr>
                <w:sz w:val="20"/>
                <w:szCs w:val="20"/>
              </w:rPr>
            </w:pPr>
            <w:r w:rsidRPr="00CD364B">
              <w:rPr>
                <w:sz w:val="20"/>
                <w:szCs w:val="20"/>
              </w:rPr>
              <w:t>NA</w:t>
            </w:r>
          </w:p>
        </w:tc>
        <w:tc>
          <w:tcPr>
            <w:tcW w:w="3061" w:type="dxa"/>
          </w:tcPr>
          <w:p w14:paraId="5311E8D5" w14:textId="114DDCE9" w:rsidR="00EF38EC" w:rsidRPr="00CD364B" w:rsidRDefault="004C7C8D" w:rsidP="00EF38EC">
            <w:pPr>
              <w:rPr>
                <w:sz w:val="20"/>
                <w:szCs w:val="20"/>
              </w:rPr>
            </w:pPr>
            <w:r w:rsidRPr="00CD364B">
              <w:rPr>
                <w:sz w:val="20"/>
                <w:szCs w:val="20"/>
              </w:rPr>
              <w:t>Review study</w:t>
            </w:r>
          </w:p>
        </w:tc>
        <w:tc>
          <w:tcPr>
            <w:tcW w:w="3150" w:type="dxa"/>
          </w:tcPr>
          <w:p w14:paraId="711E16E2" w14:textId="22A58C76" w:rsidR="00EF38EC" w:rsidRPr="00CD364B" w:rsidRDefault="00232F4E" w:rsidP="00EF38EC">
            <w:pPr>
              <w:rPr>
                <w:sz w:val="20"/>
                <w:szCs w:val="20"/>
              </w:rPr>
            </w:pPr>
            <w:r w:rsidRPr="00CD364B">
              <w:rPr>
                <w:sz w:val="20"/>
                <w:szCs w:val="20"/>
              </w:rPr>
              <w:t>Green finance can restore ecological balance</w:t>
            </w:r>
          </w:p>
        </w:tc>
      </w:tr>
      <w:tr w:rsidR="00CD364B" w:rsidRPr="00CD364B" w14:paraId="3E547202" w14:textId="77777777" w:rsidTr="00790448">
        <w:trPr>
          <w:jc w:val="center"/>
        </w:trPr>
        <w:tc>
          <w:tcPr>
            <w:tcW w:w="2859" w:type="dxa"/>
          </w:tcPr>
          <w:p w14:paraId="3F71DBD6" w14:textId="1721AF83" w:rsidR="00F912C5" w:rsidRPr="00CD364B" w:rsidRDefault="00F912C5" w:rsidP="003E7658">
            <w:pPr>
              <w:rPr>
                <w:sz w:val="20"/>
                <w:szCs w:val="20"/>
              </w:rPr>
            </w:pPr>
            <w:r w:rsidRPr="00CD364B">
              <w:rPr>
                <w:sz w:val="20"/>
                <w:szCs w:val="20"/>
              </w:rPr>
              <w:t>Ng (2018)</w:t>
            </w:r>
          </w:p>
        </w:tc>
        <w:tc>
          <w:tcPr>
            <w:tcW w:w="2729" w:type="dxa"/>
          </w:tcPr>
          <w:p w14:paraId="0E0B7EC8" w14:textId="00FD26E6" w:rsidR="00F912C5" w:rsidRPr="00CD364B" w:rsidRDefault="006E57D0" w:rsidP="003E7658">
            <w:pPr>
              <w:rPr>
                <w:sz w:val="20"/>
                <w:szCs w:val="20"/>
              </w:rPr>
            </w:pPr>
            <w:r w:rsidRPr="00CD364B">
              <w:rPr>
                <w:sz w:val="20"/>
                <w:szCs w:val="20"/>
              </w:rPr>
              <w:t>Hong Kong</w:t>
            </w:r>
          </w:p>
        </w:tc>
        <w:tc>
          <w:tcPr>
            <w:tcW w:w="3025" w:type="dxa"/>
          </w:tcPr>
          <w:p w14:paraId="6A0B708E" w14:textId="7F978E45" w:rsidR="00F912C5" w:rsidRPr="00CD364B" w:rsidRDefault="006E57D0" w:rsidP="003E7658">
            <w:pPr>
              <w:rPr>
                <w:sz w:val="20"/>
                <w:szCs w:val="20"/>
              </w:rPr>
            </w:pPr>
            <w:r w:rsidRPr="00CD364B">
              <w:rPr>
                <w:sz w:val="20"/>
                <w:szCs w:val="20"/>
              </w:rPr>
              <w:t>NA</w:t>
            </w:r>
          </w:p>
        </w:tc>
        <w:tc>
          <w:tcPr>
            <w:tcW w:w="3061" w:type="dxa"/>
          </w:tcPr>
          <w:p w14:paraId="53E9F6BD" w14:textId="085FA07D" w:rsidR="00F912C5" w:rsidRPr="00CD364B" w:rsidRDefault="006E57D0" w:rsidP="003E7658">
            <w:pPr>
              <w:rPr>
                <w:sz w:val="20"/>
                <w:szCs w:val="20"/>
              </w:rPr>
            </w:pPr>
            <w:r w:rsidRPr="00CD364B">
              <w:rPr>
                <w:sz w:val="20"/>
                <w:szCs w:val="20"/>
              </w:rPr>
              <w:t>Multiple-case study</w:t>
            </w:r>
          </w:p>
        </w:tc>
        <w:tc>
          <w:tcPr>
            <w:tcW w:w="3150" w:type="dxa"/>
          </w:tcPr>
          <w:p w14:paraId="51AB93DD" w14:textId="3305E944" w:rsidR="00F912C5" w:rsidRPr="00CD364B" w:rsidRDefault="00961EAD" w:rsidP="003E7658">
            <w:pPr>
              <w:rPr>
                <w:sz w:val="20"/>
                <w:szCs w:val="20"/>
              </w:rPr>
            </w:pPr>
            <w:r w:rsidRPr="00CD364B">
              <w:rPr>
                <w:sz w:val="20"/>
                <w:szCs w:val="20"/>
              </w:rPr>
              <w:t>Institutional legitimacy for sustainability influenced by a national policy and enhanced through a market-based finance approach</w:t>
            </w:r>
          </w:p>
        </w:tc>
      </w:tr>
      <w:tr w:rsidR="00CD364B" w:rsidRPr="00CD364B" w14:paraId="6BB6D570" w14:textId="77777777" w:rsidTr="00790448">
        <w:trPr>
          <w:jc w:val="center"/>
        </w:trPr>
        <w:tc>
          <w:tcPr>
            <w:tcW w:w="2859" w:type="dxa"/>
          </w:tcPr>
          <w:p w14:paraId="4C77174E" w14:textId="39E4E62B" w:rsidR="003E7658" w:rsidRPr="00CD364B" w:rsidRDefault="003E7658" w:rsidP="003E7658">
            <w:pPr>
              <w:rPr>
                <w:sz w:val="20"/>
                <w:szCs w:val="20"/>
                <w:highlight w:val="yellow"/>
              </w:rPr>
            </w:pPr>
            <w:r w:rsidRPr="00CD364B">
              <w:rPr>
                <w:sz w:val="20"/>
                <w:szCs w:val="20"/>
              </w:rPr>
              <w:t>Nguyen et</w:t>
            </w:r>
            <w:r w:rsidR="00FC0CB7" w:rsidRPr="00CD364B">
              <w:rPr>
                <w:sz w:val="20"/>
                <w:szCs w:val="20"/>
              </w:rPr>
              <w:t xml:space="preserve"> </w:t>
            </w:r>
            <w:r w:rsidRPr="00CD364B">
              <w:rPr>
                <w:sz w:val="20"/>
                <w:szCs w:val="20"/>
              </w:rPr>
              <w:t>al. (2018)</w:t>
            </w:r>
          </w:p>
        </w:tc>
        <w:tc>
          <w:tcPr>
            <w:tcW w:w="2729" w:type="dxa"/>
          </w:tcPr>
          <w:p w14:paraId="0FC5F331" w14:textId="1432DCD0" w:rsidR="003E7658" w:rsidRPr="00CD364B" w:rsidRDefault="003E7658" w:rsidP="003E7658">
            <w:pPr>
              <w:rPr>
                <w:sz w:val="20"/>
                <w:szCs w:val="20"/>
                <w:highlight w:val="yellow"/>
              </w:rPr>
            </w:pPr>
            <w:r w:rsidRPr="00CD364B">
              <w:rPr>
                <w:sz w:val="20"/>
                <w:szCs w:val="20"/>
              </w:rPr>
              <w:t>Vietnam</w:t>
            </w:r>
          </w:p>
        </w:tc>
        <w:tc>
          <w:tcPr>
            <w:tcW w:w="3025" w:type="dxa"/>
          </w:tcPr>
          <w:p w14:paraId="380F48D6" w14:textId="31E33612" w:rsidR="003E7658" w:rsidRPr="00CD364B" w:rsidRDefault="00D66DD5" w:rsidP="003E7658">
            <w:pPr>
              <w:rPr>
                <w:sz w:val="20"/>
                <w:szCs w:val="20"/>
              </w:rPr>
            </w:pPr>
            <w:r w:rsidRPr="00CD364B">
              <w:rPr>
                <w:sz w:val="20"/>
                <w:szCs w:val="20"/>
              </w:rPr>
              <w:t>NA</w:t>
            </w:r>
          </w:p>
        </w:tc>
        <w:tc>
          <w:tcPr>
            <w:tcW w:w="3061" w:type="dxa"/>
          </w:tcPr>
          <w:p w14:paraId="3D6A0FC3" w14:textId="129BDA90" w:rsidR="003E7658" w:rsidRPr="00CD364B" w:rsidRDefault="00D66DD5" w:rsidP="003E7658">
            <w:pPr>
              <w:rPr>
                <w:sz w:val="20"/>
                <w:szCs w:val="20"/>
              </w:rPr>
            </w:pPr>
            <w:r w:rsidRPr="00CD364B">
              <w:rPr>
                <w:sz w:val="20"/>
                <w:szCs w:val="20"/>
              </w:rPr>
              <w:t>Review study</w:t>
            </w:r>
          </w:p>
        </w:tc>
        <w:tc>
          <w:tcPr>
            <w:tcW w:w="3150" w:type="dxa"/>
          </w:tcPr>
          <w:p w14:paraId="28EB7366" w14:textId="25C16914" w:rsidR="003E7658" w:rsidRPr="00CD364B" w:rsidRDefault="00202F7F" w:rsidP="003E7658">
            <w:pPr>
              <w:rPr>
                <w:sz w:val="20"/>
                <w:szCs w:val="20"/>
              </w:rPr>
            </w:pPr>
            <w:r w:rsidRPr="00CD364B">
              <w:rPr>
                <w:sz w:val="20"/>
                <w:szCs w:val="20"/>
              </w:rPr>
              <w:t>G</w:t>
            </w:r>
            <w:r w:rsidR="00CB154D" w:rsidRPr="00CD364B">
              <w:rPr>
                <w:sz w:val="20"/>
                <w:szCs w:val="20"/>
              </w:rPr>
              <w:t>reen bond reduces the dependence on imported coal for energy needs</w:t>
            </w:r>
          </w:p>
        </w:tc>
      </w:tr>
      <w:tr w:rsidR="00CD364B" w:rsidRPr="00CD364B" w14:paraId="114BDEBA" w14:textId="77777777" w:rsidTr="00790448">
        <w:trPr>
          <w:jc w:val="center"/>
        </w:trPr>
        <w:tc>
          <w:tcPr>
            <w:tcW w:w="2859" w:type="dxa"/>
          </w:tcPr>
          <w:p w14:paraId="16C7F0FD" w14:textId="3945F306" w:rsidR="003E7658" w:rsidRPr="00CD364B" w:rsidRDefault="003E7658" w:rsidP="003E7658">
            <w:pPr>
              <w:rPr>
                <w:sz w:val="20"/>
                <w:szCs w:val="20"/>
              </w:rPr>
            </w:pPr>
            <w:r w:rsidRPr="00CD364B">
              <w:rPr>
                <w:sz w:val="20"/>
                <w:szCs w:val="20"/>
              </w:rPr>
              <w:t>Reboredo (2018)</w:t>
            </w:r>
          </w:p>
        </w:tc>
        <w:tc>
          <w:tcPr>
            <w:tcW w:w="2729" w:type="dxa"/>
          </w:tcPr>
          <w:p w14:paraId="0F74E0B8" w14:textId="4B8912A2" w:rsidR="003E7658" w:rsidRPr="00CD364B" w:rsidRDefault="003E7658" w:rsidP="003E7658">
            <w:pPr>
              <w:rPr>
                <w:sz w:val="20"/>
                <w:szCs w:val="20"/>
              </w:rPr>
            </w:pPr>
            <w:r w:rsidRPr="00CD364B">
              <w:rPr>
                <w:sz w:val="20"/>
                <w:szCs w:val="20"/>
              </w:rPr>
              <w:t>Global data</w:t>
            </w:r>
          </w:p>
        </w:tc>
        <w:tc>
          <w:tcPr>
            <w:tcW w:w="3025" w:type="dxa"/>
          </w:tcPr>
          <w:p w14:paraId="11DDBF46" w14:textId="47913590" w:rsidR="003E7658" w:rsidRPr="00CD364B" w:rsidRDefault="003E7658" w:rsidP="003E7658">
            <w:pPr>
              <w:rPr>
                <w:sz w:val="20"/>
                <w:szCs w:val="20"/>
              </w:rPr>
            </w:pPr>
            <w:r w:rsidRPr="00CD364B">
              <w:rPr>
                <w:sz w:val="20"/>
                <w:szCs w:val="20"/>
              </w:rPr>
              <w:t>2014</w:t>
            </w:r>
            <w:r w:rsidR="0064460E" w:rsidRPr="00CD364B">
              <w:rPr>
                <w:sz w:val="20"/>
                <w:szCs w:val="20"/>
              </w:rPr>
              <w:t>-</w:t>
            </w:r>
            <w:r w:rsidRPr="00CD364B">
              <w:rPr>
                <w:sz w:val="20"/>
                <w:szCs w:val="20"/>
              </w:rPr>
              <w:t>2017</w:t>
            </w:r>
          </w:p>
        </w:tc>
        <w:tc>
          <w:tcPr>
            <w:tcW w:w="3061" w:type="dxa"/>
          </w:tcPr>
          <w:p w14:paraId="02FF9E66" w14:textId="68F6DDDA" w:rsidR="003E7658" w:rsidRPr="00CD364B" w:rsidRDefault="003E7658" w:rsidP="003E7658">
            <w:pPr>
              <w:rPr>
                <w:sz w:val="20"/>
                <w:szCs w:val="20"/>
              </w:rPr>
            </w:pPr>
            <w:r w:rsidRPr="00CD364B">
              <w:rPr>
                <w:sz w:val="20"/>
                <w:szCs w:val="20"/>
              </w:rPr>
              <w:t>Copula</w:t>
            </w:r>
          </w:p>
        </w:tc>
        <w:tc>
          <w:tcPr>
            <w:tcW w:w="3150" w:type="dxa"/>
          </w:tcPr>
          <w:p w14:paraId="236C6AD9" w14:textId="61A9D620" w:rsidR="003E7658" w:rsidRPr="00CD364B" w:rsidRDefault="003E7658" w:rsidP="003E7658">
            <w:pPr>
              <w:rPr>
                <w:sz w:val="20"/>
                <w:szCs w:val="20"/>
              </w:rPr>
            </w:pPr>
            <w:r w:rsidRPr="00CD364B">
              <w:rPr>
                <w:sz w:val="20"/>
                <w:szCs w:val="20"/>
              </w:rPr>
              <w:t xml:space="preserve">Substantial spill over effect from corporate and treasury fixed-income market on green bond prices. Negligible effect of equity and energy markets on green bond prices. </w:t>
            </w:r>
          </w:p>
        </w:tc>
      </w:tr>
      <w:tr w:rsidR="00CD364B" w:rsidRPr="00CD364B" w14:paraId="36BF4AD9" w14:textId="77777777" w:rsidTr="00790448">
        <w:trPr>
          <w:jc w:val="center"/>
        </w:trPr>
        <w:tc>
          <w:tcPr>
            <w:tcW w:w="2859" w:type="dxa"/>
          </w:tcPr>
          <w:p w14:paraId="1EAA714E" w14:textId="75E47179" w:rsidR="003E7658" w:rsidRPr="00CD364B" w:rsidRDefault="003E7658" w:rsidP="003E7658">
            <w:pPr>
              <w:rPr>
                <w:sz w:val="20"/>
                <w:szCs w:val="20"/>
              </w:rPr>
            </w:pPr>
            <w:r w:rsidRPr="00CD364B">
              <w:rPr>
                <w:sz w:val="20"/>
                <w:szCs w:val="20"/>
              </w:rPr>
              <w:t>Shahbaz et</w:t>
            </w:r>
            <w:r w:rsidR="0020068F" w:rsidRPr="00CD364B">
              <w:rPr>
                <w:sz w:val="20"/>
                <w:szCs w:val="20"/>
              </w:rPr>
              <w:t xml:space="preserve"> </w:t>
            </w:r>
            <w:r w:rsidRPr="00CD364B">
              <w:rPr>
                <w:sz w:val="20"/>
                <w:szCs w:val="20"/>
              </w:rPr>
              <w:t>al. (2018)</w:t>
            </w:r>
          </w:p>
        </w:tc>
        <w:tc>
          <w:tcPr>
            <w:tcW w:w="2729" w:type="dxa"/>
          </w:tcPr>
          <w:p w14:paraId="0BC98EF0" w14:textId="38DD99A4" w:rsidR="003E7658" w:rsidRPr="00CD364B" w:rsidRDefault="003E7658" w:rsidP="003E7658">
            <w:pPr>
              <w:rPr>
                <w:sz w:val="20"/>
                <w:szCs w:val="20"/>
              </w:rPr>
            </w:pPr>
            <w:r w:rsidRPr="00CD364B">
              <w:rPr>
                <w:sz w:val="20"/>
                <w:szCs w:val="20"/>
              </w:rPr>
              <w:t>France</w:t>
            </w:r>
          </w:p>
        </w:tc>
        <w:tc>
          <w:tcPr>
            <w:tcW w:w="3025" w:type="dxa"/>
          </w:tcPr>
          <w:p w14:paraId="4E7D393F" w14:textId="285C099D" w:rsidR="003E7658" w:rsidRPr="00CD364B" w:rsidRDefault="003E7658" w:rsidP="003E7658">
            <w:pPr>
              <w:rPr>
                <w:sz w:val="20"/>
                <w:szCs w:val="20"/>
              </w:rPr>
            </w:pPr>
            <w:r w:rsidRPr="00CD364B">
              <w:rPr>
                <w:sz w:val="20"/>
                <w:szCs w:val="20"/>
              </w:rPr>
              <w:t>1955-2016</w:t>
            </w:r>
          </w:p>
        </w:tc>
        <w:tc>
          <w:tcPr>
            <w:tcW w:w="3061" w:type="dxa"/>
          </w:tcPr>
          <w:p w14:paraId="3509F83C" w14:textId="6DE98820" w:rsidR="003E7658" w:rsidRPr="00CD364B" w:rsidRDefault="003E7658" w:rsidP="003E7658">
            <w:pPr>
              <w:rPr>
                <w:sz w:val="20"/>
                <w:szCs w:val="20"/>
              </w:rPr>
            </w:pPr>
            <w:r w:rsidRPr="00CD364B">
              <w:rPr>
                <w:sz w:val="20"/>
                <w:szCs w:val="20"/>
              </w:rPr>
              <w:t>Bootstrapping Bounds Testing Approach</w:t>
            </w:r>
          </w:p>
        </w:tc>
        <w:tc>
          <w:tcPr>
            <w:tcW w:w="3150" w:type="dxa"/>
          </w:tcPr>
          <w:p w14:paraId="5A84E12C" w14:textId="33182764" w:rsidR="003E7658" w:rsidRPr="00CD364B" w:rsidRDefault="003E7658" w:rsidP="003E7658">
            <w:pPr>
              <w:rPr>
                <w:sz w:val="20"/>
                <w:szCs w:val="20"/>
              </w:rPr>
            </w:pPr>
            <w:r w:rsidRPr="00CD364B">
              <w:rPr>
                <w:sz w:val="20"/>
                <w:szCs w:val="20"/>
              </w:rPr>
              <w:t>Positive impact of FDI and negative impact of energy research innovations on carbon emissions.</w:t>
            </w:r>
          </w:p>
        </w:tc>
      </w:tr>
      <w:tr w:rsidR="00CD364B" w:rsidRPr="00CD364B" w14:paraId="01257A6B" w14:textId="77777777" w:rsidTr="00790448">
        <w:trPr>
          <w:jc w:val="center"/>
        </w:trPr>
        <w:tc>
          <w:tcPr>
            <w:tcW w:w="2859" w:type="dxa"/>
          </w:tcPr>
          <w:p w14:paraId="39032636" w14:textId="7739DC6C" w:rsidR="00BB0617" w:rsidRPr="00CD364B" w:rsidRDefault="00744027" w:rsidP="003E7658">
            <w:pPr>
              <w:rPr>
                <w:sz w:val="20"/>
                <w:szCs w:val="20"/>
              </w:rPr>
            </w:pPr>
            <w:r w:rsidRPr="00CD364B">
              <w:rPr>
                <w:sz w:val="20"/>
                <w:szCs w:val="20"/>
              </w:rPr>
              <w:t>Urban et al. (2018)</w:t>
            </w:r>
          </w:p>
        </w:tc>
        <w:tc>
          <w:tcPr>
            <w:tcW w:w="2729" w:type="dxa"/>
          </w:tcPr>
          <w:p w14:paraId="48DDA588" w14:textId="7650B629" w:rsidR="00BB0617" w:rsidRPr="00CD364B" w:rsidRDefault="0001573C" w:rsidP="003E7658">
            <w:pPr>
              <w:rPr>
                <w:sz w:val="20"/>
                <w:szCs w:val="20"/>
              </w:rPr>
            </w:pPr>
            <w:r w:rsidRPr="00CD364B">
              <w:rPr>
                <w:sz w:val="20"/>
                <w:szCs w:val="20"/>
              </w:rPr>
              <w:t>Vietnam</w:t>
            </w:r>
          </w:p>
        </w:tc>
        <w:tc>
          <w:tcPr>
            <w:tcW w:w="3025" w:type="dxa"/>
          </w:tcPr>
          <w:p w14:paraId="7A2429EB" w14:textId="41A1A582" w:rsidR="00BB0617" w:rsidRPr="00CD364B" w:rsidRDefault="00D90FFC" w:rsidP="003E7658">
            <w:pPr>
              <w:rPr>
                <w:sz w:val="20"/>
                <w:szCs w:val="20"/>
              </w:rPr>
            </w:pPr>
            <w:r w:rsidRPr="00CD364B">
              <w:rPr>
                <w:sz w:val="20"/>
                <w:szCs w:val="20"/>
              </w:rPr>
              <w:t>NA</w:t>
            </w:r>
          </w:p>
        </w:tc>
        <w:tc>
          <w:tcPr>
            <w:tcW w:w="3061" w:type="dxa"/>
          </w:tcPr>
          <w:p w14:paraId="58692291" w14:textId="380CB5B2" w:rsidR="00BB0617" w:rsidRPr="00CD364B" w:rsidRDefault="00D90FFC" w:rsidP="003E7658">
            <w:pPr>
              <w:rPr>
                <w:sz w:val="20"/>
                <w:szCs w:val="20"/>
              </w:rPr>
            </w:pPr>
            <w:r w:rsidRPr="00CD364B">
              <w:rPr>
                <w:sz w:val="20"/>
                <w:szCs w:val="20"/>
              </w:rPr>
              <w:t>Review study</w:t>
            </w:r>
          </w:p>
        </w:tc>
        <w:tc>
          <w:tcPr>
            <w:tcW w:w="3150" w:type="dxa"/>
          </w:tcPr>
          <w:p w14:paraId="545FFACD" w14:textId="375ADEBA" w:rsidR="00BB0617" w:rsidRPr="00CD364B" w:rsidRDefault="00A10B56" w:rsidP="003E7658">
            <w:pPr>
              <w:rPr>
                <w:sz w:val="20"/>
                <w:szCs w:val="20"/>
              </w:rPr>
            </w:pPr>
            <w:r w:rsidRPr="00CD364B">
              <w:rPr>
                <w:sz w:val="20"/>
                <w:szCs w:val="20"/>
              </w:rPr>
              <w:t>Green financing is an enabler of green transformation</w:t>
            </w:r>
          </w:p>
        </w:tc>
      </w:tr>
      <w:tr w:rsidR="00CD364B" w:rsidRPr="00CD364B" w14:paraId="64FA3790" w14:textId="77777777" w:rsidTr="00790448">
        <w:trPr>
          <w:jc w:val="center"/>
        </w:trPr>
        <w:tc>
          <w:tcPr>
            <w:tcW w:w="2859" w:type="dxa"/>
          </w:tcPr>
          <w:p w14:paraId="50B17DFF" w14:textId="77777777" w:rsidR="00575649" w:rsidRPr="00CD364B" w:rsidRDefault="00575649" w:rsidP="00575649">
            <w:pPr>
              <w:rPr>
                <w:sz w:val="20"/>
                <w:szCs w:val="20"/>
              </w:rPr>
            </w:pPr>
            <w:r w:rsidRPr="00CD364B">
              <w:rPr>
                <w:sz w:val="20"/>
                <w:szCs w:val="20"/>
              </w:rPr>
              <w:t>Agliardi and Agliardi (2019)</w:t>
            </w:r>
          </w:p>
        </w:tc>
        <w:tc>
          <w:tcPr>
            <w:tcW w:w="2729" w:type="dxa"/>
          </w:tcPr>
          <w:p w14:paraId="443B7308" w14:textId="173F72F9" w:rsidR="00575649" w:rsidRPr="00CD364B" w:rsidRDefault="00575649" w:rsidP="00575649">
            <w:pPr>
              <w:rPr>
                <w:sz w:val="20"/>
                <w:szCs w:val="20"/>
              </w:rPr>
            </w:pPr>
            <w:r w:rsidRPr="00CD364B">
              <w:rPr>
                <w:sz w:val="20"/>
                <w:szCs w:val="20"/>
              </w:rPr>
              <w:t>NA</w:t>
            </w:r>
          </w:p>
        </w:tc>
        <w:tc>
          <w:tcPr>
            <w:tcW w:w="3025" w:type="dxa"/>
          </w:tcPr>
          <w:p w14:paraId="37B8DA1D" w14:textId="0E861E79" w:rsidR="00575649" w:rsidRPr="00CD364B" w:rsidRDefault="00575649" w:rsidP="00575649">
            <w:pPr>
              <w:rPr>
                <w:sz w:val="20"/>
                <w:szCs w:val="20"/>
              </w:rPr>
            </w:pPr>
            <w:r w:rsidRPr="00CD364B">
              <w:rPr>
                <w:sz w:val="20"/>
                <w:szCs w:val="20"/>
              </w:rPr>
              <w:t>NA</w:t>
            </w:r>
          </w:p>
        </w:tc>
        <w:tc>
          <w:tcPr>
            <w:tcW w:w="3061" w:type="dxa"/>
          </w:tcPr>
          <w:p w14:paraId="49946D11" w14:textId="5908C479" w:rsidR="00575649" w:rsidRPr="00CD364B" w:rsidRDefault="00575649" w:rsidP="00575649">
            <w:pPr>
              <w:rPr>
                <w:sz w:val="20"/>
                <w:szCs w:val="20"/>
              </w:rPr>
            </w:pPr>
            <w:r w:rsidRPr="00CD364B">
              <w:rPr>
                <w:sz w:val="20"/>
                <w:szCs w:val="20"/>
              </w:rPr>
              <w:t>Review study</w:t>
            </w:r>
          </w:p>
        </w:tc>
        <w:tc>
          <w:tcPr>
            <w:tcW w:w="3150" w:type="dxa"/>
          </w:tcPr>
          <w:p w14:paraId="5E28F98B" w14:textId="77777777" w:rsidR="00575649" w:rsidRPr="00CD364B" w:rsidRDefault="00575649" w:rsidP="00575649">
            <w:pPr>
              <w:rPr>
                <w:sz w:val="20"/>
                <w:szCs w:val="20"/>
              </w:rPr>
            </w:pPr>
            <w:r w:rsidRPr="00CD364B">
              <w:rPr>
                <w:sz w:val="20"/>
                <w:szCs w:val="20"/>
              </w:rPr>
              <w:t>Shareholders’ awareness and pro-environment tax benefit enhance the price of green bond.</w:t>
            </w:r>
          </w:p>
        </w:tc>
      </w:tr>
      <w:tr w:rsidR="00CD364B" w:rsidRPr="00CD364B" w14:paraId="090F83AD" w14:textId="77777777" w:rsidTr="00790448">
        <w:trPr>
          <w:jc w:val="center"/>
        </w:trPr>
        <w:tc>
          <w:tcPr>
            <w:tcW w:w="2859" w:type="dxa"/>
          </w:tcPr>
          <w:p w14:paraId="63110DA5" w14:textId="65D49448" w:rsidR="00575649" w:rsidRPr="00CD364B" w:rsidRDefault="00575649" w:rsidP="00575649">
            <w:pPr>
              <w:rPr>
                <w:sz w:val="20"/>
                <w:szCs w:val="20"/>
              </w:rPr>
            </w:pPr>
            <w:r w:rsidRPr="00CD364B">
              <w:rPr>
                <w:sz w:val="20"/>
                <w:szCs w:val="20"/>
              </w:rPr>
              <w:t>Banga (2019)</w:t>
            </w:r>
          </w:p>
        </w:tc>
        <w:tc>
          <w:tcPr>
            <w:tcW w:w="2729" w:type="dxa"/>
          </w:tcPr>
          <w:p w14:paraId="2045698E" w14:textId="414EAA8A" w:rsidR="00575649" w:rsidRPr="00CD364B" w:rsidRDefault="00575649" w:rsidP="00575649">
            <w:pPr>
              <w:rPr>
                <w:sz w:val="20"/>
                <w:szCs w:val="20"/>
              </w:rPr>
            </w:pPr>
            <w:r w:rsidRPr="00CD364B">
              <w:rPr>
                <w:sz w:val="20"/>
                <w:szCs w:val="20"/>
              </w:rPr>
              <w:t>NA</w:t>
            </w:r>
          </w:p>
        </w:tc>
        <w:tc>
          <w:tcPr>
            <w:tcW w:w="3025" w:type="dxa"/>
          </w:tcPr>
          <w:p w14:paraId="21EF34AB" w14:textId="01F1385E" w:rsidR="00575649" w:rsidRPr="00CD364B" w:rsidRDefault="00575649" w:rsidP="00575649">
            <w:pPr>
              <w:rPr>
                <w:sz w:val="20"/>
                <w:szCs w:val="20"/>
              </w:rPr>
            </w:pPr>
            <w:r w:rsidRPr="00CD364B">
              <w:rPr>
                <w:sz w:val="20"/>
                <w:szCs w:val="20"/>
              </w:rPr>
              <w:t>NA</w:t>
            </w:r>
          </w:p>
        </w:tc>
        <w:tc>
          <w:tcPr>
            <w:tcW w:w="3061" w:type="dxa"/>
          </w:tcPr>
          <w:p w14:paraId="70C453EB" w14:textId="1E0C2586" w:rsidR="00575649" w:rsidRPr="00CD364B" w:rsidRDefault="00575649" w:rsidP="00575649">
            <w:pPr>
              <w:rPr>
                <w:sz w:val="20"/>
                <w:szCs w:val="20"/>
              </w:rPr>
            </w:pPr>
            <w:r w:rsidRPr="00CD364B">
              <w:rPr>
                <w:sz w:val="20"/>
                <w:szCs w:val="20"/>
              </w:rPr>
              <w:t>Review study</w:t>
            </w:r>
          </w:p>
        </w:tc>
        <w:tc>
          <w:tcPr>
            <w:tcW w:w="3150" w:type="dxa"/>
          </w:tcPr>
          <w:p w14:paraId="36D4495F" w14:textId="15D5EA03" w:rsidR="00575649" w:rsidRPr="00CD364B" w:rsidRDefault="00957EFC" w:rsidP="00957EFC">
            <w:pPr>
              <w:rPr>
                <w:sz w:val="20"/>
                <w:szCs w:val="20"/>
              </w:rPr>
            </w:pPr>
            <w:r w:rsidRPr="00CD364B">
              <w:rPr>
                <w:sz w:val="20"/>
                <w:szCs w:val="20"/>
              </w:rPr>
              <w:t>Green bond is a potential source of climate finance for developing countries</w:t>
            </w:r>
          </w:p>
        </w:tc>
      </w:tr>
      <w:tr w:rsidR="00CD364B" w:rsidRPr="00CD364B" w14:paraId="28D685BE" w14:textId="77777777" w:rsidTr="00790448">
        <w:trPr>
          <w:jc w:val="center"/>
        </w:trPr>
        <w:tc>
          <w:tcPr>
            <w:tcW w:w="2859" w:type="dxa"/>
          </w:tcPr>
          <w:p w14:paraId="1A466928" w14:textId="41E52B83" w:rsidR="00575649" w:rsidRPr="00CD364B" w:rsidRDefault="00575649" w:rsidP="00575649">
            <w:pPr>
              <w:rPr>
                <w:sz w:val="20"/>
                <w:szCs w:val="20"/>
              </w:rPr>
            </w:pPr>
            <w:r w:rsidRPr="00CD364B">
              <w:rPr>
                <w:sz w:val="20"/>
                <w:szCs w:val="20"/>
              </w:rPr>
              <w:t>Braouezec and Joliet (2019)</w:t>
            </w:r>
          </w:p>
        </w:tc>
        <w:tc>
          <w:tcPr>
            <w:tcW w:w="2729" w:type="dxa"/>
          </w:tcPr>
          <w:p w14:paraId="1A3CE71F" w14:textId="0FC31BC8" w:rsidR="00575649" w:rsidRPr="00CD364B" w:rsidRDefault="00575649" w:rsidP="00575649">
            <w:pPr>
              <w:rPr>
                <w:sz w:val="20"/>
                <w:szCs w:val="20"/>
              </w:rPr>
            </w:pPr>
            <w:r w:rsidRPr="00CD364B">
              <w:rPr>
                <w:sz w:val="20"/>
                <w:szCs w:val="20"/>
              </w:rPr>
              <w:t>Germany</w:t>
            </w:r>
          </w:p>
        </w:tc>
        <w:tc>
          <w:tcPr>
            <w:tcW w:w="3025" w:type="dxa"/>
          </w:tcPr>
          <w:p w14:paraId="2D7B3D98" w14:textId="0132AA43" w:rsidR="00575649" w:rsidRPr="00CD364B" w:rsidRDefault="00E47A22" w:rsidP="00575649">
            <w:pPr>
              <w:rPr>
                <w:sz w:val="20"/>
                <w:szCs w:val="20"/>
              </w:rPr>
            </w:pPr>
            <w:r w:rsidRPr="00CD364B">
              <w:rPr>
                <w:sz w:val="20"/>
                <w:szCs w:val="20"/>
              </w:rPr>
              <w:t>NA</w:t>
            </w:r>
          </w:p>
        </w:tc>
        <w:tc>
          <w:tcPr>
            <w:tcW w:w="3061" w:type="dxa"/>
          </w:tcPr>
          <w:p w14:paraId="6BF6C5EF" w14:textId="4B0D7D4E" w:rsidR="00575649" w:rsidRPr="00CD364B" w:rsidRDefault="00575649" w:rsidP="00575649">
            <w:pPr>
              <w:rPr>
                <w:sz w:val="20"/>
                <w:szCs w:val="20"/>
              </w:rPr>
            </w:pPr>
            <w:r w:rsidRPr="00CD364B">
              <w:rPr>
                <w:sz w:val="20"/>
                <w:szCs w:val="20"/>
              </w:rPr>
              <w:t>Real Option Framework</w:t>
            </w:r>
          </w:p>
        </w:tc>
        <w:tc>
          <w:tcPr>
            <w:tcW w:w="3150" w:type="dxa"/>
          </w:tcPr>
          <w:p w14:paraId="75145A3B" w14:textId="5F8CF545" w:rsidR="00575649" w:rsidRPr="00CD364B" w:rsidRDefault="00575649" w:rsidP="00575649">
            <w:pPr>
              <w:rPr>
                <w:sz w:val="20"/>
                <w:szCs w:val="20"/>
              </w:rPr>
            </w:pPr>
            <w:r w:rsidRPr="00CD364B">
              <w:rPr>
                <w:sz w:val="20"/>
                <w:szCs w:val="20"/>
              </w:rPr>
              <w:t xml:space="preserve">Addition of CSR dimension to projects with negative environment </w:t>
            </w:r>
            <w:r w:rsidRPr="00CD364B">
              <w:rPr>
                <w:sz w:val="20"/>
                <w:szCs w:val="20"/>
              </w:rPr>
              <w:lastRenderedPageBreak/>
              <w:t>externalities induces immediate firm investment in CSR activities.</w:t>
            </w:r>
          </w:p>
        </w:tc>
      </w:tr>
      <w:tr w:rsidR="00CD364B" w:rsidRPr="00CD364B" w14:paraId="27DA3C1C" w14:textId="77777777" w:rsidTr="00790448">
        <w:trPr>
          <w:jc w:val="center"/>
        </w:trPr>
        <w:tc>
          <w:tcPr>
            <w:tcW w:w="2859" w:type="dxa"/>
          </w:tcPr>
          <w:p w14:paraId="2ED15BF7" w14:textId="63D514DB" w:rsidR="00575649" w:rsidRPr="00CD364B" w:rsidRDefault="00575649" w:rsidP="00575649">
            <w:pPr>
              <w:rPr>
                <w:sz w:val="20"/>
                <w:szCs w:val="20"/>
              </w:rPr>
            </w:pPr>
            <w:r w:rsidRPr="00CD364B">
              <w:rPr>
                <w:sz w:val="20"/>
                <w:szCs w:val="20"/>
              </w:rPr>
              <w:lastRenderedPageBreak/>
              <w:t>Gianfret and Peri (2019)</w:t>
            </w:r>
          </w:p>
        </w:tc>
        <w:tc>
          <w:tcPr>
            <w:tcW w:w="2729" w:type="dxa"/>
          </w:tcPr>
          <w:p w14:paraId="30C1ED05" w14:textId="008DFE63" w:rsidR="00575649" w:rsidRPr="00CD364B" w:rsidRDefault="00575649" w:rsidP="00575649">
            <w:pPr>
              <w:rPr>
                <w:sz w:val="20"/>
                <w:szCs w:val="20"/>
              </w:rPr>
            </w:pPr>
            <w:r w:rsidRPr="00CD364B">
              <w:rPr>
                <w:sz w:val="20"/>
                <w:szCs w:val="20"/>
              </w:rPr>
              <w:t>Europe</w:t>
            </w:r>
          </w:p>
        </w:tc>
        <w:tc>
          <w:tcPr>
            <w:tcW w:w="3025" w:type="dxa"/>
          </w:tcPr>
          <w:p w14:paraId="1AAEADF0" w14:textId="6264D3DC" w:rsidR="00575649" w:rsidRPr="00CD364B" w:rsidRDefault="00575649" w:rsidP="00575649">
            <w:pPr>
              <w:rPr>
                <w:sz w:val="20"/>
                <w:szCs w:val="20"/>
              </w:rPr>
            </w:pPr>
            <w:r w:rsidRPr="00CD364B">
              <w:rPr>
                <w:sz w:val="20"/>
                <w:szCs w:val="20"/>
              </w:rPr>
              <w:t>2013-2017</w:t>
            </w:r>
          </w:p>
        </w:tc>
        <w:tc>
          <w:tcPr>
            <w:tcW w:w="3061" w:type="dxa"/>
          </w:tcPr>
          <w:p w14:paraId="3A5390DA" w14:textId="51208C18" w:rsidR="00575649" w:rsidRPr="00CD364B" w:rsidRDefault="00575649" w:rsidP="00575649">
            <w:pPr>
              <w:rPr>
                <w:sz w:val="20"/>
                <w:szCs w:val="20"/>
              </w:rPr>
            </w:pPr>
            <w:r w:rsidRPr="00CD364B">
              <w:rPr>
                <w:sz w:val="20"/>
                <w:szCs w:val="20"/>
              </w:rPr>
              <w:t>Propensity Score Matching Approach</w:t>
            </w:r>
          </w:p>
        </w:tc>
        <w:tc>
          <w:tcPr>
            <w:tcW w:w="3150" w:type="dxa"/>
          </w:tcPr>
          <w:p w14:paraId="32E8CBAB" w14:textId="68AB4C9C" w:rsidR="00575649" w:rsidRPr="00CD364B" w:rsidRDefault="00575649" w:rsidP="00575649">
            <w:pPr>
              <w:rPr>
                <w:sz w:val="20"/>
                <w:szCs w:val="20"/>
              </w:rPr>
            </w:pPr>
            <w:r w:rsidRPr="00CD364B">
              <w:rPr>
                <w:sz w:val="20"/>
                <w:szCs w:val="20"/>
              </w:rPr>
              <w:t>Green Bonds are more financially convenient than their non-green contemporaries.</w:t>
            </w:r>
          </w:p>
        </w:tc>
      </w:tr>
      <w:tr w:rsidR="00CD364B" w:rsidRPr="00CD364B" w14:paraId="3B0DF34E" w14:textId="77777777" w:rsidTr="00790448">
        <w:trPr>
          <w:jc w:val="center"/>
        </w:trPr>
        <w:tc>
          <w:tcPr>
            <w:tcW w:w="2859" w:type="dxa"/>
          </w:tcPr>
          <w:p w14:paraId="15E09794" w14:textId="7BF8DB3F" w:rsidR="00575649" w:rsidRPr="00CD364B" w:rsidRDefault="00575649" w:rsidP="00575649">
            <w:pPr>
              <w:rPr>
                <w:sz w:val="20"/>
                <w:szCs w:val="20"/>
              </w:rPr>
            </w:pPr>
            <w:r w:rsidRPr="00CD364B">
              <w:rPr>
                <w:sz w:val="20"/>
                <w:szCs w:val="20"/>
              </w:rPr>
              <w:t>Nasir et.al. (2019)</w:t>
            </w:r>
          </w:p>
        </w:tc>
        <w:tc>
          <w:tcPr>
            <w:tcW w:w="2729" w:type="dxa"/>
          </w:tcPr>
          <w:p w14:paraId="6423BAD1" w14:textId="15000470" w:rsidR="00575649" w:rsidRPr="00CD364B" w:rsidRDefault="00575649" w:rsidP="00575649">
            <w:pPr>
              <w:rPr>
                <w:sz w:val="20"/>
                <w:szCs w:val="20"/>
              </w:rPr>
            </w:pPr>
            <w:r w:rsidRPr="00CD364B">
              <w:rPr>
                <w:sz w:val="20"/>
                <w:szCs w:val="20"/>
              </w:rPr>
              <w:t>ASEAN Countries</w:t>
            </w:r>
          </w:p>
        </w:tc>
        <w:tc>
          <w:tcPr>
            <w:tcW w:w="3025" w:type="dxa"/>
          </w:tcPr>
          <w:p w14:paraId="49C2CAA7" w14:textId="3CB6FC9A" w:rsidR="00575649" w:rsidRPr="00CD364B" w:rsidRDefault="00575649" w:rsidP="00575649">
            <w:pPr>
              <w:rPr>
                <w:sz w:val="20"/>
                <w:szCs w:val="20"/>
              </w:rPr>
            </w:pPr>
            <w:r w:rsidRPr="00CD364B">
              <w:rPr>
                <w:sz w:val="20"/>
                <w:szCs w:val="20"/>
              </w:rPr>
              <w:t>1982-2014</w:t>
            </w:r>
          </w:p>
        </w:tc>
        <w:tc>
          <w:tcPr>
            <w:tcW w:w="3061" w:type="dxa"/>
          </w:tcPr>
          <w:p w14:paraId="50E543A1" w14:textId="53057776" w:rsidR="00575649" w:rsidRPr="00CD364B" w:rsidRDefault="00575649" w:rsidP="00575649">
            <w:pPr>
              <w:rPr>
                <w:sz w:val="20"/>
                <w:szCs w:val="20"/>
              </w:rPr>
            </w:pPr>
            <w:proofErr w:type="gramStart"/>
            <w:r w:rsidRPr="00CD364B">
              <w:rPr>
                <w:sz w:val="20"/>
                <w:szCs w:val="20"/>
              </w:rPr>
              <w:t>FMOLS  and</w:t>
            </w:r>
            <w:proofErr w:type="gramEnd"/>
            <w:r w:rsidRPr="00CD364B">
              <w:rPr>
                <w:sz w:val="20"/>
                <w:szCs w:val="20"/>
              </w:rPr>
              <w:t xml:space="preserve"> DOLS approach</w:t>
            </w:r>
          </w:p>
        </w:tc>
        <w:tc>
          <w:tcPr>
            <w:tcW w:w="3150" w:type="dxa"/>
          </w:tcPr>
          <w:p w14:paraId="066064F6" w14:textId="13C4C9B4" w:rsidR="00575649" w:rsidRPr="00CD364B" w:rsidRDefault="00575649" w:rsidP="00575649">
            <w:pPr>
              <w:rPr>
                <w:sz w:val="20"/>
                <w:szCs w:val="20"/>
              </w:rPr>
            </w:pPr>
            <w:r w:rsidRPr="00CD364B">
              <w:rPr>
                <w:sz w:val="20"/>
                <w:szCs w:val="20"/>
              </w:rPr>
              <w:t>Economic growth, FDI and financial development leads to environmental degradation.</w:t>
            </w:r>
          </w:p>
        </w:tc>
      </w:tr>
      <w:tr w:rsidR="00CD364B" w:rsidRPr="00CD364B" w14:paraId="7BD3558C" w14:textId="77777777" w:rsidTr="00790448">
        <w:trPr>
          <w:jc w:val="center"/>
        </w:trPr>
        <w:tc>
          <w:tcPr>
            <w:tcW w:w="2859" w:type="dxa"/>
          </w:tcPr>
          <w:p w14:paraId="6E3288FE" w14:textId="76EB4D9F" w:rsidR="00575649" w:rsidRPr="00CD364B" w:rsidRDefault="00575649" w:rsidP="00575649">
            <w:pPr>
              <w:rPr>
                <w:sz w:val="20"/>
                <w:szCs w:val="20"/>
              </w:rPr>
            </w:pPr>
            <w:r w:rsidRPr="00CD364B">
              <w:rPr>
                <w:sz w:val="20"/>
                <w:szCs w:val="20"/>
              </w:rPr>
              <w:t>Zerbib (2019)</w:t>
            </w:r>
          </w:p>
        </w:tc>
        <w:tc>
          <w:tcPr>
            <w:tcW w:w="2729" w:type="dxa"/>
          </w:tcPr>
          <w:p w14:paraId="23BE77E1" w14:textId="2BF5F465" w:rsidR="00575649" w:rsidRPr="00CD364B" w:rsidRDefault="00575649" w:rsidP="00575649">
            <w:pPr>
              <w:rPr>
                <w:sz w:val="20"/>
                <w:szCs w:val="20"/>
              </w:rPr>
            </w:pPr>
            <w:r w:rsidRPr="00CD364B">
              <w:rPr>
                <w:sz w:val="20"/>
                <w:szCs w:val="20"/>
              </w:rPr>
              <w:t>Global data</w:t>
            </w:r>
          </w:p>
        </w:tc>
        <w:tc>
          <w:tcPr>
            <w:tcW w:w="3025" w:type="dxa"/>
          </w:tcPr>
          <w:p w14:paraId="5D09B31A" w14:textId="4E0252EC" w:rsidR="00575649" w:rsidRPr="00CD364B" w:rsidRDefault="00575649" w:rsidP="00575649">
            <w:pPr>
              <w:rPr>
                <w:sz w:val="20"/>
                <w:szCs w:val="20"/>
              </w:rPr>
            </w:pPr>
            <w:r w:rsidRPr="00CD364B">
              <w:rPr>
                <w:sz w:val="20"/>
                <w:szCs w:val="20"/>
              </w:rPr>
              <w:t>2013-2017</w:t>
            </w:r>
          </w:p>
        </w:tc>
        <w:tc>
          <w:tcPr>
            <w:tcW w:w="3061" w:type="dxa"/>
          </w:tcPr>
          <w:p w14:paraId="5828C768" w14:textId="77F5D77A" w:rsidR="00575649" w:rsidRPr="00CD364B" w:rsidRDefault="00575649" w:rsidP="00575649">
            <w:pPr>
              <w:rPr>
                <w:sz w:val="20"/>
                <w:szCs w:val="20"/>
              </w:rPr>
            </w:pPr>
            <w:r w:rsidRPr="00CD364B">
              <w:rPr>
                <w:sz w:val="20"/>
                <w:szCs w:val="20"/>
              </w:rPr>
              <w:t>Matching Method and two step regression procedure</w:t>
            </w:r>
          </w:p>
        </w:tc>
        <w:tc>
          <w:tcPr>
            <w:tcW w:w="3150" w:type="dxa"/>
          </w:tcPr>
          <w:p w14:paraId="2F76CE41" w14:textId="2D5864F3" w:rsidR="00575649" w:rsidRPr="00CD364B" w:rsidRDefault="00575649" w:rsidP="00575649">
            <w:pPr>
              <w:rPr>
                <w:sz w:val="20"/>
                <w:szCs w:val="20"/>
              </w:rPr>
            </w:pPr>
            <w:r w:rsidRPr="00CD364B">
              <w:rPr>
                <w:sz w:val="20"/>
                <w:szCs w:val="20"/>
              </w:rPr>
              <w:t>Low impact of investor’s pro-environmental preference on green bond prices.</w:t>
            </w:r>
          </w:p>
        </w:tc>
      </w:tr>
      <w:tr w:rsidR="00CD364B" w:rsidRPr="00CD364B" w14:paraId="04C26E9E" w14:textId="77777777" w:rsidTr="00790448">
        <w:trPr>
          <w:jc w:val="center"/>
        </w:trPr>
        <w:tc>
          <w:tcPr>
            <w:tcW w:w="2859" w:type="dxa"/>
          </w:tcPr>
          <w:p w14:paraId="7585D611" w14:textId="0C4F92A3" w:rsidR="00575649" w:rsidRPr="00CD364B" w:rsidRDefault="00575649" w:rsidP="00575649">
            <w:pPr>
              <w:rPr>
                <w:sz w:val="20"/>
                <w:szCs w:val="20"/>
                <w:highlight w:val="yellow"/>
              </w:rPr>
            </w:pPr>
            <w:r w:rsidRPr="00CD364B">
              <w:rPr>
                <w:sz w:val="20"/>
                <w:szCs w:val="20"/>
              </w:rPr>
              <w:t>Zhou and Cui (2019)</w:t>
            </w:r>
          </w:p>
        </w:tc>
        <w:tc>
          <w:tcPr>
            <w:tcW w:w="2729" w:type="dxa"/>
          </w:tcPr>
          <w:p w14:paraId="2A722DE8" w14:textId="63B92CDD" w:rsidR="00575649" w:rsidRPr="00CD364B" w:rsidRDefault="00575649" w:rsidP="00575649">
            <w:pPr>
              <w:rPr>
                <w:sz w:val="20"/>
                <w:szCs w:val="20"/>
                <w:highlight w:val="yellow"/>
              </w:rPr>
            </w:pPr>
            <w:r w:rsidRPr="00CD364B">
              <w:rPr>
                <w:sz w:val="20"/>
                <w:szCs w:val="20"/>
              </w:rPr>
              <w:t>China</w:t>
            </w:r>
          </w:p>
        </w:tc>
        <w:tc>
          <w:tcPr>
            <w:tcW w:w="3025" w:type="dxa"/>
          </w:tcPr>
          <w:p w14:paraId="7957EE20" w14:textId="51FAF639" w:rsidR="00575649" w:rsidRPr="00CD364B" w:rsidRDefault="00575649" w:rsidP="00575649">
            <w:pPr>
              <w:rPr>
                <w:sz w:val="20"/>
                <w:szCs w:val="20"/>
              </w:rPr>
            </w:pPr>
            <w:r w:rsidRPr="00CD364B">
              <w:rPr>
                <w:sz w:val="20"/>
                <w:szCs w:val="20"/>
              </w:rPr>
              <w:t>2016-2019</w:t>
            </w:r>
          </w:p>
        </w:tc>
        <w:tc>
          <w:tcPr>
            <w:tcW w:w="3061" w:type="dxa"/>
          </w:tcPr>
          <w:p w14:paraId="3D574174" w14:textId="23C4BDAE" w:rsidR="00575649" w:rsidRPr="00CD364B" w:rsidRDefault="00575649" w:rsidP="00575649">
            <w:pPr>
              <w:rPr>
                <w:sz w:val="20"/>
                <w:szCs w:val="20"/>
              </w:rPr>
            </w:pPr>
            <w:r w:rsidRPr="00CD364B">
              <w:rPr>
                <w:sz w:val="20"/>
                <w:szCs w:val="20"/>
              </w:rPr>
              <w:t>Event Study Approach</w:t>
            </w:r>
          </w:p>
        </w:tc>
        <w:tc>
          <w:tcPr>
            <w:tcW w:w="3150" w:type="dxa"/>
          </w:tcPr>
          <w:p w14:paraId="5776D47C" w14:textId="4DAD6EF0" w:rsidR="00575649" w:rsidRPr="00CD364B" w:rsidRDefault="00575649" w:rsidP="00575649">
            <w:pPr>
              <w:rPr>
                <w:sz w:val="20"/>
                <w:szCs w:val="20"/>
              </w:rPr>
            </w:pPr>
            <w:r w:rsidRPr="00CD364B">
              <w:rPr>
                <w:sz w:val="20"/>
                <w:szCs w:val="20"/>
              </w:rPr>
              <w:t>Issuance of green bonds positively influence companies’ financial performance and CSR activities.</w:t>
            </w:r>
          </w:p>
        </w:tc>
      </w:tr>
      <w:tr w:rsidR="00CD364B" w:rsidRPr="00CD364B" w14:paraId="52516001" w14:textId="77777777" w:rsidTr="00790448">
        <w:trPr>
          <w:jc w:val="center"/>
        </w:trPr>
        <w:tc>
          <w:tcPr>
            <w:tcW w:w="2859" w:type="dxa"/>
          </w:tcPr>
          <w:p w14:paraId="31E6FA31" w14:textId="4FCFEF36" w:rsidR="00575649" w:rsidRPr="00CD364B" w:rsidRDefault="00575649" w:rsidP="00575649">
            <w:pPr>
              <w:rPr>
                <w:b/>
                <w:bCs/>
                <w:sz w:val="20"/>
                <w:szCs w:val="20"/>
              </w:rPr>
            </w:pPr>
            <w:r w:rsidRPr="00CD364B">
              <w:rPr>
                <w:sz w:val="20"/>
                <w:szCs w:val="20"/>
              </w:rPr>
              <w:t>Buhari et al. (2020)</w:t>
            </w:r>
          </w:p>
        </w:tc>
        <w:tc>
          <w:tcPr>
            <w:tcW w:w="2729" w:type="dxa"/>
          </w:tcPr>
          <w:p w14:paraId="0519031F" w14:textId="70215220" w:rsidR="00575649" w:rsidRPr="00CD364B" w:rsidRDefault="00575649" w:rsidP="00575649">
            <w:pPr>
              <w:rPr>
                <w:sz w:val="20"/>
                <w:szCs w:val="20"/>
              </w:rPr>
            </w:pPr>
            <w:r w:rsidRPr="00CD364B">
              <w:rPr>
                <w:sz w:val="20"/>
                <w:szCs w:val="20"/>
              </w:rPr>
              <w:t>Europe</w:t>
            </w:r>
          </w:p>
        </w:tc>
        <w:tc>
          <w:tcPr>
            <w:tcW w:w="3025" w:type="dxa"/>
          </w:tcPr>
          <w:p w14:paraId="2B995D28" w14:textId="49587EAD" w:rsidR="00575649" w:rsidRPr="00CD364B" w:rsidRDefault="00575649" w:rsidP="00575649">
            <w:pPr>
              <w:rPr>
                <w:sz w:val="20"/>
                <w:szCs w:val="20"/>
              </w:rPr>
            </w:pPr>
            <w:r w:rsidRPr="00CD364B">
              <w:rPr>
                <w:sz w:val="20"/>
                <w:szCs w:val="20"/>
              </w:rPr>
              <w:t>1995-2014</w:t>
            </w:r>
          </w:p>
        </w:tc>
        <w:tc>
          <w:tcPr>
            <w:tcW w:w="3061" w:type="dxa"/>
          </w:tcPr>
          <w:p w14:paraId="35979768" w14:textId="63007FCC" w:rsidR="00575649" w:rsidRPr="00CD364B" w:rsidRDefault="00575649" w:rsidP="00575649">
            <w:pPr>
              <w:rPr>
                <w:sz w:val="20"/>
                <w:szCs w:val="20"/>
              </w:rPr>
            </w:pPr>
            <w:r w:rsidRPr="00CD364B">
              <w:rPr>
                <w:sz w:val="20"/>
                <w:szCs w:val="20"/>
              </w:rPr>
              <w:t>Panel Quantile Regression</w:t>
            </w:r>
          </w:p>
        </w:tc>
        <w:tc>
          <w:tcPr>
            <w:tcW w:w="3150" w:type="dxa"/>
          </w:tcPr>
          <w:p w14:paraId="13983C63" w14:textId="2533A3DB" w:rsidR="00575649" w:rsidRPr="00CD364B" w:rsidRDefault="00575649" w:rsidP="00575649">
            <w:pPr>
              <w:rPr>
                <w:sz w:val="20"/>
                <w:szCs w:val="20"/>
              </w:rPr>
            </w:pPr>
            <w:r w:rsidRPr="00CD364B">
              <w:rPr>
                <w:sz w:val="20"/>
                <w:szCs w:val="20"/>
              </w:rPr>
              <w:t xml:space="preserve">Renewable energy consumption is more effective on economic growth as compared to the non-renewable energies. </w:t>
            </w:r>
          </w:p>
        </w:tc>
      </w:tr>
      <w:tr w:rsidR="00CD364B" w:rsidRPr="00CD364B" w14:paraId="05530610" w14:textId="77777777" w:rsidTr="00790448">
        <w:trPr>
          <w:jc w:val="center"/>
        </w:trPr>
        <w:tc>
          <w:tcPr>
            <w:tcW w:w="2859" w:type="dxa"/>
          </w:tcPr>
          <w:p w14:paraId="16DCEF7E" w14:textId="77777777" w:rsidR="00575649" w:rsidRPr="00CD364B" w:rsidRDefault="00575649" w:rsidP="00575649">
            <w:pPr>
              <w:rPr>
                <w:sz w:val="20"/>
                <w:szCs w:val="20"/>
              </w:rPr>
            </w:pPr>
            <w:r w:rsidRPr="00CD364B">
              <w:rPr>
                <w:sz w:val="20"/>
                <w:szCs w:val="20"/>
              </w:rPr>
              <w:t>Flammer (2020)</w:t>
            </w:r>
          </w:p>
        </w:tc>
        <w:tc>
          <w:tcPr>
            <w:tcW w:w="2729" w:type="dxa"/>
          </w:tcPr>
          <w:p w14:paraId="34DC622E" w14:textId="0C4B1458" w:rsidR="00575649" w:rsidRPr="00CD364B" w:rsidRDefault="00575649" w:rsidP="00575649">
            <w:pPr>
              <w:rPr>
                <w:sz w:val="20"/>
                <w:szCs w:val="20"/>
              </w:rPr>
            </w:pPr>
            <w:r w:rsidRPr="00CD364B">
              <w:rPr>
                <w:sz w:val="20"/>
                <w:szCs w:val="20"/>
              </w:rPr>
              <w:t>The USA</w:t>
            </w:r>
          </w:p>
        </w:tc>
        <w:tc>
          <w:tcPr>
            <w:tcW w:w="3025" w:type="dxa"/>
          </w:tcPr>
          <w:p w14:paraId="05AF5B67" w14:textId="47E65238" w:rsidR="00575649" w:rsidRPr="00CD364B" w:rsidRDefault="00575649" w:rsidP="00575649">
            <w:pPr>
              <w:rPr>
                <w:sz w:val="20"/>
                <w:szCs w:val="20"/>
              </w:rPr>
            </w:pPr>
            <w:r w:rsidRPr="00CD364B">
              <w:rPr>
                <w:sz w:val="20"/>
                <w:szCs w:val="20"/>
              </w:rPr>
              <w:t>2007-2018</w:t>
            </w:r>
          </w:p>
        </w:tc>
        <w:tc>
          <w:tcPr>
            <w:tcW w:w="3061" w:type="dxa"/>
          </w:tcPr>
          <w:p w14:paraId="335225FB" w14:textId="77777777" w:rsidR="00575649" w:rsidRPr="00CD364B" w:rsidRDefault="00575649" w:rsidP="00575649">
            <w:pPr>
              <w:rPr>
                <w:sz w:val="20"/>
                <w:szCs w:val="20"/>
              </w:rPr>
            </w:pPr>
            <w:r w:rsidRPr="00CD364B">
              <w:rPr>
                <w:sz w:val="20"/>
                <w:szCs w:val="20"/>
              </w:rPr>
              <w:t>Event Based Study</w:t>
            </w:r>
          </w:p>
        </w:tc>
        <w:tc>
          <w:tcPr>
            <w:tcW w:w="3150" w:type="dxa"/>
          </w:tcPr>
          <w:p w14:paraId="7187E46C" w14:textId="77777777" w:rsidR="00575649" w:rsidRPr="00CD364B" w:rsidRDefault="00575649" w:rsidP="00575649">
            <w:pPr>
              <w:rPr>
                <w:sz w:val="20"/>
                <w:szCs w:val="20"/>
              </w:rPr>
            </w:pPr>
            <w:r w:rsidRPr="00CD364B">
              <w:rPr>
                <w:sz w:val="20"/>
                <w:szCs w:val="20"/>
              </w:rPr>
              <w:t>Observed strong linkage between companies’ financial and environmental performance and the issuance of green bond.</w:t>
            </w:r>
          </w:p>
        </w:tc>
      </w:tr>
      <w:tr w:rsidR="00CD364B" w:rsidRPr="00CD364B" w14:paraId="118C297B" w14:textId="77777777" w:rsidTr="00790448">
        <w:trPr>
          <w:jc w:val="center"/>
        </w:trPr>
        <w:tc>
          <w:tcPr>
            <w:tcW w:w="2859" w:type="dxa"/>
          </w:tcPr>
          <w:p w14:paraId="5D1C4CFB" w14:textId="6FE8B5C4" w:rsidR="00575649" w:rsidRPr="00CD364B" w:rsidRDefault="00575649" w:rsidP="00575649">
            <w:pPr>
              <w:rPr>
                <w:sz w:val="20"/>
                <w:szCs w:val="20"/>
              </w:rPr>
            </w:pPr>
            <w:r w:rsidRPr="00CD364B">
              <w:rPr>
                <w:sz w:val="20"/>
                <w:szCs w:val="20"/>
              </w:rPr>
              <w:t>Huynh et al. (2020)</w:t>
            </w:r>
          </w:p>
        </w:tc>
        <w:tc>
          <w:tcPr>
            <w:tcW w:w="2729" w:type="dxa"/>
          </w:tcPr>
          <w:p w14:paraId="21C229BA" w14:textId="5B6F4444" w:rsidR="00575649" w:rsidRPr="00CD364B" w:rsidRDefault="00575649" w:rsidP="00575649">
            <w:pPr>
              <w:rPr>
                <w:sz w:val="20"/>
                <w:szCs w:val="20"/>
              </w:rPr>
            </w:pPr>
            <w:r w:rsidRPr="00CD364B">
              <w:rPr>
                <w:sz w:val="20"/>
                <w:szCs w:val="20"/>
              </w:rPr>
              <w:t>The USA</w:t>
            </w:r>
          </w:p>
        </w:tc>
        <w:tc>
          <w:tcPr>
            <w:tcW w:w="3025" w:type="dxa"/>
          </w:tcPr>
          <w:p w14:paraId="30C797AB" w14:textId="0D689A3F" w:rsidR="00575649" w:rsidRPr="00CD364B" w:rsidRDefault="00575649" w:rsidP="00575649">
            <w:pPr>
              <w:rPr>
                <w:sz w:val="20"/>
                <w:szCs w:val="20"/>
              </w:rPr>
            </w:pPr>
            <w:r w:rsidRPr="00CD364B">
              <w:rPr>
                <w:sz w:val="20"/>
                <w:szCs w:val="20"/>
              </w:rPr>
              <w:t>2017-2020</w:t>
            </w:r>
          </w:p>
        </w:tc>
        <w:tc>
          <w:tcPr>
            <w:tcW w:w="3061" w:type="dxa"/>
          </w:tcPr>
          <w:p w14:paraId="74123F74" w14:textId="00F21ACA" w:rsidR="00575649" w:rsidRPr="00CD364B" w:rsidRDefault="00575649" w:rsidP="00575649">
            <w:pPr>
              <w:rPr>
                <w:sz w:val="20"/>
                <w:szCs w:val="20"/>
              </w:rPr>
            </w:pPr>
            <w:r w:rsidRPr="00CD364B">
              <w:rPr>
                <w:sz w:val="20"/>
                <w:szCs w:val="20"/>
              </w:rPr>
              <w:t>Copulas and Generalised Forecast Error Variance Decomposition</w:t>
            </w:r>
          </w:p>
        </w:tc>
        <w:tc>
          <w:tcPr>
            <w:tcW w:w="3150" w:type="dxa"/>
          </w:tcPr>
          <w:p w14:paraId="7B193827" w14:textId="62FA57D3" w:rsidR="00575649" w:rsidRPr="00CD364B" w:rsidRDefault="00575649" w:rsidP="00575649">
            <w:pPr>
              <w:rPr>
                <w:sz w:val="20"/>
                <w:szCs w:val="20"/>
              </w:rPr>
            </w:pPr>
            <w:r w:rsidRPr="00CD364B">
              <w:rPr>
                <w:sz w:val="20"/>
                <w:szCs w:val="20"/>
              </w:rPr>
              <w:t>Observed potential safe haven properties of green bond assets.</w:t>
            </w:r>
          </w:p>
        </w:tc>
      </w:tr>
      <w:tr w:rsidR="00CD364B" w:rsidRPr="00CD364B" w14:paraId="39547551" w14:textId="77777777" w:rsidTr="00790448">
        <w:trPr>
          <w:jc w:val="center"/>
        </w:trPr>
        <w:tc>
          <w:tcPr>
            <w:tcW w:w="2859" w:type="dxa"/>
          </w:tcPr>
          <w:p w14:paraId="3004C95E" w14:textId="35B54E8A" w:rsidR="00E918DE" w:rsidRPr="00CD364B" w:rsidRDefault="00E918DE" w:rsidP="00E918DE">
            <w:pPr>
              <w:rPr>
                <w:sz w:val="20"/>
                <w:szCs w:val="20"/>
              </w:rPr>
            </w:pPr>
            <w:r w:rsidRPr="00CD364B">
              <w:rPr>
                <w:sz w:val="20"/>
                <w:szCs w:val="20"/>
              </w:rPr>
              <w:t>Karyawati et al. (2020)</w:t>
            </w:r>
          </w:p>
        </w:tc>
        <w:tc>
          <w:tcPr>
            <w:tcW w:w="2729" w:type="dxa"/>
          </w:tcPr>
          <w:p w14:paraId="42ADED45" w14:textId="0792C7CC" w:rsidR="00E918DE" w:rsidRPr="00CD364B" w:rsidRDefault="00E918DE" w:rsidP="00E918DE">
            <w:pPr>
              <w:rPr>
                <w:sz w:val="20"/>
                <w:szCs w:val="20"/>
              </w:rPr>
            </w:pPr>
            <w:r w:rsidRPr="00CD364B">
              <w:rPr>
                <w:sz w:val="20"/>
                <w:szCs w:val="20"/>
              </w:rPr>
              <w:t>Indonesia</w:t>
            </w:r>
          </w:p>
        </w:tc>
        <w:tc>
          <w:tcPr>
            <w:tcW w:w="3025" w:type="dxa"/>
          </w:tcPr>
          <w:p w14:paraId="25744CE8" w14:textId="25079169" w:rsidR="00E918DE" w:rsidRPr="00CD364B" w:rsidRDefault="00E918DE" w:rsidP="00E918DE">
            <w:pPr>
              <w:rPr>
                <w:sz w:val="20"/>
                <w:szCs w:val="20"/>
              </w:rPr>
            </w:pPr>
            <w:r w:rsidRPr="00CD364B">
              <w:rPr>
                <w:sz w:val="20"/>
                <w:szCs w:val="20"/>
              </w:rPr>
              <w:t>1998-2017</w:t>
            </w:r>
          </w:p>
        </w:tc>
        <w:tc>
          <w:tcPr>
            <w:tcW w:w="3061" w:type="dxa"/>
          </w:tcPr>
          <w:p w14:paraId="79B715C7" w14:textId="2E623ABE" w:rsidR="00E918DE" w:rsidRPr="00CD364B" w:rsidRDefault="00E918DE" w:rsidP="00E918DE">
            <w:pPr>
              <w:rPr>
                <w:sz w:val="20"/>
                <w:szCs w:val="20"/>
              </w:rPr>
            </w:pPr>
            <w:r w:rsidRPr="00CD364B">
              <w:rPr>
                <w:sz w:val="20"/>
                <w:szCs w:val="20"/>
              </w:rPr>
              <w:t>Meta-analysis integrating 55 different contexts with correlation coefficients as the effect size</w:t>
            </w:r>
          </w:p>
        </w:tc>
        <w:tc>
          <w:tcPr>
            <w:tcW w:w="3150" w:type="dxa"/>
          </w:tcPr>
          <w:p w14:paraId="7FCB67A7" w14:textId="09745D73" w:rsidR="00E918DE" w:rsidRPr="00CD364B" w:rsidRDefault="00E918DE" w:rsidP="00E918DE">
            <w:pPr>
              <w:rPr>
                <w:sz w:val="20"/>
                <w:szCs w:val="20"/>
              </w:rPr>
            </w:pPr>
            <w:r w:rsidRPr="00CD364B">
              <w:rPr>
                <w:sz w:val="20"/>
                <w:szCs w:val="20"/>
              </w:rPr>
              <w:t>Various dimensions like country characteristics, forms of CSR, CSR and financial performance measurements define complex nature of relationship between CSR practices and financial performance.</w:t>
            </w:r>
          </w:p>
        </w:tc>
      </w:tr>
      <w:tr w:rsidR="00CD364B" w:rsidRPr="00CD364B" w14:paraId="1A63901D" w14:textId="77777777" w:rsidTr="00790448">
        <w:trPr>
          <w:jc w:val="center"/>
        </w:trPr>
        <w:tc>
          <w:tcPr>
            <w:tcW w:w="2859" w:type="dxa"/>
          </w:tcPr>
          <w:p w14:paraId="49200A28" w14:textId="4043136C" w:rsidR="00E918DE" w:rsidRPr="00CD364B" w:rsidRDefault="00E918DE" w:rsidP="00E918DE">
            <w:pPr>
              <w:rPr>
                <w:sz w:val="20"/>
                <w:szCs w:val="20"/>
              </w:rPr>
            </w:pPr>
            <w:r w:rsidRPr="00CD364B">
              <w:rPr>
                <w:sz w:val="20"/>
                <w:szCs w:val="20"/>
              </w:rPr>
              <w:t>Kovilage (2020)</w:t>
            </w:r>
          </w:p>
        </w:tc>
        <w:tc>
          <w:tcPr>
            <w:tcW w:w="2729" w:type="dxa"/>
          </w:tcPr>
          <w:p w14:paraId="6D327C64" w14:textId="3416634A" w:rsidR="00E918DE" w:rsidRPr="00CD364B" w:rsidRDefault="00E918DE" w:rsidP="00E918DE">
            <w:pPr>
              <w:rPr>
                <w:sz w:val="20"/>
                <w:szCs w:val="20"/>
              </w:rPr>
            </w:pPr>
            <w:r w:rsidRPr="00CD364B">
              <w:rPr>
                <w:sz w:val="20"/>
                <w:szCs w:val="20"/>
              </w:rPr>
              <w:t>Sri Lanka</w:t>
            </w:r>
          </w:p>
        </w:tc>
        <w:tc>
          <w:tcPr>
            <w:tcW w:w="3025" w:type="dxa"/>
          </w:tcPr>
          <w:p w14:paraId="44DAFCB1" w14:textId="116764C4" w:rsidR="00E918DE" w:rsidRPr="00CD364B" w:rsidRDefault="00E918DE" w:rsidP="00E918DE">
            <w:pPr>
              <w:rPr>
                <w:sz w:val="20"/>
                <w:szCs w:val="20"/>
              </w:rPr>
            </w:pPr>
            <w:r w:rsidRPr="00CD364B">
              <w:rPr>
                <w:sz w:val="20"/>
                <w:szCs w:val="20"/>
              </w:rPr>
              <w:t>NA</w:t>
            </w:r>
          </w:p>
        </w:tc>
        <w:tc>
          <w:tcPr>
            <w:tcW w:w="3061" w:type="dxa"/>
          </w:tcPr>
          <w:p w14:paraId="201CEF97" w14:textId="59EBCB19" w:rsidR="00E918DE" w:rsidRPr="00CD364B" w:rsidRDefault="00E918DE" w:rsidP="00E918DE">
            <w:pPr>
              <w:rPr>
                <w:sz w:val="20"/>
                <w:szCs w:val="20"/>
              </w:rPr>
            </w:pPr>
            <w:r w:rsidRPr="00CD364B">
              <w:rPr>
                <w:sz w:val="20"/>
                <w:szCs w:val="20"/>
              </w:rPr>
              <w:t>Interpretive Structural Modelling Technique</w:t>
            </w:r>
          </w:p>
        </w:tc>
        <w:tc>
          <w:tcPr>
            <w:tcW w:w="3150" w:type="dxa"/>
          </w:tcPr>
          <w:p w14:paraId="11202CCE" w14:textId="45DB6748" w:rsidR="00E918DE" w:rsidRPr="00CD364B" w:rsidRDefault="00E918DE" w:rsidP="00E918DE">
            <w:pPr>
              <w:rPr>
                <w:sz w:val="20"/>
                <w:szCs w:val="20"/>
              </w:rPr>
            </w:pPr>
            <w:r w:rsidRPr="00CD364B">
              <w:rPr>
                <w:sz w:val="20"/>
                <w:szCs w:val="20"/>
              </w:rPr>
              <w:t>Observed strong effect of lean practices on green practices which in turn significantly influence sustainable performance measures.</w:t>
            </w:r>
          </w:p>
        </w:tc>
      </w:tr>
      <w:tr w:rsidR="00CD364B" w:rsidRPr="00CD364B" w14:paraId="32AA33B4" w14:textId="77777777" w:rsidTr="00790448">
        <w:trPr>
          <w:jc w:val="center"/>
        </w:trPr>
        <w:tc>
          <w:tcPr>
            <w:tcW w:w="2859" w:type="dxa"/>
          </w:tcPr>
          <w:p w14:paraId="163E7446" w14:textId="287B0407" w:rsidR="00E918DE" w:rsidRPr="00CD364B" w:rsidRDefault="00E918DE" w:rsidP="00E918DE">
            <w:pPr>
              <w:rPr>
                <w:sz w:val="20"/>
                <w:szCs w:val="20"/>
              </w:rPr>
            </w:pPr>
            <w:r w:rsidRPr="00CD364B">
              <w:rPr>
                <w:sz w:val="20"/>
                <w:szCs w:val="20"/>
              </w:rPr>
              <w:lastRenderedPageBreak/>
              <w:t>Pham et al. (2020)</w:t>
            </w:r>
          </w:p>
        </w:tc>
        <w:tc>
          <w:tcPr>
            <w:tcW w:w="2729" w:type="dxa"/>
          </w:tcPr>
          <w:p w14:paraId="74FF50C8" w14:textId="13146CC6" w:rsidR="00E918DE" w:rsidRPr="00CD364B" w:rsidRDefault="00E918DE" w:rsidP="00E918DE">
            <w:pPr>
              <w:rPr>
                <w:sz w:val="20"/>
                <w:szCs w:val="20"/>
              </w:rPr>
            </w:pPr>
            <w:r w:rsidRPr="00CD364B">
              <w:rPr>
                <w:sz w:val="20"/>
                <w:szCs w:val="20"/>
              </w:rPr>
              <w:t>Europe</w:t>
            </w:r>
          </w:p>
        </w:tc>
        <w:tc>
          <w:tcPr>
            <w:tcW w:w="3025" w:type="dxa"/>
          </w:tcPr>
          <w:p w14:paraId="01CB0112" w14:textId="119D9D5B" w:rsidR="00E918DE" w:rsidRPr="00CD364B" w:rsidRDefault="00E918DE" w:rsidP="00E918DE">
            <w:pPr>
              <w:rPr>
                <w:sz w:val="20"/>
                <w:szCs w:val="20"/>
              </w:rPr>
            </w:pPr>
            <w:r w:rsidRPr="00CD364B">
              <w:rPr>
                <w:sz w:val="20"/>
                <w:szCs w:val="20"/>
              </w:rPr>
              <w:t>1990-2014</w:t>
            </w:r>
          </w:p>
        </w:tc>
        <w:tc>
          <w:tcPr>
            <w:tcW w:w="3061" w:type="dxa"/>
          </w:tcPr>
          <w:p w14:paraId="63F4BF1E" w14:textId="66AA7317" w:rsidR="00E918DE" w:rsidRPr="00CD364B" w:rsidRDefault="00E918DE" w:rsidP="00E918DE">
            <w:pPr>
              <w:rPr>
                <w:sz w:val="20"/>
                <w:szCs w:val="20"/>
              </w:rPr>
            </w:pPr>
            <w:r w:rsidRPr="00CD364B">
              <w:rPr>
                <w:sz w:val="20"/>
                <w:szCs w:val="20"/>
              </w:rPr>
              <w:t>Panel VAR and FMOLS</w:t>
            </w:r>
          </w:p>
        </w:tc>
        <w:tc>
          <w:tcPr>
            <w:tcW w:w="3150" w:type="dxa"/>
          </w:tcPr>
          <w:p w14:paraId="3F54C8DA" w14:textId="340E1AB0" w:rsidR="00E918DE" w:rsidRPr="00CD364B" w:rsidRDefault="00E918DE" w:rsidP="00E918DE">
            <w:pPr>
              <w:rPr>
                <w:sz w:val="20"/>
                <w:szCs w:val="20"/>
              </w:rPr>
            </w:pPr>
            <w:r w:rsidRPr="00CD364B">
              <w:rPr>
                <w:sz w:val="20"/>
                <w:szCs w:val="20"/>
              </w:rPr>
              <w:t>Observed role of economic factors in enhancing environmental degradation. The sociological factors like population growth and urbanisation have negative effect in short run and positive effect in the long run. The renewable energy factors are instrumental in reducing carbon emission levels.</w:t>
            </w:r>
          </w:p>
        </w:tc>
      </w:tr>
      <w:tr w:rsidR="00CD364B" w:rsidRPr="00CD364B" w14:paraId="5FFB41F7" w14:textId="77777777" w:rsidTr="00790448">
        <w:trPr>
          <w:jc w:val="center"/>
        </w:trPr>
        <w:tc>
          <w:tcPr>
            <w:tcW w:w="2859" w:type="dxa"/>
          </w:tcPr>
          <w:p w14:paraId="789C61A1" w14:textId="0F5959B8" w:rsidR="00E918DE" w:rsidRPr="00CD364B" w:rsidRDefault="00E918DE" w:rsidP="00E918DE">
            <w:pPr>
              <w:rPr>
                <w:sz w:val="20"/>
                <w:szCs w:val="20"/>
              </w:rPr>
            </w:pPr>
            <w:r w:rsidRPr="00CD364B">
              <w:rPr>
                <w:sz w:val="20"/>
                <w:szCs w:val="20"/>
              </w:rPr>
              <w:t>Pham L and Huynh T.L.D (2020)</w:t>
            </w:r>
          </w:p>
        </w:tc>
        <w:tc>
          <w:tcPr>
            <w:tcW w:w="2729" w:type="dxa"/>
          </w:tcPr>
          <w:p w14:paraId="225A4710" w14:textId="71D3AA14" w:rsidR="00E918DE" w:rsidRPr="00CD364B" w:rsidRDefault="00E918DE" w:rsidP="00E918DE">
            <w:pPr>
              <w:rPr>
                <w:sz w:val="20"/>
                <w:szCs w:val="20"/>
              </w:rPr>
            </w:pPr>
            <w:r w:rsidRPr="00CD364B">
              <w:rPr>
                <w:sz w:val="20"/>
                <w:szCs w:val="20"/>
              </w:rPr>
              <w:t>Global Data</w:t>
            </w:r>
          </w:p>
        </w:tc>
        <w:tc>
          <w:tcPr>
            <w:tcW w:w="3025" w:type="dxa"/>
          </w:tcPr>
          <w:p w14:paraId="7C65081A" w14:textId="675D1980" w:rsidR="00E918DE" w:rsidRPr="00CD364B" w:rsidRDefault="00E918DE" w:rsidP="00E918DE">
            <w:pPr>
              <w:rPr>
                <w:sz w:val="20"/>
                <w:szCs w:val="20"/>
              </w:rPr>
            </w:pPr>
            <w:r w:rsidRPr="00CD364B">
              <w:rPr>
                <w:sz w:val="20"/>
                <w:szCs w:val="20"/>
              </w:rPr>
              <w:t>2014-2019</w:t>
            </w:r>
          </w:p>
        </w:tc>
        <w:tc>
          <w:tcPr>
            <w:tcW w:w="3061" w:type="dxa"/>
          </w:tcPr>
          <w:p w14:paraId="4AF4BEBD" w14:textId="470286CB" w:rsidR="00E918DE" w:rsidRPr="00CD364B" w:rsidRDefault="00E918DE" w:rsidP="00E918DE">
            <w:pPr>
              <w:rPr>
                <w:sz w:val="20"/>
                <w:szCs w:val="20"/>
              </w:rPr>
            </w:pPr>
            <w:r w:rsidRPr="00CD364B">
              <w:rPr>
                <w:sz w:val="20"/>
                <w:szCs w:val="20"/>
              </w:rPr>
              <w:t>Diebold-Yilmaz Connectedness framework and Generalised Forecasting Error Variance Decomposition</w:t>
            </w:r>
          </w:p>
        </w:tc>
        <w:tc>
          <w:tcPr>
            <w:tcW w:w="3150" w:type="dxa"/>
          </w:tcPr>
          <w:p w14:paraId="2A4624B7" w14:textId="46F9EC04" w:rsidR="00E918DE" w:rsidRPr="00CD364B" w:rsidRDefault="00E918DE" w:rsidP="00E918DE">
            <w:pPr>
              <w:rPr>
                <w:sz w:val="20"/>
                <w:szCs w:val="20"/>
              </w:rPr>
            </w:pPr>
            <w:r w:rsidRPr="00CD364B">
              <w:rPr>
                <w:sz w:val="20"/>
                <w:szCs w:val="20"/>
              </w:rPr>
              <w:t>Time varying feedback between green bond performance and investor attention.</w:t>
            </w:r>
          </w:p>
        </w:tc>
      </w:tr>
      <w:tr w:rsidR="00CD364B" w:rsidRPr="00CD364B" w14:paraId="4803880E" w14:textId="77777777" w:rsidTr="00790448">
        <w:trPr>
          <w:jc w:val="center"/>
        </w:trPr>
        <w:tc>
          <w:tcPr>
            <w:tcW w:w="2859" w:type="dxa"/>
          </w:tcPr>
          <w:p w14:paraId="451E977E" w14:textId="4757DC2C" w:rsidR="00E918DE" w:rsidRPr="00CD364B" w:rsidRDefault="00E918DE" w:rsidP="00E918DE">
            <w:pPr>
              <w:rPr>
                <w:sz w:val="20"/>
                <w:szCs w:val="20"/>
              </w:rPr>
            </w:pPr>
            <w:r w:rsidRPr="00CD364B">
              <w:rPr>
                <w:sz w:val="20"/>
                <w:szCs w:val="20"/>
              </w:rPr>
              <w:t>Shahbaz et.al. (2020a)</w:t>
            </w:r>
          </w:p>
        </w:tc>
        <w:tc>
          <w:tcPr>
            <w:tcW w:w="2729" w:type="dxa"/>
          </w:tcPr>
          <w:p w14:paraId="41A692CB" w14:textId="10A65403" w:rsidR="00E918DE" w:rsidRPr="00CD364B" w:rsidRDefault="00E918DE" w:rsidP="00E918DE">
            <w:pPr>
              <w:rPr>
                <w:sz w:val="20"/>
                <w:szCs w:val="20"/>
              </w:rPr>
            </w:pPr>
            <w:r w:rsidRPr="00CD364B">
              <w:rPr>
                <w:sz w:val="20"/>
                <w:szCs w:val="20"/>
              </w:rPr>
              <w:t>United Kingdom</w:t>
            </w:r>
          </w:p>
        </w:tc>
        <w:tc>
          <w:tcPr>
            <w:tcW w:w="3025" w:type="dxa"/>
          </w:tcPr>
          <w:p w14:paraId="2E5A3D4E" w14:textId="57F1AA44" w:rsidR="00E918DE" w:rsidRPr="00CD364B" w:rsidRDefault="00E918DE" w:rsidP="00E918DE">
            <w:pPr>
              <w:rPr>
                <w:sz w:val="20"/>
                <w:szCs w:val="20"/>
              </w:rPr>
            </w:pPr>
            <w:r w:rsidRPr="00CD364B">
              <w:rPr>
                <w:sz w:val="20"/>
                <w:szCs w:val="20"/>
              </w:rPr>
              <w:t>1870-2017</w:t>
            </w:r>
          </w:p>
        </w:tc>
        <w:tc>
          <w:tcPr>
            <w:tcW w:w="3061" w:type="dxa"/>
          </w:tcPr>
          <w:p w14:paraId="56EE9EB8" w14:textId="6D1DCEDD" w:rsidR="00E918DE" w:rsidRPr="00CD364B" w:rsidRDefault="00E918DE" w:rsidP="00E918DE">
            <w:pPr>
              <w:rPr>
                <w:sz w:val="20"/>
                <w:szCs w:val="20"/>
              </w:rPr>
            </w:pPr>
            <w:r w:rsidRPr="00CD364B">
              <w:rPr>
                <w:sz w:val="20"/>
                <w:szCs w:val="20"/>
              </w:rPr>
              <w:t>Bootstrapping ARDL Approach</w:t>
            </w:r>
          </w:p>
        </w:tc>
        <w:tc>
          <w:tcPr>
            <w:tcW w:w="3150" w:type="dxa"/>
          </w:tcPr>
          <w:p w14:paraId="1B4BDA54" w14:textId="2B95DE29" w:rsidR="00E918DE" w:rsidRPr="00CD364B" w:rsidRDefault="00E918DE" w:rsidP="00E918DE">
            <w:pPr>
              <w:rPr>
                <w:sz w:val="20"/>
                <w:szCs w:val="20"/>
              </w:rPr>
            </w:pPr>
            <w:r w:rsidRPr="00CD364B">
              <w:rPr>
                <w:sz w:val="20"/>
                <w:szCs w:val="20"/>
              </w:rPr>
              <w:t>Financial development and energy consumption enhance but R&amp;D expenditures helps in reducing carbon emissions.</w:t>
            </w:r>
          </w:p>
        </w:tc>
      </w:tr>
      <w:tr w:rsidR="00CD364B" w:rsidRPr="00CD364B" w14:paraId="43EB5CEB" w14:textId="77777777" w:rsidTr="00790448">
        <w:trPr>
          <w:jc w:val="center"/>
        </w:trPr>
        <w:tc>
          <w:tcPr>
            <w:tcW w:w="2859" w:type="dxa"/>
          </w:tcPr>
          <w:p w14:paraId="4A875C20" w14:textId="100E782E" w:rsidR="00E918DE" w:rsidRPr="00CD364B" w:rsidRDefault="00E918DE" w:rsidP="00E918DE">
            <w:pPr>
              <w:rPr>
                <w:sz w:val="20"/>
                <w:szCs w:val="20"/>
              </w:rPr>
            </w:pPr>
            <w:r w:rsidRPr="00CD364B">
              <w:rPr>
                <w:sz w:val="20"/>
                <w:szCs w:val="20"/>
              </w:rPr>
              <w:t>Shahbaz et.al. (2020b)</w:t>
            </w:r>
          </w:p>
        </w:tc>
        <w:tc>
          <w:tcPr>
            <w:tcW w:w="2729" w:type="dxa"/>
          </w:tcPr>
          <w:p w14:paraId="45E605B3" w14:textId="16252B65" w:rsidR="00E918DE" w:rsidRPr="00CD364B" w:rsidRDefault="00E918DE" w:rsidP="00E918DE">
            <w:pPr>
              <w:rPr>
                <w:sz w:val="20"/>
                <w:szCs w:val="20"/>
              </w:rPr>
            </w:pPr>
            <w:r w:rsidRPr="00CD364B">
              <w:rPr>
                <w:sz w:val="20"/>
                <w:szCs w:val="20"/>
              </w:rPr>
              <w:t>USA</w:t>
            </w:r>
          </w:p>
        </w:tc>
        <w:tc>
          <w:tcPr>
            <w:tcW w:w="3025" w:type="dxa"/>
          </w:tcPr>
          <w:p w14:paraId="24758835" w14:textId="2AFE7B63" w:rsidR="00E918DE" w:rsidRPr="00CD364B" w:rsidRDefault="00E918DE" w:rsidP="00E918DE">
            <w:pPr>
              <w:rPr>
                <w:sz w:val="20"/>
                <w:szCs w:val="20"/>
              </w:rPr>
            </w:pPr>
            <w:r w:rsidRPr="00CD364B">
              <w:rPr>
                <w:sz w:val="20"/>
                <w:szCs w:val="20"/>
              </w:rPr>
              <w:t>1976-2016</w:t>
            </w:r>
          </w:p>
        </w:tc>
        <w:tc>
          <w:tcPr>
            <w:tcW w:w="3061" w:type="dxa"/>
          </w:tcPr>
          <w:p w14:paraId="4BF72D79" w14:textId="7FD0598E" w:rsidR="00E918DE" w:rsidRPr="00CD364B" w:rsidRDefault="00E918DE" w:rsidP="00E918DE">
            <w:pPr>
              <w:rPr>
                <w:sz w:val="20"/>
                <w:szCs w:val="20"/>
              </w:rPr>
            </w:pPr>
            <w:r w:rsidRPr="00CD364B">
              <w:rPr>
                <w:sz w:val="20"/>
                <w:szCs w:val="20"/>
              </w:rPr>
              <w:t>ARDL Bounds Testing Approach</w:t>
            </w:r>
          </w:p>
        </w:tc>
        <w:tc>
          <w:tcPr>
            <w:tcW w:w="3150" w:type="dxa"/>
          </w:tcPr>
          <w:p w14:paraId="64985B17" w14:textId="77089F8F" w:rsidR="00E918DE" w:rsidRPr="00CD364B" w:rsidRDefault="00E918DE" w:rsidP="00E918DE">
            <w:pPr>
              <w:rPr>
                <w:sz w:val="20"/>
                <w:szCs w:val="20"/>
              </w:rPr>
            </w:pPr>
            <w:r w:rsidRPr="00CD364B">
              <w:rPr>
                <w:sz w:val="20"/>
                <w:szCs w:val="20"/>
              </w:rPr>
              <w:t>Negative linkage between oil price and energy consumption as well as carbon emission. Further abundance of energy resources and economic growth leads to rise in energy consumption and carbon emission.</w:t>
            </w:r>
          </w:p>
        </w:tc>
      </w:tr>
      <w:tr w:rsidR="00CD364B" w:rsidRPr="00CD364B" w14:paraId="515E5D50" w14:textId="77777777" w:rsidTr="00790448">
        <w:trPr>
          <w:jc w:val="center"/>
        </w:trPr>
        <w:tc>
          <w:tcPr>
            <w:tcW w:w="2859" w:type="dxa"/>
          </w:tcPr>
          <w:p w14:paraId="093FD0A5" w14:textId="77777777" w:rsidR="00E918DE" w:rsidRPr="00CD364B" w:rsidRDefault="00E918DE" w:rsidP="00E918DE">
            <w:pPr>
              <w:rPr>
                <w:sz w:val="20"/>
                <w:szCs w:val="20"/>
              </w:rPr>
            </w:pPr>
            <w:r w:rsidRPr="00CD364B">
              <w:rPr>
                <w:sz w:val="20"/>
                <w:szCs w:val="20"/>
              </w:rPr>
              <w:t>Nasir et.al. (2021)</w:t>
            </w:r>
          </w:p>
        </w:tc>
        <w:tc>
          <w:tcPr>
            <w:tcW w:w="2729" w:type="dxa"/>
          </w:tcPr>
          <w:p w14:paraId="70340595" w14:textId="77777777" w:rsidR="00E918DE" w:rsidRPr="00CD364B" w:rsidRDefault="00E918DE" w:rsidP="00E918DE">
            <w:pPr>
              <w:rPr>
                <w:sz w:val="20"/>
                <w:szCs w:val="20"/>
              </w:rPr>
            </w:pPr>
            <w:r w:rsidRPr="00CD364B">
              <w:rPr>
                <w:sz w:val="20"/>
                <w:szCs w:val="20"/>
              </w:rPr>
              <w:t>Australia</w:t>
            </w:r>
          </w:p>
        </w:tc>
        <w:tc>
          <w:tcPr>
            <w:tcW w:w="3025" w:type="dxa"/>
          </w:tcPr>
          <w:p w14:paraId="16C71573" w14:textId="77777777" w:rsidR="00E918DE" w:rsidRPr="00CD364B" w:rsidRDefault="00E918DE" w:rsidP="00E918DE">
            <w:pPr>
              <w:rPr>
                <w:sz w:val="20"/>
                <w:szCs w:val="20"/>
              </w:rPr>
            </w:pPr>
            <w:r w:rsidRPr="00CD364B">
              <w:rPr>
                <w:sz w:val="20"/>
                <w:szCs w:val="20"/>
              </w:rPr>
              <w:t>1980-2014</w:t>
            </w:r>
          </w:p>
        </w:tc>
        <w:tc>
          <w:tcPr>
            <w:tcW w:w="3061" w:type="dxa"/>
          </w:tcPr>
          <w:p w14:paraId="6E8E9B0A" w14:textId="77777777" w:rsidR="00E918DE" w:rsidRPr="00CD364B" w:rsidRDefault="00E918DE" w:rsidP="00E918DE">
            <w:pPr>
              <w:rPr>
                <w:sz w:val="20"/>
                <w:szCs w:val="20"/>
              </w:rPr>
            </w:pPr>
            <w:r w:rsidRPr="00CD364B">
              <w:rPr>
                <w:sz w:val="20"/>
                <w:szCs w:val="20"/>
              </w:rPr>
              <w:t>Cointegration and Causality Tests.</w:t>
            </w:r>
          </w:p>
        </w:tc>
        <w:tc>
          <w:tcPr>
            <w:tcW w:w="3150" w:type="dxa"/>
          </w:tcPr>
          <w:p w14:paraId="6FDECCA9" w14:textId="77777777" w:rsidR="00E918DE" w:rsidRPr="00CD364B" w:rsidRDefault="00E918DE" w:rsidP="00E918DE">
            <w:pPr>
              <w:rPr>
                <w:sz w:val="20"/>
                <w:szCs w:val="20"/>
              </w:rPr>
            </w:pPr>
            <w:r w:rsidRPr="00CD364B">
              <w:rPr>
                <w:sz w:val="20"/>
                <w:szCs w:val="20"/>
              </w:rPr>
              <w:t>Observed long run positive impact of financial development, energy consumption and trade openness on carbon emissions. Further observed short run bidirectional causality between economic growth, energy consumption, industrialization and stock market development with carbon emissions.</w:t>
            </w:r>
          </w:p>
        </w:tc>
      </w:tr>
      <w:tr w:rsidR="00E918DE" w:rsidRPr="00CD364B" w14:paraId="37D45B68" w14:textId="77777777" w:rsidTr="00790448">
        <w:trPr>
          <w:jc w:val="center"/>
        </w:trPr>
        <w:tc>
          <w:tcPr>
            <w:tcW w:w="2859" w:type="dxa"/>
          </w:tcPr>
          <w:p w14:paraId="2C2EB1E3" w14:textId="77777777" w:rsidR="00E918DE" w:rsidRPr="00CD364B" w:rsidRDefault="00E918DE" w:rsidP="00E918DE">
            <w:pPr>
              <w:rPr>
                <w:sz w:val="20"/>
                <w:szCs w:val="20"/>
              </w:rPr>
            </w:pPr>
            <w:r w:rsidRPr="00CD364B">
              <w:rPr>
                <w:sz w:val="20"/>
                <w:szCs w:val="20"/>
              </w:rPr>
              <w:t>Nguyen et.al. (2021)</w:t>
            </w:r>
          </w:p>
        </w:tc>
        <w:tc>
          <w:tcPr>
            <w:tcW w:w="2729" w:type="dxa"/>
          </w:tcPr>
          <w:p w14:paraId="166B138E" w14:textId="77777777" w:rsidR="00E918DE" w:rsidRPr="00CD364B" w:rsidRDefault="00E918DE" w:rsidP="00E918DE">
            <w:pPr>
              <w:rPr>
                <w:sz w:val="20"/>
                <w:szCs w:val="20"/>
              </w:rPr>
            </w:pPr>
            <w:r w:rsidRPr="00CD364B">
              <w:rPr>
                <w:sz w:val="20"/>
                <w:szCs w:val="20"/>
              </w:rPr>
              <w:t>G-6 Countries</w:t>
            </w:r>
          </w:p>
        </w:tc>
        <w:tc>
          <w:tcPr>
            <w:tcW w:w="3025" w:type="dxa"/>
          </w:tcPr>
          <w:p w14:paraId="24D9EA02" w14:textId="77777777" w:rsidR="00E918DE" w:rsidRPr="00CD364B" w:rsidRDefault="00E918DE" w:rsidP="00E918DE">
            <w:pPr>
              <w:rPr>
                <w:sz w:val="20"/>
                <w:szCs w:val="20"/>
              </w:rPr>
            </w:pPr>
            <w:r w:rsidRPr="00CD364B">
              <w:rPr>
                <w:sz w:val="20"/>
                <w:szCs w:val="20"/>
              </w:rPr>
              <w:t>1978-2014</w:t>
            </w:r>
          </w:p>
        </w:tc>
        <w:tc>
          <w:tcPr>
            <w:tcW w:w="3061" w:type="dxa"/>
          </w:tcPr>
          <w:p w14:paraId="56F303C6" w14:textId="77777777" w:rsidR="00E918DE" w:rsidRPr="00CD364B" w:rsidRDefault="00E918DE" w:rsidP="00E918DE">
            <w:pPr>
              <w:rPr>
                <w:sz w:val="20"/>
                <w:szCs w:val="20"/>
              </w:rPr>
            </w:pPr>
          </w:p>
        </w:tc>
        <w:tc>
          <w:tcPr>
            <w:tcW w:w="3150" w:type="dxa"/>
          </w:tcPr>
          <w:p w14:paraId="43E4B3D9" w14:textId="77777777" w:rsidR="00E918DE" w:rsidRPr="00CD364B" w:rsidRDefault="00E918DE" w:rsidP="00E918DE">
            <w:pPr>
              <w:rPr>
                <w:sz w:val="20"/>
                <w:szCs w:val="20"/>
              </w:rPr>
            </w:pPr>
            <w:r w:rsidRPr="00CD364B">
              <w:rPr>
                <w:sz w:val="20"/>
                <w:szCs w:val="20"/>
              </w:rPr>
              <w:t xml:space="preserve">Carbon emissions are mainly driven by economic growth, expansion of </w:t>
            </w:r>
            <w:r w:rsidRPr="00CD364B">
              <w:rPr>
                <w:sz w:val="20"/>
                <w:szCs w:val="20"/>
              </w:rPr>
              <w:lastRenderedPageBreak/>
              <w:t>capital market and trade openness. Stock market capitalisation and FDI has weak yet negative effect on carbon emissions.</w:t>
            </w:r>
          </w:p>
        </w:tc>
      </w:tr>
    </w:tbl>
    <w:p w14:paraId="68C37ADF" w14:textId="77777777" w:rsidR="00EF38EC" w:rsidRPr="00CD364B" w:rsidRDefault="00EF38EC" w:rsidP="00EF38EC">
      <w:pPr>
        <w:rPr>
          <w:sz w:val="24"/>
          <w:szCs w:val="24"/>
        </w:rPr>
      </w:pPr>
    </w:p>
    <w:p w14:paraId="19E57804" w14:textId="2E135B84" w:rsidR="00EF38EC" w:rsidRPr="00CD364B" w:rsidRDefault="00EF38EC" w:rsidP="00EF38EC">
      <w:pPr>
        <w:spacing w:after="0" w:line="360" w:lineRule="auto"/>
        <w:jc w:val="both"/>
        <w:rPr>
          <w:rFonts w:cstheme="minorHAnsi"/>
          <w:sz w:val="24"/>
          <w:szCs w:val="24"/>
          <w:lang w:val="en-US"/>
        </w:rPr>
      </w:pPr>
    </w:p>
    <w:sectPr w:rsidR="00EF38EC" w:rsidRPr="00CD364B" w:rsidSect="008A088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139AD" w14:textId="77777777" w:rsidR="00FF747F" w:rsidRDefault="00FF747F" w:rsidP="008D153D">
      <w:pPr>
        <w:spacing w:after="0" w:line="240" w:lineRule="auto"/>
      </w:pPr>
      <w:r>
        <w:separator/>
      </w:r>
    </w:p>
  </w:endnote>
  <w:endnote w:type="continuationSeparator" w:id="0">
    <w:p w14:paraId="0EF72408" w14:textId="77777777" w:rsidR="00FF747F" w:rsidRDefault="00FF747F" w:rsidP="008D1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3932146"/>
      <w:docPartObj>
        <w:docPartGallery w:val="Page Numbers (Bottom of Page)"/>
        <w:docPartUnique/>
      </w:docPartObj>
    </w:sdtPr>
    <w:sdtEndPr>
      <w:rPr>
        <w:noProof/>
      </w:rPr>
    </w:sdtEndPr>
    <w:sdtContent>
      <w:p w14:paraId="128ED6D2" w14:textId="3BDDD1CB" w:rsidR="008A0888" w:rsidRDefault="008A08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C2434A" w14:textId="77777777" w:rsidR="008A0888" w:rsidRDefault="008A0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3C44C" w14:textId="77777777" w:rsidR="00FF747F" w:rsidRDefault="00FF747F" w:rsidP="008D153D">
      <w:pPr>
        <w:spacing w:after="0" w:line="240" w:lineRule="auto"/>
      </w:pPr>
      <w:r>
        <w:separator/>
      </w:r>
    </w:p>
  </w:footnote>
  <w:footnote w:type="continuationSeparator" w:id="0">
    <w:p w14:paraId="43446E8E" w14:textId="77777777" w:rsidR="00FF747F" w:rsidRDefault="00FF747F" w:rsidP="008D15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027B11"/>
    <w:multiLevelType w:val="multilevel"/>
    <w:tmpl w:val="B9EACA2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1986B33"/>
    <w:multiLevelType w:val="multilevel"/>
    <w:tmpl w:val="8AE61C2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59B2A4C"/>
    <w:multiLevelType w:val="multilevel"/>
    <w:tmpl w:val="D44C17A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zMbGwMDI1MTa1MDRV0lEKTi0uzszPAykwqgUAD8RODCwAAAA="/>
  </w:docVars>
  <w:rsids>
    <w:rsidRoot w:val="00FB3C82"/>
    <w:rsid w:val="00001194"/>
    <w:rsid w:val="00001A93"/>
    <w:rsid w:val="00004F21"/>
    <w:rsid w:val="00005B7F"/>
    <w:rsid w:val="00013176"/>
    <w:rsid w:val="0001573C"/>
    <w:rsid w:val="0002018F"/>
    <w:rsid w:val="00020CD1"/>
    <w:rsid w:val="00022389"/>
    <w:rsid w:val="00026F60"/>
    <w:rsid w:val="00027F8B"/>
    <w:rsid w:val="00033B6F"/>
    <w:rsid w:val="00041BB5"/>
    <w:rsid w:val="00042AE1"/>
    <w:rsid w:val="00042D19"/>
    <w:rsid w:val="00043560"/>
    <w:rsid w:val="0005315B"/>
    <w:rsid w:val="000575F5"/>
    <w:rsid w:val="00057871"/>
    <w:rsid w:val="0006234E"/>
    <w:rsid w:val="00065630"/>
    <w:rsid w:val="00070A56"/>
    <w:rsid w:val="00074439"/>
    <w:rsid w:val="0009101E"/>
    <w:rsid w:val="000917E7"/>
    <w:rsid w:val="000924B7"/>
    <w:rsid w:val="00094B45"/>
    <w:rsid w:val="00094BD6"/>
    <w:rsid w:val="00095F3C"/>
    <w:rsid w:val="00096420"/>
    <w:rsid w:val="00096B1A"/>
    <w:rsid w:val="000978D5"/>
    <w:rsid w:val="000A0A43"/>
    <w:rsid w:val="000A1150"/>
    <w:rsid w:val="000B1635"/>
    <w:rsid w:val="000B45F4"/>
    <w:rsid w:val="000B6552"/>
    <w:rsid w:val="000B7066"/>
    <w:rsid w:val="000C2568"/>
    <w:rsid w:val="000C53AB"/>
    <w:rsid w:val="000D6954"/>
    <w:rsid w:val="000E2A4E"/>
    <w:rsid w:val="000E5BBB"/>
    <w:rsid w:val="000F049D"/>
    <w:rsid w:val="0010057E"/>
    <w:rsid w:val="00100E09"/>
    <w:rsid w:val="00111116"/>
    <w:rsid w:val="00111228"/>
    <w:rsid w:val="00117A51"/>
    <w:rsid w:val="00126606"/>
    <w:rsid w:val="00126824"/>
    <w:rsid w:val="00127468"/>
    <w:rsid w:val="00130166"/>
    <w:rsid w:val="0013544E"/>
    <w:rsid w:val="001370FA"/>
    <w:rsid w:val="00140E03"/>
    <w:rsid w:val="00143B51"/>
    <w:rsid w:val="00147B85"/>
    <w:rsid w:val="00154B34"/>
    <w:rsid w:val="00161E9A"/>
    <w:rsid w:val="00163BC3"/>
    <w:rsid w:val="001674C7"/>
    <w:rsid w:val="00167FB0"/>
    <w:rsid w:val="00170B1B"/>
    <w:rsid w:val="00174E69"/>
    <w:rsid w:val="001773E1"/>
    <w:rsid w:val="00177462"/>
    <w:rsid w:val="00177FA2"/>
    <w:rsid w:val="001834AC"/>
    <w:rsid w:val="00192C8E"/>
    <w:rsid w:val="0019404C"/>
    <w:rsid w:val="00194C34"/>
    <w:rsid w:val="001962F2"/>
    <w:rsid w:val="001A5BFC"/>
    <w:rsid w:val="001B1C88"/>
    <w:rsid w:val="001B4C67"/>
    <w:rsid w:val="001C1D9B"/>
    <w:rsid w:val="001C1E9B"/>
    <w:rsid w:val="001C3291"/>
    <w:rsid w:val="001C3AB0"/>
    <w:rsid w:val="001C7918"/>
    <w:rsid w:val="001C7C4C"/>
    <w:rsid w:val="001D02A8"/>
    <w:rsid w:val="001E046D"/>
    <w:rsid w:val="001E10E6"/>
    <w:rsid w:val="001E1904"/>
    <w:rsid w:val="001E44CC"/>
    <w:rsid w:val="001F1FEE"/>
    <w:rsid w:val="001F38F8"/>
    <w:rsid w:val="0020068F"/>
    <w:rsid w:val="002011A1"/>
    <w:rsid w:val="00202F7F"/>
    <w:rsid w:val="002036E3"/>
    <w:rsid w:val="002054B4"/>
    <w:rsid w:val="00207EF4"/>
    <w:rsid w:val="00211D56"/>
    <w:rsid w:val="0021511F"/>
    <w:rsid w:val="00217067"/>
    <w:rsid w:val="002172A4"/>
    <w:rsid w:val="00220846"/>
    <w:rsid w:val="002208C4"/>
    <w:rsid w:val="00220B69"/>
    <w:rsid w:val="00231159"/>
    <w:rsid w:val="00232F4E"/>
    <w:rsid w:val="00236BDD"/>
    <w:rsid w:val="002407E8"/>
    <w:rsid w:val="0024220C"/>
    <w:rsid w:val="0024399B"/>
    <w:rsid w:val="00257AD6"/>
    <w:rsid w:val="00265CCC"/>
    <w:rsid w:val="0027175B"/>
    <w:rsid w:val="00273C9A"/>
    <w:rsid w:val="00280766"/>
    <w:rsid w:val="00282216"/>
    <w:rsid w:val="00283874"/>
    <w:rsid w:val="00283EC6"/>
    <w:rsid w:val="00287ADD"/>
    <w:rsid w:val="002943F6"/>
    <w:rsid w:val="00297829"/>
    <w:rsid w:val="002A0A5F"/>
    <w:rsid w:val="002A1839"/>
    <w:rsid w:val="002A1A61"/>
    <w:rsid w:val="002A1CCB"/>
    <w:rsid w:val="002A62D8"/>
    <w:rsid w:val="002A65ED"/>
    <w:rsid w:val="002A7348"/>
    <w:rsid w:val="002B1D9A"/>
    <w:rsid w:val="002B5CA8"/>
    <w:rsid w:val="002B6765"/>
    <w:rsid w:val="002B6A79"/>
    <w:rsid w:val="002C7125"/>
    <w:rsid w:val="002C7435"/>
    <w:rsid w:val="002D39CA"/>
    <w:rsid w:val="002D6E76"/>
    <w:rsid w:val="002E2304"/>
    <w:rsid w:val="002E2864"/>
    <w:rsid w:val="002E39D0"/>
    <w:rsid w:val="002E6549"/>
    <w:rsid w:val="002F3BC4"/>
    <w:rsid w:val="002F3E67"/>
    <w:rsid w:val="002F4D6E"/>
    <w:rsid w:val="002F649D"/>
    <w:rsid w:val="00304122"/>
    <w:rsid w:val="0030638E"/>
    <w:rsid w:val="00306681"/>
    <w:rsid w:val="003147E0"/>
    <w:rsid w:val="00316396"/>
    <w:rsid w:val="003178B1"/>
    <w:rsid w:val="00322D74"/>
    <w:rsid w:val="00323A17"/>
    <w:rsid w:val="003257FE"/>
    <w:rsid w:val="0032604A"/>
    <w:rsid w:val="00326606"/>
    <w:rsid w:val="00330415"/>
    <w:rsid w:val="003315CA"/>
    <w:rsid w:val="00331759"/>
    <w:rsid w:val="003346E1"/>
    <w:rsid w:val="00340018"/>
    <w:rsid w:val="00341EF1"/>
    <w:rsid w:val="00343BB8"/>
    <w:rsid w:val="00344CE8"/>
    <w:rsid w:val="0034778B"/>
    <w:rsid w:val="0035619F"/>
    <w:rsid w:val="00363347"/>
    <w:rsid w:val="00370B5A"/>
    <w:rsid w:val="00371FC9"/>
    <w:rsid w:val="00372A8B"/>
    <w:rsid w:val="0037541D"/>
    <w:rsid w:val="00375F33"/>
    <w:rsid w:val="00381968"/>
    <w:rsid w:val="00391C43"/>
    <w:rsid w:val="003A06D6"/>
    <w:rsid w:val="003A214B"/>
    <w:rsid w:val="003A6645"/>
    <w:rsid w:val="003C427F"/>
    <w:rsid w:val="003C56D6"/>
    <w:rsid w:val="003C5BE2"/>
    <w:rsid w:val="003D1CA5"/>
    <w:rsid w:val="003D390C"/>
    <w:rsid w:val="003D42EE"/>
    <w:rsid w:val="003D4422"/>
    <w:rsid w:val="003D7D7F"/>
    <w:rsid w:val="003E7658"/>
    <w:rsid w:val="003F08C3"/>
    <w:rsid w:val="003F22F1"/>
    <w:rsid w:val="00401638"/>
    <w:rsid w:val="0041083E"/>
    <w:rsid w:val="00412D22"/>
    <w:rsid w:val="00414649"/>
    <w:rsid w:val="0041506C"/>
    <w:rsid w:val="0041592D"/>
    <w:rsid w:val="00416350"/>
    <w:rsid w:val="00416B36"/>
    <w:rsid w:val="00427935"/>
    <w:rsid w:val="00432E01"/>
    <w:rsid w:val="00433298"/>
    <w:rsid w:val="00437925"/>
    <w:rsid w:val="00437979"/>
    <w:rsid w:val="00437EA1"/>
    <w:rsid w:val="0044080A"/>
    <w:rsid w:val="004408F1"/>
    <w:rsid w:val="004420B1"/>
    <w:rsid w:val="00443F66"/>
    <w:rsid w:val="00444B3A"/>
    <w:rsid w:val="00452230"/>
    <w:rsid w:val="00453479"/>
    <w:rsid w:val="004547C9"/>
    <w:rsid w:val="004556E7"/>
    <w:rsid w:val="00457508"/>
    <w:rsid w:val="004634B1"/>
    <w:rsid w:val="0047111F"/>
    <w:rsid w:val="0047434A"/>
    <w:rsid w:val="0047571D"/>
    <w:rsid w:val="0048085F"/>
    <w:rsid w:val="004843E5"/>
    <w:rsid w:val="00484562"/>
    <w:rsid w:val="004876CE"/>
    <w:rsid w:val="00491E1F"/>
    <w:rsid w:val="00493E75"/>
    <w:rsid w:val="00496678"/>
    <w:rsid w:val="004A03A2"/>
    <w:rsid w:val="004A137B"/>
    <w:rsid w:val="004A334F"/>
    <w:rsid w:val="004B175F"/>
    <w:rsid w:val="004B50D8"/>
    <w:rsid w:val="004C3E4A"/>
    <w:rsid w:val="004C6C21"/>
    <w:rsid w:val="004C7C8D"/>
    <w:rsid w:val="004C7F4F"/>
    <w:rsid w:val="004C7F7E"/>
    <w:rsid w:val="004D17D4"/>
    <w:rsid w:val="004D2336"/>
    <w:rsid w:val="004D23CF"/>
    <w:rsid w:val="004D4BDB"/>
    <w:rsid w:val="004D5B3F"/>
    <w:rsid w:val="004D7649"/>
    <w:rsid w:val="004E6487"/>
    <w:rsid w:val="004E7959"/>
    <w:rsid w:val="004F4C56"/>
    <w:rsid w:val="004F65C8"/>
    <w:rsid w:val="005006AE"/>
    <w:rsid w:val="0050276D"/>
    <w:rsid w:val="005030A7"/>
    <w:rsid w:val="00503A73"/>
    <w:rsid w:val="00507B1B"/>
    <w:rsid w:val="0051023F"/>
    <w:rsid w:val="00515ACE"/>
    <w:rsid w:val="00522A7B"/>
    <w:rsid w:val="0052428C"/>
    <w:rsid w:val="00524EF1"/>
    <w:rsid w:val="00525A66"/>
    <w:rsid w:val="005301F7"/>
    <w:rsid w:val="00532742"/>
    <w:rsid w:val="00536417"/>
    <w:rsid w:val="00541AB7"/>
    <w:rsid w:val="0054695A"/>
    <w:rsid w:val="005534A9"/>
    <w:rsid w:val="00556E11"/>
    <w:rsid w:val="0056271D"/>
    <w:rsid w:val="00564FB5"/>
    <w:rsid w:val="0057212A"/>
    <w:rsid w:val="0057410A"/>
    <w:rsid w:val="005754FA"/>
    <w:rsid w:val="00575649"/>
    <w:rsid w:val="00577664"/>
    <w:rsid w:val="00577FC6"/>
    <w:rsid w:val="00581F2B"/>
    <w:rsid w:val="005853D8"/>
    <w:rsid w:val="005923DE"/>
    <w:rsid w:val="005A1C9B"/>
    <w:rsid w:val="005A582B"/>
    <w:rsid w:val="005B2E82"/>
    <w:rsid w:val="005B45D4"/>
    <w:rsid w:val="005B5EED"/>
    <w:rsid w:val="005C0D75"/>
    <w:rsid w:val="005C6AB4"/>
    <w:rsid w:val="005D03D5"/>
    <w:rsid w:val="005D0799"/>
    <w:rsid w:val="005D2FBF"/>
    <w:rsid w:val="005D5F7B"/>
    <w:rsid w:val="005D67F8"/>
    <w:rsid w:val="005E39BD"/>
    <w:rsid w:val="005F24A4"/>
    <w:rsid w:val="005F7B98"/>
    <w:rsid w:val="0060178F"/>
    <w:rsid w:val="00607CF5"/>
    <w:rsid w:val="00613242"/>
    <w:rsid w:val="00617163"/>
    <w:rsid w:val="00626582"/>
    <w:rsid w:val="00627006"/>
    <w:rsid w:val="0062728E"/>
    <w:rsid w:val="00631CE2"/>
    <w:rsid w:val="00635548"/>
    <w:rsid w:val="00635FF3"/>
    <w:rsid w:val="006368C4"/>
    <w:rsid w:val="006377BC"/>
    <w:rsid w:val="00640074"/>
    <w:rsid w:val="00640A6B"/>
    <w:rsid w:val="0064188E"/>
    <w:rsid w:val="00644005"/>
    <w:rsid w:val="0064460E"/>
    <w:rsid w:val="0064621D"/>
    <w:rsid w:val="00646C87"/>
    <w:rsid w:val="006473AE"/>
    <w:rsid w:val="00652C78"/>
    <w:rsid w:val="00652FCD"/>
    <w:rsid w:val="006532F9"/>
    <w:rsid w:val="0066224E"/>
    <w:rsid w:val="006668C1"/>
    <w:rsid w:val="00673E67"/>
    <w:rsid w:val="00675875"/>
    <w:rsid w:val="00683954"/>
    <w:rsid w:val="006873B6"/>
    <w:rsid w:val="006933B1"/>
    <w:rsid w:val="006948F7"/>
    <w:rsid w:val="00694D27"/>
    <w:rsid w:val="0069719F"/>
    <w:rsid w:val="006977C7"/>
    <w:rsid w:val="006A5DE4"/>
    <w:rsid w:val="006B34B2"/>
    <w:rsid w:val="006C61D7"/>
    <w:rsid w:val="006C655E"/>
    <w:rsid w:val="006E0BEF"/>
    <w:rsid w:val="006E44B5"/>
    <w:rsid w:val="006E57D0"/>
    <w:rsid w:val="006E5B3E"/>
    <w:rsid w:val="006E7C5E"/>
    <w:rsid w:val="006F2C8D"/>
    <w:rsid w:val="006F3ADC"/>
    <w:rsid w:val="0070360C"/>
    <w:rsid w:val="00705A26"/>
    <w:rsid w:val="00705BDF"/>
    <w:rsid w:val="00706458"/>
    <w:rsid w:val="007067E2"/>
    <w:rsid w:val="007078E7"/>
    <w:rsid w:val="00710B9D"/>
    <w:rsid w:val="00710F01"/>
    <w:rsid w:val="00712C69"/>
    <w:rsid w:val="00715AE9"/>
    <w:rsid w:val="007165CE"/>
    <w:rsid w:val="00717DAB"/>
    <w:rsid w:val="0072091C"/>
    <w:rsid w:val="00730039"/>
    <w:rsid w:val="00730CF4"/>
    <w:rsid w:val="00740068"/>
    <w:rsid w:val="00744027"/>
    <w:rsid w:val="00745897"/>
    <w:rsid w:val="00751624"/>
    <w:rsid w:val="00752E0E"/>
    <w:rsid w:val="007543DC"/>
    <w:rsid w:val="00762BAE"/>
    <w:rsid w:val="00765E79"/>
    <w:rsid w:val="00767E91"/>
    <w:rsid w:val="00770DB5"/>
    <w:rsid w:val="0077794F"/>
    <w:rsid w:val="00780A0A"/>
    <w:rsid w:val="00790448"/>
    <w:rsid w:val="00791B9C"/>
    <w:rsid w:val="00791EF5"/>
    <w:rsid w:val="007A58A0"/>
    <w:rsid w:val="007B1FA9"/>
    <w:rsid w:val="007B232C"/>
    <w:rsid w:val="007B326A"/>
    <w:rsid w:val="007B557E"/>
    <w:rsid w:val="007C4A84"/>
    <w:rsid w:val="007D0DB0"/>
    <w:rsid w:val="007D2DCE"/>
    <w:rsid w:val="007D4AEF"/>
    <w:rsid w:val="007D5CB7"/>
    <w:rsid w:val="007F3362"/>
    <w:rsid w:val="00807E86"/>
    <w:rsid w:val="00807F45"/>
    <w:rsid w:val="008132F0"/>
    <w:rsid w:val="00817F4C"/>
    <w:rsid w:val="008213A3"/>
    <w:rsid w:val="0082504C"/>
    <w:rsid w:val="008277A2"/>
    <w:rsid w:val="008333D0"/>
    <w:rsid w:val="00835223"/>
    <w:rsid w:val="00841D8A"/>
    <w:rsid w:val="00845805"/>
    <w:rsid w:val="00846C1F"/>
    <w:rsid w:val="00860F10"/>
    <w:rsid w:val="008624B8"/>
    <w:rsid w:val="008648C7"/>
    <w:rsid w:val="00864ABC"/>
    <w:rsid w:val="0087054C"/>
    <w:rsid w:val="0087712C"/>
    <w:rsid w:val="008813EE"/>
    <w:rsid w:val="008845A5"/>
    <w:rsid w:val="00884AF6"/>
    <w:rsid w:val="00884CE5"/>
    <w:rsid w:val="00885C32"/>
    <w:rsid w:val="00885E1B"/>
    <w:rsid w:val="008862CE"/>
    <w:rsid w:val="00896BF5"/>
    <w:rsid w:val="008A0888"/>
    <w:rsid w:val="008A1964"/>
    <w:rsid w:val="008A5CD0"/>
    <w:rsid w:val="008B0CB4"/>
    <w:rsid w:val="008B3AD2"/>
    <w:rsid w:val="008B5AE4"/>
    <w:rsid w:val="008C5AF8"/>
    <w:rsid w:val="008D153D"/>
    <w:rsid w:val="008D2971"/>
    <w:rsid w:val="008D5898"/>
    <w:rsid w:val="008E0023"/>
    <w:rsid w:val="008E67E7"/>
    <w:rsid w:val="008E6F2A"/>
    <w:rsid w:val="008F06E0"/>
    <w:rsid w:val="008F4C13"/>
    <w:rsid w:val="008F6072"/>
    <w:rsid w:val="008F6831"/>
    <w:rsid w:val="00901FAA"/>
    <w:rsid w:val="009115D4"/>
    <w:rsid w:val="00914516"/>
    <w:rsid w:val="00916C64"/>
    <w:rsid w:val="0092087B"/>
    <w:rsid w:val="00921285"/>
    <w:rsid w:val="00922D2D"/>
    <w:rsid w:val="00935BE7"/>
    <w:rsid w:val="0093797A"/>
    <w:rsid w:val="00944BE4"/>
    <w:rsid w:val="00944C87"/>
    <w:rsid w:val="00953498"/>
    <w:rsid w:val="00957EFC"/>
    <w:rsid w:val="00960001"/>
    <w:rsid w:val="00961EAD"/>
    <w:rsid w:val="00962129"/>
    <w:rsid w:val="00964CCD"/>
    <w:rsid w:val="00967F6C"/>
    <w:rsid w:val="00970DBA"/>
    <w:rsid w:val="00974BA0"/>
    <w:rsid w:val="009776AC"/>
    <w:rsid w:val="0098490A"/>
    <w:rsid w:val="00986B2D"/>
    <w:rsid w:val="0099351C"/>
    <w:rsid w:val="00993D49"/>
    <w:rsid w:val="00994C37"/>
    <w:rsid w:val="009970A8"/>
    <w:rsid w:val="009A2CA6"/>
    <w:rsid w:val="009A32B7"/>
    <w:rsid w:val="009A55E4"/>
    <w:rsid w:val="009B1692"/>
    <w:rsid w:val="009B4FB4"/>
    <w:rsid w:val="009B5921"/>
    <w:rsid w:val="009B657B"/>
    <w:rsid w:val="009C107F"/>
    <w:rsid w:val="009C1A08"/>
    <w:rsid w:val="009C226A"/>
    <w:rsid w:val="009C3169"/>
    <w:rsid w:val="009C4775"/>
    <w:rsid w:val="009C4E06"/>
    <w:rsid w:val="009C5451"/>
    <w:rsid w:val="009C6A82"/>
    <w:rsid w:val="009C792E"/>
    <w:rsid w:val="009D5147"/>
    <w:rsid w:val="009D5FEB"/>
    <w:rsid w:val="009E14F0"/>
    <w:rsid w:val="009E1B62"/>
    <w:rsid w:val="009E418C"/>
    <w:rsid w:val="009F0700"/>
    <w:rsid w:val="009F0743"/>
    <w:rsid w:val="009F0D1D"/>
    <w:rsid w:val="009F19EC"/>
    <w:rsid w:val="009F63EC"/>
    <w:rsid w:val="00A049D4"/>
    <w:rsid w:val="00A10B56"/>
    <w:rsid w:val="00A10FE4"/>
    <w:rsid w:val="00A12C65"/>
    <w:rsid w:val="00A1601F"/>
    <w:rsid w:val="00A26652"/>
    <w:rsid w:val="00A307FE"/>
    <w:rsid w:val="00A33E0D"/>
    <w:rsid w:val="00A3483A"/>
    <w:rsid w:val="00A35613"/>
    <w:rsid w:val="00A36449"/>
    <w:rsid w:val="00A36BA0"/>
    <w:rsid w:val="00A4073C"/>
    <w:rsid w:val="00A4360A"/>
    <w:rsid w:val="00A50AC9"/>
    <w:rsid w:val="00A53427"/>
    <w:rsid w:val="00A53F8D"/>
    <w:rsid w:val="00A6217F"/>
    <w:rsid w:val="00A65597"/>
    <w:rsid w:val="00A6567A"/>
    <w:rsid w:val="00A66A70"/>
    <w:rsid w:val="00A66EA2"/>
    <w:rsid w:val="00A67F43"/>
    <w:rsid w:val="00A70DA6"/>
    <w:rsid w:val="00A7676A"/>
    <w:rsid w:val="00A822FA"/>
    <w:rsid w:val="00A9121B"/>
    <w:rsid w:val="00A92B64"/>
    <w:rsid w:val="00A95495"/>
    <w:rsid w:val="00A9791A"/>
    <w:rsid w:val="00AA1D10"/>
    <w:rsid w:val="00AA4D36"/>
    <w:rsid w:val="00AA5402"/>
    <w:rsid w:val="00AA6032"/>
    <w:rsid w:val="00AA64DE"/>
    <w:rsid w:val="00AA763E"/>
    <w:rsid w:val="00AB5B24"/>
    <w:rsid w:val="00AB5E97"/>
    <w:rsid w:val="00AC3707"/>
    <w:rsid w:val="00AC510D"/>
    <w:rsid w:val="00AC626D"/>
    <w:rsid w:val="00AD5B4D"/>
    <w:rsid w:val="00AD7099"/>
    <w:rsid w:val="00AD70D3"/>
    <w:rsid w:val="00AE080D"/>
    <w:rsid w:val="00AE548A"/>
    <w:rsid w:val="00AE7617"/>
    <w:rsid w:val="00AF0FA0"/>
    <w:rsid w:val="00AF1B70"/>
    <w:rsid w:val="00B056A3"/>
    <w:rsid w:val="00B12410"/>
    <w:rsid w:val="00B149B9"/>
    <w:rsid w:val="00B217AD"/>
    <w:rsid w:val="00B26E06"/>
    <w:rsid w:val="00B32A06"/>
    <w:rsid w:val="00B3548D"/>
    <w:rsid w:val="00B36AA7"/>
    <w:rsid w:val="00B41D55"/>
    <w:rsid w:val="00B42230"/>
    <w:rsid w:val="00B47859"/>
    <w:rsid w:val="00B54298"/>
    <w:rsid w:val="00B60266"/>
    <w:rsid w:val="00B73F81"/>
    <w:rsid w:val="00B80370"/>
    <w:rsid w:val="00B8252D"/>
    <w:rsid w:val="00B91DAA"/>
    <w:rsid w:val="00B9466A"/>
    <w:rsid w:val="00B953D1"/>
    <w:rsid w:val="00B955FF"/>
    <w:rsid w:val="00B9628F"/>
    <w:rsid w:val="00B97969"/>
    <w:rsid w:val="00BA6B88"/>
    <w:rsid w:val="00BB0617"/>
    <w:rsid w:val="00BB0BD6"/>
    <w:rsid w:val="00BB53E5"/>
    <w:rsid w:val="00BB556E"/>
    <w:rsid w:val="00BC4143"/>
    <w:rsid w:val="00BC68E6"/>
    <w:rsid w:val="00BD23EE"/>
    <w:rsid w:val="00BD3DDE"/>
    <w:rsid w:val="00BD4827"/>
    <w:rsid w:val="00BD64E4"/>
    <w:rsid w:val="00BD71DE"/>
    <w:rsid w:val="00BE399A"/>
    <w:rsid w:val="00BE77B6"/>
    <w:rsid w:val="00BF401B"/>
    <w:rsid w:val="00BF649F"/>
    <w:rsid w:val="00BF67AF"/>
    <w:rsid w:val="00C010C6"/>
    <w:rsid w:val="00C0209A"/>
    <w:rsid w:val="00C03DA3"/>
    <w:rsid w:val="00C0421A"/>
    <w:rsid w:val="00C05FBF"/>
    <w:rsid w:val="00C11EC9"/>
    <w:rsid w:val="00C129BC"/>
    <w:rsid w:val="00C15CAB"/>
    <w:rsid w:val="00C23E47"/>
    <w:rsid w:val="00C24BAD"/>
    <w:rsid w:val="00C273A6"/>
    <w:rsid w:val="00C31952"/>
    <w:rsid w:val="00C3574F"/>
    <w:rsid w:val="00C37976"/>
    <w:rsid w:val="00C41DD1"/>
    <w:rsid w:val="00C46611"/>
    <w:rsid w:val="00C502FD"/>
    <w:rsid w:val="00C56051"/>
    <w:rsid w:val="00C614C0"/>
    <w:rsid w:val="00C62333"/>
    <w:rsid w:val="00C70ED3"/>
    <w:rsid w:val="00C721EF"/>
    <w:rsid w:val="00C7241E"/>
    <w:rsid w:val="00C73D3A"/>
    <w:rsid w:val="00C761D4"/>
    <w:rsid w:val="00C836CE"/>
    <w:rsid w:val="00C85AA0"/>
    <w:rsid w:val="00C903CF"/>
    <w:rsid w:val="00C90B6C"/>
    <w:rsid w:val="00C937F2"/>
    <w:rsid w:val="00C95641"/>
    <w:rsid w:val="00CA3A27"/>
    <w:rsid w:val="00CA482F"/>
    <w:rsid w:val="00CB154D"/>
    <w:rsid w:val="00CB24CC"/>
    <w:rsid w:val="00CB37FA"/>
    <w:rsid w:val="00CB5505"/>
    <w:rsid w:val="00CC1679"/>
    <w:rsid w:val="00CC53C5"/>
    <w:rsid w:val="00CC6EC3"/>
    <w:rsid w:val="00CC7D26"/>
    <w:rsid w:val="00CD07C2"/>
    <w:rsid w:val="00CD364B"/>
    <w:rsid w:val="00CD40CB"/>
    <w:rsid w:val="00CD5F46"/>
    <w:rsid w:val="00CE7C18"/>
    <w:rsid w:val="00CF0C52"/>
    <w:rsid w:val="00CF628A"/>
    <w:rsid w:val="00CF6872"/>
    <w:rsid w:val="00CF6981"/>
    <w:rsid w:val="00CF781E"/>
    <w:rsid w:val="00D00BE5"/>
    <w:rsid w:val="00D052CC"/>
    <w:rsid w:val="00D06CA6"/>
    <w:rsid w:val="00D103DA"/>
    <w:rsid w:val="00D16C18"/>
    <w:rsid w:val="00D207C9"/>
    <w:rsid w:val="00D22763"/>
    <w:rsid w:val="00D2372A"/>
    <w:rsid w:val="00D24541"/>
    <w:rsid w:val="00D24CA5"/>
    <w:rsid w:val="00D25D3D"/>
    <w:rsid w:val="00D262FC"/>
    <w:rsid w:val="00D30DAA"/>
    <w:rsid w:val="00D345C0"/>
    <w:rsid w:val="00D378F8"/>
    <w:rsid w:val="00D378F9"/>
    <w:rsid w:val="00D40CB3"/>
    <w:rsid w:val="00D4116A"/>
    <w:rsid w:val="00D416E3"/>
    <w:rsid w:val="00D41ED2"/>
    <w:rsid w:val="00D427DF"/>
    <w:rsid w:val="00D4369C"/>
    <w:rsid w:val="00D43F35"/>
    <w:rsid w:val="00D47A6F"/>
    <w:rsid w:val="00D50E00"/>
    <w:rsid w:val="00D51956"/>
    <w:rsid w:val="00D519C4"/>
    <w:rsid w:val="00D53FB2"/>
    <w:rsid w:val="00D54097"/>
    <w:rsid w:val="00D61866"/>
    <w:rsid w:val="00D6399D"/>
    <w:rsid w:val="00D66B71"/>
    <w:rsid w:val="00D66DD5"/>
    <w:rsid w:val="00D722E2"/>
    <w:rsid w:val="00D80039"/>
    <w:rsid w:val="00D837A9"/>
    <w:rsid w:val="00D83B39"/>
    <w:rsid w:val="00D85C9A"/>
    <w:rsid w:val="00D90C6C"/>
    <w:rsid w:val="00D90FFC"/>
    <w:rsid w:val="00D95137"/>
    <w:rsid w:val="00D97195"/>
    <w:rsid w:val="00DA1C97"/>
    <w:rsid w:val="00DA3F52"/>
    <w:rsid w:val="00DA4EAC"/>
    <w:rsid w:val="00DA6CBD"/>
    <w:rsid w:val="00DB0855"/>
    <w:rsid w:val="00DB382C"/>
    <w:rsid w:val="00DB424E"/>
    <w:rsid w:val="00DC1747"/>
    <w:rsid w:val="00DC2004"/>
    <w:rsid w:val="00DC4420"/>
    <w:rsid w:val="00DD5C6C"/>
    <w:rsid w:val="00DD6E92"/>
    <w:rsid w:val="00DE31F8"/>
    <w:rsid w:val="00DE3F49"/>
    <w:rsid w:val="00DE4650"/>
    <w:rsid w:val="00DF1118"/>
    <w:rsid w:val="00DF581D"/>
    <w:rsid w:val="00DF7260"/>
    <w:rsid w:val="00E00E35"/>
    <w:rsid w:val="00E02103"/>
    <w:rsid w:val="00E04655"/>
    <w:rsid w:val="00E125BC"/>
    <w:rsid w:val="00E12752"/>
    <w:rsid w:val="00E12A91"/>
    <w:rsid w:val="00E14931"/>
    <w:rsid w:val="00E1616D"/>
    <w:rsid w:val="00E20A10"/>
    <w:rsid w:val="00E22193"/>
    <w:rsid w:val="00E27B33"/>
    <w:rsid w:val="00E314BE"/>
    <w:rsid w:val="00E3236E"/>
    <w:rsid w:val="00E3401E"/>
    <w:rsid w:val="00E344EA"/>
    <w:rsid w:val="00E41889"/>
    <w:rsid w:val="00E47A22"/>
    <w:rsid w:val="00E51D4F"/>
    <w:rsid w:val="00E63858"/>
    <w:rsid w:val="00E63CD6"/>
    <w:rsid w:val="00E662E9"/>
    <w:rsid w:val="00E66780"/>
    <w:rsid w:val="00E7080E"/>
    <w:rsid w:val="00E71440"/>
    <w:rsid w:val="00E72677"/>
    <w:rsid w:val="00E72A6F"/>
    <w:rsid w:val="00E73956"/>
    <w:rsid w:val="00E827B8"/>
    <w:rsid w:val="00E86D91"/>
    <w:rsid w:val="00E87B05"/>
    <w:rsid w:val="00E918DE"/>
    <w:rsid w:val="00E962C1"/>
    <w:rsid w:val="00EA7A71"/>
    <w:rsid w:val="00EB159C"/>
    <w:rsid w:val="00EB2220"/>
    <w:rsid w:val="00EB2925"/>
    <w:rsid w:val="00EB5F6F"/>
    <w:rsid w:val="00EB796A"/>
    <w:rsid w:val="00EB7D99"/>
    <w:rsid w:val="00EC13EE"/>
    <w:rsid w:val="00ED0086"/>
    <w:rsid w:val="00ED768A"/>
    <w:rsid w:val="00EE01F8"/>
    <w:rsid w:val="00EE1D27"/>
    <w:rsid w:val="00EE65E6"/>
    <w:rsid w:val="00EF38EC"/>
    <w:rsid w:val="00EF5D6B"/>
    <w:rsid w:val="00EF6B1E"/>
    <w:rsid w:val="00F05D3C"/>
    <w:rsid w:val="00F066E9"/>
    <w:rsid w:val="00F06BA1"/>
    <w:rsid w:val="00F1555E"/>
    <w:rsid w:val="00F20EC5"/>
    <w:rsid w:val="00F2419B"/>
    <w:rsid w:val="00F32CAA"/>
    <w:rsid w:val="00F50203"/>
    <w:rsid w:val="00F52E58"/>
    <w:rsid w:val="00F550C7"/>
    <w:rsid w:val="00F60905"/>
    <w:rsid w:val="00F6644A"/>
    <w:rsid w:val="00F72F6A"/>
    <w:rsid w:val="00F73959"/>
    <w:rsid w:val="00F762E9"/>
    <w:rsid w:val="00F7749B"/>
    <w:rsid w:val="00F81237"/>
    <w:rsid w:val="00F82695"/>
    <w:rsid w:val="00F8338A"/>
    <w:rsid w:val="00F8710E"/>
    <w:rsid w:val="00F9062F"/>
    <w:rsid w:val="00F912C5"/>
    <w:rsid w:val="00F945AC"/>
    <w:rsid w:val="00F972AB"/>
    <w:rsid w:val="00F97C01"/>
    <w:rsid w:val="00FB24D0"/>
    <w:rsid w:val="00FB385D"/>
    <w:rsid w:val="00FB3C82"/>
    <w:rsid w:val="00FB5DC3"/>
    <w:rsid w:val="00FC0CB7"/>
    <w:rsid w:val="00FC160D"/>
    <w:rsid w:val="00FC5331"/>
    <w:rsid w:val="00FC750C"/>
    <w:rsid w:val="00FD04F7"/>
    <w:rsid w:val="00FD3D64"/>
    <w:rsid w:val="00FD5E72"/>
    <w:rsid w:val="00FD7EE3"/>
    <w:rsid w:val="00FE0405"/>
    <w:rsid w:val="00FE1DE7"/>
    <w:rsid w:val="00FE64A1"/>
    <w:rsid w:val="00FF2243"/>
    <w:rsid w:val="00FF2D1A"/>
    <w:rsid w:val="00FF344C"/>
    <w:rsid w:val="00FF6A29"/>
    <w:rsid w:val="00FF747F"/>
    <w:rsid w:val="00FF76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FB46"/>
  <w15:chartTrackingRefBased/>
  <w15:docId w15:val="{97C3B9A1-1F01-4243-8217-5B6969AF7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6765"/>
    <w:rPr>
      <w:color w:val="0563C1" w:themeColor="hyperlink"/>
      <w:u w:val="single"/>
    </w:rPr>
  </w:style>
  <w:style w:type="character" w:customStyle="1" w:styleId="UnresolvedMention1">
    <w:name w:val="Unresolved Mention1"/>
    <w:basedOn w:val="DefaultParagraphFont"/>
    <w:uiPriority w:val="99"/>
    <w:semiHidden/>
    <w:unhideWhenUsed/>
    <w:rsid w:val="002B6765"/>
    <w:rPr>
      <w:color w:val="605E5C"/>
      <w:shd w:val="clear" w:color="auto" w:fill="E1DFDD"/>
    </w:rPr>
  </w:style>
  <w:style w:type="paragraph" w:styleId="ListParagraph">
    <w:name w:val="List Paragraph"/>
    <w:basedOn w:val="Normal"/>
    <w:uiPriority w:val="34"/>
    <w:qFormat/>
    <w:rsid w:val="00FF344C"/>
    <w:pPr>
      <w:ind w:left="720"/>
      <w:contextualSpacing/>
    </w:pPr>
  </w:style>
  <w:style w:type="character" w:styleId="PlaceholderText">
    <w:name w:val="Placeholder Text"/>
    <w:basedOn w:val="DefaultParagraphFont"/>
    <w:uiPriority w:val="99"/>
    <w:semiHidden/>
    <w:rsid w:val="00FF344C"/>
    <w:rPr>
      <w:color w:val="808080"/>
    </w:rPr>
  </w:style>
  <w:style w:type="paragraph" w:styleId="Caption">
    <w:name w:val="caption"/>
    <w:basedOn w:val="Normal"/>
    <w:next w:val="Normal"/>
    <w:uiPriority w:val="35"/>
    <w:unhideWhenUsed/>
    <w:qFormat/>
    <w:rsid w:val="00117A51"/>
    <w:pPr>
      <w:spacing w:after="200" w:line="240" w:lineRule="auto"/>
    </w:pPr>
    <w:rPr>
      <w:i/>
      <w:iCs/>
      <w:color w:val="44546A" w:themeColor="text2"/>
      <w:sz w:val="18"/>
      <w:szCs w:val="18"/>
    </w:rPr>
  </w:style>
  <w:style w:type="table" w:styleId="TableGrid">
    <w:name w:val="Table Grid"/>
    <w:basedOn w:val="TableNormal"/>
    <w:uiPriority w:val="39"/>
    <w:rsid w:val="00117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17A51"/>
    <w:rPr>
      <w:color w:val="954F72"/>
      <w:u w:val="single"/>
    </w:rPr>
  </w:style>
  <w:style w:type="paragraph" w:customStyle="1" w:styleId="msonormal0">
    <w:name w:val="msonormal"/>
    <w:basedOn w:val="Normal"/>
    <w:rsid w:val="00117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17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117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5">
    <w:name w:val="xl65"/>
    <w:basedOn w:val="Normal"/>
    <w:rsid w:val="00117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6">
    <w:name w:val="xl66"/>
    <w:basedOn w:val="Normal"/>
    <w:rsid w:val="00117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7">
    <w:name w:val="xl67"/>
    <w:basedOn w:val="Normal"/>
    <w:rsid w:val="00117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8">
    <w:name w:val="xl68"/>
    <w:basedOn w:val="Normal"/>
    <w:rsid w:val="00117A5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117A5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0">
    <w:name w:val="xl70"/>
    <w:basedOn w:val="Normal"/>
    <w:rsid w:val="00117A5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1">
    <w:name w:val="xl71"/>
    <w:basedOn w:val="Normal"/>
    <w:rsid w:val="00117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2">
    <w:name w:val="xl72"/>
    <w:basedOn w:val="Normal"/>
    <w:rsid w:val="00117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3">
    <w:name w:val="xl73"/>
    <w:basedOn w:val="Normal"/>
    <w:rsid w:val="00117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4">
    <w:name w:val="xl74"/>
    <w:basedOn w:val="Normal"/>
    <w:rsid w:val="00117A5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Normal"/>
    <w:rsid w:val="00117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171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163"/>
    <w:rPr>
      <w:rFonts w:ascii="Segoe UI" w:hAnsi="Segoe UI" w:cs="Segoe UI"/>
      <w:sz w:val="18"/>
      <w:szCs w:val="18"/>
    </w:rPr>
  </w:style>
  <w:style w:type="paragraph" w:styleId="Header">
    <w:name w:val="header"/>
    <w:basedOn w:val="Normal"/>
    <w:link w:val="HeaderChar"/>
    <w:uiPriority w:val="99"/>
    <w:unhideWhenUsed/>
    <w:rsid w:val="008D1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53D"/>
  </w:style>
  <w:style w:type="paragraph" w:styleId="Footer">
    <w:name w:val="footer"/>
    <w:basedOn w:val="Normal"/>
    <w:link w:val="FooterChar"/>
    <w:uiPriority w:val="99"/>
    <w:unhideWhenUsed/>
    <w:rsid w:val="008D1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084121">
      <w:bodyDiv w:val="1"/>
      <w:marLeft w:val="0"/>
      <w:marRight w:val="0"/>
      <w:marTop w:val="0"/>
      <w:marBottom w:val="0"/>
      <w:divBdr>
        <w:top w:val="none" w:sz="0" w:space="0" w:color="auto"/>
        <w:left w:val="none" w:sz="0" w:space="0" w:color="auto"/>
        <w:bottom w:val="none" w:sz="0" w:space="0" w:color="auto"/>
        <w:right w:val="none" w:sz="0" w:space="0" w:color="auto"/>
      </w:divBdr>
    </w:div>
    <w:div w:id="527453214">
      <w:bodyDiv w:val="1"/>
      <w:marLeft w:val="0"/>
      <w:marRight w:val="0"/>
      <w:marTop w:val="0"/>
      <w:marBottom w:val="0"/>
      <w:divBdr>
        <w:top w:val="none" w:sz="0" w:space="0" w:color="auto"/>
        <w:left w:val="none" w:sz="0" w:space="0" w:color="auto"/>
        <w:bottom w:val="none" w:sz="0" w:space="0" w:color="auto"/>
        <w:right w:val="none" w:sz="0" w:space="0" w:color="auto"/>
      </w:divBdr>
    </w:div>
    <w:div w:id="734863091">
      <w:bodyDiv w:val="1"/>
      <w:marLeft w:val="0"/>
      <w:marRight w:val="0"/>
      <w:marTop w:val="0"/>
      <w:marBottom w:val="0"/>
      <w:divBdr>
        <w:top w:val="none" w:sz="0" w:space="0" w:color="auto"/>
        <w:left w:val="none" w:sz="0" w:space="0" w:color="auto"/>
        <w:bottom w:val="none" w:sz="0" w:space="0" w:color="auto"/>
        <w:right w:val="none" w:sz="0" w:space="0" w:color="auto"/>
      </w:divBdr>
      <w:divsChild>
        <w:div w:id="1388798691">
          <w:marLeft w:val="0"/>
          <w:marRight w:val="0"/>
          <w:marTop w:val="0"/>
          <w:marBottom w:val="0"/>
          <w:divBdr>
            <w:top w:val="none" w:sz="0" w:space="0" w:color="auto"/>
            <w:left w:val="none" w:sz="0" w:space="0" w:color="auto"/>
            <w:bottom w:val="none" w:sz="0" w:space="0" w:color="auto"/>
            <w:right w:val="none" w:sz="0" w:space="0" w:color="auto"/>
          </w:divBdr>
        </w:div>
        <w:div w:id="1430344788">
          <w:marLeft w:val="0"/>
          <w:marRight w:val="0"/>
          <w:marTop w:val="100"/>
          <w:marBottom w:val="100"/>
          <w:divBdr>
            <w:top w:val="none" w:sz="0" w:space="0" w:color="auto"/>
            <w:left w:val="none" w:sz="0" w:space="0" w:color="auto"/>
            <w:bottom w:val="none" w:sz="0" w:space="0" w:color="auto"/>
            <w:right w:val="none" w:sz="0" w:space="0" w:color="auto"/>
          </w:divBdr>
        </w:div>
      </w:divsChild>
    </w:div>
    <w:div w:id="792358344">
      <w:bodyDiv w:val="1"/>
      <w:marLeft w:val="0"/>
      <w:marRight w:val="0"/>
      <w:marTop w:val="0"/>
      <w:marBottom w:val="0"/>
      <w:divBdr>
        <w:top w:val="none" w:sz="0" w:space="0" w:color="auto"/>
        <w:left w:val="none" w:sz="0" w:space="0" w:color="auto"/>
        <w:bottom w:val="none" w:sz="0" w:space="0" w:color="auto"/>
        <w:right w:val="none" w:sz="0" w:space="0" w:color="auto"/>
      </w:divBdr>
    </w:div>
    <w:div w:id="1798599994">
      <w:bodyDiv w:val="1"/>
      <w:marLeft w:val="0"/>
      <w:marRight w:val="0"/>
      <w:marTop w:val="0"/>
      <w:marBottom w:val="0"/>
      <w:divBdr>
        <w:top w:val="none" w:sz="0" w:space="0" w:color="auto"/>
        <w:left w:val="none" w:sz="0" w:space="0" w:color="auto"/>
        <w:bottom w:val="none" w:sz="0" w:space="0" w:color="auto"/>
        <w:right w:val="none" w:sz="0" w:space="0" w:color="auto"/>
      </w:divBdr>
      <w:divsChild>
        <w:div w:id="1681470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docs.worldbank.org/en/570371507751951589/investor-update-green-bond-2009.pdf"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chart" Target="charts/chart3.xml"/><Relationship Id="rId27"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Google%20Drive\Research%20work\Papers\8.%20Shekar%20Mishra\Islamic%20Stock%20and%20Oil%20Prices%20%5bWavelet%20Based%20QQ%5d\Comparison%20of%20QR-QQ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Google%20Drive\Research%20work\Papers\8.%20Shekar%20Mishra\Islamic%20Stock%20and%20Oil%20Prices%20%5bWavelet%20Based%20QQ%5d\Comparison%20of%20QR-QQ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Google%20Drive\Research%20work\Papers\8.%20Shekar%20Mishra\Islamic%20Stock%20and%20Oil%20Prices%20%5bWavelet%20Based%20QQ%5d\Comparison%20of%20QR-QQ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Google%20Drive\Research%20work\Papers\8.%20Shekar%20Mishra\Islamic%20Stock%20and%20Oil%20Prices%20%5bWavelet%20Based%20QQ%5d\Comparison%20of%20QR-QQ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Google%20Drive\Research%20work\Papers\8.%20Shekar%20Mishra\Islamic%20Stock%20and%20Oil%20Prices%20%5bWavelet%20Based%20QQ%5d\Comparison%20of%20QR-QQ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Google%20Drive\Research%20work\Papers\8.%20Shekar%20Mishra\Islamic%20Stock%20and%20Oil%20Prices%20%5bWavelet%20Based%20QQ%5d\Comparison%20of%20QR-QQ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Google%20Drive\Research%20work\Papers\8.%20Shekar%20Mishra\Islamic%20Stock%20and%20Oil%20Prices%20%5bWavelet%20Based%20QQ%5d\Comparison%20of%20QR-QQ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Google%20Drive\Research%20work\Papers\8.%20Shekar%20Mishra\Islamic%20Stock%20and%20Oil%20Prices%20%5bWavelet%20Based%20QQ%5d\Comparison%20of%20QR-QQR.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solidFill>
                  <a:sysClr val="windowText" lastClr="000000"/>
                </a:solidFill>
                <a:latin typeface="Times New Roman" panose="02020603050405020304" pitchFamily="18" charset="0"/>
                <a:cs typeface="Times New Roman" panose="02020603050405020304" pitchFamily="18" charset="0"/>
              </a:rPr>
              <a:t>Quantiles of Environmental &amp; Social Responsibility Index</a:t>
            </a:r>
            <a:r>
              <a:rPr lang="en-US" sz="700" baseline="0">
                <a:solidFill>
                  <a:sysClr val="windowText" lastClr="000000"/>
                </a:solidFill>
                <a:latin typeface="Times New Roman" panose="02020603050405020304" pitchFamily="18" charset="0"/>
                <a:cs typeface="Times New Roman" panose="02020603050405020304" pitchFamily="18" charset="0"/>
              </a:rPr>
              <a:t> </a:t>
            </a:r>
            <a:r>
              <a:rPr lang="el-GR" sz="700" baseline="0">
                <a:solidFill>
                  <a:sysClr val="windowText" lastClr="000000"/>
                </a:solidFill>
                <a:latin typeface="Times New Roman" panose="02020603050405020304" pitchFamily="18" charset="0"/>
                <a:cs typeface="Times New Roman" panose="02020603050405020304" pitchFamily="18" charset="0"/>
              </a:rPr>
              <a:t>θ</a:t>
            </a:r>
            <a:endParaRPr lang="en-US" sz="7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562919704698981"/>
          <c:y val="0.89023748526167323"/>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57478680669274"/>
          <c:y val="8.1682496607869748E-2"/>
          <c:w val="0.81776311273668623"/>
          <c:h val="0.73446340238677765"/>
        </c:manualLayout>
      </c:layout>
      <c:lineChart>
        <c:grouping val="standard"/>
        <c:varyColors val="0"/>
        <c:ser>
          <c:idx val="0"/>
          <c:order val="0"/>
          <c:tx>
            <c:v>QQR</c:v>
          </c:tx>
          <c:spPr>
            <a:ln w="28575" cap="rnd">
              <a:solidFill>
                <a:schemeClr val="tx1"/>
              </a:solidFill>
              <a:prstDash val="dash"/>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Sheet1!$C$4:$C$22</c:f>
              <c:numCache>
                <c:formatCode>General</c:formatCode>
                <c:ptCount val="19"/>
                <c:pt idx="0">
                  <c:v>3.4717189911933587E-2</c:v>
                </c:pt>
                <c:pt idx="1">
                  <c:v>2.3347304472813087E-2</c:v>
                </c:pt>
                <c:pt idx="2">
                  <c:v>8.9239151289896464E-3</c:v>
                </c:pt>
                <c:pt idx="3">
                  <c:v>5.0664631270952469E-3</c:v>
                </c:pt>
                <c:pt idx="4">
                  <c:v>-1.8399473623432953E-3</c:v>
                </c:pt>
                <c:pt idx="5">
                  <c:v>-4.150237456899443E-3</c:v>
                </c:pt>
                <c:pt idx="6">
                  <c:v>-5.49569228583718E-4</c:v>
                </c:pt>
                <c:pt idx="7">
                  <c:v>-2.5894331205315669E-3</c:v>
                </c:pt>
                <c:pt idx="8">
                  <c:v>-4.1515248656641031E-3</c:v>
                </c:pt>
                <c:pt idx="9">
                  <c:v>-6.1843140561656943E-3</c:v>
                </c:pt>
                <c:pt idx="10">
                  <c:v>-1.031302193045718E-2</c:v>
                </c:pt>
                <c:pt idx="11">
                  <c:v>-1.0130546775859461E-2</c:v>
                </c:pt>
                <c:pt idx="12">
                  <c:v>-1.1540679268109982E-2</c:v>
                </c:pt>
                <c:pt idx="13">
                  <c:v>-1.502000900218995E-2</c:v>
                </c:pt>
                <c:pt idx="14">
                  <c:v>-1.3522149516766613E-2</c:v>
                </c:pt>
                <c:pt idx="15">
                  <c:v>-6.2458155395220157E-3</c:v>
                </c:pt>
                <c:pt idx="16">
                  <c:v>-6.5452986883216234E-3</c:v>
                </c:pt>
                <c:pt idx="17">
                  <c:v>-6.8828373464024026E-3</c:v>
                </c:pt>
                <c:pt idx="18">
                  <c:v>-6.7528235091524995E-3</c:v>
                </c:pt>
              </c:numCache>
            </c:numRef>
          </c:val>
          <c:smooth val="0"/>
          <c:extLst>
            <c:ext xmlns:c16="http://schemas.microsoft.com/office/drawing/2014/chart" uri="{C3380CC4-5D6E-409C-BE32-E72D297353CC}">
              <c16:uniqueId val="{00000000-5325-4545-8605-7BE4981D466D}"/>
            </c:ext>
          </c:extLst>
        </c:ser>
        <c:ser>
          <c:idx val="1"/>
          <c:order val="1"/>
          <c:tx>
            <c:v>QR</c:v>
          </c:tx>
          <c:spPr>
            <a:ln w="28575" cap="rnd">
              <a:solidFill>
                <a:schemeClr val="tx1"/>
              </a:solidFill>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Sheet1!$D$4:$D$22</c:f>
              <c:numCache>
                <c:formatCode>General</c:formatCode>
                <c:ptCount val="19"/>
                <c:pt idx="0">
                  <c:v>3.37453637105272E-2</c:v>
                </c:pt>
                <c:pt idx="1">
                  <c:v>1.07218501238164E-2</c:v>
                </c:pt>
                <c:pt idx="2">
                  <c:v>9.1712322211707498E-3</c:v>
                </c:pt>
                <c:pt idx="3">
                  <c:v>8.6215282660622207E-3</c:v>
                </c:pt>
                <c:pt idx="4">
                  <c:v>-6.8181873477316402E-3</c:v>
                </c:pt>
                <c:pt idx="5">
                  <c:v>-6.9922264871806897E-3</c:v>
                </c:pt>
                <c:pt idx="6">
                  <c:v>-3.18495468476199E-3</c:v>
                </c:pt>
                <c:pt idx="7">
                  <c:v>-5.9795415867925604E-3</c:v>
                </c:pt>
                <c:pt idx="8">
                  <c:v>-6.6394638554574904E-3</c:v>
                </c:pt>
                <c:pt idx="9">
                  <c:v>-7.6990963390759703E-3</c:v>
                </c:pt>
                <c:pt idx="10">
                  <c:v>-1.39467893296594E-2</c:v>
                </c:pt>
                <c:pt idx="11">
                  <c:v>-1.0378933999961299E-2</c:v>
                </c:pt>
                <c:pt idx="12">
                  <c:v>-1.1771260072631099E-2</c:v>
                </c:pt>
                <c:pt idx="13">
                  <c:v>-1.2539335038424601E-2</c:v>
                </c:pt>
                <c:pt idx="14">
                  <c:v>-1.22903792015326E-2</c:v>
                </c:pt>
                <c:pt idx="15">
                  <c:v>-8.0947121724765699E-3</c:v>
                </c:pt>
                <c:pt idx="16">
                  <c:v>-8.7175487563213895E-3</c:v>
                </c:pt>
                <c:pt idx="17">
                  <c:v>-4.2883340262431903E-3</c:v>
                </c:pt>
                <c:pt idx="18">
                  <c:v>-1.5465655629750901E-2</c:v>
                </c:pt>
              </c:numCache>
            </c:numRef>
          </c:val>
          <c:smooth val="0"/>
          <c:extLst>
            <c:ext xmlns:c16="http://schemas.microsoft.com/office/drawing/2014/chart" uri="{C3380CC4-5D6E-409C-BE32-E72D297353CC}">
              <c16:uniqueId val="{00000001-5325-4545-8605-7BE4981D466D}"/>
            </c:ext>
          </c:extLst>
        </c:ser>
        <c:dLbls>
          <c:showLegendKey val="0"/>
          <c:showVal val="0"/>
          <c:showCatName val="0"/>
          <c:showSerName val="0"/>
          <c:showPercent val="0"/>
          <c:showBubbleSize val="0"/>
        </c:dLbls>
        <c:smooth val="0"/>
        <c:axId val="-595183296"/>
        <c:axId val="-595177856"/>
      </c:lineChart>
      <c:catAx>
        <c:axId val="-595183296"/>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77856"/>
        <c:crosses val="autoZero"/>
        <c:auto val="1"/>
        <c:lblAlgn val="ctr"/>
        <c:lblOffset val="100"/>
        <c:noMultiLvlLbl val="0"/>
      </c:catAx>
      <c:valAx>
        <c:axId val="-59517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83296"/>
        <c:crosses val="autoZero"/>
        <c:crossBetween val="between"/>
      </c:valAx>
      <c:spPr>
        <a:noFill/>
        <a:ln w="25400">
          <a:noFill/>
        </a:ln>
        <a:effectLst/>
      </c:spPr>
    </c:plotArea>
    <c:legend>
      <c:legendPos val="b"/>
      <c:layout>
        <c:manualLayout>
          <c:xMode val="edge"/>
          <c:yMode val="edge"/>
          <c:x val="0.7243306759755902"/>
          <c:y val="7.9263239991880258E-2"/>
          <c:w val="0.23574325936530657"/>
          <c:h val="0.1209025737454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700" b="0" i="0" baseline="0">
                <a:solidFill>
                  <a:schemeClr val="tx1"/>
                </a:solidFill>
                <a:effectLst/>
                <a:latin typeface="Times New Roman" panose="02020603050405020304" pitchFamily="18" charset="0"/>
                <a:cs typeface="Times New Roman" panose="02020603050405020304" pitchFamily="18" charset="0"/>
              </a:rPr>
              <a:t>Quantiles of Environmental &amp; Social Responsibility Index </a:t>
            </a:r>
            <a:r>
              <a:rPr lang="el-GR" sz="700" b="0" i="0" baseline="0">
                <a:solidFill>
                  <a:schemeClr val="tx1"/>
                </a:solidFill>
                <a:effectLst/>
                <a:latin typeface="Times New Roman" panose="02020603050405020304" pitchFamily="18" charset="0"/>
                <a:cs typeface="Times New Roman" panose="02020603050405020304" pitchFamily="18" charset="0"/>
              </a:rPr>
              <a:t>θ</a:t>
            </a:r>
            <a:endParaRPr lang="aa-ET" sz="7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4892123984121824"/>
          <c:y val="0.89311052407113223"/>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657478680669274"/>
          <c:y val="6.5400271370420635E-2"/>
          <c:w val="0.81776311273668623"/>
          <c:h val="0.75074562762422681"/>
        </c:manualLayout>
      </c:layout>
      <c:lineChart>
        <c:grouping val="standard"/>
        <c:varyColors val="0"/>
        <c:ser>
          <c:idx val="0"/>
          <c:order val="0"/>
          <c:tx>
            <c:v>QQR</c:v>
          </c:tx>
          <c:spPr>
            <a:ln w="28575" cap="rnd">
              <a:solidFill>
                <a:schemeClr val="tx1"/>
              </a:solidFill>
              <a:prstDash val="dash"/>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Sheet1!$E$4:$E$22</c:f>
              <c:numCache>
                <c:formatCode>General</c:formatCode>
                <c:ptCount val="19"/>
                <c:pt idx="0">
                  <c:v>1.2094167635409598E-2</c:v>
                </c:pt>
                <c:pt idx="1">
                  <c:v>2.0798710323473517E-2</c:v>
                </c:pt>
                <c:pt idx="2">
                  <c:v>1.4251072464315059E-2</c:v>
                </c:pt>
                <c:pt idx="3">
                  <c:v>3.453173779165427E-3</c:v>
                </c:pt>
                <c:pt idx="4">
                  <c:v>-7.2471347183599944E-3</c:v>
                </c:pt>
                <c:pt idx="5">
                  <c:v>-1.3270018312084493E-2</c:v>
                </c:pt>
                <c:pt idx="6">
                  <c:v>-1.6007027943628172E-2</c:v>
                </c:pt>
                <c:pt idx="7">
                  <c:v>-1.0518091834312848E-2</c:v>
                </c:pt>
                <c:pt idx="8">
                  <c:v>-8.8646669088157763E-3</c:v>
                </c:pt>
                <c:pt idx="9">
                  <c:v>-8.5277200636768042E-3</c:v>
                </c:pt>
                <c:pt idx="10">
                  <c:v>-8.651703991991366E-3</c:v>
                </c:pt>
                <c:pt idx="11">
                  <c:v>-5.3557784704515651E-3</c:v>
                </c:pt>
                <c:pt idx="12">
                  <c:v>-9.3057673426321914E-4</c:v>
                </c:pt>
                <c:pt idx="13">
                  <c:v>6.1283756636260067E-4</c:v>
                </c:pt>
                <c:pt idx="14">
                  <c:v>-1.9509323002114708E-3</c:v>
                </c:pt>
                <c:pt idx="15">
                  <c:v>4.3032034844821282E-4</c:v>
                </c:pt>
                <c:pt idx="16">
                  <c:v>-3.2128674275859215E-4</c:v>
                </c:pt>
                <c:pt idx="17">
                  <c:v>-1.1453123237830204E-2</c:v>
                </c:pt>
                <c:pt idx="18">
                  <c:v>-5.3445156537683211E-2</c:v>
                </c:pt>
              </c:numCache>
            </c:numRef>
          </c:val>
          <c:smooth val="0"/>
          <c:extLst>
            <c:ext xmlns:c16="http://schemas.microsoft.com/office/drawing/2014/chart" uri="{C3380CC4-5D6E-409C-BE32-E72D297353CC}">
              <c16:uniqueId val="{00000000-A3B6-407E-8E56-FE061C15847A}"/>
            </c:ext>
          </c:extLst>
        </c:ser>
        <c:ser>
          <c:idx val="1"/>
          <c:order val="1"/>
          <c:tx>
            <c:v>QR</c:v>
          </c:tx>
          <c:spPr>
            <a:ln w="28575" cap="rnd">
              <a:solidFill>
                <a:schemeClr val="tx1"/>
              </a:solidFill>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Sheet1!$F$4:$F$22</c:f>
              <c:numCache>
                <c:formatCode>General</c:formatCode>
                <c:ptCount val="19"/>
                <c:pt idx="0">
                  <c:v>-2.7135446535684199E-2</c:v>
                </c:pt>
                <c:pt idx="1">
                  <c:v>2.0509992960744901E-2</c:v>
                </c:pt>
                <c:pt idx="2">
                  <c:v>1.03401047531726E-2</c:v>
                </c:pt>
                <c:pt idx="3">
                  <c:v>3.1494453311711702E-3</c:v>
                </c:pt>
                <c:pt idx="4">
                  <c:v>-8.0227469093032307E-3</c:v>
                </c:pt>
                <c:pt idx="5">
                  <c:v>-2.1439118168477701E-2</c:v>
                </c:pt>
                <c:pt idx="6">
                  <c:v>-1.5789277826391002E-2</c:v>
                </c:pt>
                <c:pt idx="7">
                  <c:v>-5.6529477936185903E-3</c:v>
                </c:pt>
                <c:pt idx="8">
                  <c:v>-7.5133370441802204E-3</c:v>
                </c:pt>
                <c:pt idx="9">
                  <c:v>-8.72285545374798E-3</c:v>
                </c:pt>
                <c:pt idx="10">
                  <c:v>-6.6979064565479999E-3</c:v>
                </c:pt>
                <c:pt idx="11">
                  <c:v>-3.2714673893978101E-3</c:v>
                </c:pt>
                <c:pt idx="12">
                  <c:v>-1.52458228028382E-3</c:v>
                </c:pt>
                <c:pt idx="13">
                  <c:v>3.1440670681566899E-3</c:v>
                </c:pt>
                <c:pt idx="14">
                  <c:v>-4.0538965393529204E-3</c:v>
                </c:pt>
                <c:pt idx="15">
                  <c:v>-1.1020932231940299E-4</c:v>
                </c:pt>
                <c:pt idx="16">
                  <c:v>-4.8962926930407298E-3</c:v>
                </c:pt>
                <c:pt idx="17">
                  <c:v>-8.9813442414698307E-3</c:v>
                </c:pt>
                <c:pt idx="18">
                  <c:v>-3.7857659584529399E-2</c:v>
                </c:pt>
              </c:numCache>
            </c:numRef>
          </c:val>
          <c:smooth val="0"/>
          <c:extLst>
            <c:ext xmlns:c16="http://schemas.microsoft.com/office/drawing/2014/chart" uri="{C3380CC4-5D6E-409C-BE32-E72D297353CC}">
              <c16:uniqueId val="{00000001-A3B6-407E-8E56-FE061C15847A}"/>
            </c:ext>
          </c:extLst>
        </c:ser>
        <c:dLbls>
          <c:showLegendKey val="0"/>
          <c:showVal val="0"/>
          <c:showCatName val="0"/>
          <c:showSerName val="0"/>
          <c:showPercent val="0"/>
          <c:showBubbleSize val="0"/>
        </c:dLbls>
        <c:smooth val="0"/>
        <c:axId val="-595182752"/>
        <c:axId val="-595163712"/>
      </c:lineChart>
      <c:catAx>
        <c:axId val="-595182752"/>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63712"/>
        <c:crosses val="autoZero"/>
        <c:auto val="1"/>
        <c:lblAlgn val="ctr"/>
        <c:lblOffset val="100"/>
        <c:noMultiLvlLbl val="0"/>
      </c:catAx>
      <c:valAx>
        <c:axId val="-59516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82752"/>
        <c:crosses val="autoZero"/>
        <c:crossBetween val="between"/>
      </c:valAx>
      <c:spPr>
        <a:noFill/>
        <a:ln w="25400">
          <a:noFill/>
        </a:ln>
        <a:effectLst/>
      </c:spPr>
    </c:plotArea>
    <c:legend>
      <c:legendPos val="b"/>
      <c:layout>
        <c:manualLayout>
          <c:xMode val="edge"/>
          <c:yMode val="edge"/>
          <c:x val="0.72061004827696662"/>
          <c:y val="6.9468263549824244E-2"/>
          <c:w val="0.21140868353387565"/>
          <c:h val="0.11961153431126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r>
              <a:rPr lang="en-US" sz="600">
                <a:solidFill>
                  <a:sysClr val="windowText" lastClr="000000"/>
                </a:solidFill>
                <a:latin typeface="Times New Roman" panose="02020603050405020304" pitchFamily="18" charset="0"/>
                <a:cs typeface="Times New Roman" panose="02020603050405020304" pitchFamily="18" charset="0"/>
              </a:rPr>
              <a:t>Quantiles of Environmental &amp; Social Responsibility Index </a:t>
            </a:r>
            <a:r>
              <a:rPr lang="el-GR" sz="600" baseline="0">
                <a:solidFill>
                  <a:sysClr val="windowText" lastClr="000000"/>
                </a:solidFill>
                <a:latin typeface="Times New Roman" panose="02020603050405020304" pitchFamily="18" charset="0"/>
                <a:cs typeface="Times New Roman" panose="02020603050405020304" pitchFamily="18" charset="0"/>
              </a:rPr>
              <a:t>θ</a:t>
            </a:r>
            <a:endParaRPr lang="en-US" sz="6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879778817162796"/>
          <c:y val="0.89311052407113223"/>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57478680669274"/>
          <c:y val="6.458616010854816E-2"/>
          <c:w val="0.81776311273668623"/>
          <c:h val="0.75155973888609906"/>
        </c:manualLayout>
      </c:layout>
      <c:lineChart>
        <c:grouping val="standard"/>
        <c:varyColors val="0"/>
        <c:ser>
          <c:idx val="0"/>
          <c:order val="0"/>
          <c:tx>
            <c:v>QQR</c:v>
          </c:tx>
          <c:spPr>
            <a:ln w="28575" cap="rnd">
              <a:solidFill>
                <a:schemeClr val="tx1"/>
              </a:solidFill>
              <a:prstDash val="dash"/>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Sheet1!$G$4:$G$22</c:f>
              <c:numCache>
                <c:formatCode>General</c:formatCode>
                <c:ptCount val="19"/>
                <c:pt idx="0">
                  <c:v>6.4698731747553487E-2</c:v>
                </c:pt>
                <c:pt idx="1">
                  <c:v>2.4201987439455199E-2</c:v>
                </c:pt>
                <c:pt idx="2">
                  <c:v>3.0533599299322072E-2</c:v>
                </c:pt>
                <c:pt idx="3">
                  <c:v>1.5080112764640668E-2</c:v>
                </c:pt>
                <c:pt idx="4">
                  <c:v>2.7214210727754206E-3</c:v>
                </c:pt>
                <c:pt idx="5">
                  <c:v>7.9291636736465061E-3</c:v>
                </c:pt>
                <c:pt idx="6">
                  <c:v>9.0934502153229898E-3</c:v>
                </c:pt>
                <c:pt idx="7">
                  <c:v>1.0210118236574381E-3</c:v>
                </c:pt>
                <c:pt idx="8">
                  <c:v>9.209068652855909E-3</c:v>
                </c:pt>
                <c:pt idx="9">
                  <c:v>1.6788803260371032E-2</c:v>
                </c:pt>
                <c:pt idx="10">
                  <c:v>1.9235189796322705E-2</c:v>
                </c:pt>
                <c:pt idx="11">
                  <c:v>3.1592766921422787E-2</c:v>
                </c:pt>
                <c:pt idx="12">
                  <c:v>2.2838157394809828E-2</c:v>
                </c:pt>
                <c:pt idx="13">
                  <c:v>2.2802138590772618E-2</c:v>
                </c:pt>
                <c:pt idx="14">
                  <c:v>1.9286560289830418E-2</c:v>
                </c:pt>
                <c:pt idx="15">
                  <c:v>1.3066359006847361E-2</c:v>
                </c:pt>
                <c:pt idx="16">
                  <c:v>-8.0682374930559197E-3</c:v>
                </c:pt>
                <c:pt idx="17">
                  <c:v>-3.0437949362713695E-2</c:v>
                </c:pt>
                <c:pt idx="18">
                  <c:v>-1.9530690252346643E-2</c:v>
                </c:pt>
              </c:numCache>
            </c:numRef>
          </c:val>
          <c:smooth val="0"/>
          <c:extLst>
            <c:ext xmlns:c16="http://schemas.microsoft.com/office/drawing/2014/chart" uri="{C3380CC4-5D6E-409C-BE32-E72D297353CC}">
              <c16:uniqueId val="{00000000-97C9-418E-A556-EC207F204DDB}"/>
            </c:ext>
          </c:extLst>
        </c:ser>
        <c:ser>
          <c:idx val="1"/>
          <c:order val="1"/>
          <c:tx>
            <c:v>QR</c:v>
          </c:tx>
          <c:spPr>
            <a:ln w="28575" cap="rnd">
              <a:solidFill>
                <a:schemeClr val="tx1"/>
              </a:solidFill>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Sheet1!$H$4:$H$22</c:f>
              <c:numCache>
                <c:formatCode>General</c:formatCode>
                <c:ptCount val="19"/>
                <c:pt idx="0">
                  <c:v>5.6891453857562599E-2</c:v>
                </c:pt>
                <c:pt idx="1">
                  <c:v>2.2164251745327001E-2</c:v>
                </c:pt>
                <c:pt idx="2">
                  <c:v>2.6343930901479299E-2</c:v>
                </c:pt>
                <c:pt idx="3">
                  <c:v>1.4512880237742999E-2</c:v>
                </c:pt>
                <c:pt idx="4">
                  <c:v>2.65923013105485E-3</c:v>
                </c:pt>
                <c:pt idx="5">
                  <c:v>6.1208727034443196E-3</c:v>
                </c:pt>
                <c:pt idx="6">
                  <c:v>7.3444741215030404E-3</c:v>
                </c:pt>
                <c:pt idx="7">
                  <c:v>-2.74255166394487E-4</c:v>
                </c:pt>
                <c:pt idx="8">
                  <c:v>4.3157617247047203E-3</c:v>
                </c:pt>
                <c:pt idx="9">
                  <c:v>1.5385010393185201E-2</c:v>
                </c:pt>
                <c:pt idx="10">
                  <c:v>1.73704367383236E-2</c:v>
                </c:pt>
                <c:pt idx="11">
                  <c:v>2.7937770561324699E-2</c:v>
                </c:pt>
                <c:pt idx="12">
                  <c:v>2.2615543149379899E-2</c:v>
                </c:pt>
                <c:pt idx="13">
                  <c:v>2.0269300282360399E-2</c:v>
                </c:pt>
                <c:pt idx="14">
                  <c:v>1.7317577748543599E-2</c:v>
                </c:pt>
                <c:pt idx="15">
                  <c:v>1.1124235660851601E-2</c:v>
                </c:pt>
                <c:pt idx="16">
                  <c:v>-4.0139280545478297E-3</c:v>
                </c:pt>
                <c:pt idx="17">
                  <c:v>-3.2381375548198199E-2</c:v>
                </c:pt>
                <c:pt idx="18">
                  <c:v>-2.51382054553187E-2</c:v>
                </c:pt>
              </c:numCache>
            </c:numRef>
          </c:val>
          <c:smooth val="0"/>
          <c:extLst>
            <c:ext xmlns:c16="http://schemas.microsoft.com/office/drawing/2014/chart" uri="{C3380CC4-5D6E-409C-BE32-E72D297353CC}">
              <c16:uniqueId val="{00000001-97C9-418E-A556-EC207F204DDB}"/>
            </c:ext>
          </c:extLst>
        </c:ser>
        <c:dLbls>
          <c:showLegendKey val="0"/>
          <c:showVal val="0"/>
          <c:showCatName val="0"/>
          <c:showSerName val="0"/>
          <c:showPercent val="0"/>
          <c:showBubbleSize val="0"/>
        </c:dLbls>
        <c:smooth val="0"/>
        <c:axId val="-595166976"/>
        <c:axId val="-595177312"/>
      </c:lineChart>
      <c:catAx>
        <c:axId val="-595166976"/>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77312"/>
        <c:crosses val="autoZero"/>
        <c:auto val="1"/>
        <c:lblAlgn val="ctr"/>
        <c:lblOffset val="100"/>
        <c:noMultiLvlLbl val="0"/>
      </c:catAx>
      <c:valAx>
        <c:axId val="-59517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66976"/>
        <c:crosses val="autoZero"/>
        <c:crossBetween val="between"/>
      </c:valAx>
      <c:spPr>
        <a:noFill/>
        <a:ln w="25400">
          <a:noFill/>
        </a:ln>
        <a:effectLst/>
      </c:spPr>
    </c:plotArea>
    <c:legend>
      <c:legendPos val="b"/>
      <c:layout>
        <c:manualLayout>
          <c:xMode val="edge"/>
          <c:yMode val="edge"/>
          <c:x val="0.72891224835998858"/>
          <c:y val="7.8332888171882178E-2"/>
          <c:w val="0.23445396297149829"/>
          <c:h val="0.12907017013016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700" b="0" i="0" u="none" strike="noStrike" baseline="0">
                <a:solidFill>
                  <a:schemeClr val="tx1"/>
                </a:solidFill>
                <a:effectLst/>
                <a:latin typeface="Times New Roman" panose="02020603050405020304" pitchFamily="18" charset="0"/>
                <a:cs typeface="Times New Roman" panose="02020603050405020304" pitchFamily="18" charset="0"/>
              </a:rPr>
              <a:t>Quantiles of Environmental &amp; Social Responsibility Index </a:t>
            </a:r>
            <a:r>
              <a:rPr lang="en-US" sz="700" baseline="0">
                <a:solidFill>
                  <a:schemeClr val="tx1"/>
                </a:solidFill>
                <a:latin typeface="Times New Roman" panose="02020603050405020304" pitchFamily="18" charset="0"/>
                <a:cs typeface="Times New Roman" panose="02020603050405020304" pitchFamily="18" charset="0"/>
              </a:rPr>
              <a:t> </a:t>
            </a:r>
            <a:r>
              <a:rPr lang="el-GR" sz="700" baseline="0">
                <a:solidFill>
                  <a:schemeClr val="tx1"/>
                </a:solidFill>
                <a:latin typeface="Times New Roman" panose="02020603050405020304" pitchFamily="18" charset="0"/>
                <a:cs typeface="Times New Roman" panose="02020603050405020304" pitchFamily="18" charset="0"/>
              </a:rPr>
              <a:t>θ</a:t>
            </a:r>
            <a:endParaRPr lang="en-US" sz="7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6455936725802392"/>
          <c:y val="0.89297257300021637"/>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657478680669274"/>
          <c:y val="5.9972862957937585E-2"/>
          <c:w val="0.81776311273668623"/>
          <c:h val="0.75617303603670993"/>
        </c:manualLayout>
      </c:layout>
      <c:lineChart>
        <c:grouping val="standard"/>
        <c:varyColors val="0"/>
        <c:ser>
          <c:idx val="0"/>
          <c:order val="0"/>
          <c:tx>
            <c:v>QQR</c:v>
          </c:tx>
          <c:spPr>
            <a:ln w="28575" cap="rnd">
              <a:solidFill>
                <a:schemeClr val="tx1"/>
              </a:solidFill>
              <a:prstDash val="dash"/>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Sheet1!$I$4:$I$22</c:f>
              <c:numCache>
                <c:formatCode>General</c:formatCode>
                <c:ptCount val="19"/>
                <c:pt idx="0">
                  <c:v>6.6025970053123235E-3</c:v>
                </c:pt>
                <c:pt idx="1">
                  <c:v>-2.8037823763775973E-2</c:v>
                </c:pt>
                <c:pt idx="2">
                  <c:v>2.8120619874371028E-3</c:v>
                </c:pt>
                <c:pt idx="3">
                  <c:v>-8.3167724060419137E-3</c:v>
                </c:pt>
                <c:pt idx="4">
                  <c:v>6.1209092541555108E-3</c:v>
                </c:pt>
                <c:pt idx="5">
                  <c:v>-2.1110598299638478E-2</c:v>
                </c:pt>
                <c:pt idx="6">
                  <c:v>-2.0764211366661133E-2</c:v>
                </c:pt>
                <c:pt idx="7">
                  <c:v>-1.861261263090613E-2</c:v>
                </c:pt>
                <c:pt idx="8">
                  <c:v>-1.1474674639665595E-2</c:v>
                </c:pt>
                <c:pt idx="9">
                  <c:v>-1.0350196266871036E-2</c:v>
                </c:pt>
                <c:pt idx="10">
                  <c:v>-7.9388228074000512E-3</c:v>
                </c:pt>
                <c:pt idx="11">
                  <c:v>-6.609001449723418E-3</c:v>
                </c:pt>
                <c:pt idx="12">
                  <c:v>-2.1981957448914155E-3</c:v>
                </c:pt>
                <c:pt idx="13">
                  <c:v>-2.4744750289109458E-4</c:v>
                </c:pt>
                <c:pt idx="14">
                  <c:v>1.7130251871908574E-3</c:v>
                </c:pt>
                <c:pt idx="15">
                  <c:v>-1.3704128193477178E-2</c:v>
                </c:pt>
                <c:pt idx="16">
                  <c:v>-4.6561713612780734E-2</c:v>
                </c:pt>
                <c:pt idx="17">
                  <c:v>-6.1759727964835143E-2</c:v>
                </c:pt>
                <c:pt idx="18">
                  <c:v>-2.8952871970157324E-2</c:v>
                </c:pt>
              </c:numCache>
            </c:numRef>
          </c:val>
          <c:smooth val="0"/>
          <c:extLst>
            <c:ext xmlns:c16="http://schemas.microsoft.com/office/drawing/2014/chart" uri="{C3380CC4-5D6E-409C-BE32-E72D297353CC}">
              <c16:uniqueId val="{00000000-2631-44ED-A7C9-1255F7DD7CB2}"/>
            </c:ext>
          </c:extLst>
        </c:ser>
        <c:ser>
          <c:idx val="1"/>
          <c:order val="1"/>
          <c:tx>
            <c:v>QR</c:v>
          </c:tx>
          <c:spPr>
            <a:ln w="28575" cap="rnd">
              <a:solidFill>
                <a:schemeClr val="tx1"/>
              </a:solidFill>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Sheet1!$J$4:$J$22</c:f>
              <c:numCache>
                <c:formatCode>General</c:formatCode>
                <c:ptCount val="19"/>
                <c:pt idx="0">
                  <c:v>1.30286570669469E-2</c:v>
                </c:pt>
                <c:pt idx="1">
                  <c:v>-2.8687275948212701E-2</c:v>
                </c:pt>
                <c:pt idx="2">
                  <c:v>2.6635203278121602E-3</c:v>
                </c:pt>
                <c:pt idx="3">
                  <c:v>-7.1906955810737104E-3</c:v>
                </c:pt>
                <c:pt idx="4">
                  <c:v>5.3316766795453397E-3</c:v>
                </c:pt>
                <c:pt idx="5">
                  <c:v>-1.9527909014994401E-2</c:v>
                </c:pt>
                <c:pt idx="6">
                  <c:v>-1.9236569145782301E-2</c:v>
                </c:pt>
                <c:pt idx="7">
                  <c:v>-1.7531233508545501E-2</c:v>
                </c:pt>
                <c:pt idx="8">
                  <c:v>-1.1494297321126E-2</c:v>
                </c:pt>
                <c:pt idx="9">
                  <c:v>-1.0323368539317399E-2</c:v>
                </c:pt>
                <c:pt idx="10">
                  <c:v>-7.9388228074000495E-3</c:v>
                </c:pt>
                <c:pt idx="11">
                  <c:v>-6.6090014497234197E-3</c:v>
                </c:pt>
                <c:pt idx="12">
                  <c:v>-2.8070285004352098E-3</c:v>
                </c:pt>
                <c:pt idx="13">
                  <c:v>2.7044013154637202E-3</c:v>
                </c:pt>
                <c:pt idx="14">
                  <c:v>9.9708983090067904E-4</c:v>
                </c:pt>
                <c:pt idx="15">
                  <c:v>-1.41216967263078E-2</c:v>
                </c:pt>
                <c:pt idx="16">
                  <c:v>-6.1518020153731798E-2</c:v>
                </c:pt>
                <c:pt idx="17">
                  <c:v>-6.2681575726488803E-2</c:v>
                </c:pt>
                <c:pt idx="18">
                  <c:v>-2.89335220578937E-2</c:v>
                </c:pt>
              </c:numCache>
            </c:numRef>
          </c:val>
          <c:smooth val="0"/>
          <c:extLst>
            <c:ext xmlns:c16="http://schemas.microsoft.com/office/drawing/2014/chart" uri="{C3380CC4-5D6E-409C-BE32-E72D297353CC}">
              <c16:uniqueId val="{00000001-2631-44ED-A7C9-1255F7DD7CB2}"/>
            </c:ext>
          </c:extLst>
        </c:ser>
        <c:dLbls>
          <c:showLegendKey val="0"/>
          <c:showVal val="0"/>
          <c:showCatName val="0"/>
          <c:showSerName val="0"/>
          <c:showPercent val="0"/>
          <c:showBubbleSize val="0"/>
        </c:dLbls>
        <c:smooth val="0"/>
        <c:axId val="-595172960"/>
        <c:axId val="-595162080"/>
      </c:lineChart>
      <c:catAx>
        <c:axId val="-595172960"/>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62080"/>
        <c:crosses val="autoZero"/>
        <c:auto val="1"/>
        <c:lblAlgn val="ctr"/>
        <c:lblOffset val="100"/>
        <c:noMultiLvlLbl val="0"/>
      </c:catAx>
      <c:valAx>
        <c:axId val="-59516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72960"/>
        <c:crosses val="autoZero"/>
        <c:crossBetween val="between"/>
      </c:valAx>
      <c:spPr>
        <a:noFill/>
        <a:ln w="25400">
          <a:noFill/>
        </a:ln>
        <a:effectLst/>
      </c:spPr>
    </c:plotArea>
    <c:legend>
      <c:legendPos val="b"/>
      <c:layout>
        <c:manualLayout>
          <c:xMode val="edge"/>
          <c:yMode val="edge"/>
          <c:x val="0.75596532687461393"/>
          <c:y val="8.3710723405164583E-2"/>
          <c:w val="0.21140868353387565"/>
          <c:h val="0.115991587311559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solidFill>
                  <a:sysClr val="windowText" lastClr="000000"/>
                </a:solidFill>
                <a:latin typeface="Times New Roman" panose="02020603050405020304" pitchFamily="18" charset="0"/>
                <a:cs typeface="Times New Roman" panose="02020603050405020304" pitchFamily="18" charset="0"/>
              </a:rPr>
              <a:t>Quantiles of Environmental &amp; Social Responsibility Index</a:t>
            </a:r>
            <a:r>
              <a:rPr lang="en-US" sz="700" baseline="0">
                <a:solidFill>
                  <a:sysClr val="windowText" lastClr="000000"/>
                </a:solidFill>
                <a:latin typeface="Times New Roman" panose="02020603050405020304" pitchFamily="18" charset="0"/>
                <a:cs typeface="Times New Roman" panose="02020603050405020304" pitchFamily="18" charset="0"/>
              </a:rPr>
              <a:t> </a:t>
            </a:r>
            <a:r>
              <a:rPr lang="el-GR" sz="700" baseline="0">
                <a:solidFill>
                  <a:sysClr val="windowText" lastClr="000000"/>
                </a:solidFill>
                <a:latin typeface="Times New Roman" panose="02020603050405020304" pitchFamily="18" charset="0"/>
                <a:cs typeface="Times New Roman" panose="02020603050405020304" pitchFamily="18" charset="0"/>
              </a:rPr>
              <a:t>θ</a:t>
            </a:r>
            <a:endParaRPr lang="en-US" sz="7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879778817162796"/>
          <c:y val="0.88888888888888884"/>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57478680669274"/>
          <c:y val="9.4436906377204866E-2"/>
          <c:w val="0.81776311273668623"/>
          <c:h val="0.72170899261744248"/>
        </c:manualLayout>
      </c:layout>
      <c:lineChart>
        <c:grouping val="standard"/>
        <c:varyColors val="0"/>
        <c:ser>
          <c:idx val="0"/>
          <c:order val="0"/>
          <c:tx>
            <c:v>QQR</c:v>
          </c:tx>
          <c:spPr>
            <a:ln w="28575" cap="rnd">
              <a:solidFill>
                <a:schemeClr val="tx1"/>
              </a:solidFill>
              <a:prstDash val="dash"/>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Sheet1!$K$4:$K$22</c:f>
              <c:numCache>
                <c:formatCode>General</c:formatCode>
                <c:ptCount val="19"/>
                <c:pt idx="0">
                  <c:v>3.232306365544059E-2</c:v>
                </c:pt>
                <c:pt idx="1">
                  <c:v>1.1132808253122739E-2</c:v>
                </c:pt>
                <c:pt idx="2">
                  <c:v>3.7796239838842303E-3</c:v>
                </c:pt>
                <c:pt idx="3">
                  <c:v>-1.2368141712714697E-2</c:v>
                </c:pt>
                <c:pt idx="4">
                  <c:v>-2.6056240077289104E-2</c:v>
                </c:pt>
                <c:pt idx="5">
                  <c:v>-2.8629164744543696E-2</c:v>
                </c:pt>
                <c:pt idx="6">
                  <c:v>-5.8821358543974696E-2</c:v>
                </c:pt>
                <c:pt idx="7">
                  <c:v>-2.9333344121912804E-2</c:v>
                </c:pt>
                <c:pt idx="8">
                  <c:v>-3.5432133648797791E-2</c:v>
                </c:pt>
                <c:pt idx="9">
                  <c:v>-1.7059907622966681E-2</c:v>
                </c:pt>
                <c:pt idx="10">
                  <c:v>-3.6716180506349561E-2</c:v>
                </c:pt>
                <c:pt idx="11">
                  <c:v>-4.1181879425129207E-2</c:v>
                </c:pt>
                <c:pt idx="12">
                  <c:v>-4.5985123564783403E-2</c:v>
                </c:pt>
                <c:pt idx="13">
                  <c:v>-4.3699710425011785E-2</c:v>
                </c:pt>
                <c:pt idx="14">
                  <c:v>-3.728080521085312E-2</c:v>
                </c:pt>
                <c:pt idx="15">
                  <c:v>-2.7036281914155483E-2</c:v>
                </c:pt>
                <c:pt idx="16">
                  <c:v>-2.4889952048448457E-2</c:v>
                </c:pt>
                <c:pt idx="17">
                  <c:v>1.6791014141789403E-5</c:v>
                </c:pt>
                <c:pt idx="18">
                  <c:v>-7.9185442244865956E-2</c:v>
                </c:pt>
              </c:numCache>
            </c:numRef>
          </c:val>
          <c:smooth val="0"/>
          <c:extLst>
            <c:ext xmlns:c16="http://schemas.microsoft.com/office/drawing/2014/chart" uri="{C3380CC4-5D6E-409C-BE32-E72D297353CC}">
              <c16:uniqueId val="{00000000-B7D3-418A-8814-40590342F46C}"/>
            </c:ext>
          </c:extLst>
        </c:ser>
        <c:ser>
          <c:idx val="1"/>
          <c:order val="1"/>
          <c:tx>
            <c:v>QR</c:v>
          </c:tx>
          <c:spPr>
            <a:ln w="28575" cap="rnd">
              <a:solidFill>
                <a:schemeClr val="tx1"/>
              </a:solidFill>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Sheet1!$L$4:$L$22</c:f>
              <c:numCache>
                <c:formatCode>General</c:formatCode>
                <c:ptCount val="19"/>
                <c:pt idx="0">
                  <c:v>3.2323063655440597E-2</c:v>
                </c:pt>
                <c:pt idx="1">
                  <c:v>1.16231427309091E-2</c:v>
                </c:pt>
                <c:pt idx="2">
                  <c:v>3.7796239838842199E-3</c:v>
                </c:pt>
                <c:pt idx="3">
                  <c:v>-1.2368141712714701E-2</c:v>
                </c:pt>
                <c:pt idx="4">
                  <c:v>-2.60562400772891E-2</c:v>
                </c:pt>
                <c:pt idx="5">
                  <c:v>-2.86291647445437E-2</c:v>
                </c:pt>
                <c:pt idx="6">
                  <c:v>-5.7811206205841098E-2</c:v>
                </c:pt>
                <c:pt idx="7">
                  <c:v>-2.93333441219128E-2</c:v>
                </c:pt>
                <c:pt idx="8">
                  <c:v>-3.5260634782703901E-2</c:v>
                </c:pt>
                <c:pt idx="9">
                  <c:v>-1.7144481091410601E-2</c:v>
                </c:pt>
                <c:pt idx="10">
                  <c:v>-3.5902453799961501E-2</c:v>
                </c:pt>
                <c:pt idx="11">
                  <c:v>-4.2091273317388503E-2</c:v>
                </c:pt>
                <c:pt idx="12">
                  <c:v>-4.6652715009728098E-2</c:v>
                </c:pt>
                <c:pt idx="13">
                  <c:v>-4.5237133564337499E-2</c:v>
                </c:pt>
                <c:pt idx="14">
                  <c:v>-3.8252401566060502E-2</c:v>
                </c:pt>
                <c:pt idx="15">
                  <c:v>-2.8138213178168999E-2</c:v>
                </c:pt>
                <c:pt idx="16">
                  <c:v>-2.4730941235799601E-2</c:v>
                </c:pt>
                <c:pt idx="17">
                  <c:v>1.57509885266271E-3</c:v>
                </c:pt>
                <c:pt idx="18">
                  <c:v>-8.5095448799559895E-2</c:v>
                </c:pt>
              </c:numCache>
            </c:numRef>
          </c:val>
          <c:smooth val="0"/>
          <c:extLst>
            <c:ext xmlns:c16="http://schemas.microsoft.com/office/drawing/2014/chart" uri="{C3380CC4-5D6E-409C-BE32-E72D297353CC}">
              <c16:uniqueId val="{00000001-B7D3-418A-8814-40590342F46C}"/>
            </c:ext>
          </c:extLst>
        </c:ser>
        <c:dLbls>
          <c:showLegendKey val="0"/>
          <c:showVal val="0"/>
          <c:showCatName val="0"/>
          <c:showSerName val="0"/>
          <c:showPercent val="0"/>
          <c:showBubbleSize val="0"/>
        </c:dLbls>
        <c:smooth val="0"/>
        <c:axId val="-595174592"/>
        <c:axId val="-595174048"/>
      </c:lineChart>
      <c:catAx>
        <c:axId val="-595174592"/>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74048"/>
        <c:crosses val="autoZero"/>
        <c:auto val="1"/>
        <c:lblAlgn val="ctr"/>
        <c:lblOffset val="100"/>
        <c:noMultiLvlLbl val="0"/>
      </c:catAx>
      <c:valAx>
        <c:axId val="-59517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74592"/>
        <c:crosses val="autoZero"/>
        <c:crossBetween val="between"/>
      </c:valAx>
      <c:spPr>
        <a:noFill/>
        <a:ln w="25400">
          <a:noFill/>
        </a:ln>
        <a:effectLst/>
      </c:spPr>
    </c:plotArea>
    <c:legend>
      <c:legendPos val="b"/>
      <c:layout>
        <c:manualLayout>
          <c:xMode val="edge"/>
          <c:yMode val="edge"/>
          <c:x val="0.69670592234501183"/>
          <c:y val="0.6971031741792113"/>
          <c:w val="0.23445396297149829"/>
          <c:h val="0.12907017013016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solidFill>
                  <a:sysClr val="windowText" lastClr="000000"/>
                </a:solidFill>
                <a:latin typeface="Times New Roman" panose="02020603050405020304" pitchFamily="18" charset="0"/>
                <a:cs typeface="Times New Roman" panose="02020603050405020304" pitchFamily="18" charset="0"/>
              </a:rPr>
              <a:t>Quantiles of Environmental &amp; Social Responsibility Index </a:t>
            </a:r>
            <a:r>
              <a:rPr lang="el-GR" sz="700" baseline="0">
                <a:solidFill>
                  <a:sysClr val="windowText" lastClr="000000"/>
                </a:solidFill>
                <a:latin typeface="Times New Roman" panose="02020603050405020304" pitchFamily="18" charset="0"/>
                <a:cs typeface="Times New Roman" panose="02020603050405020304" pitchFamily="18" charset="0"/>
              </a:rPr>
              <a:t>θ</a:t>
            </a:r>
            <a:endParaRPr lang="en-US" sz="7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525870205564412"/>
          <c:y val="0.89719420818245976"/>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QQR</c:v>
          </c:tx>
          <c:spPr>
            <a:ln w="28575" cap="rnd">
              <a:solidFill>
                <a:schemeClr val="tx1"/>
              </a:solidFill>
              <a:prstDash val="dash"/>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Sheet1!$M$4:$M$22</c:f>
              <c:numCache>
                <c:formatCode>General</c:formatCode>
                <c:ptCount val="19"/>
                <c:pt idx="0">
                  <c:v>-0.13065521299999999</c:v>
                </c:pt>
                <c:pt idx="1">
                  <c:v>-0.18950325999999998</c:v>
                </c:pt>
                <c:pt idx="2">
                  <c:v>-9.4723300000000024E-2</c:v>
                </c:pt>
                <c:pt idx="3">
                  <c:v>-4.620243000000001E-2</c:v>
                </c:pt>
                <c:pt idx="4">
                  <c:v>-3.2700142000000001E-2</c:v>
                </c:pt>
                <c:pt idx="5">
                  <c:v>-3.770485300000001E-2</c:v>
                </c:pt>
                <c:pt idx="6">
                  <c:v>-1.7395074105263163E-2</c:v>
                </c:pt>
                <c:pt idx="7">
                  <c:v>-1.1702011000000005E-2</c:v>
                </c:pt>
                <c:pt idx="8">
                  <c:v>-5.9808990526315758E-3</c:v>
                </c:pt>
                <c:pt idx="9">
                  <c:v>-2.05851997368421E-2</c:v>
                </c:pt>
                <c:pt idx="10">
                  <c:v>-4.5702025789473702E-2</c:v>
                </c:pt>
                <c:pt idx="11">
                  <c:v>-8.9004478473684229E-2</c:v>
                </c:pt>
                <c:pt idx="12">
                  <c:v>-5.1843782736842106E-2</c:v>
                </c:pt>
                <c:pt idx="13">
                  <c:v>-3.6703358210526303E-2</c:v>
                </c:pt>
                <c:pt idx="14">
                  <c:v>-3.1144564052631579E-2</c:v>
                </c:pt>
                <c:pt idx="15">
                  <c:v>1.3224048947368418E-3</c:v>
                </c:pt>
                <c:pt idx="16">
                  <c:v>-4.4152410999999989E-2</c:v>
                </c:pt>
                <c:pt idx="17">
                  <c:v>-4.7848820999999993E-2</c:v>
                </c:pt>
                <c:pt idx="18">
                  <c:v>8.7339190000000032E-3</c:v>
                </c:pt>
              </c:numCache>
            </c:numRef>
          </c:val>
          <c:smooth val="0"/>
          <c:extLst>
            <c:ext xmlns:c16="http://schemas.microsoft.com/office/drawing/2014/chart" uri="{C3380CC4-5D6E-409C-BE32-E72D297353CC}">
              <c16:uniqueId val="{00000000-912D-4E36-8DD1-6004893790CF}"/>
            </c:ext>
          </c:extLst>
        </c:ser>
        <c:ser>
          <c:idx val="1"/>
          <c:order val="1"/>
          <c:tx>
            <c:v>QR</c:v>
          </c:tx>
          <c:spPr>
            <a:ln w="28575" cap="rnd">
              <a:solidFill>
                <a:schemeClr val="tx1"/>
              </a:solidFill>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Sheet1!$N$4:$N$22</c:f>
              <c:numCache>
                <c:formatCode>General</c:formatCode>
                <c:ptCount val="19"/>
                <c:pt idx="0">
                  <c:v>-0.13065521250387799</c:v>
                </c:pt>
                <c:pt idx="1">
                  <c:v>-0.18950326016060801</c:v>
                </c:pt>
                <c:pt idx="2">
                  <c:v>-9.4723299542308806E-2</c:v>
                </c:pt>
                <c:pt idx="3">
                  <c:v>-4.6202430345027599E-2</c:v>
                </c:pt>
                <c:pt idx="4">
                  <c:v>-3.2700141999082402E-2</c:v>
                </c:pt>
                <c:pt idx="5">
                  <c:v>-3.77048526212371E-2</c:v>
                </c:pt>
                <c:pt idx="6">
                  <c:v>-1.72596324295308E-2</c:v>
                </c:pt>
                <c:pt idx="7">
                  <c:v>-1.17020105328711E-2</c:v>
                </c:pt>
                <c:pt idx="8">
                  <c:v>-6.2431916266000899E-3</c:v>
                </c:pt>
                <c:pt idx="9">
                  <c:v>-2.05627805734627E-2</c:v>
                </c:pt>
                <c:pt idx="10">
                  <c:v>-4.5714750226333402E-2</c:v>
                </c:pt>
                <c:pt idx="11">
                  <c:v>-9.0512459242375803E-2</c:v>
                </c:pt>
                <c:pt idx="12">
                  <c:v>-5.2380906208760597E-2</c:v>
                </c:pt>
                <c:pt idx="13">
                  <c:v>-3.8458592211803699E-2</c:v>
                </c:pt>
                <c:pt idx="14">
                  <c:v>-3.4867693774477397E-2</c:v>
                </c:pt>
                <c:pt idx="15">
                  <c:v>-2.50696629415641E-3</c:v>
                </c:pt>
                <c:pt idx="16">
                  <c:v>-4.4151725071983602E-2</c:v>
                </c:pt>
                <c:pt idx="17">
                  <c:v>-4.7848820687695401E-2</c:v>
                </c:pt>
                <c:pt idx="18">
                  <c:v>8.7339194966770898E-3</c:v>
                </c:pt>
              </c:numCache>
            </c:numRef>
          </c:val>
          <c:smooth val="0"/>
          <c:extLst>
            <c:ext xmlns:c16="http://schemas.microsoft.com/office/drawing/2014/chart" uri="{C3380CC4-5D6E-409C-BE32-E72D297353CC}">
              <c16:uniqueId val="{00000001-912D-4E36-8DD1-6004893790CF}"/>
            </c:ext>
          </c:extLst>
        </c:ser>
        <c:dLbls>
          <c:showLegendKey val="0"/>
          <c:showVal val="0"/>
          <c:showCatName val="0"/>
          <c:showSerName val="0"/>
          <c:showPercent val="0"/>
          <c:showBubbleSize val="0"/>
        </c:dLbls>
        <c:smooth val="0"/>
        <c:axId val="-595175680"/>
        <c:axId val="-595170240"/>
      </c:lineChart>
      <c:catAx>
        <c:axId val="-595175680"/>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70240"/>
        <c:crosses val="autoZero"/>
        <c:auto val="1"/>
        <c:lblAlgn val="ctr"/>
        <c:lblOffset val="100"/>
        <c:noMultiLvlLbl val="0"/>
      </c:catAx>
      <c:valAx>
        <c:axId val="-59517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75680"/>
        <c:crosses val="autoZero"/>
        <c:crossBetween val="between"/>
      </c:valAx>
      <c:spPr>
        <a:noFill/>
        <a:ln w="25400">
          <a:noFill/>
        </a:ln>
        <a:effectLst/>
      </c:spPr>
    </c:plotArea>
    <c:legend>
      <c:legendPos val="b"/>
      <c:layout>
        <c:manualLayout>
          <c:xMode val="edge"/>
          <c:yMode val="edge"/>
          <c:x val="0.75925744337997603"/>
          <c:y val="0.69041763266701572"/>
          <c:w val="0.21140868353387565"/>
          <c:h val="0.141321316705644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solidFill>
                  <a:sysClr val="windowText" lastClr="000000"/>
                </a:solidFill>
                <a:latin typeface="Times New Roman" panose="02020603050405020304" pitchFamily="18" charset="0"/>
                <a:cs typeface="Times New Roman" panose="02020603050405020304" pitchFamily="18" charset="0"/>
              </a:rPr>
              <a:t>Quantiles of Environmental &amp; Social Responsibility Index</a:t>
            </a:r>
            <a:r>
              <a:rPr lang="en-US" sz="700" baseline="0">
                <a:solidFill>
                  <a:sysClr val="windowText" lastClr="000000"/>
                </a:solidFill>
                <a:latin typeface="Times New Roman" panose="02020603050405020304" pitchFamily="18" charset="0"/>
                <a:cs typeface="Times New Roman" panose="02020603050405020304" pitchFamily="18" charset="0"/>
              </a:rPr>
              <a:t> </a:t>
            </a:r>
            <a:r>
              <a:rPr lang="el-GR" sz="700" baseline="0">
                <a:solidFill>
                  <a:sysClr val="windowText" lastClr="000000"/>
                </a:solidFill>
                <a:latin typeface="Times New Roman" panose="02020603050405020304" pitchFamily="18" charset="0"/>
                <a:cs typeface="Times New Roman" panose="02020603050405020304" pitchFamily="18" charset="0"/>
              </a:rPr>
              <a:t>θ</a:t>
            </a:r>
            <a:endParaRPr lang="en-US" sz="7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241904924353677"/>
          <c:y val="0.88888888888888884"/>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QQR</c:v>
          </c:tx>
          <c:spPr>
            <a:ln w="28575" cap="rnd">
              <a:solidFill>
                <a:schemeClr val="tx1"/>
              </a:solidFill>
              <a:prstDash val="dash"/>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Sheet1!$O$4:$O$22</c:f>
              <c:numCache>
                <c:formatCode>General</c:formatCode>
                <c:ptCount val="19"/>
                <c:pt idx="0">
                  <c:v>-0.30248404142105256</c:v>
                </c:pt>
                <c:pt idx="1">
                  <c:v>-0.18989541505263152</c:v>
                </c:pt>
                <c:pt idx="2">
                  <c:v>-0.14733527699999996</c:v>
                </c:pt>
                <c:pt idx="3">
                  <c:v>-0.12697588863157896</c:v>
                </c:pt>
                <c:pt idx="4">
                  <c:v>-9.3914853105263124E-2</c:v>
                </c:pt>
                <c:pt idx="5">
                  <c:v>-2.4747989894736838E-2</c:v>
                </c:pt>
                <c:pt idx="6">
                  <c:v>-3.7506287000000013E-2</c:v>
                </c:pt>
                <c:pt idx="7">
                  <c:v>-4.2544264999999984E-2</c:v>
                </c:pt>
                <c:pt idx="8">
                  <c:v>-5.1108463000000028E-2</c:v>
                </c:pt>
                <c:pt idx="9">
                  <c:v>-2.4486418999999992E-2</c:v>
                </c:pt>
                <c:pt idx="10">
                  <c:v>-4.0760903999999994E-2</c:v>
                </c:pt>
                <c:pt idx="11">
                  <c:v>-6.3051042999999987E-2</c:v>
                </c:pt>
                <c:pt idx="12">
                  <c:v>-7.959641100000002E-2</c:v>
                </c:pt>
                <c:pt idx="13">
                  <c:v>-0.1163355565789474</c:v>
                </c:pt>
                <c:pt idx="14">
                  <c:v>-0.10960703699999999</c:v>
                </c:pt>
                <c:pt idx="15">
                  <c:v>-0.20996487300000008</c:v>
                </c:pt>
                <c:pt idx="16">
                  <c:v>-0.19976224199999992</c:v>
                </c:pt>
                <c:pt idx="17">
                  <c:v>-0.25355210568421055</c:v>
                </c:pt>
                <c:pt idx="18">
                  <c:v>-0.31112181800000005</c:v>
                </c:pt>
              </c:numCache>
            </c:numRef>
          </c:val>
          <c:smooth val="0"/>
          <c:extLst>
            <c:ext xmlns:c16="http://schemas.microsoft.com/office/drawing/2014/chart" uri="{C3380CC4-5D6E-409C-BE32-E72D297353CC}">
              <c16:uniqueId val="{00000000-EA38-45EC-8342-C830B715BE17}"/>
            </c:ext>
          </c:extLst>
        </c:ser>
        <c:ser>
          <c:idx val="1"/>
          <c:order val="1"/>
          <c:tx>
            <c:v>QR</c:v>
          </c:tx>
          <c:spPr>
            <a:ln w="28575" cap="rnd">
              <a:solidFill>
                <a:schemeClr val="tx1"/>
              </a:solidFill>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Sheet1!$P$4:$P$22</c:f>
              <c:numCache>
                <c:formatCode>General</c:formatCode>
                <c:ptCount val="19"/>
                <c:pt idx="0">
                  <c:v>-0.30314138334110102</c:v>
                </c:pt>
                <c:pt idx="1">
                  <c:v>-0.191719476297873</c:v>
                </c:pt>
                <c:pt idx="2">
                  <c:v>-0.14733527671882499</c:v>
                </c:pt>
                <c:pt idx="3">
                  <c:v>-0.12543801940160901</c:v>
                </c:pt>
                <c:pt idx="4">
                  <c:v>-9.3670128780776699E-2</c:v>
                </c:pt>
                <c:pt idx="5">
                  <c:v>-3.12109610945666E-2</c:v>
                </c:pt>
                <c:pt idx="6">
                  <c:v>-3.7506287049123503E-2</c:v>
                </c:pt>
                <c:pt idx="7">
                  <c:v>-4.2544264581552499E-2</c:v>
                </c:pt>
                <c:pt idx="8">
                  <c:v>-5.11084625025192E-2</c:v>
                </c:pt>
                <c:pt idx="9">
                  <c:v>-2.4486418967813901E-2</c:v>
                </c:pt>
                <c:pt idx="10">
                  <c:v>-4.0760903619120603E-2</c:v>
                </c:pt>
                <c:pt idx="11">
                  <c:v>-6.3051042897912093E-2</c:v>
                </c:pt>
                <c:pt idx="12">
                  <c:v>-7.9596411111898399E-2</c:v>
                </c:pt>
                <c:pt idx="13">
                  <c:v>-0.116347570374668</c:v>
                </c:pt>
                <c:pt idx="14">
                  <c:v>-0.109607037379813</c:v>
                </c:pt>
                <c:pt idx="15">
                  <c:v>-0.20996487313502199</c:v>
                </c:pt>
                <c:pt idx="16">
                  <c:v>-0.19976224220785499</c:v>
                </c:pt>
                <c:pt idx="17">
                  <c:v>-0.25402411742238301</c:v>
                </c:pt>
                <c:pt idx="18">
                  <c:v>-0.31112181811258699</c:v>
                </c:pt>
              </c:numCache>
            </c:numRef>
          </c:val>
          <c:smooth val="0"/>
          <c:extLst>
            <c:ext xmlns:c16="http://schemas.microsoft.com/office/drawing/2014/chart" uri="{C3380CC4-5D6E-409C-BE32-E72D297353CC}">
              <c16:uniqueId val="{00000001-EA38-45EC-8342-C830B715BE17}"/>
            </c:ext>
          </c:extLst>
        </c:ser>
        <c:dLbls>
          <c:showLegendKey val="0"/>
          <c:showVal val="0"/>
          <c:showCatName val="0"/>
          <c:showSerName val="0"/>
          <c:showPercent val="0"/>
          <c:showBubbleSize val="0"/>
        </c:dLbls>
        <c:smooth val="0"/>
        <c:axId val="-595165344"/>
        <c:axId val="-595173504"/>
      </c:lineChart>
      <c:catAx>
        <c:axId val="-595165344"/>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73504"/>
        <c:crosses val="autoZero"/>
        <c:auto val="1"/>
        <c:lblAlgn val="ctr"/>
        <c:lblOffset val="100"/>
        <c:noMultiLvlLbl val="0"/>
      </c:catAx>
      <c:valAx>
        <c:axId val="-59517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65344"/>
        <c:crosses val="autoZero"/>
        <c:crossBetween val="between"/>
      </c:valAx>
      <c:spPr>
        <a:noFill/>
        <a:ln w="25400">
          <a:noFill/>
        </a:ln>
        <a:effectLst/>
      </c:spPr>
    </c:plotArea>
    <c:legend>
      <c:legendPos val="b"/>
      <c:layout>
        <c:manualLayout>
          <c:xMode val="edge"/>
          <c:yMode val="edge"/>
          <c:x val="0.69813690785538496"/>
          <c:y val="0.71217983098110027"/>
          <c:w val="0.23445396297149829"/>
          <c:h val="0.12907017013016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solidFill>
                  <a:sysClr val="windowText" lastClr="000000"/>
                </a:solidFill>
                <a:latin typeface="Times New Roman" panose="02020603050405020304" pitchFamily="18" charset="0"/>
                <a:cs typeface="Times New Roman" panose="02020603050405020304" pitchFamily="18" charset="0"/>
              </a:rPr>
              <a:t>Quantiles of Enviornmental &amp; Social Responsibility</a:t>
            </a:r>
            <a:r>
              <a:rPr lang="en-US" sz="700" baseline="0">
                <a:solidFill>
                  <a:sysClr val="windowText" lastClr="000000"/>
                </a:solidFill>
                <a:latin typeface="Times New Roman" panose="02020603050405020304" pitchFamily="18" charset="0"/>
                <a:cs typeface="Times New Roman" panose="02020603050405020304" pitchFamily="18" charset="0"/>
              </a:rPr>
              <a:t> Index </a:t>
            </a:r>
            <a:r>
              <a:rPr lang="el-GR" sz="700" baseline="0">
                <a:solidFill>
                  <a:sysClr val="windowText" lastClr="000000"/>
                </a:solidFill>
                <a:latin typeface="Times New Roman" panose="02020603050405020304" pitchFamily="18" charset="0"/>
                <a:cs typeface="Times New Roman" panose="02020603050405020304" pitchFamily="18" charset="0"/>
              </a:rPr>
              <a:t>θ</a:t>
            </a:r>
            <a:endParaRPr lang="en-US" sz="7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571123202033998"/>
          <c:y val="0.89297257300021637"/>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QQR</c:v>
          </c:tx>
          <c:spPr>
            <a:ln w="28575" cap="rnd">
              <a:solidFill>
                <a:schemeClr val="tx1"/>
              </a:solidFill>
              <a:prstDash val="dash"/>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Sheet1!$Q$4:$Q$22</c:f>
              <c:numCache>
                <c:formatCode>General</c:formatCode>
                <c:ptCount val="19"/>
                <c:pt idx="0">
                  <c:v>-0.89803286636842117</c:v>
                </c:pt>
                <c:pt idx="1">
                  <c:v>-0.64655107499999986</c:v>
                </c:pt>
                <c:pt idx="2">
                  <c:v>-0.51723723389473664</c:v>
                </c:pt>
                <c:pt idx="3">
                  <c:v>-0.30636161199999995</c:v>
                </c:pt>
                <c:pt idx="4">
                  <c:v>-0.30208504600000008</c:v>
                </c:pt>
                <c:pt idx="5">
                  <c:v>-0.31815395200000007</c:v>
                </c:pt>
                <c:pt idx="6">
                  <c:v>-0.22271872500000001</c:v>
                </c:pt>
                <c:pt idx="7">
                  <c:v>-0.18554424799999991</c:v>
                </c:pt>
                <c:pt idx="8">
                  <c:v>-0.187698213</c:v>
                </c:pt>
                <c:pt idx="9">
                  <c:v>-4.0182795999999993E-2</c:v>
                </c:pt>
                <c:pt idx="10">
                  <c:v>-3.0020476999999997E-2</c:v>
                </c:pt>
                <c:pt idx="11">
                  <c:v>-8.5104310000000023E-3</c:v>
                </c:pt>
                <c:pt idx="12">
                  <c:v>-2.8772379999999997E-2</c:v>
                </c:pt>
                <c:pt idx="13">
                  <c:v>-7.1101883000000005E-2</c:v>
                </c:pt>
                <c:pt idx="14">
                  <c:v>-0.10001741999999995</c:v>
                </c:pt>
                <c:pt idx="15">
                  <c:v>-0.15733842300000006</c:v>
                </c:pt>
                <c:pt idx="16">
                  <c:v>-0.25308497899999993</c:v>
                </c:pt>
                <c:pt idx="17">
                  <c:v>-0.38164751121052631</c:v>
                </c:pt>
                <c:pt idx="18">
                  <c:v>-0.86633452399999966</c:v>
                </c:pt>
              </c:numCache>
            </c:numRef>
          </c:val>
          <c:smooth val="0"/>
          <c:extLst>
            <c:ext xmlns:c16="http://schemas.microsoft.com/office/drawing/2014/chart" uri="{C3380CC4-5D6E-409C-BE32-E72D297353CC}">
              <c16:uniqueId val="{00000000-3BE4-40A3-9B16-1E4D83D48AE2}"/>
            </c:ext>
          </c:extLst>
        </c:ser>
        <c:ser>
          <c:idx val="1"/>
          <c:order val="1"/>
          <c:tx>
            <c:v>QR</c:v>
          </c:tx>
          <c:spPr>
            <a:ln w="28575" cap="rnd">
              <a:solidFill>
                <a:schemeClr val="tx1"/>
              </a:solidFill>
              <a:round/>
            </a:ln>
            <a:effectLst/>
          </c:spPr>
          <c:marker>
            <c:symbol val="none"/>
          </c:marker>
          <c:cat>
            <c:numRef>
              <c:f>Sheet1!$B$4:$B$22</c:f>
              <c:numCache>
                <c:formatCode>0.00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Sheet1!$R$4:$R$22</c:f>
              <c:numCache>
                <c:formatCode>General</c:formatCode>
                <c:ptCount val="19"/>
                <c:pt idx="0">
                  <c:v>-0.89803286636842117</c:v>
                </c:pt>
                <c:pt idx="1">
                  <c:v>-0.64655107499999986</c:v>
                </c:pt>
                <c:pt idx="2">
                  <c:v>-0.51723723389473664</c:v>
                </c:pt>
                <c:pt idx="3">
                  <c:v>-0.30636161199999995</c:v>
                </c:pt>
                <c:pt idx="4">
                  <c:v>-0.30208504600000008</c:v>
                </c:pt>
                <c:pt idx="5">
                  <c:v>-0.31815395200000007</c:v>
                </c:pt>
                <c:pt idx="6">
                  <c:v>-0.22271872500000001</c:v>
                </c:pt>
                <c:pt idx="7">
                  <c:v>-0.18554424799999991</c:v>
                </c:pt>
                <c:pt idx="8">
                  <c:v>-0.187698213</c:v>
                </c:pt>
                <c:pt idx="9">
                  <c:v>-4.0182795999999993E-2</c:v>
                </c:pt>
                <c:pt idx="10">
                  <c:v>-3.0020476999999997E-2</c:v>
                </c:pt>
                <c:pt idx="11">
                  <c:v>-8.5104310000000023E-3</c:v>
                </c:pt>
                <c:pt idx="12">
                  <c:v>-2.8772379807527299E-2</c:v>
                </c:pt>
                <c:pt idx="13">
                  <c:v>-7.1101882965038901E-2</c:v>
                </c:pt>
                <c:pt idx="14">
                  <c:v>-0.100017420420245</c:v>
                </c:pt>
                <c:pt idx="15">
                  <c:v>-0.157338422538677</c:v>
                </c:pt>
                <c:pt idx="16">
                  <c:v>-0.253084978730507</c:v>
                </c:pt>
                <c:pt idx="17">
                  <c:v>-0.36983504180770099</c:v>
                </c:pt>
                <c:pt idx="18">
                  <c:v>-0.86633452371510999</c:v>
                </c:pt>
              </c:numCache>
            </c:numRef>
          </c:val>
          <c:smooth val="0"/>
          <c:extLst>
            <c:ext xmlns:c16="http://schemas.microsoft.com/office/drawing/2014/chart" uri="{C3380CC4-5D6E-409C-BE32-E72D297353CC}">
              <c16:uniqueId val="{00000001-3BE4-40A3-9B16-1E4D83D48AE2}"/>
            </c:ext>
          </c:extLst>
        </c:ser>
        <c:dLbls>
          <c:showLegendKey val="0"/>
          <c:showVal val="0"/>
          <c:showCatName val="0"/>
          <c:showSerName val="0"/>
          <c:showPercent val="0"/>
          <c:showBubbleSize val="0"/>
        </c:dLbls>
        <c:smooth val="0"/>
        <c:axId val="-595176224"/>
        <c:axId val="-595184384"/>
      </c:lineChart>
      <c:catAx>
        <c:axId val="-595176224"/>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84384"/>
        <c:crosses val="autoZero"/>
        <c:auto val="1"/>
        <c:lblAlgn val="ctr"/>
        <c:lblOffset val="100"/>
        <c:noMultiLvlLbl val="0"/>
      </c:catAx>
      <c:valAx>
        <c:axId val="-59518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5176224"/>
        <c:crosses val="autoZero"/>
        <c:crossBetween val="between"/>
      </c:valAx>
      <c:spPr>
        <a:noFill/>
        <a:ln w="25400">
          <a:noFill/>
        </a:ln>
        <a:effectLst/>
      </c:spPr>
    </c:plotArea>
    <c:legend>
      <c:legendPos val="b"/>
      <c:layout>
        <c:manualLayout>
          <c:xMode val="edge"/>
          <c:yMode val="edge"/>
          <c:x val="0.70472114086610904"/>
          <c:y val="0.68494449727026996"/>
          <c:w val="0.21140868353387565"/>
          <c:h val="0.141321316705644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A5E72-2551-4F6A-940B-F09D089C7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38</Pages>
  <Words>11035</Words>
  <Characters>62900</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Avik Sinha</dc:creator>
  <cp:keywords/>
  <dc:description/>
  <cp:lastModifiedBy>Larisa Yarovaya</cp:lastModifiedBy>
  <cp:revision>160</cp:revision>
  <dcterms:created xsi:type="dcterms:W3CDTF">2021-01-15T10:21:00Z</dcterms:created>
  <dcterms:modified xsi:type="dcterms:W3CDTF">2021-06-23T13:51:00Z</dcterms:modified>
</cp:coreProperties>
</file>