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B29C2" w14:textId="77777777" w:rsidR="00692722" w:rsidRDefault="00692722" w:rsidP="00A83C97"/>
    <w:p w14:paraId="32AE8BAE" w14:textId="5AEA6455" w:rsidR="00720EED" w:rsidRPr="004F62F6" w:rsidRDefault="00692722" w:rsidP="004F62F6">
      <w:pPr>
        <w:pStyle w:val="Heading1"/>
      </w:pPr>
      <w:bookmarkStart w:id="0" w:name="_Hlk27406371"/>
      <w:r w:rsidRPr="004F62F6">
        <w:t>D</w:t>
      </w:r>
      <w:r w:rsidR="008955BC" w:rsidRPr="004F62F6">
        <w:t xml:space="preserve">irect and </w:t>
      </w:r>
      <w:r w:rsidRPr="004F62F6">
        <w:t>M</w:t>
      </w:r>
      <w:r w:rsidR="008955BC" w:rsidRPr="004F62F6">
        <w:t xml:space="preserve">ediated </w:t>
      </w:r>
      <w:r w:rsidRPr="004F62F6">
        <w:t>E</w:t>
      </w:r>
      <w:r w:rsidR="008955BC" w:rsidRPr="004F62F6">
        <w:t xml:space="preserve">ffects of </w:t>
      </w:r>
      <w:r w:rsidR="00F7444A">
        <w:t xml:space="preserve">Treatment </w:t>
      </w:r>
      <w:r w:rsidRPr="004F62F6">
        <w:t>C</w:t>
      </w:r>
      <w:r w:rsidR="00A341EA">
        <w:t xml:space="preserve">ontext </w:t>
      </w:r>
      <w:r w:rsidR="008955BC" w:rsidRPr="004F62F6">
        <w:t xml:space="preserve">on </w:t>
      </w:r>
      <w:r w:rsidR="001E4F49">
        <w:t xml:space="preserve">Low </w:t>
      </w:r>
      <w:r w:rsidR="00A341EA">
        <w:t>Back Pain</w:t>
      </w:r>
      <w:bookmarkEnd w:id="0"/>
      <w:r w:rsidR="001E4F49">
        <w:t xml:space="preserve"> Outcome</w:t>
      </w:r>
      <w:r w:rsidR="009B4F51">
        <w:t>: A Prospective Cohort Study</w:t>
      </w:r>
    </w:p>
    <w:p w14:paraId="654D14DA" w14:textId="77777777" w:rsidR="00692722" w:rsidRDefault="00692722" w:rsidP="004F62F6">
      <w:pPr>
        <w:pStyle w:val="NoSpacing"/>
      </w:pPr>
    </w:p>
    <w:p w14:paraId="698105D2" w14:textId="04B0ADBF" w:rsidR="00692722" w:rsidRDefault="00692722" w:rsidP="004F62F6">
      <w:pPr>
        <w:pStyle w:val="NoSpacing"/>
        <w:jc w:val="center"/>
      </w:pPr>
      <w:r w:rsidRPr="002E2533">
        <w:t>Felicity L Bishop,</w:t>
      </w:r>
      <w:r w:rsidRPr="00C86F3E">
        <w:rPr>
          <w:vertAlign w:val="superscript"/>
        </w:rPr>
        <w:t>1</w:t>
      </w:r>
      <w:r w:rsidR="00666D42">
        <w:rPr>
          <w:vertAlign w:val="superscript"/>
        </w:rPr>
        <w:t>*</w:t>
      </w:r>
      <w:r w:rsidRPr="002E2533">
        <w:t xml:space="preserve"> </w:t>
      </w:r>
      <w:proofErr w:type="spellStart"/>
      <w:r w:rsidRPr="002E2533">
        <w:t>Miznah</w:t>
      </w:r>
      <w:proofErr w:type="spellEnd"/>
      <w:r w:rsidRPr="002E2533">
        <w:t xml:space="preserve"> Al-Abbadey,</w:t>
      </w:r>
      <w:r w:rsidRPr="00C86F3E">
        <w:rPr>
          <w:vertAlign w:val="superscript"/>
        </w:rPr>
        <w:t xml:space="preserve"> 1</w:t>
      </w:r>
      <w:r>
        <w:rPr>
          <w:vertAlign w:val="superscript"/>
        </w:rPr>
        <w:t>,2</w:t>
      </w:r>
      <w:r w:rsidR="004F62F6">
        <w:t xml:space="preserve"> </w:t>
      </w:r>
      <w:r w:rsidRPr="002E2533">
        <w:t>Lisa Roberts,</w:t>
      </w:r>
      <w:r w:rsidRPr="00C86F3E">
        <w:rPr>
          <w:vertAlign w:val="superscript"/>
        </w:rPr>
        <w:t xml:space="preserve"> </w:t>
      </w:r>
      <w:r>
        <w:rPr>
          <w:vertAlign w:val="superscript"/>
        </w:rPr>
        <w:t>3</w:t>
      </w:r>
      <w:r w:rsidR="008D1EBA">
        <w:rPr>
          <w:vertAlign w:val="superscript"/>
        </w:rPr>
        <w:t>,4</w:t>
      </w:r>
      <w:r w:rsidRPr="002E2533">
        <w:t xml:space="preserve"> Hugh MacPherson,</w:t>
      </w:r>
      <w:r w:rsidRPr="00C86F3E">
        <w:rPr>
          <w:vertAlign w:val="superscript"/>
        </w:rPr>
        <w:t xml:space="preserve"> </w:t>
      </w:r>
      <w:r w:rsidR="008D1EBA">
        <w:rPr>
          <w:vertAlign w:val="superscript"/>
        </w:rPr>
        <w:t>5</w:t>
      </w:r>
      <w:r w:rsidR="008D1EBA" w:rsidRPr="002E2533">
        <w:t xml:space="preserve"> </w:t>
      </w:r>
      <w:r w:rsidRPr="002E2533">
        <w:t>Beth Stuart,</w:t>
      </w:r>
      <w:r w:rsidRPr="00C86F3E">
        <w:rPr>
          <w:vertAlign w:val="superscript"/>
        </w:rPr>
        <w:t xml:space="preserve"> </w:t>
      </w:r>
      <w:r w:rsidR="008D1EBA">
        <w:rPr>
          <w:vertAlign w:val="superscript"/>
        </w:rPr>
        <w:t>6</w:t>
      </w:r>
      <w:r w:rsidR="008D1EBA" w:rsidRPr="002E2533">
        <w:t xml:space="preserve"> </w:t>
      </w:r>
      <w:r w:rsidRPr="002E2533">
        <w:t>Dawn Carnes,</w:t>
      </w:r>
      <w:r w:rsidRPr="00C86F3E">
        <w:rPr>
          <w:vertAlign w:val="superscript"/>
        </w:rPr>
        <w:t xml:space="preserve"> </w:t>
      </w:r>
      <w:r w:rsidR="008D1EBA">
        <w:rPr>
          <w:vertAlign w:val="superscript"/>
        </w:rPr>
        <w:t>7</w:t>
      </w:r>
      <w:r w:rsidR="008D1EBA" w:rsidRPr="002E2533">
        <w:t xml:space="preserve"> </w:t>
      </w:r>
      <w:r w:rsidRPr="002E2533">
        <w:t>Carol Fa</w:t>
      </w:r>
      <w:r>
        <w:t>wkes,</w:t>
      </w:r>
      <w:r>
        <w:rPr>
          <w:vertAlign w:val="superscript"/>
        </w:rPr>
        <w:t xml:space="preserve"> </w:t>
      </w:r>
      <w:r w:rsidR="008D1EBA">
        <w:rPr>
          <w:vertAlign w:val="superscript"/>
        </w:rPr>
        <w:t>7</w:t>
      </w:r>
      <w:r w:rsidR="008D1EBA" w:rsidRPr="002E2533">
        <w:t xml:space="preserve"> </w:t>
      </w:r>
      <w:r w:rsidRPr="002E2533">
        <w:t>Lucy Yardley,</w:t>
      </w:r>
      <w:r w:rsidRPr="00C86F3E">
        <w:rPr>
          <w:vertAlign w:val="superscript"/>
        </w:rPr>
        <w:t xml:space="preserve"> 1</w:t>
      </w:r>
      <w:r>
        <w:rPr>
          <w:vertAlign w:val="superscript"/>
        </w:rPr>
        <w:t>,</w:t>
      </w:r>
      <w:r w:rsidR="008D1EBA">
        <w:rPr>
          <w:vertAlign w:val="superscript"/>
        </w:rPr>
        <w:t>8</w:t>
      </w:r>
      <w:r w:rsidR="008D1EBA">
        <w:t xml:space="preserve"> </w:t>
      </w:r>
      <w:r w:rsidRPr="002E2533">
        <w:t>Katherine Bradbury</w:t>
      </w:r>
      <w:r>
        <w:t>.</w:t>
      </w:r>
      <w:r w:rsidRPr="00C86F3E">
        <w:rPr>
          <w:vertAlign w:val="superscript"/>
        </w:rPr>
        <w:t>1</w:t>
      </w:r>
    </w:p>
    <w:p w14:paraId="15C93783" w14:textId="77777777" w:rsidR="00692722" w:rsidRDefault="00692722" w:rsidP="004F62F6">
      <w:pPr>
        <w:pStyle w:val="NoSpacing"/>
        <w:jc w:val="center"/>
        <w:rPr>
          <w:vertAlign w:val="superscript"/>
        </w:rPr>
      </w:pPr>
    </w:p>
    <w:p w14:paraId="6363577B" w14:textId="57C74E08" w:rsidR="00692722" w:rsidRDefault="00692722" w:rsidP="004F62F6">
      <w:pPr>
        <w:pStyle w:val="NoSpacing"/>
        <w:jc w:val="center"/>
      </w:pPr>
      <w:r w:rsidRPr="00C86F3E">
        <w:rPr>
          <w:vertAlign w:val="superscript"/>
        </w:rPr>
        <w:t>1</w:t>
      </w:r>
      <w:r w:rsidRPr="002E2533">
        <w:t xml:space="preserve"> </w:t>
      </w:r>
      <w:r>
        <w:t>Department of Psychology, University of Southampton, Southampton, UK.</w:t>
      </w:r>
    </w:p>
    <w:p w14:paraId="7520010B" w14:textId="77777777" w:rsidR="00692722" w:rsidRDefault="00692722" w:rsidP="004F62F6">
      <w:pPr>
        <w:pStyle w:val="NoSpacing"/>
        <w:jc w:val="center"/>
      </w:pPr>
      <w:r w:rsidRPr="00C86F3E">
        <w:rPr>
          <w:vertAlign w:val="superscript"/>
        </w:rPr>
        <w:t>2</w:t>
      </w:r>
      <w:r>
        <w:t xml:space="preserve"> Department of Psychology, University of Portsmouth, Portsmouth, UK.</w:t>
      </w:r>
    </w:p>
    <w:p w14:paraId="67D4EA65" w14:textId="77777777" w:rsidR="00692722" w:rsidRDefault="00692722" w:rsidP="004F62F6">
      <w:pPr>
        <w:pStyle w:val="NoSpacing"/>
        <w:jc w:val="center"/>
      </w:pPr>
      <w:r w:rsidRPr="00C86F3E">
        <w:rPr>
          <w:vertAlign w:val="superscript"/>
        </w:rPr>
        <w:t>3</w:t>
      </w:r>
      <w:r>
        <w:t xml:space="preserve"> Health Sciences, University of Southampton, Southampton, UK.</w:t>
      </w:r>
    </w:p>
    <w:p w14:paraId="5A417963" w14:textId="6D23463D" w:rsidR="008D1EBA" w:rsidRDefault="00692722" w:rsidP="004F62F6">
      <w:pPr>
        <w:pStyle w:val="NoSpacing"/>
        <w:jc w:val="center"/>
      </w:pPr>
      <w:r w:rsidRPr="00C86F3E">
        <w:rPr>
          <w:vertAlign w:val="superscript"/>
        </w:rPr>
        <w:t>4</w:t>
      </w:r>
      <w:r>
        <w:t xml:space="preserve"> </w:t>
      </w:r>
      <w:r w:rsidR="008D1EBA">
        <w:t>Therapy Services, University Hospital Southampton NHS Foundation Trust, Southampton, UK</w:t>
      </w:r>
    </w:p>
    <w:p w14:paraId="6E311801" w14:textId="0B899DA8" w:rsidR="00692722" w:rsidRDefault="008D1EBA" w:rsidP="004F62F6">
      <w:pPr>
        <w:pStyle w:val="NoSpacing"/>
        <w:jc w:val="center"/>
      </w:pPr>
      <w:r w:rsidRPr="008D1EBA">
        <w:rPr>
          <w:vertAlign w:val="superscript"/>
        </w:rPr>
        <w:t>5</w:t>
      </w:r>
      <w:r>
        <w:t xml:space="preserve"> </w:t>
      </w:r>
      <w:r w:rsidR="00692722">
        <w:t>Health Sciences, University of York, York, UK.</w:t>
      </w:r>
    </w:p>
    <w:p w14:paraId="6C72CD1B" w14:textId="09063B74" w:rsidR="00692722" w:rsidRDefault="008D1EBA" w:rsidP="004F62F6">
      <w:pPr>
        <w:pStyle w:val="NoSpacing"/>
        <w:jc w:val="center"/>
      </w:pPr>
      <w:r>
        <w:rPr>
          <w:vertAlign w:val="superscript"/>
        </w:rPr>
        <w:t>6</w:t>
      </w:r>
      <w:r w:rsidR="00692722">
        <w:t xml:space="preserve"> Primary Care and Population Sciences, University of Southampton, Southampton, UK.</w:t>
      </w:r>
    </w:p>
    <w:p w14:paraId="0B3370A2" w14:textId="1E282FA7" w:rsidR="00692722" w:rsidRDefault="008D1EBA" w:rsidP="004F62F6">
      <w:pPr>
        <w:pStyle w:val="NoSpacing"/>
        <w:jc w:val="center"/>
      </w:pPr>
      <w:r>
        <w:rPr>
          <w:vertAlign w:val="superscript"/>
        </w:rPr>
        <w:t>7</w:t>
      </w:r>
      <w:r w:rsidR="00692722">
        <w:t xml:space="preserve"> </w:t>
      </w:r>
      <w:r w:rsidR="00550808" w:rsidRPr="00550808">
        <w:t xml:space="preserve">Institute of </w:t>
      </w:r>
      <w:r>
        <w:t>P</w:t>
      </w:r>
      <w:r w:rsidR="00550808" w:rsidRPr="00550808">
        <w:t xml:space="preserve">opulation </w:t>
      </w:r>
      <w:r>
        <w:t>H</w:t>
      </w:r>
      <w:r w:rsidR="00550808" w:rsidRPr="00550808">
        <w:t xml:space="preserve">ealth </w:t>
      </w:r>
      <w:r>
        <w:t>S</w:t>
      </w:r>
      <w:r w:rsidR="00550808" w:rsidRPr="00550808">
        <w:t>ciences</w:t>
      </w:r>
      <w:r w:rsidR="00692722">
        <w:t>, Queen Mary University of London, London, UK.</w:t>
      </w:r>
    </w:p>
    <w:p w14:paraId="4F74B903" w14:textId="06B8E919" w:rsidR="00692722" w:rsidRDefault="008D1EBA" w:rsidP="004F62F6">
      <w:pPr>
        <w:pStyle w:val="NoSpacing"/>
        <w:jc w:val="center"/>
      </w:pPr>
      <w:r>
        <w:rPr>
          <w:vertAlign w:val="superscript"/>
        </w:rPr>
        <w:t>8</w:t>
      </w:r>
      <w:r w:rsidR="00692722">
        <w:t xml:space="preserve"> School of Psychological Science, University of Bristol, Bristol, UK</w:t>
      </w:r>
    </w:p>
    <w:p w14:paraId="6D04437D" w14:textId="083ECFBC" w:rsidR="00692722" w:rsidRDefault="00692722" w:rsidP="004F62F6"/>
    <w:p w14:paraId="53EA9FF8" w14:textId="13FD5903" w:rsidR="00666D42" w:rsidRDefault="00666D42" w:rsidP="00666D42">
      <w:pPr>
        <w:pStyle w:val="NoSpacing"/>
      </w:pPr>
      <w:r>
        <w:t>*</w:t>
      </w:r>
      <w:r w:rsidRPr="004F62F6">
        <w:t xml:space="preserve">Correspondence concerning this article should be addressed to Felicity L Bishop.  Centre for Clinical and Community Applications of Health Psychology, Faculty of Environmental and Life Sciences, Building 44 Highfield Campus, University of Southampton, Southampton SO17 1BJ United Kingdom.  Email:  F.L.Bishop@southampton.ac.uk.  </w:t>
      </w:r>
    </w:p>
    <w:p w14:paraId="794C79FD" w14:textId="05F0DE11" w:rsidR="00666D42" w:rsidRDefault="00666D42" w:rsidP="00666D42">
      <w:pPr>
        <w:pStyle w:val="NoSpacing"/>
      </w:pPr>
    </w:p>
    <w:p w14:paraId="0483EF19" w14:textId="036B4184" w:rsidR="00666D42" w:rsidRDefault="00666D42" w:rsidP="00666D42">
      <w:pPr>
        <w:pStyle w:val="NoSpacing"/>
      </w:pPr>
      <w:r w:rsidRPr="00666D42">
        <w:t xml:space="preserve">Word count, excluding title page, abstract, references, </w:t>
      </w:r>
      <w:proofErr w:type="gramStart"/>
      <w:r w:rsidRPr="00666D42">
        <w:t>figures</w:t>
      </w:r>
      <w:proofErr w:type="gramEnd"/>
      <w:r w:rsidRPr="00666D42">
        <w:t xml:space="preserve"> and tables</w:t>
      </w:r>
      <w:r>
        <w:t xml:space="preserve">:  </w:t>
      </w:r>
      <w:r w:rsidR="00025010">
        <w:t>458</w:t>
      </w:r>
      <w:r w:rsidR="003843AA">
        <w:t>2</w:t>
      </w:r>
    </w:p>
    <w:p w14:paraId="44BD15A8" w14:textId="21CB80C2" w:rsidR="005C2E7E" w:rsidRDefault="005C2E7E" w:rsidP="00666D42">
      <w:pPr>
        <w:pStyle w:val="NoSpacing"/>
      </w:pPr>
    </w:p>
    <w:p w14:paraId="17175491" w14:textId="77777777" w:rsidR="005C2E7E" w:rsidRDefault="005C2E7E" w:rsidP="00666D42">
      <w:pPr>
        <w:pStyle w:val="NoSpacing"/>
      </w:pPr>
    </w:p>
    <w:p w14:paraId="593AA349" w14:textId="7513FA17" w:rsidR="005C2E7E" w:rsidRDefault="005C2E7E" w:rsidP="00666D42">
      <w:pPr>
        <w:pStyle w:val="NoSpacing"/>
      </w:pPr>
      <w:r>
        <w:t xml:space="preserve">Author Accepted Manuscript for publication </w:t>
      </w:r>
      <w:r w:rsidRPr="005C2E7E">
        <w:t>BMJ Open 2021 11: p. e044831-e044831</w:t>
      </w:r>
    </w:p>
    <w:p w14:paraId="1A6E4622" w14:textId="3E70ADB1" w:rsidR="005C2E7E" w:rsidRDefault="005C2E7E" w:rsidP="00666D42">
      <w:pPr>
        <w:pStyle w:val="NoSpacing"/>
      </w:pPr>
      <w:r>
        <w:t xml:space="preserve">Final version of record available:  </w:t>
      </w:r>
      <w:hyperlink r:id="rId8" w:history="1">
        <w:r w:rsidRPr="00BA612B">
          <w:rPr>
            <w:rStyle w:val="Hyperlink"/>
          </w:rPr>
          <w:t>https://bmjopen.bmj.com/content/11/5/e044831</w:t>
        </w:r>
      </w:hyperlink>
    </w:p>
    <w:p w14:paraId="6BEE8D9A" w14:textId="77777777" w:rsidR="005C2E7E" w:rsidRPr="004F62F6" w:rsidRDefault="005C2E7E" w:rsidP="00666D42">
      <w:pPr>
        <w:pStyle w:val="NoSpacing"/>
      </w:pPr>
    </w:p>
    <w:p w14:paraId="6CB41731" w14:textId="63566826" w:rsidR="00666D42" w:rsidRDefault="00666D42">
      <w:pPr>
        <w:spacing w:after="160" w:line="259" w:lineRule="auto"/>
        <w:contextualSpacing w:val="0"/>
      </w:pPr>
      <w:r>
        <w:br w:type="page"/>
      </w:r>
    </w:p>
    <w:p w14:paraId="3B5F64C7" w14:textId="2BD7B275" w:rsidR="004F62F6" w:rsidRDefault="004F62F6" w:rsidP="004F62F6">
      <w:pPr>
        <w:pStyle w:val="Heading1"/>
      </w:pPr>
      <w:r>
        <w:lastRenderedPageBreak/>
        <w:t>Abstract</w:t>
      </w:r>
    </w:p>
    <w:p w14:paraId="18CC624F" w14:textId="171CAF12" w:rsidR="009B4F51" w:rsidRDefault="004F62F6" w:rsidP="004907A3">
      <w:r w:rsidRPr="004F62F6">
        <w:rPr>
          <w:b/>
          <w:i/>
        </w:rPr>
        <w:t>Objective</w:t>
      </w:r>
      <w:r>
        <w:rPr>
          <w:b/>
          <w:i/>
        </w:rPr>
        <w:t>s</w:t>
      </w:r>
      <w:r>
        <w:t xml:space="preserve">:  Contextual components of treatment </w:t>
      </w:r>
      <w:r w:rsidR="00B4088F">
        <w:t xml:space="preserve">previously associated with patient outcomes </w:t>
      </w:r>
      <w:r>
        <w:t xml:space="preserve">include the environment, </w:t>
      </w:r>
      <w:r w:rsidR="00B4088F">
        <w:t xml:space="preserve">therapeutic </w:t>
      </w:r>
      <w:r>
        <w:t xml:space="preserve">relationship, and expectancies.  </w:t>
      </w:r>
      <w:r w:rsidR="00A341EA">
        <w:t>Questions remain about</w:t>
      </w:r>
      <w:r w:rsidR="00B4088F">
        <w:t xml:space="preserve"> which components are most impo</w:t>
      </w:r>
      <w:r w:rsidR="00A341EA">
        <w:t xml:space="preserve">rtant, </w:t>
      </w:r>
      <w:r w:rsidR="00B4088F">
        <w:t>how they influence outcomes</w:t>
      </w:r>
      <w:r w:rsidR="00A341EA">
        <w:t xml:space="preserve"> and comparative effects across </w:t>
      </w:r>
      <w:r w:rsidR="008D1EBA">
        <w:t>treatment approaches</w:t>
      </w:r>
      <w:r w:rsidR="00B4088F">
        <w:t xml:space="preserve">.  </w:t>
      </w:r>
      <w:r w:rsidR="009B4F51">
        <w:t>We</w:t>
      </w:r>
      <w:r>
        <w:t xml:space="preserve"> </w:t>
      </w:r>
      <w:r w:rsidR="00B4088F">
        <w:t xml:space="preserve">aimed </w:t>
      </w:r>
      <w:r w:rsidRPr="004F62F6">
        <w:t xml:space="preserve">to identify </w:t>
      </w:r>
      <w:r w:rsidR="00A341EA">
        <w:t xml:space="preserve">significant and strong contextual predictors of </w:t>
      </w:r>
      <w:r w:rsidR="00B4088F">
        <w:t xml:space="preserve">patient </w:t>
      </w:r>
      <w:r w:rsidRPr="004F62F6">
        <w:t xml:space="preserve">outcomes, test </w:t>
      </w:r>
      <w:r w:rsidR="00B4088F">
        <w:t xml:space="preserve">for </w:t>
      </w:r>
      <w:r w:rsidRPr="004F62F6">
        <w:t xml:space="preserve">psychological </w:t>
      </w:r>
      <w:r w:rsidR="00B4088F">
        <w:t xml:space="preserve">mediators, </w:t>
      </w:r>
      <w:r w:rsidRPr="004F62F6">
        <w:t xml:space="preserve">and compare effects across </w:t>
      </w:r>
      <w:r w:rsidR="009B4F51">
        <w:t xml:space="preserve">three </w:t>
      </w:r>
      <w:r w:rsidR="008D1EBA">
        <w:t>treatment approaches</w:t>
      </w:r>
      <w:r w:rsidRPr="004F62F6">
        <w:t xml:space="preserve">.  </w:t>
      </w:r>
    </w:p>
    <w:p w14:paraId="3D3B6C36" w14:textId="6A88F3F9" w:rsidR="009B4F51" w:rsidRPr="009B4F51" w:rsidRDefault="009B4F51" w:rsidP="004907A3">
      <w:pPr>
        <w:rPr>
          <w:b/>
          <w:bCs/>
          <w:i/>
          <w:iCs/>
        </w:rPr>
      </w:pPr>
      <w:r w:rsidRPr="009B4F51">
        <w:rPr>
          <w:b/>
          <w:bCs/>
          <w:i/>
          <w:iCs/>
        </w:rPr>
        <w:t>Design:</w:t>
      </w:r>
      <w:r>
        <w:rPr>
          <w:b/>
          <w:bCs/>
          <w:i/>
          <w:iCs/>
        </w:rPr>
        <w:t xml:space="preserve"> </w:t>
      </w:r>
      <w:r w:rsidRPr="009B4F51">
        <w:t>Prospective cohort study</w:t>
      </w:r>
      <w:r w:rsidR="005B7370">
        <w:t xml:space="preserve"> with patient-reported and practitioner-reported questionnaire data (online or paper) collected at first consultation, 2-weeks, and 3-months</w:t>
      </w:r>
      <w:r w:rsidRPr="009B4F51">
        <w:t>.</w:t>
      </w:r>
    </w:p>
    <w:p w14:paraId="4A169E48" w14:textId="4A886FEB" w:rsidR="005B7370" w:rsidRPr="003B139F" w:rsidRDefault="005B7370" w:rsidP="004907A3">
      <w:pPr>
        <w:rPr>
          <w:bCs/>
          <w:iCs/>
        </w:rPr>
      </w:pPr>
      <w:r>
        <w:rPr>
          <w:b/>
          <w:i/>
        </w:rPr>
        <w:t xml:space="preserve">Setting: </w:t>
      </w:r>
      <w:r w:rsidR="00F85111">
        <w:rPr>
          <w:bCs/>
          <w:iCs/>
        </w:rPr>
        <w:t xml:space="preserve">Physiotherapy, osteopathy, and acupuncture clinics </w:t>
      </w:r>
      <w:r w:rsidRPr="003B139F">
        <w:rPr>
          <w:bCs/>
          <w:iCs/>
        </w:rPr>
        <w:t>throughout the UK.</w:t>
      </w:r>
    </w:p>
    <w:p w14:paraId="73D6652D" w14:textId="62FE6BF5" w:rsidR="005B7370" w:rsidRDefault="005B7370" w:rsidP="004907A3">
      <w:r>
        <w:rPr>
          <w:b/>
          <w:i/>
        </w:rPr>
        <w:t>Participants</w:t>
      </w:r>
      <w:r w:rsidR="004F62F6">
        <w:t xml:space="preserve">: </w:t>
      </w:r>
      <w:r w:rsidR="003B139F">
        <w:t xml:space="preserve">166 practitioners </w:t>
      </w:r>
      <w:r w:rsidR="00B4088F">
        <w:t>(</w:t>
      </w:r>
      <w:r w:rsidR="00B4088F" w:rsidRPr="004F62F6">
        <w:t>65 physiotherapists, 46 o</w:t>
      </w:r>
      <w:r w:rsidR="00A341EA">
        <w:t xml:space="preserve">steopaths, </w:t>
      </w:r>
      <w:r w:rsidR="00B4088F">
        <w:t>55 acupuncturists</w:t>
      </w:r>
      <w:r w:rsidR="003B139F">
        <w:t>)</w:t>
      </w:r>
      <w:r>
        <w:t xml:space="preserve"> were recruited via their professional organisations.  </w:t>
      </w:r>
      <w:r w:rsidR="003B139F">
        <w:t>P</w:t>
      </w:r>
      <w:r>
        <w:t xml:space="preserve">ractitioners </w:t>
      </w:r>
      <w:r w:rsidR="003B139F">
        <w:t xml:space="preserve">recruited 960 </w:t>
      </w:r>
      <w:r>
        <w:t xml:space="preserve">adult patients </w:t>
      </w:r>
      <w:r w:rsidR="003B139F">
        <w:t xml:space="preserve">seeking treatment for </w:t>
      </w:r>
      <w:r>
        <w:t>low back pain (LBP).</w:t>
      </w:r>
    </w:p>
    <w:p w14:paraId="157D035E" w14:textId="395E01DB" w:rsidR="005B7370" w:rsidRDefault="005B7370" w:rsidP="004907A3">
      <w:r w:rsidRPr="005B7370">
        <w:rPr>
          <w:b/>
          <w:bCs/>
          <w:i/>
          <w:iCs/>
        </w:rPr>
        <w:t>Primary and Secondary Outcome</w:t>
      </w:r>
      <w:r w:rsidR="003B139F">
        <w:rPr>
          <w:b/>
          <w:bCs/>
          <w:i/>
          <w:iCs/>
        </w:rPr>
        <w:t>s</w:t>
      </w:r>
      <w:r w:rsidRPr="005B7370">
        <w:rPr>
          <w:b/>
          <w:bCs/>
          <w:i/>
          <w:iCs/>
        </w:rPr>
        <w:t xml:space="preserve">:  </w:t>
      </w:r>
      <w:r w:rsidRPr="003B139F">
        <w:t>The primary outcome was back-related disability.  Secondary outcomes were pain and well-being.</w:t>
      </w:r>
      <w:r>
        <w:rPr>
          <w:b/>
          <w:bCs/>
          <w:i/>
          <w:iCs/>
        </w:rPr>
        <w:t xml:space="preserve"> </w:t>
      </w:r>
      <w:r w:rsidRPr="003B139F">
        <w:t xml:space="preserve"> </w:t>
      </w:r>
      <w:r>
        <w:t xml:space="preserve">Contextual components measured </w:t>
      </w:r>
      <w:proofErr w:type="gramStart"/>
      <w:r>
        <w:t>were</w:t>
      </w:r>
      <w:r w:rsidR="00507A92">
        <w:t>:</w:t>
      </w:r>
      <w:proofErr w:type="gramEnd"/>
      <w:r>
        <w:t xml:space="preserve"> </w:t>
      </w:r>
      <w:r w:rsidR="004F62F6" w:rsidRPr="004F62F6">
        <w:t>therapeutic alliance; patient satisfaction with appointment systems, access, facilities; patients' treatment beliefs including outcome expectancies; practitioners' attitudes to LBP</w:t>
      </w:r>
      <w:r w:rsidR="00507A92">
        <w:t>;</w:t>
      </w:r>
      <w:r w:rsidR="004F62F6" w:rsidRPr="004F62F6">
        <w:t xml:space="preserve"> and practitioners’ patient-specific outcome expectancies</w:t>
      </w:r>
      <w:r>
        <w:t xml:space="preserve">.  </w:t>
      </w:r>
      <w:r w:rsidR="00507A92">
        <w:t>The h</w:t>
      </w:r>
      <w:r>
        <w:t xml:space="preserve">ypothesised </w:t>
      </w:r>
      <w:r w:rsidR="004F62F6" w:rsidRPr="004F62F6">
        <w:t xml:space="preserve">mediators </w:t>
      </w:r>
      <w:r>
        <w:t xml:space="preserve">measured </w:t>
      </w:r>
      <w:proofErr w:type="gramStart"/>
      <w:r>
        <w:t>were</w:t>
      </w:r>
      <w:r w:rsidR="00507A92">
        <w:t>:</w:t>
      </w:r>
      <w:proofErr w:type="gramEnd"/>
      <w:r>
        <w:t xml:space="preserve"> patient </w:t>
      </w:r>
      <w:r w:rsidR="004F62F6" w:rsidRPr="004F62F6">
        <w:t>self-efficacy</w:t>
      </w:r>
      <w:r>
        <w:t xml:space="preserve"> for pain management</w:t>
      </w:r>
      <w:r w:rsidR="004F62F6" w:rsidRPr="004F62F6">
        <w:t xml:space="preserve">; </w:t>
      </w:r>
      <w:r>
        <w:t xml:space="preserve">patient perceptions of </w:t>
      </w:r>
      <w:r w:rsidR="004F62F6" w:rsidRPr="004F62F6">
        <w:t>LBP</w:t>
      </w:r>
      <w:r w:rsidR="00507A92" w:rsidRPr="004F62F6">
        <w:t>;</w:t>
      </w:r>
      <w:r w:rsidR="00507A92">
        <w:t xml:space="preserve"> and </w:t>
      </w:r>
      <w:r w:rsidR="004F62F6" w:rsidRPr="004F62F6">
        <w:t>psychosocial distress</w:t>
      </w:r>
      <w:r>
        <w:t xml:space="preserve">.  </w:t>
      </w:r>
    </w:p>
    <w:p w14:paraId="4A9337D3" w14:textId="6BCF0B5E" w:rsidR="003B139F" w:rsidRDefault="004F62F6" w:rsidP="004907A3">
      <w:r w:rsidRPr="004F62F6">
        <w:rPr>
          <w:b/>
          <w:i/>
        </w:rPr>
        <w:t>Results</w:t>
      </w:r>
      <w:r>
        <w:t xml:space="preserve">: </w:t>
      </w:r>
      <w:r w:rsidRPr="004F62F6">
        <w:t xml:space="preserve">After controlling for </w:t>
      </w:r>
      <w:r w:rsidR="002152C4">
        <w:t xml:space="preserve">baseline and </w:t>
      </w:r>
      <w:r w:rsidRPr="004F62F6">
        <w:t>potential confounders, statistically significant predictors of reduced back-related disability were: all three dimensions of stronger therapeutic alliance (goal</w:t>
      </w:r>
      <w:r w:rsidR="00B4088F">
        <w:t xml:space="preserve">, task and bond); </w:t>
      </w:r>
      <w:r w:rsidRPr="004F62F6">
        <w:t>higher patient satisfaction with appointment systems</w:t>
      </w:r>
      <w:r w:rsidR="00B4088F">
        <w:t>; reduced patient-</w:t>
      </w:r>
      <w:r w:rsidRPr="004F62F6">
        <w:t>perceived treatment credibility</w:t>
      </w:r>
      <w:r w:rsidR="00B4088F">
        <w:t xml:space="preserve">; </w:t>
      </w:r>
      <w:r w:rsidRPr="004F62F6">
        <w:t xml:space="preserve">and increased practitioner-rated outcome expectancies.  Therapeutic alliance </w:t>
      </w:r>
      <w:r w:rsidR="00A935E5">
        <w:t xml:space="preserve">over task </w:t>
      </w:r>
      <w:r w:rsidR="006A6962">
        <w:t>(</w:t>
      </w:r>
      <w:r w:rsidR="006A6962">
        <w:rPr>
          <w:rFonts w:cstheme="minorHAnsi"/>
        </w:rPr>
        <w:t>η</w:t>
      </w:r>
      <w:r w:rsidR="00A935E5" w:rsidRPr="00A935E5">
        <w:rPr>
          <w:vertAlign w:val="subscript"/>
        </w:rPr>
        <w:t>p</w:t>
      </w:r>
      <w:r w:rsidR="00A935E5" w:rsidRPr="00A935E5">
        <w:rPr>
          <w:vertAlign w:val="superscript"/>
        </w:rPr>
        <w:t>2</w:t>
      </w:r>
      <w:r w:rsidR="00A935E5">
        <w:t>=</w:t>
      </w:r>
      <w:r w:rsidR="00A935E5" w:rsidRPr="00E62AD2">
        <w:t xml:space="preserve">0.10 </w:t>
      </w:r>
      <w:r w:rsidR="00A935E5">
        <w:t>95%</w:t>
      </w:r>
      <w:r w:rsidR="003B139F">
        <w:t xml:space="preserve"> </w:t>
      </w:r>
      <w:r w:rsidR="00A935E5">
        <w:t xml:space="preserve">CI </w:t>
      </w:r>
      <w:r w:rsidR="00A935E5" w:rsidRPr="00E62AD2">
        <w:t>0.07</w:t>
      </w:r>
      <w:r w:rsidR="00A935E5">
        <w:t>-</w:t>
      </w:r>
      <w:r w:rsidR="00A935E5" w:rsidRPr="00E62AD2">
        <w:t>0.14</w:t>
      </w:r>
      <w:r w:rsidR="00A935E5">
        <w:t xml:space="preserve">) </w:t>
      </w:r>
      <w:r w:rsidRPr="004F62F6">
        <w:t xml:space="preserve">and practitioner-rated outcome expectancies </w:t>
      </w:r>
      <w:r w:rsidR="00A935E5">
        <w:t>(</w:t>
      </w:r>
      <w:r w:rsidR="00A935E5">
        <w:rPr>
          <w:rFonts w:cstheme="minorHAnsi"/>
        </w:rPr>
        <w:t>η</w:t>
      </w:r>
      <w:r w:rsidR="00A935E5" w:rsidRPr="0080013A">
        <w:rPr>
          <w:vertAlign w:val="subscript"/>
        </w:rPr>
        <w:t>p</w:t>
      </w:r>
      <w:r w:rsidR="00A935E5" w:rsidRPr="0080013A">
        <w:rPr>
          <w:vertAlign w:val="superscript"/>
        </w:rPr>
        <w:t>2</w:t>
      </w:r>
      <w:r w:rsidR="00A935E5" w:rsidRPr="00A935E5">
        <w:t xml:space="preserve">=0.08 </w:t>
      </w:r>
      <w:r w:rsidR="00A935E5">
        <w:t>95%</w:t>
      </w:r>
      <w:r w:rsidR="003B139F">
        <w:t xml:space="preserve"> </w:t>
      </w:r>
      <w:r w:rsidR="00A935E5">
        <w:t xml:space="preserve">CI </w:t>
      </w:r>
      <w:r w:rsidR="00A935E5" w:rsidRPr="00A935E5">
        <w:t>0.05</w:t>
      </w:r>
      <w:r w:rsidR="00A935E5">
        <w:t>-</w:t>
      </w:r>
      <w:r w:rsidR="00A935E5" w:rsidRPr="00A935E5">
        <w:t>0.11</w:t>
      </w:r>
      <w:r w:rsidR="00A935E5">
        <w:t xml:space="preserve">) </w:t>
      </w:r>
      <w:r w:rsidRPr="004F62F6">
        <w:t xml:space="preserve">demonstrated the largest effect sizes.  Patients’ self-efficacy, LBP perceptions, and </w:t>
      </w:r>
      <w:r w:rsidRPr="004F62F6">
        <w:lastRenderedPageBreak/>
        <w:t xml:space="preserve">psychosocial distress partially mediated these relationships.  There were no interactions with </w:t>
      </w:r>
      <w:r w:rsidR="00507A92">
        <w:t>treatment approach</w:t>
      </w:r>
      <w:r w:rsidRPr="004F62F6">
        <w:t xml:space="preserve">.  </w:t>
      </w:r>
    </w:p>
    <w:p w14:paraId="31E26313" w14:textId="7413D6A9" w:rsidR="00495583" w:rsidRDefault="004F62F6" w:rsidP="004907A3">
      <w:r w:rsidRPr="004F62F6">
        <w:rPr>
          <w:b/>
          <w:i/>
        </w:rPr>
        <w:t>Conclusion</w:t>
      </w:r>
      <w:r w:rsidR="003B139F">
        <w:rPr>
          <w:b/>
          <w:i/>
        </w:rPr>
        <w:t>s</w:t>
      </w:r>
      <w:r>
        <w:t xml:space="preserve">:  </w:t>
      </w:r>
      <w:r w:rsidR="00FF4184">
        <w:t>E</w:t>
      </w:r>
      <w:r w:rsidRPr="004F62F6">
        <w:t>nhanc</w:t>
      </w:r>
      <w:r w:rsidR="00FF4184">
        <w:t>ing</w:t>
      </w:r>
      <w:r w:rsidRPr="004F62F6">
        <w:t xml:space="preserve"> contextual components in </w:t>
      </w:r>
      <w:r w:rsidR="0025285D">
        <w:t>musculoskeletal healthcare</w:t>
      </w:r>
      <w:r w:rsidRPr="004F62F6">
        <w:t xml:space="preserve"> could improve patient outcomes</w:t>
      </w:r>
      <w:r w:rsidR="00FF4184">
        <w:t xml:space="preserve">. Interventions </w:t>
      </w:r>
      <w:r w:rsidRPr="004F62F6">
        <w:t>should focus on helping practitioners and patients forge effective therapeutic alliance</w:t>
      </w:r>
      <w:r w:rsidR="006A6962">
        <w:t>s</w:t>
      </w:r>
      <w:r w:rsidRPr="004F62F6">
        <w:t xml:space="preserve"> </w:t>
      </w:r>
      <w:r w:rsidR="00A935E5">
        <w:t xml:space="preserve">with </w:t>
      </w:r>
      <w:r w:rsidR="00A935E5" w:rsidRPr="004F62F6">
        <w:t xml:space="preserve">strong affective bonds </w:t>
      </w:r>
      <w:r w:rsidR="00A935E5">
        <w:t xml:space="preserve">and </w:t>
      </w:r>
      <w:r w:rsidRPr="004F62F6">
        <w:t xml:space="preserve">agreement </w:t>
      </w:r>
      <w:r w:rsidR="00A935E5">
        <w:t xml:space="preserve">on </w:t>
      </w:r>
      <w:r w:rsidR="006A6962">
        <w:t xml:space="preserve">treatment </w:t>
      </w:r>
      <w:r w:rsidRPr="004F62F6">
        <w:t>goals</w:t>
      </w:r>
      <w:r w:rsidR="00A935E5">
        <w:t xml:space="preserve"> and</w:t>
      </w:r>
      <w:r w:rsidRPr="004F62F6">
        <w:t xml:space="preserve"> how to achieve them.  </w:t>
      </w:r>
    </w:p>
    <w:p w14:paraId="6AD880F7" w14:textId="392AD198" w:rsidR="00495583" w:rsidRDefault="00495583" w:rsidP="004907A3"/>
    <w:p w14:paraId="2BDAC944" w14:textId="77777777" w:rsidR="00B70838" w:rsidRPr="002E2533" w:rsidRDefault="00B70838" w:rsidP="00B70838">
      <w:r w:rsidRPr="00C86F3E">
        <w:t>Keywords:  health knowledge, attitudes, practice; low back pain; placebo effects; therapeutic relationship; complementary therapies</w:t>
      </w:r>
      <w:r>
        <w:t>; context</w:t>
      </w:r>
      <w:r w:rsidRPr="00C86F3E">
        <w:t>.</w:t>
      </w:r>
    </w:p>
    <w:p w14:paraId="3AB77A47" w14:textId="77777777" w:rsidR="00B70838" w:rsidRDefault="00B70838" w:rsidP="004907A3"/>
    <w:p w14:paraId="56541A47" w14:textId="339A15BC" w:rsidR="00495583" w:rsidRDefault="00E61646" w:rsidP="00495583">
      <w:pPr>
        <w:pStyle w:val="Heading1"/>
      </w:pPr>
      <w:r>
        <w:t>Article Summary</w:t>
      </w:r>
    </w:p>
    <w:p w14:paraId="2B447ECA" w14:textId="77777777" w:rsidR="006F6A91" w:rsidRDefault="006F6A91" w:rsidP="006F6A91">
      <w:pPr>
        <w:pStyle w:val="ListParagraph"/>
        <w:numPr>
          <w:ilvl w:val="0"/>
          <w:numId w:val="4"/>
        </w:numPr>
      </w:pPr>
      <w:r>
        <w:t>The prospective but non-experimental design requires cautious interpretation regarding possible causal relationships between variables.</w:t>
      </w:r>
    </w:p>
    <w:p w14:paraId="4CE927B8" w14:textId="66FFF7EF" w:rsidR="006F6A91" w:rsidRDefault="00507A92" w:rsidP="006F6A91">
      <w:pPr>
        <w:pStyle w:val="ListParagraph"/>
        <w:numPr>
          <w:ilvl w:val="0"/>
          <w:numId w:val="4"/>
        </w:numPr>
      </w:pPr>
      <w:r>
        <w:t>97% of the sample size was</w:t>
      </w:r>
      <w:r w:rsidR="006F6A91">
        <w:t xml:space="preserve"> achieved (960 vs 986), </w:t>
      </w:r>
      <w:r>
        <w:t xml:space="preserve">with higher </w:t>
      </w:r>
      <w:r w:rsidR="006F6A91">
        <w:t xml:space="preserve">retention than anticipated (77% vs 70%) and the final sample at follow-up exceeded that required a priori (742 vs 690).  </w:t>
      </w:r>
    </w:p>
    <w:p w14:paraId="17E3D8CD" w14:textId="77777777" w:rsidR="006F6A91" w:rsidRDefault="006F6A91" w:rsidP="006F6A91">
      <w:pPr>
        <w:pStyle w:val="ListParagraph"/>
        <w:numPr>
          <w:ilvl w:val="0"/>
          <w:numId w:val="4"/>
        </w:numPr>
      </w:pPr>
      <w:r>
        <w:t xml:space="preserve">The geographical spread across the UK and the large cohort size suggests the results may be generalizable beyond this sample.  </w:t>
      </w:r>
    </w:p>
    <w:p w14:paraId="05440BF3" w14:textId="5C23BA37" w:rsidR="006F6A91" w:rsidRDefault="006F6A91" w:rsidP="006F6A91">
      <w:pPr>
        <w:pStyle w:val="ListParagraph"/>
        <w:numPr>
          <w:ilvl w:val="0"/>
          <w:numId w:val="4"/>
        </w:numPr>
      </w:pPr>
      <w:r>
        <w:t xml:space="preserve">All variables were measured using self-report questionnaires, potentially introducing social desirability and/or shared-method bias; the former was </w:t>
      </w:r>
      <w:r w:rsidR="00A43E0A">
        <w:t xml:space="preserve">partially </w:t>
      </w:r>
      <w:r>
        <w:t xml:space="preserve">mitigated by patients returning questionnaires directly to the researchers, not their clinicians; the latter was </w:t>
      </w:r>
      <w:r w:rsidR="00A43E0A">
        <w:t xml:space="preserve">partially </w:t>
      </w:r>
      <w:r>
        <w:t xml:space="preserve">mitigated by the inclusion of patient and practitioner completed questionnaires and the separation in time of the measurement of predictors and outcomes.  </w:t>
      </w:r>
    </w:p>
    <w:p w14:paraId="36EAC97E" w14:textId="30B85656" w:rsidR="006F6A91" w:rsidRDefault="006F6A91">
      <w:pPr>
        <w:spacing w:after="160" w:line="259" w:lineRule="auto"/>
        <w:contextualSpacing w:val="0"/>
      </w:pPr>
      <w:r>
        <w:br w:type="page"/>
      </w:r>
    </w:p>
    <w:p w14:paraId="6899779C" w14:textId="5EF061FE" w:rsidR="00F7444A" w:rsidRPr="004F62F6" w:rsidRDefault="00666D42" w:rsidP="00F7444A">
      <w:pPr>
        <w:pStyle w:val="Heading1"/>
      </w:pPr>
      <w:r>
        <w:lastRenderedPageBreak/>
        <w:t>INTRODUCTION</w:t>
      </w:r>
    </w:p>
    <w:p w14:paraId="0BB25580" w14:textId="3816A695" w:rsidR="00151A15" w:rsidRPr="004F62F6" w:rsidRDefault="0025285D" w:rsidP="004F62F6">
      <w:r w:rsidRPr="004F62F6">
        <w:t xml:space="preserve">All </w:t>
      </w:r>
      <w:r>
        <w:t xml:space="preserve">healthcare </w:t>
      </w:r>
      <w:r w:rsidRPr="004F62F6">
        <w:t xml:space="preserve">interventions are delivered within a context </w:t>
      </w:r>
      <w:r w:rsidR="00A43E0A">
        <w:t>that</w:t>
      </w:r>
      <w:r w:rsidR="00A43E0A" w:rsidRPr="004F62F6">
        <w:t xml:space="preserve"> </w:t>
      </w:r>
      <w:r w:rsidRPr="004F62F6">
        <w:t>may significantly enhance or hinder an intervention’s beneficial effects</w:t>
      </w:r>
      <w:r>
        <w:t xml:space="preserve">.  Furthermore, contextual </w:t>
      </w:r>
      <w:r w:rsidRPr="004F62F6">
        <w:t>components</w:t>
      </w:r>
      <w:r>
        <w:t xml:space="preserve">, such as features of the environment </w:t>
      </w:r>
      <w:r w:rsidR="00635BF4">
        <w:t>or the patient’s beliefs or “mind-set</w:t>
      </w:r>
      <w:r w:rsidR="00CC5E54">
        <w:t>,</w:t>
      </w:r>
      <w:r w:rsidR="00635BF4">
        <w:t>”</w:t>
      </w:r>
      <w:r w:rsidR="009B4F51" w:rsidRPr="009B4F51">
        <w:rPr>
          <w:noProof/>
          <w:vertAlign w:val="superscript"/>
        </w:rPr>
        <w:t>1 2</w:t>
      </w:r>
      <w:r w:rsidR="00635BF4">
        <w:t xml:space="preserve"> </w:t>
      </w:r>
      <w:r w:rsidRPr="004F62F6">
        <w:t>may be shared across similar therapies.  Therefore, identifying and strengthening beneficial contextual components could offer an efficient means of enhancing the effectiveness of multiple interventions.</w:t>
      </w:r>
      <w:r>
        <w:t xml:space="preserve">  </w:t>
      </w:r>
      <w:r w:rsidR="001C52FE">
        <w:t>Low back pain (LBP) was chosen as the condition of interest as it is highly prevalent with considerable burden to individuals, communities, health services and the economy</w:t>
      </w:r>
      <w:r w:rsidR="009B4F51" w:rsidRPr="009B4F51">
        <w:rPr>
          <w:noProof/>
          <w:vertAlign w:val="superscript"/>
        </w:rPr>
        <w:t>3</w:t>
      </w:r>
      <w:r w:rsidR="001C52FE" w:rsidRPr="001C52FE">
        <w:t xml:space="preserve"> </w:t>
      </w:r>
      <w:r w:rsidR="001C52FE">
        <w:t xml:space="preserve">and there is scope and need to improve patient outcomes across multiple </w:t>
      </w:r>
      <w:r w:rsidR="00F85111">
        <w:t xml:space="preserve">non-pharmacological </w:t>
      </w:r>
      <w:r w:rsidR="001C52FE">
        <w:t>treatments</w:t>
      </w:r>
      <w:r w:rsidR="00151A15" w:rsidRPr="004F62F6">
        <w:t xml:space="preserve">.  </w:t>
      </w:r>
      <w:r>
        <w:t>However, before embarking on intervention development and testing</w:t>
      </w:r>
      <w:r w:rsidR="00A43E0A">
        <w:t>,</w:t>
      </w:r>
      <w:r>
        <w:t xml:space="preserve"> it is vital to determine which contextual components should be targeted to produce the greatest likelihood of patient benefit.</w:t>
      </w:r>
    </w:p>
    <w:p w14:paraId="0CA29538" w14:textId="4816CB14" w:rsidR="00CF7C78" w:rsidRPr="00D6486B" w:rsidRDefault="00151A15" w:rsidP="00D6486B">
      <w:pPr>
        <w:ind w:firstLine="720"/>
      </w:pPr>
      <w:bookmarkStart w:id="1" w:name="_Hlk27403777"/>
      <w:r>
        <w:t xml:space="preserve">Contextual </w:t>
      </w:r>
      <w:r w:rsidR="00C82B42">
        <w:t>components</w:t>
      </w:r>
      <w:r w:rsidR="00292869">
        <w:t xml:space="preserve"> </w:t>
      </w:r>
      <w:r w:rsidR="00292869" w:rsidRPr="00292869">
        <w:t xml:space="preserve">comprise the broad constellation of psychological, social, and environmental factors that act alongside and can interact with </w:t>
      </w:r>
      <w:r w:rsidR="00292869">
        <w:t xml:space="preserve">core components of interventions.  </w:t>
      </w:r>
      <w:r w:rsidR="00292869" w:rsidRPr="00292869">
        <w:rPr>
          <w:bCs/>
        </w:rPr>
        <w:t xml:space="preserve">Five domains have been proposed: patient-practitioner relationship; </w:t>
      </w:r>
      <w:r w:rsidR="000B6018" w:rsidRPr="00292869">
        <w:rPr>
          <w:bCs/>
        </w:rPr>
        <w:t>patients’ beliefs; practitioners’ beliefs</w:t>
      </w:r>
      <w:r w:rsidR="000B6018">
        <w:rPr>
          <w:bCs/>
        </w:rPr>
        <w:t>;</w:t>
      </w:r>
      <w:r w:rsidR="000B6018" w:rsidRPr="00292869">
        <w:rPr>
          <w:bCs/>
        </w:rPr>
        <w:t xml:space="preserve"> </w:t>
      </w:r>
      <w:r w:rsidR="00292869" w:rsidRPr="00292869">
        <w:rPr>
          <w:bCs/>
        </w:rPr>
        <w:t xml:space="preserve">healthcare environment; </w:t>
      </w:r>
      <w:r w:rsidR="00CF6947">
        <w:rPr>
          <w:bCs/>
        </w:rPr>
        <w:t>and</w:t>
      </w:r>
      <w:r w:rsidR="00A43E0A">
        <w:rPr>
          <w:bCs/>
        </w:rPr>
        <w:t>,</w:t>
      </w:r>
      <w:r w:rsidR="00CF6947">
        <w:rPr>
          <w:bCs/>
        </w:rPr>
        <w:t xml:space="preserve"> for pharmacological interventions</w:t>
      </w:r>
      <w:r w:rsidR="00A43E0A">
        <w:rPr>
          <w:bCs/>
        </w:rPr>
        <w:t>,</w:t>
      </w:r>
      <w:r w:rsidR="00CF6947">
        <w:rPr>
          <w:bCs/>
        </w:rPr>
        <w:t xml:space="preserve"> </w:t>
      </w:r>
      <w:r w:rsidR="00292869" w:rsidRPr="00292869">
        <w:rPr>
          <w:bCs/>
        </w:rPr>
        <w:t>incidental characteristics of treatment</w:t>
      </w:r>
      <w:r w:rsidR="00AF528A">
        <w:rPr>
          <w:bCs/>
        </w:rPr>
        <w:t xml:space="preserve"> such as the colour of medications</w:t>
      </w:r>
      <w:r w:rsidR="00CC5E54">
        <w:rPr>
          <w:bCs/>
        </w:rPr>
        <w:t>.</w:t>
      </w:r>
      <w:r w:rsidR="009B4F51" w:rsidRPr="009B4F51">
        <w:rPr>
          <w:bCs/>
          <w:noProof/>
          <w:vertAlign w:val="superscript"/>
        </w:rPr>
        <w:t>4</w:t>
      </w:r>
      <w:r w:rsidR="005C6C96">
        <w:t xml:space="preserve">  </w:t>
      </w:r>
      <w:r w:rsidR="00F85111">
        <w:t>P</w:t>
      </w:r>
      <w:r w:rsidR="00D85AA8">
        <w:t>articular</w:t>
      </w:r>
      <w:r w:rsidR="005C6C96">
        <w:t xml:space="preserve"> components </w:t>
      </w:r>
      <w:r w:rsidR="00D85AA8">
        <w:t xml:space="preserve">have been </w:t>
      </w:r>
      <w:r w:rsidR="00F85111">
        <w:t xml:space="preserve">associated with improved patient </w:t>
      </w:r>
      <w:r w:rsidR="00D6486B">
        <w:t xml:space="preserve">satisfaction and/or clinical </w:t>
      </w:r>
      <w:r w:rsidR="00F85111">
        <w:t xml:space="preserve">outcomes </w:t>
      </w:r>
      <w:r w:rsidR="005C6C96">
        <w:t xml:space="preserve">across multiple settings or </w:t>
      </w:r>
      <w:r w:rsidR="00F85111">
        <w:t xml:space="preserve">specifically within </w:t>
      </w:r>
      <w:bookmarkStart w:id="2" w:name="_Hlk29285564"/>
      <w:r w:rsidR="005C6C96">
        <w:t xml:space="preserve">non-pharmacological </w:t>
      </w:r>
      <w:bookmarkEnd w:id="2"/>
      <w:r w:rsidR="005C6C96">
        <w:t>musculoskeletal care.</w:t>
      </w:r>
      <w:r w:rsidR="00F85111">
        <w:t xml:space="preserve">  Such components include:  </w:t>
      </w:r>
      <w:bookmarkEnd w:id="1"/>
      <w:r w:rsidR="000B6018">
        <w:t>p</w:t>
      </w:r>
      <w:r w:rsidR="00292869" w:rsidRPr="00292869">
        <w:t>ositive and empathetic patient-practitioner relationships</w:t>
      </w:r>
      <w:r w:rsidR="00674B81">
        <w:t xml:space="preserve"> and</w:t>
      </w:r>
      <w:r w:rsidR="00292869" w:rsidRPr="00292869">
        <w:t xml:space="preserve"> a strong patient-practitioner alliance</w:t>
      </w:r>
      <w:r w:rsidR="009B4F51" w:rsidRPr="009B4F51">
        <w:rPr>
          <w:noProof/>
          <w:vertAlign w:val="superscript"/>
        </w:rPr>
        <w:t>4-10</w:t>
      </w:r>
      <w:r w:rsidR="00F85111">
        <w:t xml:space="preserve"> (</w:t>
      </w:r>
      <w:r w:rsidR="00F85111" w:rsidRPr="00292869">
        <w:rPr>
          <w:bCs/>
        </w:rPr>
        <w:t>patient-practitioner relationship</w:t>
      </w:r>
      <w:r w:rsidR="00F85111">
        <w:rPr>
          <w:bCs/>
        </w:rPr>
        <w:t>)</w:t>
      </w:r>
      <w:r w:rsidR="00674B81">
        <w:t xml:space="preserve">; </w:t>
      </w:r>
      <w:r w:rsidR="00FB0E7D">
        <w:t xml:space="preserve">patients’ outcome </w:t>
      </w:r>
      <w:r w:rsidR="00687ACF">
        <w:t>expectancies</w:t>
      </w:r>
      <w:r w:rsidR="000B6018" w:rsidRPr="00292869">
        <w:t xml:space="preserve"> </w:t>
      </w:r>
      <w:r w:rsidR="000B6018">
        <w:t>and perceived treatment credibility</w:t>
      </w:r>
      <w:r w:rsidR="009B4F51" w:rsidRPr="009B4F51">
        <w:rPr>
          <w:noProof/>
          <w:vertAlign w:val="superscript"/>
        </w:rPr>
        <w:t>9 11-16</w:t>
      </w:r>
      <w:r w:rsidR="00F85111">
        <w:t xml:space="preserve"> (patient beliefs); m</w:t>
      </w:r>
      <w:r w:rsidR="000B6018" w:rsidRPr="00292869">
        <w:t>usculoskeletal practitioners</w:t>
      </w:r>
      <w:r w:rsidR="000B6018">
        <w:t xml:space="preserve">’ </w:t>
      </w:r>
      <w:r w:rsidR="000B6018" w:rsidRPr="00292869">
        <w:t>beliefs about pain</w:t>
      </w:r>
      <w:r w:rsidR="009B4F51" w:rsidRPr="009B4F51">
        <w:rPr>
          <w:noProof/>
          <w:vertAlign w:val="superscript"/>
        </w:rPr>
        <w:t>17-22</w:t>
      </w:r>
      <w:r w:rsidR="00F85111">
        <w:t xml:space="preserve"> and outcome expectancies</w:t>
      </w:r>
      <w:r w:rsidR="009B4F51" w:rsidRPr="009B4F51">
        <w:rPr>
          <w:noProof/>
          <w:vertAlign w:val="superscript"/>
        </w:rPr>
        <w:t>23</w:t>
      </w:r>
      <w:r w:rsidR="00F85111">
        <w:t xml:space="preserve"> (practitioner beliefs); </w:t>
      </w:r>
      <w:r w:rsidR="00BA0048" w:rsidRPr="00292869">
        <w:t>good organisational environments (e.g. collegia</w:t>
      </w:r>
      <w:r w:rsidR="00674B81">
        <w:t>lity</w:t>
      </w:r>
      <w:r w:rsidR="00BA0048" w:rsidRPr="00292869">
        <w:t>)</w:t>
      </w:r>
      <w:r w:rsidR="009B4F51" w:rsidRPr="009B4F51">
        <w:rPr>
          <w:noProof/>
          <w:vertAlign w:val="superscript"/>
        </w:rPr>
        <w:t>24</w:t>
      </w:r>
      <w:r w:rsidR="00BA0048" w:rsidRPr="00292869">
        <w:t xml:space="preserve"> the physical-sensory environment (e.g. music)</w:t>
      </w:r>
      <w:r w:rsidR="009B4F51" w:rsidRPr="009B4F51">
        <w:rPr>
          <w:noProof/>
          <w:vertAlign w:val="superscript"/>
        </w:rPr>
        <w:t>25</w:t>
      </w:r>
      <w:r w:rsidR="00D6486B">
        <w:t xml:space="preserve"> and the h</w:t>
      </w:r>
      <w:r w:rsidR="008D3758">
        <w:t>ealthcare sector</w:t>
      </w:r>
      <w:r w:rsidR="009B4F51" w:rsidRPr="009B4F51">
        <w:rPr>
          <w:noProof/>
          <w:vertAlign w:val="superscript"/>
        </w:rPr>
        <w:t>26-28</w:t>
      </w:r>
      <w:r w:rsidR="00D6486B">
        <w:t xml:space="preserve"> (environment</w:t>
      </w:r>
      <w:r w:rsidR="00A43E0A">
        <w:t>)</w:t>
      </w:r>
      <w:r w:rsidR="00D6486B">
        <w:t>, although evidence of e</w:t>
      </w:r>
      <w:r w:rsidR="00622181">
        <w:t xml:space="preserve">ffects </w:t>
      </w:r>
      <w:r w:rsidR="00D6486B">
        <w:t xml:space="preserve">of healthcare sector </w:t>
      </w:r>
      <w:r w:rsidR="00622181">
        <w:t xml:space="preserve">on patient outcomes </w:t>
      </w:r>
      <w:r w:rsidR="00D6486B">
        <w:t>is mainly qualitative</w:t>
      </w:r>
      <w:r w:rsidR="00622181">
        <w:t>.</w:t>
      </w:r>
      <w:bookmarkStart w:id="3" w:name="_Hlk27403900"/>
      <w:r w:rsidR="00D6486B">
        <w:t xml:space="preserve">  </w:t>
      </w:r>
      <w:r w:rsidR="0055618A">
        <w:t>Contextual components might impact patient outcomes via</w:t>
      </w:r>
      <w:r w:rsidR="00012C15">
        <w:t xml:space="preserve"> </w:t>
      </w:r>
      <w:r w:rsidR="003C6096">
        <w:t xml:space="preserve">i) </w:t>
      </w:r>
      <w:r w:rsidR="00E4355D">
        <w:t xml:space="preserve">behavioural </w:t>
      </w:r>
      <w:r w:rsidR="004B5C41">
        <w:t xml:space="preserve">pathways </w:t>
      </w:r>
      <w:r w:rsidR="00E4355D">
        <w:t>(e.g. improved self-management</w:t>
      </w:r>
      <w:r w:rsidR="00CC5E54">
        <w:t>,</w:t>
      </w:r>
      <w:r w:rsidR="009B4F51" w:rsidRPr="009B4F51">
        <w:rPr>
          <w:noProof/>
          <w:vertAlign w:val="superscript"/>
        </w:rPr>
        <w:t>29 30</w:t>
      </w:r>
      <w:r w:rsidR="00E4355D">
        <w:t xml:space="preserve"> </w:t>
      </w:r>
      <w:r w:rsidR="004B5C41">
        <w:t>but see also</w:t>
      </w:r>
      <w:r w:rsidR="00CB5ADF">
        <w:t xml:space="preserve"> </w:t>
      </w:r>
      <w:proofErr w:type="spellStart"/>
      <w:r w:rsidR="00CB5ADF">
        <w:t>Haanstra</w:t>
      </w:r>
      <w:proofErr w:type="spellEnd"/>
      <w:r w:rsidR="00CB5ADF">
        <w:t xml:space="preserve"> et al.</w:t>
      </w:r>
      <w:r w:rsidR="00BF6C8B">
        <w:t xml:space="preserve"> who found that adherence accounted for only a small proportion of the </w:t>
      </w:r>
      <w:r w:rsidR="00BF6C8B">
        <w:lastRenderedPageBreak/>
        <w:t>relationship between expectancies and pain outcomes</w:t>
      </w:r>
      <w:r w:rsidR="009B4F51" w:rsidRPr="009B4F51">
        <w:rPr>
          <w:noProof/>
          <w:vertAlign w:val="superscript"/>
        </w:rPr>
        <w:t>31</w:t>
      </w:r>
      <w:r w:rsidR="003C6096">
        <w:t xml:space="preserve"> ii)</w:t>
      </w:r>
      <w:r w:rsidR="00E4355D">
        <w:t xml:space="preserve"> psycho</w:t>
      </w:r>
      <w:r w:rsidR="000A6934">
        <w:t>social</w:t>
      </w:r>
      <w:r w:rsidR="00E4355D">
        <w:t xml:space="preserve"> </w:t>
      </w:r>
      <w:r w:rsidR="004B5C41">
        <w:t xml:space="preserve">pathways </w:t>
      </w:r>
      <w:r w:rsidR="00E4355D">
        <w:t>(e.g. reconceptualising pain</w:t>
      </w:r>
      <w:r w:rsidR="004A7F85">
        <w:t xml:space="preserve"> as less threatening</w:t>
      </w:r>
      <w:r w:rsidR="00CC5E54">
        <w:t>;</w:t>
      </w:r>
      <w:r w:rsidR="009B4F51" w:rsidRPr="009B4F51">
        <w:rPr>
          <w:noProof/>
          <w:vertAlign w:val="superscript"/>
        </w:rPr>
        <w:t>32 33</w:t>
      </w:r>
      <w:r w:rsidR="00D6486B">
        <w:t xml:space="preserve"> </w:t>
      </w:r>
      <w:r w:rsidR="00D6486B" w:rsidRPr="00D6486B">
        <w:rPr>
          <w:rFonts w:cstheme="minorHAnsi"/>
          <w:bCs/>
          <w:noProof/>
          <w:vertAlign w:val="superscript"/>
        </w:rPr>
        <w:t>34</w:t>
      </w:r>
      <w:r w:rsidR="004B5C41">
        <w:t xml:space="preserve"> </w:t>
      </w:r>
      <w:r w:rsidR="00B72EC9">
        <w:t>increased self-efficacy</w:t>
      </w:r>
      <w:r w:rsidR="00D6486B" w:rsidRPr="00D6486B">
        <w:rPr>
          <w:noProof/>
          <w:vertAlign w:val="superscript"/>
        </w:rPr>
        <w:t>35</w:t>
      </w:r>
      <w:r w:rsidR="00D6486B">
        <w:t xml:space="preserve"> </w:t>
      </w:r>
      <w:r w:rsidR="00D6486B" w:rsidRPr="00D6486B">
        <w:rPr>
          <w:rFonts w:cstheme="minorHAnsi"/>
          <w:bCs/>
          <w:noProof/>
          <w:vertAlign w:val="superscript"/>
        </w:rPr>
        <w:t>36</w:t>
      </w:r>
      <w:r w:rsidR="00E4355D">
        <w:t xml:space="preserve">), </w:t>
      </w:r>
      <w:r w:rsidR="00012C15">
        <w:t xml:space="preserve">and/or </w:t>
      </w:r>
      <w:r w:rsidR="003C6096">
        <w:t xml:space="preserve">iii) </w:t>
      </w:r>
      <w:r w:rsidR="00E4355D">
        <w:t xml:space="preserve">neurophysiological </w:t>
      </w:r>
      <w:r w:rsidR="004B5C41">
        <w:t>pathways</w:t>
      </w:r>
      <w:r w:rsidR="00CC5E54">
        <w:t>.</w:t>
      </w:r>
      <w:r w:rsidR="00D6486B" w:rsidRPr="00D6486B">
        <w:rPr>
          <w:noProof/>
          <w:vertAlign w:val="superscript"/>
        </w:rPr>
        <w:t>37-41</w:t>
      </w:r>
      <w:r w:rsidR="00012C15" w:rsidRPr="00E4355D">
        <w:t xml:space="preserve"> </w:t>
      </w:r>
      <w:r w:rsidR="004B5C41">
        <w:t xml:space="preserve"> </w:t>
      </w:r>
      <w:bookmarkEnd w:id="3"/>
      <w:r w:rsidR="0026619D">
        <w:t>The focus in this study was on psychosocial pathways</w:t>
      </w:r>
      <w:r w:rsidR="00D6486B">
        <w:t>; more details on how these were hypothesised to operate are provided in our published protocol</w:t>
      </w:r>
      <w:r w:rsidR="005D69A2">
        <w:t>.</w:t>
      </w:r>
      <w:r w:rsidR="00D6486B" w:rsidRPr="00D6486B">
        <w:rPr>
          <w:noProof/>
          <w:vertAlign w:val="superscript"/>
        </w:rPr>
        <w:t>42</w:t>
      </w:r>
      <w:r w:rsidR="005D69A2" w:rsidRPr="008F1AD3">
        <w:rPr>
          <w:rFonts w:cstheme="minorHAnsi"/>
          <w:bCs/>
        </w:rPr>
        <w:t xml:space="preserve">  </w:t>
      </w:r>
    </w:p>
    <w:p w14:paraId="20BACC4E" w14:textId="261D3D90" w:rsidR="00492A1E" w:rsidRDefault="00CF7C78" w:rsidP="00852941">
      <w:pPr>
        <w:ind w:firstLine="720"/>
      </w:pPr>
      <w:r>
        <w:t>In summary, t</w:t>
      </w:r>
      <w:r w:rsidR="00153030">
        <w:t xml:space="preserve">here is good evidence that contextual components can impact patient outcomes.  </w:t>
      </w:r>
      <w:r w:rsidR="00FA79DE">
        <w:t xml:space="preserve">However, </w:t>
      </w:r>
      <w:r w:rsidR="00153030">
        <w:t>m</w:t>
      </w:r>
      <w:r w:rsidR="009D5EA5">
        <w:t xml:space="preserve">ost studies have focused on one or two components, meaning that direct comparisons have not been made to ascertain the relative contribution of different contextual components to patient health outcomes.  </w:t>
      </w:r>
      <w:r w:rsidR="00153030">
        <w:t xml:space="preserve">Few studies have quantitatively tested potential pathways in the context of usual clinical practice.  </w:t>
      </w:r>
      <w:r w:rsidR="00F239E0">
        <w:t>M</w:t>
      </w:r>
      <w:r w:rsidR="00B3387B">
        <w:t xml:space="preserve">ost studies have focused on one </w:t>
      </w:r>
      <w:r w:rsidR="00A921C4">
        <w:t>treatment</w:t>
      </w:r>
      <w:r w:rsidR="00B3387B">
        <w:t xml:space="preserve">, </w:t>
      </w:r>
      <w:r w:rsidR="009D5EA5">
        <w:t xml:space="preserve">meaning that direct comparisons have not been made to compare contextual components and their effects </w:t>
      </w:r>
      <w:r w:rsidR="00AB4E78">
        <w:t xml:space="preserve">across </w:t>
      </w:r>
      <w:r w:rsidR="00A921C4">
        <w:t>treatment</w:t>
      </w:r>
      <w:r w:rsidR="00A43E0A">
        <w:t xml:space="preserve"> approache</w:t>
      </w:r>
      <w:r w:rsidR="00A921C4">
        <w:t>s</w:t>
      </w:r>
      <w:r w:rsidR="00AB4E78">
        <w:t xml:space="preserve">.  </w:t>
      </w:r>
      <w:r w:rsidR="00CF4366">
        <w:t xml:space="preserve">Therefore, the purpose of this study was to investigate the effects and mediating pathways of multiple contextual components on patient outcomes across three different </w:t>
      </w:r>
      <w:r w:rsidR="00A921C4">
        <w:t>treatment</w:t>
      </w:r>
      <w:r w:rsidR="00E47B65">
        <w:t xml:space="preserve"> </w:t>
      </w:r>
      <w:r w:rsidR="00A43E0A">
        <w:t xml:space="preserve">approaches </w:t>
      </w:r>
      <w:r w:rsidR="00E47B65">
        <w:t>in the private and public sectors</w:t>
      </w:r>
      <w:r w:rsidR="00CF4366">
        <w:t xml:space="preserve">.  </w:t>
      </w:r>
      <w:bookmarkStart w:id="4" w:name="_Hlk27403814"/>
      <w:r w:rsidR="00CC5E54">
        <w:t>P</w:t>
      </w:r>
      <w:r w:rsidR="00CC5E54" w:rsidRPr="002E2533">
        <w:t>hysiotherapy</w:t>
      </w:r>
      <w:r w:rsidR="00CC5E54">
        <w:t xml:space="preserve">, </w:t>
      </w:r>
      <w:r w:rsidR="00CC5E54" w:rsidRPr="002E2533">
        <w:t xml:space="preserve">osteopathy, </w:t>
      </w:r>
      <w:r w:rsidR="00CC5E54">
        <w:t xml:space="preserve">and </w:t>
      </w:r>
      <w:r w:rsidR="00CC5E54" w:rsidRPr="002E2533">
        <w:t>acupuncture</w:t>
      </w:r>
      <w:r w:rsidR="0084246C">
        <w:t xml:space="preserve"> </w:t>
      </w:r>
      <w:r w:rsidR="00265F1A">
        <w:t xml:space="preserve">were selected </w:t>
      </w:r>
      <w:r w:rsidR="0084246C">
        <w:t xml:space="preserve">as </w:t>
      </w:r>
      <w:r w:rsidR="00265F1A">
        <w:t xml:space="preserve">they are </w:t>
      </w:r>
      <w:r w:rsidR="0084246C">
        <w:t xml:space="preserve">popular, </w:t>
      </w:r>
      <w:r w:rsidR="00EB6E11">
        <w:t xml:space="preserve">safe, and </w:t>
      </w:r>
      <w:r w:rsidR="00C62A8C">
        <w:t xml:space="preserve">relatively </w:t>
      </w:r>
      <w:r w:rsidR="0084246C">
        <w:t xml:space="preserve">effective </w:t>
      </w:r>
      <w:r w:rsidR="00BF6C8B">
        <w:t xml:space="preserve">approaches to treating </w:t>
      </w:r>
      <w:r w:rsidR="0084246C">
        <w:t>LBP</w:t>
      </w:r>
      <w:r w:rsidR="00666D6E">
        <w:rPr>
          <w:noProof/>
          <w:vertAlign w:val="superscript"/>
        </w:rPr>
        <w:t>43</w:t>
      </w:r>
      <w:r w:rsidR="009B4F51" w:rsidRPr="009B4F51">
        <w:rPr>
          <w:noProof/>
          <w:vertAlign w:val="superscript"/>
        </w:rPr>
        <w:t>-</w:t>
      </w:r>
      <w:r w:rsidR="00666D6E">
        <w:rPr>
          <w:noProof/>
          <w:vertAlign w:val="superscript"/>
        </w:rPr>
        <w:t>45</w:t>
      </w:r>
      <w:r w:rsidR="0084246C">
        <w:t xml:space="preserve"> </w:t>
      </w:r>
      <w:r w:rsidR="00BF6C8B">
        <w:t xml:space="preserve">and the core treatment modalities used by physiotherapists, osteopaths, and acupuncturists, were </w:t>
      </w:r>
      <w:r w:rsidR="0084246C">
        <w:t>recommended by clinical guidelines</w:t>
      </w:r>
      <w:r w:rsidR="00A43E0A">
        <w:t xml:space="preserve"> at the conception of this study</w:t>
      </w:r>
      <w:r w:rsidR="00CC5E54">
        <w:t>.</w:t>
      </w:r>
      <w:r w:rsidR="00666D6E">
        <w:rPr>
          <w:noProof/>
          <w:vertAlign w:val="superscript"/>
        </w:rPr>
        <w:t>46</w:t>
      </w:r>
      <w:r w:rsidR="009B4F51" w:rsidRPr="009B4F51">
        <w:rPr>
          <w:noProof/>
          <w:vertAlign w:val="superscript"/>
        </w:rPr>
        <w:t xml:space="preserve"> </w:t>
      </w:r>
      <w:r w:rsidR="00666D6E">
        <w:rPr>
          <w:noProof/>
          <w:vertAlign w:val="superscript"/>
        </w:rPr>
        <w:t>47</w:t>
      </w:r>
      <w:r w:rsidR="0084246C">
        <w:t xml:space="preserve">  </w:t>
      </w:r>
    </w:p>
    <w:bookmarkEnd w:id="4"/>
    <w:p w14:paraId="49B9D517" w14:textId="27F3D561" w:rsidR="005D5AC3" w:rsidRDefault="00265F1A" w:rsidP="002A57C8">
      <w:pPr>
        <w:ind w:firstLine="720"/>
      </w:pPr>
      <w:r>
        <w:t xml:space="preserve">The aims </w:t>
      </w:r>
      <w:r w:rsidR="00A43E0A">
        <w:t xml:space="preserve">of the study </w:t>
      </w:r>
      <w:r>
        <w:t xml:space="preserve">were </w:t>
      </w:r>
      <w:r w:rsidR="00FB0E7D" w:rsidRPr="002E2533">
        <w:t>to</w:t>
      </w:r>
      <w:r>
        <w:t xml:space="preserve"> (1)</w:t>
      </w:r>
      <w:r w:rsidR="00FB0E7D" w:rsidRPr="002E2533">
        <w:t xml:space="preserve"> identify </w:t>
      </w:r>
      <w:r w:rsidR="00FB0E7D">
        <w:t xml:space="preserve">contextual </w:t>
      </w:r>
      <w:r w:rsidR="00FB0E7D" w:rsidRPr="002E2533">
        <w:t>com</w:t>
      </w:r>
      <w:r w:rsidR="00FB0E7D">
        <w:t>ponents of treatment for LBP that predict patient outcomes,</w:t>
      </w:r>
      <w:r w:rsidR="00FB0E7D" w:rsidRPr="002E2533">
        <w:t xml:space="preserve"> </w:t>
      </w:r>
      <w:r>
        <w:t xml:space="preserve">(2) </w:t>
      </w:r>
      <w:r w:rsidR="00FB0E7D" w:rsidRPr="002E2533">
        <w:t xml:space="preserve">test </w:t>
      </w:r>
      <w:r w:rsidR="00FB0E7D">
        <w:t>whether psycho</w:t>
      </w:r>
      <w:r w:rsidR="000A6934">
        <w:t xml:space="preserve">social </w:t>
      </w:r>
      <w:r w:rsidR="00FB0E7D">
        <w:t xml:space="preserve">factors mediate effects of contextual components on patient outcomes, and </w:t>
      </w:r>
      <w:r>
        <w:t xml:space="preserve">(3) </w:t>
      </w:r>
      <w:r w:rsidR="00FB0E7D" w:rsidRPr="002E2533">
        <w:t xml:space="preserve">compare </w:t>
      </w:r>
      <w:r w:rsidR="000A6934">
        <w:t xml:space="preserve">components and their </w:t>
      </w:r>
      <w:r w:rsidR="00FB0E7D" w:rsidRPr="002E2533">
        <w:t>effects across physiotherapy</w:t>
      </w:r>
      <w:r w:rsidR="00FB0E7D">
        <w:t xml:space="preserve">, </w:t>
      </w:r>
      <w:r w:rsidR="00FB0E7D" w:rsidRPr="002E2533">
        <w:t xml:space="preserve">osteopathy, </w:t>
      </w:r>
      <w:r w:rsidR="00FB0E7D">
        <w:t xml:space="preserve">and </w:t>
      </w:r>
      <w:r w:rsidR="00FB0E7D" w:rsidRPr="002E2533">
        <w:t>acupuncture.</w:t>
      </w:r>
      <w:r w:rsidR="00FB0E7D">
        <w:t xml:space="preserve">  </w:t>
      </w:r>
      <w:r>
        <w:t>In relation to aim (1), based on the literature</w:t>
      </w:r>
      <w:r w:rsidR="00251967">
        <w:t xml:space="preserve"> it was </w:t>
      </w:r>
      <w:r>
        <w:t>hypothesised that p</w:t>
      </w:r>
      <w:r w:rsidRPr="005D5AC3">
        <w:t xml:space="preserve">atients </w:t>
      </w:r>
      <w:r>
        <w:t xml:space="preserve">would </w:t>
      </w:r>
      <w:r w:rsidRPr="005D5AC3">
        <w:t>experience less back-related disability after treatment for LBP when contextual components are more positive</w:t>
      </w:r>
      <w:r>
        <w:t xml:space="preserve"> (i.e., stronger therapeutic alliance; more pleasant/ accessible/ convenient/ supportive healthcare environment; positive patient-reported treatment beliefs and outcome expectancies; positive practitioner-reported outcome expectancies and practitioner having a biopsychosocial orientation to LBP).  However, there were no strong grounds for a priori hypotheses concerning which component would be the strongest predictor of patient </w:t>
      </w:r>
      <w:r>
        <w:lastRenderedPageBreak/>
        <w:t xml:space="preserve">outcomes.  In relation to aim (2), it was hypothesised that contextual components reduce patients' back-related disability by reducing the perceived threat of pain and/or increasing patients’ self-efficacy for coping with pain and/or reducing psychosocial distress.  </w:t>
      </w:r>
      <w:r w:rsidR="00A43E0A">
        <w:t>For</w:t>
      </w:r>
      <w:r>
        <w:t xml:space="preserve"> aim (3), the effects of contextual components on patient outcomes </w:t>
      </w:r>
      <w:r w:rsidR="00492A1E">
        <w:t xml:space="preserve">were hypothesised to </w:t>
      </w:r>
      <w:r>
        <w:t xml:space="preserve">be larger in </w:t>
      </w:r>
      <w:r w:rsidRPr="002E2533">
        <w:t xml:space="preserve">osteopathy </w:t>
      </w:r>
      <w:r>
        <w:t xml:space="preserve">and </w:t>
      </w:r>
      <w:r w:rsidRPr="002E2533">
        <w:t>acupuncture</w:t>
      </w:r>
      <w:r>
        <w:t xml:space="preserve"> – as examples of what have been classed complementary therapies - than in physiotherapy, which is usually </w:t>
      </w:r>
      <w:r w:rsidR="00A43E0A">
        <w:t>considered</w:t>
      </w:r>
      <w:r>
        <w:t xml:space="preserve"> a </w:t>
      </w:r>
      <w:r w:rsidR="00A43E0A">
        <w:t xml:space="preserve">conventional </w:t>
      </w:r>
      <w:r>
        <w:t xml:space="preserve">therapy.  This hypothesis </w:t>
      </w:r>
      <w:r w:rsidR="00492A1E">
        <w:t>wa</w:t>
      </w:r>
      <w:r>
        <w:t xml:space="preserve">s based on evidence that </w:t>
      </w:r>
      <w:bookmarkStart w:id="5" w:name="_Hlk27403844"/>
      <w:r>
        <w:t>patients find the context of complementary therapies particularly valuable</w:t>
      </w:r>
      <w:r w:rsidR="00CC5E54">
        <w:t>,</w:t>
      </w:r>
      <w:r w:rsidR="00666D6E">
        <w:rPr>
          <w:noProof/>
          <w:vertAlign w:val="superscript"/>
        </w:rPr>
        <w:t>48</w:t>
      </w:r>
      <w:r w:rsidR="003433D8">
        <w:t xml:space="preserve"> that </w:t>
      </w:r>
      <w:r w:rsidR="003433D8" w:rsidRPr="00D41824">
        <w:rPr>
          <w:bCs/>
        </w:rPr>
        <w:t xml:space="preserve">the consultation process </w:t>
      </w:r>
      <w:r w:rsidR="00BF6C8B">
        <w:rPr>
          <w:bCs/>
        </w:rPr>
        <w:t xml:space="preserve">used by acupuncturists is </w:t>
      </w:r>
      <w:r w:rsidR="00BF6C8B" w:rsidRPr="00D41824">
        <w:rPr>
          <w:bCs/>
        </w:rPr>
        <w:t>effective for I</w:t>
      </w:r>
      <w:r w:rsidR="00BF6C8B">
        <w:rPr>
          <w:bCs/>
        </w:rPr>
        <w:t xml:space="preserve">rritable </w:t>
      </w:r>
      <w:r w:rsidR="00BF6C8B" w:rsidRPr="00D41824">
        <w:rPr>
          <w:bCs/>
        </w:rPr>
        <w:t>B</w:t>
      </w:r>
      <w:r w:rsidR="00BF6C8B">
        <w:rPr>
          <w:bCs/>
        </w:rPr>
        <w:t xml:space="preserve">owel </w:t>
      </w:r>
      <w:r w:rsidR="00BF6C8B" w:rsidRPr="00D41824">
        <w:rPr>
          <w:bCs/>
        </w:rPr>
        <w:t>S</w:t>
      </w:r>
      <w:r w:rsidR="00BF6C8B">
        <w:rPr>
          <w:bCs/>
        </w:rPr>
        <w:t>yndrome even when accompanied by a sham version of acupuncture</w:t>
      </w:r>
      <w:r w:rsidR="00BF6C8B" w:rsidRPr="00D41824">
        <w:rPr>
          <w:bCs/>
        </w:rPr>
        <w:t xml:space="preserve"> </w:t>
      </w:r>
      <w:r w:rsidR="009B4F51" w:rsidRPr="009B4F51">
        <w:rPr>
          <w:bCs/>
          <w:noProof/>
          <w:vertAlign w:val="superscript"/>
        </w:rPr>
        <w:t>8</w:t>
      </w:r>
      <w:r w:rsidR="003433D8">
        <w:rPr>
          <w:bCs/>
        </w:rPr>
        <w:t xml:space="preserve"> </w:t>
      </w:r>
      <w:r>
        <w:t>and that the rituals and modes of delivery of complementary therapies may enhance their effects</w:t>
      </w:r>
      <w:r w:rsidR="00CC5E54">
        <w:t>.</w:t>
      </w:r>
      <w:r w:rsidR="00666D6E">
        <w:rPr>
          <w:noProof/>
          <w:vertAlign w:val="superscript"/>
        </w:rPr>
        <w:t>49</w:t>
      </w:r>
    </w:p>
    <w:bookmarkEnd w:id="5"/>
    <w:p w14:paraId="33FECD43" w14:textId="77777777" w:rsidR="00BC0950" w:rsidRDefault="00BC0950" w:rsidP="004F62F6">
      <w:pPr>
        <w:pStyle w:val="Heading1"/>
      </w:pPr>
    </w:p>
    <w:p w14:paraId="284FD395" w14:textId="25406F69" w:rsidR="004D6DFE" w:rsidRDefault="00666D42" w:rsidP="004F62F6">
      <w:pPr>
        <w:pStyle w:val="Heading1"/>
      </w:pPr>
      <w:r>
        <w:t>METHODS</w:t>
      </w:r>
    </w:p>
    <w:p w14:paraId="499A8F5D" w14:textId="51154D12" w:rsidR="00FB62BF" w:rsidRDefault="00FB62BF" w:rsidP="00FB62BF">
      <w:pPr>
        <w:pStyle w:val="Heading2"/>
      </w:pPr>
      <w:r>
        <w:t>Ethical Considerations</w:t>
      </w:r>
    </w:p>
    <w:p w14:paraId="497AC025" w14:textId="77777777" w:rsidR="00FB62BF" w:rsidRDefault="00FB62BF" w:rsidP="00FB62BF">
      <w:pPr>
        <w:ind w:firstLine="720"/>
      </w:pPr>
      <w:r w:rsidRPr="007147E6">
        <w:t>Ethical approval was obtained from NHS Health Research Authority NRES Committee East Midlands – Derby (REF: 14/EM/1113)</w:t>
      </w:r>
      <w:r>
        <w:t xml:space="preserve"> on 22</w:t>
      </w:r>
      <w:r w:rsidRPr="003E5DB6">
        <w:rPr>
          <w:vertAlign w:val="superscript"/>
        </w:rPr>
        <w:t>nd</w:t>
      </w:r>
      <w:r>
        <w:t xml:space="preserve"> August 2014</w:t>
      </w:r>
      <w:r w:rsidRPr="007147E6">
        <w:t xml:space="preserve">. </w:t>
      </w:r>
      <w:r>
        <w:t xml:space="preserve"> Participants gave w</w:t>
      </w:r>
      <w:r w:rsidRPr="007147E6">
        <w:t>ritten informed consent</w:t>
      </w:r>
      <w:r>
        <w:t>;</w:t>
      </w:r>
      <w:r w:rsidRPr="007147E6">
        <w:t xml:space="preserve"> study documents conveyed </w:t>
      </w:r>
      <w:r>
        <w:t xml:space="preserve">the </w:t>
      </w:r>
      <w:r w:rsidRPr="007147E6">
        <w:t>right to decline or withdraw without affecting medical care.</w:t>
      </w:r>
    </w:p>
    <w:p w14:paraId="3D0C8B15" w14:textId="77777777" w:rsidR="00BC0950" w:rsidRDefault="00BC0950" w:rsidP="00852941">
      <w:pPr>
        <w:pStyle w:val="Heading2"/>
      </w:pPr>
      <w:bookmarkStart w:id="6" w:name="_Hlk27403968"/>
    </w:p>
    <w:p w14:paraId="3366719F" w14:textId="04229075" w:rsidR="003071D4" w:rsidRPr="00852941" w:rsidRDefault="003071D4" w:rsidP="00852941">
      <w:pPr>
        <w:pStyle w:val="Heading2"/>
      </w:pPr>
      <w:r w:rsidRPr="00852941">
        <w:t>Design</w:t>
      </w:r>
    </w:p>
    <w:p w14:paraId="5E1D7FB4" w14:textId="7AAE00E1" w:rsidR="00CF5860" w:rsidRDefault="00CF5860" w:rsidP="002F4465">
      <w:pPr>
        <w:ind w:firstLine="720"/>
      </w:pPr>
      <w:r>
        <w:t xml:space="preserve">In </w:t>
      </w:r>
      <w:r w:rsidR="00D6486B">
        <w:t>this</w:t>
      </w:r>
      <w:r>
        <w:t xml:space="preserve"> prospective </w:t>
      </w:r>
      <w:r w:rsidR="00356396">
        <w:t xml:space="preserve">cohort </w:t>
      </w:r>
      <w:r>
        <w:t>study, p</w:t>
      </w:r>
      <w:r w:rsidRPr="00CF5860">
        <w:t>ractitioners and patients complete</w:t>
      </w:r>
      <w:r>
        <w:t>d</w:t>
      </w:r>
      <w:r w:rsidRPr="00CF5860">
        <w:t xml:space="preserve"> questionnaires at three time-points: baseline (after the first consultation for a new episode of LBP); during treatment (</w:t>
      </w:r>
      <w:r w:rsidR="004D60D8">
        <w:t>2-</w:t>
      </w:r>
      <w:r w:rsidRPr="00CF5860">
        <w:t>weeks post-baseline); and short-term outcome (</w:t>
      </w:r>
      <w:r w:rsidR="004D60D8">
        <w:t>3-</w:t>
      </w:r>
      <w:r w:rsidRPr="00CF5860">
        <w:t xml:space="preserve">months post-baseline).  </w:t>
      </w:r>
      <w:r>
        <w:t>Contextual components were</w:t>
      </w:r>
      <w:r w:rsidRPr="00CF5860">
        <w:t xml:space="preserve"> measured once </w:t>
      </w:r>
      <w:r>
        <w:t xml:space="preserve">each </w:t>
      </w:r>
      <w:r w:rsidR="00492A1E">
        <w:t>either at baseline or 2-weeks</w:t>
      </w:r>
      <w:r w:rsidR="005432C3">
        <w:t xml:space="preserve"> (specified in Measures)</w:t>
      </w:r>
      <w:r w:rsidR="00492A1E">
        <w:t xml:space="preserve">, </w:t>
      </w:r>
      <w:r w:rsidRPr="00CF5860">
        <w:t xml:space="preserve">with time-points chosen to reduce ceiling effects, capture data accurately, and spread questionnaire burden. Outcomes, </w:t>
      </w:r>
      <w:r w:rsidR="00BF6C8B">
        <w:t xml:space="preserve">potential predictors of outcome, </w:t>
      </w:r>
      <w:r w:rsidRPr="00CF5860">
        <w:t xml:space="preserve">and potential mediators </w:t>
      </w:r>
      <w:r>
        <w:t>we</w:t>
      </w:r>
      <w:r w:rsidRPr="00CF5860">
        <w:t xml:space="preserve">re measured </w:t>
      </w:r>
      <w:r w:rsidR="00265F1A">
        <w:t xml:space="preserve">repeatedly </w:t>
      </w:r>
      <w:r w:rsidRPr="00CF5860">
        <w:t xml:space="preserve">at </w:t>
      </w:r>
      <w:r w:rsidR="004D60D8">
        <w:t>baseline, 2-</w:t>
      </w:r>
      <w:proofErr w:type="gramStart"/>
      <w:r w:rsidR="004D60D8">
        <w:t>weeks</w:t>
      </w:r>
      <w:proofErr w:type="gramEnd"/>
      <w:r w:rsidR="004D60D8">
        <w:t xml:space="preserve"> and 3-</w:t>
      </w:r>
      <w:r w:rsidR="00092953">
        <w:t>months</w:t>
      </w:r>
      <w:r w:rsidRPr="00CF5860">
        <w:t xml:space="preserve">, to permit tests of whether scores on </w:t>
      </w:r>
      <w:r>
        <w:t xml:space="preserve">contextual </w:t>
      </w:r>
      <w:r w:rsidRPr="00CF5860">
        <w:t xml:space="preserve">factors </w:t>
      </w:r>
      <w:r>
        <w:t xml:space="preserve">were </w:t>
      </w:r>
      <w:r w:rsidRPr="00CF5860">
        <w:t xml:space="preserve">associated with changes over time in </w:t>
      </w:r>
      <w:r w:rsidR="00BF6C8B">
        <w:t>predictors</w:t>
      </w:r>
      <w:r w:rsidR="00BF6C8B" w:rsidRPr="00CF5860">
        <w:t xml:space="preserve"> </w:t>
      </w:r>
      <w:r w:rsidRPr="00CF5860">
        <w:t xml:space="preserve">or mediators. Participants </w:t>
      </w:r>
      <w:r>
        <w:t xml:space="preserve">chose </w:t>
      </w:r>
      <w:r w:rsidRPr="00CF5860">
        <w:t xml:space="preserve">to </w:t>
      </w:r>
      <w:r w:rsidRPr="00CF5860">
        <w:lastRenderedPageBreak/>
        <w:t>complete hard copies (mailed, returned via Freepost) or electronic copies (emailed, completed online</w:t>
      </w:r>
      <w:r w:rsidR="00D21426">
        <w:t xml:space="preserve"> at isurvey.soton.ac.uk</w:t>
      </w:r>
      <w:r w:rsidRPr="00CF5860">
        <w:t xml:space="preserve">). </w:t>
      </w:r>
      <w:r w:rsidR="007C4E35">
        <w:t xml:space="preserve"> </w:t>
      </w:r>
      <w:r w:rsidRPr="00CF5860">
        <w:t xml:space="preserve">Online and paper versions of </w:t>
      </w:r>
      <w:r>
        <w:t xml:space="preserve">the </w:t>
      </w:r>
      <w:r w:rsidRPr="00CF5860">
        <w:t xml:space="preserve">primary outcome are equivalent, </w:t>
      </w:r>
      <w:r w:rsidR="0018046E">
        <w:t>and</w:t>
      </w:r>
      <w:r w:rsidRPr="00CF5860">
        <w:t xml:space="preserve"> used interchangeably, </w:t>
      </w:r>
      <w:r w:rsidR="0018046E">
        <w:t>as</w:t>
      </w:r>
      <w:r w:rsidR="0018046E" w:rsidRPr="00CF5860">
        <w:t xml:space="preserve"> </w:t>
      </w:r>
      <w:r w:rsidRPr="00CF5860">
        <w:t>patients value having this choice</w:t>
      </w:r>
      <w:r w:rsidR="00CC5E54">
        <w:t>.</w:t>
      </w:r>
      <w:proofErr w:type="gramStart"/>
      <w:r w:rsidR="00666D6E">
        <w:rPr>
          <w:noProof/>
          <w:vertAlign w:val="superscript"/>
        </w:rPr>
        <w:t>50</w:t>
      </w:r>
      <w:r w:rsidR="00F0296F">
        <w:t xml:space="preserve">  The</w:t>
      </w:r>
      <w:proofErr w:type="gramEnd"/>
      <w:r w:rsidR="00F0296F">
        <w:t xml:space="preserve"> full protocol was published</w:t>
      </w:r>
      <w:r w:rsidR="00CC5E54">
        <w:t>.</w:t>
      </w:r>
      <w:r w:rsidR="00D6486B" w:rsidRPr="00D6486B">
        <w:rPr>
          <w:noProof/>
          <w:vertAlign w:val="superscript"/>
        </w:rPr>
        <w:t>42</w:t>
      </w:r>
      <w:r w:rsidR="00F0296F">
        <w:t xml:space="preserve">  </w:t>
      </w:r>
      <w:r w:rsidR="00265F1A">
        <w:t xml:space="preserve">See Supplemental Material </w:t>
      </w:r>
      <w:r w:rsidR="000D0A10">
        <w:t xml:space="preserve">Table </w:t>
      </w:r>
      <w:r w:rsidR="00265F1A">
        <w:t>1</w:t>
      </w:r>
      <w:r w:rsidR="000D0A10">
        <w:t xml:space="preserve"> </w:t>
      </w:r>
      <w:r w:rsidR="00265F1A">
        <w:t xml:space="preserve">for </w:t>
      </w:r>
      <w:r w:rsidR="000D0A10">
        <w:t>deviations from the protocol.</w:t>
      </w:r>
    </w:p>
    <w:p w14:paraId="0A4E97CF" w14:textId="77777777" w:rsidR="00BC0950" w:rsidRDefault="00BC0950" w:rsidP="00852941">
      <w:pPr>
        <w:pStyle w:val="Heading2"/>
      </w:pPr>
    </w:p>
    <w:p w14:paraId="7205C420" w14:textId="56D025FF" w:rsidR="003071D4" w:rsidRDefault="00852941" w:rsidP="00852941">
      <w:pPr>
        <w:pStyle w:val="Heading2"/>
      </w:pPr>
      <w:r>
        <w:t>Procedure</w:t>
      </w:r>
    </w:p>
    <w:p w14:paraId="18E425C4" w14:textId="74FB896D" w:rsidR="00CF5860" w:rsidRDefault="003C28AD" w:rsidP="002F4465">
      <w:pPr>
        <w:ind w:firstLine="720"/>
      </w:pPr>
      <w:r>
        <w:t>Between April 2015 and April 2017, p</w:t>
      </w:r>
      <w:r w:rsidR="00CF5860">
        <w:t xml:space="preserve">hysiotherapists, osteopaths, and acupuncturists working in the NHS and the private sector throughout the UK were recruited by advertisements and personal invitations, with support from </w:t>
      </w:r>
      <w:r>
        <w:t>professional societies</w:t>
      </w:r>
      <w:r w:rsidR="00CF5860">
        <w:t xml:space="preserve">.  Inclusion criteria </w:t>
      </w:r>
      <w:proofErr w:type="gramStart"/>
      <w:r w:rsidR="00CF5860">
        <w:t>were:</w:t>
      </w:r>
      <w:proofErr w:type="gramEnd"/>
      <w:r w:rsidR="00CF5860">
        <w:t xml:space="preserve"> </w:t>
      </w:r>
      <w:r w:rsidR="00CF5860" w:rsidRPr="00CF5860">
        <w:t>treat at least one patient with LBP on average per week</w:t>
      </w:r>
      <w:r w:rsidR="00AB4ED5">
        <w:t>,</w:t>
      </w:r>
      <w:r w:rsidR="00CF5860" w:rsidRPr="00CF5860">
        <w:t xml:space="preserve"> have at least three years</w:t>
      </w:r>
      <w:r w:rsidR="0018046E">
        <w:t>’</w:t>
      </w:r>
      <w:r w:rsidR="00CF5860" w:rsidRPr="00CF5860">
        <w:t xml:space="preserve"> current experience in musculoskeletal work</w:t>
      </w:r>
      <w:r w:rsidR="00AB4ED5">
        <w:t xml:space="preserve">, and be registered (or eligible to register, for acupuncturists) with the appropriate professional body. </w:t>
      </w:r>
      <w:r w:rsidR="00CF5860" w:rsidRPr="00CF5860">
        <w:t xml:space="preserve"> </w:t>
      </w:r>
      <w:r w:rsidR="00495583">
        <w:t>T</w:t>
      </w:r>
      <w:r w:rsidR="00AB4ED5">
        <w:t xml:space="preserve">o better capture current clinical practice, no restrictions </w:t>
      </w:r>
      <w:r w:rsidR="00492A1E">
        <w:t xml:space="preserve">were placed </w:t>
      </w:r>
      <w:r w:rsidR="00AB4ED5">
        <w:t xml:space="preserve">on type of intervention being delivered, meaning that osteopaths and physiotherapists were able to use acupuncture </w:t>
      </w:r>
      <w:proofErr w:type="gramStart"/>
      <w:r w:rsidR="00525A30">
        <w:t>if and when</w:t>
      </w:r>
      <w:proofErr w:type="gramEnd"/>
      <w:r w:rsidR="00525A30">
        <w:t xml:space="preserve"> they would usually do so</w:t>
      </w:r>
      <w:r w:rsidR="00AB4ED5">
        <w:t xml:space="preserve">.  </w:t>
      </w:r>
    </w:p>
    <w:p w14:paraId="377C2F59" w14:textId="776A8F50" w:rsidR="00AB4ED5" w:rsidRPr="00AB4ED5" w:rsidRDefault="00AB4ED5" w:rsidP="002F4465">
      <w:pPr>
        <w:ind w:firstLine="720"/>
      </w:pPr>
      <w:r>
        <w:t xml:space="preserve">Written consent was obtained from eligible practitioners, who gave potentially eligible patients a study invitation pack (containing invitation letter, information sheet, consent form, and </w:t>
      </w:r>
      <w:r w:rsidR="00092953">
        <w:t xml:space="preserve">baseline </w:t>
      </w:r>
      <w:r>
        <w:t xml:space="preserve">questionnaire). </w:t>
      </w:r>
      <w:r w:rsidR="00870DBB">
        <w:t xml:space="preserve">Patients were recruited between May 2015 and April 2017.  </w:t>
      </w:r>
      <w:r>
        <w:t xml:space="preserve">On inviting an eligible patient into the study, practitioners </w:t>
      </w:r>
      <w:r w:rsidR="006D504D">
        <w:t xml:space="preserve">rated their outcome expectancy for </w:t>
      </w:r>
      <w:r>
        <w:t>that patient</w:t>
      </w:r>
      <w:r w:rsidR="006D504D">
        <w:t xml:space="preserve"> on an anonymised form</w:t>
      </w:r>
      <w:r w:rsidR="0018046E">
        <w:t>,</w:t>
      </w:r>
      <w:r w:rsidR="006D504D">
        <w:t xml:space="preserve"> labelled only with the same unique identifier as the corresponding patient invitation pack</w:t>
      </w:r>
      <w:r>
        <w:t xml:space="preserve">.  </w:t>
      </w:r>
      <w:r w:rsidR="006D504D">
        <w:t xml:space="preserve">Each outcome expectancy form was only analysed if </w:t>
      </w:r>
      <w:r w:rsidR="0018046E">
        <w:t xml:space="preserve">the </w:t>
      </w:r>
      <w:r w:rsidR="006D504D">
        <w:t xml:space="preserve">corresponding patient consent to participate was received by the researchers.  </w:t>
      </w:r>
      <w:r>
        <w:t xml:space="preserve">Inclusion criteria were: </w:t>
      </w:r>
      <w:r w:rsidRPr="00AB4ED5">
        <w:t>at least 18 years old, seeking treatment from a participating practitioner at their first consultation for a new episode of LBP, and score at least 4</w:t>
      </w:r>
      <w:r w:rsidR="00853A82">
        <w:t>/24</w:t>
      </w:r>
      <w:r w:rsidRPr="00AB4ED5">
        <w:t xml:space="preserve"> on the Roland-Morris D</w:t>
      </w:r>
      <w:r>
        <w:t>isability Questionnaire (RMDQ)</w:t>
      </w:r>
      <w:r w:rsidR="00CC5E54">
        <w:t>.</w:t>
      </w:r>
      <w:r w:rsidR="00666D6E">
        <w:rPr>
          <w:noProof/>
          <w:vertAlign w:val="superscript"/>
        </w:rPr>
        <w:t>51</w:t>
      </w:r>
      <w:r w:rsidRPr="00AB4ED5">
        <w:t xml:space="preserve"> </w:t>
      </w:r>
      <w:r>
        <w:t>Exclusion criteria were</w:t>
      </w:r>
      <w:r w:rsidRPr="00AB4ED5">
        <w:t>: unable to complete questionnaires in English or Welsh, have serious underlying pathology (inflammatory arthritis, malignancy), or have practitioner-identified conditions that would prevent the sought treatment being applied.  Arguably,</w:t>
      </w:r>
      <w:r w:rsidR="00CC5E54">
        <w:t xml:space="preserve"> </w:t>
      </w:r>
      <w:r w:rsidR="0018046E">
        <w:t>LBP</w:t>
      </w:r>
      <w:r w:rsidRPr="00AB4ED5">
        <w:t xml:space="preserve"> as managed in primary care should be </w:t>
      </w:r>
      <w:r w:rsidRPr="00AB4ED5">
        <w:lastRenderedPageBreak/>
        <w:t>conceptualised as typically having a chronic-episodic timeline with recurrent acute flare-ups against a backdrop of temporary remission or less bothersome symptoms</w:t>
      </w:r>
      <w:r w:rsidR="00CC5E54">
        <w:t>.</w:t>
      </w:r>
      <w:r w:rsidR="00666D6E">
        <w:rPr>
          <w:noProof/>
          <w:vertAlign w:val="superscript"/>
        </w:rPr>
        <w:t>52</w:t>
      </w:r>
      <w:r w:rsidR="009B4F51" w:rsidRPr="009B4F51">
        <w:rPr>
          <w:noProof/>
          <w:vertAlign w:val="superscript"/>
        </w:rPr>
        <w:t xml:space="preserve"> </w:t>
      </w:r>
      <w:proofErr w:type="gramStart"/>
      <w:r w:rsidR="00666D6E">
        <w:rPr>
          <w:noProof/>
          <w:vertAlign w:val="superscript"/>
        </w:rPr>
        <w:t>53</w:t>
      </w:r>
      <w:r w:rsidRPr="00AB4ED5">
        <w:t xml:space="preserve"> </w:t>
      </w:r>
      <w:r w:rsidR="007911F9">
        <w:t xml:space="preserve"> </w:t>
      </w:r>
      <w:r w:rsidRPr="00AB4ED5">
        <w:t>Broad</w:t>
      </w:r>
      <w:proofErr w:type="gramEnd"/>
      <w:r w:rsidRPr="00AB4ED5">
        <w:t xml:space="preserve"> inclusion criteria </w:t>
      </w:r>
      <w:r>
        <w:t>therefore</w:t>
      </w:r>
      <w:r w:rsidRPr="00AB4ED5">
        <w:t xml:space="preserve"> best reflect the clinical situation.</w:t>
      </w:r>
    </w:p>
    <w:p w14:paraId="796D34C5" w14:textId="45BD0C0E" w:rsidR="00CF5860" w:rsidRDefault="002F4465" w:rsidP="002F4465">
      <w:pPr>
        <w:ind w:firstLine="720"/>
      </w:pPr>
      <w:r>
        <w:t>C</w:t>
      </w:r>
      <w:r w:rsidR="00CF5860">
        <w:t>ompleted co</w:t>
      </w:r>
      <w:r w:rsidR="00BB0E21">
        <w:t>nsent forms and questionnaires we</w:t>
      </w:r>
      <w:r w:rsidR="00CF5860">
        <w:t>re returned directly to the researchers via prepaid envelopes.  The researchers email</w:t>
      </w:r>
      <w:r w:rsidR="00BB0E21">
        <w:t>ed</w:t>
      </w:r>
      <w:r w:rsidR="00CF5860">
        <w:t xml:space="preserve"> or </w:t>
      </w:r>
      <w:r w:rsidR="00BB0E21">
        <w:t xml:space="preserve">posted </w:t>
      </w:r>
      <w:r w:rsidR="00CF5860">
        <w:t xml:space="preserve">(participant’s choice) the </w:t>
      </w:r>
      <w:r w:rsidR="00F52455">
        <w:t xml:space="preserve">2-week </w:t>
      </w:r>
      <w:r w:rsidR="00CF5860">
        <w:t xml:space="preserve">and </w:t>
      </w:r>
      <w:r w:rsidR="00F52455">
        <w:t>3-months</w:t>
      </w:r>
      <w:r w:rsidR="00CF5860">
        <w:t xml:space="preserve"> questionnaires to participants.  </w:t>
      </w:r>
      <w:r w:rsidR="00492A1E">
        <w:t>Techniques used t</w:t>
      </w:r>
      <w:r w:rsidR="00BB0E21">
        <w:t>o enhance retention</w:t>
      </w:r>
      <w:r w:rsidR="00492A1E">
        <w:t xml:space="preserve"> were</w:t>
      </w:r>
      <w:r w:rsidR="00BB0E21">
        <w:t xml:space="preserve">:  non-response follow-ups (resending questionnaires and telephoning); monthly study e-newsletters </w:t>
      </w:r>
      <w:r w:rsidR="00CF5860">
        <w:t>to practitioners</w:t>
      </w:r>
      <w:r w:rsidR="00BB0E21">
        <w:t>;</w:t>
      </w:r>
      <w:r w:rsidR="00CF5860">
        <w:t xml:space="preserve"> small gifts (e.g. tea bag/pen) and monetary incentives (£5 voucher) </w:t>
      </w:r>
      <w:r w:rsidR="00BB0E21">
        <w:t xml:space="preserve">for </w:t>
      </w:r>
      <w:r w:rsidR="00CF5860">
        <w:t>patients</w:t>
      </w:r>
      <w:r w:rsidR="00BB0E21">
        <w:t>; personalised questionnaires;</w:t>
      </w:r>
      <w:r w:rsidR="00CF5860">
        <w:t xml:space="preserve"> ink-signed cover letters</w:t>
      </w:r>
      <w:r w:rsidR="00BB0E21">
        <w:t>;</w:t>
      </w:r>
      <w:r w:rsidR="00CF5860">
        <w:t xml:space="preserve"> coloured ink</w:t>
      </w:r>
      <w:r w:rsidR="00BB0E21">
        <w:t>;</w:t>
      </w:r>
      <w:r w:rsidR="00CF5860">
        <w:t xml:space="preserve"> stamped return envelopes</w:t>
      </w:r>
      <w:r w:rsidR="00BB0E21">
        <w:t>;</w:t>
      </w:r>
      <w:r w:rsidR="00CF5860">
        <w:t xml:space="preserve"> first class post</w:t>
      </w:r>
      <w:r w:rsidR="00CC5E54">
        <w:t>.</w:t>
      </w:r>
      <w:r w:rsidR="00666D6E">
        <w:rPr>
          <w:noProof/>
          <w:vertAlign w:val="superscript"/>
        </w:rPr>
        <w:t>54</w:t>
      </w:r>
    </w:p>
    <w:p w14:paraId="4C36A1E7" w14:textId="77777777" w:rsidR="00BC0950" w:rsidRDefault="00BC0950" w:rsidP="003157FE">
      <w:pPr>
        <w:pStyle w:val="Heading2"/>
      </w:pPr>
    </w:p>
    <w:p w14:paraId="38259973" w14:textId="1394BD80" w:rsidR="00AB249A" w:rsidRDefault="003071D4" w:rsidP="003157FE">
      <w:pPr>
        <w:pStyle w:val="Heading2"/>
      </w:pPr>
      <w:r>
        <w:t>Measures</w:t>
      </w:r>
      <w:r w:rsidR="003157FE">
        <w:t xml:space="preserve"> </w:t>
      </w:r>
    </w:p>
    <w:p w14:paraId="30A7F47E" w14:textId="1D8CF880" w:rsidR="007911F9" w:rsidRDefault="007911F9" w:rsidP="00BC0950">
      <w:pPr>
        <w:ind w:firstLine="720"/>
      </w:pPr>
      <w:r>
        <w:t xml:space="preserve">This section describes how each construct was operationalised, explains the choice of questionnaires and the timing of each measure.  Where other measures of </w:t>
      </w:r>
      <w:r w:rsidR="00E404A4">
        <w:t>constructs</w:t>
      </w:r>
      <w:r>
        <w:t xml:space="preserve"> existed, </w:t>
      </w:r>
      <w:r w:rsidR="00E404A4">
        <w:t>questionnaires</w:t>
      </w:r>
      <w:r>
        <w:t xml:space="preserve"> were chosen for their conceptual fit, psychometric properties, and conciseness.  Supplemental Material Table 2 provides additional details including: example items, response scales, and Cronbach’s alphas.</w:t>
      </w:r>
    </w:p>
    <w:p w14:paraId="53F2CFB4" w14:textId="77777777" w:rsidR="00BC0950" w:rsidRDefault="00BC0950" w:rsidP="00852941">
      <w:pPr>
        <w:pStyle w:val="Heading3"/>
        <w:rPr>
          <w:b w:val="0"/>
          <w:bCs w:val="0"/>
          <w:i w:val="0"/>
          <w:iCs/>
        </w:rPr>
      </w:pPr>
    </w:p>
    <w:p w14:paraId="6DB2C551" w14:textId="66EE02EB" w:rsidR="003071D4" w:rsidRPr="00666D42" w:rsidRDefault="003071D4" w:rsidP="00852941">
      <w:pPr>
        <w:pStyle w:val="Heading3"/>
        <w:rPr>
          <w:b w:val="0"/>
          <w:bCs w:val="0"/>
          <w:i w:val="0"/>
          <w:iCs/>
        </w:rPr>
      </w:pPr>
      <w:r w:rsidRPr="00666D42">
        <w:rPr>
          <w:b w:val="0"/>
          <w:bCs w:val="0"/>
          <w:i w:val="0"/>
          <w:iCs/>
        </w:rPr>
        <w:t>Outcome</w:t>
      </w:r>
      <w:r w:rsidR="00073954" w:rsidRPr="00666D42">
        <w:rPr>
          <w:b w:val="0"/>
          <w:bCs w:val="0"/>
          <w:i w:val="0"/>
          <w:iCs/>
        </w:rPr>
        <w:t>s</w:t>
      </w:r>
      <w:r w:rsidRPr="00666D42">
        <w:rPr>
          <w:b w:val="0"/>
          <w:bCs w:val="0"/>
          <w:i w:val="0"/>
          <w:iCs/>
        </w:rPr>
        <w:t xml:space="preserve"> </w:t>
      </w:r>
    </w:p>
    <w:p w14:paraId="1F2D3813" w14:textId="45D57764" w:rsidR="009D37E6" w:rsidRPr="009D37E6" w:rsidRDefault="009D37E6" w:rsidP="00BC0950">
      <w:pPr>
        <w:ind w:firstLine="720"/>
      </w:pPr>
      <w:r>
        <w:t>The primary outcome wa</w:t>
      </w:r>
      <w:r w:rsidRPr="009D37E6">
        <w:t>s self-reported back-related disability, measured using the 24-item Roland-Morris Disability Questionnaire (RMDQ)</w:t>
      </w:r>
      <w:r w:rsidR="00CC5E54">
        <w:t>.</w:t>
      </w:r>
      <w:r w:rsidR="00666D6E">
        <w:rPr>
          <w:noProof/>
          <w:vertAlign w:val="superscript"/>
        </w:rPr>
        <w:t>51</w:t>
      </w:r>
      <w:r w:rsidR="002C5D06">
        <w:t xml:space="preserve"> </w:t>
      </w:r>
      <w:r w:rsidRPr="009D37E6">
        <w:t xml:space="preserve"> Secondary outcomes (pain intensity, well-being, work and social role disability, satisfaction with care) </w:t>
      </w:r>
      <w:r>
        <w:t>we</w:t>
      </w:r>
      <w:r w:rsidRPr="009D37E6">
        <w:t>re measured using recommended core single items</w:t>
      </w:r>
      <w:r w:rsidR="00CC5E54">
        <w:t>.</w:t>
      </w:r>
      <w:r w:rsidR="00666D6E">
        <w:rPr>
          <w:noProof/>
          <w:vertAlign w:val="superscript"/>
        </w:rPr>
        <w:t>55</w:t>
      </w:r>
      <w:r>
        <w:t xml:space="preserve">  </w:t>
      </w:r>
      <w:r w:rsidR="007911F9">
        <w:t>All primary and secondary outcomes were measured at baseline, 2-weeks, and 3-months.</w:t>
      </w:r>
    </w:p>
    <w:p w14:paraId="0347C9B7" w14:textId="77777777" w:rsidR="00BC0950" w:rsidRDefault="00BC0950" w:rsidP="00852941">
      <w:pPr>
        <w:pStyle w:val="Heading3"/>
        <w:rPr>
          <w:b w:val="0"/>
          <w:bCs w:val="0"/>
          <w:i w:val="0"/>
          <w:iCs/>
        </w:rPr>
      </w:pPr>
    </w:p>
    <w:p w14:paraId="7A09D853" w14:textId="25172088" w:rsidR="003071D4" w:rsidRPr="00666D42" w:rsidRDefault="003071D4" w:rsidP="00852941">
      <w:pPr>
        <w:pStyle w:val="Heading3"/>
        <w:rPr>
          <w:b w:val="0"/>
          <w:bCs w:val="0"/>
          <w:i w:val="0"/>
          <w:iCs/>
        </w:rPr>
      </w:pPr>
      <w:r w:rsidRPr="00666D42">
        <w:rPr>
          <w:b w:val="0"/>
          <w:bCs w:val="0"/>
          <w:i w:val="0"/>
          <w:iCs/>
        </w:rPr>
        <w:t xml:space="preserve">Contextual </w:t>
      </w:r>
      <w:r w:rsidR="00073954" w:rsidRPr="00666D42">
        <w:rPr>
          <w:b w:val="0"/>
          <w:bCs w:val="0"/>
          <w:i w:val="0"/>
          <w:iCs/>
        </w:rPr>
        <w:t>Components</w:t>
      </w:r>
    </w:p>
    <w:p w14:paraId="0DA00091" w14:textId="51CBBF86" w:rsidR="00666D42" w:rsidRPr="00666D42" w:rsidRDefault="002F4465" w:rsidP="00666D42">
      <w:pPr>
        <w:rPr>
          <w:b/>
          <w:bCs/>
          <w:i/>
          <w:iCs/>
        </w:rPr>
      </w:pPr>
      <w:r w:rsidRPr="00666D42">
        <w:rPr>
          <w:rStyle w:val="Heading4Char"/>
          <w:b w:val="0"/>
          <w:bCs/>
          <w:i/>
          <w:iCs/>
        </w:rPr>
        <w:t>P</w:t>
      </w:r>
      <w:r w:rsidR="009D37E6" w:rsidRPr="00666D42">
        <w:rPr>
          <w:rStyle w:val="Heading4Char"/>
          <w:b w:val="0"/>
          <w:bCs/>
          <w:i/>
          <w:iCs/>
        </w:rPr>
        <w:t>at</w:t>
      </w:r>
      <w:r w:rsidRPr="00666D42">
        <w:rPr>
          <w:rStyle w:val="Heading4Char"/>
          <w:b w:val="0"/>
          <w:bCs/>
          <w:i/>
          <w:iCs/>
        </w:rPr>
        <w:t>ient-P</w:t>
      </w:r>
      <w:r w:rsidR="00AC5CCD" w:rsidRPr="00666D42">
        <w:rPr>
          <w:rStyle w:val="Heading4Char"/>
          <w:b w:val="0"/>
          <w:bCs/>
          <w:i/>
          <w:iCs/>
        </w:rPr>
        <w:t xml:space="preserve">ractitioner </w:t>
      </w:r>
      <w:r w:rsidRPr="00666D42">
        <w:rPr>
          <w:rStyle w:val="Heading4Char"/>
          <w:b w:val="0"/>
          <w:bCs/>
          <w:i/>
          <w:iCs/>
        </w:rPr>
        <w:t>R</w:t>
      </w:r>
      <w:r w:rsidR="00AC5CCD" w:rsidRPr="00666D42">
        <w:rPr>
          <w:rStyle w:val="Heading4Char"/>
          <w:b w:val="0"/>
          <w:bCs/>
          <w:i/>
          <w:iCs/>
        </w:rPr>
        <w:t>elationship</w:t>
      </w:r>
    </w:p>
    <w:p w14:paraId="64B83A7B" w14:textId="705F7BAB" w:rsidR="00AC5CCD" w:rsidRPr="009D37E6" w:rsidRDefault="00251967" w:rsidP="00BC0950">
      <w:r>
        <w:t xml:space="preserve">The patient-practitioner relationship was operationalised in this study as the therapeutic alliance.  </w:t>
      </w:r>
      <w:r w:rsidR="002F4465">
        <w:t>T</w:t>
      </w:r>
      <w:r w:rsidR="009D37E6" w:rsidRPr="009D37E6">
        <w:t>he therapeutic alliance</w:t>
      </w:r>
      <w:r w:rsidR="002F4465">
        <w:t xml:space="preserve"> </w:t>
      </w:r>
      <w:r w:rsidR="009D37E6" w:rsidRPr="009D37E6">
        <w:t xml:space="preserve">is </w:t>
      </w:r>
      <w:r w:rsidR="002F4465">
        <w:t xml:space="preserve">conceptually </w:t>
      </w:r>
      <w:r w:rsidR="009D37E6" w:rsidRPr="009D37E6">
        <w:t>grounded in theory on how patient-practitioner interactions can elicit psychological</w:t>
      </w:r>
      <w:r w:rsidR="00AC5CCD">
        <w:t xml:space="preserve"> and</w:t>
      </w:r>
      <w:r w:rsidR="009D37E6" w:rsidRPr="009D37E6">
        <w:t>/</w:t>
      </w:r>
      <w:r w:rsidR="00AC5CCD">
        <w:t xml:space="preserve">or </w:t>
      </w:r>
      <w:r w:rsidR="009D37E6" w:rsidRPr="009D37E6">
        <w:t>behavioural changes</w:t>
      </w:r>
      <w:r w:rsidR="00666D6E">
        <w:rPr>
          <w:noProof/>
          <w:vertAlign w:val="superscript"/>
        </w:rPr>
        <w:t>56</w:t>
      </w:r>
      <w:r w:rsidR="009D37E6" w:rsidRPr="009D37E6">
        <w:t xml:space="preserve"> </w:t>
      </w:r>
      <w:r w:rsidR="00AC5CCD">
        <w:t xml:space="preserve">both of which may be important in </w:t>
      </w:r>
      <w:r w:rsidR="00AD7EDE">
        <w:t>LBP</w:t>
      </w:r>
      <w:r w:rsidR="00AC5CCD">
        <w:t xml:space="preserve">.  </w:t>
      </w:r>
      <w:r w:rsidR="00AC5CCD" w:rsidRPr="009D37E6">
        <w:t xml:space="preserve">Therapeutic alliance </w:t>
      </w:r>
      <w:r w:rsidR="00AC5CCD">
        <w:t>wa</w:t>
      </w:r>
      <w:r w:rsidR="00AC5CCD" w:rsidRPr="009D37E6">
        <w:t xml:space="preserve">s assessed using the </w:t>
      </w:r>
      <w:r w:rsidR="00C37A6C">
        <w:t>12-item patient-reported</w:t>
      </w:r>
      <w:r w:rsidR="00AC5CCD" w:rsidRPr="009D37E6">
        <w:t xml:space="preserve"> Working Alliance Inventory Short Form (WAI-SF), which </w:t>
      </w:r>
      <w:r w:rsidR="00AC5CCD">
        <w:t xml:space="preserve">measures </w:t>
      </w:r>
      <w:r w:rsidR="00AC5CCD" w:rsidRPr="009D37E6">
        <w:t>three dimensions of working alliance</w:t>
      </w:r>
      <w:r w:rsidR="00853A82">
        <w:t xml:space="preserve"> </w:t>
      </w:r>
      <w:r w:rsidR="00AC5CCD">
        <w:t xml:space="preserve">– task collaboration, affective bond, and goal concordance - </w:t>
      </w:r>
      <w:r w:rsidR="00853A82">
        <w:t xml:space="preserve">(four items each) </w:t>
      </w:r>
      <w:r w:rsidR="00AC5CCD" w:rsidRPr="009D37E6">
        <w:t>with acceptable psychometric properties</w:t>
      </w:r>
      <w:r w:rsidR="00CC5E54">
        <w:t>.</w:t>
      </w:r>
      <w:r w:rsidR="00666D6E">
        <w:rPr>
          <w:noProof/>
          <w:vertAlign w:val="superscript"/>
        </w:rPr>
        <w:t>57</w:t>
      </w:r>
      <w:r w:rsidR="002C5D06">
        <w:t xml:space="preserve"> </w:t>
      </w:r>
      <w:r w:rsidR="00AC5CCD" w:rsidRPr="009D37E6">
        <w:t xml:space="preserve"> </w:t>
      </w:r>
      <w:r>
        <w:t xml:space="preserve">Task collaboration refers to the extent to which patients feel </w:t>
      </w:r>
      <w:r w:rsidR="00A857EE">
        <w:t xml:space="preserve">that the </w:t>
      </w:r>
      <w:r>
        <w:t xml:space="preserve">treatment approach </w:t>
      </w:r>
      <w:r w:rsidR="00A857EE">
        <w:t xml:space="preserve">their practitioner is taking </w:t>
      </w:r>
      <w:r>
        <w:t xml:space="preserve">is the right one for them.  Affective bond refers to the extent to which patients feel an interpersonal connection with their practitioner including mutual respect and liking.  And goal concordance refers to the extent to which patients feel they agree with their practitioner on </w:t>
      </w:r>
      <w:r w:rsidR="00A857EE">
        <w:t xml:space="preserve">the outcomes they are aiming to achieve through </w:t>
      </w:r>
      <w:r>
        <w:t xml:space="preserve">treatment.  </w:t>
      </w:r>
      <w:r w:rsidR="00AC5CCD" w:rsidRPr="009D37E6">
        <w:t>The patient-</w:t>
      </w:r>
      <w:r w:rsidR="00C37A6C">
        <w:t xml:space="preserve">reported </w:t>
      </w:r>
      <w:r w:rsidR="00AC5CCD" w:rsidRPr="009D37E6">
        <w:t>WAI-SF may have ceiling effects if used after one treatment but tends to remain stable after the second treatment</w:t>
      </w:r>
      <w:r w:rsidR="00CC5E54">
        <w:t>;</w:t>
      </w:r>
      <w:r w:rsidR="009B4F51" w:rsidRPr="009B4F51">
        <w:rPr>
          <w:noProof/>
          <w:vertAlign w:val="superscript"/>
        </w:rPr>
        <w:t>6</w:t>
      </w:r>
      <w:r w:rsidR="00AC5CCD" w:rsidRPr="009D37E6">
        <w:t xml:space="preserve"> </w:t>
      </w:r>
      <w:r w:rsidR="00AC5CCD">
        <w:t>it wa</w:t>
      </w:r>
      <w:r w:rsidR="00AC5CCD" w:rsidRPr="009D37E6">
        <w:t xml:space="preserve">s therefore administered at </w:t>
      </w:r>
      <w:r w:rsidR="00F52455">
        <w:t>2-weeks</w:t>
      </w:r>
      <w:r w:rsidR="00CC5E54">
        <w:t>.</w:t>
      </w:r>
    </w:p>
    <w:p w14:paraId="5DA83793" w14:textId="77777777" w:rsidR="00BC0950" w:rsidRDefault="00BC0950" w:rsidP="00666D42">
      <w:pPr>
        <w:rPr>
          <w:rStyle w:val="Heading4Char"/>
          <w:b w:val="0"/>
          <w:bCs/>
          <w:i/>
          <w:iCs/>
        </w:rPr>
      </w:pPr>
    </w:p>
    <w:p w14:paraId="453E785A" w14:textId="2266D28D" w:rsidR="00666D42" w:rsidRPr="00666D42" w:rsidRDefault="002F4465" w:rsidP="00666D42">
      <w:pPr>
        <w:rPr>
          <w:b/>
          <w:bCs/>
          <w:i/>
          <w:iCs/>
        </w:rPr>
      </w:pPr>
      <w:r w:rsidRPr="00666D42">
        <w:rPr>
          <w:rStyle w:val="Heading4Char"/>
          <w:b w:val="0"/>
          <w:bCs/>
          <w:i/>
          <w:iCs/>
        </w:rPr>
        <w:t>The H</w:t>
      </w:r>
      <w:r w:rsidR="00AC5CCD" w:rsidRPr="00666D42">
        <w:rPr>
          <w:rStyle w:val="Heading4Char"/>
          <w:b w:val="0"/>
          <w:bCs/>
          <w:i/>
          <w:iCs/>
        </w:rPr>
        <w:t xml:space="preserve">ealthcare </w:t>
      </w:r>
      <w:r w:rsidRPr="00666D42">
        <w:rPr>
          <w:rStyle w:val="Heading4Char"/>
          <w:b w:val="0"/>
          <w:bCs/>
          <w:i/>
          <w:iCs/>
        </w:rPr>
        <w:t>E</w:t>
      </w:r>
      <w:r w:rsidR="00AC5CCD" w:rsidRPr="00666D42">
        <w:rPr>
          <w:rStyle w:val="Heading4Char"/>
          <w:b w:val="0"/>
          <w:bCs/>
          <w:i/>
          <w:iCs/>
        </w:rPr>
        <w:t>nvironment</w:t>
      </w:r>
      <w:r w:rsidR="00AC5CCD" w:rsidRPr="00666D42">
        <w:rPr>
          <w:b/>
          <w:bCs/>
          <w:i/>
          <w:iCs/>
        </w:rPr>
        <w:t xml:space="preserve"> </w:t>
      </w:r>
    </w:p>
    <w:p w14:paraId="29CF247B" w14:textId="672EE526" w:rsidR="00AC5CCD" w:rsidRPr="00AC5CCD" w:rsidRDefault="00AC5CCD" w:rsidP="00BC0950">
      <w:r w:rsidRPr="00AC5CCD">
        <w:t xml:space="preserve">Practitioners’ perceptions of the organisational environment </w:t>
      </w:r>
      <w:r w:rsidR="00C37A6C">
        <w:t>we</w:t>
      </w:r>
      <w:r w:rsidRPr="00AC5CCD">
        <w:t xml:space="preserve">re measured </w:t>
      </w:r>
      <w:r w:rsidR="0010685B">
        <w:t xml:space="preserve">at </w:t>
      </w:r>
      <w:r w:rsidR="00092953">
        <w:t xml:space="preserve">baseline </w:t>
      </w:r>
      <w:r w:rsidRPr="00AC5CCD">
        <w:t>using two sub-scales from the psychometrically sound Attitudes to Back Pain Scale – Musculoskeletal Practitioners (ABS-</w:t>
      </w:r>
      <w:proofErr w:type="spellStart"/>
      <w:r w:rsidRPr="00AC5CCD">
        <w:t>mp</w:t>
      </w:r>
      <w:proofErr w:type="spellEnd"/>
      <w:r w:rsidRPr="00AC5CCD">
        <w:t xml:space="preserve">): putting limits on sessions </w:t>
      </w:r>
      <w:r w:rsidR="00C11FD7">
        <w:t xml:space="preserve">(4 items) </w:t>
      </w:r>
      <w:r w:rsidRPr="00AC5CCD">
        <w:t>and perceived connections within the health care system</w:t>
      </w:r>
      <w:r w:rsidR="00C11FD7">
        <w:t xml:space="preserve"> (3 items)</w:t>
      </w:r>
      <w:r w:rsidR="00CC5E54">
        <w:t>.</w:t>
      </w:r>
      <w:r w:rsidR="009B4F51" w:rsidRPr="009B4F51">
        <w:rPr>
          <w:noProof/>
          <w:vertAlign w:val="superscript"/>
        </w:rPr>
        <w:t xml:space="preserve">17 </w:t>
      </w:r>
      <w:r w:rsidR="00666D6E">
        <w:rPr>
          <w:noProof/>
          <w:vertAlign w:val="superscript"/>
        </w:rPr>
        <w:t>58</w:t>
      </w:r>
      <w:r w:rsidR="00C11FD7">
        <w:t xml:space="preserve">  </w:t>
      </w:r>
      <w:r w:rsidRPr="00AC5CCD">
        <w:t xml:space="preserve">Patients’ perceptions of the organisational and sensory-physical environment </w:t>
      </w:r>
      <w:r w:rsidR="00C11FD7">
        <w:t>we</w:t>
      </w:r>
      <w:r w:rsidRPr="00AC5CCD">
        <w:t xml:space="preserve">re assessed </w:t>
      </w:r>
      <w:r w:rsidR="0010685B">
        <w:t xml:space="preserve">at </w:t>
      </w:r>
      <w:r w:rsidR="00F52455">
        <w:t>2-weeks</w:t>
      </w:r>
      <w:r w:rsidR="0010685B">
        <w:t xml:space="preserve"> </w:t>
      </w:r>
      <w:r w:rsidRPr="00AC5CCD">
        <w:t>using three sub-scales of the Patient Satisfaction Questionnaire (PSQ) designed to assess patient perceptions of the quality of primary healthcare in the UK</w:t>
      </w:r>
      <w:r w:rsidR="00CC5E54">
        <w:t>.</w:t>
      </w:r>
      <w:r w:rsidR="00666D6E">
        <w:rPr>
          <w:noProof/>
          <w:vertAlign w:val="superscript"/>
        </w:rPr>
        <w:t>59</w:t>
      </w:r>
      <w:r w:rsidR="002C5D06">
        <w:t xml:space="preserve"> </w:t>
      </w:r>
      <w:r w:rsidRPr="00AC5CCD">
        <w:t xml:space="preserve"> The access sub-scale measures perceptions of interactions with reception staff</w:t>
      </w:r>
      <w:r w:rsidR="00C11FD7">
        <w:t xml:space="preserve"> (8 items)</w:t>
      </w:r>
      <w:r w:rsidRPr="00AC5CCD">
        <w:t>; the appointments sub-scale measures perceived availability of convenient appointments</w:t>
      </w:r>
      <w:r w:rsidR="00C11FD7">
        <w:t xml:space="preserve"> (4 items)</w:t>
      </w:r>
      <w:r w:rsidRPr="00AC5CCD">
        <w:t xml:space="preserve">; </w:t>
      </w:r>
      <w:r w:rsidRPr="00AC5CCD">
        <w:lastRenderedPageBreak/>
        <w:t>the facilities sub-scale measures perceptions of the physical environment of the clinic and waiting room</w:t>
      </w:r>
      <w:r w:rsidR="00C11FD7">
        <w:t xml:space="preserve"> (4 items)</w:t>
      </w:r>
      <w:r w:rsidRPr="00AC5CCD">
        <w:t xml:space="preserve">. </w:t>
      </w:r>
    </w:p>
    <w:p w14:paraId="6AFA60F7" w14:textId="77777777" w:rsidR="00BC0950" w:rsidRDefault="00BC0950" w:rsidP="00666D42">
      <w:pPr>
        <w:rPr>
          <w:rStyle w:val="Heading4Char"/>
          <w:b w:val="0"/>
          <w:bCs/>
          <w:i/>
          <w:iCs/>
        </w:rPr>
      </w:pPr>
    </w:p>
    <w:p w14:paraId="4EFCBA5F" w14:textId="7AAA1BD3" w:rsidR="00666D42" w:rsidRDefault="0010685B" w:rsidP="00666D42">
      <w:r w:rsidRPr="00666D42">
        <w:rPr>
          <w:rStyle w:val="Heading4Char"/>
          <w:b w:val="0"/>
          <w:bCs/>
          <w:i/>
          <w:iCs/>
        </w:rPr>
        <w:t xml:space="preserve">Patients’ </w:t>
      </w:r>
      <w:r w:rsidR="002F4465" w:rsidRPr="00666D42">
        <w:rPr>
          <w:rStyle w:val="Heading4Char"/>
          <w:b w:val="0"/>
          <w:bCs/>
          <w:i/>
          <w:iCs/>
        </w:rPr>
        <w:t>B</w:t>
      </w:r>
      <w:r w:rsidRPr="00666D42">
        <w:rPr>
          <w:rStyle w:val="Heading4Char"/>
          <w:b w:val="0"/>
          <w:bCs/>
          <w:i/>
          <w:iCs/>
        </w:rPr>
        <w:t>eliefs</w:t>
      </w:r>
      <w:r>
        <w:t xml:space="preserve"> </w:t>
      </w:r>
      <w:r w:rsidR="0015101C">
        <w:t xml:space="preserve"> </w:t>
      </w:r>
    </w:p>
    <w:p w14:paraId="687BCD0F" w14:textId="34F2D7BA" w:rsidR="0010685B" w:rsidRPr="0010685B" w:rsidRDefault="0010685B" w:rsidP="00BC0950">
      <w:r>
        <w:t xml:space="preserve">Four dimensions of treatment beliefs were </w:t>
      </w:r>
      <w:r w:rsidRPr="0010685B">
        <w:t xml:space="preserve">measured using the brief LBP Treatment Beliefs Questionnaire: </w:t>
      </w:r>
      <w:r>
        <w:t xml:space="preserve"> </w:t>
      </w:r>
      <w:r w:rsidR="004B137E">
        <w:t>expected</w:t>
      </w:r>
      <w:r w:rsidRPr="0010685B">
        <w:t xml:space="preserve"> effectiveness, credibility, concerns, and individualised fit</w:t>
      </w:r>
      <w:r w:rsidR="004B137E">
        <w:t xml:space="preserve"> (4 items per subscale)</w:t>
      </w:r>
      <w:r w:rsidR="00CC5E54">
        <w:t>.</w:t>
      </w:r>
      <w:proofErr w:type="gramStart"/>
      <w:r w:rsidR="00666D6E">
        <w:rPr>
          <w:noProof/>
          <w:vertAlign w:val="superscript"/>
        </w:rPr>
        <w:t>60</w:t>
      </w:r>
      <w:r w:rsidR="002C5D06">
        <w:t xml:space="preserve"> </w:t>
      </w:r>
      <w:r w:rsidRPr="0010685B">
        <w:t xml:space="preserve"> </w:t>
      </w:r>
      <w:r w:rsidR="0015101C">
        <w:t>This</w:t>
      </w:r>
      <w:proofErr w:type="gramEnd"/>
      <w:r w:rsidR="0015101C">
        <w:t xml:space="preserve"> questionnaire </w:t>
      </w:r>
      <w:r w:rsidRPr="0010685B">
        <w:t xml:space="preserve">was explicitly designed for use in mixed cohorts of </w:t>
      </w:r>
      <w:r w:rsidR="0018046E">
        <w:t xml:space="preserve">patients with </w:t>
      </w:r>
      <w:r w:rsidRPr="0010685B">
        <w:t>LBP</w:t>
      </w:r>
      <w:r w:rsidR="00CC5E54">
        <w:t xml:space="preserve"> </w:t>
      </w:r>
      <w:r w:rsidRPr="0010685B">
        <w:t xml:space="preserve">undergoing diverse treatments. </w:t>
      </w:r>
      <w:r w:rsidR="0015101C">
        <w:t xml:space="preserve">It </w:t>
      </w:r>
      <w:r>
        <w:t>wa</w:t>
      </w:r>
      <w:r w:rsidRPr="0010685B">
        <w:t xml:space="preserve">s completed at </w:t>
      </w:r>
      <w:r w:rsidR="00092953">
        <w:t xml:space="preserve">baseline </w:t>
      </w:r>
      <w:r w:rsidRPr="0010685B">
        <w:t xml:space="preserve">as patients’ </w:t>
      </w:r>
      <w:r w:rsidR="00687ACF">
        <w:t>expectancie</w:t>
      </w:r>
      <w:r w:rsidRPr="0010685B">
        <w:t>s regarding effectiveness should be measured early in treatment</w:t>
      </w:r>
      <w:r w:rsidR="00CC5E54">
        <w:t>.</w:t>
      </w:r>
      <w:r w:rsidR="009B4F51" w:rsidRPr="009B4F51">
        <w:rPr>
          <w:noProof/>
          <w:vertAlign w:val="superscript"/>
        </w:rPr>
        <w:t>13</w:t>
      </w:r>
    </w:p>
    <w:p w14:paraId="7F585461" w14:textId="77777777" w:rsidR="00BC0950" w:rsidRDefault="00BC0950" w:rsidP="00666D42">
      <w:pPr>
        <w:rPr>
          <w:bCs/>
          <w:i/>
          <w:iCs/>
        </w:rPr>
      </w:pPr>
    </w:p>
    <w:p w14:paraId="4DAFCB39" w14:textId="7C2DAD25" w:rsidR="00666D42" w:rsidRDefault="004B137E" w:rsidP="00666D42">
      <w:r w:rsidRPr="00666D42">
        <w:rPr>
          <w:bCs/>
          <w:i/>
          <w:iCs/>
        </w:rPr>
        <w:t>Practitione</w:t>
      </w:r>
      <w:r w:rsidR="002F4465" w:rsidRPr="00666D42">
        <w:rPr>
          <w:bCs/>
          <w:i/>
          <w:iCs/>
        </w:rPr>
        <w:t>rs’ B</w:t>
      </w:r>
      <w:r w:rsidRPr="00666D42">
        <w:rPr>
          <w:bCs/>
          <w:i/>
          <w:iCs/>
        </w:rPr>
        <w:t>eliefs</w:t>
      </w:r>
      <w:r>
        <w:t xml:space="preserve"> </w:t>
      </w:r>
    </w:p>
    <w:p w14:paraId="3561A4FC" w14:textId="634AD169" w:rsidR="004B137E" w:rsidRPr="004B137E" w:rsidRDefault="004B137E" w:rsidP="00BC0950">
      <w:r w:rsidRPr="004B137E">
        <w:t xml:space="preserve">A single-item numerical rating scale </w:t>
      </w:r>
      <w:r>
        <w:t xml:space="preserve">at </w:t>
      </w:r>
      <w:r w:rsidR="00092953">
        <w:t xml:space="preserve">baseline </w:t>
      </w:r>
      <w:r w:rsidRPr="004B137E">
        <w:t>measure</w:t>
      </w:r>
      <w:r>
        <w:t>d</w:t>
      </w:r>
      <w:r w:rsidRPr="004B137E">
        <w:t xml:space="preserve"> practitioners’ outcome </w:t>
      </w:r>
      <w:r w:rsidR="00687ACF">
        <w:t>expectancies</w:t>
      </w:r>
      <w:r w:rsidRPr="004B137E">
        <w:t xml:space="preserve"> for each patient. Four sub-scales from the ABS-</w:t>
      </w:r>
      <w:proofErr w:type="spellStart"/>
      <w:r w:rsidRPr="004B137E">
        <w:t>mp</w:t>
      </w:r>
      <w:proofErr w:type="spellEnd"/>
      <w:r w:rsidRPr="004B137E">
        <w:t xml:space="preserve"> measure</w:t>
      </w:r>
      <w:r>
        <w:t xml:space="preserve">d, at </w:t>
      </w:r>
      <w:r w:rsidR="00092953">
        <w:t>baseline</w:t>
      </w:r>
      <w:r>
        <w:t>, practitioners’</w:t>
      </w:r>
      <w:r w:rsidRPr="004B137E">
        <w:t>: willingness to engage with psychological issues</w:t>
      </w:r>
      <w:r>
        <w:t xml:space="preserve"> (4 items)</w:t>
      </w:r>
      <w:r w:rsidRPr="004B137E">
        <w:t>; confidence and concern over clinical limitations</w:t>
      </w:r>
      <w:r>
        <w:t xml:space="preserve"> (2 items)</w:t>
      </w:r>
      <w:r w:rsidRPr="004B137E">
        <w:t>; re-activation of work and activity</w:t>
      </w:r>
      <w:r>
        <w:t xml:space="preserve"> (3 items)</w:t>
      </w:r>
      <w:r w:rsidRPr="004B137E">
        <w:t xml:space="preserve">; </w:t>
      </w:r>
      <w:r w:rsidR="00EE769D">
        <w:t xml:space="preserve">and </w:t>
      </w:r>
      <w:r w:rsidRPr="004B137E">
        <w:t>belief in an underlying structural cause of pain</w:t>
      </w:r>
      <w:r>
        <w:t xml:space="preserve"> (3 items)</w:t>
      </w:r>
      <w:r w:rsidR="00CC5E54">
        <w:t>.</w:t>
      </w:r>
      <w:r w:rsidR="009B4F51" w:rsidRPr="009B4F51">
        <w:rPr>
          <w:noProof/>
          <w:vertAlign w:val="superscript"/>
        </w:rPr>
        <w:t>17</w:t>
      </w:r>
      <w:r w:rsidR="0007023B">
        <w:rPr>
          <w:noProof/>
          <w:vertAlign w:val="superscript"/>
        </w:rPr>
        <w:t xml:space="preserve"> </w:t>
      </w:r>
      <w:r w:rsidR="00666D6E">
        <w:rPr>
          <w:noProof/>
          <w:vertAlign w:val="superscript"/>
        </w:rPr>
        <w:t>58</w:t>
      </w:r>
    </w:p>
    <w:bookmarkEnd w:id="6"/>
    <w:p w14:paraId="78C169EC" w14:textId="77777777" w:rsidR="00BC0950" w:rsidRDefault="00BC0950" w:rsidP="00852941">
      <w:pPr>
        <w:pStyle w:val="Heading3"/>
        <w:rPr>
          <w:b w:val="0"/>
          <w:bCs w:val="0"/>
          <w:i w:val="0"/>
          <w:iCs/>
        </w:rPr>
      </w:pPr>
    </w:p>
    <w:p w14:paraId="6D46A156" w14:textId="74122FD1" w:rsidR="003071D4" w:rsidRPr="00666D42" w:rsidRDefault="008F5739" w:rsidP="00852941">
      <w:pPr>
        <w:pStyle w:val="Heading3"/>
        <w:rPr>
          <w:b w:val="0"/>
          <w:bCs w:val="0"/>
          <w:i w:val="0"/>
          <w:iCs/>
        </w:rPr>
      </w:pPr>
      <w:r w:rsidRPr="00666D42">
        <w:rPr>
          <w:b w:val="0"/>
          <w:bCs w:val="0"/>
          <w:i w:val="0"/>
          <w:iCs/>
        </w:rPr>
        <w:t>Hypothesised</w:t>
      </w:r>
      <w:r w:rsidR="00073954" w:rsidRPr="00666D42">
        <w:rPr>
          <w:b w:val="0"/>
          <w:bCs w:val="0"/>
          <w:i w:val="0"/>
          <w:iCs/>
        </w:rPr>
        <w:t xml:space="preserve"> Mediator</w:t>
      </w:r>
      <w:r w:rsidR="00DE108D" w:rsidRPr="00666D42">
        <w:rPr>
          <w:b w:val="0"/>
          <w:bCs w:val="0"/>
          <w:i w:val="0"/>
          <w:iCs/>
        </w:rPr>
        <w:t>s</w:t>
      </w:r>
    </w:p>
    <w:p w14:paraId="3A7E9E9E" w14:textId="1CD8E6C1" w:rsidR="00073954" w:rsidRDefault="008F5739" w:rsidP="00BC0950">
      <w:r>
        <w:t>Hypothesised</w:t>
      </w:r>
      <w:r w:rsidR="00073954">
        <w:t xml:space="preserve"> mediators</w:t>
      </w:r>
      <w:r w:rsidR="0054590A">
        <w:t>, i.e. constructs thought to be on the causal pathway between contextual components and patient outcomes,</w:t>
      </w:r>
      <w:r w:rsidR="00073954">
        <w:t xml:space="preserve"> were measured at </w:t>
      </w:r>
      <w:r w:rsidR="00092953">
        <w:t>baseline</w:t>
      </w:r>
      <w:r w:rsidR="00073954">
        <w:t xml:space="preserve">, </w:t>
      </w:r>
      <w:r w:rsidR="00F52455">
        <w:t>2-weeks</w:t>
      </w:r>
      <w:r w:rsidR="00073954">
        <w:t xml:space="preserve">, and </w:t>
      </w:r>
      <w:r w:rsidR="00F52455">
        <w:t>3-months</w:t>
      </w:r>
      <w:r w:rsidR="00073954">
        <w:t xml:space="preserve">.  </w:t>
      </w:r>
      <w:r w:rsidR="00073954" w:rsidRPr="00073954">
        <w:t xml:space="preserve">The reliable and valid </w:t>
      </w:r>
      <w:r w:rsidR="00CB29DE">
        <w:t>9</w:t>
      </w:r>
      <w:r w:rsidR="00073954">
        <w:t xml:space="preserve">-item </w:t>
      </w:r>
      <w:r w:rsidR="00073954" w:rsidRPr="00073954">
        <w:t xml:space="preserve">brief illness perceptions questionnaire (BIPQ) </w:t>
      </w:r>
      <w:r w:rsidR="00073954">
        <w:t>wa</w:t>
      </w:r>
      <w:r w:rsidR="00073954" w:rsidRPr="00073954">
        <w:t xml:space="preserve">s used to measure </w:t>
      </w:r>
      <w:r w:rsidR="00073954">
        <w:t>the extent to which patients perceive their LBP as threatening</w:t>
      </w:r>
      <w:r w:rsidR="00CC5E54">
        <w:t>.</w:t>
      </w:r>
      <w:r w:rsidR="00666D6E">
        <w:rPr>
          <w:noProof/>
          <w:vertAlign w:val="superscript"/>
        </w:rPr>
        <w:t>61</w:t>
      </w:r>
      <w:r w:rsidR="00073954" w:rsidRPr="00073954">
        <w:t xml:space="preserve">  Self-efficacy for coping with </w:t>
      </w:r>
      <w:r w:rsidR="00F35DC0">
        <w:t xml:space="preserve">pain </w:t>
      </w:r>
      <w:r w:rsidR="00073954">
        <w:t>wa</w:t>
      </w:r>
      <w:r w:rsidR="00073954" w:rsidRPr="00073954">
        <w:t>s assessed using the 5-item Chronic Pain Self-Efficacy for Pain Management sub-scale</w:t>
      </w:r>
      <w:r w:rsidR="00CC5E54">
        <w:t>.</w:t>
      </w:r>
      <w:r w:rsidR="00666D6E">
        <w:rPr>
          <w:noProof/>
          <w:vertAlign w:val="superscript"/>
        </w:rPr>
        <w:t>62</w:t>
      </w:r>
      <w:r w:rsidR="00D54B0F">
        <w:t xml:space="preserve">  </w:t>
      </w:r>
      <w:r w:rsidR="00E573FA">
        <w:t>P</w:t>
      </w:r>
      <w:r w:rsidR="007E5BE4">
        <w:t xml:space="preserve">sychosocial </w:t>
      </w:r>
      <w:r w:rsidR="00E573FA">
        <w:t xml:space="preserve">distress </w:t>
      </w:r>
      <w:r w:rsidR="00D54B0F">
        <w:t xml:space="preserve">was assessed using the 5-item Psychosocial scale on the </w:t>
      </w:r>
      <w:proofErr w:type="spellStart"/>
      <w:r w:rsidR="00D54B0F" w:rsidRPr="00CB29DE">
        <w:t>STarT</w:t>
      </w:r>
      <w:proofErr w:type="spellEnd"/>
      <w:r w:rsidR="00D54B0F" w:rsidRPr="00CB29DE">
        <w:t xml:space="preserve"> Back</w:t>
      </w:r>
      <w:r w:rsidR="00D54B0F">
        <w:t xml:space="preserve"> questionnaire</w:t>
      </w:r>
      <w:r w:rsidR="00666D6E">
        <w:rPr>
          <w:noProof/>
          <w:vertAlign w:val="superscript"/>
        </w:rPr>
        <w:t>63</w:t>
      </w:r>
      <w:r w:rsidR="00A857EE">
        <w:t xml:space="preserve"> which assesses multiple modifiable psychosocial </w:t>
      </w:r>
      <w:r w:rsidR="00BF6C8B">
        <w:t>predictors of outcome</w:t>
      </w:r>
      <w:r w:rsidR="00A857EE">
        <w:t>.</w:t>
      </w:r>
    </w:p>
    <w:p w14:paraId="1B024229" w14:textId="77777777" w:rsidR="00BC0950" w:rsidRDefault="00BC0950" w:rsidP="00852941">
      <w:pPr>
        <w:pStyle w:val="Heading3"/>
        <w:rPr>
          <w:b w:val="0"/>
          <w:bCs w:val="0"/>
          <w:i w:val="0"/>
          <w:iCs/>
        </w:rPr>
      </w:pPr>
      <w:bookmarkStart w:id="7" w:name="_Hlk27404069"/>
    </w:p>
    <w:p w14:paraId="429780A7" w14:textId="2F098363" w:rsidR="003071D4" w:rsidRPr="00666D42" w:rsidRDefault="003071D4" w:rsidP="00852941">
      <w:pPr>
        <w:pStyle w:val="Heading3"/>
        <w:rPr>
          <w:b w:val="0"/>
          <w:bCs w:val="0"/>
          <w:i w:val="0"/>
          <w:iCs/>
        </w:rPr>
      </w:pPr>
      <w:r w:rsidRPr="00666D42">
        <w:rPr>
          <w:b w:val="0"/>
          <w:bCs w:val="0"/>
          <w:i w:val="0"/>
          <w:iCs/>
        </w:rPr>
        <w:t xml:space="preserve">Clinical </w:t>
      </w:r>
      <w:r w:rsidR="00CB29DE" w:rsidRPr="00666D42">
        <w:rPr>
          <w:b w:val="0"/>
          <w:bCs w:val="0"/>
          <w:i w:val="0"/>
          <w:iCs/>
        </w:rPr>
        <w:t xml:space="preserve">and Socio-Demographic </w:t>
      </w:r>
      <w:r w:rsidR="00073954" w:rsidRPr="00666D42">
        <w:rPr>
          <w:b w:val="0"/>
          <w:bCs w:val="0"/>
          <w:i w:val="0"/>
          <w:iCs/>
        </w:rPr>
        <w:t>Characteristics</w:t>
      </w:r>
    </w:p>
    <w:p w14:paraId="7847C170" w14:textId="2A21D649" w:rsidR="00CB29DE" w:rsidRDefault="00CB29DE" w:rsidP="00BC0950">
      <w:r w:rsidRPr="00CB29DE">
        <w:t>Patient</w:t>
      </w:r>
      <w:r>
        <w:t xml:space="preserve"> and practitioner characteristics were assessed at </w:t>
      </w:r>
      <w:r w:rsidR="00092953">
        <w:t>baseline</w:t>
      </w:r>
      <w:r>
        <w:t>.  Patient characteristics were</w:t>
      </w:r>
      <w:r w:rsidRPr="00CB29DE">
        <w:t xml:space="preserve">: leg pain and shoulder/neck pain </w:t>
      </w:r>
      <w:proofErr w:type="spellStart"/>
      <w:r w:rsidRPr="00CB29DE">
        <w:t>bothersomeness</w:t>
      </w:r>
      <w:proofErr w:type="spellEnd"/>
      <w:r w:rsidRPr="00CB29DE">
        <w:t xml:space="preserve"> (measured using </w:t>
      </w:r>
      <w:r w:rsidR="00FE714D">
        <w:t xml:space="preserve">the single item on </w:t>
      </w:r>
      <w:proofErr w:type="spellStart"/>
      <w:r w:rsidR="00FE714D">
        <w:t>bothersomeness</w:t>
      </w:r>
      <w:proofErr w:type="spellEnd"/>
      <w:r w:rsidR="00FE714D">
        <w:t xml:space="preserve"> as worded on the </w:t>
      </w:r>
      <w:proofErr w:type="spellStart"/>
      <w:r w:rsidRPr="00CB29DE">
        <w:t>STarT</w:t>
      </w:r>
      <w:proofErr w:type="spellEnd"/>
      <w:r w:rsidRPr="00CB29DE">
        <w:t xml:space="preserve"> Back</w:t>
      </w:r>
      <w:r w:rsidR="00FE714D">
        <w:t xml:space="preserve"> tool</w:t>
      </w:r>
      <w:r w:rsidR="00666D6E">
        <w:rPr>
          <w:noProof/>
          <w:vertAlign w:val="superscript"/>
        </w:rPr>
        <w:t>63</w:t>
      </w:r>
      <w:r w:rsidR="00FE714D">
        <w:t xml:space="preserve"> adapted from</w:t>
      </w:r>
      <w:r w:rsidR="00666D6E">
        <w:rPr>
          <w:noProof/>
          <w:vertAlign w:val="superscript"/>
        </w:rPr>
        <w:t>64</w:t>
      </w:r>
      <w:r w:rsidRPr="00CB29DE">
        <w:t xml:space="preserve">); </w:t>
      </w:r>
      <w:r w:rsidR="00495583">
        <w:t xml:space="preserve">LBP </w:t>
      </w:r>
      <w:r w:rsidRPr="00CB29DE">
        <w:t>duration; age; gender; work status; compensation status; co-morbidities; co-treatments; socio-economic status</w:t>
      </w:r>
      <w:r w:rsidR="00AF727E">
        <w:t xml:space="preserve">.  To indicate socio-economic status, patients’ postcodes </w:t>
      </w:r>
      <w:r w:rsidR="003C28AD">
        <w:t xml:space="preserve">were collected </w:t>
      </w:r>
      <w:r w:rsidR="00AF727E">
        <w:t xml:space="preserve">and </w:t>
      </w:r>
      <w:r w:rsidR="003C28AD">
        <w:t xml:space="preserve">used to assign </w:t>
      </w:r>
      <w:r w:rsidR="00AF727E">
        <w:t>the associated index of multiple deprivation (IMD) score to assign to each patient</w:t>
      </w:r>
      <w:r w:rsidRPr="00CB29DE">
        <w:t xml:space="preserve">. </w:t>
      </w:r>
      <w:r w:rsidR="00AF727E">
        <w:t xml:space="preserve"> The IMD ranks </w:t>
      </w:r>
      <w:r w:rsidR="00602466" w:rsidRPr="00602466">
        <w:t>32,844</w:t>
      </w:r>
      <w:r w:rsidR="00602466">
        <w:t xml:space="preserve"> small areas </w:t>
      </w:r>
      <w:r w:rsidR="00AF727E">
        <w:t>in England from most to least deprived; scores from 1 to 10 are then assigned to each area indicating the decile of deprivation</w:t>
      </w:r>
      <w:r w:rsidR="00602466">
        <w:t>, and these can be looked up by postcode</w:t>
      </w:r>
      <w:r w:rsidR="00AF727E">
        <w:t xml:space="preserve">.  </w:t>
      </w:r>
      <w:r w:rsidR="00602466">
        <w:t>A</w:t>
      </w:r>
      <w:r w:rsidR="00AF727E">
        <w:t xml:space="preserve">n IMD score of 1 indicates the </w:t>
      </w:r>
      <w:r w:rsidR="00602466">
        <w:t>area is among the most deprived 10% of areas</w:t>
      </w:r>
      <w:r w:rsidR="00CC5E54">
        <w:t>.</w:t>
      </w:r>
      <w:proofErr w:type="gramStart"/>
      <w:r w:rsidR="00666D6E">
        <w:rPr>
          <w:noProof/>
          <w:vertAlign w:val="superscript"/>
        </w:rPr>
        <w:t>65</w:t>
      </w:r>
      <w:r w:rsidR="00654EFA">
        <w:t xml:space="preserve"> </w:t>
      </w:r>
      <w:r w:rsidR="008B0C52">
        <w:t xml:space="preserve"> </w:t>
      </w:r>
      <w:r w:rsidRPr="00CB29DE">
        <w:t>Practitioner</w:t>
      </w:r>
      <w:proofErr w:type="gramEnd"/>
      <w:r>
        <w:t xml:space="preserve"> characteristics were</w:t>
      </w:r>
      <w:r w:rsidRPr="00CB29DE">
        <w:t>: time since qualifying</w:t>
      </w:r>
      <w:r>
        <w:t>;</w:t>
      </w:r>
      <w:r w:rsidRPr="00CB29DE">
        <w:t xml:space="preserve"> experience in musculoskeletal care</w:t>
      </w:r>
      <w:r>
        <w:t>; age; gender</w:t>
      </w:r>
      <w:r w:rsidRPr="00CB29DE">
        <w:t>.</w:t>
      </w:r>
    </w:p>
    <w:p w14:paraId="273EFB2A" w14:textId="7226A7E9" w:rsidR="00AF727E" w:rsidRPr="00CB29DE" w:rsidRDefault="00AF727E" w:rsidP="002F4465">
      <w:pPr>
        <w:ind w:firstLine="720"/>
      </w:pPr>
      <w:r>
        <w:t>Practitioners reported for each patient individually at three months which treatment modalities had been applied</w:t>
      </w:r>
      <w:r w:rsidR="00EB19DB">
        <w:t xml:space="preserve"> (</w:t>
      </w:r>
      <w:r w:rsidR="0015101C">
        <w:t>reported in Supplemental Material Table 3</w:t>
      </w:r>
      <w:r w:rsidR="00EB19DB">
        <w:t>)</w:t>
      </w:r>
      <w:r w:rsidR="0015101C">
        <w:t xml:space="preserve">.  </w:t>
      </w:r>
    </w:p>
    <w:p w14:paraId="5D889565" w14:textId="77777777" w:rsidR="00BC0950" w:rsidRDefault="00BC0950" w:rsidP="00852941">
      <w:pPr>
        <w:pStyle w:val="Heading2"/>
      </w:pPr>
      <w:bookmarkStart w:id="8" w:name="_Hlk27404114"/>
      <w:bookmarkEnd w:id="7"/>
    </w:p>
    <w:p w14:paraId="3FFCC226" w14:textId="40B0E687" w:rsidR="003071D4" w:rsidRDefault="003071D4" w:rsidP="00852941">
      <w:pPr>
        <w:pStyle w:val="Heading2"/>
      </w:pPr>
      <w:r>
        <w:t>Statistical Analysis</w:t>
      </w:r>
    </w:p>
    <w:bookmarkEnd w:id="8"/>
    <w:p w14:paraId="4C6BBA27" w14:textId="7922B22D" w:rsidR="00050670" w:rsidRPr="00BC0950" w:rsidRDefault="00050670" w:rsidP="00852941">
      <w:pPr>
        <w:pStyle w:val="Heading3"/>
        <w:rPr>
          <w:b w:val="0"/>
          <w:bCs w:val="0"/>
          <w:i w:val="0"/>
          <w:iCs/>
        </w:rPr>
      </w:pPr>
      <w:r w:rsidRPr="00BC0950">
        <w:rPr>
          <w:b w:val="0"/>
          <w:bCs w:val="0"/>
          <w:i w:val="0"/>
          <w:iCs/>
        </w:rPr>
        <w:t>Power Calculation</w:t>
      </w:r>
    </w:p>
    <w:p w14:paraId="086BDEB8" w14:textId="5A5CCE8A" w:rsidR="00050670" w:rsidRDefault="00050670" w:rsidP="00BC0950">
      <w:pPr>
        <w:ind w:firstLine="720"/>
      </w:pPr>
      <w:r>
        <w:t>The planned multilevel analysis required a final sample size of 690 patients to detect correlations between the predictors, hypothesised mediators, and the primary outcome with Pearson’s R = 0.2 (and corresponding Beta regression coefficients of 0.235) with 95% power and p&lt;0.0005 (2-tailed).  This sample size was adjusted for clustering of patients within practitioners: the basic sample size was inflated by a factor of 1 +(k-1)*ICC, where K = 8 and ICC = 0.01</w:t>
      </w:r>
      <w:r w:rsidR="0007023B">
        <w:t>.</w:t>
      </w:r>
      <w:r w:rsidR="00666D6E">
        <w:rPr>
          <w:noProof/>
          <w:vertAlign w:val="superscript"/>
        </w:rPr>
        <w:t>66</w:t>
      </w:r>
      <w:r>
        <w:t xml:space="preserve"> (K = mean patients recruited per practitioner, ICC = intra</w:t>
      </w:r>
      <w:r w:rsidR="00CC5E54">
        <w:t>-</w:t>
      </w:r>
      <w:r>
        <w:t xml:space="preserve">cluster correlation.)  </w:t>
      </w:r>
      <w:r w:rsidR="00A040D9">
        <w:t>It was also intended to allow test</w:t>
      </w:r>
      <w:r w:rsidR="0018046E">
        <w:t>ing</w:t>
      </w:r>
      <w:r w:rsidR="00A040D9">
        <w:t xml:space="preserve"> for interactions and possible </w:t>
      </w:r>
      <w:r w:rsidR="00A857EE">
        <w:t>treatment</w:t>
      </w:r>
      <w:r w:rsidR="00A040D9">
        <w:t xml:space="preserve">-specific effects.  </w:t>
      </w:r>
      <w:r w:rsidR="0018046E">
        <w:t>The target</w:t>
      </w:r>
      <w:r>
        <w:t xml:space="preserve"> sample size required 86 practitioners to actively recruit patients (29 practitioners per therapy).  To allow for 30% dropout</w:t>
      </w:r>
      <w:r w:rsidR="00CC5E54">
        <w:t>,</w:t>
      </w:r>
      <w:r w:rsidR="00996E9F">
        <w:t xml:space="preserve"> based on a similar prospective cohort study in acupuncture,</w:t>
      </w:r>
      <w:r w:rsidR="009B4F51" w:rsidRPr="009B4F51">
        <w:rPr>
          <w:noProof/>
          <w:vertAlign w:val="superscript"/>
        </w:rPr>
        <w:t>15</w:t>
      </w:r>
      <w:r>
        <w:t xml:space="preserve"> </w:t>
      </w:r>
      <w:r w:rsidR="00A040D9">
        <w:t xml:space="preserve">we aimed </w:t>
      </w:r>
      <w:r>
        <w:t xml:space="preserve">to recruit 986 patients.  </w:t>
      </w:r>
    </w:p>
    <w:p w14:paraId="0D78D601" w14:textId="77777777" w:rsidR="00BC0950" w:rsidRDefault="00BC0950" w:rsidP="00852941">
      <w:pPr>
        <w:pStyle w:val="Heading3"/>
        <w:rPr>
          <w:b w:val="0"/>
          <w:bCs w:val="0"/>
          <w:i w:val="0"/>
          <w:iCs/>
        </w:rPr>
      </w:pPr>
      <w:bookmarkStart w:id="9" w:name="_Hlk27404102"/>
    </w:p>
    <w:p w14:paraId="04983EFE" w14:textId="5BD8210D" w:rsidR="00050670" w:rsidRPr="00BC0950" w:rsidRDefault="00050670" w:rsidP="00852941">
      <w:pPr>
        <w:pStyle w:val="Heading3"/>
        <w:rPr>
          <w:b w:val="0"/>
          <w:bCs w:val="0"/>
          <w:i w:val="0"/>
          <w:iCs/>
        </w:rPr>
      </w:pPr>
      <w:r w:rsidRPr="00BC0950">
        <w:rPr>
          <w:b w:val="0"/>
          <w:bCs w:val="0"/>
          <w:i w:val="0"/>
          <w:iCs/>
        </w:rPr>
        <w:t>Data Entry</w:t>
      </w:r>
    </w:p>
    <w:p w14:paraId="7F7A4130" w14:textId="591DE46F" w:rsidR="003071D4" w:rsidRDefault="005432C3" w:rsidP="00BC0950">
      <w:pPr>
        <w:ind w:firstLine="720"/>
      </w:pPr>
      <w:r>
        <w:t xml:space="preserve">Paper </w:t>
      </w:r>
      <w:r w:rsidR="00D21426">
        <w:t xml:space="preserve">questionnaires were </w:t>
      </w:r>
      <w:r>
        <w:t xml:space="preserve">entered </w:t>
      </w:r>
      <w:r w:rsidR="00D21426">
        <w:t xml:space="preserve">online </w:t>
      </w:r>
      <w:r w:rsidR="00CA633D">
        <w:t xml:space="preserve">by researchers </w:t>
      </w:r>
      <w:r w:rsidR="00A857EE">
        <w:t xml:space="preserve">and checked for </w:t>
      </w:r>
      <w:r>
        <w:t>accuracy</w:t>
      </w:r>
      <w:r w:rsidR="00D21426">
        <w:t xml:space="preserve">.  </w:t>
      </w:r>
      <w:r>
        <w:t>All d</w:t>
      </w:r>
      <w:r w:rsidR="00D21426">
        <w:t xml:space="preserve">ata were downloaded into </w:t>
      </w:r>
      <w:r>
        <w:t>MS E</w:t>
      </w:r>
      <w:r w:rsidR="00D21426">
        <w:t>xcel, cleaned, and exported into SPSS</w:t>
      </w:r>
      <w:r w:rsidR="00050670">
        <w:t xml:space="preserve"> v22</w:t>
      </w:r>
      <w:r w:rsidR="00D21426">
        <w:t xml:space="preserve"> and Stata for analysis.  </w:t>
      </w:r>
    </w:p>
    <w:p w14:paraId="4A92C8C9" w14:textId="77777777" w:rsidR="00BC0950" w:rsidRDefault="00BC0950" w:rsidP="00852941">
      <w:pPr>
        <w:pStyle w:val="Heading3"/>
        <w:rPr>
          <w:b w:val="0"/>
          <w:bCs w:val="0"/>
          <w:i w:val="0"/>
          <w:iCs/>
        </w:rPr>
      </w:pPr>
    </w:p>
    <w:p w14:paraId="53A08609" w14:textId="6FB69583" w:rsidR="00050670" w:rsidRPr="00BC0950" w:rsidRDefault="00050670" w:rsidP="00852941">
      <w:pPr>
        <w:pStyle w:val="Heading3"/>
        <w:rPr>
          <w:b w:val="0"/>
          <w:bCs w:val="0"/>
          <w:i w:val="0"/>
          <w:iCs/>
        </w:rPr>
      </w:pPr>
      <w:r w:rsidRPr="00BC0950">
        <w:rPr>
          <w:b w:val="0"/>
          <w:bCs w:val="0"/>
          <w:i w:val="0"/>
          <w:iCs/>
        </w:rPr>
        <w:t>Analysis</w:t>
      </w:r>
    </w:p>
    <w:p w14:paraId="5169BA36" w14:textId="408392F3" w:rsidR="00D21426" w:rsidRDefault="00CA633D" w:rsidP="00BC0950">
      <w:pPr>
        <w:ind w:firstLine="720"/>
      </w:pPr>
      <w:r>
        <w:t xml:space="preserve">Data were explored using descriptive statistics and graphs.  </w:t>
      </w:r>
      <w:r w:rsidR="00D21426">
        <w:t xml:space="preserve">Cronbach’s alpha was calculated to summarise the internal consistency of the measures at baseline.  </w:t>
      </w:r>
      <w:r w:rsidR="007004EA">
        <w:t xml:space="preserve">No imputation was undertaken for missing values.  </w:t>
      </w:r>
    </w:p>
    <w:bookmarkEnd w:id="9"/>
    <w:p w14:paraId="601996C9" w14:textId="1A1851CC" w:rsidR="00D21426" w:rsidRDefault="00D21426" w:rsidP="002F4465">
      <w:pPr>
        <w:ind w:firstLine="720"/>
      </w:pPr>
      <w:r>
        <w:t xml:space="preserve">To </w:t>
      </w:r>
      <w:r w:rsidR="00F1086F">
        <w:t xml:space="preserve">test </w:t>
      </w:r>
      <w:r>
        <w:t xml:space="preserve">the extent to which each contextual component predicted </w:t>
      </w:r>
      <w:r w:rsidRPr="00801E5B">
        <w:t>patient outcomes over time</w:t>
      </w:r>
      <w:r w:rsidR="00F1086F">
        <w:t xml:space="preserve"> (Aim 1)</w:t>
      </w:r>
      <w:r>
        <w:t>, multi-level linear mixed models were run with observations nested within patients over time and patients nested within practitioners</w:t>
      </w:r>
      <w:r w:rsidRPr="00801E5B">
        <w:t xml:space="preserve">.  </w:t>
      </w:r>
      <w:r w:rsidR="007004EA">
        <w:rPr>
          <w:rFonts w:eastAsia="Times New Roman"/>
          <w:color w:val="000000"/>
        </w:rPr>
        <w:t xml:space="preserve">Separate models were run to test the effect of each individual contextual component on patient outcomes.  </w:t>
      </w:r>
      <w:r w:rsidRPr="00801E5B">
        <w:t xml:space="preserve">These models excluded </w:t>
      </w:r>
      <w:r w:rsidR="00494ED4">
        <w:t>hypothesised</w:t>
      </w:r>
      <w:r w:rsidRPr="00801E5B">
        <w:t xml:space="preserve"> mediators but did control for </w:t>
      </w:r>
      <w:r w:rsidR="002152C4">
        <w:t xml:space="preserve">baseline back-related disability and other </w:t>
      </w:r>
      <w:r w:rsidRPr="00801E5B">
        <w:t xml:space="preserve">potential confounders specified in the protocol: </w:t>
      </w:r>
      <w:r w:rsidRPr="00801E5B">
        <w:rPr>
          <w:rFonts w:eastAsia="Times New Roman"/>
          <w:color w:val="000000"/>
        </w:rPr>
        <w:t xml:space="preserve">leg pain and shoulder/neck pain </w:t>
      </w:r>
      <w:proofErr w:type="spellStart"/>
      <w:r w:rsidRPr="00801E5B">
        <w:rPr>
          <w:rFonts w:eastAsia="Times New Roman"/>
          <w:color w:val="000000"/>
        </w:rPr>
        <w:t>bothersomeness</w:t>
      </w:r>
      <w:proofErr w:type="spellEnd"/>
      <w:r w:rsidRPr="00801E5B">
        <w:rPr>
          <w:rFonts w:eastAsia="Times New Roman"/>
          <w:color w:val="000000"/>
        </w:rPr>
        <w:t xml:space="preserve">; </w:t>
      </w:r>
      <w:r w:rsidR="009E258F">
        <w:rPr>
          <w:rFonts w:eastAsia="Times New Roman"/>
          <w:color w:val="000000"/>
        </w:rPr>
        <w:t xml:space="preserve">duration of LBP; </w:t>
      </w:r>
      <w:r w:rsidRPr="00801E5B">
        <w:rPr>
          <w:rFonts w:eastAsia="Times New Roman"/>
          <w:color w:val="000000"/>
        </w:rPr>
        <w:t>age; gender; work status; compensation status; co-morbidities; co-treatments; socio-economic status (</w:t>
      </w:r>
      <w:r>
        <w:rPr>
          <w:rFonts w:eastAsia="Times New Roman"/>
          <w:color w:val="000000"/>
        </w:rPr>
        <w:t xml:space="preserve">using deprivation index </w:t>
      </w:r>
      <w:r w:rsidRPr="00801E5B">
        <w:rPr>
          <w:rFonts w:eastAsia="Times New Roman"/>
          <w:color w:val="000000"/>
        </w:rPr>
        <w:t xml:space="preserve">as indicated by post-code).  </w:t>
      </w:r>
      <w:r w:rsidRPr="00801E5B">
        <w:t xml:space="preserve">The effect size was calculated </w:t>
      </w:r>
      <w:r>
        <w:t xml:space="preserve">for significant predictors </w:t>
      </w:r>
      <w:r w:rsidRPr="00801E5B">
        <w:t>using the partial eta-squared for multivariate regression</w:t>
      </w:r>
      <w:r>
        <w:t xml:space="preserve">, which can be interpreted as follows:  </w:t>
      </w:r>
      <w:r w:rsidRPr="00801E5B">
        <w:t xml:space="preserve">0.02 </w:t>
      </w:r>
      <w:r>
        <w:t xml:space="preserve">is </w:t>
      </w:r>
      <w:r w:rsidRPr="00801E5B">
        <w:t>a small effect, 0.13 moderate and 0.26 large</w:t>
      </w:r>
      <w:r w:rsidR="00996E9F">
        <w:t>.</w:t>
      </w:r>
      <w:r w:rsidR="00666D6E">
        <w:rPr>
          <w:vertAlign w:val="superscript"/>
        </w:rPr>
        <w:t>67</w:t>
      </w:r>
      <w:r w:rsidRPr="00801E5B">
        <w:t xml:space="preserve">  </w:t>
      </w:r>
    </w:p>
    <w:p w14:paraId="202BDC88" w14:textId="0DE1FF8D" w:rsidR="00D21426" w:rsidRPr="009F034A" w:rsidRDefault="00CA633D" w:rsidP="002F4465">
      <w:pPr>
        <w:ind w:firstLine="720"/>
      </w:pPr>
      <w:r>
        <w:t>To test whether the effect of contextual components on patient outcomes was mediated by perceived threat of pain, self-efficacy for coping</w:t>
      </w:r>
      <w:r w:rsidRPr="00853A82">
        <w:t xml:space="preserve"> </w:t>
      </w:r>
      <w:r>
        <w:t>and/or psychosocial distress</w:t>
      </w:r>
      <w:r w:rsidR="00F1086F">
        <w:t xml:space="preserve"> (Aim 2)</w:t>
      </w:r>
      <w:r>
        <w:t>, t</w:t>
      </w:r>
      <w:r w:rsidR="00D21426">
        <w:t xml:space="preserve">he Baron and </w:t>
      </w:r>
      <w:r w:rsidR="00CC5E54">
        <w:t>Kenny approach was used.</w:t>
      </w:r>
      <w:r w:rsidR="00666D6E">
        <w:rPr>
          <w:noProof/>
          <w:vertAlign w:val="superscript"/>
        </w:rPr>
        <w:t>68</w:t>
      </w:r>
      <w:r w:rsidR="00D21426">
        <w:t xml:space="preserve">  </w:t>
      </w:r>
      <w:r>
        <w:t xml:space="preserve">This involved (1) testing </w:t>
      </w:r>
      <w:r w:rsidR="00D21426">
        <w:t xml:space="preserve">whether </w:t>
      </w:r>
      <w:r w:rsidR="0085429A">
        <w:t xml:space="preserve">each </w:t>
      </w:r>
      <w:r w:rsidR="00D21426">
        <w:t xml:space="preserve">hypothesized mediator </w:t>
      </w:r>
      <w:r w:rsidR="0085429A">
        <w:t xml:space="preserve">was </w:t>
      </w:r>
      <w:r w:rsidR="00D21426">
        <w:t>associated with the outcome (RMDQ)</w:t>
      </w:r>
      <w:r>
        <w:t xml:space="preserve">, and </w:t>
      </w:r>
      <w:r w:rsidR="0085429A">
        <w:t xml:space="preserve">then </w:t>
      </w:r>
      <w:r>
        <w:t xml:space="preserve">(2) controlling </w:t>
      </w:r>
      <w:r w:rsidR="00D21426">
        <w:t>for those hypothesized mediators</w:t>
      </w:r>
      <w:r w:rsidR="0085429A">
        <w:t xml:space="preserve"> that were associated with the outcome</w:t>
      </w:r>
      <w:r w:rsidR="00D21426">
        <w:t xml:space="preserve"> in the analyses of those </w:t>
      </w:r>
      <w:r w:rsidR="0085429A">
        <w:t xml:space="preserve">contextual components </w:t>
      </w:r>
      <w:r w:rsidR="00D21426">
        <w:t xml:space="preserve">which had a statistically significant relationship with the outcome.  </w:t>
      </w:r>
      <w:r>
        <w:t xml:space="preserve">This enabled a determination of </w:t>
      </w:r>
      <w:r w:rsidR="00D21426">
        <w:t xml:space="preserve">whether the relationship between the </w:t>
      </w:r>
      <w:r w:rsidR="0085429A">
        <w:t xml:space="preserve">contextual components </w:t>
      </w:r>
      <w:r w:rsidR="00D21426">
        <w:t xml:space="preserve">and outcome remained significant or whether the </w:t>
      </w:r>
      <w:r w:rsidR="00D21426">
        <w:lastRenderedPageBreak/>
        <w:t>relationship was largely explained by t</w:t>
      </w:r>
      <w:r>
        <w:t xml:space="preserve">he presence of the mediators.  </w:t>
      </w:r>
      <w:r w:rsidR="00D21426">
        <w:t xml:space="preserve">Mediators were included in </w:t>
      </w:r>
      <w:r>
        <w:t>models as repeated measures</w:t>
      </w:r>
      <w:r w:rsidR="00D21426">
        <w:t>.</w:t>
      </w:r>
    </w:p>
    <w:p w14:paraId="6972A311" w14:textId="07AE6BDB" w:rsidR="00D21426" w:rsidRDefault="00D21426" w:rsidP="002F4465">
      <w:pPr>
        <w:ind w:firstLine="720"/>
      </w:pPr>
      <w:r>
        <w:t>To compare the effects of contextual components on patient outcomes across osteopathy, acupuncture, and physiotherapy</w:t>
      </w:r>
      <w:r w:rsidR="00F1086F">
        <w:t xml:space="preserve"> (Aim 3)</w:t>
      </w:r>
      <w:r>
        <w:t xml:space="preserve">, </w:t>
      </w:r>
      <w:r w:rsidR="00CA633D">
        <w:t xml:space="preserve">the presence of significant </w:t>
      </w:r>
      <w:r>
        <w:t xml:space="preserve">interactions between contextual </w:t>
      </w:r>
      <w:r w:rsidR="00CA633D">
        <w:t>c</w:t>
      </w:r>
      <w:r>
        <w:t>omponents and treatment type</w:t>
      </w:r>
      <w:r w:rsidR="00CA633D">
        <w:t xml:space="preserve"> was tested</w:t>
      </w:r>
      <w:r>
        <w:t xml:space="preserve">.  </w:t>
      </w:r>
    </w:p>
    <w:p w14:paraId="496C6708" w14:textId="77777777" w:rsidR="00BC0950" w:rsidRDefault="00BC0950" w:rsidP="002F4465">
      <w:pPr>
        <w:ind w:firstLine="720"/>
      </w:pPr>
    </w:p>
    <w:p w14:paraId="033B18B7" w14:textId="47FA824D" w:rsidR="00AA4E71" w:rsidRDefault="00AA4E71" w:rsidP="00852941">
      <w:pPr>
        <w:pStyle w:val="Heading2"/>
      </w:pPr>
      <w:r>
        <w:t>Patient Public Involvement</w:t>
      </w:r>
    </w:p>
    <w:p w14:paraId="0ED9EC7C" w14:textId="3215730E" w:rsidR="00AA4E71" w:rsidRDefault="00AA4E71" w:rsidP="002F4465">
      <w:pPr>
        <w:ind w:firstLine="720"/>
      </w:pPr>
      <w:r>
        <w:t xml:space="preserve">One volunteer, with personal experience of back pain and clinical research, acted as a patient advisor in this study.  </w:t>
      </w:r>
      <w:r w:rsidR="004D1E17">
        <w:t>She</w:t>
      </w:r>
      <w:r>
        <w:t xml:space="preserve"> </w:t>
      </w:r>
      <w:r w:rsidR="006D504D">
        <w:t xml:space="preserve">attended </w:t>
      </w:r>
      <w:r>
        <w:t>team meetings and w</w:t>
      </w:r>
      <w:r w:rsidR="004D1E17">
        <w:t>as</w:t>
      </w:r>
      <w:r>
        <w:t xml:space="preserve"> involved in decision-making around study procedures and conduct including advising on the design of patient-facing study documents.  </w:t>
      </w:r>
      <w:r w:rsidR="005C36A1">
        <w:t xml:space="preserve">She also wrote to participants to thank them for taking part.  </w:t>
      </w:r>
      <w:r>
        <w:t>Involving members of the public in the management of research helps to improve researchers’ awareness of participants’ needs and perspectives and can enhance the design and conduct of studies</w:t>
      </w:r>
      <w:r w:rsidR="00CC5E54">
        <w:t>.</w:t>
      </w:r>
      <w:r w:rsidR="00050AA8">
        <w:rPr>
          <w:noProof/>
          <w:vertAlign w:val="superscript"/>
        </w:rPr>
        <w:t>69</w:t>
      </w:r>
    </w:p>
    <w:p w14:paraId="4B66B257" w14:textId="77777777" w:rsidR="00BC0950" w:rsidRDefault="00BC0950" w:rsidP="004F62F6">
      <w:pPr>
        <w:pStyle w:val="Heading1"/>
      </w:pPr>
    </w:p>
    <w:p w14:paraId="46F30FF4" w14:textId="79DDAB1D" w:rsidR="004D6DFE" w:rsidRDefault="00BC0950" w:rsidP="004F62F6">
      <w:pPr>
        <w:pStyle w:val="Heading1"/>
      </w:pPr>
      <w:r>
        <w:t>RESULTS</w:t>
      </w:r>
    </w:p>
    <w:p w14:paraId="16B9D347" w14:textId="1638632D" w:rsidR="009A04A8" w:rsidRDefault="009A04A8" w:rsidP="00852941">
      <w:pPr>
        <w:pStyle w:val="Heading2"/>
      </w:pPr>
      <w:r>
        <w:t>Participants</w:t>
      </w:r>
    </w:p>
    <w:p w14:paraId="41BC37BD" w14:textId="1977B80E" w:rsidR="00C379D6" w:rsidRDefault="00C73BBB" w:rsidP="002F4465">
      <w:pPr>
        <w:ind w:firstLine="720"/>
      </w:pPr>
      <w:r>
        <w:t>Overall</w:t>
      </w:r>
      <w:r w:rsidR="00A064D5">
        <w:t>,</w:t>
      </w:r>
      <w:r>
        <w:t xml:space="preserve"> </w:t>
      </w:r>
      <w:r w:rsidR="002403AB">
        <w:t>166</w:t>
      </w:r>
      <w:r>
        <w:t xml:space="preserve"> practitioners and </w:t>
      </w:r>
      <w:r w:rsidR="002403AB">
        <w:t>960</w:t>
      </w:r>
      <w:r w:rsidR="00EB19DB">
        <w:t xml:space="preserve"> patients participated.  </w:t>
      </w:r>
      <w:r w:rsidR="002D1770">
        <w:t xml:space="preserve">On average, </w:t>
      </w:r>
      <w:r w:rsidR="00A064D5">
        <w:t>each practitioner</w:t>
      </w:r>
      <w:r w:rsidR="002D1770">
        <w:t xml:space="preserve"> recruited 5.7 patients (SD=8.2).  </w:t>
      </w:r>
      <w:r w:rsidR="00F2226C">
        <w:t xml:space="preserve">Figure </w:t>
      </w:r>
      <w:r w:rsidR="00495583">
        <w:t>1</w:t>
      </w:r>
      <w:r w:rsidR="00F2226C">
        <w:t xml:space="preserve"> shows </w:t>
      </w:r>
      <w:r w:rsidR="00495583">
        <w:t xml:space="preserve">overall </w:t>
      </w:r>
      <w:r w:rsidR="00852291">
        <w:t xml:space="preserve">participant </w:t>
      </w:r>
      <w:r w:rsidR="00F2226C">
        <w:t>flow</w:t>
      </w:r>
      <w:r w:rsidR="009B665E">
        <w:t xml:space="preserve">; </w:t>
      </w:r>
      <w:r w:rsidR="00495583">
        <w:t xml:space="preserve">this is split </w:t>
      </w:r>
      <w:r w:rsidR="009B665E">
        <w:t xml:space="preserve">by </w:t>
      </w:r>
      <w:r w:rsidR="00FF5435">
        <w:t>treatment</w:t>
      </w:r>
      <w:r w:rsidR="009B665E">
        <w:t xml:space="preserve"> group in Supplemental </w:t>
      </w:r>
      <w:r w:rsidR="0015101C">
        <w:t>Material Figure 1</w:t>
      </w:r>
      <w:r w:rsidR="00F2226C">
        <w:t>.</w:t>
      </w:r>
    </w:p>
    <w:p w14:paraId="12FECD89" w14:textId="77777777" w:rsidR="005E710E" w:rsidRDefault="005E710E" w:rsidP="005E710E">
      <w:pPr>
        <w:pStyle w:val="NoSpacing"/>
      </w:pPr>
      <w:r>
        <w:rPr>
          <w:noProof/>
        </w:rPr>
        <w:lastRenderedPageBreak/>
        <w:drawing>
          <wp:inline distT="0" distB="0" distL="0" distR="0" wp14:anchorId="5F6F6544" wp14:editId="4F8CB83F">
            <wp:extent cx="5308600" cy="8102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8600" cy="8102600"/>
                    </a:xfrm>
                    <a:prstGeom prst="rect">
                      <a:avLst/>
                    </a:prstGeom>
                    <a:noFill/>
                    <a:ln>
                      <a:noFill/>
                    </a:ln>
                  </pic:spPr>
                </pic:pic>
              </a:graphicData>
            </a:graphic>
          </wp:inline>
        </w:drawing>
      </w:r>
    </w:p>
    <w:p w14:paraId="20DCBF77" w14:textId="541FB4FE" w:rsidR="005E710E" w:rsidRDefault="005E710E" w:rsidP="005E710E">
      <w:pPr>
        <w:ind w:firstLine="720"/>
      </w:pPr>
      <w:r>
        <w:t xml:space="preserve">Figure 1.  Modified Consort Diagram.  Showing Participant Flow, Recruitment and Drop-Out.  </w:t>
      </w:r>
    </w:p>
    <w:p w14:paraId="44BE90AF" w14:textId="77777777" w:rsidR="005E710E" w:rsidRDefault="005E710E" w:rsidP="002F4465">
      <w:pPr>
        <w:ind w:firstLine="720"/>
      </w:pPr>
    </w:p>
    <w:p w14:paraId="27BBC694" w14:textId="6AD155DB" w:rsidR="007815F0" w:rsidRDefault="008071C7" w:rsidP="002F4465">
      <w:pPr>
        <w:ind w:firstLine="720"/>
      </w:pPr>
      <w:r>
        <w:lastRenderedPageBreak/>
        <w:t xml:space="preserve">Table 1 shows patient characteristics at baseline, split by treatment group.  </w:t>
      </w:r>
      <w:r w:rsidR="00852291">
        <w:t xml:space="preserve">Most patients were female, university-educated, resided in the 50% least deprived neighbourhoods in the country, had LBP for up to 3 months, did not have a significant comorbidity, and were using additional treatment(s).  </w:t>
      </w:r>
      <w:r w:rsidR="00181631">
        <w:t xml:space="preserve">The group of patients accessing physiotherapy on the NHS differed from the other groups, they </w:t>
      </w:r>
      <w:r w:rsidR="0015101C">
        <w:t xml:space="preserve">were </w:t>
      </w:r>
      <w:r w:rsidR="00D358DD">
        <w:t>less likely to hold postgraduate qualifications</w:t>
      </w:r>
      <w:r w:rsidR="00181631">
        <w:t>,</w:t>
      </w:r>
      <w:r w:rsidR="00D358DD">
        <w:t xml:space="preserve"> more likely to be unemployed</w:t>
      </w:r>
      <w:r>
        <w:t xml:space="preserve"> or</w:t>
      </w:r>
      <w:r w:rsidR="00D358DD">
        <w:t xml:space="preserve"> on sick leave</w:t>
      </w:r>
      <w:r w:rsidR="00181631">
        <w:t xml:space="preserve">, more likely to have chronic LBP and more likely to report </w:t>
      </w:r>
      <w:r w:rsidR="00F5024B">
        <w:t xml:space="preserve">a compensation or other legal claim related to their </w:t>
      </w:r>
      <w:r>
        <w:t>LBP</w:t>
      </w:r>
      <w:r w:rsidR="00181631">
        <w:t xml:space="preserve"> (N.B. absolute numbers of claims were low).</w:t>
      </w:r>
    </w:p>
    <w:p w14:paraId="09F8133F" w14:textId="0349237E" w:rsidR="002D1770" w:rsidRDefault="00DE6C98" w:rsidP="002F4465">
      <w:pPr>
        <w:ind w:firstLine="720"/>
      </w:pPr>
      <w:r>
        <w:t>As a cohort, practitioners had been working for 20 years since qualifying (M=</w:t>
      </w:r>
      <w:r w:rsidRPr="001C4D60">
        <w:t>20.6</w:t>
      </w:r>
      <w:r>
        <w:t>, SD=</w:t>
      </w:r>
      <w:r w:rsidRPr="001C4D60">
        <w:t>10.1)</w:t>
      </w:r>
      <w:r>
        <w:t xml:space="preserve"> and felt they were highly experienced at treating patients with LBP (M=</w:t>
      </w:r>
      <w:r w:rsidRPr="009672B5">
        <w:t>4.3</w:t>
      </w:r>
      <w:r>
        <w:t>,</w:t>
      </w:r>
      <w:r w:rsidRPr="009672B5">
        <w:t xml:space="preserve"> </w:t>
      </w:r>
      <w:r>
        <w:t>SD=</w:t>
      </w:r>
      <w:r w:rsidRPr="009672B5">
        <w:t>0.8)</w:t>
      </w:r>
      <w:r>
        <w:t xml:space="preserve">.  </w:t>
      </w:r>
      <w:r w:rsidR="001676AF">
        <w:t>Compared to the other groups, p</w:t>
      </w:r>
      <w:r w:rsidR="002D1770">
        <w:t xml:space="preserve">hysiotherapists working in the </w:t>
      </w:r>
      <w:r w:rsidR="001676AF">
        <w:t xml:space="preserve">NHS had been working for </w:t>
      </w:r>
      <w:r w:rsidR="00181631">
        <w:t xml:space="preserve">less </w:t>
      </w:r>
      <w:r w:rsidR="001676AF">
        <w:t>years since qualifying (M=</w:t>
      </w:r>
      <w:r w:rsidR="001676AF" w:rsidRPr="001C4D60">
        <w:t>15.5</w:t>
      </w:r>
      <w:r w:rsidR="001676AF">
        <w:t xml:space="preserve">, SD=7.2) and rated themselves as </w:t>
      </w:r>
      <w:r w:rsidR="00181631">
        <w:t xml:space="preserve">less </w:t>
      </w:r>
      <w:r w:rsidR="001676AF">
        <w:t>experienced with LBP (M=</w:t>
      </w:r>
      <w:r w:rsidR="001676AF" w:rsidRPr="009672B5">
        <w:t>3.8</w:t>
      </w:r>
      <w:r w:rsidR="001676AF">
        <w:t>,</w:t>
      </w:r>
      <w:r w:rsidR="001676AF" w:rsidRPr="009672B5">
        <w:t xml:space="preserve"> </w:t>
      </w:r>
      <w:r w:rsidR="001676AF">
        <w:t>SD=1.3</w:t>
      </w:r>
      <w:r w:rsidR="001676AF" w:rsidRPr="009672B5">
        <w:t>)</w:t>
      </w:r>
      <w:r w:rsidR="001676AF">
        <w:t xml:space="preserve">.  Supplemental Material Table 4 presents full practitioner characteristics by treatment group.  </w:t>
      </w:r>
    </w:p>
    <w:p w14:paraId="331C237F" w14:textId="77777777" w:rsidR="00BC0950" w:rsidRDefault="00BC0950" w:rsidP="00BC0950">
      <w:pPr>
        <w:pStyle w:val="EndNoteBibliography"/>
        <w:ind w:left="720" w:hanging="720"/>
      </w:pPr>
    </w:p>
    <w:p w14:paraId="598A9108" w14:textId="77777777" w:rsidR="00BC0950" w:rsidRDefault="00BC0950" w:rsidP="00BC0950">
      <w:pPr>
        <w:pStyle w:val="NoSpacing"/>
        <w:sectPr w:rsidR="00BC0950">
          <w:headerReference w:type="default" r:id="rId10"/>
          <w:pgSz w:w="11906" w:h="16838"/>
          <w:pgMar w:top="1440" w:right="1440" w:bottom="1440" w:left="1440" w:header="708" w:footer="708" w:gutter="0"/>
          <w:cols w:space="708"/>
          <w:docGrid w:linePitch="360"/>
        </w:sectPr>
      </w:pPr>
    </w:p>
    <w:p w14:paraId="33EACE34" w14:textId="77777777" w:rsidR="00BC0950" w:rsidRDefault="00BC0950" w:rsidP="00BC0950">
      <w:pPr>
        <w:pStyle w:val="NoSpacing"/>
      </w:pPr>
      <w:r>
        <w:lastRenderedPageBreak/>
        <w:t>Table 1.  Characteristics at Baseline of Patients with a New Episode of Low Back Pain, for the Whole Sample and for Subgroups of Patients Receiving Physiotherapy in the NHS, Physiotherapy in the Private Sector, Osteopathy, and Acupuncture, 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0"/>
        <w:gridCol w:w="1496"/>
        <w:gridCol w:w="1494"/>
        <w:gridCol w:w="1494"/>
        <w:gridCol w:w="1281"/>
        <w:gridCol w:w="1368"/>
      </w:tblGrid>
      <w:tr w:rsidR="00BC0950" w14:paraId="74DE7CB9" w14:textId="77777777" w:rsidTr="00507A92">
        <w:tc>
          <w:tcPr>
            <w:tcW w:w="0" w:type="auto"/>
            <w:tcBorders>
              <w:top w:val="single" w:sz="4" w:space="0" w:color="auto"/>
              <w:bottom w:val="single" w:sz="4" w:space="0" w:color="auto"/>
            </w:tcBorders>
          </w:tcPr>
          <w:p w14:paraId="51F562C0" w14:textId="77777777" w:rsidR="00BC0950" w:rsidRPr="00EA3709" w:rsidRDefault="00BC0950" w:rsidP="00507A92">
            <w:pPr>
              <w:pStyle w:val="NoSpacing"/>
            </w:pPr>
          </w:p>
        </w:tc>
        <w:tc>
          <w:tcPr>
            <w:tcW w:w="0" w:type="auto"/>
            <w:tcBorders>
              <w:top w:val="single" w:sz="4" w:space="0" w:color="auto"/>
              <w:bottom w:val="single" w:sz="4" w:space="0" w:color="auto"/>
            </w:tcBorders>
          </w:tcPr>
          <w:p w14:paraId="4DDA52FD" w14:textId="77777777" w:rsidR="00BC0950" w:rsidRDefault="00BC0950" w:rsidP="00507A92">
            <w:pPr>
              <w:pStyle w:val="NoSpacing"/>
            </w:pPr>
            <w:r>
              <w:t>Whole sample</w:t>
            </w:r>
          </w:p>
        </w:tc>
        <w:tc>
          <w:tcPr>
            <w:tcW w:w="0" w:type="auto"/>
            <w:tcBorders>
              <w:top w:val="single" w:sz="4" w:space="0" w:color="auto"/>
              <w:bottom w:val="single" w:sz="4" w:space="0" w:color="auto"/>
            </w:tcBorders>
          </w:tcPr>
          <w:p w14:paraId="4BAE9BAF" w14:textId="77777777" w:rsidR="00BC0950" w:rsidRDefault="00BC0950" w:rsidP="00507A92">
            <w:pPr>
              <w:pStyle w:val="NoSpacing"/>
            </w:pPr>
            <w:r>
              <w:t>Physiotherapy</w:t>
            </w:r>
          </w:p>
          <w:p w14:paraId="0497785F" w14:textId="77777777" w:rsidR="00BC0950" w:rsidRDefault="00BC0950" w:rsidP="00507A92">
            <w:pPr>
              <w:pStyle w:val="NoSpacing"/>
            </w:pPr>
            <w:r>
              <w:t>NHS</w:t>
            </w:r>
          </w:p>
        </w:tc>
        <w:tc>
          <w:tcPr>
            <w:tcW w:w="0" w:type="auto"/>
            <w:tcBorders>
              <w:top w:val="single" w:sz="4" w:space="0" w:color="auto"/>
              <w:bottom w:val="single" w:sz="4" w:space="0" w:color="auto"/>
            </w:tcBorders>
          </w:tcPr>
          <w:p w14:paraId="41F1884A" w14:textId="77777777" w:rsidR="00BC0950" w:rsidRDefault="00BC0950" w:rsidP="00507A92">
            <w:pPr>
              <w:pStyle w:val="NoSpacing"/>
            </w:pPr>
            <w:r>
              <w:t>Physiotherapy</w:t>
            </w:r>
          </w:p>
          <w:p w14:paraId="6A064610" w14:textId="77777777" w:rsidR="00BC0950" w:rsidRDefault="00BC0950" w:rsidP="00507A92">
            <w:pPr>
              <w:pStyle w:val="NoSpacing"/>
            </w:pPr>
            <w:r>
              <w:t>Private Sector</w:t>
            </w:r>
          </w:p>
        </w:tc>
        <w:tc>
          <w:tcPr>
            <w:tcW w:w="0" w:type="auto"/>
            <w:tcBorders>
              <w:top w:val="single" w:sz="4" w:space="0" w:color="auto"/>
              <w:bottom w:val="single" w:sz="4" w:space="0" w:color="auto"/>
            </w:tcBorders>
          </w:tcPr>
          <w:p w14:paraId="0DBAC316" w14:textId="77777777" w:rsidR="00BC0950" w:rsidRDefault="00BC0950" w:rsidP="00507A92">
            <w:pPr>
              <w:pStyle w:val="NoSpacing"/>
            </w:pPr>
            <w:r>
              <w:t>Osteopathy</w:t>
            </w:r>
          </w:p>
        </w:tc>
        <w:tc>
          <w:tcPr>
            <w:tcW w:w="0" w:type="auto"/>
            <w:tcBorders>
              <w:top w:val="single" w:sz="4" w:space="0" w:color="auto"/>
              <w:bottom w:val="single" w:sz="4" w:space="0" w:color="auto"/>
            </w:tcBorders>
          </w:tcPr>
          <w:p w14:paraId="50DACC5A" w14:textId="77777777" w:rsidR="00BC0950" w:rsidRDefault="00BC0950" w:rsidP="00507A92">
            <w:pPr>
              <w:pStyle w:val="NoSpacing"/>
            </w:pPr>
            <w:r>
              <w:t>Acupuncture</w:t>
            </w:r>
          </w:p>
        </w:tc>
      </w:tr>
      <w:tr w:rsidR="00BC0950" w14:paraId="2A6EA6E4" w14:textId="77777777" w:rsidTr="00507A92">
        <w:tc>
          <w:tcPr>
            <w:tcW w:w="0" w:type="auto"/>
            <w:tcBorders>
              <w:top w:val="single" w:sz="4" w:space="0" w:color="auto"/>
            </w:tcBorders>
          </w:tcPr>
          <w:p w14:paraId="1663B1DB" w14:textId="77777777" w:rsidR="00BC0950" w:rsidRDefault="00BC0950" w:rsidP="00507A92">
            <w:pPr>
              <w:pStyle w:val="NoSpacing"/>
            </w:pPr>
            <w:r>
              <w:t>Practitioners</w:t>
            </w:r>
          </w:p>
        </w:tc>
        <w:tc>
          <w:tcPr>
            <w:tcW w:w="0" w:type="auto"/>
            <w:tcBorders>
              <w:top w:val="single" w:sz="4" w:space="0" w:color="auto"/>
            </w:tcBorders>
          </w:tcPr>
          <w:p w14:paraId="09AAE0B9" w14:textId="77777777" w:rsidR="00BC0950" w:rsidRDefault="00BC0950" w:rsidP="00507A92">
            <w:pPr>
              <w:pStyle w:val="NoSpacing"/>
            </w:pPr>
          </w:p>
        </w:tc>
        <w:tc>
          <w:tcPr>
            <w:tcW w:w="0" w:type="auto"/>
            <w:tcBorders>
              <w:top w:val="single" w:sz="4" w:space="0" w:color="auto"/>
            </w:tcBorders>
          </w:tcPr>
          <w:p w14:paraId="7B7BDB97" w14:textId="77777777" w:rsidR="00BC0950" w:rsidRDefault="00BC0950" w:rsidP="00507A92">
            <w:pPr>
              <w:pStyle w:val="NoSpacing"/>
            </w:pPr>
          </w:p>
        </w:tc>
        <w:tc>
          <w:tcPr>
            <w:tcW w:w="0" w:type="auto"/>
            <w:tcBorders>
              <w:top w:val="single" w:sz="4" w:space="0" w:color="auto"/>
            </w:tcBorders>
          </w:tcPr>
          <w:p w14:paraId="59A42D82" w14:textId="77777777" w:rsidR="00BC0950" w:rsidRDefault="00BC0950" w:rsidP="00507A92">
            <w:pPr>
              <w:pStyle w:val="NoSpacing"/>
            </w:pPr>
          </w:p>
        </w:tc>
        <w:tc>
          <w:tcPr>
            <w:tcW w:w="0" w:type="auto"/>
            <w:tcBorders>
              <w:top w:val="single" w:sz="4" w:space="0" w:color="auto"/>
            </w:tcBorders>
          </w:tcPr>
          <w:p w14:paraId="0A72C599" w14:textId="77777777" w:rsidR="00BC0950" w:rsidRDefault="00BC0950" w:rsidP="00507A92">
            <w:pPr>
              <w:pStyle w:val="NoSpacing"/>
            </w:pPr>
          </w:p>
        </w:tc>
        <w:tc>
          <w:tcPr>
            <w:tcW w:w="0" w:type="auto"/>
            <w:tcBorders>
              <w:top w:val="single" w:sz="4" w:space="0" w:color="auto"/>
            </w:tcBorders>
          </w:tcPr>
          <w:p w14:paraId="70132B3D" w14:textId="77777777" w:rsidR="00BC0950" w:rsidRDefault="00BC0950" w:rsidP="00507A92">
            <w:pPr>
              <w:pStyle w:val="NoSpacing"/>
            </w:pPr>
          </w:p>
        </w:tc>
      </w:tr>
      <w:tr w:rsidR="00BC0950" w14:paraId="33E1A726" w14:textId="77777777" w:rsidTr="00507A92">
        <w:tc>
          <w:tcPr>
            <w:tcW w:w="0" w:type="auto"/>
          </w:tcPr>
          <w:p w14:paraId="720549AC" w14:textId="77777777" w:rsidR="00BC0950" w:rsidRDefault="00BC0950" w:rsidP="00507A92">
            <w:pPr>
              <w:pStyle w:val="NoSpacing"/>
            </w:pPr>
            <w:r>
              <w:t>Total</w:t>
            </w:r>
          </w:p>
        </w:tc>
        <w:tc>
          <w:tcPr>
            <w:tcW w:w="0" w:type="auto"/>
          </w:tcPr>
          <w:p w14:paraId="4FE84B50" w14:textId="77777777" w:rsidR="00BC0950" w:rsidRDefault="00BC0950" w:rsidP="00507A92">
            <w:pPr>
              <w:pStyle w:val="NoSpacing"/>
            </w:pPr>
            <w:r>
              <w:t>166 (100%)</w:t>
            </w:r>
          </w:p>
        </w:tc>
        <w:tc>
          <w:tcPr>
            <w:tcW w:w="0" w:type="auto"/>
          </w:tcPr>
          <w:p w14:paraId="1D9E1169" w14:textId="77777777" w:rsidR="00BC0950" w:rsidRDefault="00BC0950" w:rsidP="00507A92">
            <w:pPr>
              <w:pStyle w:val="NoSpacing"/>
            </w:pPr>
            <w:r>
              <w:t>36 (21.7%)</w:t>
            </w:r>
          </w:p>
        </w:tc>
        <w:tc>
          <w:tcPr>
            <w:tcW w:w="0" w:type="auto"/>
          </w:tcPr>
          <w:p w14:paraId="540E9859" w14:textId="77777777" w:rsidR="00BC0950" w:rsidRDefault="00BC0950" w:rsidP="00507A92">
            <w:pPr>
              <w:pStyle w:val="NoSpacing"/>
            </w:pPr>
            <w:r>
              <w:t>29 (17.5%)</w:t>
            </w:r>
          </w:p>
        </w:tc>
        <w:tc>
          <w:tcPr>
            <w:tcW w:w="0" w:type="auto"/>
          </w:tcPr>
          <w:p w14:paraId="4EF778CE" w14:textId="77777777" w:rsidR="00BC0950" w:rsidRDefault="00BC0950" w:rsidP="00507A92">
            <w:pPr>
              <w:pStyle w:val="NoSpacing"/>
            </w:pPr>
            <w:r>
              <w:t>46 (27.7%)</w:t>
            </w:r>
          </w:p>
        </w:tc>
        <w:tc>
          <w:tcPr>
            <w:tcW w:w="0" w:type="auto"/>
          </w:tcPr>
          <w:p w14:paraId="06E254F3" w14:textId="77777777" w:rsidR="00BC0950" w:rsidRDefault="00BC0950" w:rsidP="00507A92">
            <w:pPr>
              <w:pStyle w:val="NoSpacing"/>
            </w:pPr>
            <w:r>
              <w:t>55 (33.1%)</w:t>
            </w:r>
          </w:p>
        </w:tc>
      </w:tr>
      <w:tr w:rsidR="00BC0950" w14:paraId="28E67B12" w14:textId="77777777" w:rsidTr="00507A92">
        <w:tc>
          <w:tcPr>
            <w:tcW w:w="0" w:type="auto"/>
          </w:tcPr>
          <w:p w14:paraId="72D63179" w14:textId="77777777" w:rsidR="00BC0950" w:rsidRDefault="00BC0950" w:rsidP="00507A92">
            <w:pPr>
              <w:pStyle w:val="NoSpacing"/>
            </w:pPr>
          </w:p>
        </w:tc>
        <w:tc>
          <w:tcPr>
            <w:tcW w:w="0" w:type="auto"/>
          </w:tcPr>
          <w:p w14:paraId="1E34D28A" w14:textId="77777777" w:rsidR="00BC0950" w:rsidRDefault="00BC0950" w:rsidP="00507A92">
            <w:pPr>
              <w:pStyle w:val="NoSpacing"/>
            </w:pPr>
          </w:p>
        </w:tc>
        <w:tc>
          <w:tcPr>
            <w:tcW w:w="0" w:type="auto"/>
          </w:tcPr>
          <w:p w14:paraId="6B7DBB0B" w14:textId="77777777" w:rsidR="00BC0950" w:rsidRDefault="00BC0950" w:rsidP="00507A92">
            <w:pPr>
              <w:pStyle w:val="NoSpacing"/>
            </w:pPr>
          </w:p>
        </w:tc>
        <w:tc>
          <w:tcPr>
            <w:tcW w:w="0" w:type="auto"/>
          </w:tcPr>
          <w:p w14:paraId="517D76B4" w14:textId="77777777" w:rsidR="00BC0950" w:rsidRDefault="00BC0950" w:rsidP="00507A92">
            <w:pPr>
              <w:pStyle w:val="NoSpacing"/>
            </w:pPr>
          </w:p>
        </w:tc>
        <w:tc>
          <w:tcPr>
            <w:tcW w:w="0" w:type="auto"/>
          </w:tcPr>
          <w:p w14:paraId="553FABD5" w14:textId="77777777" w:rsidR="00BC0950" w:rsidRDefault="00BC0950" w:rsidP="00507A92">
            <w:pPr>
              <w:pStyle w:val="NoSpacing"/>
            </w:pPr>
          </w:p>
        </w:tc>
        <w:tc>
          <w:tcPr>
            <w:tcW w:w="0" w:type="auto"/>
          </w:tcPr>
          <w:p w14:paraId="06AFFF6C" w14:textId="77777777" w:rsidR="00BC0950" w:rsidRDefault="00BC0950" w:rsidP="00507A92">
            <w:pPr>
              <w:pStyle w:val="NoSpacing"/>
            </w:pPr>
          </w:p>
        </w:tc>
      </w:tr>
      <w:tr w:rsidR="00BC0950" w14:paraId="366A6455" w14:textId="77777777" w:rsidTr="00507A92">
        <w:tc>
          <w:tcPr>
            <w:tcW w:w="0" w:type="auto"/>
          </w:tcPr>
          <w:p w14:paraId="2D0C3B28" w14:textId="77777777" w:rsidR="00BC0950" w:rsidRDefault="00BC0950" w:rsidP="00507A92">
            <w:pPr>
              <w:pStyle w:val="NoSpacing"/>
            </w:pPr>
            <w:r>
              <w:t>Patients</w:t>
            </w:r>
          </w:p>
        </w:tc>
        <w:tc>
          <w:tcPr>
            <w:tcW w:w="0" w:type="auto"/>
          </w:tcPr>
          <w:p w14:paraId="49462A4C" w14:textId="77777777" w:rsidR="00BC0950" w:rsidRDefault="00BC0950" w:rsidP="00507A92">
            <w:pPr>
              <w:pStyle w:val="NoSpacing"/>
            </w:pPr>
          </w:p>
        </w:tc>
        <w:tc>
          <w:tcPr>
            <w:tcW w:w="0" w:type="auto"/>
          </w:tcPr>
          <w:p w14:paraId="23D18B5D" w14:textId="77777777" w:rsidR="00BC0950" w:rsidRDefault="00BC0950" w:rsidP="00507A92">
            <w:pPr>
              <w:pStyle w:val="NoSpacing"/>
            </w:pPr>
          </w:p>
        </w:tc>
        <w:tc>
          <w:tcPr>
            <w:tcW w:w="0" w:type="auto"/>
          </w:tcPr>
          <w:p w14:paraId="38DC3BE3" w14:textId="77777777" w:rsidR="00BC0950" w:rsidRDefault="00BC0950" w:rsidP="00507A92">
            <w:pPr>
              <w:pStyle w:val="NoSpacing"/>
            </w:pPr>
          </w:p>
        </w:tc>
        <w:tc>
          <w:tcPr>
            <w:tcW w:w="0" w:type="auto"/>
          </w:tcPr>
          <w:p w14:paraId="73F249C8" w14:textId="77777777" w:rsidR="00BC0950" w:rsidRDefault="00BC0950" w:rsidP="00507A92">
            <w:pPr>
              <w:pStyle w:val="NoSpacing"/>
            </w:pPr>
          </w:p>
        </w:tc>
        <w:tc>
          <w:tcPr>
            <w:tcW w:w="0" w:type="auto"/>
          </w:tcPr>
          <w:p w14:paraId="31056116" w14:textId="77777777" w:rsidR="00BC0950" w:rsidRDefault="00BC0950" w:rsidP="00507A92">
            <w:pPr>
              <w:pStyle w:val="NoSpacing"/>
            </w:pPr>
          </w:p>
        </w:tc>
      </w:tr>
      <w:tr w:rsidR="00BC0950" w14:paraId="09E38658" w14:textId="77777777" w:rsidTr="00507A92">
        <w:tc>
          <w:tcPr>
            <w:tcW w:w="0" w:type="auto"/>
          </w:tcPr>
          <w:p w14:paraId="2A97D477" w14:textId="77777777" w:rsidR="00BC0950" w:rsidRPr="002403AB" w:rsidRDefault="00BC0950" w:rsidP="00507A92">
            <w:pPr>
              <w:pStyle w:val="NoSpacing"/>
            </w:pPr>
            <w:r>
              <w:t>Total</w:t>
            </w:r>
          </w:p>
        </w:tc>
        <w:tc>
          <w:tcPr>
            <w:tcW w:w="0" w:type="auto"/>
          </w:tcPr>
          <w:p w14:paraId="1DBEACEE" w14:textId="77777777" w:rsidR="00BC0950" w:rsidRDefault="00BC0950" w:rsidP="00507A92">
            <w:pPr>
              <w:pStyle w:val="NoSpacing"/>
            </w:pPr>
            <w:r>
              <w:t>960 (100%)</w:t>
            </w:r>
          </w:p>
        </w:tc>
        <w:tc>
          <w:tcPr>
            <w:tcW w:w="0" w:type="auto"/>
          </w:tcPr>
          <w:p w14:paraId="36FCD5D1" w14:textId="77777777" w:rsidR="00BC0950" w:rsidRDefault="00BC0950" w:rsidP="00507A92">
            <w:pPr>
              <w:pStyle w:val="NoSpacing"/>
            </w:pPr>
            <w:r>
              <w:t>196 (20.4%)</w:t>
            </w:r>
          </w:p>
        </w:tc>
        <w:tc>
          <w:tcPr>
            <w:tcW w:w="0" w:type="auto"/>
          </w:tcPr>
          <w:p w14:paraId="1CA384FA" w14:textId="77777777" w:rsidR="00BC0950" w:rsidRDefault="00BC0950" w:rsidP="00507A92">
            <w:pPr>
              <w:pStyle w:val="NoSpacing"/>
            </w:pPr>
            <w:r>
              <w:t>165 (17.2%)</w:t>
            </w:r>
          </w:p>
        </w:tc>
        <w:tc>
          <w:tcPr>
            <w:tcW w:w="0" w:type="auto"/>
          </w:tcPr>
          <w:p w14:paraId="48311A53" w14:textId="77777777" w:rsidR="00BC0950" w:rsidRDefault="00BC0950" w:rsidP="00507A92">
            <w:pPr>
              <w:pStyle w:val="NoSpacing"/>
            </w:pPr>
            <w:r>
              <w:t>394 (41.0%)</w:t>
            </w:r>
          </w:p>
        </w:tc>
        <w:tc>
          <w:tcPr>
            <w:tcW w:w="0" w:type="auto"/>
          </w:tcPr>
          <w:p w14:paraId="1ECBC223" w14:textId="77777777" w:rsidR="00BC0950" w:rsidRDefault="00BC0950" w:rsidP="00507A92">
            <w:pPr>
              <w:pStyle w:val="NoSpacing"/>
            </w:pPr>
            <w:r>
              <w:t>205 (21.4%)</w:t>
            </w:r>
          </w:p>
        </w:tc>
      </w:tr>
      <w:tr w:rsidR="00BC0950" w14:paraId="2B1E7933" w14:textId="77777777" w:rsidTr="00507A92">
        <w:tc>
          <w:tcPr>
            <w:tcW w:w="0" w:type="auto"/>
          </w:tcPr>
          <w:p w14:paraId="78A59856" w14:textId="77777777" w:rsidR="00BC0950" w:rsidRPr="002403AB" w:rsidRDefault="00BC0950" w:rsidP="00507A92">
            <w:pPr>
              <w:pStyle w:val="NoSpacing"/>
            </w:pPr>
            <w:r>
              <w:t>Age (years): M (SD)</w:t>
            </w:r>
          </w:p>
        </w:tc>
        <w:tc>
          <w:tcPr>
            <w:tcW w:w="0" w:type="auto"/>
          </w:tcPr>
          <w:p w14:paraId="03D20831" w14:textId="77777777" w:rsidR="00BC0950" w:rsidRDefault="00BC0950" w:rsidP="00507A92">
            <w:pPr>
              <w:pStyle w:val="NoSpacing"/>
            </w:pPr>
            <w:r>
              <w:t>52.3 (</w:t>
            </w:r>
            <w:r w:rsidRPr="00694618">
              <w:t>14.</w:t>
            </w:r>
            <w:r>
              <w:t>7)</w:t>
            </w:r>
          </w:p>
        </w:tc>
        <w:tc>
          <w:tcPr>
            <w:tcW w:w="0" w:type="auto"/>
          </w:tcPr>
          <w:p w14:paraId="2B90F779" w14:textId="77777777" w:rsidR="00BC0950" w:rsidRDefault="00BC0950" w:rsidP="00507A92">
            <w:pPr>
              <w:pStyle w:val="NoSpacing"/>
            </w:pPr>
            <w:r>
              <w:t>52.4 (15.2)</w:t>
            </w:r>
          </w:p>
        </w:tc>
        <w:tc>
          <w:tcPr>
            <w:tcW w:w="0" w:type="auto"/>
          </w:tcPr>
          <w:p w14:paraId="7372B538" w14:textId="77777777" w:rsidR="00BC0950" w:rsidRDefault="00BC0950" w:rsidP="00507A92">
            <w:pPr>
              <w:pStyle w:val="NoSpacing"/>
            </w:pPr>
            <w:r w:rsidRPr="00C73BBB">
              <w:t>55.4 (</w:t>
            </w:r>
            <w:r>
              <w:t>14.6)</w:t>
            </w:r>
          </w:p>
        </w:tc>
        <w:tc>
          <w:tcPr>
            <w:tcW w:w="0" w:type="auto"/>
          </w:tcPr>
          <w:p w14:paraId="129F2480" w14:textId="77777777" w:rsidR="00BC0950" w:rsidRDefault="00BC0950" w:rsidP="00507A92">
            <w:pPr>
              <w:pStyle w:val="NoSpacing"/>
            </w:pPr>
            <w:r>
              <w:t>57.3 (14.3)</w:t>
            </w:r>
          </w:p>
        </w:tc>
        <w:tc>
          <w:tcPr>
            <w:tcW w:w="0" w:type="auto"/>
          </w:tcPr>
          <w:p w14:paraId="7E47FF6A" w14:textId="77777777" w:rsidR="00BC0950" w:rsidRDefault="00BC0950" w:rsidP="00507A92">
            <w:pPr>
              <w:pStyle w:val="NoSpacing"/>
            </w:pPr>
            <w:r w:rsidRPr="00FB543C">
              <w:t>5</w:t>
            </w:r>
            <w:r>
              <w:t>6</w:t>
            </w:r>
            <w:r w:rsidRPr="00FB543C">
              <w:t>.</w:t>
            </w:r>
            <w:r>
              <w:t>0 (</w:t>
            </w:r>
            <w:r w:rsidRPr="00FB543C">
              <w:t>1</w:t>
            </w:r>
            <w:r>
              <w:t>5.0)</w:t>
            </w:r>
          </w:p>
        </w:tc>
      </w:tr>
      <w:tr w:rsidR="00BC0950" w14:paraId="587D610C" w14:textId="77777777" w:rsidTr="00507A92">
        <w:tc>
          <w:tcPr>
            <w:tcW w:w="0" w:type="auto"/>
          </w:tcPr>
          <w:p w14:paraId="4B1C5E63" w14:textId="77777777" w:rsidR="00BC0950" w:rsidRPr="002403AB" w:rsidRDefault="00BC0950" w:rsidP="00507A92">
            <w:pPr>
              <w:pStyle w:val="NoSpacing"/>
            </w:pPr>
            <w:r w:rsidRPr="002403AB">
              <w:t>Gender</w:t>
            </w:r>
          </w:p>
        </w:tc>
        <w:tc>
          <w:tcPr>
            <w:tcW w:w="0" w:type="auto"/>
          </w:tcPr>
          <w:p w14:paraId="1A5DD309" w14:textId="77777777" w:rsidR="00BC0950" w:rsidRDefault="00BC0950" w:rsidP="00507A92">
            <w:pPr>
              <w:pStyle w:val="NoSpacing"/>
            </w:pPr>
          </w:p>
        </w:tc>
        <w:tc>
          <w:tcPr>
            <w:tcW w:w="0" w:type="auto"/>
          </w:tcPr>
          <w:p w14:paraId="1C75B64C" w14:textId="77777777" w:rsidR="00BC0950" w:rsidRDefault="00BC0950" w:rsidP="00507A92">
            <w:pPr>
              <w:pStyle w:val="NoSpacing"/>
            </w:pPr>
          </w:p>
        </w:tc>
        <w:tc>
          <w:tcPr>
            <w:tcW w:w="0" w:type="auto"/>
          </w:tcPr>
          <w:p w14:paraId="6ADF33A9" w14:textId="77777777" w:rsidR="00BC0950" w:rsidRDefault="00BC0950" w:rsidP="00507A92">
            <w:pPr>
              <w:pStyle w:val="NoSpacing"/>
            </w:pPr>
          </w:p>
        </w:tc>
        <w:tc>
          <w:tcPr>
            <w:tcW w:w="0" w:type="auto"/>
          </w:tcPr>
          <w:p w14:paraId="0FCDC120" w14:textId="77777777" w:rsidR="00BC0950" w:rsidRDefault="00BC0950" w:rsidP="00507A92">
            <w:pPr>
              <w:pStyle w:val="NoSpacing"/>
            </w:pPr>
          </w:p>
        </w:tc>
        <w:tc>
          <w:tcPr>
            <w:tcW w:w="0" w:type="auto"/>
          </w:tcPr>
          <w:p w14:paraId="63769D4C" w14:textId="77777777" w:rsidR="00BC0950" w:rsidRDefault="00BC0950" w:rsidP="00507A92">
            <w:pPr>
              <w:pStyle w:val="NoSpacing"/>
            </w:pPr>
          </w:p>
        </w:tc>
      </w:tr>
      <w:tr w:rsidR="00BC0950" w14:paraId="5CBE1152" w14:textId="77777777" w:rsidTr="00507A92">
        <w:tc>
          <w:tcPr>
            <w:tcW w:w="0" w:type="auto"/>
          </w:tcPr>
          <w:p w14:paraId="5D00ED89" w14:textId="77777777" w:rsidR="00BC0950" w:rsidRDefault="00BC0950" w:rsidP="00507A92">
            <w:pPr>
              <w:pStyle w:val="NoSpacing"/>
            </w:pPr>
            <w:r>
              <w:tab/>
              <w:t>Female</w:t>
            </w:r>
          </w:p>
        </w:tc>
        <w:tc>
          <w:tcPr>
            <w:tcW w:w="0" w:type="auto"/>
          </w:tcPr>
          <w:p w14:paraId="07A59B5B" w14:textId="77777777" w:rsidR="00BC0950" w:rsidRDefault="00BC0950" w:rsidP="00507A92">
            <w:pPr>
              <w:pStyle w:val="NoSpacing"/>
            </w:pPr>
            <w:r>
              <w:t>605 (63.0%)</w:t>
            </w:r>
          </w:p>
        </w:tc>
        <w:tc>
          <w:tcPr>
            <w:tcW w:w="0" w:type="auto"/>
          </w:tcPr>
          <w:p w14:paraId="7745ABD3" w14:textId="77777777" w:rsidR="00BC0950" w:rsidRDefault="00BC0950" w:rsidP="00507A92">
            <w:pPr>
              <w:pStyle w:val="NoSpacing"/>
            </w:pPr>
            <w:r>
              <w:t>127 (64.8%)</w:t>
            </w:r>
          </w:p>
        </w:tc>
        <w:tc>
          <w:tcPr>
            <w:tcW w:w="0" w:type="auto"/>
          </w:tcPr>
          <w:p w14:paraId="46DDBF94" w14:textId="77777777" w:rsidR="00BC0950" w:rsidRDefault="00BC0950" w:rsidP="00507A92">
            <w:pPr>
              <w:pStyle w:val="NoSpacing"/>
            </w:pPr>
            <w:r>
              <w:t>103 (62.4%)</w:t>
            </w:r>
          </w:p>
        </w:tc>
        <w:tc>
          <w:tcPr>
            <w:tcW w:w="0" w:type="auto"/>
          </w:tcPr>
          <w:p w14:paraId="440B6968" w14:textId="77777777" w:rsidR="00BC0950" w:rsidRDefault="00BC0950" w:rsidP="00507A92">
            <w:pPr>
              <w:pStyle w:val="NoSpacing"/>
            </w:pPr>
            <w:r>
              <w:t>238 (60.4%)</w:t>
            </w:r>
          </w:p>
        </w:tc>
        <w:tc>
          <w:tcPr>
            <w:tcW w:w="0" w:type="auto"/>
          </w:tcPr>
          <w:p w14:paraId="04D7900E" w14:textId="77777777" w:rsidR="00BC0950" w:rsidRDefault="00BC0950" w:rsidP="00507A92">
            <w:pPr>
              <w:pStyle w:val="NoSpacing"/>
            </w:pPr>
            <w:r>
              <w:t>137 (66.8%)</w:t>
            </w:r>
          </w:p>
        </w:tc>
      </w:tr>
      <w:tr w:rsidR="00BC0950" w14:paraId="2144A2F6" w14:textId="77777777" w:rsidTr="00507A92">
        <w:tc>
          <w:tcPr>
            <w:tcW w:w="0" w:type="auto"/>
          </w:tcPr>
          <w:p w14:paraId="02AB6563" w14:textId="77777777" w:rsidR="00BC0950" w:rsidRDefault="00BC0950" w:rsidP="00507A92">
            <w:pPr>
              <w:pStyle w:val="NoSpacing"/>
            </w:pPr>
            <w:r>
              <w:tab/>
              <w:t>Male</w:t>
            </w:r>
          </w:p>
        </w:tc>
        <w:tc>
          <w:tcPr>
            <w:tcW w:w="0" w:type="auto"/>
          </w:tcPr>
          <w:p w14:paraId="045D3E57" w14:textId="77777777" w:rsidR="00BC0950" w:rsidRDefault="00BC0950" w:rsidP="00507A92">
            <w:pPr>
              <w:pStyle w:val="NoSpacing"/>
            </w:pPr>
            <w:r>
              <w:t>338 (35.2%)</w:t>
            </w:r>
          </w:p>
        </w:tc>
        <w:tc>
          <w:tcPr>
            <w:tcW w:w="0" w:type="auto"/>
          </w:tcPr>
          <w:p w14:paraId="082D4C01" w14:textId="77777777" w:rsidR="00BC0950" w:rsidRDefault="00BC0950" w:rsidP="00507A92">
            <w:pPr>
              <w:pStyle w:val="NoSpacing"/>
            </w:pPr>
            <w:r>
              <w:t>65 (33.2%)</w:t>
            </w:r>
          </w:p>
        </w:tc>
        <w:tc>
          <w:tcPr>
            <w:tcW w:w="0" w:type="auto"/>
          </w:tcPr>
          <w:p w14:paraId="4CC975E7" w14:textId="77777777" w:rsidR="00BC0950" w:rsidRDefault="00BC0950" w:rsidP="00507A92">
            <w:pPr>
              <w:pStyle w:val="NoSpacing"/>
            </w:pPr>
            <w:r>
              <w:t>61 (37.0%)</w:t>
            </w:r>
          </w:p>
        </w:tc>
        <w:tc>
          <w:tcPr>
            <w:tcW w:w="0" w:type="auto"/>
          </w:tcPr>
          <w:p w14:paraId="67BD0EA9" w14:textId="77777777" w:rsidR="00BC0950" w:rsidRDefault="00BC0950" w:rsidP="00507A92">
            <w:pPr>
              <w:pStyle w:val="NoSpacing"/>
            </w:pPr>
            <w:r>
              <w:t>151 (38.3%)</w:t>
            </w:r>
          </w:p>
        </w:tc>
        <w:tc>
          <w:tcPr>
            <w:tcW w:w="0" w:type="auto"/>
          </w:tcPr>
          <w:p w14:paraId="5AE86A58" w14:textId="77777777" w:rsidR="00BC0950" w:rsidRDefault="00BC0950" w:rsidP="00507A92">
            <w:pPr>
              <w:pStyle w:val="NoSpacing"/>
            </w:pPr>
            <w:r>
              <w:t>61 (29.8%)</w:t>
            </w:r>
          </w:p>
        </w:tc>
      </w:tr>
      <w:tr w:rsidR="00BC0950" w14:paraId="64203FC6" w14:textId="77777777" w:rsidTr="00507A92">
        <w:tc>
          <w:tcPr>
            <w:tcW w:w="0" w:type="auto"/>
          </w:tcPr>
          <w:p w14:paraId="612C8DE8" w14:textId="77777777" w:rsidR="00BC0950" w:rsidRDefault="00BC0950" w:rsidP="00507A92">
            <w:pPr>
              <w:pStyle w:val="NoSpacing"/>
            </w:pPr>
            <w:r>
              <w:tab/>
              <w:t>Missing data</w:t>
            </w:r>
          </w:p>
        </w:tc>
        <w:tc>
          <w:tcPr>
            <w:tcW w:w="0" w:type="auto"/>
          </w:tcPr>
          <w:p w14:paraId="054CF59F" w14:textId="77777777" w:rsidR="00BC0950" w:rsidRDefault="00BC0950" w:rsidP="00507A92">
            <w:pPr>
              <w:pStyle w:val="NoSpacing"/>
            </w:pPr>
            <w:r>
              <w:t>17 (1.8%)</w:t>
            </w:r>
          </w:p>
        </w:tc>
        <w:tc>
          <w:tcPr>
            <w:tcW w:w="0" w:type="auto"/>
          </w:tcPr>
          <w:p w14:paraId="74777D4C" w14:textId="77777777" w:rsidR="00BC0950" w:rsidRDefault="00BC0950" w:rsidP="00507A92">
            <w:pPr>
              <w:pStyle w:val="NoSpacing"/>
            </w:pPr>
            <w:r>
              <w:t>4 (2.0%)</w:t>
            </w:r>
          </w:p>
        </w:tc>
        <w:tc>
          <w:tcPr>
            <w:tcW w:w="0" w:type="auto"/>
          </w:tcPr>
          <w:p w14:paraId="270EB0B7" w14:textId="77777777" w:rsidR="00BC0950" w:rsidRDefault="00BC0950" w:rsidP="00507A92">
            <w:pPr>
              <w:pStyle w:val="NoSpacing"/>
            </w:pPr>
            <w:r>
              <w:t>1 (0.6%)</w:t>
            </w:r>
          </w:p>
        </w:tc>
        <w:tc>
          <w:tcPr>
            <w:tcW w:w="0" w:type="auto"/>
          </w:tcPr>
          <w:p w14:paraId="799E29BA" w14:textId="77777777" w:rsidR="00BC0950" w:rsidRDefault="00BC0950" w:rsidP="00507A92">
            <w:pPr>
              <w:pStyle w:val="NoSpacing"/>
            </w:pPr>
            <w:r>
              <w:t>5 (1.3%)</w:t>
            </w:r>
          </w:p>
        </w:tc>
        <w:tc>
          <w:tcPr>
            <w:tcW w:w="0" w:type="auto"/>
          </w:tcPr>
          <w:p w14:paraId="43B3CF30" w14:textId="77777777" w:rsidR="00BC0950" w:rsidRDefault="00BC0950" w:rsidP="00507A92">
            <w:pPr>
              <w:pStyle w:val="NoSpacing"/>
            </w:pPr>
            <w:r>
              <w:t>7 (3.4%)</w:t>
            </w:r>
          </w:p>
        </w:tc>
      </w:tr>
      <w:tr w:rsidR="00BC0950" w14:paraId="638C746E" w14:textId="77777777" w:rsidTr="00507A92">
        <w:tc>
          <w:tcPr>
            <w:tcW w:w="0" w:type="auto"/>
          </w:tcPr>
          <w:p w14:paraId="443B78E1" w14:textId="77777777" w:rsidR="00BC0950" w:rsidRDefault="00BC0950" w:rsidP="00507A92">
            <w:pPr>
              <w:pStyle w:val="NoSpacing"/>
            </w:pPr>
            <w:r>
              <w:t>Education</w:t>
            </w:r>
          </w:p>
        </w:tc>
        <w:tc>
          <w:tcPr>
            <w:tcW w:w="0" w:type="auto"/>
          </w:tcPr>
          <w:p w14:paraId="3899236F" w14:textId="77777777" w:rsidR="00BC0950" w:rsidRDefault="00BC0950" w:rsidP="00507A92">
            <w:pPr>
              <w:pStyle w:val="NoSpacing"/>
            </w:pPr>
          </w:p>
        </w:tc>
        <w:tc>
          <w:tcPr>
            <w:tcW w:w="0" w:type="auto"/>
          </w:tcPr>
          <w:p w14:paraId="65F12F0A" w14:textId="77777777" w:rsidR="00BC0950" w:rsidRDefault="00BC0950" w:rsidP="00507A92">
            <w:pPr>
              <w:pStyle w:val="NoSpacing"/>
            </w:pPr>
          </w:p>
        </w:tc>
        <w:tc>
          <w:tcPr>
            <w:tcW w:w="0" w:type="auto"/>
          </w:tcPr>
          <w:p w14:paraId="70A68B0A" w14:textId="77777777" w:rsidR="00BC0950" w:rsidRDefault="00BC0950" w:rsidP="00507A92">
            <w:pPr>
              <w:pStyle w:val="NoSpacing"/>
            </w:pPr>
          </w:p>
        </w:tc>
        <w:tc>
          <w:tcPr>
            <w:tcW w:w="0" w:type="auto"/>
          </w:tcPr>
          <w:p w14:paraId="4030FADD" w14:textId="77777777" w:rsidR="00BC0950" w:rsidRDefault="00BC0950" w:rsidP="00507A92">
            <w:pPr>
              <w:pStyle w:val="NoSpacing"/>
            </w:pPr>
          </w:p>
        </w:tc>
        <w:tc>
          <w:tcPr>
            <w:tcW w:w="0" w:type="auto"/>
          </w:tcPr>
          <w:p w14:paraId="3214D06B" w14:textId="77777777" w:rsidR="00BC0950" w:rsidRDefault="00BC0950" w:rsidP="00507A92">
            <w:pPr>
              <w:pStyle w:val="NoSpacing"/>
            </w:pPr>
          </w:p>
        </w:tc>
      </w:tr>
      <w:tr w:rsidR="00BC0950" w14:paraId="1B444992" w14:textId="77777777" w:rsidTr="00507A92">
        <w:tc>
          <w:tcPr>
            <w:tcW w:w="0" w:type="auto"/>
          </w:tcPr>
          <w:p w14:paraId="1E5B9ED1" w14:textId="77777777" w:rsidR="00BC0950" w:rsidRDefault="00BC0950" w:rsidP="00507A92">
            <w:pPr>
              <w:pStyle w:val="NoSpacing"/>
            </w:pPr>
            <w:r>
              <w:tab/>
              <w:t>Up to secondary</w:t>
            </w:r>
          </w:p>
        </w:tc>
        <w:tc>
          <w:tcPr>
            <w:tcW w:w="0" w:type="auto"/>
          </w:tcPr>
          <w:p w14:paraId="3BE87F42" w14:textId="77777777" w:rsidR="00BC0950" w:rsidRPr="00712DBF" w:rsidRDefault="00BC0950" w:rsidP="00507A92">
            <w:pPr>
              <w:pStyle w:val="NoSpacing"/>
            </w:pPr>
            <w:r>
              <w:t>39 (4.1%)</w:t>
            </w:r>
          </w:p>
        </w:tc>
        <w:tc>
          <w:tcPr>
            <w:tcW w:w="0" w:type="auto"/>
          </w:tcPr>
          <w:p w14:paraId="6166DDD1" w14:textId="77777777" w:rsidR="00BC0950" w:rsidRDefault="00BC0950" w:rsidP="00507A92">
            <w:pPr>
              <w:pStyle w:val="NoSpacing"/>
            </w:pPr>
            <w:r w:rsidRPr="00712DBF">
              <w:t>12 (6.</w:t>
            </w:r>
            <w:r>
              <w:t>1</w:t>
            </w:r>
            <w:r w:rsidRPr="00712DBF">
              <w:t>%)</w:t>
            </w:r>
          </w:p>
        </w:tc>
        <w:tc>
          <w:tcPr>
            <w:tcW w:w="0" w:type="auto"/>
          </w:tcPr>
          <w:p w14:paraId="425888C5" w14:textId="77777777" w:rsidR="00BC0950" w:rsidRDefault="00BC0950" w:rsidP="00507A92">
            <w:pPr>
              <w:pStyle w:val="NoSpacing"/>
            </w:pPr>
            <w:r>
              <w:t>1 (0.6%)</w:t>
            </w:r>
          </w:p>
        </w:tc>
        <w:tc>
          <w:tcPr>
            <w:tcW w:w="0" w:type="auto"/>
          </w:tcPr>
          <w:p w14:paraId="5983D258" w14:textId="77777777" w:rsidR="00BC0950" w:rsidRDefault="00BC0950" w:rsidP="00507A92">
            <w:pPr>
              <w:pStyle w:val="NoSpacing"/>
            </w:pPr>
            <w:r>
              <w:t>18 (4.6%)</w:t>
            </w:r>
          </w:p>
        </w:tc>
        <w:tc>
          <w:tcPr>
            <w:tcW w:w="0" w:type="auto"/>
          </w:tcPr>
          <w:p w14:paraId="31295F93" w14:textId="77777777" w:rsidR="00BC0950" w:rsidRDefault="00BC0950" w:rsidP="00507A92">
            <w:pPr>
              <w:pStyle w:val="NoSpacing"/>
            </w:pPr>
            <w:r>
              <w:t>8 (3.9%)</w:t>
            </w:r>
          </w:p>
        </w:tc>
      </w:tr>
      <w:tr w:rsidR="00BC0950" w14:paraId="5CAF0FDE" w14:textId="77777777" w:rsidTr="00507A92">
        <w:tc>
          <w:tcPr>
            <w:tcW w:w="0" w:type="auto"/>
          </w:tcPr>
          <w:p w14:paraId="25C71E3D" w14:textId="77777777" w:rsidR="00BC0950" w:rsidRDefault="00BC0950" w:rsidP="00507A92">
            <w:pPr>
              <w:pStyle w:val="NoSpacing"/>
            </w:pPr>
            <w:r>
              <w:tab/>
              <w:t>Finished secondary</w:t>
            </w:r>
          </w:p>
        </w:tc>
        <w:tc>
          <w:tcPr>
            <w:tcW w:w="0" w:type="auto"/>
          </w:tcPr>
          <w:p w14:paraId="62DFC67A" w14:textId="77777777" w:rsidR="00BC0950" w:rsidRDefault="00BC0950" w:rsidP="00507A92">
            <w:pPr>
              <w:pStyle w:val="NoSpacing"/>
            </w:pPr>
            <w:r>
              <w:t>306 (31.9%)</w:t>
            </w:r>
          </w:p>
        </w:tc>
        <w:tc>
          <w:tcPr>
            <w:tcW w:w="0" w:type="auto"/>
          </w:tcPr>
          <w:p w14:paraId="3DCE18A0" w14:textId="77777777" w:rsidR="00BC0950" w:rsidRDefault="00BC0950" w:rsidP="00507A92">
            <w:pPr>
              <w:pStyle w:val="NoSpacing"/>
            </w:pPr>
            <w:r>
              <w:t>72 (36.73%)</w:t>
            </w:r>
          </w:p>
        </w:tc>
        <w:tc>
          <w:tcPr>
            <w:tcW w:w="0" w:type="auto"/>
          </w:tcPr>
          <w:p w14:paraId="269397F4" w14:textId="77777777" w:rsidR="00BC0950" w:rsidRDefault="00BC0950" w:rsidP="00507A92">
            <w:pPr>
              <w:pStyle w:val="NoSpacing"/>
            </w:pPr>
            <w:r>
              <w:t>39 (23.6%)</w:t>
            </w:r>
          </w:p>
        </w:tc>
        <w:tc>
          <w:tcPr>
            <w:tcW w:w="0" w:type="auto"/>
          </w:tcPr>
          <w:p w14:paraId="07393FB7" w14:textId="77777777" w:rsidR="00BC0950" w:rsidRDefault="00BC0950" w:rsidP="00507A92">
            <w:pPr>
              <w:pStyle w:val="NoSpacing"/>
            </w:pPr>
            <w:r>
              <w:t>128 (32.5%)</w:t>
            </w:r>
          </w:p>
        </w:tc>
        <w:tc>
          <w:tcPr>
            <w:tcW w:w="0" w:type="auto"/>
          </w:tcPr>
          <w:p w14:paraId="3A4DFB50" w14:textId="77777777" w:rsidR="00BC0950" w:rsidRDefault="00BC0950" w:rsidP="00507A92">
            <w:pPr>
              <w:pStyle w:val="NoSpacing"/>
            </w:pPr>
            <w:r>
              <w:t>67 (32.7%)</w:t>
            </w:r>
          </w:p>
        </w:tc>
      </w:tr>
      <w:tr w:rsidR="00BC0950" w14:paraId="68C2D4AA" w14:textId="77777777" w:rsidTr="00507A92">
        <w:tc>
          <w:tcPr>
            <w:tcW w:w="0" w:type="auto"/>
          </w:tcPr>
          <w:p w14:paraId="43008F64" w14:textId="77777777" w:rsidR="00BC0950" w:rsidRDefault="00BC0950" w:rsidP="00507A92">
            <w:pPr>
              <w:pStyle w:val="NoSpacing"/>
            </w:pPr>
            <w:r>
              <w:tab/>
              <w:t>Finished 6</w:t>
            </w:r>
            <w:r w:rsidRPr="002403AB">
              <w:rPr>
                <w:vertAlign w:val="superscript"/>
              </w:rPr>
              <w:t>th</w:t>
            </w:r>
            <w:r>
              <w:t xml:space="preserve"> form</w:t>
            </w:r>
          </w:p>
        </w:tc>
        <w:tc>
          <w:tcPr>
            <w:tcW w:w="0" w:type="auto"/>
          </w:tcPr>
          <w:p w14:paraId="0789BDB5" w14:textId="77777777" w:rsidR="00BC0950" w:rsidRDefault="00BC0950" w:rsidP="00507A92">
            <w:pPr>
              <w:pStyle w:val="NoSpacing"/>
            </w:pPr>
            <w:r>
              <w:t>214 (22.3%)</w:t>
            </w:r>
          </w:p>
        </w:tc>
        <w:tc>
          <w:tcPr>
            <w:tcW w:w="0" w:type="auto"/>
          </w:tcPr>
          <w:p w14:paraId="4A3F7C14" w14:textId="77777777" w:rsidR="00BC0950" w:rsidRDefault="00BC0950" w:rsidP="00507A92">
            <w:pPr>
              <w:pStyle w:val="NoSpacing"/>
            </w:pPr>
            <w:r>
              <w:t>51 (26.0%)</w:t>
            </w:r>
          </w:p>
        </w:tc>
        <w:tc>
          <w:tcPr>
            <w:tcW w:w="0" w:type="auto"/>
          </w:tcPr>
          <w:p w14:paraId="0087F55E" w14:textId="77777777" w:rsidR="00BC0950" w:rsidRDefault="00BC0950" w:rsidP="00507A92">
            <w:pPr>
              <w:pStyle w:val="NoSpacing"/>
            </w:pPr>
            <w:r>
              <w:t>35 (21.2%)</w:t>
            </w:r>
          </w:p>
        </w:tc>
        <w:tc>
          <w:tcPr>
            <w:tcW w:w="0" w:type="auto"/>
          </w:tcPr>
          <w:p w14:paraId="7ADCD26A" w14:textId="77777777" w:rsidR="00BC0950" w:rsidRDefault="00BC0950" w:rsidP="00507A92">
            <w:pPr>
              <w:pStyle w:val="NoSpacing"/>
            </w:pPr>
            <w:r>
              <w:t>94 (23.9%)</w:t>
            </w:r>
          </w:p>
        </w:tc>
        <w:tc>
          <w:tcPr>
            <w:tcW w:w="0" w:type="auto"/>
          </w:tcPr>
          <w:p w14:paraId="0481205A" w14:textId="77777777" w:rsidR="00BC0950" w:rsidRDefault="00BC0950" w:rsidP="00507A92">
            <w:pPr>
              <w:pStyle w:val="NoSpacing"/>
            </w:pPr>
            <w:r>
              <w:t>34 (16.6%)</w:t>
            </w:r>
          </w:p>
        </w:tc>
      </w:tr>
      <w:tr w:rsidR="00BC0950" w14:paraId="381BC64B" w14:textId="77777777" w:rsidTr="00507A92">
        <w:tc>
          <w:tcPr>
            <w:tcW w:w="0" w:type="auto"/>
          </w:tcPr>
          <w:p w14:paraId="156571E6" w14:textId="77777777" w:rsidR="00BC0950" w:rsidRDefault="00BC0950" w:rsidP="00507A92">
            <w:pPr>
              <w:pStyle w:val="NoSpacing"/>
            </w:pPr>
            <w:r>
              <w:tab/>
              <w:t>Undergraduate</w:t>
            </w:r>
          </w:p>
        </w:tc>
        <w:tc>
          <w:tcPr>
            <w:tcW w:w="0" w:type="auto"/>
          </w:tcPr>
          <w:p w14:paraId="6FCF4CDC" w14:textId="77777777" w:rsidR="00BC0950" w:rsidRDefault="00BC0950" w:rsidP="00507A92">
            <w:pPr>
              <w:pStyle w:val="NoSpacing"/>
            </w:pPr>
            <w:r>
              <w:t>258 (26.9%)</w:t>
            </w:r>
          </w:p>
        </w:tc>
        <w:tc>
          <w:tcPr>
            <w:tcW w:w="0" w:type="auto"/>
          </w:tcPr>
          <w:p w14:paraId="7EC4789F" w14:textId="77777777" w:rsidR="00BC0950" w:rsidRDefault="00BC0950" w:rsidP="00507A92">
            <w:pPr>
              <w:pStyle w:val="NoSpacing"/>
            </w:pPr>
            <w:r>
              <w:t>40 (20.4%)</w:t>
            </w:r>
          </w:p>
        </w:tc>
        <w:tc>
          <w:tcPr>
            <w:tcW w:w="0" w:type="auto"/>
          </w:tcPr>
          <w:p w14:paraId="525470C2" w14:textId="77777777" w:rsidR="00BC0950" w:rsidRDefault="00BC0950" w:rsidP="00507A92">
            <w:pPr>
              <w:pStyle w:val="NoSpacing"/>
            </w:pPr>
            <w:r>
              <w:t>62 (37.6%)</w:t>
            </w:r>
          </w:p>
        </w:tc>
        <w:tc>
          <w:tcPr>
            <w:tcW w:w="0" w:type="auto"/>
          </w:tcPr>
          <w:p w14:paraId="0C76AC34" w14:textId="77777777" w:rsidR="00BC0950" w:rsidRDefault="00BC0950" w:rsidP="00507A92">
            <w:pPr>
              <w:pStyle w:val="NoSpacing"/>
            </w:pPr>
            <w:r>
              <w:t>97 (24.6%)</w:t>
            </w:r>
          </w:p>
        </w:tc>
        <w:tc>
          <w:tcPr>
            <w:tcW w:w="0" w:type="auto"/>
          </w:tcPr>
          <w:p w14:paraId="3FB905AE" w14:textId="77777777" w:rsidR="00BC0950" w:rsidRDefault="00BC0950" w:rsidP="00507A92">
            <w:pPr>
              <w:pStyle w:val="NoSpacing"/>
            </w:pPr>
            <w:r>
              <w:t>59 (28.8%)</w:t>
            </w:r>
          </w:p>
        </w:tc>
      </w:tr>
      <w:tr w:rsidR="00BC0950" w14:paraId="60191503" w14:textId="77777777" w:rsidTr="00507A92">
        <w:tc>
          <w:tcPr>
            <w:tcW w:w="0" w:type="auto"/>
          </w:tcPr>
          <w:p w14:paraId="1C92FC2C" w14:textId="77777777" w:rsidR="00BC0950" w:rsidRDefault="00BC0950" w:rsidP="00507A92">
            <w:pPr>
              <w:pStyle w:val="NoSpacing"/>
            </w:pPr>
            <w:r>
              <w:tab/>
              <w:t>Postgraduate</w:t>
            </w:r>
          </w:p>
        </w:tc>
        <w:tc>
          <w:tcPr>
            <w:tcW w:w="0" w:type="auto"/>
          </w:tcPr>
          <w:p w14:paraId="4DE0DE0E" w14:textId="77777777" w:rsidR="00BC0950" w:rsidRDefault="00BC0950" w:rsidP="00507A92">
            <w:pPr>
              <w:pStyle w:val="NoSpacing"/>
            </w:pPr>
            <w:r>
              <w:t>123 (12.8%)</w:t>
            </w:r>
          </w:p>
        </w:tc>
        <w:tc>
          <w:tcPr>
            <w:tcW w:w="0" w:type="auto"/>
          </w:tcPr>
          <w:p w14:paraId="46B39029" w14:textId="77777777" w:rsidR="00BC0950" w:rsidRDefault="00BC0950" w:rsidP="00507A92">
            <w:pPr>
              <w:pStyle w:val="NoSpacing"/>
            </w:pPr>
            <w:r>
              <w:t>13 (6.6%)</w:t>
            </w:r>
          </w:p>
        </w:tc>
        <w:tc>
          <w:tcPr>
            <w:tcW w:w="0" w:type="auto"/>
          </w:tcPr>
          <w:p w14:paraId="71AE3CE6" w14:textId="77777777" w:rsidR="00BC0950" w:rsidRDefault="00BC0950" w:rsidP="00507A92">
            <w:pPr>
              <w:pStyle w:val="NoSpacing"/>
            </w:pPr>
            <w:r>
              <w:t>27 (16.4%)</w:t>
            </w:r>
          </w:p>
        </w:tc>
        <w:tc>
          <w:tcPr>
            <w:tcW w:w="0" w:type="auto"/>
          </w:tcPr>
          <w:p w14:paraId="446332C0" w14:textId="77777777" w:rsidR="00BC0950" w:rsidRDefault="00BC0950" w:rsidP="00507A92">
            <w:pPr>
              <w:pStyle w:val="NoSpacing"/>
            </w:pPr>
            <w:r>
              <w:t>51 (12.9%)</w:t>
            </w:r>
          </w:p>
        </w:tc>
        <w:tc>
          <w:tcPr>
            <w:tcW w:w="0" w:type="auto"/>
          </w:tcPr>
          <w:p w14:paraId="2C9EB882" w14:textId="77777777" w:rsidR="00BC0950" w:rsidRDefault="00BC0950" w:rsidP="00507A92">
            <w:pPr>
              <w:pStyle w:val="NoSpacing"/>
            </w:pPr>
            <w:r>
              <w:t>32 (15.6%)</w:t>
            </w:r>
          </w:p>
        </w:tc>
      </w:tr>
      <w:tr w:rsidR="00BC0950" w14:paraId="23C14A7C" w14:textId="77777777" w:rsidTr="00507A92">
        <w:tc>
          <w:tcPr>
            <w:tcW w:w="0" w:type="auto"/>
          </w:tcPr>
          <w:p w14:paraId="3D48005D" w14:textId="77777777" w:rsidR="00BC0950" w:rsidRDefault="00BC0950" w:rsidP="00507A92">
            <w:pPr>
              <w:pStyle w:val="NoSpacing"/>
            </w:pPr>
            <w:r>
              <w:tab/>
              <w:t>Missing data</w:t>
            </w:r>
          </w:p>
        </w:tc>
        <w:tc>
          <w:tcPr>
            <w:tcW w:w="0" w:type="auto"/>
          </w:tcPr>
          <w:p w14:paraId="0E42B552" w14:textId="77777777" w:rsidR="00BC0950" w:rsidRDefault="00BC0950" w:rsidP="00507A92">
            <w:pPr>
              <w:pStyle w:val="NoSpacing"/>
            </w:pPr>
            <w:r>
              <w:t>20 (2.1%)</w:t>
            </w:r>
          </w:p>
        </w:tc>
        <w:tc>
          <w:tcPr>
            <w:tcW w:w="0" w:type="auto"/>
          </w:tcPr>
          <w:p w14:paraId="3032D3D8" w14:textId="77777777" w:rsidR="00BC0950" w:rsidRDefault="00BC0950" w:rsidP="00507A92">
            <w:pPr>
              <w:pStyle w:val="NoSpacing"/>
            </w:pPr>
            <w:r>
              <w:t>8 (4.1%)</w:t>
            </w:r>
          </w:p>
        </w:tc>
        <w:tc>
          <w:tcPr>
            <w:tcW w:w="0" w:type="auto"/>
          </w:tcPr>
          <w:p w14:paraId="28F5E321" w14:textId="77777777" w:rsidR="00BC0950" w:rsidRDefault="00BC0950" w:rsidP="00507A92">
            <w:pPr>
              <w:pStyle w:val="NoSpacing"/>
            </w:pPr>
            <w:r>
              <w:t>1 (0.6%)</w:t>
            </w:r>
          </w:p>
        </w:tc>
        <w:tc>
          <w:tcPr>
            <w:tcW w:w="0" w:type="auto"/>
          </w:tcPr>
          <w:p w14:paraId="7C1744C6" w14:textId="77777777" w:rsidR="00BC0950" w:rsidRDefault="00BC0950" w:rsidP="00507A92">
            <w:pPr>
              <w:pStyle w:val="NoSpacing"/>
            </w:pPr>
            <w:r>
              <w:t>6 (1.5%)</w:t>
            </w:r>
          </w:p>
        </w:tc>
        <w:tc>
          <w:tcPr>
            <w:tcW w:w="0" w:type="auto"/>
          </w:tcPr>
          <w:p w14:paraId="23B64D54" w14:textId="77777777" w:rsidR="00BC0950" w:rsidRDefault="00BC0950" w:rsidP="00507A92">
            <w:pPr>
              <w:pStyle w:val="NoSpacing"/>
            </w:pPr>
            <w:r>
              <w:t>5 (2.4%)</w:t>
            </w:r>
          </w:p>
        </w:tc>
      </w:tr>
      <w:tr w:rsidR="00BC0950" w14:paraId="59DD0471" w14:textId="77777777" w:rsidTr="00507A92">
        <w:tc>
          <w:tcPr>
            <w:tcW w:w="0" w:type="auto"/>
          </w:tcPr>
          <w:p w14:paraId="49534F03" w14:textId="77777777" w:rsidR="00BC0950" w:rsidRDefault="00BC0950" w:rsidP="00507A92">
            <w:pPr>
              <w:pStyle w:val="NoSpacing"/>
            </w:pPr>
            <w:r>
              <w:t>Work status</w:t>
            </w:r>
          </w:p>
        </w:tc>
        <w:tc>
          <w:tcPr>
            <w:tcW w:w="0" w:type="auto"/>
          </w:tcPr>
          <w:p w14:paraId="1C0B095F" w14:textId="77777777" w:rsidR="00BC0950" w:rsidRDefault="00BC0950" w:rsidP="00507A92">
            <w:pPr>
              <w:pStyle w:val="NoSpacing"/>
            </w:pPr>
          </w:p>
        </w:tc>
        <w:tc>
          <w:tcPr>
            <w:tcW w:w="0" w:type="auto"/>
          </w:tcPr>
          <w:p w14:paraId="6E734ED6" w14:textId="77777777" w:rsidR="00BC0950" w:rsidRDefault="00BC0950" w:rsidP="00507A92">
            <w:pPr>
              <w:pStyle w:val="NoSpacing"/>
            </w:pPr>
          </w:p>
        </w:tc>
        <w:tc>
          <w:tcPr>
            <w:tcW w:w="0" w:type="auto"/>
          </w:tcPr>
          <w:p w14:paraId="58A452F7" w14:textId="77777777" w:rsidR="00BC0950" w:rsidRDefault="00BC0950" w:rsidP="00507A92">
            <w:pPr>
              <w:pStyle w:val="NoSpacing"/>
            </w:pPr>
          </w:p>
        </w:tc>
        <w:tc>
          <w:tcPr>
            <w:tcW w:w="0" w:type="auto"/>
          </w:tcPr>
          <w:p w14:paraId="330FA4E0" w14:textId="77777777" w:rsidR="00BC0950" w:rsidRDefault="00BC0950" w:rsidP="00507A92">
            <w:pPr>
              <w:pStyle w:val="NoSpacing"/>
            </w:pPr>
          </w:p>
        </w:tc>
        <w:tc>
          <w:tcPr>
            <w:tcW w:w="0" w:type="auto"/>
          </w:tcPr>
          <w:p w14:paraId="7A34E25D" w14:textId="77777777" w:rsidR="00BC0950" w:rsidRDefault="00BC0950" w:rsidP="00507A92">
            <w:pPr>
              <w:pStyle w:val="NoSpacing"/>
            </w:pPr>
          </w:p>
        </w:tc>
      </w:tr>
      <w:tr w:rsidR="00BC0950" w14:paraId="3B36B5E1" w14:textId="77777777" w:rsidTr="00507A92">
        <w:tc>
          <w:tcPr>
            <w:tcW w:w="0" w:type="auto"/>
          </w:tcPr>
          <w:p w14:paraId="0F004A3B" w14:textId="77777777" w:rsidR="00BC0950" w:rsidRDefault="00BC0950" w:rsidP="00507A92">
            <w:pPr>
              <w:pStyle w:val="NoSpacing"/>
            </w:pPr>
            <w:r>
              <w:tab/>
              <w:t>Employed</w:t>
            </w:r>
          </w:p>
        </w:tc>
        <w:tc>
          <w:tcPr>
            <w:tcW w:w="0" w:type="auto"/>
          </w:tcPr>
          <w:p w14:paraId="192C717C" w14:textId="77777777" w:rsidR="00BC0950" w:rsidRDefault="00BC0950" w:rsidP="00507A92">
            <w:pPr>
              <w:pStyle w:val="NoSpacing"/>
            </w:pPr>
            <w:r>
              <w:t>527 (54.9%)</w:t>
            </w:r>
          </w:p>
        </w:tc>
        <w:tc>
          <w:tcPr>
            <w:tcW w:w="0" w:type="auto"/>
          </w:tcPr>
          <w:p w14:paraId="590A506D" w14:textId="77777777" w:rsidR="00BC0950" w:rsidRDefault="00BC0950" w:rsidP="00507A92">
            <w:pPr>
              <w:pStyle w:val="NoSpacing"/>
            </w:pPr>
            <w:r>
              <w:t>116 (59.2%)</w:t>
            </w:r>
          </w:p>
        </w:tc>
        <w:tc>
          <w:tcPr>
            <w:tcW w:w="0" w:type="auto"/>
          </w:tcPr>
          <w:p w14:paraId="7BBC5024" w14:textId="77777777" w:rsidR="00BC0950" w:rsidRDefault="00BC0950" w:rsidP="00507A92">
            <w:pPr>
              <w:pStyle w:val="NoSpacing"/>
            </w:pPr>
            <w:r>
              <w:t>92 (55.8%)</w:t>
            </w:r>
          </w:p>
        </w:tc>
        <w:tc>
          <w:tcPr>
            <w:tcW w:w="0" w:type="auto"/>
          </w:tcPr>
          <w:p w14:paraId="025B8086" w14:textId="77777777" w:rsidR="00BC0950" w:rsidRDefault="00BC0950" w:rsidP="00507A92">
            <w:pPr>
              <w:pStyle w:val="NoSpacing"/>
            </w:pPr>
            <w:r>
              <w:t>211 (53.6%)</w:t>
            </w:r>
          </w:p>
        </w:tc>
        <w:tc>
          <w:tcPr>
            <w:tcW w:w="0" w:type="auto"/>
          </w:tcPr>
          <w:p w14:paraId="0B5E4982" w14:textId="77777777" w:rsidR="00BC0950" w:rsidRDefault="00BC0950" w:rsidP="00507A92">
            <w:pPr>
              <w:pStyle w:val="NoSpacing"/>
            </w:pPr>
            <w:r>
              <w:t>108 (52.7%)</w:t>
            </w:r>
          </w:p>
        </w:tc>
      </w:tr>
      <w:tr w:rsidR="00BC0950" w14:paraId="15018C41" w14:textId="77777777" w:rsidTr="00507A92">
        <w:tc>
          <w:tcPr>
            <w:tcW w:w="0" w:type="auto"/>
          </w:tcPr>
          <w:p w14:paraId="3CEC454E" w14:textId="77777777" w:rsidR="00BC0950" w:rsidRDefault="00BC0950" w:rsidP="00507A92">
            <w:pPr>
              <w:pStyle w:val="NoSpacing"/>
            </w:pPr>
            <w:r>
              <w:tab/>
              <w:t>Unemployed/sick leave</w:t>
            </w:r>
          </w:p>
        </w:tc>
        <w:tc>
          <w:tcPr>
            <w:tcW w:w="0" w:type="auto"/>
          </w:tcPr>
          <w:p w14:paraId="4F2BA451" w14:textId="77777777" w:rsidR="00BC0950" w:rsidRDefault="00BC0950" w:rsidP="00507A92">
            <w:pPr>
              <w:pStyle w:val="NoSpacing"/>
            </w:pPr>
            <w:r>
              <w:t>65 (6.8%)</w:t>
            </w:r>
          </w:p>
        </w:tc>
        <w:tc>
          <w:tcPr>
            <w:tcW w:w="0" w:type="auto"/>
          </w:tcPr>
          <w:p w14:paraId="584B8F3E" w14:textId="77777777" w:rsidR="00BC0950" w:rsidRDefault="00BC0950" w:rsidP="00507A92">
            <w:pPr>
              <w:pStyle w:val="NoSpacing"/>
            </w:pPr>
            <w:r>
              <w:t>22 (11.2%)</w:t>
            </w:r>
          </w:p>
        </w:tc>
        <w:tc>
          <w:tcPr>
            <w:tcW w:w="0" w:type="auto"/>
          </w:tcPr>
          <w:p w14:paraId="65C312DD" w14:textId="77777777" w:rsidR="00BC0950" w:rsidRDefault="00BC0950" w:rsidP="00507A92">
            <w:pPr>
              <w:pStyle w:val="NoSpacing"/>
            </w:pPr>
            <w:r>
              <w:t>8 (4.8%)</w:t>
            </w:r>
          </w:p>
        </w:tc>
        <w:tc>
          <w:tcPr>
            <w:tcW w:w="0" w:type="auto"/>
          </w:tcPr>
          <w:p w14:paraId="07B7A438" w14:textId="77777777" w:rsidR="00BC0950" w:rsidRDefault="00BC0950" w:rsidP="00507A92">
            <w:pPr>
              <w:pStyle w:val="NoSpacing"/>
            </w:pPr>
            <w:r>
              <w:t>22 (5.6%)</w:t>
            </w:r>
          </w:p>
        </w:tc>
        <w:tc>
          <w:tcPr>
            <w:tcW w:w="0" w:type="auto"/>
          </w:tcPr>
          <w:p w14:paraId="2B23BC75" w14:textId="77777777" w:rsidR="00BC0950" w:rsidRDefault="00BC0950" w:rsidP="00507A92">
            <w:pPr>
              <w:pStyle w:val="NoSpacing"/>
            </w:pPr>
            <w:r>
              <w:t>13 (6.3%)</w:t>
            </w:r>
          </w:p>
        </w:tc>
      </w:tr>
      <w:tr w:rsidR="00BC0950" w14:paraId="0045F95B" w14:textId="77777777" w:rsidTr="00507A92">
        <w:tc>
          <w:tcPr>
            <w:tcW w:w="0" w:type="auto"/>
          </w:tcPr>
          <w:p w14:paraId="776E527B" w14:textId="77777777" w:rsidR="00BC0950" w:rsidRDefault="00BC0950" w:rsidP="00507A92">
            <w:pPr>
              <w:pStyle w:val="NoSpacing"/>
            </w:pPr>
            <w:r>
              <w:tab/>
              <w:t>Student/homemaker</w:t>
            </w:r>
          </w:p>
        </w:tc>
        <w:tc>
          <w:tcPr>
            <w:tcW w:w="0" w:type="auto"/>
          </w:tcPr>
          <w:p w14:paraId="5E5F33B7" w14:textId="77777777" w:rsidR="00BC0950" w:rsidRDefault="00BC0950" w:rsidP="00507A92">
            <w:pPr>
              <w:pStyle w:val="NoSpacing"/>
            </w:pPr>
            <w:r>
              <w:t>60 (6.3%)</w:t>
            </w:r>
          </w:p>
        </w:tc>
        <w:tc>
          <w:tcPr>
            <w:tcW w:w="0" w:type="auto"/>
          </w:tcPr>
          <w:p w14:paraId="054FD737" w14:textId="77777777" w:rsidR="00BC0950" w:rsidRDefault="00BC0950" w:rsidP="00507A92">
            <w:pPr>
              <w:pStyle w:val="NoSpacing"/>
            </w:pPr>
            <w:r>
              <w:t>11 (5.6%)</w:t>
            </w:r>
          </w:p>
        </w:tc>
        <w:tc>
          <w:tcPr>
            <w:tcW w:w="0" w:type="auto"/>
          </w:tcPr>
          <w:p w14:paraId="63000363" w14:textId="77777777" w:rsidR="00BC0950" w:rsidRDefault="00BC0950" w:rsidP="00507A92">
            <w:pPr>
              <w:pStyle w:val="NoSpacing"/>
            </w:pPr>
            <w:r>
              <w:t>14 (8.5%)</w:t>
            </w:r>
          </w:p>
        </w:tc>
        <w:tc>
          <w:tcPr>
            <w:tcW w:w="0" w:type="auto"/>
          </w:tcPr>
          <w:p w14:paraId="128EE5D4" w14:textId="77777777" w:rsidR="00BC0950" w:rsidRDefault="00BC0950" w:rsidP="00507A92">
            <w:pPr>
              <w:pStyle w:val="NoSpacing"/>
            </w:pPr>
            <w:r>
              <w:t>20 (5.1%)</w:t>
            </w:r>
          </w:p>
        </w:tc>
        <w:tc>
          <w:tcPr>
            <w:tcW w:w="0" w:type="auto"/>
          </w:tcPr>
          <w:p w14:paraId="0F13A8F8" w14:textId="77777777" w:rsidR="00BC0950" w:rsidRDefault="00BC0950" w:rsidP="00507A92">
            <w:pPr>
              <w:pStyle w:val="NoSpacing"/>
            </w:pPr>
            <w:r>
              <w:t>15 (7.3%)</w:t>
            </w:r>
          </w:p>
        </w:tc>
      </w:tr>
      <w:tr w:rsidR="00BC0950" w14:paraId="15AD2BDE" w14:textId="77777777" w:rsidTr="00507A92">
        <w:tc>
          <w:tcPr>
            <w:tcW w:w="0" w:type="auto"/>
          </w:tcPr>
          <w:p w14:paraId="177BC192" w14:textId="77777777" w:rsidR="00BC0950" w:rsidRDefault="00BC0950" w:rsidP="00507A92">
            <w:pPr>
              <w:pStyle w:val="NoSpacing"/>
            </w:pPr>
            <w:r>
              <w:tab/>
              <w:t>Retired</w:t>
            </w:r>
          </w:p>
        </w:tc>
        <w:tc>
          <w:tcPr>
            <w:tcW w:w="0" w:type="auto"/>
          </w:tcPr>
          <w:p w14:paraId="01BDC9A6" w14:textId="77777777" w:rsidR="00BC0950" w:rsidRDefault="00BC0950" w:rsidP="00507A92">
            <w:pPr>
              <w:pStyle w:val="NoSpacing"/>
            </w:pPr>
            <w:r>
              <w:t>280 (29.2%)</w:t>
            </w:r>
          </w:p>
        </w:tc>
        <w:tc>
          <w:tcPr>
            <w:tcW w:w="0" w:type="auto"/>
          </w:tcPr>
          <w:p w14:paraId="68ED8B59" w14:textId="77777777" w:rsidR="00BC0950" w:rsidRDefault="00BC0950" w:rsidP="00507A92">
            <w:pPr>
              <w:pStyle w:val="NoSpacing"/>
            </w:pPr>
            <w:r>
              <w:t>43 (21.9%)</w:t>
            </w:r>
          </w:p>
        </w:tc>
        <w:tc>
          <w:tcPr>
            <w:tcW w:w="0" w:type="auto"/>
          </w:tcPr>
          <w:p w14:paraId="7C07C182" w14:textId="77777777" w:rsidR="00BC0950" w:rsidRDefault="00BC0950" w:rsidP="00507A92">
            <w:pPr>
              <w:pStyle w:val="NoSpacing"/>
            </w:pPr>
            <w:r>
              <w:t>50 (30.3%)</w:t>
            </w:r>
          </w:p>
        </w:tc>
        <w:tc>
          <w:tcPr>
            <w:tcW w:w="0" w:type="auto"/>
          </w:tcPr>
          <w:p w14:paraId="50979C06" w14:textId="77777777" w:rsidR="00BC0950" w:rsidRDefault="00BC0950" w:rsidP="00507A92">
            <w:pPr>
              <w:pStyle w:val="NoSpacing"/>
            </w:pPr>
            <w:r>
              <w:t>125 (31.7%)</w:t>
            </w:r>
          </w:p>
        </w:tc>
        <w:tc>
          <w:tcPr>
            <w:tcW w:w="0" w:type="auto"/>
          </w:tcPr>
          <w:p w14:paraId="63497F80" w14:textId="77777777" w:rsidR="00BC0950" w:rsidRDefault="00BC0950" w:rsidP="00507A92">
            <w:pPr>
              <w:pStyle w:val="NoSpacing"/>
            </w:pPr>
            <w:r>
              <w:t>62 (30.2%)</w:t>
            </w:r>
          </w:p>
        </w:tc>
      </w:tr>
      <w:tr w:rsidR="00BC0950" w:rsidRPr="00183876" w14:paraId="160202A9" w14:textId="77777777" w:rsidTr="00507A92">
        <w:tc>
          <w:tcPr>
            <w:tcW w:w="0" w:type="auto"/>
          </w:tcPr>
          <w:p w14:paraId="2F789960" w14:textId="77777777" w:rsidR="00BC0950" w:rsidRPr="002D5758" w:rsidRDefault="00BC0950" w:rsidP="00507A92">
            <w:pPr>
              <w:pStyle w:val="NoSpacing"/>
            </w:pPr>
            <w:r>
              <w:tab/>
              <w:t>Missing data</w:t>
            </w:r>
          </w:p>
        </w:tc>
        <w:tc>
          <w:tcPr>
            <w:tcW w:w="0" w:type="auto"/>
          </w:tcPr>
          <w:p w14:paraId="40A0B46B" w14:textId="77777777" w:rsidR="00BC0950" w:rsidRPr="002D5758" w:rsidRDefault="00BC0950" w:rsidP="00507A92">
            <w:pPr>
              <w:pStyle w:val="NoSpacing"/>
            </w:pPr>
            <w:r>
              <w:t>28 (2.9%)</w:t>
            </w:r>
          </w:p>
        </w:tc>
        <w:tc>
          <w:tcPr>
            <w:tcW w:w="0" w:type="auto"/>
          </w:tcPr>
          <w:p w14:paraId="70363DB7" w14:textId="77777777" w:rsidR="00BC0950" w:rsidRPr="002D5758" w:rsidRDefault="00BC0950" w:rsidP="00507A92">
            <w:pPr>
              <w:pStyle w:val="NoSpacing"/>
            </w:pPr>
            <w:r>
              <w:t>4 (2.0%)</w:t>
            </w:r>
          </w:p>
        </w:tc>
        <w:tc>
          <w:tcPr>
            <w:tcW w:w="0" w:type="auto"/>
          </w:tcPr>
          <w:p w14:paraId="6BEA954E" w14:textId="77777777" w:rsidR="00BC0950" w:rsidRPr="002D5758" w:rsidRDefault="00BC0950" w:rsidP="00507A92">
            <w:pPr>
              <w:pStyle w:val="NoSpacing"/>
            </w:pPr>
            <w:r>
              <w:t>1 (0.6%)</w:t>
            </w:r>
          </w:p>
        </w:tc>
        <w:tc>
          <w:tcPr>
            <w:tcW w:w="0" w:type="auto"/>
          </w:tcPr>
          <w:p w14:paraId="216ECD0B" w14:textId="77777777" w:rsidR="00BC0950" w:rsidRPr="002D5758" w:rsidRDefault="00BC0950" w:rsidP="00507A92">
            <w:pPr>
              <w:pStyle w:val="NoSpacing"/>
            </w:pPr>
            <w:r>
              <w:t>16 (4.1%)</w:t>
            </w:r>
          </w:p>
        </w:tc>
        <w:tc>
          <w:tcPr>
            <w:tcW w:w="0" w:type="auto"/>
          </w:tcPr>
          <w:p w14:paraId="32BCF4A4" w14:textId="77777777" w:rsidR="00BC0950" w:rsidRPr="002D5758" w:rsidRDefault="00BC0950" w:rsidP="00507A92">
            <w:pPr>
              <w:pStyle w:val="NoSpacing"/>
            </w:pPr>
            <w:r>
              <w:t>7 (3.4%)</w:t>
            </w:r>
          </w:p>
        </w:tc>
      </w:tr>
      <w:tr w:rsidR="00BC0950" w14:paraId="60EB8E55" w14:textId="77777777" w:rsidTr="00507A92">
        <w:tc>
          <w:tcPr>
            <w:tcW w:w="0" w:type="auto"/>
          </w:tcPr>
          <w:p w14:paraId="662CC105" w14:textId="77777777" w:rsidR="00BC0950" w:rsidRDefault="00BC0950" w:rsidP="00507A92">
            <w:pPr>
              <w:pStyle w:val="NoSpacing"/>
            </w:pPr>
            <w:r>
              <w:t>Healthcare Sector</w:t>
            </w:r>
          </w:p>
        </w:tc>
        <w:tc>
          <w:tcPr>
            <w:tcW w:w="0" w:type="auto"/>
          </w:tcPr>
          <w:p w14:paraId="5DF5BC6C" w14:textId="77777777" w:rsidR="00BC0950" w:rsidRDefault="00BC0950" w:rsidP="00507A92">
            <w:pPr>
              <w:pStyle w:val="NoSpacing"/>
            </w:pPr>
          </w:p>
        </w:tc>
        <w:tc>
          <w:tcPr>
            <w:tcW w:w="0" w:type="auto"/>
          </w:tcPr>
          <w:p w14:paraId="374A72BF" w14:textId="77777777" w:rsidR="00BC0950" w:rsidRDefault="00BC0950" w:rsidP="00507A92">
            <w:pPr>
              <w:pStyle w:val="NoSpacing"/>
            </w:pPr>
          </w:p>
        </w:tc>
        <w:tc>
          <w:tcPr>
            <w:tcW w:w="0" w:type="auto"/>
          </w:tcPr>
          <w:p w14:paraId="3E20D85D" w14:textId="77777777" w:rsidR="00BC0950" w:rsidRDefault="00BC0950" w:rsidP="00507A92">
            <w:pPr>
              <w:pStyle w:val="NoSpacing"/>
            </w:pPr>
          </w:p>
        </w:tc>
        <w:tc>
          <w:tcPr>
            <w:tcW w:w="0" w:type="auto"/>
          </w:tcPr>
          <w:p w14:paraId="0D192C7F" w14:textId="77777777" w:rsidR="00BC0950" w:rsidRDefault="00BC0950" w:rsidP="00507A92">
            <w:pPr>
              <w:pStyle w:val="NoSpacing"/>
            </w:pPr>
          </w:p>
        </w:tc>
        <w:tc>
          <w:tcPr>
            <w:tcW w:w="0" w:type="auto"/>
          </w:tcPr>
          <w:p w14:paraId="19CCCD45" w14:textId="77777777" w:rsidR="00BC0950" w:rsidRDefault="00BC0950" w:rsidP="00507A92">
            <w:pPr>
              <w:pStyle w:val="NoSpacing"/>
            </w:pPr>
          </w:p>
        </w:tc>
      </w:tr>
      <w:tr w:rsidR="00BC0950" w14:paraId="3C30E18D" w14:textId="77777777" w:rsidTr="00507A92">
        <w:tc>
          <w:tcPr>
            <w:tcW w:w="0" w:type="auto"/>
          </w:tcPr>
          <w:p w14:paraId="47C02A8B" w14:textId="77777777" w:rsidR="00BC0950" w:rsidRDefault="00BC0950" w:rsidP="00507A92">
            <w:pPr>
              <w:pStyle w:val="NoSpacing"/>
            </w:pPr>
            <w:r>
              <w:tab/>
              <w:t>Private Sector</w:t>
            </w:r>
          </w:p>
        </w:tc>
        <w:tc>
          <w:tcPr>
            <w:tcW w:w="0" w:type="auto"/>
          </w:tcPr>
          <w:p w14:paraId="322D0444" w14:textId="77777777" w:rsidR="00BC0950" w:rsidRDefault="00BC0950" w:rsidP="00507A92">
            <w:pPr>
              <w:pStyle w:val="NoSpacing"/>
            </w:pPr>
            <w:r>
              <w:t>742 (77.3%)</w:t>
            </w:r>
          </w:p>
        </w:tc>
        <w:tc>
          <w:tcPr>
            <w:tcW w:w="0" w:type="auto"/>
          </w:tcPr>
          <w:p w14:paraId="04098284" w14:textId="77777777" w:rsidR="00BC0950" w:rsidRDefault="00BC0950" w:rsidP="00507A92">
            <w:pPr>
              <w:pStyle w:val="NoSpacing"/>
            </w:pPr>
            <w:r>
              <w:t>0</w:t>
            </w:r>
          </w:p>
        </w:tc>
        <w:tc>
          <w:tcPr>
            <w:tcW w:w="0" w:type="auto"/>
          </w:tcPr>
          <w:p w14:paraId="7BE0C54F" w14:textId="77777777" w:rsidR="00BC0950" w:rsidRDefault="00BC0950" w:rsidP="00507A92">
            <w:pPr>
              <w:pStyle w:val="NoSpacing"/>
            </w:pPr>
            <w:r>
              <w:t>165 (100%)</w:t>
            </w:r>
          </w:p>
        </w:tc>
        <w:tc>
          <w:tcPr>
            <w:tcW w:w="0" w:type="auto"/>
          </w:tcPr>
          <w:p w14:paraId="78FE7336" w14:textId="77777777" w:rsidR="00BC0950" w:rsidRDefault="00BC0950" w:rsidP="00507A92">
            <w:pPr>
              <w:pStyle w:val="NoSpacing"/>
            </w:pPr>
            <w:r>
              <w:t>389 (98.7%)</w:t>
            </w:r>
          </w:p>
        </w:tc>
        <w:tc>
          <w:tcPr>
            <w:tcW w:w="0" w:type="auto"/>
          </w:tcPr>
          <w:p w14:paraId="5496E736" w14:textId="77777777" w:rsidR="00BC0950" w:rsidRDefault="00BC0950" w:rsidP="00507A92">
            <w:pPr>
              <w:pStyle w:val="NoSpacing"/>
            </w:pPr>
            <w:r>
              <w:t>188 (91.7%)</w:t>
            </w:r>
          </w:p>
        </w:tc>
      </w:tr>
      <w:tr w:rsidR="00BC0950" w14:paraId="45AA0C84" w14:textId="77777777" w:rsidTr="00507A92">
        <w:tc>
          <w:tcPr>
            <w:tcW w:w="0" w:type="auto"/>
          </w:tcPr>
          <w:p w14:paraId="3A49BD62" w14:textId="77777777" w:rsidR="00BC0950" w:rsidRDefault="00BC0950" w:rsidP="00507A92">
            <w:pPr>
              <w:pStyle w:val="NoSpacing"/>
            </w:pPr>
            <w:r>
              <w:lastRenderedPageBreak/>
              <w:tab/>
              <w:t>NHS</w:t>
            </w:r>
          </w:p>
        </w:tc>
        <w:tc>
          <w:tcPr>
            <w:tcW w:w="0" w:type="auto"/>
          </w:tcPr>
          <w:p w14:paraId="39F3264E" w14:textId="77777777" w:rsidR="00BC0950" w:rsidRDefault="00BC0950" w:rsidP="00507A92">
            <w:pPr>
              <w:pStyle w:val="NoSpacing"/>
            </w:pPr>
            <w:r>
              <w:t>218 (22.7%)</w:t>
            </w:r>
          </w:p>
        </w:tc>
        <w:tc>
          <w:tcPr>
            <w:tcW w:w="0" w:type="auto"/>
          </w:tcPr>
          <w:p w14:paraId="40113FAC" w14:textId="77777777" w:rsidR="00BC0950" w:rsidRDefault="00BC0950" w:rsidP="00507A92">
            <w:pPr>
              <w:pStyle w:val="NoSpacing"/>
            </w:pPr>
            <w:r>
              <w:t>196 (100%)</w:t>
            </w:r>
          </w:p>
        </w:tc>
        <w:tc>
          <w:tcPr>
            <w:tcW w:w="0" w:type="auto"/>
          </w:tcPr>
          <w:p w14:paraId="70C4924E" w14:textId="77777777" w:rsidR="00BC0950" w:rsidRDefault="00BC0950" w:rsidP="00507A92">
            <w:pPr>
              <w:pStyle w:val="NoSpacing"/>
            </w:pPr>
            <w:r>
              <w:t>0</w:t>
            </w:r>
          </w:p>
        </w:tc>
        <w:tc>
          <w:tcPr>
            <w:tcW w:w="0" w:type="auto"/>
          </w:tcPr>
          <w:p w14:paraId="402DBEF6" w14:textId="77777777" w:rsidR="00BC0950" w:rsidRDefault="00BC0950" w:rsidP="00507A92">
            <w:pPr>
              <w:pStyle w:val="NoSpacing"/>
            </w:pPr>
            <w:r>
              <w:t>5 (1.3%)</w:t>
            </w:r>
          </w:p>
        </w:tc>
        <w:tc>
          <w:tcPr>
            <w:tcW w:w="0" w:type="auto"/>
          </w:tcPr>
          <w:p w14:paraId="3603AA53" w14:textId="77777777" w:rsidR="00BC0950" w:rsidRDefault="00BC0950" w:rsidP="00507A92">
            <w:pPr>
              <w:pStyle w:val="NoSpacing"/>
            </w:pPr>
            <w:r>
              <w:t>17 (8.3%)</w:t>
            </w:r>
          </w:p>
        </w:tc>
      </w:tr>
      <w:tr w:rsidR="00BC0950" w:rsidRPr="00183876" w14:paraId="3696FFCC" w14:textId="77777777" w:rsidTr="00507A92">
        <w:tc>
          <w:tcPr>
            <w:tcW w:w="0" w:type="auto"/>
          </w:tcPr>
          <w:p w14:paraId="27AF000B" w14:textId="77777777" w:rsidR="00BC0950" w:rsidRPr="002D5758" w:rsidRDefault="00BC0950" w:rsidP="00507A92">
            <w:pPr>
              <w:pStyle w:val="NoSpacing"/>
            </w:pPr>
            <w:r w:rsidRPr="002D5758">
              <w:t>Duration of back pain</w:t>
            </w:r>
          </w:p>
        </w:tc>
        <w:tc>
          <w:tcPr>
            <w:tcW w:w="0" w:type="auto"/>
          </w:tcPr>
          <w:p w14:paraId="7FA16289" w14:textId="77777777" w:rsidR="00BC0950" w:rsidRPr="002D5758" w:rsidRDefault="00BC0950" w:rsidP="00507A92">
            <w:pPr>
              <w:pStyle w:val="NoSpacing"/>
            </w:pPr>
          </w:p>
        </w:tc>
        <w:tc>
          <w:tcPr>
            <w:tcW w:w="0" w:type="auto"/>
          </w:tcPr>
          <w:p w14:paraId="6D4E18FA" w14:textId="77777777" w:rsidR="00BC0950" w:rsidRPr="002D5758" w:rsidRDefault="00BC0950" w:rsidP="00507A92">
            <w:pPr>
              <w:pStyle w:val="NoSpacing"/>
            </w:pPr>
          </w:p>
        </w:tc>
        <w:tc>
          <w:tcPr>
            <w:tcW w:w="0" w:type="auto"/>
          </w:tcPr>
          <w:p w14:paraId="68212EB9" w14:textId="77777777" w:rsidR="00BC0950" w:rsidRPr="002D5758" w:rsidRDefault="00BC0950" w:rsidP="00507A92">
            <w:pPr>
              <w:pStyle w:val="NoSpacing"/>
            </w:pPr>
          </w:p>
        </w:tc>
        <w:tc>
          <w:tcPr>
            <w:tcW w:w="0" w:type="auto"/>
          </w:tcPr>
          <w:p w14:paraId="5C0A4B71" w14:textId="77777777" w:rsidR="00BC0950" w:rsidRPr="002D5758" w:rsidRDefault="00BC0950" w:rsidP="00507A92">
            <w:pPr>
              <w:pStyle w:val="NoSpacing"/>
            </w:pPr>
          </w:p>
        </w:tc>
        <w:tc>
          <w:tcPr>
            <w:tcW w:w="0" w:type="auto"/>
          </w:tcPr>
          <w:p w14:paraId="11FD1EE5" w14:textId="77777777" w:rsidR="00BC0950" w:rsidRPr="002D5758" w:rsidRDefault="00BC0950" w:rsidP="00507A92">
            <w:pPr>
              <w:pStyle w:val="NoSpacing"/>
            </w:pPr>
          </w:p>
        </w:tc>
      </w:tr>
      <w:tr w:rsidR="00BC0950" w:rsidRPr="00183876" w14:paraId="4E80AEBF" w14:textId="77777777" w:rsidTr="00507A92">
        <w:tc>
          <w:tcPr>
            <w:tcW w:w="0" w:type="auto"/>
          </w:tcPr>
          <w:p w14:paraId="59E00F52" w14:textId="77777777" w:rsidR="00BC0950" w:rsidRPr="002D5758" w:rsidRDefault="00BC0950" w:rsidP="00507A92">
            <w:pPr>
              <w:pStyle w:val="NoSpacing"/>
            </w:pPr>
            <w:r>
              <w:tab/>
            </w:r>
            <w:r w:rsidRPr="002D5758">
              <w:t>Up to 1 week</w:t>
            </w:r>
          </w:p>
        </w:tc>
        <w:tc>
          <w:tcPr>
            <w:tcW w:w="0" w:type="auto"/>
          </w:tcPr>
          <w:p w14:paraId="03B8B14E" w14:textId="77777777" w:rsidR="00BC0950" w:rsidRPr="002D5758" w:rsidRDefault="00BC0950" w:rsidP="00507A92">
            <w:pPr>
              <w:pStyle w:val="NoSpacing"/>
            </w:pPr>
            <w:r w:rsidRPr="002D5758">
              <w:t>127 (1</w:t>
            </w:r>
            <w:r>
              <w:t>3</w:t>
            </w:r>
            <w:r w:rsidRPr="002D5758">
              <w:t>.2%)</w:t>
            </w:r>
          </w:p>
        </w:tc>
        <w:tc>
          <w:tcPr>
            <w:tcW w:w="0" w:type="auto"/>
          </w:tcPr>
          <w:p w14:paraId="5F76C21E" w14:textId="77777777" w:rsidR="00BC0950" w:rsidRPr="002D5758" w:rsidRDefault="00BC0950" w:rsidP="00507A92">
            <w:pPr>
              <w:pStyle w:val="NoSpacing"/>
            </w:pPr>
            <w:r w:rsidRPr="002D5758">
              <w:t>8 (4.</w:t>
            </w:r>
            <w:r>
              <w:t>1</w:t>
            </w:r>
            <w:r w:rsidRPr="002D5758">
              <w:t>%)</w:t>
            </w:r>
          </w:p>
        </w:tc>
        <w:tc>
          <w:tcPr>
            <w:tcW w:w="0" w:type="auto"/>
          </w:tcPr>
          <w:p w14:paraId="6A01EF5C" w14:textId="77777777" w:rsidR="00BC0950" w:rsidRPr="002D5758" w:rsidRDefault="00BC0950" w:rsidP="00507A92">
            <w:pPr>
              <w:pStyle w:val="NoSpacing"/>
            </w:pPr>
            <w:r w:rsidRPr="002D5758">
              <w:t>37 (22.</w:t>
            </w:r>
            <w:r>
              <w:t>4</w:t>
            </w:r>
            <w:r w:rsidRPr="002D5758">
              <w:t>%)</w:t>
            </w:r>
          </w:p>
        </w:tc>
        <w:tc>
          <w:tcPr>
            <w:tcW w:w="0" w:type="auto"/>
          </w:tcPr>
          <w:p w14:paraId="67487CED" w14:textId="77777777" w:rsidR="00BC0950" w:rsidRPr="002D5758" w:rsidRDefault="00BC0950" w:rsidP="00507A92">
            <w:pPr>
              <w:pStyle w:val="NoSpacing"/>
            </w:pPr>
            <w:r w:rsidRPr="002D5758">
              <w:t>67 (17.</w:t>
            </w:r>
            <w:r>
              <w:t>0</w:t>
            </w:r>
            <w:proofErr w:type="gramStart"/>
            <w:r w:rsidRPr="002D5758">
              <w:t xml:space="preserve">%)   </w:t>
            </w:r>
            <w:proofErr w:type="gramEnd"/>
            <w:r w:rsidRPr="002D5758">
              <w:t xml:space="preserve">    </w:t>
            </w:r>
          </w:p>
        </w:tc>
        <w:tc>
          <w:tcPr>
            <w:tcW w:w="0" w:type="auto"/>
          </w:tcPr>
          <w:p w14:paraId="62ED8E80" w14:textId="77777777" w:rsidR="00BC0950" w:rsidRPr="002D5758" w:rsidRDefault="00BC0950" w:rsidP="00507A92">
            <w:pPr>
              <w:pStyle w:val="NoSpacing"/>
            </w:pPr>
            <w:r w:rsidRPr="002D5758">
              <w:t>15 (7.</w:t>
            </w:r>
            <w:r>
              <w:t>3</w:t>
            </w:r>
            <w:r w:rsidRPr="002D5758">
              <w:t>%)</w:t>
            </w:r>
          </w:p>
        </w:tc>
      </w:tr>
      <w:tr w:rsidR="00BC0950" w:rsidRPr="00183876" w14:paraId="4C42F1B4" w14:textId="77777777" w:rsidTr="00507A92">
        <w:tc>
          <w:tcPr>
            <w:tcW w:w="0" w:type="auto"/>
          </w:tcPr>
          <w:p w14:paraId="39BCC4F5" w14:textId="77777777" w:rsidR="00BC0950" w:rsidRPr="002D5758" w:rsidRDefault="00BC0950" w:rsidP="00507A92">
            <w:pPr>
              <w:pStyle w:val="NoSpacing"/>
            </w:pPr>
            <w:r>
              <w:tab/>
            </w:r>
            <w:r w:rsidRPr="002D5758">
              <w:t>1 week – 1 month</w:t>
            </w:r>
          </w:p>
        </w:tc>
        <w:tc>
          <w:tcPr>
            <w:tcW w:w="0" w:type="auto"/>
          </w:tcPr>
          <w:p w14:paraId="19DCB03E" w14:textId="77777777" w:rsidR="00BC0950" w:rsidRPr="002D5758" w:rsidRDefault="00BC0950" w:rsidP="00507A92">
            <w:pPr>
              <w:pStyle w:val="NoSpacing"/>
            </w:pPr>
            <w:r w:rsidRPr="002D5758">
              <w:t>257 (</w:t>
            </w:r>
            <w:r>
              <w:t>26</w:t>
            </w:r>
            <w:r w:rsidRPr="002D5758">
              <w:t>.8%)</w:t>
            </w:r>
          </w:p>
        </w:tc>
        <w:tc>
          <w:tcPr>
            <w:tcW w:w="0" w:type="auto"/>
          </w:tcPr>
          <w:p w14:paraId="4261E7B5" w14:textId="77777777" w:rsidR="00BC0950" w:rsidRPr="002D5758" w:rsidRDefault="00BC0950" w:rsidP="00507A92">
            <w:pPr>
              <w:pStyle w:val="NoSpacing"/>
            </w:pPr>
            <w:r w:rsidRPr="002D5758">
              <w:t>20 (10.</w:t>
            </w:r>
            <w:r>
              <w:t>2</w:t>
            </w:r>
            <w:r w:rsidRPr="002D5758">
              <w:t>%)</w:t>
            </w:r>
          </w:p>
        </w:tc>
        <w:tc>
          <w:tcPr>
            <w:tcW w:w="0" w:type="auto"/>
          </w:tcPr>
          <w:p w14:paraId="4102D289" w14:textId="77777777" w:rsidR="00BC0950" w:rsidRPr="002D5758" w:rsidRDefault="00BC0950" w:rsidP="00507A92">
            <w:pPr>
              <w:pStyle w:val="NoSpacing"/>
            </w:pPr>
            <w:r w:rsidRPr="002D5758">
              <w:t>50 (30.</w:t>
            </w:r>
            <w:r>
              <w:t>3</w:t>
            </w:r>
            <w:r w:rsidRPr="002D5758">
              <w:t>%)</w:t>
            </w:r>
          </w:p>
        </w:tc>
        <w:tc>
          <w:tcPr>
            <w:tcW w:w="0" w:type="auto"/>
          </w:tcPr>
          <w:p w14:paraId="2453AC0F" w14:textId="77777777" w:rsidR="00BC0950" w:rsidRPr="002D5758" w:rsidRDefault="00BC0950" w:rsidP="00507A92">
            <w:pPr>
              <w:pStyle w:val="NoSpacing"/>
            </w:pPr>
            <w:r w:rsidRPr="002D5758">
              <w:t>140 (</w:t>
            </w:r>
            <w:r>
              <w:t>35.5</w:t>
            </w:r>
            <w:r w:rsidRPr="002D5758">
              <w:t xml:space="preserve">%) </w:t>
            </w:r>
          </w:p>
        </w:tc>
        <w:tc>
          <w:tcPr>
            <w:tcW w:w="0" w:type="auto"/>
          </w:tcPr>
          <w:p w14:paraId="38FC9092" w14:textId="77777777" w:rsidR="00BC0950" w:rsidRPr="002D5758" w:rsidRDefault="00BC0950" w:rsidP="00507A92">
            <w:pPr>
              <w:pStyle w:val="NoSpacing"/>
            </w:pPr>
            <w:r w:rsidRPr="002D5758">
              <w:t>47 (2</w:t>
            </w:r>
            <w:r>
              <w:t>2</w:t>
            </w:r>
            <w:r w:rsidRPr="002D5758">
              <w:t>.9%)</w:t>
            </w:r>
          </w:p>
        </w:tc>
      </w:tr>
      <w:tr w:rsidR="00BC0950" w:rsidRPr="00183876" w14:paraId="40B88AB3" w14:textId="77777777" w:rsidTr="00507A92">
        <w:tc>
          <w:tcPr>
            <w:tcW w:w="0" w:type="auto"/>
          </w:tcPr>
          <w:p w14:paraId="3F3F56DD" w14:textId="77777777" w:rsidR="00BC0950" w:rsidRPr="002D5758" w:rsidRDefault="00BC0950" w:rsidP="00507A92">
            <w:pPr>
              <w:pStyle w:val="NoSpacing"/>
            </w:pPr>
            <w:r>
              <w:tab/>
            </w:r>
            <w:r w:rsidRPr="002D5758">
              <w:t>1 month -3 months</w:t>
            </w:r>
          </w:p>
        </w:tc>
        <w:tc>
          <w:tcPr>
            <w:tcW w:w="0" w:type="auto"/>
          </w:tcPr>
          <w:p w14:paraId="7BF43945" w14:textId="77777777" w:rsidR="00BC0950" w:rsidRPr="002D5758" w:rsidRDefault="00BC0950" w:rsidP="00507A92">
            <w:pPr>
              <w:pStyle w:val="NoSpacing"/>
            </w:pPr>
            <w:r w:rsidRPr="002D5758">
              <w:t>179 (</w:t>
            </w:r>
            <w:r>
              <w:t>18.6</w:t>
            </w:r>
            <w:r w:rsidRPr="002D5758">
              <w:t>%)</w:t>
            </w:r>
          </w:p>
        </w:tc>
        <w:tc>
          <w:tcPr>
            <w:tcW w:w="0" w:type="auto"/>
          </w:tcPr>
          <w:p w14:paraId="6345F5DD" w14:textId="77777777" w:rsidR="00BC0950" w:rsidRPr="002D5758" w:rsidRDefault="00BC0950" w:rsidP="00507A92">
            <w:pPr>
              <w:pStyle w:val="NoSpacing"/>
            </w:pPr>
            <w:r w:rsidRPr="002D5758">
              <w:t>41 (</w:t>
            </w:r>
            <w:r>
              <w:t>20.9</w:t>
            </w:r>
            <w:r w:rsidRPr="002D5758">
              <w:t>%)</w:t>
            </w:r>
          </w:p>
        </w:tc>
        <w:tc>
          <w:tcPr>
            <w:tcW w:w="0" w:type="auto"/>
          </w:tcPr>
          <w:p w14:paraId="0DF60B69" w14:textId="77777777" w:rsidR="00BC0950" w:rsidRPr="002D5758" w:rsidRDefault="00BC0950" w:rsidP="00507A92">
            <w:pPr>
              <w:pStyle w:val="NoSpacing"/>
            </w:pPr>
            <w:r w:rsidRPr="002D5758">
              <w:t>33 (20.</w:t>
            </w:r>
            <w:r>
              <w:t>0</w:t>
            </w:r>
            <w:r w:rsidRPr="002D5758">
              <w:t>%)</w:t>
            </w:r>
          </w:p>
        </w:tc>
        <w:tc>
          <w:tcPr>
            <w:tcW w:w="0" w:type="auto"/>
          </w:tcPr>
          <w:p w14:paraId="332072BE" w14:textId="77777777" w:rsidR="00BC0950" w:rsidRPr="002D5758" w:rsidRDefault="00BC0950" w:rsidP="00507A92">
            <w:pPr>
              <w:pStyle w:val="NoSpacing"/>
            </w:pPr>
            <w:r>
              <w:t>77</w:t>
            </w:r>
            <w:r w:rsidRPr="002D5758">
              <w:t xml:space="preserve"> (19.</w:t>
            </w:r>
            <w:r>
              <w:t>5</w:t>
            </w:r>
            <w:r w:rsidRPr="002D5758">
              <w:t xml:space="preserve">%) </w:t>
            </w:r>
          </w:p>
        </w:tc>
        <w:tc>
          <w:tcPr>
            <w:tcW w:w="0" w:type="auto"/>
          </w:tcPr>
          <w:p w14:paraId="7EDEB451" w14:textId="77777777" w:rsidR="00BC0950" w:rsidRPr="002D5758" w:rsidRDefault="00BC0950" w:rsidP="00507A92">
            <w:pPr>
              <w:pStyle w:val="NoSpacing"/>
            </w:pPr>
            <w:r w:rsidRPr="002D5758">
              <w:t>28 (</w:t>
            </w:r>
            <w:r>
              <w:t>13.7</w:t>
            </w:r>
            <w:r w:rsidRPr="002D5758">
              <w:t>%)</w:t>
            </w:r>
          </w:p>
        </w:tc>
      </w:tr>
      <w:tr w:rsidR="00BC0950" w:rsidRPr="00183876" w14:paraId="2E74DCC9" w14:textId="77777777" w:rsidTr="00507A92">
        <w:tc>
          <w:tcPr>
            <w:tcW w:w="0" w:type="auto"/>
          </w:tcPr>
          <w:p w14:paraId="02ADD7DD" w14:textId="77777777" w:rsidR="00BC0950" w:rsidRPr="002D5758" w:rsidRDefault="00BC0950" w:rsidP="00507A92">
            <w:pPr>
              <w:pStyle w:val="NoSpacing"/>
            </w:pPr>
            <w:r>
              <w:tab/>
            </w:r>
            <w:r w:rsidRPr="002D5758">
              <w:t>3 months – 1 year</w:t>
            </w:r>
          </w:p>
        </w:tc>
        <w:tc>
          <w:tcPr>
            <w:tcW w:w="0" w:type="auto"/>
          </w:tcPr>
          <w:p w14:paraId="623EDCCD" w14:textId="77777777" w:rsidR="00BC0950" w:rsidRPr="002D5758" w:rsidRDefault="00BC0950" w:rsidP="00507A92">
            <w:pPr>
              <w:pStyle w:val="NoSpacing"/>
            </w:pPr>
            <w:r w:rsidRPr="002D5758">
              <w:t>158 (</w:t>
            </w:r>
            <w:r>
              <w:t>16.5</w:t>
            </w:r>
            <w:r w:rsidRPr="002D5758">
              <w:t>%)</w:t>
            </w:r>
          </w:p>
        </w:tc>
        <w:tc>
          <w:tcPr>
            <w:tcW w:w="0" w:type="auto"/>
          </w:tcPr>
          <w:p w14:paraId="20A98210" w14:textId="77777777" w:rsidR="00BC0950" w:rsidRPr="002D5758" w:rsidRDefault="00BC0950" w:rsidP="00507A92">
            <w:pPr>
              <w:pStyle w:val="NoSpacing"/>
            </w:pPr>
            <w:r w:rsidRPr="002D5758">
              <w:t>57 (</w:t>
            </w:r>
            <w:r>
              <w:t>29.1</w:t>
            </w:r>
            <w:r w:rsidRPr="002D5758">
              <w:t>%)</w:t>
            </w:r>
          </w:p>
        </w:tc>
        <w:tc>
          <w:tcPr>
            <w:tcW w:w="0" w:type="auto"/>
          </w:tcPr>
          <w:p w14:paraId="21EF6546" w14:textId="77777777" w:rsidR="00BC0950" w:rsidRPr="002D5758" w:rsidRDefault="00BC0950" w:rsidP="00507A92">
            <w:pPr>
              <w:pStyle w:val="NoSpacing"/>
            </w:pPr>
            <w:r w:rsidRPr="002D5758">
              <w:t>23 (</w:t>
            </w:r>
            <w:r>
              <w:t>13.9</w:t>
            </w:r>
            <w:r w:rsidRPr="002D5758">
              <w:t>%)</w:t>
            </w:r>
          </w:p>
        </w:tc>
        <w:tc>
          <w:tcPr>
            <w:tcW w:w="0" w:type="auto"/>
          </w:tcPr>
          <w:p w14:paraId="780CF083" w14:textId="77777777" w:rsidR="00BC0950" w:rsidRPr="002D5758" w:rsidRDefault="00BC0950" w:rsidP="00507A92">
            <w:pPr>
              <w:pStyle w:val="NoSpacing"/>
            </w:pPr>
            <w:r w:rsidRPr="002D5758">
              <w:t>48 (12.</w:t>
            </w:r>
            <w:r>
              <w:t>2</w:t>
            </w:r>
            <w:proofErr w:type="gramStart"/>
            <w:r w:rsidRPr="002D5758">
              <w:t xml:space="preserve">%)   </w:t>
            </w:r>
            <w:proofErr w:type="gramEnd"/>
            <w:r w:rsidRPr="002D5758">
              <w:t xml:space="preserve">     </w:t>
            </w:r>
          </w:p>
        </w:tc>
        <w:tc>
          <w:tcPr>
            <w:tcW w:w="0" w:type="auto"/>
          </w:tcPr>
          <w:p w14:paraId="2373D9BD" w14:textId="77777777" w:rsidR="00BC0950" w:rsidRPr="002D5758" w:rsidRDefault="00BC0950" w:rsidP="00507A92">
            <w:pPr>
              <w:pStyle w:val="NoSpacing"/>
            </w:pPr>
            <w:r w:rsidRPr="002D5758">
              <w:t>30 (</w:t>
            </w:r>
            <w:r>
              <w:t>14.6</w:t>
            </w:r>
            <w:r w:rsidRPr="002D5758">
              <w:t>%)</w:t>
            </w:r>
          </w:p>
        </w:tc>
      </w:tr>
      <w:tr w:rsidR="00BC0950" w14:paraId="58FED096" w14:textId="77777777" w:rsidTr="00507A92">
        <w:tc>
          <w:tcPr>
            <w:tcW w:w="0" w:type="auto"/>
          </w:tcPr>
          <w:p w14:paraId="5446DC8A" w14:textId="77777777" w:rsidR="00BC0950" w:rsidRPr="002D5758" w:rsidRDefault="00BC0950" w:rsidP="00507A92">
            <w:pPr>
              <w:pStyle w:val="NoSpacing"/>
            </w:pPr>
            <w:r>
              <w:tab/>
            </w:r>
            <w:r w:rsidRPr="002D5758">
              <w:t>1 year +</w:t>
            </w:r>
          </w:p>
        </w:tc>
        <w:tc>
          <w:tcPr>
            <w:tcW w:w="0" w:type="auto"/>
          </w:tcPr>
          <w:p w14:paraId="3D878BF3" w14:textId="77777777" w:rsidR="00BC0950" w:rsidRPr="002D5758" w:rsidRDefault="00BC0950" w:rsidP="00507A92">
            <w:pPr>
              <w:pStyle w:val="NoSpacing"/>
            </w:pPr>
            <w:r w:rsidRPr="002D5758">
              <w:t>214 (</w:t>
            </w:r>
            <w:r>
              <w:t>22.3</w:t>
            </w:r>
            <w:r w:rsidRPr="002D5758">
              <w:t>%)</w:t>
            </w:r>
          </w:p>
        </w:tc>
        <w:tc>
          <w:tcPr>
            <w:tcW w:w="0" w:type="auto"/>
          </w:tcPr>
          <w:p w14:paraId="1410BFBF" w14:textId="77777777" w:rsidR="00BC0950" w:rsidRPr="002D5758" w:rsidRDefault="00BC0950" w:rsidP="00507A92">
            <w:pPr>
              <w:pStyle w:val="NoSpacing"/>
            </w:pPr>
            <w:r w:rsidRPr="002D5758">
              <w:t>62 (</w:t>
            </w:r>
            <w:r>
              <w:t>31.6</w:t>
            </w:r>
            <w:r w:rsidRPr="002D5758">
              <w:t>%)</w:t>
            </w:r>
          </w:p>
        </w:tc>
        <w:tc>
          <w:tcPr>
            <w:tcW w:w="0" w:type="auto"/>
          </w:tcPr>
          <w:p w14:paraId="6198CD63" w14:textId="77777777" w:rsidR="00BC0950" w:rsidRPr="002D5758" w:rsidRDefault="00BC0950" w:rsidP="00507A92">
            <w:pPr>
              <w:pStyle w:val="NoSpacing"/>
            </w:pPr>
            <w:r w:rsidRPr="002D5758">
              <w:t>20 (12.</w:t>
            </w:r>
            <w:r>
              <w:t>1</w:t>
            </w:r>
            <w:r w:rsidRPr="002D5758">
              <w:t>%)</w:t>
            </w:r>
          </w:p>
        </w:tc>
        <w:tc>
          <w:tcPr>
            <w:tcW w:w="0" w:type="auto"/>
          </w:tcPr>
          <w:p w14:paraId="3E0C4859" w14:textId="77777777" w:rsidR="00BC0950" w:rsidRPr="002D5758" w:rsidRDefault="00BC0950" w:rsidP="00507A92">
            <w:pPr>
              <w:pStyle w:val="NoSpacing"/>
            </w:pPr>
            <w:r w:rsidRPr="002D5758">
              <w:t>55 (14.</w:t>
            </w:r>
            <w:r>
              <w:t>0</w:t>
            </w:r>
            <w:proofErr w:type="gramStart"/>
            <w:r w:rsidRPr="002D5758">
              <w:t xml:space="preserve">%)   </w:t>
            </w:r>
            <w:proofErr w:type="gramEnd"/>
            <w:r w:rsidRPr="002D5758">
              <w:t xml:space="preserve">      </w:t>
            </w:r>
          </w:p>
        </w:tc>
        <w:tc>
          <w:tcPr>
            <w:tcW w:w="0" w:type="auto"/>
          </w:tcPr>
          <w:p w14:paraId="7840620F" w14:textId="77777777" w:rsidR="00BC0950" w:rsidRPr="002D5758" w:rsidRDefault="00BC0950" w:rsidP="00507A92">
            <w:pPr>
              <w:pStyle w:val="NoSpacing"/>
            </w:pPr>
            <w:r w:rsidRPr="002D5758">
              <w:t>77 (</w:t>
            </w:r>
            <w:r>
              <w:t>37.6</w:t>
            </w:r>
            <w:r w:rsidRPr="002D5758">
              <w:t>%)</w:t>
            </w:r>
          </w:p>
        </w:tc>
      </w:tr>
      <w:tr w:rsidR="00BC0950" w14:paraId="5A4355B8" w14:textId="77777777" w:rsidTr="00507A92">
        <w:tc>
          <w:tcPr>
            <w:tcW w:w="0" w:type="auto"/>
          </w:tcPr>
          <w:p w14:paraId="4294DD23" w14:textId="77777777" w:rsidR="00BC0950" w:rsidRDefault="00BC0950" w:rsidP="00507A92">
            <w:pPr>
              <w:pStyle w:val="NoSpacing"/>
            </w:pPr>
            <w:r>
              <w:tab/>
              <w:t>Missing data</w:t>
            </w:r>
          </w:p>
        </w:tc>
        <w:tc>
          <w:tcPr>
            <w:tcW w:w="0" w:type="auto"/>
          </w:tcPr>
          <w:p w14:paraId="63F46EF7" w14:textId="77777777" w:rsidR="00BC0950" w:rsidRDefault="00BC0950" w:rsidP="00507A92">
            <w:pPr>
              <w:pStyle w:val="NoSpacing"/>
            </w:pPr>
            <w:r>
              <w:t>25 (2.6%)</w:t>
            </w:r>
          </w:p>
        </w:tc>
        <w:tc>
          <w:tcPr>
            <w:tcW w:w="0" w:type="auto"/>
          </w:tcPr>
          <w:p w14:paraId="3351DF1C" w14:textId="77777777" w:rsidR="00BC0950" w:rsidRDefault="00BC0950" w:rsidP="00507A92">
            <w:pPr>
              <w:pStyle w:val="NoSpacing"/>
            </w:pPr>
            <w:r>
              <w:t>8 (4.1%)</w:t>
            </w:r>
          </w:p>
        </w:tc>
        <w:tc>
          <w:tcPr>
            <w:tcW w:w="0" w:type="auto"/>
          </w:tcPr>
          <w:p w14:paraId="66E905CB" w14:textId="77777777" w:rsidR="00BC0950" w:rsidRDefault="00BC0950" w:rsidP="00507A92">
            <w:pPr>
              <w:pStyle w:val="NoSpacing"/>
            </w:pPr>
            <w:r>
              <w:t>2 (1.2%)</w:t>
            </w:r>
          </w:p>
        </w:tc>
        <w:tc>
          <w:tcPr>
            <w:tcW w:w="0" w:type="auto"/>
          </w:tcPr>
          <w:p w14:paraId="149027AC" w14:textId="77777777" w:rsidR="00BC0950" w:rsidRDefault="00BC0950" w:rsidP="00507A92">
            <w:pPr>
              <w:pStyle w:val="NoSpacing"/>
            </w:pPr>
            <w:r>
              <w:t>7 (1.8%)</w:t>
            </w:r>
          </w:p>
        </w:tc>
        <w:tc>
          <w:tcPr>
            <w:tcW w:w="0" w:type="auto"/>
          </w:tcPr>
          <w:p w14:paraId="794EACAD" w14:textId="77777777" w:rsidR="00BC0950" w:rsidRDefault="00BC0950" w:rsidP="00507A92">
            <w:pPr>
              <w:pStyle w:val="NoSpacing"/>
            </w:pPr>
            <w:r>
              <w:t>8 (3.9%)</w:t>
            </w:r>
          </w:p>
        </w:tc>
      </w:tr>
      <w:tr w:rsidR="00BC0950" w14:paraId="02F798AC" w14:textId="77777777" w:rsidTr="00507A92">
        <w:tc>
          <w:tcPr>
            <w:tcW w:w="0" w:type="auto"/>
          </w:tcPr>
          <w:p w14:paraId="643C4AD5" w14:textId="77777777" w:rsidR="00BC0950" w:rsidRDefault="00BC0950" w:rsidP="00507A92">
            <w:pPr>
              <w:pStyle w:val="NoSpacing"/>
            </w:pPr>
            <w:r>
              <w:t>Number of previous episodes</w:t>
            </w:r>
          </w:p>
        </w:tc>
        <w:tc>
          <w:tcPr>
            <w:tcW w:w="0" w:type="auto"/>
          </w:tcPr>
          <w:p w14:paraId="780FC928" w14:textId="77777777" w:rsidR="00BC0950" w:rsidRDefault="00BC0950" w:rsidP="00507A92">
            <w:pPr>
              <w:pStyle w:val="NoSpacing"/>
            </w:pPr>
          </w:p>
        </w:tc>
        <w:tc>
          <w:tcPr>
            <w:tcW w:w="0" w:type="auto"/>
          </w:tcPr>
          <w:p w14:paraId="10A5066F" w14:textId="77777777" w:rsidR="00BC0950" w:rsidRDefault="00BC0950" w:rsidP="00507A92">
            <w:pPr>
              <w:pStyle w:val="NoSpacing"/>
            </w:pPr>
          </w:p>
        </w:tc>
        <w:tc>
          <w:tcPr>
            <w:tcW w:w="0" w:type="auto"/>
          </w:tcPr>
          <w:p w14:paraId="25F49064" w14:textId="77777777" w:rsidR="00BC0950" w:rsidRDefault="00BC0950" w:rsidP="00507A92">
            <w:pPr>
              <w:pStyle w:val="NoSpacing"/>
            </w:pPr>
          </w:p>
        </w:tc>
        <w:tc>
          <w:tcPr>
            <w:tcW w:w="0" w:type="auto"/>
          </w:tcPr>
          <w:p w14:paraId="32540B6B" w14:textId="77777777" w:rsidR="00BC0950" w:rsidRDefault="00BC0950" w:rsidP="00507A92">
            <w:pPr>
              <w:pStyle w:val="NoSpacing"/>
            </w:pPr>
          </w:p>
        </w:tc>
        <w:tc>
          <w:tcPr>
            <w:tcW w:w="0" w:type="auto"/>
          </w:tcPr>
          <w:p w14:paraId="5D46DF76" w14:textId="77777777" w:rsidR="00BC0950" w:rsidRDefault="00BC0950" w:rsidP="00507A92">
            <w:pPr>
              <w:pStyle w:val="NoSpacing"/>
            </w:pPr>
          </w:p>
        </w:tc>
      </w:tr>
      <w:tr w:rsidR="00BC0950" w14:paraId="06F9578D" w14:textId="77777777" w:rsidTr="00507A92">
        <w:tc>
          <w:tcPr>
            <w:tcW w:w="0" w:type="auto"/>
          </w:tcPr>
          <w:p w14:paraId="6FA8BA0D" w14:textId="77777777" w:rsidR="00BC0950" w:rsidRDefault="00BC0950" w:rsidP="00507A92">
            <w:pPr>
              <w:pStyle w:val="NoSpacing"/>
            </w:pPr>
            <w:r>
              <w:tab/>
            </w:r>
            <w:r w:rsidRPr="00EF656D">
              <w:t>None</w:t>
            </w:r>
          </w:p>
        </w:tc>
        <w:tc>
          <w:tcPr>
            <w:tcW w:w="0" w:type="auto"/>
          </w:tcPr>
          <w:p w14:paraId="36F66E13" w14:textId="77777777" w:rsidR="00BC0950" w:rsidRDefault="00BC0950" w:rsidP="00507A92">
            <w:pPr>
              <w:pStyle w:val="NoSpacing"/>
            </w:pPr>
            <w:r>
              <w:t>210 (21.9%)</w:t>
            </w:r>
          </w:p>
        </w:tc>
        <w:tc>
          <w:tcPr>
            <w:tcW w:w="0" w:type="auto"/>
          </w:tcPr>
          <w:p w14:paraId="26E9A84B" w14:textId="77777777" w:rsidR="00BC0950" w:rsidRDefault="00BC0950" w:rsidP="00507A92">
            <w:pPr>
              <w:pStyle w:val="NoSpacing"/>
            </w:pPr>
            <w:r w:rsidRPr="00EF656D">
              <w:t>58 (</w:t>
            </w:r>
            <w:r>
              <w:t>29.6</w:t>
            </w:r>
            <w:r w:rsidRPr="00EF656D">
              <w:t>%)</w:t>
            </w:r>
          </w:p>
        </w:tc>
        <w:tc>
          <w:tcPr>
            <w:tcW w:w="0" w:type="auto"/>
          </w:tcPr>
          <w:p w14:paraId="6CEA1378" w14:textId="77777777" w:rsidR="00BC0950" w:rsidRDefault="00BC0950" w:rsidP="00507A92">
            <w:pPr>
              <w:pStyle w:val="NoSpacing"/>
            </w:pPr>
            <w:r w:rsidRPr="00EF656D">
              <w:t>33 (</w:t>
            </w:r>
            <w:r>
              <w:t>20.0</w:t>
            </w:r>
            <w:r w:rsidRPr="00EF656D">
              <w:t>%)</w:t>
            </w:r>
          </w:p>
        </w:tc>
        <w:tc>
          <w:tcPr>
            <w:tcW w:w="0" w:type="auto"/>
          </w:tcPr>
          <w:p w14:paraId="6AF9D4B5" w14:textId="77777777" w:rsidR="00BC0950" w:rsidRDefault="00BC0950" w:rsidP="00507A92">
            <w:pPr>
              <w:pStyle w:val="NoSpacing"/>
            </w:pPr>
            <w:r w:rsidRPr="00EF656D">
              <w:t>64 (</w:t>
            </w:r>
            <w:r>
              <w:t>16.2</w:t>
            </w:r>
            <w:r w:rsidRPr="00EF656D">
              <w:t>%)</w:t>
            </w:r>
          </w:p>
        </w:tc>
        <w:tc>
          <w:tcPr>
            <w:tcW w:w="0" w:type="auto"/>
          </w:tcPr>
          <w:p w14:paraId="0D62162C" w14:textId="77777777" w:rsidR="00BC0950" w:rsidRDefault="00BC0950" w:rsidP="00507A92">
            <w:pPr>
              <w:pStyle w:val="NoSpacing"/>
            </w:pPr>
            <w:r w:rsidRPr="00EF656D">
              <w:t>55 (</w:t>
            </w:r>
            <w:r>
              <w:t>26.8</w:t>
            </w:r>
            <w:r w:rsidRPr="00EF656D">
              <w:t>%)</w:t>
            </w:r>
          </w:p>
        </w:tc>
      </w:tr>
      <w:tr w:rsidR="00BC0950" w14:paraId="1A975B73" w14:textId="77777777" w:rsidTr="00507A92">
        <w:tc>
          <w:tcPr>
            <w:tcW w:w="0" w:type="auto"/>
          </w:tcPr>
          <w:p w14:paraId="26A06D3A" w14:textId="77777777" w:rsidR="00BC0950" w:rsidRDefault="00BC0950" w:rsidP="00507A92">
            <w:pPr>
              <w:pStyle w:val="NoSpacing"/>
            </w:pPr>
            <w:r>
              <w:tab/>
              <w:t>5 or fewer</w:t>
            </w:r>
          </w:p>
        </w:tc>
        <w:tc>
          <w:tcPr>
            <w:tcW w:w="0" w:type="auto"/>
          </w:tcPr>
          <w:p w14:paraId="738B1BF7" w14:textId="77777777" w:rsidR="00BC0950" w:rsidRDefault="00BC0950" w:rsidP="00507A92">
            <w:pPr>
              <w:pStyle w:val="NoSpacing"/>
            </w:pPr>
            <w:r>
              <w:t>317 (33.0%)</w:t>
            </w:r>
          </w:p>
        </w:tc>
        <w:tc>
          <w:tcPr>
            <w:tcW w:w="0" w:type="auto"/>
          </w:tcPr>
          <w:p w14:paraId="3ABCC107" w14:textId="77777777" w:rsidR="00BC0950" w:rsidRDefault="00BC0950" w:rsidP="00507A92">
            <w:pPr>
              <w:pStyle w:val="NoSpacing"/>
            </w:pPr>
            <w:r w:rsidRPr="00524BCF">
              <w:t>62 (</w:t>
            </w:r>
            <w:r>
              <w:t>31.6</w:t>
            </w:r>
            <w:r w:rsidRPr="00524BCF">
              <w:t>%)</w:t>
            </w:r>
          </w:p>
        </w:tc>
        <w:tc>
          <w:tcPr>
            <w:tcW w:w="0" w:type="auto"/>
          </w:tcPr>
          <w:p w14:paraId="7645EB67" w14:textId="77777777" w:rsidR="00BC0950" w:rsidRDefault="00BC0950" w:rsidP="00507A92">
            <w:pPr>
              <w:pStyle w:val="NoSpacing"/>
            </w:pPr>
            <w:r w:rsidRPr="00D830FF">
              <w:t>60 (</w:t>
            </w:r>
            <w:r>
              <w:t>36.4</w:t>
            </w:r>
            <w:r w:rsidRPr="00D830FF">
              <w:t>%)</w:t>
            </w:r>
          </w:p>
        </w:tc>
        <w:tc>
          <w:tcPr>
            <w:tcW w:w="0" w:type="auto"/>
          </w:tcPr>
          <w:p w14:paraId="7364C1A8" w14:textId="77777777" w:rsidR="00BC0950" w:rsidRDefault="00BC0950" w:rsidP="00507A92">
            <w:pPr>
              <w:pStyle w:val="NoSpacing"/>
            </w:pPr>
            <w:r w:rsidRPr="00B853DE">
              <w:t>147 (</w:t>
            </w:r>
            <w:r>
              <w:t>37</w:t>
            </w:r>
            <w:r w:rsidRPr="00B853DE">
              <w:t xml:space="preserve">.3%) </w:t>
            </w:r>
          </w:p>
        </w:tc>
        <w:tc>
          <w:tcPr>
            <w:tcW w:w="0" w:type="auto"/>
          </w:tcPr>
          <w:p w14:paraId="7B6631F4" w14:textId="77777777" w:rsidR="00BC0950" w:rsidRDefault="00BC0950" w:rsidP="00507A92">
            <w:pPr>
              <w:pStyle w:val="NoSpacing"/>
            </w:pPr>
            <w:r w:rsidRPr="007E3321">
              <w:t>48 (</w:t>
            </w:r>
            <w:r>
              <w:t>23.4</w:t>
            </w:r>
            <w:r w:rsidRPr="007E3321">
              <w:t>%)</w:t>
            </w:r>
          </w:p>
        </w:tc>
      </w:tr>
      <w:tr w:rsidR="00BC0950" w14:paraId="5B6FAABD" w14:textId="77777777" w:rsidTr="00507A92">
        <w:tc>
          <w:tcPr>
            <w:tcW w:w="0" w:type="auto"/>
          </w:tcPr>
          <w:p w14:paraId="3B9BFD5B" w14:textId="77777777" w:rsidR="00BC0950" w:rsidRDefault="00BC0950" w:rsidP="00507A92">
            <w:pPr>
              <w:pStyle w:val="NoSpacing"/>
            </w:pPr>
            <w:r>
              <w:tab/>
              <w:t>More than 5</w:t>
            </w:r>
          </w:p>
        </w:tc>
        <w:tc>
          <w:tcPr>
            <w:tcW w:w="0" w:type="auto"/>
          </w:tcPr>
          <w:p w14:paraId="6A5356D6" w14:textId="77777777" w:rsidR="00BC0950" w:rsidRDefault="00BC0950" w:rsidP="00507A92">
            <w:pPr>
              <w:pStyle w:val="NoSpacing"/>
            </w:pPr>
            <w:r>
              <w:t>349 (36.4%)</w:t>
            </w:r>
          </w:p>
        </w:tc>
        <w:tc>
          <w:tcPr>
            <w:tcW w:w="0" w:type="auto"/>
          </w:tcPr>
          <w:p w14:paraId="1A373439" w14:textId="77777777" w:rsidR="00BC0950" w:rsidRDefault="00BC0950" w:rsidP="00507A92">
            <w:pPr>
              <w:pStyle w:val="NoSpacing"/>
            </w:pPr>
            <w:r w:rsidRPr="00524BCF">
              <w:t>53 (</w:t>
            </w:r>
            <w:r>
              <w:t>27.0</w:t>
            </w:r>
            <w:r w:rsidRPr="00524BCF">
              <w:t>%)</w:t>
            </w:r>
          </w:p>
        </w:tc>
        <w:tc>
          <w:tcPr>
            <w:tcW w:w="0" w:type="auto"/>
          </w:tcPr>
          <w:p w14:paraId="52DB3870" w14:textId="77777777" w:rsidR="00BC0950" w:rsidRDefault="00BC0950" w:rsidP="00507A92">
            <w:pPr>
              <w:pStyle w:val="NoSpacing"/>
            </w:pPr>
            <w:r w:rsidRPr="00D830FF">
              <w:t>62 (</w:t>
            </w:r>
            <w:r>
              <w:t>37.6</w:t>
            </w:r>
            <w:r w:rsidRPr="00D830FF">
              <w:t>%)</w:t>
            </w:r>
          </w:p>
        </w:tc>
        <w:tc>
          <w:tcPr>
            <w:tcW w:w="0" w:type="auto"/>
          </w:tcPr>
          <w:p w14:paraId="3F10F056" w14:textId="77777777" w:rsidR="00BC0950" w:rsidRDefault="00BC0950" w:rsidP="00507A92">
            <w:pPr>
              <w:pStyle w:val="NoSpacing"/>
            </w:pPr>
            <w:r w:rsidRPr="00B853DE">
              <w:t>154 (</w:t>
            </w:r>
            <w:r>
              <w:t>39.1</w:t>
            </w:r>
            <w:r w:rsidRPr="00B853DE">
              <w:t xml:space="preserve">%) </w:t>
            </w:r>
          </w:p>
        </w:tc>
        <w:tc>
          <w:tcPr>
            <w:tcW w:w="0" w:type="auto"/>
          </w:tcPr>
          <w:p w14:paraId="07E0F04F" w14:textId="77777777" w:rsidR="00BC0950" w:rsidRDefault="00BC0950" w:rsidP="00507A92">
            <w:pPr>
              <w:pStyle w:val="NoSpacing"/>
            </w:pPr>
            <w:r w:rsidRPr="007E3321">
              <w:t>80 (</w:t>
            </w:r>
            <w:r>
              <w:t>39.0</w:t>
            </w:r>
            <w:r w:rsidRPr="007E3321">
              <w:t>%)</w:t>
            </w:r>
          </w:p>
        </w:tc>
      </w:tr>
      <w:tr w:rsidR="00BC0950" w14:paraId="39712FF0" w14:textId="77777777" w:rsidTr="00507A92">
        <w:tc>
          <w:tcPr>
            <w:tcW w:w="0" w:type="auto"/>
          </w:tcPr>
          <w:p w14:paraId="65F5FCA9" w14:textId="77777777" w:rsidR="00BC0950" w:rsidRDefault="00BC0950" w:rsidP="00507A92">
            <w:pPr>
              <w:pStyle w:val="NoSpacing"/>
            </w:pPr>
            <w:r>
              <w:tab/>
              <w:t>Missing data</w:t>
            </w:r>
          </w:p>
        </w:tc>
        <w:tc>
          <w:tcPr>
            <w:tcW w:w="0" w:type="auto"/>
          </w:tcPr>
          <w:p w14:paraId="28EABDBB" w14:textId="77777777" w:rsidR="00BC0950" w:rsidRDefault="00BC0950" w:rsidP="00507A92">
            <w:pPr>
              <w:pStyle w:val="NoSpacing"/>
            </w:pPr>
            <w:r>
              <w:t>84 (8.8%)</w:t>
            </w:r>
          </w:p>
        </w:tc>
        <w:tc>
          <w:tcPr>
            <w:tcW w:w="0" w:type="auto"/>
          </w:tcPr>
          <w:p w14:paraId="507D7CB5" w14:textId="77777777" w:rsidR="00BC0950" w:rsidRPr="00035931" w:rsidRDefault="00BC0950" w:rsidP="00507A92">
            <w:pPr>
              <w:pStyle w:val="NoSpacing"/>
            </w:pPr>
            <w:r>
              <w:t>23 (11.7%)</w:t>
            </w:r>
          </w:p>
        </w:tc>
        <w:tc>
          <w:tcPr>
            <w:tcW w:w="0" w:type="auto"/>
          </w:tcPr>
          <w:p w14:paraId="79261A6B" w14:textId="77777777" w:rsidR="00BC0950" w:rsidRDefault="00BC0950" w:rsidP="00507A92">
            <w:pPr>
              <w:pStyle w:val="NoSpacing"/>
            </w:pPr>
            <w:r>
              <w:t>10 (6.1%)</w:t>
            </w:r>
          </w:p>
        </w:tc>
        <w:tc>
          <w:tcPr>
            <w:tcW w:w="0" w:type="auto"/>
          </w:tcPr>
          <w:p w14:paraId="45D085F0" w14:textId="77777777" w:rsidR="00BC0950" w:rsidRDefault="00BC0950" w:rsidP="00507A92">
            <w:pPr>
              <w:pStyle w:val="NoSpacing"/>
            </w:pPr>
            <w:r>
              <w:t>29 (7.4%)</w:t>
            </w:r>
          </w:p>
        </w:tc>
        <w:tc>
          <w:tcPr>
            <w:tcW w:w="0" w:type="auto"/>
          </w:tcPr>
          <w:p w14:paraId="6BAF26D2" w14:textId="77777777" w:rsidR="00BC0950" w:rsidRDefault="00BC0950" w:rsidP="00507A92">
            <w:pPr>
              <w:pStyle w:val="NoSpacing"/>
            </w:pPr>
            <w:r>
              <w:t>22 (10.7%)</w:t>
            </w:r>
          </w:p>
        </w:tc>
      </w:tr>
      <w:tr w:rsidR="00BC0950" w14:paraId="1849C04B" w14:textId="77777777" w:rsidTr="00507A92">
        <w:tc>
          <w:tcPr>
            <w:tcW w:w="0" w:type="auto"/>
          </w:tcPr>
          <w:p w14:paraId="4648E886" w14:textId="77777777" w:rsidR="00BC0950" w:rsidRDefault="00BC0950" w:rsidP="00507A92">
            <w:pPr>
              <w:pStyle w:val="NoSpacing"/>
            </w:pPr>
            <w:r>
              <w:t>Comorbidity</w:t>
            </w:r>
          </w:p>
        </w:tc>
        <w:tc>
          <w:tcPr>
            <w:tcW w:w="0" w:type="auto"/>
          </w:tcPr>
          <w:p w14:paraId="760D2A74" w14:textId="77777777" w:rsidR="00BC0950" w:rsidRDefault="00BC0950" w:rsidP="00507A92">
            <w:pPr>
              <w:pStyle w:val="NoSpacing"/>
            </w:pPr>
          </w:p>
        </w:tc>
        <w:tc>
          <w:tcPr>
            <w:tcW w:w="0" w:type="auto"/>
          </w:tcPr>
          <w:p w14:paraId="722292CF" w14:textId="77777777" w:rsidR="00BC0950" w:rsidRDefault="00BC0950" w:rsidP="00507A92">
            <w:pPr>
              <w:pStyle w:val="NoSpacing"/>
            </w:pPr>
          </w:p>
        </w:tc>
        <w:tc>
          <w:tcPr>
            <w:tcW w:w="0" w:type="auto"/>
          </w:tcPr>
          <w:p w14:paraId="3366F3FB" w14:textId="77777777" w:rsidR="00BC0950" w:rsidRDefault="00BC0950" w:rsidP="00507A92">
            <w:pPr>
              <w:pStyle w:val="NoSpacing"/>
            </w:pPr>
          </w:p>
        </w:tc>
        <w:tc>
          <w:tcPr>
            <w:tcW w:w="0" w:type="auto"/>
          </w:tcPr>
          <w:p w14:paraId="0FAAA380" w14:textId="77777777" w:rsidR="00BC0950" w:rsidRDefault="00BC0950" w:rsidP="00507A92">
            <w:pPr>
              <w:pStyle w:val="NoSpacing"/>
            </w:pPr>
          </w:p>
        </w:tc>
        <w:tc>
          <w:tcPr>
            <w:tcW w:w="0" w:type="auto"/>
          </w:tcPr>
          <w:p w14:paraId="204F2BA3" w14:textId="77777777" w:rsidR="00BC0950" w:rsidRDefault="00BC0950" w:rsidP="00507A92">
            <w:pPr>
              <w:pStyle w:val="NoSpacing"/>
            </w:pPr>
          </w:p>
        </w:tc>
      </w:tr>
      <w:tr w:rsidR="00BC0950" w14:paraId="2421ED50" w14:textId="77777777" w:rsidTr="00507A92">
        <w:tc>
          <w:tcPr>
            <w:tcW w:w="0" w:type="auto"/>
          </w:tcPr>
          <w:p w14:paraId="6062B9F0" w14:textId="77777777" w:rsidR="00BC0950" w:rsidRDefault="00BC0950" w:rsidP="00507A92">
            <w:pPr>
              <w:pStyle w:val="NoSpacing"/>
            </w:pPr>
            <w:r>
              <w:tab/>
              <w:t>Longstanding illness or disability (besides LBP)</w:t>
            </w:r>
          </w:p>
        </w:tc>
        <w:tc>
          <w:tcPr>
            <w:tcW w:w="0" w:type="auto"/>
          </w:tcPr>
          <w:p w14:paraId="46840AF9" w14:textId="77777777" w:rsidR="00BC0950" w:rsidRDefault="00BC0950" w:rsidP="00507A92">
            <w:pPr>
              <w:pStyle w:val="NoSpacing"/>
            </w:pPr>
            <w:r>
              <w:t>321 (33.4%)</w:t>
            </w:r>
          </w:p>
        </w:tc>
        <w:tc>
          <w:tcPr>
            <w:tcW w:w="0" w:type="auto"/>
          </w:tcPr>
          <w:p w14:paraId="52A5C3AE" w14:textId="77777777" w:rsidR="00BC0950" w:rsidRDefault="00BC0950" w:rsidP="00507A92">
            <w:pPr>
              <w:pStyle w:val="NoSpacing"/>
            </w:pPr>
            <w:r>
              <w:t>71 (36.2%)</w:t>
            </w:r>
          </w:p>
        </w:tc>
        <w:tc>
          <w:tcPr>
            <w:tcW w:w="0" w:type="auto"/>
          </w:tcPr>
          <w:p w14:paraId="3C50C027" w14:textId="77777777" w:rsidR="00BC0950" w:rsidRDefault="00BC0950" w:rsidP="00507A92">
            <w:pPr>
              <w:pStyle w:val="NoSpacing"/>
            </w:pPr>
            <w:r>
              <w:t>51 (30.9%)</w:t>
            </w:r>
          </w:p>
        </w:tc>
        <w:tc>
          <w:tcPr>
            <w:tcW w:w="0" w:type="auto"/>
          </w:tcPr>
          <w:p w14:paraId="00E87F20" w14:textId="77777777" w:rsidR="00BC0950" w:rsidRDefault="00BC0950" w:rsidP="00507A92">
            <w:pPr>
              <w:pStyle w:val="NoSpacing"/>
            </w:pPr>
            <w:r>
              <w:t>119 (30.2%)</w:t>
            </w:r>
          </w:p>
        </w:tc>
        <w:tc>
          <w:tcPr>
            <w:tcW w:w="0" w:type="auto"/>
          </w:tcPr>
          <w:p w14:paraId="726191C3" w14:textId="77777777" w:rsidR="00BC0950" w:rsidRDefault="00BC0950" w:rsidP="00507A92">
            <w:pPr>
              <w:pStyle w:val="NoSpacing"/>
            </w:pPr>
            <w:r>
              <w:t>80 (39.0%)</w:t>
            </w:r>
          </w:p>
        </w:tc>
      </w:tr>
      <w:tr w:rsidR="00BC0950" w14:paraId="0AA18EA4" w14:textId="77777777" w:rsidTr="00507A92">
        <w:tc>
          <w:tcPr>
            <w:tcW w:w="0" w:type="auto"/>
          </w:tcPr>
          <w:p w14:paraId="4499E4AA" w14:textId="77777777" w:rsidR="00BC0950" w:rsidRDefault="00BC0950" w:rsidP="00507A92">
            <w:pPr>
              <w:pStyle w:val="NoSpacing"/>
            </w:pPr>
            <w:r>
              <w:tab/>
              <w:t>Missing data</w:t>
            </w:r>
          </w:p>
        </w:tc>
        <w:tc>
          <w:tcPr>
            <w:tcW w:w="0" w:type="auto"/>
          </w:tcPr>
          <w:p w14:paraId="5EE615FD" w14:textId="77777777" w:rsidR="00BC0950" w:rsidRDefault="00BC0950" w:rsidP="00507A92">
            <w:pPr>
              <w:pStyle w:val="NoSpacing"/>
            </w:pPr>
            <w:r>
              <w:t>17 (1.8%)</w:t>
            </w:r>
          </w:p>
        </w:tc>
        <w:tc>
          <w:tcPr>
            <w:tcW w:w="0" w:type="auto"/>
          </w:tcPr>
          <w:p w14:paraId="3BE668A5" w14:textId="77777777" w:rsidR="00BC0950" w:rsidRDefault="00BC0950" w:rsidP="00507A92">
            <w:pPr>
              <w:pStyle w:val="NoSpacing"/>
            </w:pPr>
            <w:r>
              <w:t>7 (3.6%)</w:t>
            </w:r>
          </w:p>
        </w:tc>
        <w:tc>
          <w:tcPr>
            <w:tcW w:w="0" w:type="auto"/>
          </w:tcPr>
          <w:p w14:paraId="114964B3" w14:textId="77777777" w:rsidR="00BC0950" w:rsidRDefault="00BC0950" w:rsidP="00507A92">
            <w:pPr>
              <w:pStyle w:val="NoSpacing"/>
            </w:pPr>
            <w:r>
              <w:t>1 (0.6%)</w:t>
            </w:r>
          </w:p>
        </w:tc>
        <w:tc>
          <w:tcPr>
            <w:tcW w:w="0" w:type="auto"/>
          </w:tcPr>
          <w:p w14:paraId="47A8E9F0" w14:textId="77777777" w:rsidR="00BC0950" w:rsidRDefault="00BC0950" w:rsidP="00507A92">
            <w:pPr>
              <w:pStyle w:val="NoSpacing"/>
            </w:pPr>
            <w:r>
              <w:t>8 (2.0%)</w:t>
            </w:r>
          </w:p>
        </w:tc>
        <w:tc>
          <w:tcPr>
            <w:tcW w:w="0" w:type="auto"/>
          </w:tcPr>
          <w:p w14:paraId="36237DE5" w14:textId="77777777" w:rsidR="00BC0950" w:rsidRDefault="00BC0950" w:rsidP="00507A92">
            <w:pPr>
              <w:pStyle w:val="NoSpacing"/>
            </w:pPr>
            <w:r>
              <w:t>5 (2.4%)</w:t>
            </w:r>
          </w:p>
        </w:tc>
      </w:tr>
      <w:tr w:rsidR="00BC0950" w14:paraId="4C17FEF8" w14:textId="77777777" w:rsidTr="00507A92">
        <w:tc>
          <w:tcPr>
            <w:tcW w:w="0" w:type="auto"/>
          </w:tcPr>
          <w:p w14:paraId="72E9D1E3" w14:textId="77777777" w:rsidR="00BC0950" w:rsidRDefault="00BC0950" w:rsidP="00507A92">
            <w:pPr>
              <w:pStyle w:val="NoSpacing"/>
            </w:pPr>
            <w:r>
              <w:t>Co-treatment</w:t>
            </w:r>
          </w:p>
        </w:tc>
        <w:tc>
          <w:tcPr>
            <w:tcW w:w="0" w:type="auto"/>
          </w:tcPr>
          <w:p w14:paraId="0F25E708" w14:textId="77777777" w:rsidR="00BC0950" w:rsidRDefault="00BC0950" w:rsidP="00507A92">
            <w:pPr>
              <w:pStyle w:val="NoSpacing"/>
            </w:pPr>
          </w:p>
        </w:tc>
        <w:tc>
          <w:tcPr>
            <w:tcW w:w="0" w:type="auto"/>
          </w:tcPr>
          <w:p w14:paraId="3C1CD13C" w14:textId="77777777" w:rsidR="00BC0950" w:rsidRDefault="00BC0950" w:rsidP="00507A92">
            <w:pPr>
              <w:pStyle w:val="NoSpacing"/>
            </w:pPr>
          </w:p>
        </w:tc>
        <w:tc>
          <w:tcPr>
            <w:tcW w:w="0" w:type="auto"/>
          </w:tcPr>
          <w:p w14:paraId="3893AE88" w14:textId="77777777" w:rsidR="00BC0950" w:rsidRDefault="00BC0950" w:rsidP="00507A92">
            <w:pPr>
              <w:pStyle w:val="NoSpacing"/>
            </w:pPr>
          </w:p>
        </w:tc>
        <w:tc>
          <w:tcPr>
            <w:tcW w:w="0" w:type="auto"/>
          </w:tcPr>
          <w:p w14:paraId="149B790A" w14:textId="77777777" w:rsidR="00BC0950" w:rsidRDefault="00BC0950" w:rsidP="00507A92">
            <w:pPr>
              <w:pStyle w:val="NoSpacing"/>
            </w:pPr>
          </w:p>
        </w:tc>
        <w:tc>
          <w:tcPr>
            <w:tcW w:w="0" w:type="auto"/>
          </w:tcPr>
          <w:p w14:paraId="2B7F421C" w14:textId="77777777" w:rsidR="00BC0950" w:rsidRDefault="00BC0950" w:rsidP="00507A92">
            <w:pPr>
              <w:pStyle w:val="NoSpacing"/>
            </w:pPr>
          </w:p>
        </w:tc>
      </w:tr>
      <w:tr w:rsidR="00BC0950" w14:paraId="5CC883C5" w14:textId="77777777" w:rsidTr="00507A92">
        <w:tc>
          <w:tcPr>
            <w:tcW w:w="0" w:type="auto"/>
          </w:tcPr>
          <w:p w14:paraId="4F9D3EEB" w14:textId="77777777" w:rsidR="00BC0950" w:rsidRDefault="00BC0950" w:rsidP="00507A92">
            <w:pPr>
              <w:pStyle w:val="NoSpacing"/>
            </w:pPr>
            <w:r>
              <w:tab/>
              <w:t>Currently using other treatments</w:t>
            </w:r>
          </w:p>
        </w:tc>
        <w:tc>
          <w:tcPr>
            <w:tcW w:w="0" w:type="auto"/>
          </w:tcPr>
          <w:p w14:paraId="5E839A81" w14:textId="77777777" w:rsidR="00BC0950" w:rsidRDefault="00BC0950" w:rsidP="00507A92">
            <w:pPr>
              <w:pStyle w:val="NoSpacing"/>
            </w:pPr>
            <w:r>
              <w:t>562 (58.5%)</w:t>
            </w:r>
          </w:p>
        </w:tc>
        <w:tc>
          <w:tcPr>
            <w:tcW w:w="0" w:type="auto"/>
          </w:tcPr>
          <w:p w14:paraId="79CB3E98" w14:textId="77777777" w:rsidR="00BC0950" w:rsidRDefault="00BC0950" w:rsidP="00507A92">
            <w:pPr>
              <w:pStyle w:val="NoSpacing"/>
            </w:pPr>
            <w:r>
              <w:t>123 (62.8%)</w:t>
            </w:r>
          </w:p>
        </w:tc>
        <w:tc>
          <w:tcPr>
            <w:tcW w:w="0" w:type="auto"/>
          </w:tcPr>
          <w:p w14:paraId="052D5777" w14:textId="77777777" w:rsidR="00BC0950" w:rsidRDefault="00BC0950" w:rsidP="00507A92">
            <w:pPr>
              <w:pStyle w:val="NoSpacing"/>
            </w:pPr>
            <w:r>
              <w:t>89 (53.9%)</w:t>
            </w:r>
          </w:p>
        </w:tc>
        <w:tc>
          <w:tcPr>
            <w:tcW w:w="0" w:type="auto"/>
          </w:tcPr>
          <w:p w14:paraId="378128A7" w14:textId="77777777" w:rsidR="00BC0950" w:rsidRDefault="00BC0950" w:rsidP="00507A92">
            <w:pPr>
              <w:pStyle w:val="NoSpacing"/>
            </w:pPr>
            <w:r>
              <w:t>215 (54.6%)</w:t>
            </w:r>
          </w:p>
        </w:tc>
        <w:tc>
          <w:tcPr>
            <w:tcW w:w="0" w:type="auto"/>
          </w:tcPr>
          <w:p w14:paraId="71015FE3" w14:textId="77777777" w:rsidR="00BC0950" w:rsidRDefault="00BC0950" w:rsidP="00507A92">
            <w:pPr>
              <w:pStyle w:val="NoSpacing"/>
            </w:pPr>
            <w:r>
              <w:t>135 (65.9%)</w:t>
            </w:r>
          </w:p>
        </w:tc>
      </w:tr>
      <w:tr w:rsidR="00BC0950" w14:paraId="4CA6B3BC" w14:textId="77777777" w:rsidTr="00507A92">
        <w:tc>
          <w:tcPr>
            <w:tcW w:w="0" w:type="auto"/>
          </w:tcPr>
          <w:p w14:paraId="13740399" w14:textId="77777777" w:rsidR="00BC0950" w:rsidRDefault="00BC0950" w:rsidP="00507A92">
            <w:pPr>
              <w:pStyle w:val="NoSpacing"/>
            </w:pPr>
            <w:r>
              <w:tab/>
              <w:t>Missing data</w:t>
            </w:r>
          </w:p>
        </w:tc>
        <w:tc>
          <w:tcPr>
            <w:tcW w:w="0" w:type="auto"/>
          </w:tcPr>
          <w:p w14:paraId="64BAAEB1" w14:textId="77777777" w:rsidR="00BC0950" w:rsidRDefault="00BC0950" w:rsidP="00507A92">
            <w:pPr>
              <w:pStyle w:val="NoSpacing"/>
            </w:pPr>
            <w:r>
              <w:t>17 (1.8%)</w:t>
            </w:r>
          </w:p>
        </w:tc>
        <w:tc>
          <w:tcPr>
            <w:tcW w:w="0" w:type="auto"/>
          </w:tcPr>
          <w:p w14:paraId="68CC9949" w14:textId="77777777" w:rsidR="00BC0950" w:rsidRDefault="00BC0950" w:rsidP="00507A92">
            <w:pPr>
              <w:pStyle w:val="NoSpacing"/>
            </w:pPr>
            <w:r>
              <w:t>10 (5.1%)</w:t>
            </w:r>
          </w:p>
        </w:tc>
        <w:tc>
          <w:tcPr>
            <w:tcW w:w="0" w:type="auto"/>
          </w:tcPr>
          <w:p w14:paraId="0C216F52" w14:textId="77777777" w:rsidR="00BC0950" w:rsidRDefault="00BC0950" w:rsidP="00507A92">
            <w:pPr>
              <w:pStyle w:val="NoSpacing"/>
            </w:pPr>
            <w:r>
              <w:t>2 (1.2%)</w:t>
            </w:r>
          </w:p>
        </w:tc>
        <w:tc>
          <w:tcPr>
            <w:tcW w:w="0" w:type="auto"/>
          </w:tcPr>
          <w:p w14:paraId="79B8628B" w14:textId="77777777" w:rsidR="00BC0950" w:rsidRDefault="00BC0950" w:rsidP="00507A92">
            <w:pPr>
              <w:pStyle w:val="NoSpacing"/>
            </w:pPr>
            <w:r>
              <w:t>12 (3.0%)</w:t>
            </w:r>
          </w:p>
        </w:tc>
        <w:tc>
          <w:tcPr>
            <w:tcW w:w="0" w:type="auto"/>
          </w:tcPr>
          <w:p w14:paraId="31A972D2" w14:textId="77777777" w:rsidR="00BC0950" w:rsidRDefault="00BC0950" w:rsidP="00507A92">
            <w:pPr>
              <w:pStyle w:val="NoSpacing"/>
            </w:pPr>
            <w:r>
              <w:t>4 (2.0%)</w:t>
            </w:r>
          </w:p>
        </w:tc>
      </w:tr>
      <w:tr w:rsidR="00BC0950" w14:paraId="1A5023BA" w14:textId="77777777" w:rsidTr="00507A92">
        <w:tc>
          <w:tcPr>
            <w:tcW w:w="0" w:type="auto"/>
          </w:tcPr>
          <w:p w14:paraId="324A1E25" w14:textId="77777777" w:rsidR="00BC0950" w:rsidRDefault="00BC0950" w:rsidP="00507A92">
            <w:pPr>
              <w:pStyle w:val="NoSpacing"/>
            </w:pPr>
            <w:r>
              <w:t>Compensation</w:t>
            </w:r>
          </w:p>
        </w:tc>
        <w:tc>
          <w:tcPr>
            <w:tcW w:w="0" w:type="auto"/>
          </w:tcPr>
          <w:p w14:paraId="60734C07" w14:textId="77777777" w:rsidR="00BC0950" w:rsidRDefault="00BC0950" w:rsidP="00507A92">
            <w:pPr>
              <w:pStyle w:val="NoSpacing"/>
            </w:pPr>
          </w:p>
        </w:tc>
        <w:tc>
          <w:tcPr>
            <w:tcW w:w="0" w:type="auto"/>
          </w:tcPr>
          <w:p w14:paraId="42389989" w14:textId="77777777" w:rsidR="00BC0950" w:rsidRDefault="00BC0950" w:rsidP="00507A92">
            <w:pPr>
              <w:pStyle w:val="NoSpacing"/>
            </w:pPr>
          </w:p>
        </w:tc>
        <w:tc>
          <w:tcPr>
            <w:tcW w:w="0" w:type="auto"/>
          </w:tcPr>
          <w:p w14:paraId="1066F351" w14:textId="77777777" w:rsidR="00BC0950" w:rsidRDefault="00BC0950" w:rsidP="00507A92">
            <w:pPr>
              <w:pStyle w:val="NoSpacing"/>
            </w:pPr>
          </w:p>
        </w:tc>
        <w:tc>
          <w:tcPr>
            <w:tcW w:w="0" w:type="auto"/>
          </w:tcPr>
          <w:p w14:paraId="58911608" w14:textId="77777777" w:rsidR="00BC0950" w:rsidRDefault="00BC0950" w:rsidP="00507A92">
            <w:pPr>
              <w:pStyle w:val="NoSpacing"/>
            </w:pPr>
          </w:p>
        </w:tc>
        <w:tc>
          <w:tcPr>
            <w:tcW w:w="0" w:type="auto"/>
          </w:tcPr>
          <w:p w14:paraId="5107262B" w14:textId="77777777" w:rsidR="00BC0950" w:rsidRDefault="00BC0950" w:rsidP="00507A92">
            <w:pPr>
              <w:pStyle w:val="NoSpacing"/>
            </w:pPr>
          </w:p>
        </w:tc>
      </w:tr>
      <w:tr w:rsidR="00BC0950" w14:paraId="0A0D88C2" w14:textId="77777777" w:rsidTr="00507A92">
        <w:tc>
          <w:tcPr>
            <w:tcW w:w="0" w:type="auto"/>
          </w:tcPr>
          <w:p w14:paraId="0F7763D3" w14:textId="77777777" w:rsidR="00BC0950" w:rsidRDefault="00BC0950" w:rsidP="00507A92">
            <w:pPr>
              <w:pStyle w:val="NoSpacing"/>
            </w:pPr>
            <w:r>
              <w:tab/>
              <w:t>Compensation or legal claim for LBP</w:t>
            </w:r>
          </w:p>
        </w:tc>
        <w:tc>
          <w:tcPr>
            <w:tcW w:w="0" w:type="auto"/>
          </w:tcPr>
          <w:p w14:paraId="723D538A" w14:textId="77777777" w:rsidR="00BC0950" w:rsidRDefault="00BC0950" w:rsidP="00507A92">
            <w:pPr>
              <w:pStyle w:val="NoSpacing"/>
            </w:pPr>
            <w:r>
              <w:t>27 (2.8%</w:t>
            </w:r>
          </w:p>
        </w:tc>
        <w:tc>
          <w:tcPr>
            <w:tcW w:w="0" w:type="auto"/>
          </w:tcPr>
          <w:p w14:paraId="35BAD6AF" w14:textId="77777777" w:rsidR="00BC0950" w:rsidRDefault="00BC0950" w:rsidP="00507A92">
            <w:pPr>
              <w:pStyle w:val="NoSpacing"/>
            </w:pPr>
            <w:r>
              <w:t>13 (6.6%)</w:t>
            </w:r>
          </w:p>
        </w:tc>
        <w:tc>
          <w:tcPr>
            <w:tcW w:w="0" w:type="auto"/>
          </w:tcPr>
          <w:p w14:paraId="5BCAD3A9" w14:textId="77777777" w:rsidR="00BC0950" w:rsidRDefault="00BC0950" w:rsidP="00507A92">
            <w:pPr>
              <w:pStyle w:val="NoSpacing"/>
            </w:pPr>
            <w:r>
              <w:t>5 (3.0%)</w:t>
            </w:r>
          </w:p>
        </w:tc>
        <w:tc>
          <w:tcPr>
            <w:tcW w:w="0" w:type="auto"/>
          </w:tcPr>
          <w:p w14:paraId="0F26DD4E" w14:textId="77777777" w:rsidR="00BC0950" w:rsidRDefault="00BC0950" w:rsidP="00507A92">
            <w:pPr>
              <w:pStyle w:val="NoSpacing"/>
            </w:pPr>
            <w:r>
              <w:t>6 (1.5%)</w:t>
            </w:r>
          </w:p>
        </w:tc>
        <w:tc>
          <w:tcPr>
            <w:tcW w:w="0" w:type="auto"/>
          </w:tcPr>
          <w:p w14:paraId="6104A3D2" w14:textId="77777777" w:rsidR="00BC0950" w:rsidRDefault="00BC0950" w:rsidP="00507A92">
            <w:pPr>
              <w:pStyle w:val="NoSpacing"/>
            </w:pPr>
            <w:r>
              <w:t>3 (1.5%)</w:t>
            </w:r>
          </w:p>
        </w:tc>
      </w:tr>
      <w:tr w:rsidR="00BC0950" w14:paraId="3C921B5E" w14:textId="77777777" w:rsidTr="00507A92">
        <w:tc>
          <w:tcPr>
            <w:tcW w:w="0" w:type="auto"/>
            <w:tcBorders>
              <w:bottom w:val="single" w:sz="4" w:space="0" w:color="auto"/>
            </w:tcBorders>
          </w:tcPr>
          <w:p w14:paraId="4444294F" w14:textId="77777777" w:rsidR="00BC0950" w:rsidRDefault="00BC0950" w:rsidP="00507A92">
            <w:pPr>
              <w:pStyle w:val="NoSpacing"/>
            </w:pPr>
            <w:r>
              <w:tab/>
              <w:t>Missing data</w:t>
            </w:r>
          </w:p>
        </w:tc>
        <w:tc>
          <w:tcPr>
            <w:tcW w:w="0" w:type="auto"/>
            <w:tcBorders>
              <w:bottom w:val="single" w:sz="4" w:space="0" w:color="auto"/>
            </w:tcBorders>
          </w:tcPr>
          <w:p w14:paraId="05F18356" w14:textId="77777777" w:rsidR="00BC0950" w:rsidRDefault="00BC0950" w:rsidP="00507A92">
            <w:pPr>
              <w:pStyle w:val="NoSpacing"/>
            </w:pPr>
            <w:r>
              <w:t>17 (1.8%)</w:t>
            </w:r>
          </w:p>
        </w:tc>
        <w:tc>
          <w:tcPr>
            <w:tcW w:w="0" w:type="auto"/>
            <w:tcBorders>
              <w:bottom w:val="single" w:sz="4" w:space="0" w:color="auto"/>
            </w:tcBorders>
          </w:tcPr>
          <w:p w14:paraId="1D48203C" w14:textId="77777777" w:rsidR="00BC0950" w:rsidRPr="00035931" w:rsidRDefault="00BC0950" w:rsidP="00507A92">
            <w:pPr>
              <w:pStyle w:val="NoSpacing"/>
            </w:pPr>
            <w:r>
              <w:t>4 (2.0%)</w:t>
            </w:r>
          </w:p>
        </w:tc>
        <w:tc>
          <w:tcPr>
            <w:tcW w:w="0" w:type="auto"/>
            <w:tcBorders>
              <w:bottom w:val="single" w:sz="4" w:space="0" w:color="auto"/>
            </w:tcBorders>
          </w:tcPr>
          <w:p w14:paraId="730954CB" w14:textId="77777777" w:rsidR="00BC0950" w:rsidRDefault="00BC0950" w:rsidP="00507A92">
            <w:pPr>
              <w:pStyle w:val="NoSpacing"/>
            </w:pPr>
            <w:r>
              <w:t>1 (0.6%)</w:t>
            </w:r>
          </w:p>
        </w:tc>
        <w:tc>
          <w:tcPr>
            <w:tcW w:w="0" w:type="auto"/>
            <w:tcBorders>
              <w:bottom w:val="single" w:sz="4" w:space="0" w:color="auto"/>
            </w:tcBorders>
          </w:tcPr>
          <w:p w14:paraId="4806D606" w14:textId="77777777" w:rsidR="00BC0950" w:rsidRDefault="00BC0950" w:rsidP="00507A92">
            <w:pPr>
              <w:pStyle w:val="NoSpacing"/>
            </w:pPr>
            <w:r>
              <w:t>6 (1.5%)</w:t>
            </w:r>
          </w:p>
        </w:tc>
        <w:tc>
          <w:tcPr>
            <w:tcW w:w="0" w:type="auto"/>
            <w:tcBorders>
              <w:bottom w:val="single" w:sz="4" w:space="0" w:color="auto"/>
            </w:tcBorders>
          </w:tcPr>
          <w:p w14:paraId="494D7BC5" w14:textId="77777777" w:rsidR="00BC0950" w:rsidRDefault="00BC0950" w:rsidP="00507A92">
            <w:pPr>
              <w:pStyle w:val="NoSpacing"/>
            </w:pPr>
            <w:r w:rsidRPr="00C46C63">
              <w:t>4 (2.0%)</w:t>
            </w:r>
          </w:p>
        </w:tc>
      </w:tr>
    </w:tbl>
    <w:p w14:paraId="4C30C714" w14:textId="77777777" w:rsidR="00BC0950" w:rsidRPr="00BF3694" w:rsidRDefault="00BC0950" w:rsidP="00BC0950">
      <w:pPr>
        <w:pStyle w:val="NoSpacing"/>
      </w:pPr>
      <w:r w:rsidRPr="00F37AF7">
        <w:rPr>
          <w:i/>
        </w:rPr>
        <w:t>Note</w:t>
      </w:r>
      <w:r>
        <w:t>. NHS = National Health Service.  LBP = Low Back Pain.</w:t>
      </w:r>
    </w:p>
    <w:p w14:paraId="0652339E" w14:textId="77777777" w:rsidR="00BC0950" w:rsidRDefault="00BC0950" w:rsidP="00BC0950">
      <w:pPr>
        <w:pStyle w:val="NoSpacing"/>
      </w:pPr>
    </w:p>
    <w:p w14:paraId="5D3F7080" w14:textId="3806822D" w:rsidR="00BC0950" w:rsidRDefault="00BC0950" w:rsidP="00BC0950">
      <w:pPr>
        <w:pStyle w:val="NoSpacing"/>
        <w:sectPr w:rsidR="00BC0950" w:rsidSect="00853A82">
          <w:pgSz w:w="16838" w:h="11906" w:orient="landscape"/>
          <w:pgMar w:top="1440" w:right="1440" w:bottom="1440" w:left="1440" w:header="708" w:footer="708" w:gutter="0"/>
          <w:cols w:space="708"/>
          <w:docGrid w:linePitch="360"/>
        </w:sectPr>
      </w:pPr>
    </w:p>
    <w:p w14:paraId="62E49DC8" w14:textId="5EB979C4" w:rsidR="00B55530" w:rsidRDefault="00B55530" w:rsidP="00852941">
      <w:pPr>
        <w:pStyle w:val="Heading2"/>
      </w:pPr>
      <w:r>
        <w:lastRenderedPageBreak/>
        <w:t xml:space="preserve">Outcomes </w:t>
      </w:r>
      <w:r w:rsidR="00E60BE4">
        <w:t>o</w:t>
      </w:r>
      <w:r w:rsidR="00951E10">
        <w:t xml:space="preserve">ver </w:t>
      </w:r>
      <w:r>
        <w:t>Time</w:t>
      </w:r>
    </w:p>
    <w:p w14:paraId="46CDD04D" w14:textId="5629FD99" w:rsidR="00B55530" w:rsidRDefault="00951E10" w:rsidP="002F4465">
      <w:pPr>
        <w:ind w:firstLine="720"/>
      </w:pPr>
      <w:r>
        <w:t xml:space="preserve">On average, patients improved from baseline to </w:t>
      </w:r>
      <w:r w:rsidR="00F52455">
        <w:t>2-weeks</w:t>
      </w:r>
      <w:r>
        <w:t xml:space="preserve"> and from </w:t>
      </w:r>
      <w:r w:rsidR="00F52455">
        <w:t>2-weeks</w:t>
      </w:r>
      <w:r>
        <w:t xml:space="preserve"> to </w:t>
      </w:r>
      <w:r w:rsidR="00F52455">
        <w:t>3-months</w:t>
      </w:r>
      <w:r>
        <w:t xml:space="preserve"> on all primary and secondary outcome measures, except for overall satisfaction with healthcare which remained similarly high at all measurement points</w:t>
      </w:r>
      <w:r w:rsidR="00B55530">
        <w:t>.</w:t>
      </w:r>
      <w:r w:rsidR="00F5024B" w:rsidRPr="00F5024B">
        <w:t xml:space="preserve"> </w:t>
      </w:r>
      <w:r w:rsidR="00F5024B">
        <w:t xml:space="preserve">Figure </w:t>
      </w:r>
      <w:r w:rsidR="00495583">
        <w:t>2</w:t>
      </w:r>
      <w:r w:rsidR="00F5024B">
        <w:t xml:space="preserve"> displays the change in </w:t>
      </w:r>
      <w:r w:rsidR="00863D75">
        <w:t xml:space="preserve">back-related disability </w:t>
      </w:r>
      <w:r w:rsidR="00F5024B">
        <w:t xml:space="preserve">over time; </w:t>
      </w:r>
      <w:r w:rsidR="005432C3">
        <w:t xml:space="preserve">outcomes by treatment group and </w:t>
      </w:r>
      <w:r w:rsidR="00F5024B">
        <w:t>secondary outcomes are provided in Supplementa</w:t>
      </w:r>
      <w:r w:rsidR="009B665E">
        <w:t>l</w:t>
      </w:r>
      <w:r w:rsidR="00F5024B">
        <w:t xml:space="preserve"> </w:t>
      </w:r>
      <w:r w:rsidR="0015101C">
        <w:t xml:space="preserve">Material </w:t>
      </w:r>
      <w:r w:rsidR="005432C3">
        <w:t xml:space="preserve">Figure 2 and </w:t>
      </w:r>
      <w:r w:rsidR="00471461">
        <w:t xml:space="preserve">Supplemental Material </w:t>
      </w:r>
      <w:r w:rsidR="0015101C">
        <w:t xml:space="preserve">Table </w:t>
      </w:r>
      <w:r w:rsidR="00471461">
        <w:t xml:space="preserve">5 </w:t>
      </w:r>
      <w:r w:rsidR="005432C3">
        <w:t>respectively</w:t>
      </w:r>
      <w:r w:rsidR="00F5024B">
        <w:t xml:space="preserve">.  </w:t>
      </w:r>
    </w:p>
    <w:p w14:paraId="0E18BB74" w14:textId="77777777" w:rsidR="005E710E" w:rsidRDefault="005E710E" w:rsidP="005E710E">
      <w:pPr>
        <w:pStyle w:val="NoSpacing"/>
      </w:pPr>
      <w:r>
        <w:rPr>
          <w:noProof/>
        </w:rPr>
        <w:drawing>
          <wp:inline distT="0" distB="0" distL="0" distR="0" wp14:anchorId="43E0BC20" wp14:editId="1F9DDE96">
            <wp:extent cx="5731510" cy="43522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352290"/>
                    </a:xfrm>
                    <a:prstGeom prst="rect">
                      <a:avLst/>
                    </a:prstGeom>
                    <a:noFill/>
                    <a:ln>
                      <a:noFill/>
                    </a:ln>
                  </pic:spPr>
                </pic:pic>
              </a:graphicData>
            </a:graphic>
          </wp:inline>
        </w:drawing>
      </w:r>
    </w:p>
    <w:p w14:paraId="65DBFF5F" w14:textId="77777777" w:rsidR="005E710E" w:rsidRDefault="005E710E" w:rsidP="005E710E">
      <w:pPr>
        <w:pStyle w:val="NoSpacing"/>
      </w:pPr>
      <w:r>
        <w:t>Figure 2.  Back-Related Disability over Time.  Mean scores and standard errors are plotted.</w:t>
      </w:r>
    </w:p>
    <w:p w14:paraId="15A24AB5" w14:textId="77777777" w:rsidR="005E710E" w:rsidRDefault="005E710E" w:rsidP="002F4465">
      <w:pPr>
        <w:ind w:firstLine="720"/>
      </w:pPr>
    </w:p>
    <w:p w14:paraId="0706DE79" w14:textId="33EF9BBE" w:rsidR="007815F0" w:rsidRPr="009E258F" w:rsidRDefault="007815F0" w:rsidP="00852941">
      <w:pPr>
        <w:pStyle w:val="Heading2"/>
      </w:pPr>
      <w:r w:rsidRPr="009E258F">
        <w:t xml:space="preserve">Contextual Predictors of </w:t>
      </w:r>
      <w:r w:rsidR="00BC639B">
        <w:t>Back-Related Disability over Time</w:t>
      </w:r>
    </w:p>
    <w:p w14:paraId="4BD3BA4D" w14:textId="19B07F74" w:rsidR="002C0079" w:rsidRDefault="00E62AD2" w:rsidP="002F4465">
      <w:pPr>
        <w:ind w:firstLine="720"/>
      </w:pPr>
      <w:r w:rsidRPr="007E5BE4">
        <w:t xml:space="preserve">Table </w:t>
      </w:r>
      <w:r w:rsidR="004E28C9">
        <w:t>2</w:t>
      </w:r>
      <w:r w:rsidRPr="007E5BE4">
        <w:t xml:space="preserve"> shows the results of models assessing the relationship between each contextual component and back-related disability over time.  </w:t>
      </w:r>
      <w:r w:rsidR="00FA092A" w:rsidRPr="007E5BE4">
        <w:t xml:space="preserve">After controlling for </w:t>
      </w:r>
      <w:r w:rsidR="00D63E2D">
        <w:t xml:space="preserve">baseline </w:t>
      </w:r>
      <w:r w:rsidR="00E10699">
        <w:t xml:space="preserve">disability and </w:t>
      </w:r>
      <w:r w:rsidR="00FA092A" w:rsidRPr="007E5BE4">
        <w:t>potential confounders, statistically significant predictors of reduced back-related disability over time were: stronger therapeutic alliance</w:t>
      </w:r>
      <w:r w:rsidR="007E5BE4" w:rsidRPr="007E5BE4">
        <w:t xml:space="preserve"> on all three dimensions;</w:t>
      </w:r>
      <w:r w:rsidR="00FA092A" w:rsidRPr="007E5BE4">
        <w:t xml:space="preserve"> </w:t>
      </w:r>
      <w:r w:rsidR="00217065" w:rsidRPr="007E5BE4">
        <w:t>higher</w:t>
      </w:r>
      <w:r w:rsidR="00FA092A" w:rsidRPr="007E5BE4">
        <w:t xml:space="preserve"> patient </w:t>
      </w:r>
      <w:r w:rsidR="00217065" w:rsidRPr="007E5BE4">
        <w:t xml:space="preserve">satisfaction with </w:t>
      </w:r>
      <w:r w:rsidR="00217065" w:rsidRPr="007E5BE4">
        <w:lastRenderedPageBreak/>
        <w:t>appointment systems</w:t>
      </w:r>
      <w:r w:rsidR="00FA092A" w:rsidRPr="007E5BE4">
        <w:t xml:space="preserve">; reduced perceived credibility of chosen </w:t>
      </w:r>
      <w:r w:rsidR="00A921C4">
        <w:t>treatment</w:t>
      </w:r>
      <w:r w:rsidR="00FA092A" w:rsidRPr="007E5BE4">
        <w:t xml:space="preserve">; and increased practitioner-rated outcome expectancies.  </w:t>
      </w:r>
    </w:p>
    <w:p w14:paraId="5B54041F" w14:textId="67B8131B" w:rsidR="007E517C" w:rsidRDefault="00FA092A" w:rsidP="007E517C">
      <w:pPr>
        <w:ind w:firstLine="720"/>
      </w:pPr>
      <w:r w:rsidRPr="007E5BE4">
        <w:t xml:space="preserve">Therapeutic alliance </w:t>
      </w:r>
      <w:r w:rsidR="007E5BE4" w:rsidRPr="007E5BE4">
        <w:t xml:space="preserve">concerning task </w:t>
      </w:r>
      <w:r w:rsidRPr="007E5BE4">
        <w:t>and practitioner-rated outcome expectancies demonstrated the largest effect sizes.</w:t>
      </w:r>
      <w:r w:rsidRPr="009E258F">
        <w:t xml:space="preserve">  </w:t>
      </w:r>
      <w:r w:rsidR="002C0079">
        <w:t xml:space="preserve">For </w:t>
      </w:r>
      <w:r w:rsidR="00D12498">
        <w:t>each</w:t>
      </w:r>
      <w:r w:rsidR="002C0079">
        <w:t xml:space="preserve"> unit increase in patients’ rating of the therapeutic alliance (task), </w:t>
      </w:r>
      <w:r w:rsidR="00D12498">
        <w:t xml:space="preserve">patient-rated </w:t>
      </w:r>
      <w:r w:rsidR="00D12498" w:rsidRPr="007E5BE4">
        <w:t>back-related disability over time</w:t>
      </w:r>
      <w:r w:rsidR="00D12498" w:rsidRPr="00E62AD2">
        <w:t xml:space="preserve"> </w:t>
      </w:r>
      <w:r w:rsidR="00D12498">
        <w:t xml:space="preserve">decreased by </w:t>
      </w:r>
      <w:r w:rsidR="002C0079" w:rsidRPr="00E62AD2">
        <w:t xml:space="preserve">2.33 </w:t>
      </w:r>
      <w:r w:rsidR="00D12498">
        <w:t xml:space="preserve">points </w:t>
      </w:r>
      <w:r w:rsidR="00D12498" w:rsidRPr="00E62AD2">
        <w:t>(</w:t>
      </w:r>
      <w:r w:rsidR="00D12498">
        <w:t xml:space="preserve">95% CI </w:t>
      </w:r>
      <w:r w:rsidR="00D12498" w:rsidRPr="00E62AD2">
        <w:t>-2.89</w:t>
      </w:r>
      <w:r w:rsidR="00D12498">
        <w:t xml:space="preserve"> to</w:t>
      </w:r>
      <w:r w:rsidR="00D12498" w:rsidRPr="00E62AD2">
        <w:t xml:space="preserve"> -1.77)</w:t>
      </w:r>
      <w:r w:rsidR="00D12498">
        <w:t xml:space="preserve"> on the RMDQ.  </w:t>
      </w:r>
      <w:r w:rsidR="007E517C">
        <w:t xml:space="preserve">For each unit increase in practitioners’ patient-specific outcome expectancies, patient-rated </w:t>
      </w:r>
      <w:r w:rsidR="007E517C" w:rsidRPr="007E5BE4">
        <w:t>back-related disability over time</w:t>
      </w:r>
      <w:r w:rsidR="007E517C" w:rsidRPr="00E62AD2">
        <w:t xml:space="preserve"> </w:t>
      </w:r>
      <w:r w:rsidR="007E517C">
        <w:t xml:space="preserve">decreased by </w:t>
      </w:r>
      <w:r w:rsidR="007E517C" w:rsidRPr="00E62AD2">
        <w:t>1.</w:t>
      </w:r>
      <w:r w:rsidR="007E517C">
        <w:t>29</w:t>
      </w:r>
      <w:r w:rsidR="007E517C" w:rsidRPr="00E62AD2">
        <w:t xml:space="preserve"> </w:t>
      </w:r>
      <w:r w:rsidR="007E517C">
        <w:t xml:space="preserve">points </w:t>
      </w:r>
      <w:r w:rsidR="007E517C" w:rsidRPr="00E62AD2">
        <w:t>(</w:t>
      </w:r>
      <w:r w:rsidR="007E517C">
        <w:t xml:space="preserve">95% CI </w:t>
      </w:r>
      <w:r w:rsidR="007E517C" w:rsidRPr="00E62AD2">
        <w:t>-1.6</w:t>
      </w:r>
      <w:r w:rsidR="007E517C">
        <w:t>6 to</w:t>
      </w:r>
      <w:r w:rsidR="007E517C" w:rsidRPr="00E62AD2">
        <w:t xml:space="preserve"> -0.9</w:t>
      </w:r>
      <w:r w:rsidR="007E517C">
        <w:t>2</w:t>
      </w:r>
      <w:r w:rsidR="007E517C" w:rsidRPr="00E62AD2">
        <w:t>)</w:t>
      </w:r>
      <w:r w:rsidR="007E517C">
        <w:t xml:space="preserve"> on the RMDQ.  </w:t>
      </w:r>
    </w:p>
    <w:p w14:paraId="489B234D" w14:textId="77777777" w:rsidR="00BC0950" w:rsidRDefault="00BC0950" w:rsidP="002F4465">
      <w:pPr>
        <w:ind w:firstLine="720"/>
      </w:pPr>
    </w:p>
    <w:p w14:paraId="5B8EBAEE" w14:textId="77777777" w:rsidR="004E28C9" w:rsidRDefault="004E28C9" w:rsidP="004E28C9">
      <w:pPr>
        <w:pStyle w:val="Heading2"/>
      </w:pPr>
      <w:r>
        <w:t>Mediation Analysis to Examine Mechanisms</w:t>
      </w:r>
    </w:p>
    <w:p w14:paraId="06BA3993" w14:textId="77777777" w:rsidR="00F262B9" w:rsidRDefault="004E28C9" w:rsidP="004E28C9">
      <w:pPr>
        <w:ind w:firstLine="720"/>
      </w:pPr>
      <w:r>
        <w:t xml:space="preserve">All the mediators were significantly associated with the outcome (for descriptive statistics see Supplemental Material Table 6). </w:t>
      </w:r>
      <w:r w:rsidR="00F262B9">
        <w:t xml:space="preserve"> </w:t>
      </w:r>
      <w:r>
        <w:t>For each unit increase in self-efficacy for coping with pain, RMDQ improved by 0</w:t>
      </w:r>
      <w:r w:rsidRPr="006A669E">
        <w:t>.0</w:t>
      </w:r>
      <w:r>
        <w:t xml:space="preserve">7 (95% CI -0.08, -0.05).  </w:t>
      </w:r>
      <w:r w:rsidRPr="007E5BE4">
        <w:t xml:space="preserve">As </w:t>
      </w:r>
      <w:r>
        <w:t>psychosocial distress</w:t>
      </w:r>
      <w:r w:rsidRPr="007E5BE4">
        <w:t xml:space="preserve"> increase</w:t>
      </w:r>
      <w:r>
        <w:t>d</w:t>
      </w:r>
      <w:r w:rsidRPr="007E5BE4">
        <w:t xml:space="preserve"> by one unit, RMDQ increase</w:t>
      </w:r>
      <w:r>
        <w:t>d</w:t>
      </w:r>
      <w:r w:rsidRPr="007E5BE4">
        <w:t xml:space="preserve"> by 1.43 (95% CI 1.09, 1.77).  </w:t>
      </w:r>
      <w:r>
        <w:t>And as overall perception of back pain as threatening increased by one unit, RMDQ score increased by 0</w:t>
      </w:r>
      <w:r w:rsidRPr="00E83E71">
        <w:t>.23</w:t>
      </w:r>
      <w:r>
        <w:t xml:space="preserve"> (95% CI 0.21, 0.25).  After controlling for these three variables</w:t>
      </w:r>
      <w:r w:rsidR="00F262B9">
        <w:t xml:space="preserve"> in the longitudinal multilevel models</w:t>
      </w:r>
      <w:r>
        <w:t>, the measures of therapeutic alliance, satisfaction with appointment systems, and reduced perceived credibility of treatment were no longer statistically significant predictors of RMDQ (Table 2).  This suggests that their effects on disability are indeed mediated by increased self-efficacy for coping with pain,</w:t>
      </w:r>
      <w:r w:rsidRPr="004A12F1">
        <w:t xml:space="preserve"> </w:t>
      </w:r>
      <w:r>
        <w:t xml:space="preserve">reduced perception of back pain as threatening, and reduction in psychosocial distress.  </w:t>
      </w:r>
    </w:p>
    <w:p w14:paraId="40C4BA97" w14:textId="02A62E13" w:rsidR="004E28C9" w:rsidRDefault="004E28C9" w:rsidP="004E28C9">
      <w:pPr>
        <w:ind w:firstLine="720"/>
      </w:pPr>
      <w:r>
        <w:t xml:space="preserve">Practitioners’ outcome expectancies at baseline showed reduced but still statistically significant effects on RMDQ changes over time, suggesting that their effects are only partially mediated.  In all cases the mediators remained associated with the outcome in the multivariable models, except for self-efficacy, which was not statistically significant in the model with practitioners’ outcome expectancies.  This suggests that the effect of practitioners’ outcome expectancies at baseline on changes in RMDQ over time was partially mediated by changes in </w:t>
      </w:r>
      <w:r>
        <w:lastRenderedPageBreak/>
        <w:t xml:space="preserve">perception of back pain as threatening and psychosocial distress.  </w:t>
      </w:r>
      <w:r w:rsidR="00732A58">
        <w:t>For a visual summary</w:t>
      </w:r>
      <w:r w:rsidR="00912F92">
        <w:t xml:space="preserve"> of the general mediation model tested</w:t>
      </w:r>
      <w:r w:rsidR="00732A58">
        <w:t>, see Supplemental Material Figure 3.</w:t>
      </w:r>
    </w:p>
    <w:p w14:paraId="2B01F10C" w14:textId="77777777" w:rsidR="00BC0950" w:rsidRDefault="00BC0950" w:rsidP="004E28C9">
      <w:pPr>
        <w:ind w:firstLine="720"/>
        <w:sectPr w:rsidR="00BC0950" w:rsidSect="00E60BE4">
          <w:headerReference w:type="default" r:id="rId12"/>
          <w:pgSz w:w="11906" w:h="16838"/>
          <w:pgMar w:top="1440" w:right="1440" w:bottom="1440" w:left="1440" w:header="708" w:footer="708" w:gutter="0"/>
          <w:cols w:space="708"/>
          <w:docGrid w:linePitch="360"/>
        </w:sectPr>
      </w:pPr>
    </w:p>
    <w:p w14:paraId="0AE3723D" w14:textId="77777777" w:rsidR="00BC0950" w:rsidRPr="002152C4" w:rsidRDefault="00BC0950" w:rsidP="00BC0950">
      <w:pPr>
        <w:pStyle w:val="NoSpacing"/>
        <w:rPr>
          <w:sz w:val="20"/>
        </w:rPr>
      </w:pPr>
      <w:r w:rsidRPr="002152C4">
        <w:rPr>
          <w:sz w:val="20"/>
        </w:rPr>
        <w:lastRenderedPageBreak/>
        <w:t>Table 2.  Longitudinal Models Assessing Contextual Predictors of Back-Related Disability over Time in Patients Receiving Physiotherapy, Osteopathy, or Acupuncture for a New Episode of Low Back Pain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0"/>
        <w:gridCol w:w="1221"/>
        <w:gridCol w:w="1298"/>
        <w:gridCol w:w="1863"/>
        <w:gridCol w:w="1872"/>
        <w:gridCol w:w="1842"/>
        <w:gridCol w:w="1972"/>
      </w:tblGrid>
      <w:tr w:rsidR="00C0558D" w:rsidRPr="009B7EDA" w14:paraId="2A93AA62" w14:textId="77777777" w:rsidTr="00C0558D">
        <w:tc>
          <w:tcPr>
            <w:tcW w:w="3890" w:type="dxa"/>
            <w:tcBorders>
              <w:top w:val="single" w:sz="4" w:space="0" w:color="auto"/>
            </w:tcBorders>
          </w:tcPr>
          <w:p w14:paraId="52A23EB6" w14:textId="77777777" w:rsidR="00C0558D" w:rsidRPr="002152C4" w:rsidRDefault="00C0558D" w:rsidP="00507A92">
            <w:pPr>
              <w:pStyle w:val="NoSpacing"/>
              <w:rPr>
                <w:sz w:val="20"/>
              </w:rPr>
            </w:pPr>
          </w:p>
        </w:tc>
        <w:tc>
          <w:tcPr>
            <w:tcW w:w="1221" w:type="dxa"/>
            <w:tcBorders>
              <w:top w:val="single" w:sz="4" w:space="0" w:color="auto"/>
            </w:tcBorders>
          </w:tcPr>
          <w:p w14:paraId="2532E300" w14:textId="77777777" w:rsidR="00C0558D" w:rsidRPr="005E710E" w:rsidRDefault="00C0558D" w:rsidP="00507A92">
            <w:pPr>
              <w:pStyle w:val="NoSpacing"/>
              <w:rPr>
                <w:sz w:val="20"/>
              </w:rPr>
            </w:pPr>
          </w:p>
        </w:tc>
        <w:tc>
          <w:tcPr>
            <w:tcW w:w="1298" w:type="dxa"/>
            <w:tcBorders>
              <w:top w:val="single" w:sz="4" w:space="0" w:color="auto"/>
            </w:tcBorders>
          </w:tcPr>
          <w:p w14:paraId="354CC0EE" w14:textId="04CC1AF5" w:rsidR="00C0558D" w:rsidRPr="002152C4" w:rsidRDefault="00C0558D" w:rsidP="00507A92">
            <w:pPr>
              <w:pStyle w:val="NoSpacing"/>
              <w:rPr>
                <w:sz w:val="20"/>
              </w:rPr>
            </w:pPr>
          </w:p>
        </w:tc>
        <w:tc>
          <w:tcPr>
            <w:tcW w:w="5577" w:type="dxa"/>
            <w:gridSpan w:val="3"/>
            <w:tcBorders>
              <w:top w:val="single" w:sz="4" w:space="0" w:color="auto"/>
            </w:tcBorders>
          </w:tcPr>
          <w:p w14:paraId="5C924B1E" w14:textId="77777777" w:rsidR="00C0558D" w:rsidRPr="002152C4" w:rsidRDefault="00C0558D" w:rsidP="00507A92">
            <w:pPr>
              <w:pStyle w:val="NoSpacing"/>
              <w:jc w:val="center"/>
              <w:rPr>
                <w:sz w:val="20"/>
              </w:rPr>
            </w:pPr>
            <w:r w:rsidRPr="002152C4">
              <w:rPr>
                <w:sz w:val="20"/>
              </w:rPr>
              <w:t>Change in RMDQ for one</w:t>
            </w:r>
            <w:r>
              <w:rPr>
                <w:sz w:val="20"/>
              </w:rPr>
              <w:t>-</w:t>
            </w:r>
            <w:r w:rsidRPr="002152C4">
              <w:rPr>
                <w:sz w:val="20"/>
              </w:rPr>
              <w:t>unit change in component</w:t>
            </w:r>
          </w:p>
        </w:tc>
        <w:tc>
          <w:tcPr>
            <w:tcW w:w="1972" w:type="dxa"/>
            <w:vMerge w:val="restart"/>
            <w:tcBorders>
              <w:top w:val="single" w:sz="4" w:space="0" w:color="auto"/>
            </w:tcBorders>
          </w:tcPr>
          <w:p w14:paraId="7358A3DF" w14:textId="77777777" w:rsidR="00C0558D" w:rsidRPr="002152C4" w:rsidRDefault="00C0558D" w:rsidP="00507A92">
            <w:pPr>
              <w:pStyle w:val="NoSpacing"/>
              <w:rPr>
                <w:sz w:val="20"/>
              </w:rPr>
            </w:pPr>
            <w:r w:rsidRPr="002152C4">
              <w:rPr>
                <w:sz w:val="20"/>
              </w:rPr>
              <w:t xml:space="preserve">Effect size partial eta-squared (95% </w:t>
            </w:r>
            <w:proofErr w:type="gramStart"/>
            <w:r w:rsidRPr="002152C4">
              <w:rPr>
                <w:sz w:val="20"/>
              </w:rPr>
              <w:t>CI)</w:t>
            </w:r>
            <w:r>
              <w:rPr>
                <w:sz w:val="20"/>
                <w:vertAlign w:val="superscript"/>
              </w:rPr>
              <w:t>c</w:t>
            </w:r>
            <w:proofErr w:type="gramEnd"/>
          </w:p>
        </w:tc>
      </w:tr>
      <w:tr w:rsidR="00C0558D" w:rsidRPr="009B7EDA" w14:paraId="5489C446" w14:textId="77777777" w:rsidTr="00C0558D">
        <w:tc>
          <w:tcPr>
            <w:tcW w:w="3890" w:type="dxa"/>
            <w:tcBorders>
              <w:bottom w:val="single" w:sz="4" w:space="0" w:color="auto"/>
            </w:tcBorders>
          </w:tcPr>
          <w:p w14:paraId="7DFC3B8D" w14:textId="77777777" w:rsidR="00C0558D" w:rsidRPr="002152C4" w:rsidRDefault="00C0558D" w:rsidP="00507A92">
            <w:pPr>
              <w:pStyle w:val="NoSpacing"/>
              <w:rPr>
                <w:sz w:val="20"/>
              </w:rPr>
            </w:pPr>
            <w:r w:rsidRPr="002152C4">
              <w:rPr>
                <w:sz w:val="20"/>
              </w:rPr>
              <w:t>Contextual component</w:t>
            </w:r>
          </w:p>
        </w:tc>
        <w:tc>
          <w:tcPr>
            <w:tcW w:w="1221" w:type="dxa"/>
            <w:tcBorders>
              <w:bottom w:val="single" w:sz="4" w:space="0" w:color="auto"/>
            </w:tcBorders>
          </w:tcPr>
          <w:p w14:paraId="783D74EF" w14:textId="5974F0D5" w:rsidR="00C0558D" w:rsidRPr="005E710E" w:rsidRDefault="00C0558D" w:rsidP="00507A92">
            <w:pPr>
              <w:pStyle w:val="NoSpacing"/>
              <w:rPr>
                <w:sz w:val="20"/>
              </w:rPr>
            </w:pPr>
            <w:r w:rsidRPr="005E710E">
              <w:rPr>
                <w:sz w:val="20"/>
              </w:rPr>
              <w:t>Possible scale range</w:t>
            </w:r>
          </w:p>
        </w:tc>
        <w:tc>
          <w:tcPr>
            <w:tcW w:w="1298" w:type="dxa"/>
            <w:tcBorders>
              <w:bottom w:val="single" w:sz="4" w:space="0" w:color="auto"/>
            </w:tcBorders>
          </w:tcPr>
          <w:p w14:paraId="50859B24" w14:textId="2C3B411B" w:rsidR="00C0558D" w:rsidRPr="002152C4" w:rsidRDefault="00C0558D" w:rsidP="00507A92">
            <w:pPr>
              <w:pStyle w:val="NoSpacing"/>
              <w:rPr>
                <w:sz w:val="20"/>
              </w:rPr>
            </w:pPr>
            <w:r w:rsidRPr="002152C4">
              <w:rPr>
                <w:sz w:val="20"/>
              </w:rPr>
              <w:t>Mean (SD)</w:t>
            </w:r>
          </w:p>
        </w:tc>
        <w:tc>
          <w:tcPr>
            <w:tcW w:w="1863" w:type="dxa"/>
            <w:tcBorders>
              <w:bottom w:val="single" w:sz="4" w:space="0" w:color="auto"/>
            </w:tcBorders>
          </w:tcPr>
          <w:p w14:paraId="309D84ED" w14:textId="77777777" w:rsidR="00C0558D" w:rsidRPr="002152C4" w:rsidRDefault="00C0558D" w:rsidP="00507A92">
            <w:pPr>
              <w:pStyle w:val="NoSpacing"/>
              <w:rPr>
                <w:sz w:val="20"/>
              </w:rPr>
            </w:pPr>
            <w:r w:rsidRPr="002152C4">
              <w:rPr>
                <w:sz w:val="20"/>
              </w:rPr>
              <w:t>Unadjusted for confounders</w:t>
            </w:r>
          </w:p>
        </w:tc>
        <w:tc>
          <w:tcPr>
            <w:tcW w:w="1872" w:type="dxa"/>
            <w:tcBorders>
              <w:bottom w:val="single" w:sz="4" w:space="0" w:color="auto"/>
            </w:tcBorders>
          </w:tcPr>
          <w:p w14:paraId="26015190" w14:textId="77777777" w:rsidR="00C0558D" w:rsidRPr="002152C4" w:rsidRDefault="00C0558D" w:rsidP="00507A92">
            <w:pPr>
              <w:pStyle w:val="NoSpacing"/>
              <w:rPr>
                <w:sz w:val="20"/>
              </w:rPr>
            </w:pPr>
            <w:r w:rsidRPr="002152C4">
              <w:rPr>
                <w:sz w:val="20"/>
              </w:rPr>
              <w:t xml:space="preserve">Adjusted for </w:t>
            </w:r>
            <w:proofErr w:type="spellStart"/>
            <w:r w:rsidRPr="002152C4">
              <w:rPr>
                <w:sz w:val="20"/>
              </w:rPr>
              <w:t>confounders</w:t>
            </w:r>
            <w:r w:rsidRPr="00146E21">
              <w:rPr>
                <w:sz w:val="20"/>
                <w:vertAlign w:val="superscript"/>
              </w:rPr>
              <w:t>a</w:t>
            </w:r>
            <w:proofErr w:type="spellEnd"/>
          </w:p>
        </w:tc>
        <w:tc>
          <w:tcPr>
            <w:tcW w:w="1842" w:type="dxa"/>
            <w:tcBorders>
              <w:bottom w:val="single" w:sz="4" w:space="0" w:color="auto"/>
            </w:tcBorders>
          </w:tcPr>
          <w:p w14:paraId="1BA2D682" w14:textId="77777777" w:rsidR="00C0558D" w:rsidRPr="002152C4" w:rsidRDefault="00C0558D" w:rsidP="00507A92">
            <w:pPr>
              <w:pStyle w:val="NoSpacing"/>
              <w:rPr>
                <w:sz w:val="20"/>
              </w:rPr>
            </w:pPr>
            <w:r w:rsidRPr="002152C4">
              <w:rPr>
                <w:sz w:val="20"/>
              </w:rPr>
              <w:t xml:space="preserve">Adjusted for </w:t>
            </w:r>
            <w:proofErr w:type="spellStart"/>
            <w:r w:rsidRPr="002152C4">
              <w:rPr>
                <w:sz w:val="20"/>
              </w:rPr>
              <w:t>mediators</w:t>
            </w:r>
            <w:r w:rsidRPr="002152C4">
              <w:rPr>
                <w:sz w:val="20"/>
                <w:vertAlign w:val="superscript"/>
              </w:rPr>
              <w:t>b</w:t>
            </w:r>
            <w:proofErr w:type="spellEnd"/>
          </w:p>
        </w:tc>
        <w:tc>
          <w:tcPr>
            <w:tcW w:w="1972" w:type="dxa"/>
            <w:vMerge/>
            <w:tcBorders>
              <w:bottom w:val="single" w:sz="4" w:space="0" w:color="auto"/>
            </w:tcBorders>
          </w:tcPr>
          <w:p w14:paraId="510C00DB" w14:textId="77777777" w:rsidR="00C0558D" w:rsidRPr="002152C4" w:rsidRDefault="00C0558D" w:rsidP="00507A92">
            <w:pPr>
              <w:pStyle w:val="NoSpacing"/>
              <w:rPr>
                <w:sz w:val="20"/>
              </w:rPr>
            </w:pPr>
          </w:p>
        </w:tc>
      </w:tr>
      <w:tr w:rsidR="00C0558D" w:rsidRPr="009B7EDA" w14:paraId="2673F93F" w14:textId="77777777" w:rsidTr="00C0558D">
        <w:tc>
          <w:tcPr>
            <w:tcW w:w="3890" w:type="dxa"/>
            <w:tcBorders>
              <w:top w:val="single" w:sz="4" w:space="0" w:color="auto"/>
            </w:tcBorders>
          </w:tcPr>
          <w:p w14:paraId="443B8ECA" w14:textId="77777777" w:rsidR="00C0558D" w:rsidRPr="002152C4" w:rsidRDefault="00C0558D" w:rsidP="00C0558D">
            <w:pPr>
              <w:pStyle w:val="NoSpacing"/>
              <w:rPr>
                <w:sz w:val="20"/>
              </w:rPr>
            </w:pPr>
            <w:r w:rsidRPr="002152C4">
              <w:rPr>
                <w:sz w:val="20"/>
              </w:rPr>
              <w:t>Therapeutic alliance: goal</w:t>
            </w:r>
          </w:p>
        </w:tc>
        <w:tc>
          <w:tcPr>
            <w:tcW w:w="1221" w:type="dxa"/>
            <w:tcBorders>
              <w:top w:val="single" w:sz="4" w:space="0" w:color="auto"/>
            </w:tcBorders>
          </w:tcPr>
          <w:p w14:paraId="0B18FD4C" w14:textId="726074D7" w:rsidR="00C0558D" w:rsidRPr="005E710E" w:rsidRDefault="00C0558D" w:rsidP="00C0558D">
            <w:pPr>
              <w:pStyle w:val="NoSpacing"/>
              <w:rPr>
                <w:sz w:val="20"/>
              </w:rPr>
            </w:pPr>
            <w:r w:rsidRPr="005E710E">
              <w:t>1-5</w:t>
            </w:r>
          </w:p>
        </w:tc>
        <w:tc>
          <w:tcPr>
            <w:tcW w:w="1298" w:type="dxa"/>
            <w:tcBorders>
              <w:top w:val="single" w:sz="4" w:space="0" w:color="auto"/>
            </w:tcBorders>
          </w:tcPr>
          <w:p w14:paraId="3BE1C1A9" w14:textId="68BBE3A4" w:rsidR="00C0558D" w:rsidRPr="002152C4" w:rsidRDefault="00C0558D" w:rsidP="00C0558D">
            <w:pPr>
              <w:pStyle w:val="NoSpacing"/>
              <w:rPr>
                <w:sz w:val="20"/>
              </w:rPr>
            </w:pPr>
            <w:r w:rsidRPr="002152C4">
              <w:rPr>
                <w:sz w:val="20"/>
              </w:rPr>
              <w:t>4.2 (0.7)</w:t>
            </w:r>
          </w:p>
        </w:tc>
        <w:tc>
          <w:tcPr>
            <w:tcW w:w="1863" w:type="dxa"/>
            <w:tcBorders>
              <w:top w:val="single" w:sz="4" w:space="0" w:color="auto"/>
            </w:tcBorders>
          </w:tcPr>
          <w:p w14:paraId="5ECF47E9" w14:textId="77777777" w:rsidR="00C0558D" w:rsidRPr="002152C4" w:rsidRDefault="00C0558D" w:rsidP="00C0558D">
            <w:pPr>
              <w:pStyle w:val="NoSpacing"/>
              <w:rPr>
                <w:sz w:val="20"/>
              </w:rPr>
            </w:pPr>
            <w:r w:rsidRPr="002152C4">
              <w:rPr>
                <w:sz w:val="20"/>
              </w:rPr>
              <w:t xml:space="preserve">-1.14 (-1.69, -0.60) </w:t>
            </w:r>
          </w:p>
        </w:tc>
        <w:tc>
          <w:tcPr>
            <w:tcW w:w="1872" w:type="dxa"/>
            <w:tcBorders>
              <w:top w:val="single" w:sz="4" w:space="0" w:color="auto"/>
            </w:tcBorders>
          </w:tcPr>
          <w:p w14:paraId="5106957A" w14:textId="77777777" w:rsidR="00C0558D" w:rsidRPr="002152C4" w:rsidRDefault="00C0558D" w:rsidP="00C0558D">
            <w:pPr>
              <w:pStyle w:val="NoSpacing"/>
              <w:rPr>
                <w:sz w:val="20"/>
              </w:rPr>
            </w:pPr>
            <w:r w:rsidRPr="002152C4">
              <w:rPr>
                <w:sz w:val="20"/>
              </w:rPr>
              <w:t xml:space="preserve">-0.94 (-1.54, -0.35) </w:t>
            </w:r>
          </w:p>
        </w:tc>
        <w:tc>
          <w:tcPr>
            <w:tcW w:w="1842" w:type="dxa"/>
            <w:tcBorders>
              <w:top w:val="single" w:sz="4" w:space="0" w:color="auto"/>
            </w:tcBorders>
          </w:tcPr>
          <w:p w14:paraId="04A14F60" w14:textId="77777777" w:rsidR="00C0558D" w:rsidRPr="002152C4" w:rsidRDefault="00C0558D" w:rsidP="00C0558D">
            <w:pPr>
              <w:pStyle w:val="NoSpacing"/>
              <w:rPr>
                <w:sz w:val="20"/>
              </w:rPr>
            </w:pPr>
            <w:r w:rsidRPr="002152C4">
              <w:rPr>
                <w:sz w:val="20"/>
              </w:rPr>
              <w:t xml:space="preserve">0.36 (-0.09, 0.82) </w:t>
            </w:r>
          </w:p>
        </w:tc>
        <w:tc>
          <w:tcPr>
            <w:tcW w:w="1972" w:type="dxa"/>
            <w:tcBorders>
              <w:top w:val="single" w:sz="4" w:space="0" w:color="auto"/>
            </w:tcBorders>
          </w:tcPr>
          <w:p w14:paraId="3B6ED87D" w14:textId="77777777" w:rsidR="00C0558D" w:rsidRPr="002152C4" w:rsidRDefault="00C0558D" w:rsidP="00C0558D">
            <w:pPr>
              <w:pStyle w:val="NoSpacing"/>
              <w:rPr>
                <w:sz w:val="20"/>
              </w:rPr>
            </w:pPr>
            <w:r w:rsidRPr="002152C4">
              <w:rPr>
                <w:sz w:val="20"/>
              </w:rPr>
              <w:t xml:space="preserve">0.02 (0.004, 0.04) </w:t>
            </w:r>
          </w:p>
        </w:tc>
      </w:tr>
      <w:tr w:rsidR="00C0558D" w:rsidRPr="009B7EDA" w14:paraId="6832A956" w14:textId="77777777" w:rsidTr="00C0558D">
        <w:tc>
          <w:tcPr>
            <w:tcW w:w="3890" w:type="dxa"/>
          </w:tcPr>
          <w:p w14:paraId="4A2DA474" w14:textId="77777777" w:rsidR="00C0558D" w:rsidRPr="002152C4" w:rsidRDefault="00C0558D" w:rsidP="00C0558D">
            <w:pPr>
              <w:pStyle w:val="NoSpacing"/>
              <w:rPr>
                <w:sz w:val="20"/>
              </w:rPr>
            </w:pPr>
            <w:r w:rsidRPr="002152C4">
              <w:rPr>
                <w:sz w:val="20"/>
              </w:rPr>
              <w:t>Therapeutic alliance: task</w:t>
            </w:r>
          </w:p>
        </w:tc>
        <w:tc>
          <w:tcPr>
            <w:tcW w:w="1221" w:type="dxa"/>
          </w:tcPr>
          <w:p w14:paraId="73293795" w14:textId="1BECB618" w:rsidR="00C0558D" w:rsidRPr="005E710E" w:rsidRDefault="00C0558D" w:rsidP="00C0558D">
            <w:pPr>
              <w:pStyle w:val="NoSpacing"/>
              <w:rPr>
                <w:sz w:val="20"/>
              </w:rPr>
            </w:pPr>
            <w:r w:rsidRPr="005E710E">
              <w:t>1-5</w:t>
            </w:r>
          </w:p>
        </w:tc>
        <w:tc>
          <w:tcPr>
            <w:tcW w:w="1298" w:type="dxa"/>
          </w:tcPr>
          <w:p w14:paraId="540AC351" w14:textId="58BA039B" w:rsidR="00C0558D" w:rsidRPr="002152C4" w:rsidRDefault="00C0558D" w:rsidP="00C0558D">
            <w:pPr>
              <w:pStyle w:val="NoSpacing"/>
              <w:rPr>
                <w:sz w:val="20"/>
              </w:rPr>
            </w:pPr>
            <w:r w:rsidRPr="002152C4">
              <w:rPr>
                <w:sz w:val="20"/>
              </w:rPr>
              <w:t>4.0 (0.6)</w:t>
            </w:r>
          </w:p>
        </w:tc>
        <w:tc>
          <w:tcPr>
            <w:tcW w:w="1863" w:type="dxa"/>
          </w:tcPr>
          <w:p w14:paraId="3BF3D7B6" w14:textId="77777777" w:rsidR="00C0558D" w:rsidRPr="002152C4" w:rsidRDefault="00C0558D" w:rsidP="00C0558D">
            <w:pPr>
              <w:pStyle w:val="NoSpacing"/>
              <w:rPr>
                <w:sz w:val="20"/>
              </w:rPr>
            </w:pPr>
            <w:r w:rsidRPr="002152C4">
              <w:rPr>
                <w:sz w:val="20"/>
              </w:rPr>
              <w:t xml:space="preserve">-2.78 (-3.33, -2.23) </w:t>
            </w:r>
          </w:p>
        </w:tc>
        <w:tc>
          <w:tcPr>
            <w:tcW w:w="1872" w:type="dxa"/>
          </w:tcPr>
          <w:p w14:paraId="14A7406E" w14:textId="77777777" w:rsidR="00C0558D" w:rsidRPr="002152C4" w:rsidRDefault="00C0558D" w:rsidP="00C0558D">
            <w:pPr>
              <w:pStyle w:val="NoSpacing"/>
              <w:rPr>
                <w:sz w:val="20"/>
              </w:rPr>
            </w:pPr>
            <w:r w:rsidRPr="002152C4">
              <w:rPr>
                <w:sz w:val="20"/>
              </w:rPr>
              <w:t xml:space="preserve">-2.33 (-2.89, -1.77) </w:t>
            </w:r>
          </w:p>
        </w:tc>
        <w:tc>
          <w:tcPr>
            <w:tcW w:w="1842" w:type="dxa"/>
          </w:tcPr>
          <w:p w14:paraId="6F5F713B" w14:textId="77777777" w:rsidR="00C0558D" w:rsidRPr="002152C4" w:rsidRDefault="00C0558D" w:rsidP="00C0558D">
            <w:pPr>
              <w:pStyle w:val="NoSpacing"/>
              <w:rPr>
                <w:sz w:val="20"/>
              </w:rPr>
            </w:pPr>
            <w:r w:rsidRPr="002152C4">
              <w:rPr>
                <w:sz w:val="20"/>
              </w:rPr>
              <w:t xml:space="preserve">0.13 (-0.34, 0.61) </w:t>
            </w:r>
          </w:p>
        </w:tc>
        <w:tc>
          <w:tcPr>
            <w:tcW w:w="1972" w:type="dxa"/>
          </w:tcPr>
          <w:p w14:paraId="3B87EA42" w14:textId="77777777" w:rsidR="00C0558D" w:rsidRPr="002152C4" w:rsidRDefault="00C0558D" w:rsidP="00C0558D">
            <w:pPr>
              <w:pStyle w:val="NoSpacing"/>
              <w:rPr>
                <w:sz w:val="20"/>
              </w:rPr>
            </w:pPr>
            <w:r w:rsidRPr="002152C4">
              <w:rPr>
                <w:sz w:val="20"/>
              </w:rPr>
              <w:t xml:space="preserve">0.10 (0.07, 0.14) </w:t>
            </w:r>
          </w:p>
        </w:tc>
      </w:tr>
      <w:tr w:rsidR="00C0558D" w:rsidRPr="009B7EDA" w14:paraId="010D9AFE" w14:textId="77777777" w:rsidTr="00C0558D">
        <w:tc>
          <w:tcPr>
            <w:tcW w:w="3890" w:type="dxa"/>
          </w:tcPr>
          <w:p w14:paraId="7A972D64" w14:textId="77777777" w:rsidR="00C0558D" w:rsidRPr="002152C4" w:rsidRDefault="00C0558D" w:rsidP="00C0558D">
            <w:pPr>
              <w:pStyle w:val="NoSpacing"/>
              <w:rPr>
                <w:sz w:val="20"/>
              </w:rPr>
            </w:pPr>
            <w:r w:rsidRPr="002152C4">
              <w:rPr>
                <w:sz w:val="20"/>
              </w:rPr>
              <w:t>Therapeutic alliance: bond</w:t>
            </w:r>
          </w:p>
        </w:tc>
        <w:tc>
          <w:tcPr>
            <w:tcW w:w="1221" w:type="dxa"/>
          </w:tcPr>
          <w:p w14:paraId="17052590" w14:textId="4841FF5C" w:rsidR="00C0558D" w:rsidRPr="005E710E" w:rsidRDefault="00C0558D" w:rsidP="00C0558D">
            <w:pPr>
              <w:pStyle w:val="NoSpacing"/>
              <w:rPr>
                <w:sz w:val="20"/>
              </w:rPr>
            </w:pPr>
            <w:r w:rsidRPr="005E710E">
              <w:t>1-5</w:t>
            </w:r>
          </w:p>
        </w:tc>
        <w:tc>
          <w:tcPr>
            <w:tcW w:w="1298" w:type="dxa"/>
          </w:tcPr>
          <w:p w14:paraId="14B55DC7" w14:textId="0F464D03" w:rsidR="00C0558D" w:rsidRPr="002152C4" w:rsidRDefault="00C0558D" w:rsidP="00C0558D">
            <w:pPr>
              <w:pStyle w:val="NoSpacing"/>
              <w:rPr>
                <w:sz w:val="20"/>
              </w:rPr>
            </w:pPr>
            <w:r w:rsidRPr="002152C4">
              <w:rPr>
                <w:sz w:val="20"/>
              </w:rPr>
              <w:t>4.1 (0.9)</w:t>
            </w:r>
          </w:p>
        </w:tc>
        <w:tc>
          <w:tcPr>
            <w:tcW w:w="1863" w:type="dxa"/>
          </w:tcPr>
          <w:p w14:paraId="0CDB45EE" w14:textId="77777777" w:rsidR="00C0558D" w:rsidRPr="002152C4" w:rsidRDefault="00C0558D" w:rsidP="00C0558D">
            <w:pPr>
              <w:pStyle w:val="NoSpacing"/>
              <w:rPr>
                <w:sz w:val="20"/>
              </w:rPr>
            </w:pPr>
            <w:r w:rsidRPr="002152C4">
              <w:rPr>
                <w:sz w:val="20"/>
              </w:rPr>
              <w:t xml:space="preserve">-1.14 (-1.56, -0.32) </w:t>
            </w:r>
          </w:p>
        </w:tc>
        <w:tc>
          <w:tcPr>
            <w:tcW w:w="1872" w:type="dxa"/>
          </w:tcPr>
          <w:p w14:paraId="53167C7F" w14:textId="77777777" w:rsidR="00C0558D" w:rsidRPr="002152C4" w:rsidRDefault="00C0558D" w:rsidP="00C0558D">
            <w:pPr>
              <w:pStyle w:val="NoSpacing"/>
              <w:rPr>
                <w:sz w:val="20"/>
              </w:rPr>
            </w:pPr>
            <w:r w:rsidRPr="002152C4">
              <w:rPr>
                <w:sz w:val="20"/>
              </w:rPr>
              <w:t xml:space="preserve">-0.86 (-1.30, -0.43) </w:t>
            </w:r>
          </w:p>
        </w:tc>
        <w:tc>
          <w:tcPr>
            <w:tcW w:w="1842" w:type="dxa"/>
          </w:tcPr>
          <w:p w14:paraId="20B30774" w14:textId="77777777" w:rsidR="00C0558D" w:rsidRPr="002152C4" w:rsidRDefault="00C0558D" w:rsidP="00C0558D">
            <w:pPr>
              <w:pStyle w:val="NoSpacing"/>
              <w:rPr>
                <w:sz w:val="20"/>
              </w:rPr>
            </w:pPr>
            <w:r w:rsidRPr="002152C4">
              <w:rPr>
                <w:sz w:val="20"/>
              </w:rPr>
              <w:t xml:space="preserve">-0.10 (-0.43, 0.23) </w:t>
            </w:r>
          </w:p>
        </w:tc>
        <w:tc>
          <w:tcPr>
            <w:tcW w:w="1972" w:type="dxa"/>
          </w:tcPr>
          <w:p w14:paraId="0F31B586" w14:textId="77777777" w:rsidR="00C0558D" w:rsidRPr="002152C4" w:rsidRDefault="00C0558D" w:rsidP="00C0558D">
            <w:pPr>
              <w:pStyle w:val="NoSpacing"/>
              <w:rPr>
                <w:sz w:val="20"/>
              </w:rPr>
            </w:pPr>
            <w:r w:rsidRPr="002152C4">
              <w:rPr>
                <w:sz w:val="20"/>
              </w:rPr>
              <w:t>0.03 (0.01, 0.05)</w:t>
            </w:r>
          </w:p>
        </w:tc>
      </w:tr>
      <w:tr w:rsidR="00C0558D" w:rsidRPr="009B7EDA" w14:paraId="05127A2A" w14:textId="77777777" w:rsidTr="00C0558D">
        <w:tc>
          <w:tcPr>
            <w:tcW w:w="3890" w:type="dxa"/>
          </w:tcPr>
          <w:p w14:paraId="01FFB66D" w14:textId="77777777" w:rsidR="00C0558D" w:rsidRPr="002152C4" w:rsidRDefault="00C0558D" w:rsidP="00C0558D">
            <w:pPr>
              <w:pStyle w:val="NoSpacing"/>
              <w:rPr>
                <w:sz w:val="20"/>
              </w:rPr>
            </w:pPr>
            <w:r w:rsidRPr="002152C4">
              <w:rPr>
                <w:sz w:val="20"/>
              </w:rPr>
              <w:t>Environment:  Limits on Treatment</w:t>
            </w:r>
          </w:p>
        </w:tc>
        <w:tc>
          <w:tcPr>
            <w:tcW w:w="1221" w:type="dxa"/>
          </w:tcPr>
          <w:p w14:paraId="095879FA" w14:textId="4E85E05C" w:rsidR="00C0558D" w:rsidRPr="005E710E" w:rsidRDefault="00C0558D" w:rsidP="00C0558D">
            <w:pPr>
              <w:pStyle w:val="NoSpacing"/>
              <w:rPr>
                <w:sz w:val="20"/>
              </w:rPr>
            </w:pPr>
            <w:r w:rsidRPr="005E710E">
              <w:t>4-28</w:t>
            </w:r>
          </w:p>
        </w:tc>
        <w:tc>
          <w:tcPr>
            <w:tcW w:w="1298" w:type="dxa"/>
          </w:tcPr>
          <w:p w14:paraId="4A063742" w14:textId="3B7EC501" w:rsidR="00C0558D" w:rsidRPr="002152C4" w:rsidRDefault="00C0558D" w:rsidP="00C0558D">
            <w:pPr>
              <w:pStyle w:val="NoSpacing"/>
              <w:rPr>
                <w:sz w:val="20"/>
              </w:rPr>
            </w:pPr>
            <w:r w:rsidRPr="002152C4">
              <w:rPr>
                <w:sz w:val="20"/>
              </w:rPr>
              <w:t>11.5 (2.9)</w:t>
            </w:r>
          </w:p>
        </w:tc>
        <w:tc>
          <w:tcPr>
            <w:tcW w:w="1863" w:type="dxa"/>
          </w:tcPr>
          <w:p w14:paraId="6B82C523" w14:textId="77777777" w:rsidR="00C0558D" w:rsidRPr="002152C4" w:rsidRDefault="00C0558D" w:rsidP="00C0558D">
            <w:pPr>
              <w:pStyle w:val="NoSpacing"/>
              <w:rPr>
                <w:sz w:val="20"/>
              </w:rPr>
            </w:pPr>
            <w:r w:rsidRPr="002152C4">
              <w:rPr>
                <w:sz w:val="20"/>
              </w:rPr>
              <w:t xml:space="preserve">-0.08 (-0.25, 0.09) </w:t>
            </w:r>
          </w:p>
        </w:tc>
        <w:tc>
          <w:tcPr>
            <w:tcW w:w="1872" w:type="dxa"/>
          </w:tcPr>
          <w:p w14:paraId="12D1BF5C" w14:textId="77777777" w:rsidR="00C0558D" w:rsidRPr="002152C4" w:rsidRDefault="00C0558D" w:rsidP="00C0558D">
            <w:pPr>
              <w:pStyle w:val="NoSpacing"/>
              <w:rPr>
                <w:sz w:val="20"/>
              </w:rPr>
            </w:pPr>
            <w:r w:rsidRPr="002152C4">
              <w:rPr>
                <w:sz w:val="20"/>
              </w:rPr>
              <w:t xml:space="preserve">-0.03 (-0.23, 0.16) </w:t>
            </w:r>
          </w:p>
        </w:tc>
        <w:tc>
          <w:tcPr>
            <w:tcW w:w="1842" w:type="dxa"/>
          </w:tcPr>
          <w:p w14:paraId="13A6F8C7" w14:textId="77777777" w:rsidR="00C0558D" w:rsidRPr="002152C4" w:rsidRDefault="00C0558D" w:rsidP="00C0558D">
            <w:pPr>
              <w:pStyle w:val="NoSpacing"/>
              <w:rPr>
                <w:sz w:val="20"/>
              </w:rPr>
            </w:pPr>
          </w:p>
        </w:tc>
        <w:tc>
          <w:tcPr>
            <w:tcW w:w="1972" w:type="dxa"/>
          </w:tcPr>
          <w:p w14:paraId="07A2A14B" w14:textId="77777777" w:rsidR="00C0558D" w:rsidRPr="002152C4" w:rsidRDefault="00C0558D" w:rsidP="00C0558D">
            <w:pPr>
              <w:pStyle w:val="NoSpacing"/>
              <w:rPr>
                <w:sz w:val="20"/>
              </w:rPr>
            </w:pPr>
          </w:p>
        </w:tc>
      </w:tr>
      <w:tr w:rsidR="00C0558D" w:rsidRPr="009B7EDA" w14:paraId="1DF965D2" w14:textId="77777777" w:rsidTr="00C0558D">
        <w:tc>
          <w:tcPr>
            <w:tcW w:w="3890" w:type="dxa"/>
          </w:tcPr>
          <w:p w14:paraId="30E54E69" w14:textId="77777777" w:rsidR="00C0558D" w:rsidRPr="002152C4" w:rsidRDefault="00C0558D" w:rsidP="00C0558D">
            <w:pPr>
              <w:pStyle w:val="NoSpacing"/>
              <w:rPr>
                <w:sz w:val="20"/>
              </w:rPr>
            </w:pPr>
            <w:r w:rsidRPr="002152C4">
              <w:rPr>
                <w:sz w:val="20"/>
              </w:rPr>
              <w:t>Environment:  Connections within the Healthcare System</w:t>
            </w:r>
          </w:p>
        </w:tc>
        <w:tc>
          <w:tcPr>
            <w:tcW w:w="1221" w:type="dxa"/>
          </w:tcPr>
          <w:p w14:paraId="6019B898" w14:textId="7E7BBF1B" w:rsidR="00C0558D" w:rsidRPr="005E710E" w:rsidRDefault="00C0558D" w:rsidP="00C0558D">
            <w:pPr>
              <w:pStyle w:val="NoSpacing"/>
              <w:rPr>
                <w:sz w:val="20"/>
              </w:rPr>
            </w:pPr>
            <w:r w:rsidRPr="005E710E">
              <w:t>3-21</w:t>
            </w:r>
          </w:p>
        </w:tc>
        <w:tc>
          <w:tcPr>
            <w:tcW w:w="1298" w:type="dxa"/>
          </w:tcPr>
          <w:p w14:paraId="67FDF1FA" w14:textId="224C31A8" w:rsidR="00C0558D" w:rsidRPr="002152C4" w:rsidRDefault="00C0558D" w:rsidP="00C0558D">
            <w:pPr>
              <w:pStyle w:val="NoSpacing"/>
              <w:rPr>
                <w:sz w:val="20"/>
              </w:rPr>
            </w:pPr>
            <w:r w:rsidRPr="002152C4">
              <w:rPr>
                <w:sz w:val="20"/>
              </w:rPr>
              <w:t>11.3 (2.3)</w:t>
            </w:r>
          </w:p>
        </w:tc>
        <w:tc>
          <w:tcPr>
            <w:tcW w:w="1863" w:type="dxa"/>
          </w:tcPr>
          <w:p w14:paraId="1438E9E0" w14:textId="77777777" w:rsidR="00C0558D" w:rsidRPr="002152C4" w:rsidRDefault="00C0558D" w:rsidP="00C0558D">
            <w:pPr>
              <w:pStyle w:val="NoSpacing"/>
              <w:rPr>
                <w:sz w:val="20"/>
              </w:rPr>
            </w:pPr>
            <w:r w:rsidRPr="002152C4">
              <w:rPr>
                <w:sz w:val="20"/>
              </w:rPr>
              <w:t>0.01 (-0.23, 0.25)</w:t>
            </w:r>
          </w:p>
        </w:tc>
        <w:tc>
          <w:tcPr>
            <w:tcW w:w="1872" w:type="dxa"/>
          </w:tcPr>
          <w:p w14:paraId="6670F8FC" w14:textId="77777777" w:rsidR="00C0558D" w:rsidRPr="002152C4" w:rsidRDefault="00C0558D" w:rsidP="00C0558D">
            <w:pPr>
              <w:pStyle w:val="NoSpacing"/>
              <w:rPr>
                <w:sz w:val="20"/>
              </w:rPr>
            </w:pPr>
            <w:r w:rsidRPr="002152C4">
              <w:rPr>
                <w:sz w:val="20"/>
              </w:rPr>
              <w:t xml:space="preserve">-0.05 (-0.27, 0.17) </w:t>
            </w:r>
          </w:p>
        </w:tc>
        <w:tc>
          <w:tcPr>
            <w:tcW w:w="1842" w:type="dxa"/>
          </w:tcPr>
          <w:p w14:paraId="170CC7BF" w14:textId="77777777" w:rsidR="00C0558D" w:rsidRPr="002152C4" w:rsidRDefault="00C0558D" w:rsidP="00C0558D">
            <w:pPr>
              <w:pStyle w:val="NoSpacing"/>
              <w:rPr>
                <w:sz w:val="20"/>
              </w:rPr>
            </w:pPr>
          </w:p>
        </w:tc>
        <w:tc>
          <w:tcPr>
            <w:tcW w:w="1972" w:type="dxa"/>
          </w:tcPr>
          <w:p w14:paraId="6057A8F3" w14:textId="77777777" w:rsidR="00C0558D" w:rsidRPr="002152C4" w:rsidRDefault="00C0558D" w:rsidP="00C0558D">
            <w:pPr>
              <w:pStyle w:val="NoSpacing"/>
              <w:rPr>
                <w:sz w:val="20"/>
              </w:rPr>
            </w:pPr>
          </w:p>
        </w:tc>
      </w:tr>
      <w:tr w:rsidR="00C0558D" w:rsidRPr="009B7EDA" w14:paraId="2CE15E7E" w14:textId="77777777" w:rsidTr="00C0558D">
        <w:tc>
          <w:tcPr>
            <w:tcW w:w="3890" w:type="dxa"/>
          </w:tcPr>
          <w:p w14:paraId="03C3E037" w14:textId="77777777" w:rsidR="00C0558D" w:rsidRPr="002152C4" w:rsidRDefault="00C0558D" w:rsidP="00C0558D">
            <w:pPr>
              <w:pStyle w:val="NoSpacing"/>
              <w:rPr>
                <w:sz w:val="20"/>
              </w:rPr>
            </w:pPr>
            <w:r w:rsidRPr="002152C4">
              <w:rPr>
                <w:sz w:val="20"/>
              </w:rPr>
              <w:t>Environment: Satisfaction with appointment systems</w:t>
            </w:r>
          </w:p>
        </w:tc>
        <w:tc>
          <w:tcPr>
            <w:tcW w:w="1221" w:type="dxa"/>
          </w:tcPr>
          <w:p w14:paraId="7DC9F9C2" w14:textId="60356C05" w:rsidR="00C0558D" w:rsidRPr="005E710E" w:rsidRDefault="00C0558D" w:rsidP="00C0558D">
            <w:pPr>
              <w:pStyle w:val="NoSpacing"/>
              <w:rPr>
                <w:sz w:val="20"/>
              </w:rPr>
            </w:pPr>
            <w:r w:rsidRPr="005E710E">
              <w:t>1-5</w:t>
            </w:r>
          </w:p>
        </w:tc>
        <w:tc>
          <w:tcPr>
            <w:tcW w:w="1298" w:type="dxa"/>
          </w:tcPr>
          <w:p w14:paraId="0C7D56EE" w14:textId="55CB92C2" w:rsidR="00C0558D" w:rsidRPr="002152C4" w:rsidRDefault="00C0558D" w:rsidP="00C0558D">
            <w:pPr>
              <w:pStyle w:val="NoSpacing"/>
              <w:rPr>
                <w:sz w:val="20"/>
              </w:rPr>
            </w:pPr>
            <w:r w:rsidRPr="002152C4">
              <w:rPr>
                <w:sz w:val="20"/>
              </w:rPr>
              <w:t>1.9 (0.7)</w:t>
            </w:r>
          </w:p>
        </w:tc>
        <w:tc>
          <w:tcPr>
            <w:tcW w:w="1863" w:type="dxa"/>
          </w:tcPr>
          <w:p w14:paraId="3F7C9DBC" w14:textId="77777777" w:rsidR="00C0558D" w:rsidRPr="002152C4" w:rsidRDefault="00C0558D" w:rsidP="00C0558D">
            <w:pPr>
              <w:pStyle w:val="NoSpacing"/>
              <w:rPr>
                <w:sz w:val="20"/>
              </w:rPr>
            </w:pPr>
            <w:r w:rsidRPr="002152C4">
              <w:rPr>
                <w:sz w:val="20"/>
              </w:rPr>
              <w:t xml:space="preserve">1.31 (0.81, 1.82) </w:t>
            </w:r>
          </w:p>
        </w:tc>
        <w:tc>
          <w:tcPr>
            <w:tcW w:w="1872" w:type="dxa"/>
          </w:tcPr>
          <w:p w14:paraId="2ABC14C2" w14:textId="77777777" w:rsidR="00C0558D" w:rsidRPr="002152C4" w:rsidRDefault="00C0558D" w:rsidP="00C0558D">
            <w:pPr>
              <w:pStyle w:val="NoSpacing"/>
              <w:rPr>
                <w:sz w:val="20"/>
              </w:rPr>
            </w:pPr>
            <w:r w:rsidRPr="002152C4">
              <w:rPr>
                <w:sz w:val="20"/>
              </w:rPr>
              <w:t xml:space="preserve">0.67 (0.13, 1.20) </w:t>
            </w:r>
          </w:p>
        </w:tc>
        <w:tc>
          <w:tcPr>
            <w:tcW w:w="1842" w:type="dxa"/>
          </w:tcPr>
          <w:p w14:paraId="0C7519B1" w14:textId="77777777" w:rsidR="00C0558D" w:rsidRPr="002152C4" w:rsidRDefault="00C0558D" w:rsidP="00C0558D">
            <w:pPr>
              <w:pStyle w:val="NoSpacing"/>
              <w:rPr>
                <w:sz w:val="20"/>
              </w:rPr>
            </w:pPr>
            <w:r w:rsidRPr="002152C4">
              <w:rPr>
                <w:sz w:val="20"/>
              </w:rPr>
              <w:t xml:space="preserve">-0.23 (-0.65, 0.14) </w:t>
            </w:r>
          </w:p>
        </w:tc>
        <w:tc>
          <w:tcPr>
            <w:tcW w:w="1972" w:type="dxa"/>
          </w:tcPr>
          <w:p w14:paraId="03674C28" w14:textId="77777777" w:rsidR="00C0558D" w:rsidRPr="002152C4" w:rsidRDefault="00C0558D" w:rsidP="00C0558D">
            <w:pPr>
              <w:pStyle w:val="NoSpacing"/>
              <w:rPr>
                <w:sz w:val="20"/>
              </w:rPr>
            </w:pPr>
            <w:r w:rsidRPr="002152C4">
              <w:rPr>
                <w:sz w:val="20"/>
              </w:rPr>
              <w:t xml:space="preserve">0.02 (0.01, 0.04) </w:t>
            </w:r>
          </w:p>
        </w:tc>
      </w:tr>
      <w:tr w:rsidR="00C0558D" w:rsidRPr="009B7EDA" w14:paraId="523D368B" w14:textId="77777777" w:rsidTr="00C0558D">
        <w:tc>
          <w:tcPr>
            <w:tcW w:w="3890" w:type="dxa"/>
          </w:tcPr>
          <w:p w14:paraId="5CF2D7F2" w14:textId="77777777" w:rsidR="00C0558D" w:rsidRPr="002152C4" w:rsidRDefault="00C0558D" w:rsidP="00C0558D">
            <w:pPr>
              <w:pStyle w:val="NoSpacing"/>
              <w:rPr>
                <w:sz w:val="20"/>
              </w:rPr>
            </w:pPr>
            <w:r w:rsidRPr="002152C4">
              <w:rPr>
                <w:sz w:val="20"/>
              </w:rPr>
              <w:t>Environment:  Satisfaction with access</w:t>
            </w:r>
          </w:p>
        </w:tc>
        <w:tc>
          <w:tcPr>
            <w:tcW w:w="1221" w:type="dxa"/>
          </w:tcPr>
          <w:p w14:paraId="6056C671" w14:textId="0D95D48B" w:rsidR="00C0558D" w:rsidRPr="005E710E" w:rsidRDefault="00C0558D" w:rsidP="00C0558D">
            <w:pPr>
              <w:pStyle w:val="NoSpacing"/>
              <w:rPr>
                <w:sz w:val="20"/>
              </w:rPr>
            </w:pPr>
            <w:r w:rsidRPr="005E710E">
              <w:t>1-5</w:t>
            </w:r>
          </w:p>
        </w:tc>
        <w:tc>
          <w:tcPr>
            <w:tcW w:w="1298" w:type="dxa"/>
          </w:tcPr>
          <w:p w14:paraId="6B534663" w14:textId="487F8D26" w:rsidR="00C0558D" w:rsidRPr="002152C4" w:rsidRDefault="00C0558D" w:rsidP="00C0558D">
            <w:pPr>
              <w:pStyle w:val="NoSpacing"/>
              <w:rPr>
                <w:bCs/>
                <w:sz w:val="20"/>
              </w:rPr>
            </w:pPr>
            <w:r w:rsidRPr="002152C4">
              <w:rPr>
                <w:sz w:val="20"/>
              </w:rPr>
              <w:t>2.5 (0.6)</w:t>
            </w:r>
          </w:p>
        </w:tc>
        <w:tc>
          <w:tcPr>
            <w:tcW w:w="1863" w:type="dxa"/>
          </w:tcPr>
          <w:p w14:paraId="74C03E3F" w14:textId="77777777" w:rsidR="00C0558D" w:rsidRPr="002152C4" w:rsidRDefault="00C0558D" w:rsidP="00C0558D">
            <w:pPr>
              <w:pStyle w:val="NoSpacing"/>
              <w:rPr>
                <w:sz w:val="20"/>
              </w:rPr>
            </w:pPr>
            <w:r w:rsidRPr="002152C4">
              <w:rPr>
                <w:sz w:val="20"/>
              </w:rPr>
              <w:t xml:space="preserve">1.01 (0.38, 1.63) </w:t>
            </w:r>
          </w:p>
        </w:tc>
        <w:tc>
          <w:tcPr>
            <w:tcW w:w="1872" w:type="dxa"/>
          </w:tcPr>
          <w:p w14:paraId="0E20E183" w14:textId="77777777" w:rsidR="00C0558D" w:rsidRPr="002152C4" w:rsidRDefault="00C0558D" w:rsidP="00C0558D">
            <w:pPr>
              <w:pStyle w:val="NoSpacing"/>
              <w:rPr>
                <w:sz w:val="20"/>
              </w:rPr>
            </w:pPr>
            <w:r w:rsidRPr="002152C4">
              <w:rPr>
                <w:sz w:val="20"/>
              </w:rPr>
              <w:t xml:space="preserve">0.60 (-0.04, 1.26) </w:t>
            </w:r>
          </w:p>
        </w:tc>
        <w:tc>
          <w:tcPr>
            <w:tcW w:w="1842" w:type="dxa"/>
          </w:tcPr>
          <w:p w14:paraId="1E78245A" w14:textId="77777777" w:rsidR="00C0558D" w:rsidRPr="002152C4" w:rsidRDefault="00C0558D" w:rsidP="00C0558D">
            <w:pPr>
              <w:pStyle w:val="NoSpacing"/>
              <w:rPr>
                <w:sz w:val="20"/>
              </w:rPr>
            </w:pPr>
          </w:p>
        </w:tc>
        <w:tc>
          <w:tcPr>
            <w:tcW w:w="1972" w:type="dxa"/>
          </w:tcPr>
          <w:p w14:paraId="0217484C" w14:textId="77777777" w:rsidR="00C0558D" w:rsidRPr="002152C4" w:rsidRDefault="00C0558D" w:rsidP="00C0558D">
            <w:pPr>
              <w:pStyle w:val="NoSpacing"/>
              <w:rPr>
                <w:sz w:val="20"/>
              </w:rPr>
            </w:pPr>
          </w:p>
        </w:tc>
      </w:tr>
      <w:tr w:rsidR="00C0558D" w:rsidRPr="009B7EDA" w14:paraId="76155F40" w14:textId="77777777" w:rsidTr="00C0558D">
        <w:tc>
          <w:tcPr>
            <w:tcW w:w="3890" w:type="dxa"/>
          </w:tcPr>
          <w:p w14:paraId="11624F6A" w14:textId="77777777" w:rsidR="00C0558D" w:rsidRPr="002152C4" w:rsidRDefault="00C0558D" w:rsidP="00C0558D">
            <w:pPr>
              <w:pStyle w:val="NoSpacing"/>
              <w:rPr>
                <w:sz w:val="20"/>
              </w:rPr>
            </w:pPr>
            <w:r w:rsidRPr="002152C4">
              <w:rPr>
                <w:sz w:val="20"/>
              </w:rPr>
              <w:t>Environment: Satisfaction with facilities</w:t>
            </w:r>
          </w:p>
        </w:tc>
        <w:tc>
          <w:tcPr>
            <w:tcW w:w="1221" w:type="dxa"/>
          </w:tcPr>
          <w:p w14:paraId="4FD7B0CD" w14:textId="7194979C" w:rsidR="00C0558D" w:rsidRPr="005E710E" w:rsidRDefault="00C0558D" w:rsidP="00C0558D">
            <w:pPr>
              <w:pStyle w:val="NoSpacing"/>
              <w:rPr>
                <w:sz w:val="20"/>
              </w:rPr>
            </w:pPr>
            <w:r w:rsidRPr="005E710E">
              <w:t>1-5</w:t>
            </w:r>
          </w:p>
        </w:tc>
        <w:tc>
          <w:tcPr>
            <w:tcW w:w="1298" w:type="dxa"/>
          </w:tcPr>
          <w:p w14:paraId="038D429E" w14:textId="7C07BC82" w:rsidR="00C0558D" w:rsidRPr="002152C4" w:rsidRDefault="00C0558D" w:rsidP="00C0558D">
            <w:pPr>
              <w:pStyle w:val="NoSpacing"/>
              <w:rPr>
                <w:bCs/>
                <w:sz w:val="20"/>
              </w:rPr>
            </w:pPr>
            <w:r w:rsidRPr="002152C4">
              <w:rPr>
                <w:sz w:val="20"/>
              </w:rPr>
              <w:t>2.2 (0.8)</w:t>
            </w:r>
          </w:p>
        </w:tc>
        <w:tc>
          <w:tcPr>
            <w:tcW w:w="1863" w:type="dxa"/>
          </w:tcPr>
          <w:p w14:paraId="5D416836" w14:textId="77777777" w:rsidR="00C0558D" w:rsidRPr="002152C4" w:rsidRDefault="00C0558D" w:rsidP="00C0558D">
            <w:pPr>
              <w:pStyle w:val="NoSpacing"/>
              <w:rPr>
                <w:sz w:val="20"/>
              </w:rPr>
            </w:pPr>
            <w:r w:rsidRPr="002152C4">
              <w:rPr>
                <w:sz w:val="20"/>
              </w:rPr>
              <w:t xml:space="preserve">0.52 (0.04, 1.01) </w:t>
            </w:r>
          </w:p>
        </w:tc>
        <w:tc>
          <w:tcPr>
            <w:tcW w:w="1872" w:type="dxa"/>
          </w:tcPr>
          <w:p w14:paraId="3147BE07" w14:textId="77777777" w:rsidR="00C0558D" w:rsidRPr="002152C4" w:rsidRDefault="00C0558D" w:rsidP="00C0558D">
            <w:pPr>
              <w:pStyle w:val="NoSpacing"/>
              <w:rPr>
                <w:sz w:val="20"/>
              </w:rPr>
            </w:pPr>
            <w:r w:rsidRPr="002152C4">
              <w:rPr>
                <w:sz w:val="20"/>
              </w:rPr>
              <w:t xml:space="preserve">0.34 (-0.18, 0.86) </w:t>
            </w:r>
          </w:p>
        </w:tc>
        <w:tc>
          <w:tcPr>
            <w:tcW w:w="1842" w:type="dxa"/>
          </w:tcPr>
          <w:p w14:paraId="2851E74A" w14:textId="77777777" w:rsidR="00C0558D" w:rsidRPr="002152C4" w:rsidRDefault="00C0558D" w:rsidP="00C0558D">
            <w:pPr>
              <w:pStyle w:val="NoSpacing"/>
              <w:rPr>
                <w:sz w:val="20"/>
              </w:rPr>
            </w:pPr>
          </w:p>
        </w:tc>
        <w:tc>
          <w:tcPr>
            <w:tcW w:w="1972" w:type="dxa"/>
          </w:tcPr>
          <w:p w14:paraId="6922C611" w14:textId="77777777" w:rsidR="00C0558D" w:rsidRPr="002152C4" w:rsidRDefault="00C0558D" w:rsidP="00C0558D">
            <w:pPr>
              <w:pStyle w:val="NoSpacing"/>
              <w:rPr>
                <w:sz w:val="20"/>
              </w:rPr>
            </w:pPr>
          </w:p>
        </w:tc>
      </w:tr>
      <w:tr w:rsidR="00426E73" w:rsidRPr="009B7EDA" w14:paraId="3FCCA033" w14:textId="77777777" w:rsidTr="00C0558D">
        <w:tc>
          <w:tcPr>
            <w:tcW w:w="3890" w:type="dxa"/>
          </w:tcPr>
          <w:p w14:paraId="2CF41BBA" w14:textId="77777777" w:rsidR="00426E73" w:rsidRPr="002152C4" w:rsidRDefault="00426E73" w:rsidP="00426E73">
            <w:pPr>
              <w:pStyle w:val="NoSpacing"/>
              <w:rPr>
                <w:sz w:val="20"/>
              </w:rPr>
            </w:pPr>
            <w:r w:rsidRPr="002152C4">
              <w:rPr>
                <w:sz w:val="20"/>
              </w:rPr>
              <w:t>Patient’s beliefs: Perceived credibility of treatment</w:t>
            </w:r>
          </w:p>
        </w:tc>
        <w:tc>
          <w:tcPr>
            <w:tcW w:w="1221" w:type="dxa"/>
          </w:tcPr>
          <w:p w14:paraId="2E804D22" w14:textId="5A8AC723" w:rsidR="00426E73" w:rsidRPr="005E710E" w:rsidRDefault="00426E73" w:rsidP="00426E73">
            <w:pPr>
              <w:pStyle w:val="NoSpacing"/>
              <w:rPr>
                <w:sz w:val="20"/>
              </w:rPr>
            </w:pPr>
            <w:r w:rsidRPr="005E710E">
              <w:t>1-5</w:t>
            </w:r>
          </w:p>
        </w:tc>
        <w:tc>
          <w:tcPr>
            <w:tcW w:w="1298" w:type="dxa"/>
          </w:tcPr>
          <w:p w14:paraId="2BD8839E" w14:textId="20A67FC4" w:rsidR="00426E73" w:rsidRPr="002152C4" w:rsidRDefault="00426E73" w:rsidP="00426E73">
            <w:pPr>
              <w:pStyle w:val="NoSpacing"/>
              <w:rPr>
                <w:bCs/>
                <w:sz w:val="20"/>
              </w:rPr>
            </w:pPr>
            <w:r w:rsidRPr="002152C4">
              <w:rPr>
                <w:sz w:val="20"/>
              </w:rPr>
              <w:t>3.0 (0.3)</w:t>
            </w:r>
          </w:p>
        </w:tc>
        <w:tc>
          <w:tcPr>
            <w:tcW w:w="1863" w:type="dxa"/>
          </w:tcPr>
          <w:p w14:paraId="2C3DFE18" w14:textId="77777777" w:rsidR="00426E73" w:rsidRPr="002152C4" w:rsidRDefault="00426E73" w:rsidP="00426E73">
            <w:pPr>
              <w:pStyle w:val="NoSpacing"/>
              <w:rPr>
                <w:sz w:val="20"/>
              </w:rPr>
            </w:pPr>
            <w:r w:rsidRPr="002152C4">
              <w:rPr>
                <w:sz w:val="20"/>
              </w:rPr>
              <w:t xml:space="preserve">1.34 (0.19, 2.50) </w:t>
            </w:r>
          </w:p>
        </w:tc>
        <w:tc>
          <w:tcPr>
            <w:tcW w:w="1872" w:type="dxa"/>
          </w:tcPr>
          <w:p w14:paraId="6149B350" w14:textId="77777777" w:rsidR="00426E73" w:rsidRPr="002152C4" w:rsidRDefault="00426E73" w:rsidP="00426E73">
            <w:pPr>
              <w:pStyle w:val="NoSpacing"/>
              <w:rPr>
                <w:sz w:val="20"/>
              </w:rPr>
            </w:pPr>
            <w:r w:rsidRPr="002152C4">
              <w:rPr>
                <w:sz w:val="20"/>
              </w:rPr>
              <w:t xml:space="preserve">1.51 (0.35, 2.67) </w:t>
            </w:r>
          </w:p>
        </w:tc>
        <w:tc>
          <w:tcPr>
            <w:tcW w:w="1842" w:type="dxa"/>
          </w:tcPr>
          <w:p w14:paraId="6370E0AC" w14:textId="77777777" w:rsidR="00426E73" w:rsidRPr="002152C4" w:rsidRDefault="00426E73" w:rsidP="00426E73">
            <w:pPr>
              <w:pStyle w:val="NoSpacing"/>
              <w:rPr>
                <w:sz w:val="20"/>
              </w:rPr>
            </w:pPr>
            <w:r w:rsidRPr="002152C4">
              <w:rPr>
                <w:sz w:val="20"/>
              </w:rPr>
              <w:t xml:space="preserve">0.58 (-0.28, 1.44) </w:t>
            </w:r>
          </w:p>
        </w:tc>
        <w:tc>
          <w:tcPr>
            <w:tcW w:w="1972" w:type="dxa"/>
          </w:tcPr>
          <w:p w14:paraId="7C6813CD" w14:textId="77777777" w:rsidR="00426E73" w:rsidRPr="002152C4" w:rsidRDefault="00426E73" w:rsidP="00426E73">
            <w:pPr>
              <w:pStyle w:val="NoSpacing"/>
              <w:rPr>
                <w:sz w:val="20"/>
              </w:rPr>
            </w:pPr>
            <w:r w:rsidRPr="002152C4">
              <w:rPr>
                <w:sz w:val="20"/>
              </w:rPr>
              <w:t xml:space="preserve">0.01 (0.001, 0.03) </w:t>
            </w:r>
          </w:p>
        </w:tc>
      </w:tr>
      <w:tr w:rsidR="00426E73" w:rsidRPr="009B7EDA" w14:paraId="4A16E45E" w14:textId="77777777" w:rsidTr="00C0558D">
        <w:tc>
          <w:tcPr>
            <w:tcW w:w="3890" w:type="dxa"/>
          </w:tcPr>
          <w:p w14:paraId="282AA0C4" w14:textId="77777777" w:rsidR="00426E73" w:rsidRPr="002152C4" w:rsidRDefault="00426E73" w:rsidP="00426E73">
            <w:pPr>
              <w:pStyle w:val="NoSpacing"/>
              <w:rPr>
                <w:sz w:val="20"/>
              </w:rPr>
            </w:pPr>
            <w:r w:rsidRPr="002152C4">
              <w:rPr>
                <w:sz w:val="20"/>
              </w:rPr>
              <w:t>Patient’s beliefs: Expectancies for treatment effectiveness</w:t>
            </w:r>
          </w:p>
        </w:tc>
        <w:tc>
          <w:tcPr>
            <w:tcW w:w="1221" w:type="dxa"/>
          </w:tcPr>
          <w:p w14:paraId="4709A045" w14:textId="73955AF7" w:rsidR="00426E73" w:rsidRPr="005E710E" w:rsidRDefault="00426E73" w:rsidP="00426E73">
            <w:pPr>
              <w:pStyle w:val="NoSpacing"/>
              <w:rPr>
                <w:sz w:val="20"/>
              </w:rPr>
            </w:pPr>
            <w:r w:rsidRPr="005E710E">
              <w:t>1-5</w:t>
            </w:r>
          </w:p>
        </w:tc>
        <w:tc>
          <w:tcPr>
            <w:tcW w:w="1298" w:type="dxa"/>
          </w:tcPr>
          <w:p w14:paraId="066649B0" w14:textId="0B1BDD68" w:rsidR="00426E73" w:rsidRPr="002152C4" w:rsidRDefault="00426E73" w:rsidP="00426E73">
            <w:pPr>
              <w:pStyle w:val="NoSpacing"/>
              <w:rPr>
                <w:bCs/>
                <w:sz w:val="20"/>
              </w:rPr>
            </w:pPr>
            <w:r w:rsidRPr="002152C4">
              <w:rPr>
                <w:sz w:val="20"/>
              </w:rPr>
              <w:t>2.8 (0.3)</w:t>
            </w:r>
          </w:p>
        </w:tc>
        <w:tc>
          <w:tcPr>
            <w:tcW w:w="1863" w:type="dxa"/>
          </w:tcPr>
          <w:p w14:paraId="1D25872F" w14:textId="77777777" w:rsidR="00426E73" w:rsidRPr="002152C4" w:rsidRDefault="00426E73" w:rsidP="00426E73">
            <w:pPr>
              <w:pStyle w:val="NoSpacing"/>
              <w:rPr>
                <w:sz w:val="20"/>
              </w:rPr>
            </w:pPr>
            <w:r w:rsidRPr="002152C4">
              <w:rPr>
                <w:sz w:val="20"/>
              </w:rPr>
              <w:t xml:space="preserve">0.17 (-0.99, 1.34) </w:t>
            </w:r>
          </w:p>
        </w:tc>
        <w:tc>
          <w:tcPr>
            <w:tcW w:w="1872" w:type="dxa"/>
          </w:tcPr>
          <w:p w14:paraId="43BFC9ED" w14:textId="77777777" w:rsidR="00426E73" w:rsidRPr="002152C4" w:rsidRDefault="00426E73" w:rsidP="00426E73">
            <w:pPr>
              <w:pStyle w:val="NoSpacing"/>
              <w:rPr>
                <w:sz w:val="20"/>
              </w:rPr>
            </w:pPr>
            <w:r w:rsidRPr="002152C4">
              <w:rPr>
                <w:sz w:val="20"/>
              </w:rPr>
              <w:t xml:space="preserve">0.12 (-1.05, 1.29) </w:t>
            </w:r>
          </w:p>
        </w:tc>
        <w:tc>
          <w:tcPr>
            <w:tcW w:w="1842" w:type="dxa"/>
          </w:tcPr>
          <w:p w14:paraId="2FB25740" w14:textId="77777777" w:rsidR="00426E73" w:rsidRPr="002152C4" w:rsidRDefault="00426E73" w:rsidP="00426E73">
            <w:pPr>
              <w:pStyle w:val="NoSpacing"/>
              <w:rPr>
                <w:sz w:val="20"/>
              </w:rPr>
            </w:pPr>
          </w:p>
        </w:tc>
        <w:tc>
          <w:tcPr>
            <w:tcW w:w="1972" w:type="dxa"/>
          </w:tcPr>
          <w:p w14:paraId="67C9F708" w14:textId="77777777" w:rsidR="00426E73" w:rsidRPr="002152C4" w:rsidRDefault="00426E73" w:rsidP="00426E73">
            <w:pPr>
              <w:pStyle w:val="NoSpacing"/>
              <w:rPr>
                <w:sz w:val="20"/>
              </w:rPr>
            </w:pPr>
          </w:p>
        </w:tc>
      </w:tr>
      <w:tr w:rsidR="00426E73" w:rsidRPr="009B7EDA" w14:paraId="73F76111" w14:textId="77777777" w:rsidTr="00C0558D">
        <w:tc>
          <w:tcPr>
            <w:tcW w:w="3890" w:type="dxa"/>
          </w:tcPr>
          <w:p w14:paraId="6B43CAA7" w14:textId="77777777" w:rsidR="00426E73" w:rsidRPr="002152C4" w:rsidRDefault="00426E73" w:rsidP="00426E73">
            <w:pPr>
              <w:pStyle w:val="NoSpacing"/>
              <w:rPr>
                <w:sz w:val="20"/>
              </w:rPr>
            </w:pPr>
            <w:r w:rsidRPr="002152C4">
              <w:rPr>
                <w:sz w:val="20"/>
              </w:rPr>
              <w:t>Patient’s beliefs: Concerns about treatment</w:t>
            </w:r>
          </w:p>
        </w:tc>
        <w:tc>
          <w:tcPr>
            <w:tcW w:w="1221" w:type="dxa"/>
          </w:tcPr>
          <w:p w14:paraId="24007640" w14:textId="733047DE" w:rsidR="00426E73" w:rsidRPr="005E710E" w:rsidRDefault="00426E73" w:rsidP="00426E73">
            <w:pPr>
              <w:pStyle w:val="NoSpacing"/>
              <w:rPr>
                <w:sz w:val="20"/>
              </w:rPr>
            </w:pPr>
            <w:r w:rsidRPr="005E710E">
              <w:t>1-5</w:t>
            </w:r>
          </w:p>
        </w:tc>
        <w:tc>
          <w:tcPr>
            <w:tcW w:w="1298" w:type="dxa"/>
          </w:tcPr>
          <w:p w14:paraId="22C26713" w14:textId="57564777" w:rsidR="00426E73" w:rsidRPr="002152C4" w:rsidRDefault="00426E73" w:rsidP="00426E73">
            <w:pPr>
              <w:pStyle w:val="NoSpacing"/>
              <w:rPr>
                <w:bCs/>
                <w:sz w:val="20"/>
              </w:rPr>
            </w:pPr>
            <w:r w:rsidRPr="002152C4">
              <w:rPr>
                <w:sz w:val="20"/>
              </w:rPr>
              <w:t>2.9 (0.3)</w:t>
            </w:r>
          </w:p>
        </w:tc>
        <w:tc>
          <w:tcPr>
            <w:tcW w:w="1863" w:type="dxa"/>
          </w:tcPr>
          <w:p w14:paraId="16F907DD" w14:textId="77777777" w:rsidR="00426E73" w:rsidRPr="002152C4" w:rsidRDefault="00426E73" w:rsidP="00426E73">
            <w:pPr>
              <w:pStyle w:val="NoSpacing"/>
              <w:rPr>
                <w:sz w:val="20"/>
              </w:rPr>
            </w:pPr>
            <w:r w:rsidRPr="002152C4">
              <w:rPr>
                <w:sz w:val="20"/>
              </w:rPr>
              <w:t xml:space="preserve">-0.36 (-1.45, 0.73) </w:t>
            </w:r>
          </w:p>
        </w:tc>
        <w:tc>
          <w:tcPr>
            <w:tcW w:w="1872" w:type="dxa"/>
          </w:tcPr>
          <w:p w14:paraId="6AAF7975" w14:textId="77777777" w:rsidR="00426E73" w:rsidRPr="002152C4" w:rsidRDefault="00426E73" w:rsidP="00426E73">
            <w:pPr>
              <w:pStyle w:val="NoSpacing"/>
              <w:rPr>
                <w:sz w:val="20"/>
              </w:rPr>
            </w:pPr>
            <w:r w:rsidRPr="002152C4">
              <w:rPr>
                <w:sz w:val="20"/>
              </w:rPr>
              <w:t xml:space="preserve">-0.26 (-1.37, 0.86) </w:t>
            </w:r>
          </w:p>
        </w:tc>
        <w:tc>
          <w:tcPr>
            <w:tcW w:w="1842" w:type="dxa"/>
          </w:tcPr>
          <w:p w14:paraId="68D364FA" w14:textId="77777777" w:rsidR="00426E73" w:rsidRPr="002152C4" w:rsidRDefault="00426E73" w:rsidP="00426E73">
            <w:pPr>
              <w:pStyle w:val="NoSpacing"/>
              <w:rPr>
                <w:sz w:val="20"/>
              </w:rPr>
            </w:pPr>
          </w:p>
        </w:tc>
        <w:tc>
          <w:tcPr>
            <w:tcW w:w="1972" w:type="dxa"/>
          </w:tcPr>
          <w:p w14:paraId="10D5C51B" w14:textId="77777777" w:rsidR="00426E73" w:rsidRPr="002152C4" w:rsidRDefault="00426E73" w:rsidP="00426E73">
            <w:pPr>
              <w:pStyle w:val="NoSpacing"/>
              <w:rPr>
                <w:sz w:val="20"/>
              </w:rPr>
            </w:pPr>
          </w:p>
        </w:tc>
      </w:tr>
      <w:tr w:rsidR="00426E73" w:rsidRPr="009B7EDA" w14:paraId="49A7D639" w14:textId="77777777" w:rsidTr="00C0558D">
        <w:tc>
          <w:tcPr>
            <w:tcW w:w="3890" w:type="dxa"/>
          </w:tcPr>
          <w:p w14:paraId="7453B538" w14:textId="77777777" w:rsidR="00426E73" w:rsidRPr="002152C4" w:rsidRDefault="00426E73" w:rsidP="00426E73">
            <w:pPr>
              <w:pStyle w:val="NoSpacing"/>
              <w:rPr>
                <w:sz w:val="20"/>
              </w:rPr>
            </w:pPr>
            <w:r w:rsidRPr="002152C4">
              <w:rPr>
                <w:sz w:val="20"/>
              </w:rPr>
              <w:t>Patient’s beliefs: Individualised fit of treatment</w:t>
            </w:r>
          </w:p>
        </w:tc>
        <w:tc>
          <w:tcPr>
            <w:tcW w:w="1221" w:type="dxa"/>
          </w:tcPr>
          <w:p w14:paraId="69BA9695" w14:textId="08D58A04" w:rsidR="00426E73" w:rsidRPr="005E710E" w:rsidRDefault="00426E73" w:rsidP="00426E73">
            <w:pPr>
              <w:pStyle w:val="NoSpacing"/>
              <w:rPr>
                <w:sz w:val="20"/>
              </w:rPr>
            </w:pPr>
            <w:r w:rsidRPr="005E710E">
              <w:t>1-5</w:t>
            </w:r>
          </w:p>
        </w:tc>
        <w:tc>
          <w:tcPr>
            <w:tcW w:w="1298" w:type="dxa"/>
          </w:tcPr>
          <w:p w14:paraId="4A5C22D9" w14:textId="40C53CCF" w:rsidR="00426E73" w:rsidRPr="002152C4" w:rsidRDefault="00426E73" w:rsidP="00426E73">
            <w:pPr>
              <w:pStyle w:val="NoSpacing"/>
              <w:rPr>
                <w:bCs/>
                <w:sz w:val="20"/>
              </w:rPr>
            </w:pPr>
            <w:r w:rsidRPr="002152C4">
              <w:rPr>
                <w:sz w:val="20"/>
              </w:rPr>
              <w:t>2.9 (0.3)</w:t>
            </w:r>
          </w:p>
        </w:tc>
        <w:tc>
          <w:tcPr>
            <w:tcW w:w="1863" w:type="dxa"/>
          </w:tcPr>
          <w:p w14:paraId="4BB1C243" w14:textId="77777777" w:rsidR="00426E73" w:rsidRPr="002152C4" w:rsidRDefault="00426E73" w:rsidP="00426E73">
            <w:pPr>
              <w:pStyle w:val="NoSpacing"/>
              <w:rPr>
                <w:sz w:val="20"/>
              </w:rPr>
            </w:pPr>
            <w:r w:rsidRPr="002152C4">
              <w:rPr>
                <w:sz w:val="20"/>
              </w:rPr>
              <w:t xml:space="preserve">0.14 (-1.07, 1.34) </w:t>
            </w:r>
          </w:p>
        </w:tc>
        <w:tc>
          <w:tcPr>
            <w:tcW w:w="1872" w:type="dxa"/>
          </w:tcPr>
          <w:p w14:paraId="7D765F99" w14:textId="77777777" w:rsidR="00426E73" w:rsidRPr="002152C4" w:rsidRDefault="00426E73" w:rsidP="00426E73">
            <w:pPr>
              <w:pStyle w:val="NoSpacing"/>
              <w:rPr>
                <w:sz w:val="20"/>
              </w:rPr>
            </w:pPr>
            <w:r w:rsidRPr="002152C4">
              <w:rPr>
                <w:sz w:val="20"/>
              </w:rPr>
              <w:t xml:space="preserve">0.59 (-0.65, 1.83) </w:t>
            </w:r>
          </w:p>
        </w:tc>
        <w:tc>
          <w:tcPr>
            <w:tcW w:w="1842" w:type="dxa"/>
          </w:tcPr>
          <w:p w14:paraId="413E79ED" w14:textId="77777777" w:rsidR="00426E73" w:rsidRPr="002152C4" w:rsidRDefault="00426E73" w:rsidP="00426E73">
            <w:pPr>
              <w:pStyle w:val="NoSpacing"/>
              <w:rPr>
                <w:sz w:val="20"/>
              </w:rPr>
            </w:pPr>
          </w:p>
        </w:tc>
        <w:tc>
          <w:tcPr>
            <w:tcW w:w="1972" w:type="dxa"/>
          </w:tcPr>
          <w:p w14:paraId="14D850FE" w14:textId="77777777" w:rsidR="00426E73" w:rsidRPr="002152C4" w:rsidRDefault="00426E73" w:rsidP="00426E73">
            <w:pPr>
              <w:pStyle w:val="NoSpacing"/>
              <w:rPr>
                <w:sz w:val="20"/>
              </w:rPr>
            </w:pPr>
          </w:p>
        </w:tc>
      </w:tr>
      <w:tr w:rsidR="00426E73" w:rsidRPr="009B7EDA" w14:paraId="7C14F67C" w14:textId="77777777" w:rsidTr="00C0558D">
        <w:tc>
          <w:tcPr>
            <w:tcW w:w="3890" w:type="dxa"/>
          </w:tcPr>
          <w:p w14:paraId="46D21A27" w14:textId="77777777" w:rsidR="00426E73" w:rsidRPr="002152C4" w:rsidRDefault="00426E73" w:rsidP="00426E73">
            <w:pPr>
              <w:pStyle w:val="NoSpacing"/>
              <w:rPr>
                <w:sz w:val="20"/>
                <w:highlight w:val="yellow"/>
              </w:rPr>
            </w:pPr>
            <w:r w:rsidRPr="002152C4">
              <w:rPr>
                <w:sz w:val="20"/>
              </w:rPr>
              <w:t xml:space="preserve">Practitioner’s beliefs: Psychological </w:t>
            </w:r>
          </w:p>
        </w:tc>
        <w:tc>
          <w:tcPr>
            <w:tcW w:w="1221" w:type="dxa"/>
          </w:tcPr>
          <w:p w14:paraId="5F0A4D93" w14:textId="06D534BE" w:rsidR="00426E73" w:rsidRPr="005E710E" w:rsidRDefault="00426E73" w:rsidP="00426E73">
            <w:pPr>
              <w:pStyle w:val="NoSpacing"/>
              <w:rPr>
                <w:sz w:val="20"/>
              </w:rPr>
            </w:pPr>
            <w:r w:rsidRPr="005E710E">
              <w:t>4-28</w:t>
            </w:r>
          </w:p>
        </w:tc>
        <w:tc>
          <w:tcPr>
            <w:tcW w:w="1298" w:type="dxa"/>
          </w:tcPr>
          <w:p w14:paraId="05423505" w14:textId="362FB39D" w:rsidR="00426E73" w:rsidRPr="002152C4" w:rsidRDefault="00426E73" w:rsidP="00426E73">
            <w:pPr>
              <w:pStyle w:val="NoSpacing"/>
              <w:rPr>
                <w:sz w:val="20"/>
              </w:rPr>
            </w:pPr>
            <w:r w:rsidRPr="002152C4">
              <w:rPr>
                <w:sz w:val="20"/>
              </w:rPr>
              <w:t>17.8 (3.6)</w:t>
            </w:r>
          </w:p>
        </w:tc>
        <w:tc>
          <w:tcPr>
            <w:tcW w:w="1863" w:type="dxa"/>
          </w:tcPr>
          <w:p w14:paraId="57F8B50A" w14:textId="77777777" w:rsidR="00426E73" w:rsidRPr="002152C4" w:rsidRDefault="00426E73" w:rsidP="00426E73">
            <w:pPr>
              <w:pStyle w:val="NoSpacing"/>
              <w:rPr>
                <w:sz w:val="20"/>
              </w:rPr>
            </w:pPr>
            <w:r w:rsidRPr="002152C4">
              <w:rPr>
                <w:sz w:val="20"/>
              </w:rPr>
              <w:t xml:space="preserve">0.13 (-0.06, 0.32) </w:t>
            </w:r>
          </w:p>
        </w:tc>
        <w:tc>
          <w:tcPr>
            <w:tcW w:w="1872" w:type="dxa"/>
          </w:tcPr>
          <w:p w14:paraId="7B46319F" w14:textId="77777777" w:rsidR="00426E73" w:rsidRPr="002152C4" w:rsidRDefault="00426E73" w:rsidP="00426E73">
            <w:pPr>
              <w:pStyle w:val="NoSpacing"/>
              <w:rPr>
                <w:sz w:val="20"/>
              </w:rPr>
            </w:pPr>
            <w:r w:rsidRPr="002152C4">
              <w:rPr>
                <w:sz w:val="20"/>
              </w:rPr>
              <w:t xml:space="preserve">0.03 (-0.15, 0.20) </w:t>
            </w:r>
          </w:p>
        </w:tc>
        <w:tc>
          <w:tcPr>
            <w:tcW w:w="1842" w:type="dxa"/>
          </w:tcPr>
          <w:p w14:paraId="4EEA9DAB" w14:textId="77777777" w:rsidR="00426E73" w:rsidRPr="002152C4" w:rsidRDefault="00426E73" w:rsidP="00426E73">
            <w:pPr>
              <w:pStyle w:val="NoSpacing"/>
              <w:rPr>
                <w:sz w:val="20"/>
              </w:rPr>
            </w:pPr>
          </w:p>
        </w:tc>
        <w:tc>
          <w:tcPr>
            <w:tcW w:w="1972" w:type="dxa"/>
          </w:tcPr>
          <w:p w14:paraId="19AF7B2C" w14:textId="77777777" w:rsidR="00426E73" w:rsidRPr="002152C4" w:rsidRDefault="00426E73" w:rsidP="00426E73">
            <w:pPr>
              <w:pStyle w:val="NoSpacing"/>
              <w:rPr>
                <w:sz w:val="20"/>
              </w:rPr>
            </w:pPr>
          </w:p>
        </w:tc>
      </w:tr>
      <w:tr w:rsidR="00426E73" w:rsidRPr="009B7EDA" w14:paraId="4E6102F5" w14:textId="77777777" w:rsidTr="00C0558D">
        <w:tc>
          <w:tcPr>
            <w:tcW w:w="3890" w:type="dxa"/>
          </w:tcPr>
          <w:p w14:paraId="4B40F965" w14:textId="77777777" w:rsidR="00426E73" w:rsidRPr="002152C4" w:rsidRDefault="00426E73" w:rsidP="00426E73">
            <w:pPr>
              <w:pStyle w:val="NoSpacing"/>
              <w:rPr>
                <w:sz w:val="20"/>
              </w:rPr>
            </w:pPr>
            <w:r w:rsidRPr="002152C4">
              <w:rPr>
                <w:sz w:val="20"/>
              </w:rPr>
              <w:t>Practitioner’s beliefs: Confidence</w:t>
            </w:r>
          </w:p>
        </w:tc>
        <w:tc>
          <w:tcPr>
            <w:tcW w:w="1221" w:type="dxa"/>
          </w:tcPr>
          <w:p w14:paraId="51454C20" w14:textId="64055B30" w:rsidR="00426E73" w:rsidRPr="005E710E" w:rsidRDefault="00426E73" w:rsidP="00426E73">
            <w:pPr>
              <w:pStyle w:val="NoSpacing"/>
              <w:rPr>
                <w:sz w:val="20"/>
              </w:rPr>
            </w:pPr>
            <w:r w:rsidRPr="005E710E">
              <w:t>2-14</w:t>
            </w:r>
          </w:p>
        </w:tc>
        <w:tc>
          <w:tcPr>
            <w:tcW w:w="1298" w:type="dxa"/>
          </w:tcPr>
          <w:p w14:paraId="16AC6565" w14:textId="294EDB71" w:rsidR="00426E73" w:rsidRPr="002152C4" w:rsidRDefault="00426E73" w:rsidP="00426E73">
            <w:pPr>
              <w:pStyle w:val="NoSpacing"/>
              <w:rPr>
                <w:bCs/>
                <w:sz w:val="20"/>
              </w:rPr>
            </w:pPr>
            <w:r w:rsidRPr="002152C4">
              <w:rPr>
                <w:sz w:val="20"/>
              </w:rPr>
              <w:t>8.2 (2.0)</w:t>
            </w:r>
          </w:p>
        </w:tc>
        <w:tc>
          <w:tcPr>
            <w:tcW w:w="1863" w:type="dxa"/>
          </w:tcPr>
          <w:p w14:paraId="6EBA9507" w14:textId="77777777" w:rsidR="00426E73" w:rsidRPr="002152C4" w:rsidRDefault="00426E73" w:rsidP="00426E73">
            <w:pPr>
              <w:pStyle w:val="NoSpacing"/>
              <w:rPr>
                <w:sz w:val="20"/>
              </w:rPr>
            </w:pPr>
            <w:r w:rsidRPr="002152C4">
              <w:rPr>
                <w:sz w:val="20"/>
              </w:rPr>
              <w:t xml:space="preserve">0.03 (-0.27, 0.32) </w:t>
            </w:r>
          </w:p>
        </w:tc>
        <w:tc>
          <w:tcPr>
            <w:tcW w:w="1872" w:type="dxa"/>
          </w:tcPr>
          <w:p w14:paraId="06F4165F" w14:textId="77777777" w:rsidR="00426E73" w:rsidRPr="002152C4" w:rsidRDefault="00426E73" w:rsidP="00426E73">
            <w:pPr>
              <w:pStyle w:val="NoSpacing"/>
              <w:rPr>
                <w:sz w:val="20"/>
              </w:rPr>
            </w:pPr>
            <w:r w:rsidRPr="002152C4">
              <w:rPr>
                <w:sz w:val="20"/>
              </w:rPr>
              <w:t xml:space="preserve">0.10 (-0.19, 0.40) </w:t>
            </w:r>
          </w:p>
        </w:tc>
        <w:tc>
          <w:tcPr>
            <w:tcW w:w="1842" w:type="dxa"/>
          </w:tcPr>
          <w:p w14:paraId="5D0AF27B" w14:textId="77777777" w:rsidR="00426E73" w:rsidRPr="002152C4" w:rsidRDefault="00426E73" w:rsidP="00426E73">
            <w:pPr>
              <w:pStyle w:val="NoSpacing"/>
              <w:rPr>
                <w:sz w:val="20"/>
              </w:rPr>
            </w:pPr>
          </w:p>
        </w:tc>
        <w:tc>
          <w:tcPr>
            <w:tcW w:w="1972" w:type="dxa"/>
          </w:tcPr>
          <w:p w14:paraId="08054CD4" w14:textId="77777777" w:rsidR="00426E73" w:rsidRPr="002152C4" w:rsidRDefault="00426E73" w:rsidP="00426E73">
            <w:pPr>
              <w:pStyle w:val="NoSpacing"/>
              <w:rPr>
                <w:sz w:val="20"/>
              </w:rPr>
            </w:pPr>
          </w:p>
        </w:tc>
      </w:tr>
      <w:tr w:rsidR="00426E73" w:rsidRPr="009B7EDA" w14:paraId="06193F34" w14:textId="77777777" w:rsidTr="00C0558D">
        <w:tc>
          <w:tcPr>
            <w:tcW w:w="3890" w:type="dxa"/>
          </w:tcPr>
          <w:p w14:paraId="7ABB55B4" w14:textId="77777777" w:rsidR="00426E73" w:rsidRPr="002152C4" w:rsidRDefault="00426E73" w:rsidP="00426E73">
            <w:pPr>
              <w:pStyle w:val="NoSpacing"/>
              <w:rPr>
                <w:sz w:val="20"/>
              </w:rPr>
            </w:pPr>
            <w:r w:rsidRPr="002152C4">
              <w:rPr>
                <w:sz w:val="20"/>
              </w:rPr>
              <w:t>Practitioner’s beliefs: Reactivation</w:t>
            </w:r>
          </w:p>
        </w:tc>
        <w:tc>
          <w:tcPr>
            <w:tcW w:w="1221" w:type="dxa"/>
          </w:tcPr>
          <w:p w14:paraId="3D16F20E" w14:textId="1CACEC40" w:rsidR="00426E73" w:rsidRPr="005E710E" w:rsidRDefault="00426E73" w:rsidP="00426E73">
            <w:pPr>
              <w:pStyle w:val="NoSpacing"/>
              <w:rPr>
                <w:sz w:val="20"/>
              </w:rPr>
            </w:pPr>
            <w:r w:rsidRPr="005E710E">
              <w:t>3-21</w:t>
            </w:r>
          </w:p>
        </w:tc>
        <w:tc>
          <w:tcPr>
            <w:tcW w:w="1298" w:type="dxa"/>
          </w:tcPr>
          <w:p w14:paraId="7FD3DF63" w14:textId="6A864BCD" w:rsidR="00426E73" w:rsidRPr="002152C4" w:rsidRDefault="00426E73" w:rsidP="00426E73">
            <w:pPr>
              <w:pStyle w:val="NoSpacing"/>
              <w:rPr>
                <w:bCs/>
                <w:sz w:val="20"/>
              </w:rPr>
            </w:pPr>
            <w:r w:rsidRPr="002152C4">
              <w:rPr>
                <w:sz w:val="20"/>
              </w:rPr>
              <w:t>15.3 (3.0)</w:t>
            </w:r>
          </w:p>
        </w:tc>
        <w:tc>
          <w:tcPr>
            <w:tcW w:w="1863" w:type="dxa"/>
          </w:tcPr>
          <w:p w14:paraId="7E2DC2AF" w14:textId="77777777" w:rsidR="00426E73" w:rsidRPr="002152C4" w:rsidRDefault="00426E73" w:rsidP="00426E73">
            <w:pPr>
              <w:pStyle w:val="NoSpacing"/>
              <w:rPr>
                <w:sz w:val="20"/>
              </w:rPr>
            </w:pPr>
            <w:r w:rsidRPr="002152C4">
              <w:rPr>
                <w:sz w:val="20"/>
              </w:rPr>
              <w:t xml:space="preserve">-0.06 (-0.24, 0.13) </w:t>
            </w:r>
          </w:p>
        </w:tc>
        <w:tc>
          <w:tcPr>
            <w:tcW w:w="1872" w:type="dxa"/>
          </w:tcPr>
          <w:p w14:paraId="3C92BF2B" w14:textId="77777777" w:rsidR="00426E73" w:rsidRPr="002152C4" w:rsidRDefault="00426E73" w:rsidP="00426E73">
            <w:pPr>
              <w:pStyle w:val="NoSpacing"/>
              <w:rPr>
                <w:sz w:val="20"/>
              </w:rPr>
            </w:pPr>
            <w:r w:rsidRPr="002152C4">
              <w:rPr>
                <w:sz w:val="20"/>
              </w:rPr>
              <w:t xml:space="preserve">0.08 (-0.10, 0.25) </w:t>
            </w:r>
          </w:p>
        </w:tc>
        <w:tc>
          <w:tcPr>
            <w:tcW w:w="1842" w:type="dxa"/>
          </w:tcPr>
          <w:p w14:paraId="64BC9761" w14:textId="77777777" w:rsidR="00426E73" w:rsidRPr="002152C4" w:rsidRDefault="00426E73" w:rsidP="00426E73">
            <w:pPr>
              <w:pStyle w:val="NoSpacing"/>
              <w:rPr>
                <w:sz w:val="20"/>
              </w:rPr>
            </w:pPr>
          </w:p>
        </w:tc>
        <w:tc>
          <w:tcPr>
            <w:tcW w:w="1972" w:type="dxa"/>
          </w:tcPr>
          <w:p w14:paraId="32085E5F" w14:textId="77777777" w:rsidR="00426E73" w:rsidRPr="002152C4" w:rsidRDefault="00426E73" w:rsidP="00426E73">
            <w:pPr>
              <w:pStyle w:val="NoSpacing"/>
              <w:rPr>
                <w:sz w:val="20"/>
              </w:rPr>
            </w:pPr>
          </w:p>
        </w:tc>
      </w:tr>
      <w:tr w:rsidR="00426E73" w:rsidRPr="009B7EDA" w14:paraId="5EF591DD" w14:textId="77777777" w:rsidTr="00C0558D">
        <w:tc>
          <w:tcPr>
            <w:tcW w:w="3890" w:type="dxa"/>
          </w:tcPr>
          <w:p w14:paraId="119A5575" w14:textId="77777777" w:rsidR="00426E73" w:rsidRPr="002152C4" w:rsidRDefault="00426E73" w:rsidP="00426E73">
            <w:pPr>
              <w:pStyle w:val="NoSpacing"/>
              <w:rPr>
                <w:sz w:val="20"/>
              </w:rPr>
            </w:pPr>
            <w:r w:rsidRPr="002152C4">
              <w:rPr>
                <w:sz w:val="20"/>
              </w:rPr>
              <w:t>Practitioner’s beliefs: Biomedical</w:t>
            </w:r>
          </w:p>
        </w:tc>
        <w:tc>
          <w:tcPr>
            <w:tcW w:w="1221" w:type="dxa"/>
          </w:tcPr>
          <w:p w14:paraId="1E29B6E9" w14:textId="7E034B22" w:rsidR="00426E73" w:rsidRPr="005E710E" w:rsidRDefault="00426E73" w:rsidP="00426E73">
            <w:pPr>
              <w:pStyle w:val="NoSpacing"/>
              <w:rPr>
                <w:sz w:val="20"/>
              </w:rPr>
            </w:pPr>
            <w:r w:rsidRPr="005E710E">
              <w:t>3-21</w:t>
            </w:r>
          </w:p>
        </w:tc>
        <w:tc>
          <w:tcPr>
            <w:tcW w:w="1298" w:type="dxa"/>
          </w:tcPr>
          <w:p w14:paraId="68CD1962" w14:textId="3450E338" w:rsidR="00426E73" w:rsidRPr="002152C4" w:rsidRDefault="00426E73" w:rsidP="00426E73">
            <w:pPr>
              <w:pStyle w:val="NoSpacing"/>
              <w:rPr>
                <w:bCs/>
                <w:sz w:val="20"/>
              </w:rPr>
            </w:pPr>
            <w:r w:rsidRPr="002152C4">
              <w:rPr>
                <w:sz w:val="20"/>
              </w:rPr>
              <w:t>12.2 (3.6)</w:t>
            </w:r>
          </w:p>
        </w:tc>
        <w:tc>
          <w:tcPr>
            <w:tcW w:w="1863" w:type="dxa"/>
          </w:tcPr>
          <w:p w14:paraId="1F53A111" w14:textId="77777777" w:rsidR="00426E73" w:rsidRPr="002152C4" w:rsidRDefault="00426E73" w:rsidP="00426E73">
            <w:pPr>
              <w:pStyle w:val="NoSpacing"/>
              <w:rPr>
                <w:sz w:val="20"/>
              </w:rPr>
            </w:pPr>
            <w:r w:rsidRPr="002152C4">
              <w:rPr>
                <w:sz w:val="20"/>
              </w:rPr>
              <w:t xml:space="preserve">-0.06 (-0.22, 0.10) </w:t>
            </w:r>
          </w:p>
        </w:tc>
        <w:tc>
          <w:tcPr>
            <w:tcW w:w="1872" w:type="dxa"/>
          </w:tcPr>
          <w:p w14:paraId="6656C232" w14:textId="77777777" w:rsidR="00426E73" w:rsidRPr="002152C4" w:rsidRDefault="00426E73" w:rsidP="00426E73">
            <w:pPr>
              <w:pStyle w:val="NoSpacing"/>
              <w:rPr>
                <w:sz w:val="20"/>
              </w:rPr>
            </w:pPr>
            <w:r w:rsidRPr="002152C4">
              <w:rPr>
                <w:sz w:val="20"/>
              </w:rPr>
              <w:t xml:space="preserve">-0.07 (-0.25, 0.11) </w:t>
            </w:r>
          </w:p>
        </w:tc>
        <w:tc>
          <w:tcPr>
            <w:tcW w:w="1842" w:type="dxa"/>
          </w:tcPr>
          <w:p w14:paraId="2964DAC5" w14:textId="77777777" w:rsidR="00426E73" w:rsidRPr="002152C4" w:rsidRDefault="00426E73" w:rsidP="00426E73">
            <w:pPr>
              <w:pStyle w:val="NoSpacing"/>
              <w:rPr>
                <w:sz w:val="20"/>
              </w:rPr>
            </w:pPr>
          </w:p>
        </w:tc>
        <w:tc>
          <w:tcPr>
            <w:tcW w:w="1972" w:type="dxa"/>
          </w:tcPr>
          <w:p w14:paraId="1D2992E8" w14:textId="77777777" w:rsidR="00426E73" w:rsidRPr="002152C4" w:rsidRDefault="00426E73" w:rsidP="00426E73">
            <w:pPr>
              <w:pStyle w:val="NoSpacing"/>
              <w:rPr>
                <w:sz w:val="20"/>
              </w:rPr>
            </w:pPr>
          </w:p>
        </w:tc>
      </w:tr>
      <w:tr w:rsidR="00426E73" w:rsidRPr="009B7EDA" w14:paraId="6448EAC9" w14:textId="77777777" w:rsidTr="00C0558D">
        <w:tc>
          <w:tcPr>
            <w:tcW w:w="3890" w:type="dxa"/>
            <w:tcBorders>
              <w:bottom w:val="single" w:sz="4" w:space="0" w:color="auto"/>
            </w:tcBorders>
          </w:tcPr>
          <w:p w14:paraId="0DE9C559" w14:textId="77777777" w:rsidR="00426E73" w:rsidRPr="002152C4" w:rsidRDefault="00426E73" w:rsidP="00426E73">
            <w:pPr>
              <w:pStyle w:val="NoSpacing"/>
              <w:rPr>
                <w:sz w:val="20"/>
              </w:rPr>
            </w:pPr>
            <w:r w:rsidRPr="002152C4">
              <w:rPr>
                <w:sz w:val="20"/>
              </w:rPr>
              <w:t>Practitioner’s beliefs: Outcome expectancies</w:t>
            </w:r>
          </w:p>
        </w:tc>
        <w:tc>
          <w:tcPr>
            <w:tcW w:w="1221" w:type="dxa"/>
            <w:tcBorders>
              <w:bottom w:val="single" w:sz="4" w:space="0" w:color="auto"/>
            </w:tcBorders>
          </w:tcPr>
          <w:p w14:paraId="50BC0543" w14:textId="1318F87C" w:rsidR="00426E73" w:rsidRPr="005E710E" w:rsidRDefault="00426E73" w:rsidP="00426E73">
            <w:pPr>
              <w:pStyle w:val="NoSpacing"/>
              <w:rPr>
                <w:sz w:val="20"/>
              </w:rPr>
            </w:pPr>
            <w:r w:rsidRPr="005E710E">
              <w:t>1-7</w:t>
            </w:r>
          </w:p>
        </w:tc>
        <w:tc>
          <w:tcPr>
            <w:tcW w:w="1298" w:type="dxa"/>
            <w:tcBorders>
              <w:bottom w:val="single" w:sz="4" w:space="0" w:color="auto"/>
            </w:tcBorders>
          </w:tcPr>
          <w:p w14:paraId="5C4496AF" w14:textId="415ABAC6" w:rsidR="00426E73" w:rsidRPr="002152C4" w:rsidRDefault="00426E73" w:rsidP="00426E73">
            <w:pPr>
              <w:pStyle w:val="NoSpacing"/>
              <w:rPr>
                <w:bCs/>
                <w:sz w:val="20"/>
              </w:rPr>
            </w:pPr>
            <w:r w:rsidRPr="002152C4">
              <w:rPr>
                <w:sz w:val="20"/>
              </w:rPr>
              <w:t>5.7 (1.1)</w:t>
            </w:r>
          </w:p>
        </w:tc>
        <w:tc>
          <w:tcPr>
            <w:tcW w:w="1863" w:type="dxa"/>
            <w:tcBorders>
              <w:bottom w:val="single" w:sz="4" w:space="0" w:color="auto"/>
            </w:tcBorders>
          </w:tcPr>
          <w:p w14:paraId="4E55AFFC" w14:textId="77777777" w:rsidR="00426E73" w:rsidRPr="002152C4" w:rsidRDefault="00426E73" w:rsidP="00426E73">
            <w:pPr>
              <w:pStyle w:val="NoSpacing"/>
              <w:rPr>
                <w:sz w:val="20"/>
              </w:rPr>
            </w:pPr>
            <w:r w:rsidRPr="002152C4">
              <w:rPr>
                <w:sz w:val="20"/>
              </w:rPr>
              <w:t>-1.77 (-2.12, -1.42)</w:t>
            </w:r>
          </w:p>
        </w:tc>
        <w:tc>
          <w:tcPr>
            <w:tcW w:w="1872" w:type="dxa"/>
            <w:tcBorders>
              <w:bottom w:val="single" w:sz="4" w:space="0" w:color="auto"/>
            </w:tcBorders>
          </w:tcPr>
          <w:p w14:paraId="484D2C6A" w14:textId="77777777" w:rsidR="00426E73" w:rsidRPr="002152C4" w:rsidRDefault="00426E73" w:rsidP="00426E73">
            <w:pPr>
              <w:pStyle w:val="NoSpacing"/>
              <w:rPr>
                <w:sz w:val="20"/>
              </w:rPr>
            </w:pPr>
            <w:r w:rsidRPr="002152C4">
              <w:rPr>
                <w:sz w:val="20"/>
              </w:rPr>
              <w:t xml:space="preserve">-1.29 (-1.66, -0.92) </w:t>
            </w:r>
          </w:p>
        </w:tc>
        <w:tc>
          <w:tcPr>
            <w:tcW w:w="1842" w:type="dxa"/>
            <w:tcBorders>
              <w:bottom w:val="single" w:sz="4" w:space="0" w:color="auto"/>
            </w:tcBorders>
          </w:tcPr>
          <w:p w14:paraId="53ADBE7D" w14:textId="77777777" w:rsidR="00426E73" w:rsidRPr="002152C4" w:rsidRDefault="00426E73" w:rsidP="00426E73">
            <w:pPr>
              <w:pStyle w:val="NoSpacing"/>
              <w:rPr>
                <w:sz w:val="20"/>
              </w:rPr>
            </w:pPr>
            <w:r w:rsidRPr="002152C4">
              <w:rPr>
                <w:sz w:val="20"/>
              </w:rPr>
              <w:t xml:space="preserve">-0.42 (-0.70, -0.13) </w:t>
            </w:r>
          </w:p>
        </w:tc>
        <w:tc>
          <w:tcPr>
            <w:tcW w:w="1972" w:type="dxa"/>
            <w:tcBorders>
              <w:bottom w:val="single" w:sz="4" w:space="0" w:color="auto"/>
            </w:tcBorders>
          </w:tcPr>
          <w:p w14:paraId="4B71B566" w14:textId="77777777" w:rsidR="00426E73" w:rsidRPr="002152C4" w:rsidRDefault="00426E73" w:rsidP="00426E73">
            <w:pPr>
              <w:pStyle w:val="NoSpacing"/>
              <w:rPr>
                <w:sz w:val="20"/>
              </w:rPr>
            </w:pPr>
            <w:r w:rsidRPr="002152C4">
              <w:rPr>
                <w:sz w:val="20"/>
              </w:rPr>
              <w:t xml:space="preserve">0.08 (0.05, 0.11) </w:t>
            </w:r>
          </w:p>
        </w:tc>
      </w:tr>
    </w:tbl>
    <w:p w14:paraId="5C640DF7" w14:textId="77777777" w:rsidR="00BC0950" w:rsidRPr="002152C4" w:rsidRDefault="00BC0950" w:rsidP="00BC0950">
      <w:pPr>
        <w:pStyle w:val="NoSpacing"/>
        <w:rPr>
          <w:sz w:val="20"/>
          <w:szCs w:val="20"/>
        </w:rPr>
      </w:pPr>
      <w:r w:rsidRPr="002152C4">
        <w:rPr>
          <w:i/>
          <w:sz w:val="20"/>
          <w:szCs w:val="20"/>
        </w:rPr>
        <w:t>Note</w:t>
      </w:r>
      <w:r w:rsidRPr="002152C4">
        <w:rPr>
          <w:sz w:val="20"/>
          <w:szCs w:val="20"/>
        </w:rPr>
        <w:t>. Table reports the results of s</w:t>
      </w:r>
      <w:r w:rsidRPr="002152C4">
        <w:rPr>
          <w:rFonts w:eastAsia="Times New Roman"/>
          <w:color w:val="000000"/>
          <w:sz w:val="20"/>
          <w:szCs w:val="20"/>
        </w:rPr>
        <w:t>eparate models run to test the effect of each individual contextual factor on patient outcomes</w:t>
      </w:r>
      <w:r>
        <w:rPr>
          <w:rFonts w:eastAsia="Times New Roman"/>
          <w:color w:val="000000"/>
          <w:sz w:val="20"/>
          <w:szCs w:val="20"/>
        </w:rPr>
        <w:t>, specifically back-related disability</w:t>
      </w:r>
      <w:r w:rsidRPr="002152C4">
        <w:rPr>
          <w:rFonts w:eastAsia="Times New Roman"/>
          <w:color w:val="000000"/>
          <w:sz w:val="20"/>
          <w:szCs w:val="20"/>
        </w:rPr>
        <w:t>.</w:t>
      </w:r>
      <w:r w:rsidRPr="002152C4">
        <w:rPr>
          <w:sz w:val="20"/>
          <w:szCs w:val="20"/>
        </w:rPr>
        <w:t xml:space="preserve"> RMDQ = Roland Morris Disability Questionnaire.  SD = Standard Deviation.  </w:t>
      </w:r>
      <w:proofErr w:type="spellStart"/>
      <w:proofErr w:type="gramStart"/>
      <w:r w:rsidRPr="002152C4">
        <w:rPr>
          <w:sz w:val="20"/>
          <w:szCs w:val="20"/>
          <w:vertAlign w:val="superscript"/>
        </w:rPr>
        <w:t>a</w:t>
      </w:r>
      <w:proofErr w:type="spellEnd"/>
      <w:proofErr w:type="gramEnd"/>
      <w:r>
        <w:rPr>
          <w:sz w:val="20"/>
          <w:szCs w:val="20"/>
        </w:rPr>
        <w:t xml:space="preserve"> Adjusted for </w:t>
      </w:r>
      <w:r w:rsidRPr="002152C4">
        <w:rPr>
          <w:sz w:val="20"/>
          <w:szCs w:val="20"/>
        </w:rPr>
        <w:t xml:space="preserve">baseline back-related disability and: leg pain and shoulder/neck pain </w:t>
      </w:r>
      <w:proofErr w:type="spellStart"/>
      <w:r w:rsidRPr="002152C4">
        <w:rPr>
          <w:sz w:val="20"/>
          <w:szCs w:val="20"/>
        </w:rPr>
        <w:t>bothersomeness</w:t>
      </w:r>
      <w:proofErr w:type="spellEnd"/>
      <w:r w:rsidRPr="002152C4">
        <w:rPr>
          <w:sz w:val="20"/>
          <w:szCs w:val="20"/>
        </w:rPr>
        <w:t>; duration of LBP; age; gender; work status; compensation status; co-morbidities; co-treatments; socio-economic status.</w:t>
      </w:r>
    </w:p>
    <w:p w14:paraId="172BEB02" w14:textId="05789A9F" w:rsidR="00BC0950" w:rsidRDefault="00BC0950" w:rsidP="00BC0950">
      <w:pPr>
        <w:spacing w:line="240" w:lineRule="auto"/>
        <w:ind w:firstLine="720"/>
        <w:sectPr w:rsidR="00BC0950" w:rsidSect="00BC0950">
          <w:pgSz w:w="16838" w:h="11906" w:orient="landscape"/>
          <w:pgMar w:top="1440" w:right="1440" w:bottom="1440" w:left="1440" w:header="708" w:footer="708" w:gutter="0"/>
          <w:cols w:space="708"/>
          <w:docGrid w:linePitch="360"/>
        </w:sectPr>
      </w:pPr>
      <w:r>
        <w:rPr>
          <w:sz w:val="20"/>
          <w:szCs w:val="20"/>
          <w:vertAlign w:val="superscript"/>
        </w:rPr>
        <w:lastRenderedPageBreak/>
        <w:t>b</w:t>
      </w:r>
      <w:r w:rsidRPr="002152C4">
        <w:rPr>
          <w:sz w:val="20"/>
          <w:szCs w:val="20"/>
          <w:vertAlign w:val="superscript"/>
        </w:rPr>
        <w:t xml:space="preserve"> </w:t>
      </w:r>
      <w:r w:rsidRPr="002152C4">
        <w:rPr>
          <w:sz w:val="20"/>
          <w:szCs w:val="20"/>
        </w:rPr>
        <w:t>Adjusted for mediation by perceived threat of pain, self-efficacy for coping and psychosocial distress.</w:t>
      </w:r>
      <w:r w:rsidRPr="002152C4">
        <w:rPr>
          <w:sz w:val="20"/>
          <w:szCs w:val="20"/>
          <w:vertAlign w:val="superscript"/>
        </w:rPr>
        <w:t xml:space="preserve"> b</w:t>
      </w:r>
      <w:r w:rsidRPr="002152C4">
        <w:rPr>
          <w:sz w:val="20"/>
          <w:szCs w:val="20"/>
        </w:rPr>
        <w:t xml:space="preserve"> Effect size only reported for statistically significant contextual predictors of </w:t>
      </w:r>
      <w:r>
        <w:rPr>
          <w:sz w:val="20"/>
          <w:szCs w:val="20"/>
        </w:rPr>
        <w:t>back-related disability</w:t>
      </w:r>
      <w:r w:rsidRPr="002152C4">
        <w:rPr>
          <w:sz w:val="20"/>
          <w:szCs w:val="20"/>
        </w:rPr>
        <w:t xml:space="preserve"> over time.</w:t>
      </w:r>
    </w:p>
    <w:p w14:paraId="28A43642" w14:textId="3EC7BB85" w:rsidR="007815F0" w:rsidRDefault="007815F0" w:rsidP="00852941">
      <w:pPr>
        <w:pStyle w:val="Heading2"/>
      </w:pPr>
      <w:r>
        <w:lastRenderedPageBreak/>
        <w:t xml:space="preserve">Comparisons across </w:t>
      </w:r>
      <w:r w:rsidR="00A921C4">
        <w:t>Treatments</w:t>
      </w:r>
    </w:p>
    <w:p w14:paraId="6B42D2C9" w14:textId="41AAED03" w:rsidR="002072C7" w:rsidRDefault="00181631">
      <w:pPr>
        <w:ind w:firstLine="720"/>
      </w:pPr>
      <w:bookmarkStart w:id="10" w:name="_Hlk63870446"/>
      <w:r>
        <w:t>T</w:t>
      </w:r>
      <w:r w:rsidR="004D469A">
        <w:t xml:space="preserve">he longitudinal models </w:t>
      </w:r>
      <w:r>
        <w:t xml:space="preserve">revealed </w:t>
      </w:r>
      <w:r w:rsidR="009C37F1">
        <w:t xml:space="preserve">no significant </w:t>
      </w:r>
      <w:bookmarkStart w:id="11" w:name="_Hlk64020660"/>
      <w:r w:rsidR="009C37F1">
        <w:t xml:space="preserve">interactions </w:t>
      </w:r>
      <w:r w:rsidR="00801E5B">
        <w:t xml:space="preserve">between contextual factors and treatment </w:t>
      </w:r>
      <w:r w:rsidR="009C37F1">
        <w:t>type</w:t>
      </w:r>
      <w:r w:rsidR="006B3F8A">
        <w:t xml:space="preserve"> </w:t>
      </w:r>
      <w:bookmarkEnd w:id="11"/>
      <w:r w:rsidR="006B3F8A">
        <w:t>(see Supplemental Material Table 7)</w:t>
      </w:r>
      <w:r w:rsidR="00801E5B">
        <w:t>.  This indicates that</w:t>
      </w:r>
      <w:r w:rsidR="002C6D34">
        <w:t xml:space="preserve"> </w:t>
      </w:r>
      <w:r w:rsidR="00801E5B">
        <w:t xml:space="preserve">the effects of contextual components on back-related disability do not differ </w:t>
      </w:r>
      <w:r w:rsidR="00026353">
        <w:t xml:space="preserve">significantly </w:t>
      </w:r>
      <w:r w:rsidR="00801E5B">
        <w:t xml:space="preserve">between osteopathy, </w:t>
      </w:r>
      <w:r w:rsidR="00801E5B" w:rsidRPr="002E2533">
        <w:t>acupuncture</w:t>
      </w:r>
      <w:r w:rsidR="00801E5B">
        <w:t>, and physiotherapy</w:t>
      </w:r>
      <w:r w:rsidR="009C37F1">
        <w:t xml:space="preserve">.  </w:t>
      </w:r>
    </w:p>
    <w:bookmarkEnd w:id="10"/>
    <w:p w14:paraId="516ADCC7" w14:textId="77777777" w:rsidR="00BC0950" w:rsidRDefault="00BC0950">
      <w:pPr>
        <w:ind w:firstLine="720"/>
        <w:rPr>
          <w:b/>
        </w:rPr>
      </w:pPr>
    </w:p>
    <w:p w14:paraId="31792A59" w14:textId="785B3844" w:rsidR="004D6DFE" w:rsidRDefault="004D6DFE" w:rsidP="004F62F6">
      <w:pPr>
        <w:pStyle w:val="Heading1"/>
      </w:pPr>
      <w:r>
        <w:t>D</w:t>
      </w:r>
      <w:r w:rsidR="00BC0950">
        <w:t>ISCUSSION</w:t>
      </w:r>
    </w:p>
    <w:p w14:paraId="66674B99" w14:textId="66FE41F5" w:rsidR="00031B8A" w:rsidRDefault="00864434" w:rsidP="004F62F6">
      <w:r>
        <w:t>T</w:t>
      </w:r>
      <w:r w:rsidR="00356396">
        <w:t xml:space="preserve">his </w:t>
      </w:r>
      <w:r>
        <w:t xml:space="preserve">large </w:t>
      </w:r>
      <w:r w:rsidR="00356396">
        <w:t>prospective cohort study</w:t>
      </w:r>
      <w:r>
        <w:t xml:space="preserve"> </w:t>
      </w:r>
      <w:r w:rsidR="00356396">
        <w:t>investigate</w:t>
      </w:r>
      <w:r>
        <w:t>d</w:t>
      </w:r>
      <w:r w:rsidR="00356396">
        <w:t xml:space="preserve"> the effects and mediating pathways of multiple contextual components on patient outcomes across three different therapies in the private and public sectors.  </w:t>
      </w:r>
      <w:r w:rsidR="00026353">
        <w:t xml:space="preserve">As hypothesised, components </w:t>
      </w:r>
      <w:r w:rsidR="00A6748D">
        <w:t xml:space="preserve">representing </w:t>
      </w:r>
      <w:r w:rsidR="009E2B32">
        <w:t xml:space="preserve">four non-pharmacological </w:t>
      </w:r>
      <w:r w:rsidR="00A6748D">
        <w:t xml:space="preserve">contextual </w:t>
      </w:r>
      <w:r w:rsidR="00026353">
        <w:t xml:space="preserve">domains were significantly associated with </w:t>
      </w:r>
      <w:r w:rsidR="00A6748D">
        <w:t xml:space="preserve">back-related disability </w:t>
      </w:r>
      <w:r w:rsidR="00026353">
        <w:t>over time</w:t>
      </w:r>
      <w:r w:rsidR="00A6748D">
        <w:t xml:space="preserve"> in a large cohort of patients with </w:t>
      </w:r>
      <w:r>
        <w:t xml:space="preserve">LBP </w:t>
      </w:r>
      <w:r w:rsidR="00A6748D">
        <w:t>seeking osteopathy, acupuncture, and physiotherapy</w:t>
      </w:r>
      <w:r w:rsidR="00026353">
        <w:t xml:space="preserve">.  </w:t>
      </w:r>
      <w:r w:rsidR="004D6DFE">
        <w:t xml:space="preserve">The patient-practitioner </w:t>
      </w:r>
      <w:r w:rsidR="00026353">
        <w:t>therapeutic alliance</w:t>
      </w:r>
      <w:r w:rsidR="004D6DFE">
        <w:t xml:space="preserve"> and practitioners’ </w:t>
      </w:r>
      <w:r w:rsidR="00687ACF">
        <w:t>expectancies</w:t>
      </w:r>
      <w:r w:rsidR="004D6DFE">
        <w:t xml:space="preserve"> of how </w:t>
      </w:r>
      <w:r w:rsidR="00026353">
        <w:t xml:space="preserve">individual </w:t>
      </w:r>
      <w:r w:rsidR="004D6DFE">
        <w:t xml:space="preserve">patients will respond to treatment </w:t>
      </w:r>
      <w:r w:rsidR="00A6748D">
        <w:t>were</w:t>
      </w:r>
      <w:r w:rsidR="004D6DFE">
        <w:t xml:space="preserve"> the </w:t>
      </w:r>
      <w:r w:rsidR="00026353">
        <w:t xml:space="preserve">strongest </w:t>
      </w:r>
      <w:r w:rsidR="004D6DFE">
        <w:t>contextual components</w:t>
      </w:r>
      <w:r w:rsidR="00A6748D">
        <w:t xml:space="preserve">, showing the largest effects on patient outcomes.  </w:t>
      </w:r>
      <w:r w:rsidR="0047478A">
        <w:t>T</w:t>
      </w:r>
      <w:r w:rsidR="004D6DFE">
        <w:t>he</w:t>
      </w:r>
      <w:r w:rsidR="00026353">
        <w:t>se components</w:t>
      </w:r>
      <w:r w:rsidR="004D6DFE">
        <w:t xml:space="preserve"> reduce</w:t>
      </w:r>
      <w:r w:rsidR="00A6748D">
        <w:t>d</w:t>
      </w:r>
      <w:r w:rsidR="004D6DFE">
        <w:t xml:space="preserve"> disability at least partly by improving patients’ self-efficacy for coping </w:t>
      </w:r>
      <w:r w:rsidR="00026353">
        <w:t xml:space="preserve">and reducing </w:t>
      </w:r>
      <w:r w:rsidR="001858BF">
        <w:t xml:space="preserve">psychosocial </w:t>
      </w:r>
      <w:r w:rsidR="00E573FA">
        <w:t xml:space="preserve">distress </w:t>
      </w:r>
      <w:r w:rsidR="001858BF">
        <w:t xml:space="preserve">and </w:t>
      </w:r>
      <w:r w:rsidR="00E573FA">
        <w:t xml:space="preserve">the </w:t>
      </w:r>
      <w:r w:rsidR="00026353">
        <w:t xml:space="preserve">perceived threat </w:t>
      </w:r>
      <w:r w:rsidR="001858BF">
        <w:t xml:space="preserve">of </w:t>
      </w:r>
      <w:r w:rsidR="00026353">
        <w:t>LBP.  Other contextual components emerge</w:t>
      </w:r>
      <w:r w:rsidR="001858BF">
        <w:t>d</w:t>
      </w:r>
      <w:r w:rsidR="00026353">
        <w:t xml:space="preserve"> as statistically significant predictors of improved outcome over time:  the healthcare environment, specifically greater satisfaction with appointments; </w:t>
      </w:r>
      <w:r w:rsidR="009018A0">
        <w:t xml:space="preserve">and </w:t>
      </w:r>
      <w:r w:rsidR="0047478A">
        <w:t>(contrary to hypothesised direction of association</w:t>
      </w:r>
      <w:r w:rsidR="00CE1EA0">
        <w:t>)</w:t>
      </w:r>
      <w:r w:rsidR="0047478A">
        <w:t xml:space="preserve"> </w:t>
      </w:r>
      <w:r w:rsidR="00026353">
        <w:t xml:space="preserve">patients’ beliefs, specifically reduced perceived credibility of one’s chosen </w:t>
      </w:r>
      <w:r w:rsidR="00A921C4">
        <w:t>treatment</w:t>
      </w:r>
      <w:r w:rsidR="00CE1EA0">
        <w:t>.</w:t>
      </w:r>
      <w:r w:rsidR="0055618A">
        <w:t xml:space="preserve"> </w:t>
      </w:r>
      <w:r w:rsidR="00CE1EA0">
        <w:t xml:space="preserve"> T</w:t>
      </w:r>
      <w:r w:rsidR="00026353">
        <w:t xml:space="preserve">he relationship between contextual components and patient outcomes did not differ across osteopathy, acupuncture, and physiotherapy.  </w:t>
      </w:r>
    </w:p>
    <w:p w14:paraId="6EEC726F" w14:textId="0A661332" w:rsidR="0071769A" w:rsidRDefault="0071769A" w:rsidP="0071769A">
      <w:pPr>
        <w:ind w:firstLine="720"/>
      </w:pPr>
      <w:r>
        <w:t>The current study extends understanding of the mechanisms through which contextual factors may impact patient health outcomes.  Earlier studies have investigated pathways amongst smaller numbers of contextual variables and suggested, for example, that self-efficacy mediates the impact on osteoarthritis pain of practitioners communicating positive expectancies</w:t>
      </w:r>
      <w:r w:rsidR="00CC5E54">
        <w:t>,</w:t>
      </w:r>
      <w:r w:rsidRPr="00D6486B">
        <w:rPr>
          <w:noProof/>
          <w:vertAlign w:val="superscript"/>
        </w:rPr>
        <w:t>35</w:t>
      </w:r>
      <w:r>
        <w:t xml:space="preserve"> affective aspects of the therapeutic relationship may shape patient expectancies in chronic </w:t>
      </w:r>
      <w:r w:rsidRPr="00AA09AE">
        <w:t>pain</w:t>
      </w:r>
      <w:r w:rsidR="00CC5E54" w:rsidRPr="00AA09AE">
        <w:t>,</w:t>
      </w:r>
      <w:r w:rsidR="00AA09AE" w:rsidRPr="00AA09AE">
        <w:rPr>
          <w:noProof/>
          <w:vertAlign w:val="superscript"/>
        </w:rPr>
        <w:t>70</w:t>
      </w:r>
      <w:r>
        <w:t xml:space="preserve"> and </w:t>
      </w:r>
      <w:r>
        <w:lastRenderedPageBreak/>
        <w:t>expectancies might impact pain via reduced catastrophising in chronic back pain</w:t>
      </w:r>
      <w:r w:rsidR="00CC5E54">
        <w:t>.</w:t>
      </w:r>
      <w:r w:rsidRPr="009B4F51">
        <w:rPr>
          <w:noProof/>
          <w:vertAlign w:val="superscript"/>
        </w:rPr>
        <w:t>33</w:t>
      </w:r>
      <w:r>
        <w:t xml:space="preserve">  The current results further suggest contextual factors reduce back-related disability in part by enhancing patient self-efficacy for coping with pain, reducing the perceived threat of pain, and reducing psychosocial distress.  This is broadly consistent with the fear avoidance model</w:t>
      </w:r>
      <w:r w:rsidRPr="00D6486B">
        <w:rPr>
          <w:noProof/>
          <w:vertAlign w:val="superscript"/>
        </w:rPr>
        <w:t>34</w:t>
      </w:r>
      <w:r>
        <w:t xml:space="preserve"> and social cognitive theory</w:t>
      </w:r>
      <w:r w:rsidR="00CC5E54">
        <w:t>.</w:t>
      </w:r>
      <w:proofErr w:type="gramStart"/>
      <w:r w:rsidRPr="00D6486B">
        <w:rPr>
          <w:noProof/>
          <w:vertAlign w:val="superscript"/>
        </w:rPr>
        <w:t>36</w:t>
      </w:r>
      <w:r>
        <w:t xml:space="preserve">  It</w:t>
      </w:r>
      <w:proofErr w:type="gramEnd"/>
      <w:r>
        <w:t xml:space="preserve"> also builds on work in adjacent areas such as communication</w:t>
      </w:r>
      <w:r w:rsidRPr="00D6486B">
        <w:rPr>
          <w:noProof/>
          <w:vertAlign w:val="superscript"/>
        </w:rPr>
        <w:t>41</w:t>
      </w:r>
      <w:r>
        <w:t xml:space="preserve"> and starts to map potential evidence-based psychological pathways through which contextual factors might impact patient outcomes.</w:t>
      </w:r>
    </w:p>
    <w:p w14:paraId="13CA769B" w14:textId="2645E239" w:rsidR="00495583" w:rsidRDefault="00495583" w:rsidP="002F4465">
      <w:pPr>
        <w:ind w:firstLine="720"/>
      </w:pPr>
      <w:r>
        <w:t>The prospective but non-experimental design requires cautious interpretation regarding possible causal relationships between variables: the results provide evidence of predictive relationships between variables over time, which are consistent with</w:t>
      </w:r>
      <w:r w:rsidR="00FE48CC">
        <w:t>,</w:t>
      </w:r>
      <w:r>
        <w:t xml:space="preserve"> but insufficient to establish causality.  </w:t>
      </w:r>
      <w:r w:rsidR="004C5CCD">
        <w:t xml:space="preserve">Experimental designs (e.g., trials) are now required to build on this work and to confirm the clinical importance of therapeutic alliance as a factor that influences patient outcomes.  </w:t>
      </w:r>
      <w:r>
        <w:t xml:space="preserve">While </w:t>
      </w:r>
      <w:r w:rsidR="00FE48CC">
        <w:t xml:space="preserve">97% of </w:t>
      </w:r>
      <w:r>
        <w:t xml:space="preserve">the </w:t>
      </w:r>
      <w:r w:rsidR="00CE1EA0">
        <w:t xml:space="preserve">baseline </w:t>
      </w:r>
      <w:r>
        <w:t>sample size was achieved (960 vs 986), retention was higher than anticipated (77% vs 70%) and the final sample at follow-up exceeded that required a priori (</w:t>
      </w:r>
      <w:r w:rsidR="00FE48CC">
        <w:t>108%</w:t>
      </w:r>
      <w:r w:rsidR="00CE1EA0">
        <w:t>,</w:t>
      </w:r>
      <w:r w:rsidR="00FE48CC">
        <w:t xml:space="preserve"> n=</w:t>
      </w:r>
      <w:r>
        <w:t xml:space="preserve">742 vs 690).  The geographical spread across the UK and the large cohort size suggests the results may be generalizable beyond this sample.  All variables were measured using self-report questionnaires, potentially introducing social desirability and/or shared-method bias; the former was </w:t>
      </w:r>
      <w:r w:rsidR="00FE48CC">
        <w:t xml:space="preserve">partially </w:t>
      </w:r>
      <w:r>
        <w:t xml:space="preserve">mitigated by patients returning questionnaires directly to the researchers, not their clinicians; the latter was </w:t>
      </w:r>
      <w:r w:rsidR="00FE48CC">
        <w:t xml:space="preserve">partially </w:t>
      </w:r>
      <w:r>
        <w:t xml:space="preserve">mitigated by the inclusion of patient and practitioner completed questionnaires and the separation in time of the measurement of predictors and outcomes.  Some of the ABS-MP subscales had low internal consistency in this sample (Cronbach’s alphas &lt;.6) suggesting the results of those analyses may be unreliable.  Empathy and perceived competence, potentially important </w:t>
      </w:r>
      <w:r w:rsidRPr="00AA09AE">
        <w:t>contextual components associated with the therapeutic relationship</w:t>
      </w:r>
      <w:r w:rsidR="00CC5E54" w:rsidRPr="00AA09AE">
        <w:t>,</w:t>
      </w:r>
      <w:r w:rsidR="00050AA8" w:rsidRPr="00AA09AE">
        <w:rPr>
          <w:noProof/>
          <w:vertAlign w:val="superscript"/>
        </w:rPr>
        <w:t>7</w:t>
      </w:r>
      <w:r w:rsidR="00900300" w:rsidRPr="00AA09AE">
        <w:rPr>
          <w:noProof/>
          <w:vertAlign w:val="superscript"/>
        </w:rPr>
        <w:t>1</w:t>
      </w:r>
      <w:r w:rsidRPr="00AA09AE">
        <w:t xml:space="preserve"> were not directly captured</w:t>
      </w:r>
      <w:r>
        <w:t xml:space="preserve"> by the measure of therapeutic alliance.  </w:t>
      </w:r>
    </w:p>
    <w:p w14:paraId="36B589C5" w14:textId="7C057D58" w:rsidR="00426E73" w:rsidRDefault="00864434" w:rsidP="00426E73">
      <w:pPr>
        <w:ind w:firstLine="720"/>
      </w:pPr>
      <w:r>
        <w:t xml:space="preserve">The current </w:t>
      </w:r>
      <w:r w:rsidR="00B123F7">
        <w:t xml:space="preserve">findings highlight the </w:t>
      </w:r>
      <w:r w:rsidR="003157FE">
        <w:t xml:space="preserve">relative </w:t>
      </w:r>
      <w:r w:rsidR="00B123F7">
        <w:t>importance of the therapeutic alliance as a contextual predictor of back-related disability over time</w:t>
      </w:r>
      <w:r w:rsidR="003157FE">
        <w:t>, compared to other contextual components</w:t>
      </w:r>
      <w:r w:rsidR="00B123F7">
        <w:t xml:space="preserve">.  </w:t>
      </w:r>
      <w:r w:rsidR="00426E73">
        <w:t xml:space="preserve">The minimum clinically-important difference for primary care patients with LBP has been calculated </w:t>
      </w:r>
      <w:r w:rsidR="00426E73" w:rsidRPr="00AA09AE">
        <w:lastRenderedPageBreak/>
        <w:t>as a standard 2-3 points</w:t>
      </w:r>
      <w:r w:rsidR="00050AA8" w:rsidRPr="00AA09AE">
        <w:rPr>
          <w:noProof/>
          <w:vertAlign w:val="superscript"/>
        </w:rPr>
        <w:t>7</w:t>
      </w:r>
      <w:r w:rsidR="00900300" w:rsidRPr="00AA09AE">
        <w:rPr>
          <w:noProof/>
          <w:vertAlign w:val="superscript"/>
        </w:rPr>
        <w:t>2</w:t>
      </w:r>
      <w:r w:rsidR="00426E73" w:rsidRPr="00AA09AE">
        <w:t xml:space="preserve"> or a 30% reduction in RMDQ score from baseline.</w:t>
      </w:r>
      <w:r w:rsidR="00050AA8" w:rsidRPr="00AA09AE">
        <w:rPr>
          <w:noProof/>
          <w:vertAlign w:val="superscript"/>
        </w:rPr>
        <w:t>7</w:t>
      </w:r>
      <w:r w:rsidR="00900300" w:rsidRPr="00AA09AE">
        <w:rPr>
          <w:noProof/>
          <w:vertAlign w:val="superscript"/>
        </w:rPr>
        <w:t>3</w:t>
      </w:r>
      <w:r w:rsidR="00426E73" w:rsidRPr="00AA09AE">
        <w:t xml:space="preserve">  Therefore, a one unit</w:t>
      </w:r>
      <w:r w:rsidR="00426E73">
        <w:t xml:space="preserve"> increase in patients’ rating of the therapeutic alliance (task) and a two unit increase in practitioners’ outcome expectancies would be associated with a clinically-important reduction in back-related disability for patients scoring 7 or less on the RMDQ at baseline.  For patients scoring 8 to 15 points on the RMDQ at baseline, a two-unit increase in patients’ rating of the therapeutic alliance (task) and a three-unit increase in practitioners’ outcome expectancies may be needed to make a </w:t>
      </w:r>
      <w:proofErr w:type="gramStart"/>
      <w:r w:rsidR="00426E73">
        <w:t>clinically-important</w:t>
      </w:r>
      <w:proofErr w:type="gramEnd"/>
      <w:r w:rsidR="00426E73">
        <w:t xml:space="preserve"> difference.  </w:t>
      </w:r>
    </w:p>
    <w:p w14:paraId="6E9D5916" w14:textId="32B6F8C2" w:rsidR="00EE769D" w:rsidRDefault="00426E73" w:rsidP="005432C3">
      <w:pPr>
        <w:ind w:firstLine="720"/>
      </w:pPr>
      <w:r>
        <w:t xml:space="preserve">Our findings </w:t>
      </w:r>
      <w:r w:rsidR="00B123F7">
        <w:t xml:space="preserve">support a growing emphasis on patient-practitioner communication and relationships in musculoskeletal healthcare interactions.  Previous studies </w:t>
      </w:r>
      <w:r w:rsidR="007D349B">
        <w:t xml:space="preserve">and reviews </w:t>
      </w:r>
      <w:r w:rsidR="00B123F7">
        <w:t>have also suggested the importance of the therapeutic relationship for positive patient outcomes</w:t>
      </w:r>
      <w:r w:rsidR="009B4F51" w:rsidRPr="009B4F51">
        <w:rPr>
          <w:noProof/>
          <w:vertAlign w:val="superscript"/>
        </w:rPr>
        <w:t>7 10</w:t>
      </w:r>
      <w:r w:rsidR="007D349B">
        <w:t xml:space="preserve"> </w:t>
      </w:r>
      <w:r w:rsidR="00E03068">
        <w:t xml:space="preserve">but have not considered </w:t>
      </w:r>
      <w:r w:rsidR="00B123F7">
        <w:t xml:space="preserve">the </w:t>
      </w:r>
      <w:r w:rsidR="008B32AD">
        <w:t>ext</w:t>
      </w:r>
      <w:r w:rsidR="00B123F7">
        <w:t xml:space="preserve">ensive selection of other contextual variables measured here.  </w:t>
      </w:r>
      <w:r w:rsidR="007D349B">
        <w:t>A recent systematic review in physiotherapy concluded there was a lack of evidence of a strong relationship between therapeutic alliance and reduced pain, but the studies review</w:t>
      </w:r>
      <w:r w:rsidR="00864434">
        <w:t>ed</w:t>
      </w:r>
      <w:r w:rsidR="007D349B">
        <w:t xml:space="preserve"> were all much smaller than </w:t>
      </w:r>
      <w:r w:rsidR="00864434" w:rsidRPr="00AA09AE">
        <w:t xml:space="preserve">the current cohort </w:t>
      </w:r>
      <w:r w:rsidR="007D349B" w:rsidRPr="00AA09AE">
        <w:t>(</w:t>
      </w:r>
      <w:r w:rsidR="00E03068" w:rsidRPr="00AA09AE">
        <w:t>n=</w:t>
      </w:r>
      <w:r w:rsidR="007D349B" w:rsidRPr="00AA09AE">
        <w:t>12</w:t>
      </w:r>
      <w:r w:rsidR="00E03068" w:rsidRPr="00AA09AE">
        <w:t>-</w:t>
      </w:r>
      <w:r w:rsidR="007D349B" w:rsidRPr="00AA09AE">
        <w:t>182) and may have been underpowered</w:t>
      </w:r>
      <w:r w:rsidR="00CC5E54" w:rsidRPr="00AA09AE">
        <w:t>.</w:t>
      </w:r>
      <w:r w:rsidR="00050AA8" w:rsidRPr="00AA09AE">
        <w:rPr>
          <w:noProof/>
          <w:vertAlign w:val="superscript"/>
        </w:rPr>
        <w:t>7</w:t>
      </w:r>
      <w:r w:rsidR="00900300" w:rsidRPr="00AA09AE">
        <w:rPr>
          <w:noProof/>
          <w:vertAlign w:val="superscript"/>
        </w:rPr>
        <w:t>4</w:t>
      </w:r>
      <w:r w:rsidR="007D349B" w:rsidRPr="00AA09AE">
        <w:t xml:space="preserve">  </w:t>
      </w:r>
      <w:r w:rsidR="007B52A0" w:rsidRPr="00AA09AE">
        <w:t>The only other contextual</w:t>
      </w:r>
      <w:r w:rsidR="007B52A0">
        <w:t xml:space="preserve"> factor to approach a moderate effect size on patient outcomes was the practitioners’ outcome </w:t>
      </w:r>
      <w:r w:rsidR="00687ACF">
        <w:t>expectancies</w:t>
      </w:r>
      <w:r w:rsidR="00494ED4">
        <w:t xml:space="preserve"> at baseline</w:t>
      </w:r>
      <w:r w:rsidR="007B52A0">
        <w:t xml:space="preserve">, which predicted outcomes even after controlling for baseline clinical and socio-demographic variables.  This factor has been somewhat overlooked in the literature but </w:t>
      </w:r>
      <w:r w:rsidR="00743B29">
        <w:t xml:space="preserve">was </w:t>
      </w:r>
      <w:r w:rsidR="007B52A0">
        <w:t>also</w:t>
      </w:r>
      <w:r w:rsidR="00743B29">
        <w:t xml:space="preserve"> found to </w:t>
      </w:r>
      <w:r w:rsidR="007B52A0">
        <w:t xml:space="preserve">predict outcomes in </w:t>
      </w:r>
      <w:r w:rsidR="00542DFB">
        <w:t>a large acupuncture study</w:t>
      </w:r>
      <w:r w:rsidR="00CC5E54">
        <w:t>.</w:t>
      </w:r>
      <w:r w:rsidR="009B4F51" w:rsidRPr="009B4F51">
        <w:rPr>
          <w:noProof/>
          <w:vertAlign w:val="superscript"/>
        </w:rPr>
        <w:t>23</w:t>
      </w:r>
      <w:r w:rsidR="007B52A0">
        <w:t xml:space="preserve">  The reasons for this association likely involve practitioners making global clinical judgements that incorporate factors not </w:t>
      </w:r>
      <w:r w:rsidR="00864434">
        <w:t xml:space="preserve">measured </w:t>
      </w:r>
      <w:r w:rsidR="007B52A0">
        <w:t xml:space="preserve">in </w:t>
      </w:r>
      <w:r w:rsidR="00864434">
        <w:t>the current study</w:t>
      </w:r>
      <w:r w:rsidR="007B52A0">
        <w:t xml:space="preserve">.  </w:t>
      </w:r>
      <w:r w:rsidR="00DB6187">
        <w:t>The statistically significant association between lower perceived treatment credibility and improved patient outcomes was not in the predicted direction; the effect size was very small (.01) and unlikely to be clinically significant</w:t>
      </w:r>
      <w:r w:rsidR="004C5CCD">
        <w:t xml:space="preserve">.  It may be that patients who believe their treatment is extremely credible are more likely to then experience some disappointment when experiencing the reality of that treatment, which may then impact engagement with treatment and/or outcome reporting.  </w:t>
      </w:r>
      <w:r w:rsidR="00867743">
        <w:t xml:space="preserve">The lack of association between </w:t>
      </w:r>
      <w:r w:rsidR="00EE769D">
        <w:t xml:space="preserve">patients’ </w:t>
      </w:r>
      <w:r w:rsidR="00687ACF">
        <w:t>expectancies</w:t>
      </w:r>
      <w:r w:rsidR="00EE769D">
        <w:t xml:space="preserve"> </w:t>
      </w:r>
      <w:r w:rsidR="00867743">
        <w:t xml:space="preserve">and subsequent outcomes was unexpected given the balance of previous findings linking </w:t>
      </w:r>
      <w:r w:rsidR="00864434">
        <w:t xml:space="preserve">patient </w:t>
      </w:r>
      <w:r w:rsidR="00687ACF">
        <w:t>expectancies</w:t>
      </w:r>
      <w:r w:rsidR="00867743">
        <w:t xml:space="preserve"> to </w:t>
      </w:r>
      <w:r w:rsidR="00867743" w:rsidRPr="00AA09AE">
        <w:t>outcomes</w:t>
      </w:r>
      <w:r w:rsidR="00CC5E54" w:rsidRPr="00AA09AE">
        <w:t>,</w:t>
      </w:r>
      <w:r w:rsidR="009B4F51" w:rsidRPr="00AA09AE">
        <w:rPr>
          <w:noProof/>
          <w:vertAlign w:val="superscript"/>
        </w:rPr>
        <w:t xml:space="preserve">9 </w:t>
      </w:r>
      <w:r w:rsidR="00050AA8" w:rsidRPr="00AA09AE">
        <w:rPr>
          <w:noProof/>
          <w:vertAlign w:val="superscript"/>
        </w:rPr>
        <w:t>7</w:t>
      </w:r>
      <w:r w:rsidR="00AA09AE" w:rsidRPr="00AA09AE">
        <w:rPr>
          <w:noProof/>
          <w:vertAlign w:val="superscript"/>
        </w:rPr>
        <w:t>5</w:t>
      </w:r>
      <w:r w:rsidR="00542DFB" w:rsidRPr="00AA09AE">
        <w:t xml:space="preserve"> </w:t>
      </w:r>
      <w:r w:rsidR="00E03068" w:rsidRPr="00AA09AE">
        <w:t xml:space="preserve">but </w:t>
      </w:r>
      <w:r w:rsidR="00E03068" w:rsidRPr="00AA09AE">
        <w:lastRenderedPageBreak/>
        <w:t xml:space="preserve">not unprecedented: </w:t>
      </w:r>
      <w:r w:rsidR="00687ACF" w:rsidRPr="00AA09AE">
        <w:t>expectancies</w:t>
      </w:r>
      <w:r w:rsidR="00542DFB" w:rsidRPr="00AA09AE">
        <w:t xml:space="preserve"> are more strongly and consistently associated</w:t>
      </w:r>
      <w:r w:rsidR="00542DFB">
        <w:t xml:space="preserve"> with experimental acute and procedural pain than chronic pain</w:t>
      </w:r>
      <w:r w:rsidR="00CC5E54">
        <w:t>.</w:t>
      </w:r>
      <w:r w:rsidR="009B4F51" w:rsidRPr="009B4F51">
        <w:rPr>
          <w:noProof/>
          <w:vertAlign w:val="superscript"/>
        </w:rPr>
        <w:t>11</w:t>
      </w:r>
      <w:r w:rsidR="00867743">
        <w:t xml:space="preserve">  </w:t>
      </w:r>
      <w:r w:rsidR="009C6D63">
        <w:t xml:space="preserve">This </w:t>
      </w:r>
      <w:r w:rsidR="00867743">
        <w:t>null finding m</w:t>
      </w:r>
      <w:r w:rsidR="004239B8">
        <w:t xml:space="preserve">ay be related to </w:t>
      </w:r>
      <w:r w:rsidR="004239B8" w:rsidRPr="00AA09AE">
        <w:t xml:space="preserve">timing, as </w:t>
      </w:r>
      <w:r w:rsidR="00687ACF" w:rsidRPr="00AA09AE">
        <w:t>expectancies</w:t>
      </w:r>
      <w:r w:rsidR="004239B8" w:rsidRPr="00AA09AE">
        <w:t xml:space="preserve"> </w:t>
      </w:r>
      <w:r w:rsidR="009C6D63" w:rsidRPr="00AA09AE">
        <w:t>may change</w:t>
      </w:r>
      <w:r w:rsidR="004239B8" w:rsidRPr="00AA09AE">
        <w:t xml:space="preserve"> over time</w:t>
      </w:r>
      <w:r w:rsidR="00050AA8" w:rsidRPr="00AA09AE">
        <w:rPr>
          <w:noProof/>
          <w:vertAlign w:val="superscript"/>
        </w:rPr>
        <w:t>7</w:t>
      </w:r>
      <w:r w:rsidR="00900300" w:rsidRPr="00AA09AE">
        <w:rPr>
          <w:noProof/>
          <w:vertAlign w:val="superscript"/>
        </w:rPr>
        <w:t>6</w:t>
      </w:r>
      <w:r w:rsidR="009C6D63" w:rsidRPr="00AA09AE">
        <w:t xml:space="preserve"> </w:t>
      </w:r>
      <w:r w:rsidR="00867743" w:rsidRPr="00AA09AE">
        <w:t>and patient</w:t>
      </w:r>
      <w:r w:rsidR="00694618" w:rsidRPr="00AA09AE">
        <w:t>s can be reluctant to specify</w:t>
      </w:r>
      <w:r w:rsidR="00694618">
        <w:t xml:space="preserve"> </w:t>
      </w:r>
      <w:r w:rsidR="00687ACF">
        <w:t>expectancies</w:t>
      </w:r>
      <w:r w:rsidR="00867743">
        <w:t xml:space="preserve"> about effectiveness early in treatment</w:t>
      </w:r>
      <w:r w:rsidR="002A2B88">
        <w:t xml:space="preserve">, </w:t>
      </w:r>
      <w:r w:rsidR="00864434">
        <w:t>while</w:t>
      </w:r>
      <w:r w:rsidR="002A2B88">
        <w:t xml:space="preserve"> concepts such as hope may have greater </w:t>
      </w:r>
      <w:r w:rsidR="002A2B88" w:rsidRPr="00AA09AE">
        <w:t>resonance in clinical settings</w:t>
      </w:r>
      <w:r w:rsidR="00CC5E54" w:rsidRPr="00AA09AE">
        <w:t>.</w:t>
      </w:r>
      <w:r w:rsidR="00F60276" w:rsidRPr="00AA09AE">
        <w:rPr>
          <w:noProof/>
          <w:vertAlign w:val="superscript"/>
        </w:rPr>
        <w:t>77</w:t>
      </w:r>
      <w:r w:rsidR="00F60276" w:rsidRPr="00AA09AE">
        <w:t xml:space="preserve"> </w:t>
      </w:r>
      <w:r w:rsidR="00867743" w:rsidRPr="00AA09AE">
        <w:t xml:space="preserve"> </w:t>
      </w:r>
      <w:r w:rsidR="003157FE" w:rsidRPr="00AA09AE">
        <w:t xml:space="preserve">The lack of associations between patient outcomes and </w:t>
      </w:r>
      <w:r w:rsidR="00EE769D" w:rsidRPr="00AA09AE">
        <w:t>practitioner</w:t>
      </w:r>
      <w:r w:rsidR="00EE769D">
        <w:t xml:space="preserve"> perceptions of the healthcare environment</w:t>
      </w:r>
      <w:r w:rsidR="003157FE">
        <w:t>,</w:t>
      </w:r>
      <w:r w:rsidR="00EE769D">
        <w:t xml:space="preserve"> attitudes and orientation to LBP </w:t>
      </w:r>
      <w:r w:rsidR="003157FE">
        <w:t>was also unexpected</w:t>
      </w:r>
      <w:r w:rsidR="00867743">
        <w:t xml:space="preserve">, </w:t>
      </w:r>
      <w:r w:rsidR="001D3632">
        <w:t xml:space="preserve">but </w:t>
      </w:r>
      <w:r w:rsidR="003157FE">
        <w:t>may</w:t>
      </w:r>
      <w:r w:rsidR="001D3632">
        <w:t xml:space="preserve"> be </w:t>
      </w:r>
      <w:r w:rsidR="003157FE">
        <w:t>an artefact</w:t>
      </w:r>
      <w:r w:rsidR="001D3632">
        <w:t xml:space="preserve"> of the </w:t>
      </w:r>
      <w:r w:rsidR="00E03068">
        <w:t xml:space="preserve">low </w:t>
      </w:r>
      <w:r w:rsidR="001D3632">
        <w:t>reliability of the ABS-MP subscales</w:t>
      </w:r>
      <w:r w:rsidR="00EE769D">
        <w:t xml:space="preserve">.  </w:t>
      </w:r>
    </w:p>
    <w:p w14:paraId="370C47DB" w14:textId="2D1BA1F3" w:rsidR="0071769A" w:rsidRDefault="0071769A" w:rsidP="00181631">
      <w:pPr>
        <w:ind w:firstLine="720"/>
      </w:pPr>
      <w:r>
        <w:t xml:space="preserve">Future research, using qualitative methods, could explore how practitioners form positive outcome expectancies and how this might be harnessed in practice.  The possible causal nature of and mechanisms by which practitioner outcome expectancies impact patient outcomes also require further research.  </w:t>
      </w:r>
      <w:r w:rsidR="00CA324E">
        <w:t xml:space="preserve">To confirm the clinical importance of therapeutic alliance and enable practitioners to harness this in practice, sensible next steps would be to develop and then trial brief and engaging post-qualification training for practitioners, using a systematic approach such as the person-based </w:t>
      </w:r>
      <w:r w:rsidR="00CA324E" w:rsidRPr="00AA09AE">
        <w:t>approach to intervention development.</w:t>
      </w:r>
      <w:r w:rsidR="00F60276" w:rsidRPr="00AA09AE">
        <w:rPr>
          <w:vertAlign w:val="superscript"/>
        </w:rPr>
        <w:t>78</w:t>
      </w:r>
      <w:r w:rsidR="00CA324E" w:rsidRPr="00CA324E">
        <w:rPr>
          <w:vertAlign w:val="superscript"/>
        </w:rPr>
        <w:t xml:space="preserve">  </w:t>
      </w:r>
    </w:p>
    <w:p w14:paraId="0795DC71" w14:textId="60620D2C" w:rsidR="00101F48" w:rsidRDefault="0071769A" w:rsidP="00181631">
      <w:pPr>
        <w:ind w:firstLine="720"/>
      </w:pPr>
      <w:r>
        <w:t xml:space="preserve">Having a strong therapeutic alliance and positive practitioner expectancies of outcome were the strongest contextual predictors of reduced disability in a large cohort of patients with LBP receiving physiotherapy, </w:t>
      </w:r>
      <w:proofErr w:type="gramStart"/>
      <w:r>
        <w:t>osteopathy</w:t>
      </w:r>
      <w:proofErr w:type="gramEnd"/>
      <w:r>
        <w:t xml:space="preserve"> and acupuncture.  These operate in part by altering known psychological </w:t>
      </w:r>
      <w:r w:rsidR="00BF6C8B">
        <w:t>predictors of outcome</w:t>
      </w:r>
      <w:r>
        <w:t xml:space="preserve">: self-efficacy, perceived pain threat, and psychosocial distress.  </w:t>
      </w:r>
      <w:r w:rsidR="00031B8A">
        <w:t xml:space="preserve">Enhancing </w:t>
      </w:r>
      <w:r>
        <w:t xml:space="preserve">these </w:t>
      </w:r>
      <w:r w:rsidR="00031B8A">
        <w:t xml:space="preserve">contextual components in practice could improve patient </w:t>
      </w:r>
      <w:r w:rsidR="00F8176F">
        <w:t xml:space="preserve">health </w:t>
      </w:r>
      <w:r w:rsidR="00031B8A">
        <w:t>outcomes</w:t>
      </w:r>
      <w:r w:rsidR="00F8176F">
        <w:t xml:space="preserve"> from LBP</w:t>
      </w:r>
      <w:r w:rsidR="00031B8A">
        <w:t xml:space="preserve">.  </w:t>
      </w:r>
      <w:r w:rsidR="002706FA">
        <w:t xml:space="preserve">While a strong therapeutic alliance concerning the ultimate goals of treatment and a strong affective bond are associated with improved patient health outcomes, it is the strength of alliance concerning </w:t>
      </w:r>
      <w:r w:rsidR="002706FA" w:rsidRPr="00B123F7">
        <w:rPr>
          <w:u w:val="single"/>
        </w:rPr>
        <w:t>how</w:t>
      </w:r>
      <w:r w:rsidR="002706FA">
        <w:t xml:space="preserve"> to achieve the goals (i.e., the tasks of treatment) that has the largest effect on improved outcomes.  </w:t>
      </w:r>
      <w:r w:rsidR="00F8176F">
        <w:t>The lack of between-</w:t>
      </w:r>
      <w:r w:rsidR="00A921C4">
        <w:t>treatment</w:t>
      </w:r>
      <w:r w:rsidR="00F8176F">
        <w:t xml:space="preserve"> differences in significant predictors suggests the potential for shared learning across therapies to improve contextual components.  </w:t>
      </w:r>
      <w:r>
        <w:t xml:space="preserve">Therefore, </w:t>
      </w:r>
      <w:r w:rsidR="00CA1420">
        <w:t>i</w:t>
      </w:r>
      <w:r w:rsidR="00FE48CC">
        <w:t xml:space="preserve">t is advisable for clinicians to </w:t>
      </w:r>
      <w:r w:rsidR="006F5C1D">
        <w:t>focus on</w:t>
      </w:r>
      <w:r w:rsidR="0015539F">
        <w:t xml:space="preserve"> strengthen</w:t>
      </w:r>
      <w:r w:rsidR="00F8176F">
        <w:t>ing</w:t>
      </w:r>
      <w:r w:rsidR="0015539F">
        <w:t xml:space="preserve"> </w:t>
      </w:r>
      <w:r w:rsidR="00F8176F">
        <w:t xml:space="preserve">their </w:t>
      </w:r>
      <w:r w:rsidR="0015539F">
        <w:t>alliance</w:t>
      </w:r>
      <w:r w:rsidR="00F8176F">
        <w:t xml:space="preserve"> </w:t>
      </w:r>
      <w:r w:rsidR="0015539F">
        <w:t xml:space="preserve">building </w:t>
      </w:r>
      <w:r w:rsidR="00F8176F">
        <w:t xml:space="preserve">related to how the patient </w:t>
      </w:r>
      <w:r w:rsidR="00F8176F">
        <w:lastRenderedPageBreak/>
        <w:t xml:space="preserve">should reach </w:t>
      </w:r>
      <w:r w:rsidR="001858BF">
        <w:t>an agreed-</w:t>
      </w:r>
      <w:r w:rsidR="0015539F">
        <w:t>upon goal</w:t>
      </w:r>
      <w:r w:rsidR="00F8176F">
        <w:t xml:space="preserve"> within the context of a strong affective bond.  </w:t>
      </w:r>
      <w:r w:rsidR="002706FA">
        <w:t>Evidence-based, engaging, t</w:t>
      </w:r>
      <w:r w:rsidR="00101F48">
        <w:t xml:space="preserve">raining could be developed to support </w:t>
      </w:r>
      <w:r w:rsidR="002706FA">
        <w:t>skills in therapeutic alliance building</w:t>
      </w:r>
      <w:r w:rsidR="00101F48">
        <w:t>.</w:t>
      </w:r>
    </w:p>
    <w:p w14:paraId="42766FE0" w14:textId="77777777" w:rsidR="00666D42" w:rsidRDefault="00666D42">
      <w:pPr>
        <w:spacing w:after="160" w:line="259" w:lineRule="auto"/>
        <w:contextualSpacing w:val="0"/>
      </w:pPr>
      <w:r>
        <w:br w:type="page"/>
      </w:r>
    </w:p>
    <w:p w14:paraId="7E93C71A" w14:textId="0F5498AE" w:rsidR="00666D42" w:rsidRPr="00BC0950" w:rsidRDefault="00BC0950" w:rsidP="00BC0950">
      <w:pPr>
        <w:pStyle w:val="NoSpacing"/>
        <w:jc w:val="center"/>
        <w:rPr>
          <w:b/>
          <w:bCs/>
        </w:rPr>
      </w:pPr>
      <w:r w:rsidRPr="00BC0950">
        <w:rPr>
          <w:b/>
          <w:bCs/>
        </w:rPr>
        <w:lastRenderedPageBreak/>
        <w:t>FUNDING STATEMENT</w:t>
      </w:r>
    </w:p>
    <w:p w14:paraId="064A3945" w14:textId="77777777" w:rsidR="00666D42" w:rsidRPr="004F62F6" w:rsidRDefault="00666D42" w:rsidP="00666D42">
      <w:pPr>
        <w:pStyle w:val="NoSpacing"/>
      </w:pPr>
      <w:r w:rsidRPr="004F62F6">
        <w:t xml:space="preserve">This work was supported by Arthritis Research UK Special Strategic Award grant number 20552.  </w:t>
      </w:r>
    </w:p>
    <w:p w14:paraId="6883B340" w14:textId="77777777" w:rsidR="00666D42" w:rsidRDefault="00666D42" w:rsidP="00666D42">
      <w:pPr>
        <w:pStyle w:val="NoSpacing"/>
      </w:pPr>
    </w:p>
    <w:p w14:paraId="1F809E61" w14:textId="1C72C230" w:rsidR="00666D42" w:rsidRPr="00BC0950" w:rsidRDefault="00BC0950" w:rsidP="00BC0950">
      <w:pPr>
        <w:pStyle w:val="NoSpacing"/>
        <w:jc w:val="center"/>
        <w:rPr>
          <w:b/>
          <w:bCs/>
        </w:rPr>
      </w:pPr>
      <w:bookmarkStart w:id="12" w:name="_Hlk64886912"/>
      <w:r w:rsidRPr="00BC0950">
        <w:rPr>
          <w:b/>
          <w:bCs/>
        </w:rPr>
        <w:t>AUTHOR CONTRIBUTIONS</w:t>
      </w:r>
    </w:p>
    <w:p w14:paraId="2448B9F2" w14:textId="4AB8AA33" w:rsidR="00666D42" w:rsidRDefault="00666D42" w:rsidP="00BC0950">
      <w:pPr>
        <w:pStyle w:val="NoSpacing"/>
        <w:ind w:firstLine="720"/>
      </w:pPr>
      <w:bookmarkStart w:id="13" w:name="_Hlk64967334"/>
      <w:r w:rsidRPr="00666D42">
        <w:t>FLB led the study conception and design and drafted the manuscript. FLB, KB, HM, LY,</w:t>
      </w:r>
      <w:r w:rsidR="001D0E7B">
        <w:t xml:space="preserve"> and LR</w:t>
      </w:r>
      <w:r w:rsidRPr="00666D42">
        <w:t xml:space="preserve"> conceptualised the study</w:t>
      </w:r>
      <w:r w:rsidR="001D0E7B">
        <w:t xml:space="preserve"> and </w:t>
      </w:r>
      <w:r w:rsidRPr="00666D42">
        <w:t xml:space="preserve">drafted the protocol and the associated grant application.  </w:t>
      </w:r>
      <w:bookmarkEnd w:id="13"/>
      <w:r w:rsidRPr="00666D42">
        <w:t xml:space="preserve">FLB, KB, HM, LY, MA, </w:t>
      </w:r>
      <w:r w:rsidR="00A526AB">
        <w:t xml:space="preserve">DC, CF, </w:t>
      </w:r>
      <w:r w:rsidRPr="00666D42">
        <w:t xml:space="preserve">and LR drafted the manuscript.  MA was the research fellow on the study, responsible for data collection under the supervision of FLB and KB and in collaboration with all authors.  BS undertook the statistical analysis.  All authors revised the manuscript critically for important intellectual content and gave final approval of the version to be published.  </w:t>
      </w:r>
    </w:p>
    <w:p w14:paraId="0DF1B734" w14:textId="77777777" w:rsidR="00A526AB" w:rsidRPr="004F62F6" w:rsidRDefault="00A526AB" w:rsidP="00BC0950">
      <w:pPr>
        <w:pStyle w:val="NoSpacing"/>
        <w:ind w:firstLine="720"/>
      </w:pPr>
    </w:p>
    <w:p w14:paraId="6F50E033" w14:textId="22AD0C78" w:rsidR="00A526AB" w:rsidRPr="00A526AB" w:rsidRDefault="00A526AB" w:rsidP="00A526AB">
      <w:pPr>
        <w:pStyle w:val="NoSpacing"/>
        <w:ind w:firstLine="720"/>
        <w:jc w:val="center"/>
        <w:rPr>
          <w:b/>
          <w:bCs/>
        </w:rPr>
      </w:pPr>
      <w:r w:rsidRPr="00A526AB">
        <w:rPr>
          <w:b/>
          <w:bCs/>
        </w:rPr>
        <w:t>ACKNOWLEDGEMENTS</w:t>
      </w:r>
    </w:p>
    <w:p w14:paraId="3A7A8FAC" w14:textId="1FC4609E" w:rsidR="00A526AB" w:rsidRDefault="00A526AB" w:rsidP="00A526AB">
      <w:pPr>
        <w:pStyle w:val="NoSpacing"/>
        <w:ind w:firstLine="720"/>
      </w:pPr>
      <w:r w:rsidRPr="004F62F6">
        <w:t xml:space="preserve">We would like to acknowledge the vital contribution that three, now deceased, colleagues made to the design and management of this research: Dr </w:t>
      </w:r>
      <w:proofErr w:type="spellStart"/>
      <w:r w:rsidRPr="004F62F6">
        <w:t>Borislav</w:t>
      </w:r>
      <w:proofErr w:type="spellEnd"/>
      <w:r w:rsidRPr="004F62F6">
        <w:t xml:space="preserve"> Dimitrov (University of Southampton), Dr Jan Leach (University of Brighton), and Professor George </w:t>
      </w:r>
      <w:proofErr w:type="spellStart"/>
      <w:r w:rsidRPr="004F62F6">
        <w:t>Lewith</w:t>
      </w:r>
      <w:proofErr w:type="spellEnd"/>
      <w:r w:rsidRPr="004F62F6">
        <w:t xml:space="preserve"> (University of Southampton).</w:t>
      </w:r>
      <w:r w:rsidRPr="00666D42">
        <w:t xml:space="preserve"> </w:t>
      </w:r>
      <w:bookmarkStart w:id="14" w:name="_Hlk64967345"/>
      <w:r w:rsidR="001D0E7B">
        <w:t xml:space="preserve">Specifically, </w:t>
      </w:r>
      <w:r w:rsidR="001D0E7B" w:rsidRPr="00666D42">
        <w:t xml:space="preserve">George </w:t>
      </w:r>
      <w:proofErr w:type="spellStart"/>
      <w:r w:rsidR="001D0E7B" w:rsidRPr="00666D42">
        <w:t>Lewith</w:t>
      </w:r>
      <w:proofErr w:type="spellEnd"/>
      <w:r w:rsidR="001D0E7B" w:rsidRPr="00666D42">
        <w:t xml:space="preserve">, </w:t>
      </w:r>
      <w:proofErr w:type="spellStart"/>
      <w:r w:rsidR="001D0E7B" w:rsidRPr="00666D42">
        <w:t>Borislav</w:t>
      </w:r>
      <w:proofErr w:type="spellEnd"/>
      <w:r w:rsidR="001D0E7B" w:rsidRPr="00666D42">
        <w:t xml:space="preserve"> Dimitrov, and Jan Leach </w:t>
      </w:r>
      <w:r w:rsidR="001D0E7B">
        <w:t xml:space="preserve">contributed to </w:t>
      </w:r>
      <w:r w:rsidR="001D0E7B" w:rsidRPr="00666D42">
        <w:t>conceptualis</w:t>
      </w:r>
      <w:r w:rsidR="001D0E7B">
        <w:t>ing</w:t>
      </w:r>
      <w:r w:rsidR="001D0E7B" w:rsidRPr="00666D42">
        <w:t xml:space="preserve"> the study, draft</w:t>
      </w:r>
      <w:r w:rsidR="001D0E7B">
        <w:t>ing</w:t>
      </w:r>
      <w:r w:rsidR="001D0E7B" w:rsidRPr="00666D42">
        <w:t xml:space="preserve"> the protocol and the associated grant application</w:t>
      </w:r>
      <w:r w:rsidR="001D0E7B">
        <w:t>, and supervising data collection</w:t>
      </w:r>
      <w:r w:rsidR="001D0E7B" w:rsidRPr="00666D42">
        <w:t xml:space="preserve">.  </w:t>
      </w:r>
    </w:p>
    <w:bookmarkEnd w:id="14"/>
    <w:p w14:paraId="15123010" w14:textId="1EF670C4" w:rsidR="00666D42" w:rsidRPr="004F62F6" w:rsidRDefault="00666D42" w:rsidP="00BC0950">
      <w:pPr>
        <w:pStyle w:val="NoSpacing"/>
        <w:ind w:firstLine="720"/>
      </w:pPr>
      <w:r w:rsidRPr="004F62F6">
        <w:t xml:space="preserve">We would like to thank all the practitioners and patients who took part in this study.  The Clinical Research Network, British Acupuncture Council, Chartered Society of Physiotherapy, General Osteopathic Council, and the Institute of Osteopathy assisted with recruitment.  Research and administrative assistance </w:t>
      </w:r>
      <w:proofErr w:type="gramStart"/>
      <w:r w:rsidRPr="004F62F6">
        <w:t>was</w:t>
      </w:r>
      <w:proofErr w:type="gramEnd"/>
      <w:r w:rsidRPr="004F62F6">
        <w:t xml:space="preserve"> provided by:  Laura Wilde, Sue Eardley, Maddy </w:t>
      </w:r>
      <w:proofErr w:type="spellStart"/>
      <w:r w:rsidRPr="004F62F6">
        <w:t>Greville</w:t>
      </w:r>
      <w:proofErr w:type="spellEnd"/>
      <w:r w:rsidRPr="004F62F6">
        <w:t xml:space="preserve">-Harris, J Matthew Harvey, Daniel Scanlan, Ricky Wong, </w:t>
      </w:r>
      <w:proofErr w:type="spellStart"/>
      <w:r w:rsidRPr="004F62F6">
        <w:t>Tasnia</w:t>
      </w:r>
      <w:proofErr w:type="spellEnd"/>
      <w:r w:rsidRPr="004F62F6">
        <w:t xml:space="preserve"> Priti, Daniela Baramova, Helen Loader, Nicole </w:t>
      </w:r>
      <w:proofErr w:type="spellStart"/>
      <w:r w:rsidRPr="004F62F6">
        <w:t>Collaco</w:t>
      </w:r>
      <w:proofErr w:type="spellEnd"/>
      <w:r w:rsidRPr="004F62F6">
        <w:t xml:space="preserve">, Yasmin Hoque, and </w:t>
      </w:r>
      <w:proofErr w:type="spellStart"/>
      <w:r w:rsidRPr="004F62F6">
        <w:t>Senada</w:t>
      </w:r>
      <w:proofErr w:type="spellEnd"/>
      <w:r w:rsidRPr="004F62F6">
        <w:t xml:space="preserve"> Merkulaj.  Our Patient Public Involvement collaborator was Jo Foster.</w:t>
      </w:r>
    </w:p>
    <w:bookmarkEnd w:id="12"/>
    <w:p w14:paraId="75CAA3A9" w14:textId="77777777" w:rsidR="00666D42" w:rsidRDefault="00666D42" w:rsidP="00666D42">
      <w:pPr>
        <w:pStyle w:val="NoSpacing"/>
      </w:pPr>
    </w:p>
    <w:p w14:paraId="79F58007" w14:textId="1D78014D" w:rsidR="00666D42" w:rsidRPr="00BC0950" w:rsidRDefault="00BC0950" w:rsidP="00BC0950">
      <w:pPr>
        <w:pStyle w:val="NoSpacing"/>
        <w:jc w:val="center"/>
        <w:rPr>
          <w:b/>
          <w:bCs/>
        </w:rPr>
      </w:pPr>
      <w:r w:rsidRPr="00BC0950">
        <w:rPr>
          <w:b/>
          <w:bCs/>
        </w:rPr>
        <w:t>COMPETING INTERESTS STATEMENT</w:t>
      </w:r>
    </w:p>
    <w:p w14:paraId="5A3D93A3" w14:textId="593B6391" w:rsidR="00666D42" w:rsidRDefault="00666D42" w:rsidP="00BC0950">
      <w:pPr>
        <w:pStyle w:val="NoSpacing"/>
        <w:ind w:firstLine="720"/>
      </w:pPr>
      <w:r w:rsidRPr="004F62F6">
        <w:t xml:space="preserve">FLB received an honorarium and travel expenses for presenting the preliminary results of this research at the Acupuncture Research Resource Centre research symposium and has also received speaker’s fees and travel expenses from the Acupuncture Association of Chartered Physiotherapists.  The authors declare that they have no other competing interests.  </w:t>
      </w:r>
    </w:p>
    <w:p w14:paraId="5667878B" w14:textId="77777777" w:rsidR="00BC0950" w:rsidRDefault="00BC0950" w:rsidP="00666D42">
      <w:pPr>
        <w:pStyle w:val="NoSpacing"/>
      </w:pPr>
    </w:p>
    <w:p w14:paraId="4DBFB25C" w14:textId="4E2A51C2" w:rsidR="00666D42" w:rsidRDefault="00666D42" w:rsidP="00666D42">
      <w:pPr>
        <w:pStyle w:val="NoSpacing"/>
      </w:pPr>
    </w:p>
    <w:p w14:paraId="488F4D40" w14:textId="3B161549" w:rsidR="00666D42" w:rsidRPr="00BC0950" w:rsidRDefault="00666D42" w:rsidP="00BC0950">
      <w:pPr>
        <w:pStyle w:val="NoSpacing"/>
        <w:jc w:val="center"/>
        <w:rPr>
          <w:b/>
          <w:bCs/>
        </w:rPr>
      </w:pPr>
      <w:r w:rsidRPr="00BC0950">
        <w:rPr>
          <w:b/>
          <w:bCs/>
        </w:rPr>
        <w:t>D</w:t>
      </w:r>
      <w:r w:rsidR="00BC0950" w:rsidRPr="00BC0950">
        <w:rPr>
          <w:b/>
          <w:bCs/>
        </w:rPr>
        <w:t xml:space="preserve">ATA </w:t>
      </w:r>
      <w:r w:rsidRPr="00BC0950">
        <w:rPr>
          <w:b/>
          <w:bCs/>
        </w:rPr>
        <w:t>S</w:t>
      </w:r>
      <w:r w:rsidR="00BC0950" w:rsidRPr="00BC0950">
        <w:rPr>
          <w:b/>
          <w:bCs/>
        </w:rPr>
        <w:t xml:space="preserve">HARING </w:t>
      </w:r>
      <w:r w:rsidRPr="00BC0950">
        <w:rPr>
          <w:b/>
          <w:bCs/>
        </w:rPr>
        <w:t>S</w:t>
      </w:r>
      <w:r w:rsidR="00BC0950" w:rsidRPr="00BC0950">
        <w:rPr>
          <w:b/>
          <w:bCs/>
        </w:rPr>
        <w:t>TATEMENT</w:t>
      </w:r>
    </w:p>
    <w:p w14:paraId="0755C13D" w14:textId="258826B1" w:rsidR="00666D42" w:rsidRDefault="000F4282" w:rsidP="00124749">
      <w:pPr>
        <w:spacing w:line="276" w:lineRule="auto"/>
      </w:pPr>
      <w:bookmarkStart w:id="15" w:name="_Hlk50380126"/>
      <w:r w:rsidRPr="008C138C">
        <w:t xml:space="preserve">Deidentified participant data </w:t>
      </w:r>
      <w:r w:rsidR="004B6C1B" w:rsidRPr="008C138C">
        <w:t xml:space="preserve">may be </w:t>
      </w:r>
      <w:r w:rsidR="00DF19E6" w:rsidRPr="008C138C">
        <w:t>request</w:t>
      </w:r>
      <w:r w:rsidR="004B6C1B" w:rsidRPr="008C138C">
        <w:t>ed</w:t>
      </w:r>
      <w:r w:rsidR="00DF19E6" w:rsidRPr="008C138C">
        <w:t xml:space="preserve"> </w:t>
      </w:r>
      <w:r w:rsidRPr="008C138C">
        <w:t>from the corresponding author</w:t>
      </w:r>
      <w:r w:rsidR="00DF19E6" w:rsidRPr="008C138C">
        <w:t>, Dr Felicity Bishop (https://orcid.org/0000-0002-8737-6662</w:t>
      </w:r>
      <w:r w:rsidRPr="008C138C">
        <w:t>)</w:t>
      </w:r>
      <w:r w:rsidR="00DF19E6" w:rsidRPr="008C138C">
        <w:t xml:space="preserve">.  Access </w:t>
      </w:r>
      <w:r w:rsidR="004B6C1B" w:rsidRPr="008C138C">
        <w:t>may</w:t>
      </w:r>
      <w:r w:rsidR="00DF19E6" w:rsidRPr="008C138C">
        <w:t xml:space="preserve"> only </w:t>
      </w:r>
      <w:r w:rsidR="004B6C1B" w:rsidRPr="008C138C">
        <w:t xml:space="preserve">be </w:t>
      </w:r>
      <w:r w:rsidR="00DF19E6" w:rsidRPr="008C138C">
        <w:t xml:space="preserve">permitted for the purposes of checking the reported analyses and an analysis plan must be submitted with any request for access to the data.  </w:t>
      </w:r>
      <w:r w:rsidR="004B6C1B" w:rsidRPr="008C138C">
        <w:t>Due to ethical considerations, r</w:t>
      </w:r>
      <w:r w:rsidR="00DF19E6" w:rsidRPr="008C138C">
        <w:t>euse for any other purpose is not permitted.</w:t>
      </w:r>
      <w:r w:rsidR="00DF19E6">
        <w:t xml:space="preserve">  </w:t>
      </w:r>
      <w:bookmarkEnd w:id="15"/>
    </w:p>
    <w:p w14:paraId="74B62360" w14:textId="0C0E1C97" w:rsidR="001B4B8B" w:rsidRDefault="001B4B8B" w:rsidP="00181631">
      <w:pPr>
        <w:ind w:firstLine="720"/>
      </w:pPr>
      <w:r>
        <w:br w:type="page"/>
      </w:r>
    </w:p>
    <w:p w14:paraId="6E8A170A" w14:textId="639A0F85" w:rsidR="00CF5860" w:rsidRDefault="00A271E8" w:rsidP="004F62F6">
      <w:pPr>
        <w:pStyle w:val="Heading1"/>
      </w:pPr>
      <w:r>
        <w:lastRenderedPageBreak/>
        <w:t>R</w:t>
      </w:r>
      <w:r w:rsidR="00BC0950">
        <w:t>EFERENCES</w:t>
      </w:r>
    </w:p>
    <w:p w14:paraId="4CB96C7B" w14:textId="77777777" w:rsidR="00D6486B" w:rsidRPr="00D6486B" w:rsidRDefault="00D6486B" w:rsidP="00D6486B">
      <w:pPr>
        <w:pStyle w:val="EndNoteBibliography"/>
        <w:ind w:left="720" w:hanging="720"/>
      </w:pPr>
      <w:r w:rsidRPr="00D6486B">
        <w:t xml:space="preserve">1. Crum AJ, Corbin WR, Brownell KD, et al. Mind over milkshakes: mindsets, not just nutrients, determine ghrelin response. </w:t>
      </w:r>
      <w:r w:rsidRPr="00D6486B">
        <w:rPr>
          <w:i/>
        </w:rPr>
        <w:t>Health Psychol</w:t>
      </w:r>
      <w:r w:rsidRPr="00D6486B">
        <w:t xml:space="preserve"> 2011;30(4):424-9; discussion 30-1. doi: 10.1037/a0023467 [published Online First: 2011/05/18]</w:t>
      </w:r>
    </w:p>
    <w:p w14:paraId="2C4A3C6C" w14:textId="77777777" w:rsidR="00D6486B" w:rsidRPr="00D6486B" w:rsidRDefault="00D6486B" w:rsidP="00D6486B">
      <w:pPr>
        <w:pStyle w:val="EndNoteBibliography"/>
        <w:ind w:left="720" w:hanging="720"/>
      </w:pPr>
      <w:r w:rsidRPr="00D6486B">
        <w:t xml:space="preserve">2. Crum AJ, Zuckerman B. Changing mindsets to enhance treatment effectiveness. </w:t>
      </w:r>
      <w:r w:rsidRPr="00D6486B">
        <w:rPr>
          <w:i/>
        </w:rPr>
        <w:t>JAMA</w:t>
      </w:r>
      <w:r w:rsidRPr="00D6486B">
        <w:t xml:space="preserve"> 2017;317(20):2063-64. doi: 10.1001/jama.2017.4545</w:t>
      </w:r>
    </w:p>
    <w:p w14:paraId="478801A3" w14:textId="77777777" w:rsidR="00D6486B" w:rsidRPr="002C2CAF" w:rsidRDefault="00D6486B" w:rsidP="00D6486B">
      <w:pPr>
        <w:pStyle w:val="EndNoteBibliography"/>
        <w:ind w:left="720" w:hanging="720"/>
      </w:pPr>
      <w:r w:rsidRPr="00D6486B">
        <w:t xml:space="preserve">3. GBD 2015 Disease and Injury Incidence and Prevalence Collaborators. Global, regional, and national incidence, prevalence, and years lived with disability for 310 diseases and injuries, 1990-2015: a systematic analysis for the Global Burden of Disease Study 2015. </w:t>
      </w:r>
      <w:r w:rsidRPr="002C2CAF">
        <w:rPr>
          <w:i/>
        </w:rPr>
        <w:t>Lancet</w:t>
      </w:r>
      <w:r w:rsidRPr="002C2CAF">
        <w:t xml:space="preserve"> 2016;388(10053):1545-602. doi: 10.1016/S0140-6736(16)31678-6</w:t>
      </w:r>
    </w:p>
    <w:p w14:paraId="2FA25E1D" w14:textId="77777777" w:rsidR="00D6486B" w:rsidRPr="00D6486B" w:rsidRDefault="00D6486B" w:rsidP="00D6486B">
      <w:pPr>
        <w:pStyle w:val="EndNoteBibliography"/>
        <w:ind w:left="720" w:hanging="720"/>
      </w:pPr>
      <w:r w:rsidRPr="002C2CAF">
        <w:t xml:space="preserve">4. Di Blasi Z, Harkness E, Ernst E, et al. </w:t>
      </w:r>
      <w:r w:rsidRPr="00D6486B">
        <w:t xml:space="preserve">Influence of context effects on health outcomes: a systematic review. </w:t>
      </w:r>
      <w:r w:rsidRPr="00D6486B">
        <w:rPr>
          <w:i/>
        </w:rPr>
        <w:t>Lancet</w:t>
      </w:r>
      <w:r w:rsidRPr="00D6486B">
        <w:t xml:space="preserve"> 2001;357:757-62.</w:t>
      </w:r>
    </w:p>
    <w:p w14:paraId="0DEBD873" w14:textId="77777777" w:rsidR="00D6486B" w:rsidRPr="00D6486B" w:rsidRDefault="00D6486B" w:rsidP="00D6486B">
      <w:pPr>
        <w:pStyle w:val="EndNoteBibliography"/>
        <w:ind w:left="720" w:hanging="720"/>
      </w:pPr>
      <w:r w:rsidRPr="00D6486B">
        <w:t>5. Roter DL. Which facets of communication have strong effects on outcome - a meta analysis. In: Stewart MA, Roter DL, eds. Communicating with Medical Patients. Newbury Park, CA: Sage Publications 1989.</w:t>
      </w:r>
    </w:p>
    <w:p w14:paraId="1CE3C577" w14:textId="77777777" w:rsidR="00D6486B" w:rsidRPr="00D6486B" w:rsidRDefault="00D6486B" w:rsidP="00D6486B">
      <w:pPr>
        <w:pStyle w:val="EndNoteBibliography"/>
        <w:ind w:left="720" w:hanging="720"/>
      </w:pPr>
      <w:r w:rsidRPr="00D6486B">
        <w:t xml:space="preserve">6. Martin DJ, Garske JP, Davis MK. Relation of the therapeutic alliance with outcome and other variables: A meta-analytic review. </w:t>
      </w:r>
      <w:r w:rsidRPr="00D6486B">
        <w:rPr>
          <w:i/>
        </w:rPr>
        <w:t>J Consult Clin Psychol</w:t>
      </w:r>
      <w:r w:rsidRPr="00D6486B">
        <w:t xml:space="preserve"> 2000;68(3):438-50.</w:t>
      </w:r>
    </w:p>
    <w:p w14:paraId="00C6342D" w14:textId="77777777" w:rsidR="00D6486B" w:rsidRPr="00D6486B" w:rsidRDefault="00D6486B" w:rsidP="00D6486B">
      <w:pPr>
        <w:pStyle w:val="EndNoteBibliography"/>
        <w:ind w:left="720" w:hanging="720"/>
      </w:pPr>
      <w:r w:rsidRPr="00D6486B">
        <w:t xml:space="preserve">7. Hall AM, Ferreira PH, Maher CG, et al. The Influence of the Therapist-Patient Relationship on Treatment Outcome in Physical Rehabilitation: A Systematic Review. </w:t>
      </w:r>
      <w:r w:rsidRPr="00D6486B">
        <w:rPr>
          <w:i/>
        </w:rPr>
        <w:t>Phys Ther</w:t>
      </w:r>
      <w:r w:rsidRPr="00D6486B">
        <w:t xml:space="preserve"> 2010;90(8):1099-110.</w:t>
      </w:r>
    </w:p>
    <w:p w14:paraId="662880D2" w14:textId="77777777" w:rsidR="00D6486B" w:rsidRPr="00D6486B" w:rsidRDefault="00D6486B" w:rsidP="00D6486B">
      <w:pPr>
        <w:pStyle w:val="EndNoteBibliography"/>
        <w:ind w:left="720" w:hanging="720"/>
      </w:pPr>
      <w:r w:rsidRPr="00D6486B">
        <w:t xml:space="preserve">8. Kaptchuk TJ, Kelley JM, Conboy LA, et al. Components of placebo effect: randomised controlled trial in patients with irritable bowel syndrome. </w:t>
      </w:r>
      <w:r w:rsidRPr="00D6486B">
        <w:rPr>
          <w:i/>
        </w:rPr>
        <w:t>Br Med J</w:t>
      </w:r>
      <w:r w:rsidRPr="00D6486B">
        <w:t xml:space="preserve"> 2008;336:999-1003.</w:t>
      </w:r>
    </w:p>
    <w:p w14:paraId="02224083" w14:textId="77777777" w:rsidR="00D6486B" w:rsidRPr="00D6486B" w:rsidRDefault="00D6486B" w:rsidP="00D6486B">
      <w:pPr>
        <w:pStyle w:val="EndNoteBibliography"/>
        <w:ind w:left="720" w:hanging="720"/>
      </w:pPr>
      <w:r w:rsidRPr="00D6486B">
        <w:t xml:space="preserve">9. Howick J, Moscrop A, Mebius A, et al. Effects of empathic and positive communication in healthcare consultations: a systematic review and meta-analysis. </w:t>
      </w:r>
      <w:r w:rsidRPr="00D6486B">
        <w:rPr>
          <w:i/>
        </w:rPr>
        <w:t>J R Soc Med</w:t>
      </w:r>
      <w:r w:rsidRPr="00D6486B">
        <w:t xml:space="preserve"> 2018;111(7):240-52. doi: 10.1177/0141076818769477 [published Online First: 2018/04/20]</w:t>
      </w:r>
    </w:p>
    <w:p w14:paraId="56341BC6" w14:textId="77777777" w:rsidR="00D6486B" w:rsidRPr="00D6486B" w:rsidRDefault="00D6486B" w:rsidP="00D6486B">
      <w:pPr>
        <w:pStyle w:val="EndNoteBibliography"/>
        <w:ind w:left="720" w:hanging="720"/>
      </w:pPr>
      <w:r w:rsidRPr="00D6486B">
        <w:t xml:space="preserve">10. Draper-Rodi J, Vogel S, Bishop A. Identification of prognostic factors and assessment methods on the evaluation of non-specific low back pain in a biopsychosocial environment: A scoping review. </w:t>
      </w:r>
      <w:r w:rsidRPr="00D6486B">
        <w:rPr>
          <w:i/>
        </w:rPr>
        <w:t>International Journal of Osteopathic Medicine</w:t>
      </w:r>
      <w:r w:rsidRPr="00D6486B">
        <w:t xml:space="preserve"> 2018;30:25-34. doi: 10.1016/j.ijosm.2018.07.001</w:t>
      </w:r>
    </w:p>
    <w:p w14:paraId="50962F60" w14:textId="77777777" w:rsidR="00D6486B" w:rsidRPr="00D6486B" w:rsidRDefault="00D6486B" w:rsidP="00D6486B">
      <w:pPr>
        <w:pStyle w:val="EndNoteBibliography"/>
        <w:ind w:left="720" w:hanging="720"/>
      </w:pPr>
      <w:r w:rsidRPr="00D6486B">
        <w:t xml:space="preserve">11. Peerdeman KJ, van Laarhoven AIM, Keij SM, et al. Relieving patients' pain with expectation interventions: a meta-analysis. </w:t>
      </w:r>
      <w:r w:rsidRPr="00D6486B">
        <w:rPr>
          <w:i/>
        </w:rPr>
        <w:t>Pain</w:t>
      </w:r>
      <w:r w:rsidRPr="00D6486B">
        <w:t xml:space="preserve"> 2016;157(6):1179-91. doi: 10.1097/j.pain.0000000000000540</w:t>
      </w:r>
    </w:p>
    <w:p w14:paraId="36ACCFFD" w14:textId="77777777" w:rsidR="00D6486B" w:rsidRPr="00D6486B" w:rsidRDefault="00D6486B" w:rsidP="00D6486B">
      <w:pPr>
        <w:pStyle w:val="EndNoteBibliography"/>
        <w:ind w:left="720" w:hanging="720"/>
      </w:pPr>
      <w:r w:rsidRPr="00D6486B">
        <w:t xml:space="preserve">12. Devilly GJ, Borkovec TD. Psychometric properties of the credibility/expectancy questionnaire. </w:t>
      </w:r>
      <w:r w:rsidRPr="00D6486B">
        <w:rPr>
          <w:i/>
        </w:rPr>
        <w:t>J Behav Ther Exp Psychiatry</w:t>
      </w:r>
      <w:r w:rsidRPr="00D6486B">
        <w:t xml:space="preserve"> 2000;31:73-86.</w:t>
      </w:r>
    </w:p>
    <w:p w14:paraId="6493966B" w14:textId="77777777" w:rsidR="00D6486B" w:rsidRPr="00D6486B" w:rsidRDefault="00D6486B" w:rsidP="00D6486B">
      <w:pPr>
        <w:pStyle w:val="EndNoteBibliography"/>
        <w:ind w:left="720" w:hanging="720"/>
      </w:pPr>
      <w:r w:rsidRPr="00D6486B">
        <w:t xml:space="preserve">13. Crow R, Gage H, Hampson S, et al. The role of expectancies in the placebo effect and their use in the delivery of health care: a systematic review. </w:t>
      </w:r>
      <w:r w:rsidRPr="00D6486B">
        <w:rPr>
          <w:i/>
        </w:rPr>
        <w:t>Health Technol Assess</w:t>
      </w:r>
      <w:r w:rsidRPr="00D6486B">
        <w:t xml:space="preserve"> 1999;3(3)</w:t>
      </w:r>
    </w:p>
    <w:p w14:paraId="061144BB" w14:textId="77777777" w:rsidR="00D6486B" w:rsidRPr="00D6486B" w:rsidRDefault="00D6486B" w:rsidP="00D6486B">
      <w:pPr>
        <w:pStyle w:val="EndNoteBibliography"/>
        <w:ind w:left="720" w:hanging="720"/>
      </w:pPr>
      <w:r w:rsidRPr="00D6486B">
        <w:t xml:space="preserve">14. Colagiuri B, Smith CA. A systematic review of the effect of expectancy on treatment responses to acupuncture. </w:t>
      </w:r>
      <w:r w:rsidRPr="00D6486B">
        <w:rPr>
          <w:i/>
        </w:rPr>
        <w:t>Evid Based Complement Alternat Med</w:t>
      </w:r>
      <w:r w:rsidRPr="00D6486B">
        <w:t xml:space="preserve"> 2012:doi:10.1155/2012/857804.</w:t>
      </w:r>
    </w:p>
    <w:p w14:paraId="2A28D2F4" w14:textId="77777777" w:rsidR="00D6486B" w:rsidRPr="00D6486B" w:rsidRDefault="00D6486B" w:rsidP="00D6486B">
      <w:pPr>
        <w:pStyle w:val="EndNoteBibliography"/>
        <w:ind w:left="720" w:hanging="720"/>
      </w:pPr>
      <w:r w:rsidRPr="00D6486B">
        <w:t xml:space="preserve">15. Bishop FL, Yardley L, Prescott P, et al. Psychological covariates of longitudinal changes in back-related disability in patients undergoing acupuncture. </w:t>
      </w:r>
      <w:r w:rsidRPr="00D6486B">
        <w:rPr>
          <w:i/>
        </w:rPr>
        <w:t>Clin J Pain</w:t>
      </w:r>
      <w:r w:rsidRPr="00D6486B">
        <w:t xml:space="preserve"> 2015;31(3):254-64. doi: 10.1097/ajp.0000000000000108 [published Online First: 2014/06/06]</w:t>
      </w:r>
    </w:p>
    <w:p w14:paraId="38E092A8" w14:textId="77777777" w:rsidR="00D6486B" w:rsidRPr="003754B9" w:rsidRDefault="00D6486B" w:rsidP="00D6486B">
      <w:pPr>
        <w:pStyle w:val="EndNoteBibliography"/>
        <w:ind w:left="720" w:hanging="720"/>
      </w:pPr>
      <w:r w:rsidRPr="00D6486B">
        <w:t xml:space="preserve">16. Kong J, Wang Z, Leiser J, et al. Enhancing treatment of osteoarthritis knee pain by boosting expectancy: A functional neuroimaging study. </w:t>
      </w:r>
      <w:r w:rsidRPr="003754B9">
        <w:rPr>
          <w:i/>
        </w:rPr>
        <w:t>Neuroimage-Clinical</w:t>
      </w:r>
      <w:r w:rsidRPr="003754B9">
        <w:t xml:space="preserve"> 2018;18:325-34. doi: 10.1016/j.nicl.2018.01.021</w:t>
      </w:r>
    </w:p>
    <w:p w14:paraId="4378F604" w14:textId="77777777" w:rsidR="00D6486B" w:rsidRPr="00D6486B" w:rsidRDefault="00D6486B" w:rsidP="00D6486B">
      <w:pPr>
        <w:pStyle w:val="EndNoteBibliography"/>
        <w:ind w:left="720" w:hanging="720"/>
      </w:pPr>
      <w:r w:rsidRPr="002C2CAF">
        <w:t xml:space="preserve">17. Pincus T, Foster NE, Vogel S, et al. </w:t>
      </w:r>
      <w:r w:rsidRPr="00D6486B">
        <w:t xml:space="preserve">Attitudes to back pain amongst musculoskeletal practitioners: A comparison of professional groups and practice settings using the ABS-mp. </w:t>
      </w:r>
      <w:r w:rsidRPr="00D6486B">
        <w:rPr>
          <w:i/>
        </w:rPr>
        <w:t>Manual Therapy</w:t>
      </w:r>
      <w:r w:rsidRPr="00D6486B">
        <w:t xml:space="preserve"> 2007;12(2):167-75.</w:t>
      </w:r>
    </w:p>
    <w:p w14:paraId="329087EB" w14:textId="77777777" w:rsidR="00D6486B" w:rsidRPr="00D6486B" w:rsidRDefault="00D6486B" w:rsidP="00D6486B">
      <w:pPr>
        <w:pStyle w:val="EndNoteBibliography"/>
        <w:ind w:left="720" w:hanging="720"/>
      </w:pPr>
      <w:r w:rsidRPr="00D6486B">
        <w:t xml:space="preserve">18. Bishop A, Foster NE, Thomas E, et al. How does the self-reported clinical management of patients with low back pain relate to the attitudes and beliefs of health care practitioners? A survey of UK general practitioners and physiotherapists. </w:t>
      </w:r>
      <w:r w:rsidRPr="00D6486B">
        <w:rPr>
          <w:i/>
        </w:rPr>
        <w:t>Pain</w:t>
      </w:r>
      <w:r w:rsidRPr="00D6486B">
        <w:t xml:space="preserve"> 2008;135:187-95.</w:t>
      </w:r>
    </w:p>
    <w:p w14:paraId="1EF6DD12" w14:textId="77777777" w:rsidR="00D6486B" w:rsidRPr="00D6486B" w:rsidRDefault="00D6486B" w:rsidP="00D6486B">
      <w:pPr>
        <w:pStyle w:val="EndNoteBibliography"/>
        <w:ind w:left="720" w:hanging="720"/>
      </w:pPr>
      <w:r w:rsidRPr="00D6486B">
        <w:lastRenderedPageBreak/>
        <w:t xml:space="preserve">19. Houben RMA, Ostelo RWJG, Vlaeyen JWS, et al. Health care providers' orientations towards common low back pain predict perceived harmfulness of physical activities and recommendations regarding return to normal activity. </w:t>
      </w:r>
      <w:r w:rsidRPr="00D6486B">
        <w:rPr>
          <w:i/>
        </w:rPr>
        <w:t>European Journal of Pain</w:t>
      </w:r>
      <w:r w:rsidRPr="00D6486B">
        <w:t xml:space="preserve"> 2005;9(2):173-83. doi: 10.1016/j.ejpain.2004.05.002</w:t>
      </w:r>
    </w:p>
    <w:p w14:paraId="307CE08E" w14:textId="77777777" w:rsidR="00D6486B" w:rsidRPr="00D6486B" w:rsidRDefault="00D6486B" w:rsidP="00D6486B">
      <w:pPr>
        <w:pStyle w:val="EndNoteBibliography"/>
        <w:ind w:left="720" w:hanging="720"/>
      </w:pPr>
      <w:r w:rsidRPr="00D6486B">
        <w:t xml:space="preserve">20. Simmonds MJ, Derghazarian T, Vlaeyen JWS. Physiotherapists’ Knowledge, Attitudes, and Intolerance of Uncertainty Influence Decision Making in Low Back Pain. </w:t>
      </w:r>
      <w:r w:rsidRPr="00D6486B">
        <w:rPr>
          <w:i/>
        </w:rPr>
        <w:t>The Clinical Journal of Pain</w:t>
      </w:r>
      <w:r w:rsidRPr="00D6486B">
        <w:t xml:space="preserve"> 2012;28(6):467-74. doi: 10.1097/AJP.0b013e31825bfe65</w:t>
      </w:r>
    </w:p>
    <w:p w14:paraId="527A727E" w14:textId="1502E568" w:rsidR="00D6486B" w:rsidRPr="00D6486B" w:rsidRDefault="00D6486B" w:rsidP="00D6486B">
      <w:pPr>
        <w:pStyle w:val="EndNoteBibliography"/>
        <w:ind w:left="720" w:hanging="720"/>
      </w:pPr>
      <w:r w:rsidRPr="00D6486B">
        <w:t xml:space="preserve">21. Thomson OP, Petty NJ, Moore AP. Osteopaths' professional views, identities and conceptions – A qualitative grounded theory study. </w:t>
      </w:r>
      <w:r w:rsidRPr="00D6486B">
        <w:rPr>
          <w:i/>
        </w:rPr>
        <w:t>International Journal of Osteopathic Medicine</w:t>
      </w:r>
      <w:r w:rsidRPr="00D6486B">
        <w:t xml:space="preserve"> 2014;17(3):146-59. doi: </w:t>
      </w:r>
      <w:hyperlink r:id="rId13" w:history="1">
        <w:r w:rsidRPr="00D6486B">
          <w:rPr>
            <w:rStyle w:val="Hyperlink"/>
          </w:rPr>
          <w:t>https://doi.org/10.1016/j.ijosm.2013.12.002</w:t>
        </w:r>
      </w:hyperlink>
    </w:p>
    <w:p w14:paraId="26BE3F54" w14:textId="77777777" w:rsidR="00D6486B" w:rsidRPr="00D6486B" w:rsidRDefault="00D6486B" w:rsidP="00D6486B">
      <w:pPr>
        <w:pStyle w:val="EndNoteBibliography"/>
        <w:ind w:left="720" w:hanging="720"/>
      </w:pPr>
      <w:r w:rsidRPr="00D6486B">
        <w:t xml:space="preserve">22. Hughes JG, Goldbart J, Fairhurst E, et al. Exploring acupuncturists' perceptions of treating patients with rheumatoid arthritis. </w:t>
      </w:r>
      <w:r w:rsidRPr="00D6486B">
        <w:rPr>
          <w:i/>
        </w:rPr>
        <w:t>Complement Ther Med</w:t>
      </w:r>
      <w:r w:rsidRPr="00D6486B">
        <w:t xml:space="preserve"> 2007;15(2):101-08.</w:t>
      </w:r>
    </w:p>
    <w:p w14:paraId="2C411F4A" w14:textId="77777777" w:rsidR="00D6486B" w:rsidRPr="00D6486B" w:rsidRDefault="00D6486B" w:rsidP="00D6486B">
      <w:pPr>
        <w:pStyle w:val="EndNoteBibliography"/>
        <w:ind w:left="720" w:hanging="720"/>
      </w:pPr>
      <w:r w:rsidRPr="00D6486B">
        <w:t xml:space="preserve">23. Witt CM, Martins F, Willich SN, et al. Can I help you? Physicians' expectations as predictor for treatment outcome. </w:t>
      </w:r>
      <w:r w:rsidRPr="00D6486B">
        <w:rPr>
          <w:i/>
        </w:rPr>
        <w:t>European Journal of Pain</w:t>
      </w:r>
      <w:r w:rsidRPr="00D6486B">
        <w:t xml:space="preserve"> 2012;16(10):1455-66.</w:t>
      </w:r>
    </w:p>
    <w:p w14:paraId="642BCD59" w14:textId="77777777" w:rsidR="00D6486B" w:rsidRPr="00D6486B" w:rsidRDefault="00D6486B" w:rsidP="00D6486B">
      <w:pPr>
        <w:pStyle w:val="EndNoteBibliography"/>
        <w:ind w:left="720" w:hanging="720"/>
      </w:pPr>
      <w:r w:rsidRPr="00D6486B">
        <w:t xml:space="preserve">24. Linda HA, Walter S, Koen VdH, et al. Patient safety, satisfaction, and quality of hospital care: cross sectional surveys of nurses and patients in 12 countries in Europe and the United States. </w:t>
      </w:r>
      <w:r w:rsidRPr="00D6486B">
        <w:rPr>
          <w:i/>
        </w:rPr>
        <w:t>Br Med J</w:t>
      </w:r>
      <w:r w:rsidRPr="00D6486B">
        <w:t xml:space="preserve"> 2012;344</w:t>
      </w:r>
    </w:p>
    <w:p w14:paraId="468ACD9F" w14:textId="77777777" w:rsidR="00D6486B" w:rsidRPr="00D6486B" w:rsidRDefault="00D6486B" w:rsidP="00D6486B">
      <w:pPr>
        <w:pStyle w:val="EndNoteBibliography"/>
        <w:ind w:left="720" w:hanging="720"/>
      </w:pPr>
      <w:r w:rsidRPr="00D6486B">
        <w:t xml:space="preserve">25. Drahota A, Ward D, Mackenzie H, et al. Sensory environment on health-related outcomes of hospital patients (Review). </w:t>
      </w:r>
      <w:r w:rsidRPr="00D6486B">
        <w:rPr>
          <w:i/>
        </w:rPr>
        <w:t>Cochrane Database of Systematic Reviews</w:t>
      </w:r>
      <w:r w:rsidRPr="00D6486B">
        <w:t xml:space="preserve"> 2012;3:Art. No.: CD005315. DOI: 10.1002/14651858.CD005315.pub2.</w:t>
      </w:r>
    </w:p>
    <w:p w14:paraId="5443AE5A" w14:textId="2CBE24E8" w:rsidR="00D6486B" w:rsidRPr="00D6486B" w:rsidRDefault="00D6486B" w:rsidP="00D6486B">
      <w:pPr>
        <w:pStyle w:val="EndNoteBibliography"/>
        <w:ind w:left="720" w:hanging="720"/>
      </w:pPr>
      <w:r w:rsidRPr="00D6486B">
        <w:t xml:space="preserve">26. Bishop FL, Barlow F, Coghlan B, et al. Patients as healthcare consumers in the public and private sectors: a qualitative study of acupuncture in the UK. </w:t>
      </w:r>
      <w:r w:rsidRPr="00D6486B">
        <w:rPr>
          <w:i/>
        </w:rPr>
        <w:t>BMC Health Serv Res</w:t>
      </w:r>
      <w:r w:rsidRPr="00D6486B">
        <w:t xml:space="preserve"> 2011;11(129):</w:t>
      </w:r>
      <w:hyperlink r:id="rId14" w:history="1">
        <w:r w:rsidRPr="00D6486B">
          <w:rPr>
            <w:rStyle w:val="Hyperlink"/>
          </w:rPr>
          <w:t>http://www.biomedcentral.com/1472-6963/11/129</w:t>
        </w:r>
      </w:hyperlink>
      <w:r w:rsidRPr="00D6486B">
        <w:t>.</w:t>
      </w:r>
    </w:p>
    <w:p w14:paraId="6CC18F36" w14:textId="77777777" w:rsidR="00D6486B" w:rsidRPr="00D6486B" w:rsidRDefault="00D6486B" w:rsidP="00D6486B">
      <w:pPr>
        <w:pStyle w:val="EndNoteBibliography"/>
        <w:ind w:left="720" w:hanging="720"/>
      </w:pPr>
      <w:r w:rsidRPr="00D6486B">
        <w:t xml:space="preserve">27. Bishop FL, Amos N, Yu H, et al. Health-care sector and complementary medicine: practitioners' experiences of delivering acupuncture in the public and private sectors. </w:t>
      </w:r>
      <w:r w:rsidRPr="00D6486B">
        <w:rPr>
          <w:i/>
        </w:rPr>
        <w:t>Prim Health Care Res Dev</w:t>
      </w:r>
      <w:r w:rsidRPr="00D6486B">
        <w:t xml:space="preserve"> 2012;13(03):269-78.</w:t>
      </w:r>
    </w:p>
    <w:p w14:paraId="564DE566" w14:textId="77777777" w:rsidR="00D6486B" w:rsidRPr="00D6486B" w:rsidRDefault="00D6486B" w:rsidP="00D6486B">
      <w:pPr>
        <w:pStyle w:val="EndNoteBibliography"/>
        <w:ind w:left="720" w:hanging="720"/>
      </w:pPr>
      <w:r w:rsidRPr="00D6486B">
        <w:t xml:space="preserve">28. Bradbury KJ, Bishop FL, Yardley L, et al. Patients' appraisals of public and private healthcare: A qualitative study of physiotherapy and osteopathy. </w:t>
      </w:r>
      <w:r w:rsidRPr="00D6486B">
        <w:rPr>
          <w:i/>
        </w:rPr>
        <w:t>J Health Psychol</w:t>
      </w:r>
      <w:r w:rsidRPr="00D6486B">
        <w:t xml:space="preserve"> 2013;18(10):1307-18.</w:t>
      </w:r>
    </w:p>
    <w:p w14:paraId="4F5EA68D" w14:textId="77777777" w:rsidR="00D6486B" w:rsidRPr="00D6486B" w:rsidRDefault="00D6486B" w:rsidP="00D6486B">
      <w:pPr>
        <w:pStyle w:val="EndNoteBibliography"/>
        <w:ind w:left="720" w:hanging="720"/>
      </w:pPr>
      <w:r w:rsidRPr="00D6486B">
        <w:t xml:space="preserve">29. Evans M, Paterson C, Wye L, et al. Lifestyle and self-care advice within traditional acupuncture consultations: A qualitative observational study nested in a co-operative inquiry. </w:t>
      </w:r>
      <w:r w:rsidRPr="00D6486B">
        <w:rPr>
          <w:i/>
        </w:rPr>
        <w:t>J Altern Complement Med</w:t>
      </w:r>
      <w:r w:rsidRPr="00D6486B">
        <w:t xml:space="preserve"> 2011;17(6):519-29. doi: 10.1089/acm.2010.0749.</w:t>
      </w:r>
    </w:p>
    <w:p w14:paraId="03B86ED9" w14:textId="77777777" w:rsidR="00D6486B" w:rsidRPr="00D6486B" w:rsidRDefault="00D6486B" w:rsidP="00D6486B">
      <w:pPr>
        <w:pStyle w:val="EndNoteBibliography"/>
        <w:ind w:left="720" w:hanging="720"/>
      </w:pPr>
      <w:r w:rsidRPr="00D6486B">
        <w:t xml:space="preserve">30. Paterson C, Evans M, Bertschlinger R, et al. Communication about self-care in traditional acupuncture consultations: The co-construction of individualised support and advice. </w:t>
      </w:r>
      <w:r w:rsidRPr="00D6486B">
        <w:rPr>
          <w:i/>
        </w:rPr>
        <w:t>Patient Educ Couns</w:t>
      </w:r>
      <w:r w:rsidRPr="00D6486B">
        <w:t xml:space="preserve"> 2012;89(3):467-75.</w:t>
      </w:r>
    </w:p>
    <w:p w14:paraId="676A5453" w14:textId="77777777" w:rsidR="00D6486B" w:rsidRPr="00D6486B" w:rsidRDefault="00D6486B" w:rsidP="00D6486B">
      <w:pPr>
        <w:pStyle w:val="EndNoteBibliography"/>
        <w:ind w:left="720" w:hanging="720"/>
      </w:pPr>
      <w:r w:rsidRPr="00D6486B">
        <w:t xml:space="preserve">31. Haanstra TM, Kamper SJ, Williams CM, et al. Does adherence to treatment mediate the relationship between patients' treatment outcome expectancies and the outcomes of pain intensity and recovery from acute low back pain? </w:t>
      </w:r>
      <w:r w:rsidRPr="00D6486B">
        <w:rPr>
          <w:i/>
        </w:rPr>
        <w:t>Pain</w:t>
      </w:r>
      <w:r w:rsidRPr="00D6486B">
        <w:t xml:space="preserve"> 2015;156(8):1530-36. doi: 10.1097/j.pain.0000000000000198</w:t>
      </w:r>
    </w:p>
    <w:p w14:paraId="59072C85" w14:textId="77777777" w:rsidR="00D6486B" w:rsidRPr="00D6486B" w:rsidRDefault="00D6486B" w:rsidP="00D6486B">
      <w:pPr>
        <w:pStyle w:val="EndNoteBibliography"/>
        <w:ind w:left="720" w:hanging="720"/>
      </w:pPr>
      <w:r w:rsidRPr="00D6486B">
        <w:t xml:space="preserve">32. Agarwal V. Re-conceptualizing pain through patient-centred care in the complementary and alternative medicine therapeutic relationship. </w:t>
      </w:r>
      <w:r w:rsidRPr="00D6486B">
        <w:rPr>
          <w:i/>
        </w:rPr>
        <w:t>J Adv Nurs</w:t>
      </w:r>
      <w:r w:rsidRPr="00D6486B">
        <w:t xml:space="preserve"> 2018;74(10):2406-15. doi: 10.1111/jan.13734</w:t>
      </w:r>
    </w:p>
    <w:p w14:paraId="3EECF435" w14:textId="77777777" w:rsidR="00D6486B" w:rsidRPr="00D6486B" w:rsidRDefault="00D6486B" w:rsidP="00D6486B">
      <w:pPr>
        <w:pStyle w:val="EndNoteBibliography"/>
        <w:ind w:left="720" w:hanging="720"/>
      </w:pPr>
      <w:r w:rsidRPr="00D6486B">
        <w:t xml:space="preserve">33. Carriere JS, Martel MO, Meints SM, et al. What do you expect? Catastrophizing mediates associations between expectancies and pain-facilitatory processes. </w:t>
      </w:r>
      <w:r w:rsidRPr="00D6486B">
        <w:rPr>
          <w:i/>
        </w:rPr>
        <w:t>European journal of pain (London, England)</w:t>
      </w:r>
      <w:r w:rsidRPr="00D6486B">
        <w:t xml:space="preserve"> 2018 doi: 10.1002/ejp.1348</w:t>
      </w:r>
    </w:p>
    <w:p w14:paraId="68F5FFA9" w14:textId="77777777" w:rsidR="00D6486B" w:rsidRPr="00D6486B" w:rsidRDefault="00D6486B" w:rsidP="00D6486B">
      <w:pPr>
        <w:pStyle w:val="EndNoteBibliography"/>
        <w:ind w:left="720" w:hanging="720"/>
      </w:pPr>
      <w:r w:rsidRPr="00D6486B">
        <w:t xml:space="preserve">34. Vlaeyen JW, Linton SJ. Fear-avoidance model of chronic musculoskeletal pain: 12 years on. </w:t>
      </w:r>
      <w:r w:rsidRPr="00D6486B">
        <w:rPr>
          <w:i/>
        </w:rPr>
        <w:t>Pain</w:t>
      </w:r>
      <w:r w:rsidRPr="00D6486B">
        <w:t xml:space="preserve"> 2012;153(6):1144-7. doi: 10.1016/j.pain.2011.12.009 [published Online First: 2012/02/11]</w:t>
      </w:r>
    </w:p>
    <w:p w14:paraId="0913B883" w14:textId="77777777" w:rsidR="00D6486B" w:rsidRPr="00D6486B" w:rsidRDefault="00D6486B" w:rsidP="00D6486B">
      <w:pPr>
        <w:pStyle w:val="EndNoteBibliography"/>
        <w:ind w:left="720" w:hanging="720"/>
      </w:pPr>
      <w:r w:rsidRPr="00D6486B">
        <w:t xml:space="preserve">35. Lo GH-W, Balasubramanyam AS, Barbo A, et al. Link Between Positive Clinician-Conveyed Expectations of Treatment Effect and Pain Reduction in Knee Osteoarthritis, Mediated by Patient Self-Efficacy. </w:t>
      </w:r>
      <w:r w:rsidRPr="00D6486B">
        <w:rPr>
          <w:i/>
        </w:rPr>
        <w:t>Arthritis Care Res</w:t>
      </w:r>
      <w:r w:rsidRPr="00D6486B">
        <w:t xml:space="preserve"> 2016;68(7):952-57. doi: 10.1002/acr.22775</w:t>
      </w:r>
    </w:p>
    <w:p w14:paraId="5F898588" w14:textId="77777777" w:rsidR="00D6486B" w:rsidRPr="00D6486B" w:rsidRDefault="00D6486B" w:rsidP="00D6486B">
      <w:pPr>
        <w:pStyle w:val="EndNoteBibliography"/>
        <w:ind w:left="720" w:hanging="720"/>
      </w:pPr>
      <w:r w:rsidRPr="00D6486B">
        <w:t xml:space="preserve">36. Bandura A. Self-efficacy: toward a unifying theory of behavioral change. </w:t>
      </w:r>
      <w:r w:rsidRPr="00D6486B">
        <w:rPr>
          <w:i/>
        </w:rPr>
        <w:t>Psychol Rev</w:t>
      </w:r>
      <w:r w:rsidRPr="00D6486B">
        <w:t xml:space="preserve"> 1977;84(2):191-215. [published Online First: 1977/03/01]</w:t>
      </w:r>
    </w:p>
    <w:p w14:paraId="76F306DD" w14:textId="16D9DEE7" w:rsidR="00D6486B" w:rsidRPr="00D6486B" w:rsidRDefault="00D6486B" w:rsidP="00D6486B">
      <w:pPr>
        <w:pStyle w:val="EndNoteBibliography"/>
        <w:ind w:left="720" w:hanging="720"/>
      </w:pPr>
      <w:r w:rsidRPr="00D6486B">
        <w:lastRenderedPageBreak/>
        <w:t xml:space="preserve">37. Carlino E, Benedetti F. Different contexts, different pains, different experiences. </w:t>
      </w:r>
      <w:r w:rsidRPr="00D6486B">
        <w:rPr>
          <w:i/>
        </w:rPr>
        <w:t>Neuroscience</w:t>
      </w:r>
      <w:r w:rsidRPr="00D6486B">
        <w:t xml:space="preserve"> 2016;338:19-26. doi: </w:t>
      </w:r>
      <w:hyperlink r:id="rId15" w:history="1">
        <w:r w:rsidRPr="00D6486B">
          <w:rPr>
            <w:rStyle w:val="Hyperlink"/>
          </w:rPr>
          <w:t>https://doi.org/10.1016/j.neuroscience.2016.01.053</w:t>
        </w:r>
      </w:hyperlink>
    </w:p>
    <w:p w14:paraId="4E988E69" w14:textId="3231988A" w:rsidR="00D6486B" w:rsidRPr="00D6486B" w:rsidRDefault="00D6486B" w:rsidP="00D6486B">
      <w:pPr>
        <w:pStyle w:val="EndNoteBibliography"/>
        <w:ind w:left="720" w:hanging="720"/>
      </w:pPr>
      <w:r w:rsidRPr="00D6486B">
        <w:t xml:space="preserve">38. Lee I-S, Wallraven C, Kong J, et al. When pain is not only pain: Inserting needles into the body evokes distinct reward-related brain responses in the context of a treatment. </w:t>
      </w:r>
      <w:r w:rsidRPr="00D6486B">
        <w:rPr>
          <w:i/>
        </w:rPr>
        <w:t>Physiol Behav</w:t>
      </w:r>
      <w:r w:rsidRPr="00D6486B">
        <w:t xml:space="preserve"> 2015;140:148-55. doi: </w:t>
      </w:r>
      <w:hyperlink r:id="rId16" w:history="1">
        <w:r w:rsidRPr="00D6486B">
          <w:rPr>
            <w:rStyle w:val="Hyperlink"/>
          </w:rPr>
          <w:t>https://doi.org/10.1016/j.physbeh.2014.12.030</w:t>
        </w:r>
      </w:hyperlink>
    </w:p>
    <w:p w14:paraId="7EA30DEF" w14:textId="77777777" w:rsidR="00D6486B" w:rsidRPr="00D6486B" w:rsidRDefault="00D6486B" w:rsidP="00D6486B">
      <w:pPr>
        <w:pStyle w:val="EndNoteBibliography"/>
        <w:ind w:left="720" w:hanging="720"/>
      </w:pPr>
      <w:r w:rsidRPr="00D6486B">
        <w:t xml:space="preserve">39. Fields HL. How expectations influence pain. </w:t>
      </w:r>
      <w:r w:rsidRPr="00D6486B">
        <w:rPr>
          <w:i/>
        </w:rPr>
        <w:t>Pain</w:t>
      </w:r>
      <w:r w:rsidRPr="00D6486B">
        <w:t xml:space="preserve"> 2018;159(9):S3-S10. doi: 10.1097/j.pain.0000000000001272</w:t>
      </w:r>
    </w:p>
    <w:p w14:paraId="1A028087" w14:textId="77777777" w:rsidR="00D6486B" w:rsidRPr="00D6486B" w:rsidRDefault="00D6486B" w:rsidP="00D6486B">
      <w:pPr>
        <w:pStyle w:val="EndNoteBibliography"/>
        <w:ind w:left="720" w:hanging="720"/>
      </w:pPr>
      <w:r w:rsidRPr="00D6486B">
        <w:t xml:space="preserve">40. Neumann M, Bensing J, Mercer S, et al. Analyzing the "nature" and "specific effectiveness" of clinical empathy: A theoretical overview and contribution towards a theory-based research agenda. </w:t>
      </w:r>
      <w:r w:rsidRPr="00D6486B">
        <w:rPr>
          <w:i/>
        </w:rPr>
        <w:t>Patient Educ Couns</w:t>
      </w:r>
      <w:r w:rsidRPr="00D6486B">
        <w:t xml:space="preserve"> 2009;74(3):339-46.</w:t>
      </w:r>
    </w:p>
    <w:p w14:paraId="141355D7" w14:textId="77777777" w:rsidR="00D6486B" w:rsidRPr="00D6486B" w:rsidRDefault="00D6486B" w:rsidP="00D6486B">
      <w:pPr>
        <w:pStyle w:val="EndNoteBibliography"/>
        <w:ind w:left="720" w:hanging="720"/>
      </w:pPr>
      <w:r w:rsidRPr="00D6486B">
        <w:t xml:space="preserve">41. Street, Jr., Makoul G, Arora NK, et al. How does communication heal? Pathways linking clinician-patient communication to health outcomes. </w:t>
      </w:r>
      <w:r w:rsidRPr="00D6486B">
        <w:rPr>
          <w:i/>
        </w:rPr>
        <w:t>Patient Educ Couns</w:t>
      </w:r>
      <w:r w:rsidRPr="00D6486B">
        <w:t xml:space="preserve"> 2009;74(3):295-301.</w:t>
      </w:r>
    </w:p>
    <w:p w14:paraId="5618C057" w14:textId="77777777" w:rsidR="00D6486B" w:rsidRPr="00D6486B" w:rsidRDefault="00D6486B" w:rsidP="00D6486B">
      <w:pPr>
        <w:pStyle w:val="EndNoteBibliography"/>
        <w:ind w:left="720" w:hanging="720"/>
      </w:pPr>
      <w:r w:rsidRPr="00D6486B">
        <w:t xml:space="preserve">42. Bradbury KJ, Al-Abbadey M, Carnes D, et al. Non-specific mechanisms in orthodox and CAM management of low back pain (MOCAM): theoretical framework and protocol for a prospective cohort study. </w:t>
      </w:r>
      <w:r w:rsidRPr="00D6486B">
        <w:rPr>
          <w:i/>
        </w:rPr>
        <w:t>BMJ Open</w:t>
      </w:r>
      <w:r w:rsidRPr="00D6486B">
        <w:t xml:space="preserve"> 2016;6(5):e012209. doi: 10.1136/bmjopen-2016-012209</w:t>
      </w:r>
    </w:p>
    <w:p w14:paraId="7F7A9EE4" w14:textId="4CA43E0E" w:rsidR="00D6486B" w:rsidRPr="00D6486B" w:rsidRDefault="00666D6E" w:rsidP="00D6486B">
      <w:pPr>
        <w:pStyle w:val="EndNoteBibliography"/>
        <w:ind w:left="720" w:hanging="720"/>
      </w:pPr>
      <w:r w:rsidRPr="00D6486B">
        <w:t>4</w:t>
      </w:r>
      <w:r>
        <w:t>3</w:t>
      </w:r>
      <w:r w:rsidR="00D6486B" w:rsidRPr="00D6486B">
        <w:t xml:space="preserve">. Vickers AJ, Vertosick EA, Lewith G, et al. Acupuncture for Chronic Pain: Update of an Individual Patient Data Meta-Analysis. </w:t>
      </w:r>
      <w:r w:rsidR="00D6486B" w:rsidRPr="00D6486B">
        <w:rPr>
          <w:i/>
        </w:rPr>
        <w:t>J Pain</w:t>
      </w:r>
      <w:r w:rsidR="00D6486B" w:rsidRPr="00D6486B">
        <w:t xml:space="preserve"> 2018;19(5):455-74. doi: 10.1016/j.jpain.2017.11.005</w:t>
      </w:r>
    </w:p>
    <w:p w14:paraId="7854161F" w14:textId="5705DC20" w:rsidR="00D6486B" w:rsidRPr="00D6486B" w:rsidRDefault="00666D6E" w:rsidP="00D6486B">
      <w:pPr>
        <w:pStyle w:val="EndNoteBibliography"/>
        <w:ind w:left="720" w:hanging="720"/>
      </w:pPr>
      <w:r>
        <w:t>44</w:t>
      </w:r>
      <w:r w:rsidR="00D6486B" w:rsidRPr="00D6486B">
        <w:t xml:space="preserve">. Breivik H, Collett B, Ventafridda V, et al. Survey of chronic pain in Europe: Prevalence, impact on daily life, and treatment. </w:t>
      </w:r>
      <w:r w:rsidR="00D6486B" w:rsidRPr="00D6486B">
        <w:rPr>
          <w:i/>
        </w:rPr>
        <w:t>European Journal of Pain</w:t>
      </w:r>
      <w:r w:rsidR="00D6486B" w:rsidRPr="00D6486B">
        <w:t xml:space="preserve"> 2006;10(4):287-333.</w:t>
      </w:r>
    </w:p>
    <w:p w14:paraId="1BD20061" w14:textId="5989F9B9" w:rsidR="00D6486B" w:rsidRPr="00D6486B" w:rsidRDefault="00666D6E" w:rsidP="00D6486B">
      <w:pPr>
        <w:pStyle w:val="EndNoteBibliography"/>
        <w:ind w:left="720" w:hanging="720"/>
      </w:pPr>
      <w:r>
        <w:t>45</w:t>
      </w:r>
      <w:r w:rsidR="00D6486B" w:rsidRPr="00D6486B">
        <w:t xml:space="preserve">. Rubinstein SM, de Zoete A, van Middelkoop M, et al. Benefits and harms of spinal manipulative therapy for the treatment of chronic low back pain: systematic review and meta-analysis of randomised controlled trials. </w:t>
      </w:r>
      <w:r w:rsidR="00D6486B" w:rsidRPr="00D6486B">
        <w:rPr>
          <w:i/>
        </w:rPr>
        <w:t>BMJ</w:t>
      </w:r>
      <w:r w:rsidR="00D6486B" w:rsidRPr="00D6486B">
        <w:t xml:space="preserve"> 2019;364:l689. doi: 10.1136/bmj.l689 [published Online First: 2019/03/15]</w:t>
      </w:r>
    </w:p>
    <w:p w14:paraId="4A53CEE7" w14:textId="1D3E013B" w:rsidR="00D6486B" w:rsidRPr="00D6486B" w:rsidRDefault="00666D6E" w:rsidP="00D6486B">
      <w:pPr>
        <w:pStyle w:val="EndNoteBibliography"/>
        <w:ind w:left="720" w:hanging="720"/>
      </w:pPr>
      <w:r>
        <w:t>46</w:t>
      </w:r>
      <w:r w:rsidR="00D6486B" w:rsidRPr="00D6486B">
        <w:t xml:space="preserve">. Oliveira CB, Maher CG, Pinto RZ, et al. Clinical practice guidelines for the management of non-specific low back pain in primary care: an updated overview. </w:t>
      </w:r>
      <w:r w:rsidR="00D6486B" w:rsidRPr="00D6486B">
        <w:rPr>
          <w:i/>
        </w:rPr>
        <w:t>Eur Spine J</w:t>
      </w:r>
      <w:r w:rsidR="00D6486B" w:rsidRPr="00D6486B">
        <w:t xml:space="preserve"> 2018;27(11):2791-803. doi: 10.1007/s00586-018-5673-2</w:t>
      </w:r>
    </w:p>
    <w:p w14:paraId="3B731FDD" w14:textId="6EC1F1CC" w:rsidR="00D6486B" w:rsidRPr="00D6486B" w:rsidRDefault="00666D6E" w:rsidP="00D6486B">
      <w:pPr>
        <w:pStyle w:val="EndNoteBibliography"/>
        <w:ind w:left="720" w:hanging="720"/>
      </w:pPr>
      <w:r>
        <w:t>47</w:t>
      </w:r>
      <w:r w:rsidR="00D6486B" w:rsidRPr="00D6486B">
        <w:t xml:space="preserve">. Qaseem A, Wilt TJ, McLean RM, et al. Noninvasive Treatments for Acute, Subacute, and Chronic Low Back Pain: A Clinical Practice Guideline From the American College of Physicians. </w:t>
      </w:r>
      <w:r w:rsidR="00D6486B" w:rsidRPr="00D6486B">
        <w:rPr>
          <w:i/>
        </w:rPr>
        <w:t>Ann Intern Med</w:t>
      </w:r>
      <w:r w:rsidR="00D6486B" w:rsidRPr="00D6486B">
        <w:t xml:space="preserve"> 2017;166(7):514-30. doi: 10.7326/m16-2367</w:t>
      </w:r>
    </w:p>
    <w:p w14:paraId="11BCBE4E" w14:textId="2166163F" w:rsidR="00D6486B" w:rsidRPr="00D6486B" w:rsidRDefault="00666D6E" w:rsidP="00D6486B">
      <w:pPr>
        <w:pStyle w:val="EndNoteBibliography"/>
        <w:ind w:left="720" w:hanging="720"/>
      </w:pPr>
      <w:r>
        <w:t>48</w:t>
      </w:r>
      <w:r w:rsidR="00D6486B" w:rsidRPr="00D6486B">
        <w:t xml:space="preserve">. Foley H, Steel A. Patient perceptions of clinical care in complementary medicine: A systematic review of the consultation experience. </w:t>
      </w:r>
      <w:r w:rsidR="00D6486B" w:rsidRPr="00D6486B">
        <w:rPr>
          <w:i/>
        </w:rPr>
        <w:t>Patient Educ Couns</w:t>
      </w:r>
      <w:r w:rsidR="00D6486B" w:rsidRPr="00D6486B">
        <w:t xml:space="preserve"> 2017;100(2):212-23. doi: 10.1016/j.pec.2016.09.015 [published Online First: 2016/10/04]</w:t>
      </w:r>
    </w:p>
    <w:p w14:paraId="364226B4" w14:textId="418EE5A8" w:rsidR="00D6486B" w:rsidRPr="00D6486B" w:rsidRDefault="00666D6E" w:rsidP="00D6486B">
      <w:pPr>
        <w:pStyle w:val="EndNoteBibliography"/>
        <w:ind w:left="720" w:hanging="720"/>
      </w:pPr>
      <w:r>
        <w:t>49</w:t>
      </w:r>
      <w:r w:rsidR="00D6486B" w:rsidRPr="00D6486B">
        <w:t xml:space="preserve">. Kaptchuk TJ, Stason WB, Davis RB, et al. Sham device v inert pill: randomised controlled trial of two placebo treatments. </w:t>
      </w:r>
      <w:r w:rsidR="00D6486B" w:rsidRPr="00D6486B">
        <w:rPr>
          <w:i/>
        </w:rPr>
        <w:t>Br Med J</w:t>
      </w:r>
      <w:r w:rsidR="00D6486B" w:rsidRPr="00D6486B">
        <w:t xml:space="preserve"> 2006;332(7538):391-94.</w:t>
      </w:r>
    </w:p>
    <w:p w14:paraId="67CC61BB" w14:textId="71DFE3C4" w:rsidR="00D6486B" w:rsidRPr="00D6486B" w:rsidRDefault="00666D6E" w:rsidP="00D6486B">
      <w:pPr>
        <w:pStyle w:val="EndNoteBibliography"/>
        <w:ind w:left="720" w:hanging="720"/>
      </w:pPr>
      <w:r>
        <w:t>50</w:t>
      </w:r>
      <w:r w:rsidR="00D6486B" w:rsidRPr="00D6486B">
        <w:t xml:space="preserve">. Bishop FL, Lewis G, Harris S, et al. A within-subjects trial to test the equivalence of online and paper outcome measures: the Roland Morris disability questionnaire. </w:t>
      </w:r>
      <w:r w:rsidR="00D6486B" w:rsidRPr="00D6486B">
        <w:rPr>
          <w:i/>
        </w:rPr>
        <w:t>BMC Musculoskelet Disord</w:t>
      </w:r>
      <w:r w:rsidR="00D6486B" w:rsidRPr="00D6486B">
        <w:t xml:space="preserve"> 2010;11:113. doi: 10.1186/1471-2474-11-113 [published Online First: 2010/06/10]</w:t>
      </w:r>
    </w:p>
    <w:p w14:paraId="3AC29DF3" w14:textId="50CACA42" w:rsidR="00D6486B" w:rsidRPr="00D6486B" w:rsidRDefault="00666D6E" w:rsidP="00D6486B">
      <w:pPr>
        <w:pStyle w:val="EndNoteBibliography"/>
        <w:ind w:left="720" w:hanging="720"/>
      </w:pPr>
      <w:r>
        <w:t>51</w:t>
      </w:r>
      <w:r w:rsidR="00D6486B" w:rsidRPr="00D6486B">
        <w:t xml:space="preserve">. Roland M, Morris R. A study of the natural history of back pain. Part I: Development of a reliable and sensitive measure of disability in low-back pain. </w:t>
      </w:r>
      <w:r w:rsidR="00D6486B" w:rsidRPr="00D6486B">
        <w:rPr>
          <w:i/>
        </w:rPr>
        <w:t>Spine</w:t>
      </w:r>
      <w:r w:rsidR="00D6486B" w:rsidRPr="00D6486B">
        <w:t xml:space="preserve"> 1983;8  (2):141-44.</w:t>
      </w:r>
    </w:p>
    <w:p w14:paraId="3D9D6267" w14:textId="2CFD1BF0" w:rsidR="00D6486B" w:rsidRPr="00D6486B" w:rsidRDefault="00666D6E" w:rsidP="00D6486B">
      <w:pPr>
        <w:pStyle w:val="EndNoteBibliography"/>
        <w:ind w:left="720" w:hanging="720"/>
      </w:pPr>
      <w:r>
        <w:t>52</w:t>
      </w:r>
      <w:r w:rsidR="00D6486B" w:rsidRPr="00D6486B">
        <w:t xml:space="preserve">. Croft PR, Macfarlane GJ, Papageorgiou AC, et al. Outcome of low back pain in general practice: a prospective study. </w:t>
      </w:r>
      <w:r w:rsidR="00D6486B" w:rsidRPr="00D6486B">
        <w:rPr>
          <w:i/>
        </w:rPr>
        <w:t>Br Med J</w:t>
      </w:r>
      <w:r w:rsidR="00D6486B" w:rsidRPr="00D6486B">
        <w:t xml:space="preserve"> 1998;316:1356.</w:t>
      </w:r>
    </w:p>
    <w:p w14:paraId="178ACF58" w14:textId="0DD2713B" w:rsidR="00D6486B" w:rsidRPr="00D6486B" w:rsidRDefault="00666D6E" w:rsidP="00D6486B">
      <w:pPr>
        <w:pStyle w:val="EndNoteBibliography"/>
        <w:ind w:left="720" w:hanging="720"/>
      </w:pPr>
      <w:r>
        <w:t>53</w:t>
      </w:r>
      <w:r w:rsidR="00D6486B" w:rsidRPr="00D6486B">
        <w:t xml:space="preserve">. Hestbaek L, Leboeuf-Yde C, Engberg M, et al. The course of low back pain in a general population. results from a 5-year prospective study. </w:t>
      </w:r>
      <w:r w:rsidR="00D6486B" w:rsidRPr="00D6486B">
        <w:rPr>
          <w:i/>
        </w:rPr>
        <w:t>J Manipulative Physiol Ther</w:t>
      </w:r>
      <w:r w:rsidR="00D6486B" w:rsidRPr="00D6486B">
        <w:t xml:space="preserve"> 2003;26(4):213-19.</w:t>
      </w:r>
    </w:p>
    <w:p w14:paraId="181B11A2" w14:textId="29E1C5EF" w:rsidR="00D6486B" w:rsidRPr="00D6486B" w:rsidRDefault="00666D6E" w:rsidP="00D6486B">
      <w:pPr>
        <w:pStyle w:val="EndNoteBibliography"/>
        <w:ind w:left="720" w:hanging="720"/>
      </w:pPr>
      <w:r>
        <w:t>54</w:t>
      </w:r>
      <w:r w:rsidR="00D6486B" w:rsidRPr="00D6486B">
        <w:t xml:space="preserve">. Robinson KA, Dinglas VD, Sukrithan V, et al. Updated systematic review identifies substantial number of retention strategies: using more strategies retains more study participants. </w:t>
      </w:r>
      <w:r w:rsidR="00D6486B" w:rsidRPr="00D6486B">
        <w:rPr>
          <w:i/>
        </w:rPr>
        <w:t>J Clin Epidemiol</w:t>
      </w:r>
      <w:r w:rsidR="00D6486B" w:rsidRPr="00D6486B">
        <w:t xml:space="preserve"> 2015;68(12):1481-7. doi: 10.1016/j.jclinepi.2015.04.013 [published Online First: 2015/07/19]</w:t>
      </w:r>
    </w:p>
    <w:p w14:paraId="34C5A4F7" w14:textId="3BBFD43D" w:rsidR="00D6486B" w:rsidRPr="00D6486B" w:rsidRDefault="00666D6E" w:rsidP="00D6486B">
      <w:pPr>
        <w:pStyle w:val="EndNoteBibliography"/>
        <w:ind w:left="720" w:hanging="720"/>
      </w:pPr>
      <w:r>
        <w:t>55</w:t>
      </w:r>
      <w:r w:rsidR="00D6486B" w:rsidRPr="00D6486B">
        <w:t xml:space="preserve">. Deyo RA, Battie M, Beurskens AJHM, et al. Outcome measures for low back pain research: A proposal for standardized use. </w:t>
      </w:r>
      <w:r w:rsidR="00D6486B" w:rsidRPr="00D6486B">
        <w:rPr>
          <w:i/>
        </w:rPr>
        <w:t>Spine</w:t>
      </w:r>
      <w:r w:rsidR="00D6486B" w:rsidRPr="00D6486B">
        <w:t xml:space="preserve"> 1998;23(18):2003-13.</w:t>
      </w:r>
    </w:p>
    <w:p w14:paraId="14254FB2" w14:textId="493E0239" w:rsidR="00D6486B" w:rsidRPr="00D6486B" w:rsidRDefault="00666D6E" w:rsidP="00D6486B">
      <w:pPr>
        <w:pStyle w:val="EndNoteBibliography"/>
        <w:ind w:left="720" w:hanging="720"/>
      </w:pPr>
      <w:r>
        <w:lastRenderedPageBreak/>
        <w:t>56</w:t>
      </w:r>
      <w:r w:rsidR="00D6486B" w:rsidRPr="00D6486B">
        <w:t xml:space="preserve">. Horvath AO, Greenberg LS. Development and validation of the Working Alliance Inventory. </w:t>
      </w:r>
      <w:r w:rsidR="00D6486B" w:rsidRPr="00D6486B">
        <w:rPr>
          <w:i/>
        </w:rPr>
        <w:t>Journal of Counseling Psychology</w:t>
      </w:r>
      <w:r w:rsidR="00D6486B" w:rsidRPr="00D6486B">
        <w:t xml:space="preserve"> 1989;36(2):223-33.</w:t>
      </w:r>
    </w:p>
    <w:p w14:paraId="6BC0A711" w14:textId="6AE82B48" w:rsidR="00D6486B" w:rsidRPr="002C2CAF" w:rsidRDefault="00666D6E" w:rsidP="00D6486B">
      <w:pPr>
        <w:pStyle w:val="EndNoteBibliography"/>
        <w:ind w:left="720" w:hanging="720"/>
      </w:pPr>
      <w:r>
        <w:t>57</w:t>
      </w:r>
      <w:r w:rsidR="00D6486B" w:rsidRPr="00D6486B">
        <w:t xml:space="preserve">. Busseri MA, Tyler JD. Interchangeability of the Working Alliance Inventory and Working Alliance Inventory, Short Form. </w:t>
      </w:r>
      <w:r w:rsidR="00D6486B" w:rsidRPr="002C2CAF">
        <w:rPr>
          <w:i/>
        </w:rPr>
        <w:t>Psychological Assessment</w:t>
      </w:r>
      <w:r w:rsidR="00D6486B" w:rsidRPr="002C2CAF">
        <w:t xml:space="preserve"> 2003;15(2):193-97.</w:t>
      </w:r>
    </w:p>
    <w:p w14:paraId="55A8421D" w14:textId="67D15C8B" w:rsidR="00D6486B" w:rsidRPr="00D6486B" w:rsidRDefault="00666D6E" w:rsidP="00D6486B">
      <w:pPr>
        <w:pStyle w:val="EndNoteBibliography"/>
        <w:ind w:left="720" w:hanging="720"/>
      </w:pPr>
      <w:r>
        <w:t>58</w:t>
      </w:r>
      <w:r w:rsidR="00D6486B" w:rsidRPr="002C2CAF">
        <w:t xml:space="preserve">. Pincus T, Vogel S, Santos R, et al. </w:t>
      </w:r>
      <w:r w:rsidR="00D6486B" w:rsidRPr="00D6486B">
        <w:t xml:space="preserve">The Attitudes to Back Pain Scale in Musculoskeletal Practitioners (ABS-mp): The Development and Testing of a New Questionnaire. </w:t>
      </w:r>
      <w:r w:rsidR="00D6486B" w:rsidRPr="00D6486B">
        <w:rPr>
          <w:i/>
        </w:rPr>
        <w:t>Clin J Pain</w:t>
      </w:r>
      <w:r w:rsidR="00D6486B" w:rsidRPr="00D6486B">
        <w:t xml:space="preserve"> 2006;22(4):378-86.</w:t>
      </w:r>
    </w:p>
    <w:p w14:paraId="3665677F" w14:textId="32A476CE" w:rsidR="00D6486B" w:rsidRPr="00D6486B" w:rsidRDefault="00666D6E" w:rsidP="00D6486B">
      <w:pPr>
        <w:pStyle w:val="EndNoteBibliography"/>
        <w:ind w:left="720" w:hanging="720"/>
      </w:pPr>
      <w:r>
        <w:t>59</w:t>
      </w:r>
      <w:r w:rsidR="00D6486B" w:rsidRPr="00D6486B">
        <w:t xml:space="preserve">. Grogan S, Conner M, Norman P, et al. Validation of a questionnaire measuring patient satisfaction with general practitioner services. </w:t>
      </w:r>
      <w:r w:rsidR="00D6486B" w:rsidRPr="00D6486B">
        <w:rPr>
          <w:i/>
        </w:rPr>
        <w:t>Quality and Safety in Health Care</w:t>
      </w:r>
      <w:r w:rsidR="00D6486B" w:rsidRPr="00D6486B">
        <w:t xml:space="preserve"> 2000;9(4):210-15.</w:t>
      </w:r>
    </w:p>
    <w:p w14:paraId="29DB0D0E" w14:textId="2FBF7AB6" w:rsidR="00D6486B" w:rsidRPr="00D6486B" w:rsidRDefault="00666D6E" w:rsidP="00D6486B">
      <w:pPr>
        <w:pStyle w:val="EndNoteBibliography"/>
        <w:ind w:left="720" w:hanging="720"/>
      </w:pPr>
      <w:r>
        <w:t>60</w:t>
      </w:r>
      <w:r w:rsidR="00D6486B" w:rsidRPr="00D6486B">
        <w:t xml:space="preserve">. Dima A, Lewith GT, Little P, et al. Patients' treatment beliefs in low back pain: development and validation of a questionnaire in primary care. </w:t>
      </w:r>
      <w:r w:rsidR="00D6486B" w:rsidRPr="00D6486B">
        <w:rPr>
          <w:i/>
        </w:rPr>
        <w:t>Pain</w:t>
      </w:r>
      <w:r w:rsidR="00D6486B" w:rsidRPr="00D6486B">
        <w:t xml:space="preserve"> 2015;156(8):1489-500. doi: 10.1097/j.pain.0000000000000193 [published Online First: 2015/04/24]</w:t>
      </w:r>
    </w:p>
    <w:p w14:paraId="46485A4E" w14:textId="4AD0B7D1" w:rsidR="00D6486B" w:rsidRPr="00D6486B" w:rsidRDefault="00666D6E" w:rsidP="00D6486B">
      <w:pPr>
        <w:pStyle w:val="EndNoteBibliography"/>
        <w:ind w:left="720" w:hanging="720"/>
      </w:pPr>
      <w:r>
        <w:t>61</w:t>
      </w:r>
      <w:r w:rsidR="00D6486B" w:rsidRPr="00D6486B">
        <w:t xml:space="preserve">. Broadbent E, Petrie KJ, Main J, et al. The Brief Illness Perception Questionnaire. </w:t>
      </w:r>
      <w:r w:rsidR="00D6486B" w:rsidRPr="00D6486B">
        <w:rPr>
          <w:i/>
        </w:rPr>
        <w:t>J Psychosom Res</w:t>
      </w:r>
      <w:r w:rsidR="00D6486B" w:rsidRPr="00D6486B">
        <w:t xml:space="preserve"> 2006;60:631-37.</w:t>
      </w:r>
    </w:p>
    <w:p w14:paraId="3ECD74F3" w14:textId="689227DA" w:rsidR="00D6486B" w:rsidRPr="00D6486B" w:rsidRDefault="00666D6E" w:rsidP="00D6486B">
      <w:pPr>
        <w:pStyle w:val="EndNoteBibliography"/>
        <w:ind w:left="720" w:hanging="720"/>
      </w:pPr>
      <w:r>
        <w:t>62</w:t>
      </w:r>
      <w:r w:rsidR="00D6486B" w:rsidRPr="00D6486B">
        <w:t xml:space="preserve">. Anderson KO, Dowds BN, Pelletz RE, et al. Development and initial validation of a scale to measure self-efficacy beliefs in patients with chronic pain. </w:t>
      </w:r>
      <w:r w:rsidR="00D6486B" w:rsidRPr="00D6486B">
        <w:rPr>
          <w:i/>
        </w:rPr>
        <w:t>Pain</w:t>
      </w:r>
      <w:r w:rsidR="00D6486B" w:rsidRPr="00D6486B">
        <w:t xml:space="preserve"> 1995;63(1):77-83.</w:t>
      </w:r>
    </w:p>
    <w:p w14:paraId="57AF654D" w14:textId="5BDD6185" w:rsidR="00D6486B" w:rsidRPr="00D6486B" w:rsidRDefault="00666D6E" w:rsidP="00D6486B">
      <w:pPr>
        <w:pStyle w:val="EndNoteBibliography"/>
        <w:ind w:left="720" w:hanging="720"/>
      </w:pPr>
      <w:r>
        <w:t>63</w:t>
      </w:r>
      <w:r w:rsidR="00D6486B" w:rsidRPr="00D6486B">
        <w:t xml:space="preserve">. Hill JC, Dunn KM, Lewis M, et al. A primary care back pain screening tool: Identifying patient subgroups for initial treatment. </w:t>
      </w:r>
      <w:r w:rsidR="00D6486B" w:rsidRPr="00D6486B">
        <w:rPr>
          <w:i/>
        </w:rPr>
        <w:t>Arthritis Care Res</w:t>
      </w:r>
      <w:r w:rsidR="00D6486B" w:rsidRPr="00D6486B">
        <w:t xml:space="preserve"> 2008;59(5):632-41.</w:t>
      </w:r>
    </w:p>
    <w:p w14:paraId="2FFD2536" w14:textId="45C8CDCE" w:rsidR="00D6486B" w:rsidRPr="00D6486B" w:rsidRDefault="00666D6E" w:rsidP="00D6486B">
      <w:pPr>
        <w:pStyle w:val="EndNoteBibliography"/>
        <w:ind w:left="720" w:hanging="720"/>
      </w:pPr>
      <w:r>
        <w:t>64</w:t>
      </w:r>
      <w:r w:rsidR="00D6486B" w:rsidRPr="00D6486B">
        <w:t xml:space="preserve">. Dunn KM, Croft PR. Classification of Low Back Pain in Primary Care: Using "Bothersomeness" to Identify the Most Severe Cases. </w:t>
      </w:r>
      <w:r w:rsidR="00D6486B" w:rsidRPr="00D6486B">
        <w:rPr>
          <w:i/>
        </w:rPr>
        <w:t>Spine</w:t>
      </w:r>
      <w:r w:rsidR="00D6486B" w:rsidRPr="00D6486B">
        <w:t xml:space="preserve"> 2005;30(16):1887-92.</w:t>
      </w:r>
    </w:p>
    <w:p w14:paraId="4387BE0F" w14:textId="73A293CB" w:rsidR="00D6486B" w:rsidRPr="00D6486B" w:rsidRDefault="00666D6E" w:rsidP="0007023B">
      <w:pPr>
        <w:pStyle w:val="EndNoteBibliography"/>
        <w:ind w:left="720" w:hanging="720"/>
      </w:pPr>
      <w:r>
        <w:t>65</w:t>
      </w:r>
      <w:r w:rsidR="00D6486B" w:rsidRPr="00D6486B">
        <w:t>. Department for Communities and Local Government. The English Index of Multiple Deprivation (IMD) 2015–Guidance. Gov.UK, 2015.</w:t>
      </w:r>
    </w:p>
    <w:p w14:paraId="7F8A47B1" w14:textId="3F0CCDB4" w:rsidR="00D6486B" w:rsidRPr="00D6486B" w:rsidRDefault="00666D6E" w:rsidP="00D6486B">
      <w:pPr>
        <w:pStyle w:val="EndNoteBibliography"/>
        <w:ind w:left="720" w:hanging="720"/>
      </w:pPr>
      <w:r>
        <w:t>66</w:t>
      </w:r>
      <w:r w:rsidR="00D6486B" w:rsidRPr="00D6486B">
        <w:t xml:space="preserve">. Farrin A, Russell I, Torgerson D, et al. Differential recruitment in a cluster randomized trial in primary care: the experience of the UK back pain, exercise, active management and manipulation (UK BEAM) feasibility study. </w:t>
      </w:r>
      <w:r w:rsidR="00D6486B" w:rsidRPr="00D6486B">
        <w:rPr>
          <w:i/>
        </w:rPr>
        <w:t>Clin Trials</w:t>
      </w:r>
      <w:r w:rsidR="00D6486B" w:rsidRPr="00D6486B">
        <w:t xml:space="preserve"> 2005;2(2):119-24. [published Online First: 2005/11/11]</w:t>
      </w:r>
    </w:p>
    <w:p w14:paraId="1108EC18" w14:textId="10EB4DAD" w:rsidR="00996E9F" w:rsidRDefault="00666D6E" w:rsidP="00D6486B">
      <w:pPr>
        <w:pStyle w:val="EndNoteBibliography"/>
        <w:ind w:left="720" w:hanging="720"/>
      </w:pPr>
      <w:r>
        <w:t>67</w:t>
      </w:r>
      <w:r w:rsidR="00996E9F">
        <w:t xml:space="preserve">. </w:t>
      </w:r>
      <w:r w:rsidR="00996E9F" w:rsidRPr="00996E9F">
        <w:t>Rules of thumb on magnitudes of effect sizes</w:t>
      </w:r>
      <w:r w:rsidR="00996E9F">
        <w:t xml:space="preserve">.  MRC CBU Wiki.  </w:t>
      </w:r>
      <w:hyperlink r:id="rId17" w:history="1">
        <w:r w:rsidR="00996E9F" w:rsidRPr="00996E9F">
          <w:rPr>
            <w:rStyle w:val="Hyperlink"/>
            <w:rFonts w:cstheme="minorHAnsi"/>
          </w:rPr>
          <w:t>http://imaging.mrc-cbu.cam.ac.uk/statswiki/FAQ/effectSize</w:t>
        </w:r>
      </w:hyperlink>
      <w:r w:rsidR="00996E9F">
        <w:rPr>
          <w:rFonts w:cstheme="minorHAnsi"/>
        </w:rPr>
        <w:t>.  Date accessed: February 2021.</w:t>
      </w:r>
    </w:p>
    <w:p w14:paraId="09B5AFAE" w14:textId="693C4F13" w:rsidR="00D6486B" w:rsidRPr="002C2CAF" w:rsidRDefault="00666D6E" w:rsidP="00D6486B">
      <w:pPr>
        <w:pStyle w:val="EndNoteBibliography"/>
        <w:ind w:left="720" w:hanging="720"/>
      </w:pPr>
      <w:r>
        <w:t>68</w:t>
      </w:r>
      <w:r w:rsidR="00D6486B" w:rsidRPr="00D6486B">
        <w:t xml:space="preserve">. Baron RM, Kenny DA. The Moderator Mediator Variable Distinction in Social Psychological-Research - Conceptual, Strategic, and Statistical Considerations. </w:t>
      </w:r>
      <w:r w:rsidR="00D6486B" w:rsidRPr="002C2CAF">
        <w:rPr>
          <w:i/>
        </w:rPr>
        <w:t>J Pers Soc Psychol</w:t>
      </w:r>
      <w:r w:rsidR="00D6486B" w:rsidRPr="002C2CAF">
        <w:t xml:space="preserve"> 1986;51(6):1173-82.</w:t>
      </w:r>
    </w:p>
    <w:p w14:paraId="7ED7DEBF" w14:textId="49B28031" w:rsidR="00D6486B" w:rsidRPr="00D6486B" w:rsidRDefault="00050AA8" w:rsidP="00D6486B">
      <w:pPr>
        <w:pStyle w:val="EndNoteBibliography"/>
        <w:ind w:left="720" w:hanging="720"/>
      </w:pPr>
      <w:r>
        <w:t>69</w:t>
      </w:r>
      <w:r w:rsidR="00D6486B" w:rsidRPr="002C2CAF">
        <w:t xml:space="preserve">. Brett J, Staniszewska S, Mockford C, et al. </w:t>
      </w:r>
      <w:r w:rsidR="00D6486B" w:rsidRPr="00D6486B">
        <w:t xml:space="preserve">Mapping the impact of patient and public involvement on health and social care research: a systematic review. </w:t>
      </w:r>
      <w:r w:rsidR="00D6486B" w:rsidRPr="00D6486B">
        <w:rPr>
          <w:i/>
        </w:rPr>
        <w:t>Health Expect</w:t>
      </w:r>
      <w:r w:rsidR="00D6486B" w:rsidRPr="00D6486B">
        <w:t xml:space="preserve"> 2014;17(5):637-50. doi: 10.1111/j.1369-7625.2012.00795.x</w:t>
      </w:r>
    </w:p>
    <w:p w14:paraId="0B54638D" w14:textId="77777777" w:rsidR="00AA09AE" w:rsidRPr="00D6486B" w:rsidRDefault="00AA09AE" w:rsidP="00AA09AE">
      <w:pPr>
        <w:pStyle w:val="EndNoteBibliography"/>
        <w:ind w:left="720" w:hanging="720"/>
      </w:pPr>
      <w:r>
        <w:t>70</w:t>
      </w:r>
      <w:r w:rsidRPr="00D6486B">
        <w:t xml:space="preserve">. </w:t>
      </w:r>
      <w:r w:rsidRPr="00AA09AE">
        <w:t xml:space="preserve">Wiering B, de Boer D, Krol M, et al. Entertaining accurate treatment expectations while suffering from chronic pain: an exploration of treatment expectations and the relationship with patient- provider communication. </w:t>
      </w:r>
      <w:r w:rsidRPr="00AA09AE">
        <w:rPr>
          <w:i/>
        </w:rPr>
        <w:t>BMC Health Serv Res</w:t>
      </w:r>
      <w:r w:rsidRPr="00AA09AE">
        <w:t xml:space="preserve"> 2018;18 doi: 10.1186/s12913-018-3497-8</w:t>
      </w:r>
    </w:p>
    <w:p w14:paraId="3F7BCD6C" w14:textId="77777777" w:rsidR="00AA09AE" w:rsidRPr="00D6486B" w:rsidRDefault="00AA09AE" w:rsidP="00AA09AE">
      <w:pPr>
        <w:pStyle w:val="EndNoteBibliography"/>
        <w:ind w:left="720" w:hanging="720"/>
      </w:pPr>
      <w:r>
        <w:t>71</w:t>
      </w:r>
      <w:r w:rsidRPr="00D6486B">
        <w:t xml:space="preserve">. Howe LC, Goyer JP, Crum AJ. Harnessing the placebo effect: Exploring the influence of physician characteristics on placebo response. </w:t>
      </w:r>
      <w:r w:rsidRPr="00D6486B">
        <w:rPr>
          <w:i/>
        </w:rPr>
        <w:t>Health Psychol</w:t>
      </w:r>
      <w:r w:rsidRPr="00D6486B">
        <w:t xml:space="preserve"> 2017;36(11):1074-82. doi: 10.1037/hea0000499 [published Online First: 2017/03/09]</w:t>
      </w:r>
    </w:p>
    <w:p w14:paraId="16845FD3" w14:textId="15DDB876" w:rsidR="00D6486B" w:rsidRPr="00D6486B" w:rsidRDefault="00050AA8" w:rsidP="00D6486B">
      <w:pPr>
        <w:pStyle w:val="EndNoteBibliography"/>
        <w:ind w:left="720" w:hanging="720"/>
      </w:pPr>
      <w:r>
        <w:t>7</w:t>
      </w:r>
      <w:r w:rsidR="00900300">
        <w:t>2</w:t>
      </w:r>
      <w:r w:rsidR="00D6486B" w:rsidRPr="00D6486B">
        <w:t xml:space="preserve">. Roland M, Fairbank J. The Roland Morris Disability Questionnaire and the Oswestry Disability Questionnaire. </w:t>
      </w:r>
      <w:r w:rsidR="00D6486B" w:rsidRPr="00D6486B">
        <w:rPr>
          <w:i/>
        </w:rPr>
        <w:t>Spine</w:t>
      </w:r>
      <w:r w:rsidR="00D6486B" w:rsidRPr="00D6486B">
        <w:t xml:space="preserve"> 2000;25:3115-24.</w:t>
      </w:r>
    </w:p>
    <w:p w14:paraId="233B71B0" w14:textId="1C71CA13" w:rsidR="00D6486B" w:rsidRPr="002C2CAF" w:rsidRDefault="00050AA8" w:rsidP="00D6486B">
      <w:pPr>
        <w:pStyle w:val="EndNoteBibliography"/>
        <w:ind w:left="720" w:hanging="720"/>
      </w:pPr>
      <w:r w:rsidRPr="00614C3B">
        <w:t>7</w:t>
      </w:r>
      <w:r w:rsidR="00900300" w:rsidRPr="00AA09AE">
        <w:t>3</w:t>
      </w:r>
      <w:r w:rsidR="00D6486B" w:rsidRPr="00900300">
        <w:t xml:space="preserve">. Jordan K, Dunn KM, Lewis M, et al. A minimal clinically important difference was derived for the Roland-Morris Disability Questionnaire for low back pain. </w:t>
      </w:r>
      <w:r w:rsidR="00D6486B" w:rsidRPr="00614C3B">
        <w:rPr>
          <w:i/>
        </w:rPr>
        <w:t>J Clin Epidemiol</w:t>
      </w:r>
      <w:r w:rsidR="00D6486B" w:rsidRPr="00614C3B">
        <w:t xml:space="preserve"> 2006;59(1):45-52. doi: </w:t>
      </w:r>
      <w:hyperlink r:id="rId18" w:history="1">
        <w:r w:rsidR="00D6486B" w:rsidRPr="00900300">
          <w:rPr>
            <w:rStyle w:val="Hyperlink"/>
          </w:rPr>
          <w:t>https://doi.org/10.1016/j.jclinepi.2005.03.018</w:t>
        </w:r>
      </w:hyperlink>
    </w:p>
    <w:p w14:paraId="011CA999" w14:textId="463BEF8D" w:rsidR="00D6486B" w:rsidRPr="00D6486B" w:rsidRDefault="00050AA8" w:rsidP="00D6486B">
      <w:pPr>
        <w:pStyle w:val="EndNoteBibliography"/>
        <w:ind w:left="720" w:hanging="720"/>
      </w:pPr>
      <w:r>
        <w:t>7</w:t>
      </w:r>
      <w:r w:rsidR="00900300">
        <w:t>4</w:t>
      </w:r>
      <w:r w:rsidR="00D6486B" w:rsidRPr="002C2CAF">
        <w:t xml:space="preserve">. </w:t>
      </w:r>
      <w:r w:rsidR="00D6486B" w:rsidRPr="00900300">
        <w:t xml:space="preserve">Taccolini Manzoni AC, Bastos de Oliveira NT, Nunes Cabral CM, et al. The role of the therapeutic alliance on pain relief in musculoskeletal rehabilitation: A systematic review. </w:t>
      </w:r>
      <w:r w:rsidR="00D6486B" w:rsidRPr="00900300">
        <w:rPr>
          <w:i/>
        </w:rPr>
        <w:t>Physiotherapy Theory and Practice</w:t>
      </w:r>
      <w:r w:rsidR="00D6486B" w:rsidRPr="00900300">
        <w:t xml:space="preserve"> 2018;34(12):901-15. doi: 10.1080/09593985.2018.1431343</w:t>
      </w:r>
    </w:p>
    <w:p w14:paraId="62992330" w14:textId="36001AEF" w:rsidR="00D6486B" w:rsidRPr="00D6486B" w:rsidRDefault="00050AA8" w:rsidP="00D6486B">
      <w:pPr>
        <w:pStyle w:val="EndNoteBibliography"/>
        <w:ind w:left="720" w:hanging="720"/>
      </w:pPr>
      <w:r w:rsidRPr="00614C3B">
        <w:lastRenderedPageBreak/>
        <w:t>7</w:t>
      </w:r>
      <w:r w:rsidR="00AA09AE" w:rsidRPr="00AA09AE">
        <w:t>5</w:t>
      </w:r>
      <w:r w:rsidR="00D6486B" w:rsidRPr="00AA09AE">
        <w:t xml:space="preserve">. Peerdeman KJ, van Laarhoven AM, Peters ML, et al. An Integrative Review of the Influence of Expectancies on Pain. </w:t>
      </w:r>
      <w:r w:rsidR="00D6486B" w:rsidRPr="00614C3B">
        <w:rPr>
          <w:i/>
        </w:rPr>
        <w:t>Frontiers in Psychology</w:t>
      </w:r>
      <w:r w:rsidR="00D6486B" w:rsidRPr="00614C3B">
        <w:t xml:space="preserve"> 2016;7 doi: 10.3389/fpsyg.2016.01270</w:t>
      </w:r>
    </w:p>
    <w:p w14:paraId="21074AEC" w14:textId="15422CD4" w:rsidR="00D6486B" w:rsidRPr="00D6486B" w:rsidRDefault="00050AA8" w:rsidP="00D6486B">
      <w:pPr>
        <w:pStyle w:val="EndNoteBibliography"/>
        <w:ind w:left="720" w:hanging="720"/>
      </w:pPr>
      <w:r>
        <w:t>7</w:t>
      </w:r>
      <w:r w:rsidR="00900300">
        <w:t>6</w:t>
      </w:r>
      <w:r w:rsidR="00D6486B" w:rsidRPr="00D6486B">
        <w:t xml:space="preserve">. Eaves ER, Sherman KJ, Ritenbaugh C, et al. A qualitative study of changes in expectations over time among patients with chronic low back pain seeking four CAM therapies. </w:t>
      </w:r>
      <w:r w:rsidR="00D6486B" w:rsidRPr="00D6486B">
        <w:rPr>
          <w:i/>
        </w:rPr>
        <w:t>BMC Complement Altern Med</w:t>
      </w:r>
      <w:r w:rsidR="00D6486B" w:rsidRPr="00D6486B">
        <w:t xml:space="preserve"> 2015;15 doi: 10.1186/s12906-015-0531-9</w:t>
      </w:r>
    </w:p>
    <w:p w14:paraId="3A8B19C5" w14:textId="5BE6D806" w:rsidR="00050AA8" w:rsidRPr="00D6486B" w:rsidRDefault="00F60276" w:rsidP="00050AA8">
      <w:pPr>
        <w:pStyle w:val="EndNoteBibliography"/>
        <w:ind w:left="720" w:hanging="720"/>
      </w:pPr>
      <w:r>
        <w:t xml:space="preserve">77. </w:t>
      </w:r>
      <w:r w:rsidR="00050AA8" w:rsidRPr="00D6486B">
        <w:t xml:space="preserve">Bishop FL, Lewith GT. Patients' preconceptions of acupuncture: a qualitative study exploring the decisions patients make when seeking acupuncture. </w:t>
      </w:r>
      <w:r w:rsidR="00050AA8" w:rsidRPr="00D6486B">
        <w:rPr>
          <w:i/>
        </w:rPr>
        <w:t>BMC Complement Altern Med</w:t>
      </w:r>
      <w:r w:rsidR="00050AA8" w:rsidRPr="00D6486B">
        <w:t xml:space="preserve"> 2013;13:102. doi: DOI: 10.1186/1472-6882-13-102</w:t>
      </w:r>
    </w:p>
    <w:p w14:paraId="15B029D7" w14:textId="7B2002E0" w:rsidR="00E60BE4" w:rsidRDefault="00050AA8" w:rsidP="00CA324E">
      <w:pPr>
        <w:pStyle w:val="EndNoteBibliography"/>
        <w:ind w:left="720" w:hanging="720"/>
      </w:pPr>
      <w:r>
        <w:t>7</w:t>
      </w:r>
      <w:r w:rsidR="00F60276">
        <w:t>8</w:t>
      </w:r>
      <w:r w:rsidR="00CA324E">
        <w:t xml:space="preserve">. Yardley L, Morrison L, Bradbury K, Muller I. The person-based approach to intervention development: application to digital health-related behavior change interventions. </w:t>
      </w:r>
      <w:r w:rsidR="00CA324E" w:rsidRPr="00CA324E">
        <w:rPr>
          <w:i/>
          <w:iCs/>
        </w:rPr>
        <w:t>J Med Internet Res</w:t>
      </w:r>
      <w:r w:rsidR="00CA324E">
        <w:t xml:space="preserve"> 2015;17(1):e30. doi:10.2196/jmir.4055. </w:t>
      </w:r>
    </w:p>
    <w:p w14:paraId="4EB803A2" w14:textId="7029BC30" w:rsidR="00BC0950" w:rsidRDefault="00BC0950">
      <w:pPr>
        <w:spacing w:after="160" w:line="259" w:lineRule="auto"/>
        <w:contextualSpacing w:val="0"/>
      </w:pPr>
    </w:p>
    <w:sectPr w:rsidR="00BC0950" w:rsidSect="00E60B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EDA79" w14:textId="77777777" w:rsidR="00053244" w:rsidRDefault="00053244" w:rsidP="004F62F6">
      <w:r>
        <w:separator/>
      </w:r>
    </w:p>
  </w:endnote>
  <w:endnote w:type="continuationSeparator" w:id="0">
    <w:p w14:paraId="2BDC66BE" w14:textId="77777777" w:rsidR="00053244" w:rsidRDefault="00053244" w:rsidP="004F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71A07" w14:textId="77777777" w:rsidR="00053244" w:rsidRDefault="00053244" w:rsidP="004F62F6">
      <w:r>
        <w:separator/>
      </w:r>
    </w:p>
  </w:footnote>
  <w:footnote w:type="continuationSeparator" w:id="0">
    <w:p w14:paraId="5E66D357" w14:textId="77777777" w:rsidR="00053244" w:rsidRDefault="00053244" w:rsidP="004F6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000983"/>
      <w:docPartObj>
        <w:docPartGallery w:val="Page Numbers (Top of Page)"/>
        <w:docPartUnique/>
      </w:docPartObj>
    </w:sdtPr>
    <w:sdtEndPr>
      <w:rPr>
        <w:noProof/>
      </w:rPr>
    </w:sdtEndPr>
    <w:sdtContent>
      <w:p w14:paraId="0C556FD0" w14:textId="1397B359" w:rsidR="00666D6E" w:rsidRDefault="00666D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5D4EC8" w14:textId="6D9B8275" w:rsidR="00666D6E" w:rsidRDefault="00666D6E" w:rsidP="00BF6C8B">
    <w:pPr>
      <w:pStyle w:val="Header"/>
    </w:pPr>
    <w:r>
      <w:t>EFFECTS OF TREATMENT CONTEXT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3731242"/>
      <w:docPartObj>
        <w:docPartGallery w:val="Page Numbers (Top of Page)"/>
        <w:docPartUnique/>
      </w:docPartObj>
    </w:sdtPr>
    <w:sdtEndPr>
      <w:rPr>
        <w:noProof/>
      </w:rPr>
    </w:sdtEndPr>
    <w:sdtContent>
      <w:p w14:paraId="3C583268" w14:textId="772DD0AD" w:rsidR="00666D6E" w:rsidRDefault="00666D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6B073F" w14:textId="7D91DED9" w:rsidR="00666D6E" w:rsidRDefault="00666D6E" w:rsidP="00426E73">
    <w:pPr>
      <w:pStyle w:val="Header"/>
    </w:pPr>
    <w:r>
      <w:t>EFFECTS OF TREATMENT CONTEXT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3E3B99"/>
    <w:multiLevelType w:val="hybridMultilevel"/>
    <w:tmpl w:val="3C342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3F14FC"/>
    <w:multiLevelType w:val="hybridMultilevel"/>
    <w:tmpl w:val="674C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E42DF3"/>
    <w:multiLevelType w:val="hybridMultilevel"/>
    <w:tmpl w:val="D8EA1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47DCA"/>
    <w:multiLevelType w:val="hybridMultilevel"/>
    <w:tmpl w:val="0E38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5C747E"/>
    <w:multiLevelType w:val="hybridMultilevel"/>
    <w:tmpl w:val="E4C04926"/>
    <w:lvl w:ilvl="0" w:tplc="1370125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70D03387"/>
    <w:multiLevelType w:val="hybridMultilevel"/>
    <w:tmpl w:val="0D7E1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4D6DFE"/>
    <w:rsid w:val="00002380"/>
    <w:rsid w:val="000104A8"/>
    <w:rsid w:val="00012C15"/>
    <w:rsid w:val="000163ED"/>
    <w:rsid w:val="00016D52"/>
    <w:rsid w:val="00025010"/>
    <w:rsid w:val="00026353"/>
    <w:rsid w:val="00026CF0"/>
    <w:rsid w:val="00031B8A"/>
    <w:rsid w:val="00033E04"/>
    <w:rsid w:val="0004362E"/>
    <w:rsid w:val="00046BBB"/>
    <w:rsid w:val="00050670"/>
    <w:rsid w:val="00050AA8"/>
    <w:rsid w:val="00053244"/>
    <w:rsid w:val="00053A1D"/>
    <w:rsid w:val="00064FCB"/>
    <w:rsid w:val="0007023B"/>
    <w:rsid w:val="000729D1"/>
    <w:rsid w:val="00073954"/>
    <w:rsid w:val="00073B9F"/>
    <w:rsid w:val="00074B15"/>
    <w:rsid w:val="00075CCE"/>
    <w:rsid w:val="000773D8"/>
    <w:rsid w:val="000821BE"/>
    <w:rsid w:val="00082CEA"/>
    <w:rsid w:val="00083ECD"/>
    <w:rsid w:val="00087C94"/>
    <w:rsid w:val="00092953"/>
    <w:rsid w:val="00095D40"/>
    <w:rsid w:val="000A0677"/>
    <w:rsid w:val="000A0B5C"/>
    <w:rsid w:val="000A6934"/>
    <w:rsid w:val="000B0ACE"/>
    <w:rsid w:val="000B6018"/>
    <w:rsid w:val="000B6577"/>
    <w:rsid w:val="000B6C42"/>
    <w:rsid w:val="000C32F7"/>
    <w:rsid w:val="000D0A10"/>
    <w:rsid w:val="000D0BA0"/>
    <w:rsid w:val="000E4FC9"/>
    <w:rsid w:val="000F4282"/>
    <w:rsid w:val="00101F48"/>
    <w:rsid w:val="0010685B"/>
    <w:rsid w:val="001212CA"/>
    <w:rsid w:val="00124749"/>
    <w:rsid w:val="001317B9"/>
    <w:rsid w:val="00137766"/>
    <w:rsid w:val="0014125C"/>
    <w:rsid w:val="0015101C"/>
    <w:rsid w:val="00151A15"/>
    <w:rsid w:val="00153030"/>
    <w:rsid w:val="0015539F"/>
    <w:rsid w:val="00157B27"/>
    <w:rsid w:val="00162927"/>
    <w:rsid w:val="001676AF"/>
    <w:rsid w:val="00170633"/>
    <w:rsid w:val="00170C21"/>
    <w:rsid w:val="00172A03"/>
    <w:rsid w:val="0018046E"/>
    <w:rsid w:val="00181631"/>
    <w:rsid w:val="00183876"/>
    <w:rsid w:val="001858BF"/>
    <w:rsid w:val="00192B95"/>
    <w:rsid w:val="00196A56"/>
    <w:rsid w:val="001A1DFD"/>
    <w:rsid w:val="001A3A29"/>
    <w:rsid w:val="001B0BEA"/>
    <w:rsid w:val="001B4B8B"/>
    <w:rsid w:val="001C0F4A"/>
    <w:rsid w:val="001C399B"/>
    <w:rsid w:val="001C52FE"/>
    <w:rsid w:val="001D0E7B"/>
    <w:rsid w:val="001D3632"/>
    <w:rsid w:val="001E4F49"/>
    <w:rsid w:val="001E7122"/>
    <w:rsid w:val="001F1F02"/>
    <w:rsid w:val="001F34D5"/>
    <w:rsid w:val="001F479E"/>
    <w:rsid w:val="001F4F4A"/>
    <w:rsid w:val="001F5AFF"/>
    <w:rsid w:val="002072C7"/>
    <w:rsid w:val="00214BB0"/>
    <w:rsid w:val="002152C4"/>
    <w:rsid w:val="00215376"/>
    <w:rsid w:val="00217065"/>
    <w:rsid w:val="002179A2"/>
    <w:rsid w:val="00223381"/>
    <w:rsid w:val="00225F8E"/>
    <w:rsid w:val="002403AB"/>
    <w:rsid w:val="002440BF"/>
    <w:rsid w:val="00251967"/>
    <w:rsid w:val="0025285D"/>
    <w:rsid w:val="00256A6F"/>
    <w:rsid w:val="0025709C"/>
    <w:rsid w:val="00263562"/>
    <w:rsid w:val="00265A42"/>
    <w:rsid w:val="00265F1A"/>
    <w:rsid w:val="0026619D"/>
    <w:rsid w:val="0026716A"/>
    <w:rsid w:val="002678D2"/>
    <w:rsid w:val="002706FA"/>
    <w:rsid w:val="002751D6"/>
    <w:rsid w:val="00282F46"/>
    <w:rsid w:val="002865EA"/>
    <w:rsid w:val="00292869"/>
    <w:rsid w:val="00294931"/>
    <w:rsid w:val="00297255"/>
    <w:rsid w:val="002A2B88"/>
    <w:rsid w:val="002A57C8"/>
    <w:rsid w:val="002A588C"/>
    <w:rsid w:val="002A6B9E"/>
    <w:rsid w:val="002B09C2"/>
    <w:rsid w:val="002B4921"/>
    <w:rsid w:val="002B4AA8"/>
    <w:rsid w:val="002C0079"/>
    <w:rsid w:val="002C2CAF"/>
    <w:rsid w:val="002C58BC"/>
    <w:rsid w:val="002C5D06"/>
    <w:rsid w:val="002C6D34"/>
    <w:rsid w:val="002C7373"/>
    <w:rsid w:val="002C74FF"/>
    <w:rsid w:val="002D1770"/>
    <w:rsid w:val="002D44E5"/>
    <w:rsid w:val="002D56E7"/>
    <w:rsid w:val="002D5758"/>
    <w:rsid w:val="002E321C"/>
    <w:rsid w:val="002E38DD"/>
    <w:rsid w:val="002E5411"/>
    <w:rsid w:val="002F4465"/>
    <w:rsid w:val="00301A09"/>
    <w:rsid w:val="003071D4"/>
    <w:rsid w:val="003157FE"/>
    <w:rsid w:val="0031676C"/>
    <w:rsid w:val="003221FC"/>
    <w:rsid w:val="00325FC1"/>
    <w:rsid w:val="003269A2"/>
    <w:rsid w:val="00327702"/>
    <w:rsid w:val="00335F57"/>
    <w:rsid w:val="003433D8"/>
    <w:rsid w:val="00344FE3"/>
    <w:rsid w:val="0035252F"/>
    <w:rsid w:val="00356396"/>
    <w:rsid w:val="003569B0"/>
    <w:rsid w:val="00371353"/>
    <w:rsid w:val="003745E6"/>
    <w:rsid w:val="003754B9"/>
    <w:rsid w:val="003839AF"/>
    <w:rsid w:val="00384236"/>
    <w:rsid w:val="003843AA"/>
    <w:rsid w:val="00394D24"/>
    <w:rsid w:val="003A05C1"/>
    <w:rsid w:val="003A0BF4"/>
    <w:rsid w:val="003A1AFA"/>
    <w:rsid w:val="003A38B1"/>
    <w:rsid w:val="003A545C"/>
    <w:rsid w:val="003B139F"/>
    <w:rsid w:val="003B4FA6"/>
    <w:rsid w:val="003C113C"/>
    <w:rsid w:val="003C28AD"/>
    <w:rsid w:val="003C6096"/>
    <w:rsid w:val="003D1227"/>
    <w:rsid w:val="003D3FCE"/>
    <w:rsid w:val="003D59F7"/>
    <w:rsid w:val="003D5AAD"/>
    <w:rsid w:val="003E5DB6"/>
    <w:rsid w:val="003E630E"/>
    <w:rsid w:val="003E644C"/>
    <w:rsid w:val="003F27B0"/>
    <w:rsid w:val="004038D0"/>
    <w:rsid w:val="004052AA"/>
    <w:rsid w:val="00417903"/>
    <w:rsid w:val="004239B8"/>
    <w:rsid w:val="00426E73"/>
    <w:rsid w:val="00430619"/>
    <w:rsid w:val="0043699D"/>
    <w:rsid w:val="0044302D"/>
    <w:rsid w:val="00445156"/>
    <w:rsid w:val="00447DF0"/>
    <w:rsid w:val="00447EED"/>
    <w:rsid w:val="004516C0"/>
    <w:rsid w:val="00454219"/>
    <w:rsid w:val="004570F7"/>
    <w:rsid w:val="00460C0D"/>
    <w:rsid w:val="00471461"/>
    <w:rsid w:val="0047478A"/>
    <w:rsid w:val="004907A3"/>
    <w:rsid w:val="00492A1E"/>
    <w:rsid w:val="004933FD"/>
    <w:rsid w:val="00494220"/>
    <w:rsid w:val="00494ED4"/>
    <w:rsid w:val="00495583"/>
    <w:rsid w:val="004A0C7A"/>
    <w:rsid w:val="004A12F1"/>
    <w:rsid w:val="004A7F85"/>
    <w:rsid w:val="004B137E"/>
    <w:rsid w:val="004B5C41"/>
    <w:rsid w:val="004B6AC0"/>
    <w:rsid w:val="004B6C1B"/>
    <w:rsid w:val="004B7055"/>
    <w:rsid w:val="004C094D"/>
    <w:rsid w:val="004C5CCD"/>
    <w:rsid w:val="004D1E17"/>
    <w:rsid w:val="004D2EB4"/>
    <w:rsid w:val="004D469A"/>
    <w:rsid w:val="004D60D8"/>
    <w:rsid w:val="004D6DFE"/>
    <w:rsid w:val="004E15DB"/>
    <w:rsid w:val="004E23A6"/>
    <w:rsid w:val="004E28C9"/>
    <w:rsid w:val="004E56BA"/>
    <w:rsid w:val="004F62F6"/>
    <w:rsid w:val="005030D2"/>
    <w:rsid w:val="005056CA"/>
    <w:rsid w:val="00507A92"/>
    <w:rsid w:val="00510003"/>
    <w:rsid w:val="005123A5"/>
    <w:rsid w:val="00515FBC"/>
    <w:rsid w:val="005226A9"/>
    <w:rsid w:val="00524B2D"/>
    <w:rsid w:val="00525A30"/>
    <w:rsid w:val="0052694B"/>
    <w:rsid w:val="005307DA"/>
    <w:rsid w:val="00535D2F"/>
    <w:rsid w:val="00542472"/>
    <w:rsid w:val="00542DFB"/>
    <w:rsid w:val="005432C3"/>
    <w:rsid w:val="00543E2A"/>
    <w:rsid w:val="0054590A"/>
    <w:rsid w:val="00550808"/>
    <w:rsid w:val="0055618A"/>
    <w:rsid w:val="0056047C"/>
    <w:rsid w:val="00567B69"/>
    <w:rsid w:val="00567E1C"/>
    <w:rsid w:val="005713E6"/>
    <w:rsid w:val="00572E35"/>
    <w:rsid w:val="00590F72"/>
    <w:rsid w:val="005A09EC"/>
    <w:rsid w:val="005A13A1"/>
    <w:rsid w:val="005A14DA"/>
    <w:rsid w:val="005A5FA2"/>
    <w:rsid w:val="005B7370"/>
    <w:rsid w:val="005B7737"/>
    <w:rsid w:val="005C1D6D"/>
    <w:rsid w:val="005C2B76"/>
    <w:rsid w:val="005C2E7E"/>
    <w:rsid w:val="005C36A1"/>
    <w:rsid w:val="005C4A03"/>
    <w:rsid w:val="005C6522"/>
    <w:rsid w:val="005C6C96"/>
    <w:rsid w:val="005C7DB3"/>
    <w:rsid w:val="005D3CC8"/>
    <w:rsid w:val="005D5AC3"/>
    <w:rsid w:val="005D69A2"/>
    <w:rsid w:val="005E2A83"/>
    <w:rsid w:val="005E710E"/>
    <w:rsid w:val="005F1B7F"/>
    <w:rsid w:val="005F4E2F"/>
    <w:rsid w:val="005F6F8C"/>
    <w:rsid w:val="00602466"/>
    <w:rsid w:val="00604B87"/>
    <w:rsid w:val="00610E50"/>
    <w:rsid w:val="00612072"/>
    <w:rsid w:val="00614C3B"/>
    <w:rsid w:val="00615394"/>
    <w:rsid w:val="00622181"/>
    <w:rsid w:val="006249D2"/>
    <w:rsid w:val="00630D37"/>
    <w:rsid w:val="006356E9"/>
    <w:rsid w:val="00635BF4"/>
    <w:rsid w:val="00651942"/>
    <w:rsid w:val="00654EFA"/>
    <w:rsid w:val="00654F62"/>
    <w:rsid w:val="0065774E"/>
    <w:rsid w:val="00660D39"/>
    <w:rsid w:val="00662C48"/>
    <w:rsid w:val="00664641"/>
    <w:rsid w:val="00666D42"/>
    <w:rsid w:val="00666D6E"/>
    <w:rsid w:val="00667DBF"/>
    <w:rsid w:val="006746FE"/>
    <w:rsid w:val="00674B81"/>
    <w:rsid w:val="006750B9"/>
    <w:rsid w:val="00675A8F"/>
    <w:rsid w:val="00680624"/>
    <w:rsid w:val="00681650"/>
    <w:rsid w:val="00683DB6"/>
    <w:rsid w:val="006847F8"/>
    <w:rsid w:val="00686914"/>
    <w:rsid w:val="00687ACF"/>
    <w:rsid w:val="006902A3"/>
    <w:rsid w:val="006922E5"/>
    <w:rsid w:val="00692722"/>
    <w:rsid w:val="006944D0"/>
    <w:rsid w:val="00694618"/>
    <w:rsid w:val="006A6962"/>
    <w:rsid w:val="006B3F8A"/>
    <w:rsid w:val="006B6CBB"/>
    <w:rsid w:val="006C23E4"/>
    <w:rsid w:val="006C4E2F"/>
    <w:rsid w:val="006D104A"/>
    <w:rsid w:val="006D20E0"/>
    <w:rsid w:val="006D42C1"/>
    <w:rsid w:val="006D504D"/>
    <w:rsid w:val="006D557C"/>
    <w:rsid w:val="006E46C4"/>
    <w:rsid w:val="006F34EF"/>
    <w:rsid w:val="006F5C1D"/>
    <w:rsid w:val="006F6A91"/>
    <w:rsid w:val="007004EA"/>
    <w:rsid w:val="00701256"/>
    <w:rsid w:val="0070544B"/>
    <w:rsid w:val="0071377D"/>
    <w:rsid w:val="007144A9"/>
    <w:rsid w:val="007147E6"/>
    <w:rsid w:val="00714C40"/>
    <w:rsid w:val="00715F92"/>
    <w:rsid w:val="0071769A"/>
    <w:rsid w:val="00720EED"/>
    <w:rsid w:val="00731C06"/>
    <w:rsid w:val="00732A58"/>
    <w:rsid w:val="00733A5C"/>
    <w:rsid w:val="00734210"/>
    <w:rsid w:val="00734B6C"/>
    <w:rsid w:val="00743B29"/>
    <w:rsid w:val="00747D3A"/>
    <w:rsid w:val="00751A34"/>
    <w:rsid w:val="007537A6"/>
    <w:rsid w:val="00760DAD"/>
    <w:rsid w:val="00775909"/>
    <w:rsid w:val="00780C0E"/>
    <w:rsid w:val="007815F0"/>
    <w:rsid w:val="0078353F"/>
    <w:rsid w:val="007864F6"/>
    <w:rsid w:val="007911F9"/>
    <w:rsid w:val="00794C5A"/>
    <w:rsid w:val="0079527F"/>
    <w:rsid w:val="007A4350"/>
    <w:rsid w:val="007A77D8"/>
    <w:rsid w:val="007B1214"/>
    <w:rsid w:val="007B19BB"/>
    <w:rsid w:val="007B52A0"/>
    <w:rsid w:val="007C4E35"/>
    <w:rsid w:val="007D0A4B"/>
    <w:rsid w:val="007D33A7"/>
    <w:rsid w:val="007D349B"/>
    <w:rsid w:val="007D5B05"/>
    <w:rsid w:val="007D7F8C"/>
    <w:rsid w:val="007E3C78"/>
    <w:rsid w:val="007E517C"/>
    <w:rsid w:val="007E5BE4"/>
    <w:rsid w:val="007E6E99"/>
    <w:rsid w:val="007F46D2"/>
    <w:rsid w:val="00800020"/>
    <w:rsid w:val="00800EA6"/>
    <w:rsid w:val="00801E5B"/>
    <w:rsid w:val="00803914"/>
    <w:rsid w:val="00804169"/>
    <w:rsid w:val="0080499E"/>
    <w:rsid w:val="00806388"/>
    <w:rsid w:val="008071C7"/>
    <w:rsid w:val="0081088C"/>
    <w:rsid w:val="008110C9"/>
    <w:rsid w:val="00815CF6"/>
    <w:rsid w:val="00827097"/>
    <w:rsid w:val="00837B4A"/>
    <w:rsid w:val="0084246C"/>
    <w:rsid w:val="00844B10"/>
    <w:rsid w:val="00852291"/>
    <w:rsid w:val="00852941"/>
    <w:rsid w:val="00853A82"/>
    <w:rsid w:val="0085429A"/>
    <w:rsid w:val="00854D6F"/>
    <w:rsid w:val="008621CB"/>
    <w:rsid w:val="00863D75"/>
    <w:rsid w:val="00864434"/>
    <w:rsid w:val="00866ACB"/>
    <w:rsid w:val="00867743"/>
    <w:rsid w:val="00870DBB"/>
    <w:rsid w:val="0087474C"/>
    <w:rsid w:val="008810B8"/>
    <w:rsid w:val="00882CED"/>
    <w:rsid w:val="008955BC"/>
    <w:rsid w:val="008B0C52"/>
    <w:rsid w:val="008B26AF"/>
    <w:rsid w:val="008B32AD"/>
    <w:rsid w:val="008B7CD3"/>
    <w:rsid w:val="008C138C"/>
    <w:rsid w:val="008D0611"/>
    <w:rsid w:val="008D0A0B"/>
    <w:rsid w:val="008D1EBA"/>
    <w:rsid w:val="008D3758"/>
    <w:rsid w:val="008D59BA"/>
    <w:rsid w:val="008E3936"/>
    <w:rsid w:val="008E7105"/>
    <w:rsid w:val="008F1AD3"/>
    <w:rsid w:val="008F4DAF"/>
    <w:rsid w:val="008F5739"/>
    <w:rsid w:val="00900300"/>
    <w:rsid w:val="009018A0"/>
    <w:rsid w:val="00903B43"/>
    <w:rsid w:val="0090665A"/>
    <w:rsid w:val="00911C0C"/>
    <w:rsid w:val="00912F92"/>
    <w:rsid w:val="00920F36"/>
    <w:rsid w:val="009210BE"/>
    <w:rsid w:val="00922C12"/>
    <w:rsid w:val="00935935"/>
    <w:rsid w:val="00937B19"/>
    <w:rsid w:val="0094074C"/>
    <w:rsid w:val="00951E10"/>
    <w:rsid w:val="00963EE5"/>
    <w:rsid w:val="00966A8E"/>
    <w:rsid w:val="00966C91"/>
    <w:rsid w:val="0096758C"/>
    <w:rsid w:val="00975876"/>
    <w:rsid w:val="00981DF0"/>
    <w:rsid w:val="00987A9E"/>
    <w:rsid w:val="00996E9F"/>
    <w:rsid w:val="009A04A8"/>
    <w:rsid w:val="009B167C"/>
    <w:rsid w:val="009B4F51"/>
    <w:rsid w:val="009B665E"/>
    <w:rsid w:val="009B7EDA"/>
    <w:rsid w:val="009C17F3"/>
    <w:rsid w:val="009C37F1"/>
    <w:rsid w:val="009C39E7"/>
    <w:rsid w:val="009C6D63"/>
    <w:rsid w:val="009D26B0"/>
    <w:rsid w:val="009D3050"/>
    <w:rsid w:val="009D3065"/>
    <w:rsid w:val="009D37E6"/>
    <w:rsid w:val="009D5EA5"/>
    <w:rsid w:val="009D644A"/>
    <w:rsid w:val="009E258F"/>
    <w:rsid w:val="009E2B32"/>
    <w:rsid w:val="009E572E"/>
    <w:rsid w:val="009E6DA0"/>
    <w:rsid w:val="009F7606"/>
    <w:rsid w:val="00A02866"/>
    <w:rsid w:val="00A040D9"/>
    <w:rsid w:val="00A064D5"/>
    <w:rsid w:val="00A06FD6"/>
    <w:rsid w:val="00A23C36"/>
    <w:rsid w:val="00A25E23"/>
    <w:rsid w:val="00A271E8"/>
    <w:rsid w:val="00A341EA"/>
    <w:rsid w:val="00A34682"/>
    <w:rsid w:val="00A34794"/>
    <w:rsid w:val="00A43E0A"/>
    <w:rsid w:val="00A474DC"/>
    <w:rsid w:val="00A526AB"/>
    <w:rsid w:val="00A53064"/>
    <w:rsid w:val="00A6748D"/>
    <w:rsid w:val="00A67862"/>
    <w:rsid w:val="00A67D53"/>
    <w:rsid w:val="00A74FCF"/>
    <w:rsid w:val="00A820BB"/>
    <w:rsid w:val="00A8361B"/>
    <w:rsid w:val="00A83C97"/>
    <w:rsid w:val="00A857EE"/>
    <w:rsid w:val="00A921C4"/>
    <w:rsid w:val="00A935E5"/>
    <w:rsid w:val="00A97BFB"/>
    <w:rsid w:val="00AA09AE"/>
    <w:rsid w:val="00AA4E71"/>
    <w:rsid w:val="00AA5ADA"/>
    <w:rsid w:val="00AA5F86"/>
    <w:rsid w:val="00AB249A"/>
    <w:rsid w:val="00AB2950"/>
    <w:rsid w:val="00AB2A67"/>
    <w:rsid w:val="00AB4E78"/>
    <w:rsid w:val="00AB4ED5"/>
    <w:rsid w:val="00AC5CCD"/>
    <w:rsid w:val="00AC74AA"/>
    <w:rsid w:val="00AC79DF"/>
    <w:rsid w:val="00AD7EDE"/>
    <w:rsid w:val="00AE23D6"/>
    <w:rsid w:val="00AF528A"/>
    <w:rsid w:val="00AF52F6"/>
    <w:rsid w:val="00AF547D"/>
    <w:rsid w:val="00AF727E"/>
    <w:rsid w:val="00B0052D"/>
    <w:rsid w:val="00B00B81"/>
    <w:rsid w:val="00B123D3"/>
    <w:rsid w:val="00B123F7"/>
    <w:rsid w:val="00B13BAB"/>
    <w:rsid w:val="00B17A9D"/>
    <w:rsid w:val="00B17EDB"/>
    <w:rsid w:val="00B23133"/>
    <w:rsid w:val="00B24D87"/>
    <w:rsid w:val="00B25104"/>
    <w:rsid w:val="00B33132"/>
    <w:rsid w:val="00B3387B"/>
    <w:rsid w:val="00B373D3"/>
    <w:rsid w:val="00B37885"/>
    <w:rsid w:val="00B4088F"/>
    <w:rsid w:val="00B41991"/>
    <w:rsid w:val="00B4711D"/>
    <w:rsid w:val="00B51DEB"/>
    <w:rsid w:val="00B55530"/>
    <w:rsid w:val="00B60445"/>
    <w:rsid w:val="00B650CB"/>
    <w:rsid w:val="00B70838"/>
    <w:rsid w:val="00B72EC9"/>
    <w:rsid w:val="00B840EF"/>
    <w:rsid w:val="00B8770F"/>
    <w:rsid w:val="00BA0048"/>
    <w:rsid w:val="00BA1505"/>
    <w:rsid w:val="00BA301D"/>
    <w:rsid w:val="00BA3AF6"/>
    <w:rsid w:val="00BA3BBF"/>
    <w:rsid w:val="00BB0E21"/>
    <w:rsid w:val="00BB1017"/>
    <w:rsid w:val="00BB586C"/>
    <w:rsid w:val="00BC0950"/>
    <w:rsid w:val="00BC26B7"/>
    <w:rsid w:val="00BC4688"/>
    <w:rsid w:val="00BC639B"/>
    <w:rsid w:val="00BE0E27"/>
    <w:rsid w:val="00BE223C"/>
    <w:rsid w:val="00BF3694"/>
    <w:rsid w:val="00BF6C8B"/>
    <w:rsid w:val="00C000C9"/>
    <w:rsid w:val="00C01D8B"/>
    <w:rsid w:val="00C0558D"/>
    <w:rsid w:val="00C066C5"/>
    <w:rsid w:val="00C06739"/>
    <w:rsid w:val="00C0733F"/>
    <w:rsid w:val="00C11FD7"/>
    <w:rsid w:val="00C208A2"/>
    <w:rsid w:val="00C220BD"/>
    <w:rsid w:val="00C35FB5"/>
    <w:rsid w:val="00C36C91"/>
    <w:rsid w:val="00C379D6"/>
    <w:rsid w:val="00C37A6C"/>
    <w:rsid w:val="00C45AA3"/>
    <w:rsid w:val="00C46C63"/>
    <w:rsid w:val="00C620EB"/>
    <w:rsid w:val="00C62A8C"/>
    <w:rsid w:val="00C62AE4"/>
    <w:rsid w:val="00C62E39"/>
    <w:rsid w:val="00C65E2E"/>
    <w:rsid w:val="00C7157E"/>
    <w:rsid w:val="00C73BBB"/>
    <w:rsid w:val="00C77CFA"/>
    <w:rsid w:val="00C827DA"/>
    <w:rsid w:val="00C82B42"/>
    <w:rsid w:val="00C82CCE"/>
    <w:rsid w:val="00C86F3E"/>
    <w:rsid w:val="00C902C9"/>
    <w:rsid w:val="00CA1420"/>
    <w:rsid w:val="00CA324E"/>
    <w:rsid w:val="00CA4F00"/>
    <w:rsid w:val="00CA633D"/>
    <w:rsid w:val="00CB21F6"/>
    <w:rsid w:val="00CB29DE"/>
    <w:rsid w:val="00CB4A40"/>
    <w:rsid w:val="00CB5ADF"/>
    <w:rsid w:val="00CB6998"/>
    <w:rsid w:val="00CB6AA2"/>
    <w:rsid w:val="00CC172F"/>
    <w:rsid w:val="00CC5E54"/>
    <w:rsid w:val="00CD5E31"/>
    <w:rsid w:val="00CE1EA0"/>
    <w:rsid w:val="00CE7AC1"/>
    <w:rsid w:val="00CF4366"/>
    <w:rsid w:val="00CF5860"/>
    <w:rsid w:val="00CF6947"/>
    <w:rsid w:val="00CF764A"/>
    <w:rsid w:val="00CF7C78"/>
    <w:rsid w:val="00D053A1"/>
    <w:rsid w:val="00D05DB9"/>
    <w:rsid w:val="00D12498"/>
    <w:rsid w:val="00D12914"/>
    <w:rsid w:val="00D159A4"/>
    <w:rsid w:val="00D21426"/>
    <w:rsid w:val="00D278DC"/>
    <w:rsid w:val="00D3321D"/>
    <w:rsid w:val="00D33ED1"/>
    <w:rsid w:val="00D34537"/>
    <w:rsid w:val="00D358DD"/>
    <w:rsid w:val="00D43FD0"/>
    <w:rsid w:val="00D4768B"/>
    <w:rsid w:val="00D538E7"/>
    <w:rsid w:val="00D549D4"/>
    <w:rsid w:val="00D54B0F"/>
    <w:rsid w:val="00D56D8A"/>
    <w:rsid w:val="00D62A2E"/>
    <w:rsid w:val="00D63E2D"/>
    <w:rsid w:val="00D6486B"/>
    <w:rsid w:val="00D660BB"/>
    <w:rsid w:val="00D71E00"/>
    <w:rsid w:val="00D7286F"/>
    <w:rsid w:val="00D84BC1"/>
    <w:rsid w:val="00D85AA8"/>
    <w:rsid w:val="00D91694"/>
    <w:rsid w:val="00DA1C25"/>
    <w:rsid w:val="00DA2682"/>
    <w:rsid w:val="00DA43AB"/>
    <w:rsid w:val="00DB6187"/>
    <w:rsid w:val="00DC5357"/>
    <w:rsid w:val="00DD1A29"/>
    <w:rsid w:val="00DD1ECD"/>
    <w:rsid w:val="00DD37C2"/>
    <w:rsid w:val="00DE108D"/>
    <w:rsid w:val="00DE4136"/>
    <w:rsid w:val="00DE6C98"/>
    <w:rsid w:val="00DF19E6"/>
    <w:rsid w:val="00DF3864"/>
    <w:rsid w:val="00DF4D60"/>
    <w:rsid w:val="00DF4F6E"/>
    <w:rsid w:val="00DF5772"/>
    <w:rsid w:val="00E03068"/>
    <w:rsid w:val="00E03BCC"/>
    <w:rsid w:val="00E07040"/>
    <w:rsid w:val="00E10699"/>
    <w:rsid w:val="00E17C4E"/>
    <w:rsid w:val="00E404A4"/>
    <w:rsid w:val="00E40991"/>
    <w:rsid w:val="00E421CE"/>
    <w:rsid w:val="00E4355D"/>
    <w:rsid w:val="00E46B57"/>
    <w:rsid w:val="00E47B65"/>
    <w:rsid w:val="00E511C7"/>
    <w:rsid w:val="00E56DF1"/>
    <w:rsid w:val="00E573FA"/>
    <w:rsid w:val="00E60BE4"/>
    <w:rsid w:val="00E61646"/>
    <w:rsid w:val="00E62AD2"/>
    <w:rsid w:val="00E653C1"/>
    <w:rsid w:val="00E702B0"/>
    <w:rsid w:val="00E72AEA"/>
    <w:rsid w:val="00E8568A"/>
    <w:rsid w:val="00E9620E"/>
    <w:rsid w:val="00E97970"/>
    <w:rsid w:val="00EA4C0E"/>
    <w:rsid w:val="00EB19DB"/>
    <w:rsid w:val="00EB4822"/>
    <w:rsid w:val="00EB6E11"/>
    <w:rsid w:val="00EC4B11"/>
    <w:rsid w:val="00EC5352"/>
    <w:rsid w:val="00EC6788"/>
    <w:rsid w:val="00ED2605"/>
    <w:rsid w:val="00EE1C9A"/>
    <w:rsid w:val="00EE4A9C"/>
    <w:rsid w:val="00EE769D"/>
    <w:rsid w:val="00EE7A87"/>
    <w:rsid w:val="00EF656D"/>
    <w:rsid w:val="00F009F5"/>
    <w:rsid w:val="00F0296F"/>
    <w:rsid w:val="00F06A2C"/>
    <w:rsid w:val="00F1086F"/>
    <w:rsid w:val="00F14657"/>
    <w:rsid w:val="00F2226C"/>
    <w:rsid w:val="00F239E0"/>
    <w:rsid w:val="00F262B9"/>
    <w:rsid w:val="00F27AB6"/>
    <w:rsid w:val="00F35DC0"/>
    <w:rsid w:val="00F37AF7"/>
    <w:rsid w:val="00F37AFA"/>
    <w:rsid w:val="00F5024B"/>
    <w:rsid w:val="00F52455"/>
    <w:rsid w:val="00F54FD1"/>
    <w:rsid w:val="00F5687F"/>
    <w:rsid w:val="00F60276"/>
    <w:rsid w:val="00F6463C"/>
    <w:rsid w:val="00F66E37"/>
    <w:rsid w:val="00F7444A"/>
    <w:rsid w:val="00F8176F"/>
    <w:rsid w:val="00F85050"/>
    <w:rsid w:val="00F85111"/>
    <w:rsid w:val="00F92A98"/>
    <w:rsid w:val="00F93341"/>
    <w:rsid w:val="00F94ACA"/>
    <w:rsid w:val="00F96354"/>
    <w:rsid w:val="00FA07FD"/>
    <w:rsid w:val="00FA092A"/>
    <w:rsid w:val="00FA0AE9"/>
    <w:rsid w:val="00FA79DE"/>
    <w:rsid w:val="00FA7F67"/>
    <w:rsid w:val="00FB0E7D"/>
    <w:rsid w:val="00FB2527"/>
    <w:rsid w:val="00FB62BF"/>
    <w:rsid w:val="00FC5DF0"/>
    <w:rsid w:val="00FC6276"/>
    <w:rsid w:val="00FC6C8A"/>
    <w:rsid w:val="00FD1037"/>
    <w:rsid w:val="00FE092D"/>
    <w:rsid w:val="00FE48CC"/>
    <w:rsid w:val="00FE6B01"/>
    <w:rsid w:val="00FE714D"/>
    <w:rsid w:val="00FE71CC"/>
    <w:rsid w:val="00FF4184"/>
    <w:rsid w:val="00FF54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E824A"/>
  <w15:docId w15:val="{0F76C74B-B34F-449C-86D1-99FB55B5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F6"/>
    <w:pPr>
      <w:spacing w:after="0" w:line="480" w:lineRule="auto"/>
      <w:contextualSpacing/>
    </w:pPr>
    <w:rPr>
      <w:rFonts w:eastAsiaTheme="minorEastAsia"/>
      <w:lang w:eastAsia="zh-CN"/>
    </w:rPr>
  </w:style>
  <w:style w:type="paragraph" w:styleId="Heading1">
    <w:name w:val="heading 1"/>
    <w:basedOn w:val="Normal"/>
    <w:next w:val="Normal"/>
    <w:link w:val="Heading1Char"/>
    <w:uiPriority w:val="9"/>
    <w:qFormat/>
    <w:rsid w:val="004F62F6"/>
    <w:pPr>
      <w:keepNext/>
      <w:keepLines/>
      <w:jc w:val="center"/>
      <w:outlineLvl w:val="0"/>
    </w:pPr>
    <w:rPr>
      <w:rFonts w:eastAsiaTheme="majorEastAsia" w:cstheme="minorHAnsi"/>
      <w:b/>
      <w:bCs/>
    </w:rPr>
  </w:style>
  <w:style w:type="paragraph" w:styleId="Heading2">
    <w:name w:val="heading 2"/>
    <w:basedOn w:val="Normal"/>
    <w:next w:val="Normal"/>
    <w:link w:val="Heading2Char"/>
    <w:uiPriority w:val="9"/>
    <w:unhideWhenUsed/>
    <w:qFormat/>
    <w:rsid w:val="00852941"/>
    <w:pPr>
      <w:keepNext/>
      <w:keepLines/>
      <w:outlineLvl w:val="1"/>
    </w:pPr>
    <w:rPr>
      <w:rFonts w:eastAsiaTheme="majorEastAsia" w:cstheme="minorHAnsi"/>
      <w:b/>
      <w:bCs/>
    </w:rPr>
  </w:style>
  <w:style w:type="paragraph" w:styleId="Heading3">
    <w:name w:val="heading 3"/>
    <w:basedOn w:val="Normal"/>
    <w:next w:val="Normal"/>
    <w:link w:val="Heading3Char"/>
    <w:uiPriority w:val="9"/>
    <w:unhideWhenUsed/>
    <w:qFormat/>
    <w:rsid w:val="00852941"/>
    <w:pPr>
      <w:keepNext/>
      <w:keepLines/>
      <w:outlineLvl w:val="2"/>
    </w:pPr>
    <w:rPr>
      <w:rFonts w:eastAsiaTheme="majorEastAsia" w:cstheme="minorHAnsi"/>
      <w:b/>
      <w:bCs/>
      <w:i/>
    </w:rPr>
  </w:style>
  <w:style w:type="paragraph" w:styleId="Heading4">
    <w:name w:val="heading 4"/>
    <w:basedOn w:val="Normal"/>
    <w:next w:val="Normal"/>
    <w:link w:val="Heading4Char"/>
    <w:uiPriority w:val="9"/>
    <w:unhideWhenUsed/>
    <w:qFormat/>
    <w:rsid w:val="002F4465"/>
    <w:pPr>
      <w:ind w:firstLine="720"/>
      <w:outlineLvl w:val="3"/>
    </w:pPr>
    <w:rPr>
      <w:rFonts w:cstheme="minorHAnsi"/>
      <w:b/>
    </w:rPr>
  </w:style>
  <w:style w:type="paragraph" w:styleId="Heading6">
    <w:name w:val="heading 6"/>
    <w:basedOn w:val="Normal"/>
    <w:next w:val="Normal"/>
    <w:link w:val="Heading6Char"/>
    <w:uiPriority w:val="9"/>
    <w:semiHidden/>
    <w:unhideWhenUsed/>
    <w:qFormat/>
    <w:rsid w:val="00E9620E"/>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4B8B"/>
    <w:rPr>
      <w:sz w:val="16"/>
      <w:szCs w:val="16"/>
    </w:rPr>
  </w:style>
  <w:style w:type="paragraph" w:styleId="CommentText">
    <w:name w:val="annotation text"/>
    <w:basedOn w:val="Normal"/>
    <w:link w:val="CommentTextChar"/>
    <w:uiPriority w:val="99"/>
    <w:semiHidden/>
    <w:unhideWhenUsed/>
    <w:rsid w:val="001B4B8B"/>
    <w:pPr>
      <w:spacing w:line="240" w:lineRule="auto"/>
    </w:pPr>
    <w:rPr>
      <w:sz w:val="20"/>
      <w:szCs w:val="20"/>
    </w:rPr>
  </w:style>
  <w:style w:type="character" w:customStyle="1" w:styleId="CommentTextChar">
    <w:name w:val="Comment Text Char"/>
    <w:basedOn w:val="DefaultParagraphFont"/>
    <w:link w:val="CommentText"/>
    <w:uiPriority w:val="99"/>
    <w:semiHidden/>
    <w:rsid w:val="001B4B8B"/>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1B4B8B"/>
    <w:rPr>
      <w:b/>
      <w:bCs/>
    </w:rPr>
  </w:style>
  <w:style w:type="character" w:customStyle="1" w:styleId="CommentSubjectChar">
    <w:name w:val="Comment Subject Char"/>
    <w:basedOn w:val="CommentTextChar"/>
    <w:link w:val="CommentSubject"/>
    <w:uiPriority w:val="99"/>
    <w:semiHidden/>
    <w:rsid w:val="001B4B8B"/>
    <w:rPr>
      <w:rFonts w:eastAsiaTheme="minorEastAsia"/>
      <w:b/>
      <w:bCs/>
      <w:sz w:val="20"/>
      <w:szCs w:val="20"/>
      <w:lang w:eastAsia="zh-CN"/>
    </w:rPr>
  </w:style>
  <w:style w:type="paragraph" w:styleId="BalloonText">
    <w:name w:val="Balloon Text"/>
    <w:basedOn w:val="Normal"/>
    <w:link w:val="BalloonTextChar"/>
    <w:uiPriority w:val="99"/>
    <w:semiHidden/>
    <w:unhideWhenUsed/>
    <w:rsid w:val="001B4B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B8B"/>
    <w:rPr>
      <w:rFonts w:ascii="Segoe UI" w:eastAsiaTheme="minorEastAsia" w:hAnsi="Segoe UI" w:cs="Segoe UI"/>
      <w:sz w:val="18"/>
      <w:szCs w:val="18"/>
      <w:lang w:eastAsia="zh-CN"/>
    </w:rPr>
  </w:style>
  <w:style w:type="paragraph" w:styleId="Title">
    <w:name w:val="Title"/>
    <w:basedOn w:val="Normal"/>
    <w:next w:val="Normal"/>
    <w:link w:val="TitleChar"/>
    <w:uiPriority w:val="10"/>
    <w:qFormat/>
    <w:rsid w:val="003071D4"/>
    <w:pPr>
      <w:pBdr>
        <w:bottom w:val="single" w:sz="8" w:space="4" w:color="5B9BD5" w:themeColor="accent1"/>
      </w:pBdr>
      <w:spacing w:after="300" w:line="240" w:lineRule="auto"/>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071D4"/>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Heading1Char">
    <w:name w:val="Heading 1 Char"/>
    <w:basedOn w:val="DefaultParagraphFont"/>
    <w:link w:val="Heading1"/>
    <w:uiPriority w:val="9"/>
    <w:rsid w:val="004F62F6"/>
    <w:rPr>
      <w:rFonts w:eastAsiaTheme="majorEastAsia" w:cstheme="minorHAnsi"/>
      <w:b/>
      <w:bCs/>
      <w:lang w:eastAsia="zh-CN"/>
    </w:rPr>
  </w:style>
  <w:style w:type="character" w:customStyle="1" w:styleId="Heading2Char">
    <w:name w:val="Heading 2 Char"/>
    <w:basedOn w:val="DefaultParagraphFont"/>
    <w:link w:val="Heading2"/>
    <w:uiPriority w:val="9"/>
    <w:rsid w:val="00852941"/>
    <w:rPr>
      <w:rFonts w:eastAsiaTheme="majorEastAsia" w:cstheme="minorHAnsi"/>
      <w:b/>
      <w:bCs/>
      <w:lang w:eastAsia="zh-CN"/>
    </w:rPr>
  </w:style>
  <w:style w:type="character" w:customStyle="1" w:styleId="Heading3Char">
    <w:name w:val="Heading 3 Char"/>
    <w:basedOn w:val="DefaultParagraphFont"/>
    <w:link w:val="Heading3"/>
    <w:uiPriority w:val="9"/>
    <w:rsid w:val="00852941"/>
    <w:rPr>
      <w:rFonts w:eastAsiaTheme="majorEastAsia" w:cstheme="minorHAnsi"/>
      <w:b/>
      <w:bCs/>
      <w:i/>
      <w:lang w:eastAsia="zh-CN"/>
    </w:rPr>
  </w:style>
  <w:style w:type="paragraph" w:customStyle="1" w:styleId="EndNoteBibliographyTitle">
    <w:name w:val="EndNote Bibliography Title"/>
    <w:basedOn w:val="Normal"/>
    <w:link w:val="EndNoteBibliographyTitleChar"/>
    <w:rsid w:val="00CF5860"/>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F5860"/>
    <w:rPr>
      <w:rFonts w:ascii="Calibri" w:eastAsiaTheme="minorEastAsia" w:hAnsi="Calibri" w:cs="Calibri"/>
      <w:noProof/>
      <w:lang w:eastAsia="zh-CN"/>
    </w:rPr>
  </w:style>
  <w:style w:type="paragraph" w:customStyle="1" w:styleId="EndNoteBibliography">
    <w:name w:val="EndNote Bibliography"/>
    <w:basedOn w:val="Normal"/>
    <w:link w:val="EndNoteBibliographyChar"/>
    <w:rsid w:val="00CF586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F5860"/>
    <w:rPr>
      <w:rFonts w:ascii="Calibri" w:eastAsiaTheme="minorEastAsia" w:hAnsi="Calibri" w:cs="Calibri"/>
      <w:noProof/>
      <w:lang w:eastAsia="zh-CN"/>
    </w:rPr>
  </w:style>
  <w:style w:type="character" w:styleId="Hyperlink">
    <w:name w:val="Hyperlink"/>
    <w:basedOn w:val="DefaultParagraphFont"/>
    <w:uiPriority w:val="99"/>
    <w:unhideWhenUsed/>
    <w:rsid w:val="00CF5860"/>
    <w:rPr>
      <w:color w:val="0563C1" w:themeColor="hyperlink"/>
      <w:u w:val="single"/>
    </w:rPr>
  </w:style>
  <w:style w:type="paragraph" w:styleId="ListParagraph">
    <w:name w:val="List Paragraph"/>
    <w:basedOn w:val="Normal"/>
    <w:uiPriority w:val="34"/>
    <w:qFormat/>
    <w:rsid w:val="00E9620E"/>
    <w:pPr>
      <w:ind w:left="720"/>
    </w:pPr>
  </w:style>
  <w:style w:type="character" w:customStyle="1" w:styleId="Heading6Char">
    <w:name w:val="Heading 6 Char"/>
    <w:basedOn w:val="DefaultParagraphFont"/>
    <w:link w:val="Heading6"/>
    <w:uiPriority w:val="9"/>
    <w:semiHidden/>
    <w:rsid w:val="00E9620E"/>
    <w:rPr>
      <w:rFonts w:asciiTheme="majorHAnsi" w:eastAsiaTheme="majorEastAsia" w:hAnsiTheme="majorHAnsi" w:cstheme="majorBidi"/>
      <w:color w:val="1F4D78" w:themeColor="accent1" w:themeShade="7F"/>
      <w:lang w:eastAsia="zh-CN"/>
    </w:rPr>
  </w:style>
  <w:style w:type="table" w:styleId="TableGrid">
    <w:name w:val="Table Grid"/>
    <w:basedOn w:val="TableNormal"/>
    <w:uiPriority w:val="39"/>
    <w:rsid w:val="00BF3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7ACF"/>
    <w:pPr>
      <w:tabs>
        <w:tab w:val="center" w:pos="4513"/>
        <w:tab w:val="right" w:pos="9026"/>
      </w:tabs>
      <w:spacing w:line="240" w:lineRule="auto"/>
    </w:pPr>
  </w:style>
  <w:style w:type="character" w:customStyle="1" w:styleId="HeaderChar">
    <w:name w:val="Header Char"/>
    <w:basedOn w:val="DefaultParagraphFont"/>
    <w:link w:val="Header"/>
    <w:uiPriority w:val="99"/>
    <w:rsid w:val="00687ACF"/>
    <w:rPr>
      <w:rFonts w:eastAsiaTheme="minorEastAsia"/>
      <w:lang w:eastAsia="zh-CN"/>
    </w:rPr>
  </w:style>
  <w:style w:type="paragraph" w:styleId="Footer">
    <w:name w:val="footer"/>
    <w:basedOn w:val="Normal"/>
    <w:link w:val="FooterChar"/>
    <w:uiPriority w:val="99"/>
    <w:unhideWhenUsed/>
    <w:rsid w:val="00687ACF"/>
    <w:pPr>
      <w:tabs>
        <w:tab w:val="center" w:pos="4513"/>
        <w:tab w:val="right" w:pos="9026"/>
      </w:tabs>
      <w:spacing w:line="240" w:lineRule="auto"/>
    </w:pPr>
  </w:style>
  <w:style w:type="character" w:customStyle="1" w:styleId="FooterChar">
    <w:name w:val="Footer Char"/>
    <w:basedOn w:val="DefaultParagraphFont"/>
    <w:link w:val="Footer"/>
    <w:uiPriority w:val="99"/>
    <w:rsid w:val="00687ACF"/>
    <w:rPr>
      <w:rFonts w:eastAsiaTheme="minorEastAsia"/>
      <w:lang w:eastAsia="zh-CN"/>
    </w:rPr>
  </w:style>
  <w:style w:type="paragraph" w:styleId="NoSpacing">
    <w:name w:val="No Spacing"/>
    <w:uiPriority w:val="1"/>
    <w:qFormat/>
    <w:rsid w:val="004F62F6"/>
    <w:pPr>
      <w:spacing w:after="0" w:line="276" w:lineRule="auto"/>
      <w:contextualSpacing/>
    </w:pPr>
    <w:rPr>
      <w:rFonts w:eastAsiaTheme="minorEastAsia"/>
      <w:lang w:eastAsia="zh-CN"/>
    </w:rPr>
  </w:style>
  <w:style w:type="character" w:customStyle="1" w:styleId="Heading4Char">
    <w:name w:val="Heading 4 Char"/>
    <w:basedOn w:val="DefaultParagraphFont"/>
    <w:link w:val="Heading4"/>
    <w:uiPriority w:val="9"/>
    <w:rsid w:val="002F4465"/>
    <w:rPr>
      <w:rFonts w:eastAsiaTheme="minorEastAsia" w:cstheme="minorHAnsi"/>
      <w:b/>
      <w:lang w:eastAsia="zh-CN"/>
    </w:rPr>
  </w:style>
  <w:style w:type="character" w:customStyle="1" w:styleId="UnresolvedMention1">
    <w:name w:val="Unresolved Mention1"/>
    <w:basedOn w:val="DefaultParagraphFont"/>
    <w:uiPriority w:val="99"/>
    <w:semiHidden/>
    <w:unhideWhenUsed/>
    <w:rsid w:val="00CB5ADF"/>
    <w:rPr>
      <w:color w:val="605E5C"/>
      <w:shd w:val="clear" w:color="auto" w:fill="E1DFDD"/>
    </w:rPr>
  </w:style>
  <w:style w:type="character" w:customStyle="1" w:styleId="UnresolvedMention2">
    <w:name w:val="Unresolved Mention2"/>
    <w:basedOn w:val="DefaultParagraphFont"/>
    <w:uiPriority w:val="99"/>
    <w:semiHidden/>
    <w:unhideWhenUsed/>
    <w:rsid w:val="00BC4688"/>
    <w:rPr>
      <w:color w:val="605E5C"/>
      <w:shd w:val="clear" w:color="auto" w:fill="E1DFDD"/>
    </w:rPr>
  </w:style>
  <w:style w:type="paragraph" w:styleId="Revision">
    <w:name w:val="Revision"/>
    <w:hidden/>
    <w:uiPriority w:val="99"/>
    <w:semiHidden/>
    <w:rsid w:val="002152C4"/>
    <w:pPr>
      <w:spacing w:after="0" w:line="240" w:lineRule="auto"/>
    </w:pPr>
    <w:rPr>
      <w:rFonts w:eastAsiaTheme="minorEastAsia"/>
      <w:lang w:eastAsia="zh-CN"/>
    </w:rPr>
  </w:style>
  <w:style w:type="character" w:styleId="FollowedHyperlink">
    <w:name w:val="FollowedHyperlink"/>
    <w:basedOn w:val="DefaultParagraphFont"/>
    <w:uiPriority w:val="99"/>
    <w:semiHidden/>
    <w:unhideWhenUsed/>
    <w:rsid w:val="00996E9F"/>
    <w:rPr>
      <w:color w:val="954F72" w:themeColor="followedHyperlink"/>
      <w:u w:val="single"/>
    </w:rPr>
  </w:style>
  <w:style w:type="character" w:styleId="UnresolvedMention">
    <w:name w:val="Unresolved Mention"/>
    <w:basedOn w:val="DefaultParagraphFont"/>
    <w:uiPriority w:val="99"/>
    <w:semiHidden/>
    <w:unhideWhenUsed/>
    <w:rsid w:val="00996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86544">
      <w:bodyDiv w:val="1"/>
      <w:marLeft w:val="0"/>
      <w:marRight w:val="0"/>
      <w:marTop w:val="0"/>
      <w:marBottom w:val="0"/>
      <w:divBdr>
        <w:top w:val="none" w:sz="0" w:space="0" w:color="auto"/>
        <w:left w:val="none" w:sz="0" w:space="0" w:color="auto"/>
        <w:bottom w:val="none" w:sz="0" w:space="0" w:color="auto"/>
        <w:right w:val="none" w:sz="0" w:space="0" w:color="auto"/>
      </w:divBdr>
    </w:div>
    <w:div w:id="69623450">
      <w:bodyDiv w:val="1"/>
      <w:marLeft w:val="0"/>
      <w:marRight w:val="0"/>
      <w:marTop w:val="0"/>
      <w:marBottom w:val="0"/>
      <w:divBdr>
        <w:top w:val="none" w:sz="0" w:space="0" w:color="auto"/>
        <w:left w:val="none" w:sz="0" w:space="0" w:color="auto"/>
        <w:bottom w:val="none" w:sz="0" w:space="0" w:color="auto"/>
        <w:right w:val="none" w:sz="0" w:space="0" w:color="auto"/>
      </w:divBdr>
    </w:div>
    <w:div w:id="685715773">
      <w:bodyDiv w:val="1"/>
      <w:marLeft w:val="0"/>
      <w:marRight w:val="0"/>
      <w:marTop w:val="0"/>
      <w:marBottom w:val="0"/>
      <w:divBdr>
        <w:top w:val="none" w:sz="0" w:space="0" w:color="auto"/>
        <w:left w:val="none" w:sz="0" w:space="0" w:color="auto"/>
        <w:bottom w:val="none" w:sz="0" w:space="0" w:color="auto"/>
        <w:right w:val="none" w:sz="0" w:space="0" w:color="auto"/>
      </w:divBdr>
      <w:divsChild>
        <w:div w:id="297612373">
          <w:marLeft w:val="0"/>
          <w:marRight w:val="0"/>
          <w:marTop w:val="0"/>
          <w:marBottom w:val="0"/>
          <w:divBdr>
            <w:top w:val="none" w:sz="0" w:space="0" w:color="auto"/>
            <w:left w:val="none" w:sz="0" w:space="0" w:color="auto"/>
            <w:bottom w:val="none" w:sz="0" w:space="0" w:color="auto"/>
            <w:right w:val="none" w:sz="0" w:space="0" w:color="auto"/>
          </w:divBdr>
        </w:div>
      </w:divsChild>
    </w:div>
    <w:div w:id="12954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jopen.bmj.com/content/11/5/e044831"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imaging.mrc-cbu.cam.ac.uk/statswiki/FAQ/effectSize"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6EE34-3AE7-400B-B36A-FDE5BC4F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8838</Words>
  <Characters>55503</Characters>
  <Application>Microsoft Office Word</Application>
  <DocSecurity>0</DocSecurity>
  <Lines>1206</Lines>
  <Paragraphs>612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F.L.</dc:creator>
  <cp:keywords/>
  <dc:description/>
  <cp:lastModifiedBy>Flis Bishop</cp:lastModifiedBy>
  <cp:revision>4</cp:revision>
  <cp:lastPrinted>2019-05-20T12:36:00Z</cp:lastPrinted>
  <dcterms:created xsi:type="dcterms:W3CDTF">2021-05-21T10:57:00Z</dcterms:created>
  <dcterms:modified xsi:type="dcterms:W3CDTF">2021-05-21T11:05:00Z</dcterms:modified>
</cp:coreProperties>
</file>