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2F56C" w14:textId="77777777" w:rsidR="00C62D18" w:rsidRPr="002C29D2" w:rsidRDefault="00C62D18" w:rsidP="00C62D18">
      <w:pPr>
        <w:spacing w:line="480" w:lineRule="auto"/>
        <w:jc w:val="center"/>
        <w:rPr>
          <w:b/>
          <w:bCs/>
        </w:rPr>
      </w:pPr>
      <w:r w:rsidRPr="002C29D2">
        <w:rPr>
          <w:b/>
          <w:bCs/>
        </w:rPr>
        <w:t xml:space="preserve">Accelerating AI Adoption with Responsible AI </w:t>
      </w:r>
      <w:r w:rsidR="003403AF" w:rsidRPr="002C29D2">
        <w:rPr>
          <w:b/>
          <w:bCs/>
        </w:rPr>
        <w:t xml:space="preserve">Signals </w:t>
      </w:r>
      <w:r w:rsidRPr="002C29D2">
        <w:rPr>
          <w:b/>
          <w:bCs/>
        </w:rPr>
        <w:t xml:space="preserve">and Employee Engagement Mechanisms </w:t>
      </w:r>
      <w:r w:rsidR="002B1051" w:rsidRPr="002C29D2">
        <w:rPr>
          <w:b/>
          <w:bCs/>
        </w:rPr>
        <w:t>in Health Care</w:t>
      </w:r>
    </w:p>
    <w:p w14:paraId="28836C4E" w14:textId="77777777" w:rsidR="00E111EE" w:rsidRPr="002C29D2" w:rsidRDefault="00E111EE" w:rsidP="00E111EE">
      <w:pPr>
        <w:spacing w:line="360" w:lineRule="auto"/>
        <w:jc w:val="both"/>
        <w:rPr>
          <w:lang w:val="en-US"/>
        </w:rPr>
      </w:pPr>
      <w:r w:rsidRPr="002C29D2">
        <w:rPr>
          <w:lang w:val="en-US"/>
        </w:rPr>
        <w:t>Weisha Wang</w:t>
      </w:r>
    </w:p>
    <w:p w14:paraId="54DEA7C1" w14:textId="77777777" w:rsidR="00E111EE" w:rsidRPr="002C29D2" w:rsidRDefault="00E111EE" w:rsidP="00E111EE">
      <w:pPr>
        <w:spacing w:line="360" w:lineRule="auto"/>
        <w:jc w:val="both"/>
        <w:rPr>
          <w:lang w:val="en-US"/>
        </w:rPr>
      </w:pPr>
      <w:r w:rsidRPr="002C29D2">
        <w:rPr>
          <w:lang w:val="en-US"/>
        </w:rPr>
        <w:t>Southampton Business School, University of Southampton</w:t>
      </w:r>
    </w:p>
    <w:p w14:paraId="7CD67286" w14:textId="77777777" w:rsidR="00E111EE" w:rsidRPr="002C29D2" w:rsidRDefault="00E111EE" w:rsidP="00E111EE">
      <w:pPr>
        <w:spacing w:line="360" w:lineRule="auto"/>
        <w:jc w:val="both"/>
        <w:rPr>
          <w:lang w:val="en-US"/>
        </w:rPr>
      </w:pPr>
      <w:r w:rsidRPr="002C29D2">
        <w:rPr>
          <w:lang w:val="en-US"/>
        </w:rPr>
        <w:t>Highfield, Southampton SO17 1BJ, United Kingdom</w:t>
      </w:r>
    </w:p>
    <w:p w14:paraId="49F46F99" w14:textId="77777777" w:rsidR="00E111EE" w:rsidRPr="002C29D2" w:rsidRDefault="00E111EE" w:rsidP="00E111EE">
      <w:pPr>
        <w:spacing w:line="360" w:lineRule="auto"/>
        <w:jc w:val="both"/>
        <w:rPr>
          <w:lang w:val="en-US"/>
        </w:rPr>
      </w:pPr>
      <w:r w:rsidRPr="002C29D2">
        <w:rPr>
          <w:lang w:val="en-US"/>
        </w:rPr>
        <w:t xml:space="preserve">Email: </w:t>
      </w:r>
      <w:hyperlink r:id="rId8" w:history="1">
        <w:r w:rsidRPr="002C29D2">
          <w:rPr>
            <w:rStyle w:val="Hyperlink"/>
            <w:color w:val="auto"/>
            <w:lang w:val="en-US"/>
          </w:rPr>
          <w:t>weisha.wang@soton.ac.uk</w:t>
        </w:r>
      </w:hyperlink>
    </w:p>
    <w:p w14:paraId="416A103B" w14:textId="77777777" w:rsidR="00E111EE" w:rsidRPr="002C29D2" w:rsidRDefault="00E111EE" w:rsidP="00E111EE">
      <w:pPr>
        <w:spacing w:line="360" w:lineRule="auto"/>
        <w:jc w:val="both"/>
        <w:rPr>
          <w:lang w:val="en-US"/>
        </w:rPr>
      </w:pPr>
    </w:p>
    <w:p w14:paraId="1CFD847F" w14:textId="77777777" w:rsidR="00E111EE" w:rsidRPr="002C29D2" w:rsidRDefault="00E111EE" w:rsidP="00E111EE">
      <w:pPr>
        <w:spacing w:line="360" w:lineRule="auto"/>
        <w:jc w:val="both"/>
      </w:pPr>
      <w:r w:rsidRPr="002C29D2">
        <w:rPr>
          <w:lang w:val="en-US"/>
        </w:rPr>
        <w:t xml:space="preserve">Long Chen </w:t>
      </w:r>
    </w:p>
    <w:p w14:paraId="44D0C68A" w14:textId="77777777" w:rsidR="00E111EE" w:rsidRPr="002C29D2" w:rsidRDefault="00E111EE" w:rsidP="00E111EE">
      <w:pPr>
        <w:spacing w:line="360" w:lineRule="auto"/>
        <w:jc w:val="both"/>
        <w:rPr>
          <w:lang w:val="en-US"/>
        </w:rPr>
      </w:pPr>
      <w:r w:rsidRPr="002C29D2">
        <w:rPr>
          <w:lang w:val="en-US"/>
        </w:rPr>
        <w:t>Southampton Business School, University of Southampton</w:t>
      </w:r>
    </w:p>
    <w:p w14:paraId="185D8423" w14:textId="77777777" w:rsidR="00E111EE" w:rsidRPr="002C29D2" w:rsidRDefault="00E111EE" w:rsidP="00E111EE">
      <w:pPr>
        <w:spacing w:line="360" w:lineRule="auto"/>
        <w:jc w:val="both"/>
        <w:rPr>
          <w:lang w:val="en-US"/>
        </w:rPr>
      </w:pPr>
      <w:r w:rsidRPr="002C29D2">
        <w:rPr>
          <w:lang w:val="en-US"/>
        </w:rPr>
        <w:t>Highfield, Southampton SO17 1BJ, United Kingdom</w:t>
      </w:r>
    </w:p>
    <w:p w14:paraId="56A2EAAF" w14:textId="77777777" w:rsidR="00E111EE" w:rsidRPr="002C29D2" w:rsidRDefault="00E111EE" w:rsidP="00E111EE">
      <w:pPr>
        <w:spacing w:line="360" w:lineRule="auto"/>
        <w:jc w:val="both"/>
        <w:rPr>
          <w:lang w:val="en-US"/>
        </w:rPr>
      </w:pPr>
      <w:r w:rsidRPr="002C29D2">
        <w:rPr>
          <w:lang w:val="en-US"/>
        </w:rPr>
        <w:t xml:space="preserve">Email: </w:t>
      </w:r>
      <w:hyperlink r:id="rId9" w:history="1">
        <w:r w:rsidRPr="002C29D2">
          <w:rPr>
            <w:rStyle w:val="Hyperlink"/>
            <w:color w:val="auto"/>
            <w:lang w:val="en-US"/>
          </w:rPr>
          <w:t>long.chen@soton.ac.uk</w:t>
        </w:r>
      </w:hyperlink>
    </w:p>
    <w:p w14:paraId="43122FB7" w14:textId="77777777" w:rsidR="00E111EE" w:rsidRPr="002C29D2" w:rsidRDefault="00E111EE" w:rsidP="00E111EE">
      <w:pPr>
        <w:spacing w:line="360" w:lineRule="auto"/>
        <w:jc w:val="both"/>
        <w:rPr>
          <w:lang w:val="en-US"/>
        </w:rPr>
      </w:pPr>
    </w:p>
    <w:p w14:paraId="2BBD47CA" w14:textId="77777777" w:rsidR="00E111EE" w:rsidRPr="002C29D2" w:rsidRDefault="00E111EE" w:rsidP="00E111EE">
      <w:pPr>
        <w:spacing w:line="360" w:lineRule="auto"/>
        <w:jc w:val="both"/>
        <w:rPr>
          <w:lang w:val="en-US"/>
        </w:rPr>
      </w:pPr>
      <w:r w:rsidRPr="002C29D2">
        <w:rPr>
          <w:lang w:val="en-US"/>
        </w:rPr>
        <w:t>Mengran Xiong</w:t>
      </w:r>
    </w:p>
    <w:p w14:paraId="1777CEBA" w14:textId="77777777" w:rsidR="00E111EE" w:rsidRPr="002C29D2" w:rsidRDefault="00E111EE" w:rsidP="00E111EE">
      <w:pPr>
        <w:spacing w:line="360" w:lineRule="auto"/>
        <w:jc w:val="both"/>
        <w:rPr>
          <w:lang w:val="en-US"/>
        </w:rPr>
      </w:pPr>
      <w:r w:rsidRPr="002C29D2">
        <w:rPr>
          <w:lang w:val="en-US"/>
        </w:rPr>
        <w:t>Sheffield University Management School, University of Sheffield</w:t>
      </w:r>
    </w:p>
    <w:p w14:paraId="6A426DD7" w14:textId="77777777" w:rsidR="00E111EE" w:rsidRPr="002C29D2" w:rsidRDefault="00E111EE" w:rsidP="00E111EE">
      <w:pPr>
        <w:spacing w:line="360" w:lineRule="auto"/>
        <w:jc w:val="both"/>
        <w:rPr>
          <w:lang w:val="en-US"/>
        </w:rPr>
      </w:pPr>
      <w:r w:rsidRPr="002C29D2">
        <w:rPr>
          <w:lang w:val="en-US"/>
        </w:rPr>
        <w:t>Conduit Rd, Sheffield S10 1FL United Kingdom</w:t>
      </w:r>
    </w:p>
    <w:p w14:paraId="117CBAC2" w14:textId="77777777" w:rsidR="00E111EE" w:rsidRPr="002C29D2" w:rsidRDefault="00E111EE" w:rsidP="00E111EE">
      <w:pPr>
        <w:spacing w:line="360" w:lineRule="auto"/>
        <w:jc w:val="both"/>
        <w:rPr>
          <w:lang w:val="en-US"/>
        </w:rPr>
      </w:pPr>
      <w:r w:rsidRPr="002C29D2">
        <w:rPr>
          <w:lang w:val="en-US"/>
        </w:rPr>
        <w:t>Email:</w:t>
      </w:r>
      <w:r w:rsidRPr="002C29D2">
        <w:t xml:space="preserve"> </w:t>
      </w:r>
      <w:hyperlink r:id="rId10" w:history="1">
        <w:r w:rsidRPr="002C29D2">
          <w:rPr>
            <w:rStyle w:val="Hyperlink"/>
            <w:color w:val="auto"/>
            <w:lang w:val="en-US"/>
          </w:rPr>
          <w:t>mxiong5@sheffield.ac.uk</w:t>
        </w:r>
      </w:hyperlink>
    </w:p>
    <w:p w14:paraId="79155C4C" w14:textId="77777777" w:rsidR="00E111EE" w:rsidRPr="002C29D2" w:rsidRDefault="00E111EE" w:rsidP="00E111EE">
      <w:pPr>
        <w:spacing w:line="360" w:lineRule="auto"/>
        <w:jc w:val="both"/>
        <w:rPr>
          <w:lang w:val="en-US"/>
        </w:rPr>
      </w:pPr>
    </w:p>
    <w:p w14:paraId="4382B5D0" w14:textId="77777777" w:rsidR="00E111EE" w:rsidRPr="002C29D2" w:rsidRDefault="00E111EE" w:rsidP="00E111EE">
      <w:pPr>
        <w:spacing w:line="360" w:lineRule="auto"/>
        <w:jc w:val="both"/>
        <w:rPr>
          <w:lang w:val="en-US"/>
        </w:rPr>
      </w:pPr>
      <w:r w:rsidRPr="002C29D2">
        <w:rPr>
          <w:lang w:val="en-US"/>
        </w:rPr>
        <w:t>Yichuan Wang*</w:t>
      </w:r>
    </w:p>
    <w:p w14:paraId="0885BD1D" w14:textId="77777777" w:rsidR="00E111EE" w:rsidRPr="002C29D2" w:rsidRDefault="00E111EE" w:rsidP="00E111EE">
      <w:pPr>
        <w:spacing w:line="360" w:lineRule="auto"/>
        <w:jc w:val="both"/>
        <w:rPr>
          <w:lang w:val="en-US"/>
        </w:rPr>
      </w:pPr>
      <w:r w:rsidRPr="002C29D2">
        <w:rPr>
          <w:lang w:val="en-US"/>
        </w:rPr>
        <w:t>Sheffield University Management School, University of Sheffield</w:t>
      </w:r>
    </w:p>
    <w:p w14:paraId="0DB4BF21" w14:textId="77777777" w:rsidR="00E111EE" w:rsidRPr="002C29D2" w:rsidRDefault="00E111EE" w:rsidP="00E111EE">
      <w:pPr>
        <w:spacing w:line="360" w:lineRule="auto"/>
        <w:jc w:val="both"/>
        <w:rPr>
          <w:lang w:val="en-US"/>
        </w:rPr>
      </w:pPr>
      <w:r w:rsidRPr="002C29D2">
        <w:rPr>
          <w:lang w:val="en-US"/>
        </w:rPr>
        <w:t>Conduit Rd, Sheffield S10 1FL United Kingdom</w:t>
      </w:r>
    </w:p>
    <w:p w14:paraId="6A15144D" w14:textId="77777777" w:rsidR="00E111EE" w:rsidRPr="002C29D2" w:rsidRDefault="00E111EE" w:rsidP="00E111EE">
      <w:pPr>
        <w:spacing w:line="360" w:lineRule="auto"/>
        <w:jc w:val="both"/>
        <w:rPr>
          <w:lang w:val="en-US"/>
        </w:rPr>
      </w:pPr>
      <w:r w:rsidRPr="002C29D2">
        <w:rPr>
          <w:lang w:val="en-US"/>
        </w:rPr>
        <w:t>Email:</w:t>
      </w:r>
      <w:r w:rsidRPr="002C29D2">
        <w:t xml:space="preserve"> </w:t>
      </w:r>
      <w:hyperlink r:id="rId11" w:history="1">
        <w:r w:rsidRPr="002C29D2">
          <w:rPr>
            <w:rStyle w:val="Hyperlink"/>
            <w:color w:val="auto"/>
            <w:lang w:val="en-US"/>
          </w:rPr>
          <w:t>yichuan.wang@sheffield.ac.uk</w:t>
        </w:r>
      </w:hyperlink>
    </w:p>
    <w:p w14:paraId="45B8BA78" w14:textId="77777777" w:rsidR="00E111EE" w:rsidRPr="002C29D2" w:rsidRDefault="00E111EE" w:rsidP="00E111EE">
      <w:pPr>
        <w:spacing w:line="360" w:lineRule="auto"/>
        <w:jc w:val="both"/>
        <w:rPr>
          <w:lang w:val="en-US"/>
        </w:rPr>
      </w:pPr>
    </w:p>
    <w:p w14:paraId="5AD66808" w14:textId="77777777" w:rsidR="00E111EE" w:rsidRPr="002C29D2" w:rsidRDefault="00E111EE" w:rsidP="00E111EE">
      <w:pPr>
        <w:spacing w:line="360" w:lineRule="auto"/>
        <w:jc w:val="both"/>
        <w:rPr>
          <w:lang w:val="en-US"/>
        </w:rPr>
      </w:pPr>
      <w:r w:rsidRPr="002C29D2">
        <w:rPr>
          <w:lang w:val="en-US"/>
        </w:rPr>
        <w:t>* corresponding Author</w:t>
      </w:r>
    </w:p>
    <w:p w14:paraId="05CDFC24" w14:textId="2C0B7A77" w:rsidR="00C62D18" w:rsidRPr="002C29D2" w:rsidRDefault="00C62D18" w:rsidP="0094374C">
      <w:pPr>
        <w:spacing w:line="480" w:lineRule="auto"/>
        <w:jc w:val="both"/>
        <w:rPr>
          <w:b/>
          <w:bCs/>
          <w:lang w:val="en-US"/>
        </w:rPr>
      </w:pPr>
    </w:p>
    <w:p w14:paraId="4F660424" w14:textId="17B9BBE9" w:rsidR="00E111EE" w:rsidRPr="002C29D2" w:rsidRDefault="00E111EE" w:rsidP="0094374C">
      <w:pPr>
        <w:spacing w:line="480" w:lineRule="auto"/>
        <w:jc w:val="both"/>
        <w:rPr>
          <w:b/>
          <w:bCs/>
          <w:lang w:val="en-US"/>
        </w:rPr>
      </w:pPr>
    </w:p>
    <w:p w14:paraId="4B6AA386" w14:textId="55102944" w:rsidR="00E111EE" w:rsidRPr="002C29D2" w:rsidRDefault="00E111EE" w:rsidP="0094374C">
      <w:pPr>
        <w:spacing w:line="480" w:lineRule="auto"/>
        <w:jc w:val="both"/>
        <w:rPr>
          <w:b/>
          <w:bCs/>
          <w:lang w:val="en-US"/>
        </w:rPr>
      </w:pPr>
    </w:p>
    <w:p w14:paraId="680BEA85" w14:textId="2C30E1D6" w:rsidR="00E111EE" w:rsidRPr="002C29D2" w:rsidRDefault="00E111EE" w:rsidP="0094374C">
      <w:pPr>
        <w:spacing w:line="480" w:lineRule="auto"/>
        <w:jc w:val="both"/>
        <w:rPr>
          <w:b/>
          <w:bCs/>
          <w:lang w:val="en-US"/>
        </w:rPr>
      </w:pPr>
    </w:p>
    <w:p w14:paraId="6A548955" w14:textId="482583BB" w:rsidR="00E111EE" w:rsidRPr="002C29D2" w:rsidRDefault="00E111EE" w:rsidP="0094374C">
      <w:pPr>
        <w:spacing w:line="480" w:lineRule="auto"/>
        <w:jc w:val="both"/>
        <w:rPr>
          <w:b/>
          <w:bCs/>
          <w:lang w:val="en-US"/>
        </w:rPr>
      </w:pPr>
    </w:p>
    <w:p w14:paraId="623B6E74" w14:textId="1D0949F6" w:rsidR="00E111EE" w:rsidRPr="002C29D2" w:rsidRDefault="00E111EE" w:rsidP="0094374C">
      <w:pPr>
        <w:spacing w:line="480" w:lineRule="auto"/>
        <w:jc w:val="both"/>
        <w:rPr>
          <w:b/>
          <w:bCs/>
          <w:lang w:val="en-US"/>
        </w:rPr>
      </w:pPr>
    </w:p>
    <w:p w14:paraId="0867127A" w14:textId="753C76F5" w:rsidR="00E111EE" w:rsidRPr="002C29D2" w:rsidRDefault="00E111EE" w:rsidP="0094374C">
      <w:pPr>
        <w:spacing w:line="480" w:lineRule="auto"/>
        <w:jc w:val="both"/>
        <w:rPr>
          <w:b/>
          <w:bCs/>
          <w:lang w:val="en-US"/>
        </w:rPr>
      </w:pPr>
    </w:p>
    <w:p w14:paraId="2BAC8E64" w14:textId="15DF4FB3" w:rsidR="00E111EE" w:rsidRPr="002C29D2" w:rsidRDefault="00E111EE" w:rsidP="0094374C">
      <w:pPr>
        <w:spacing w:line="480" w:lineRule="auto"/>
        <w:jc w:val="both"/>
        <w:rPr>
          <w:b/>
          <w:bCs/>
          <w:lang w:val="en-US"/>
        </w:rPr>
      </w:pPr>
    </w:p>
    <w:p w14:paraId="33013070" w14:textId="1A114DC1" w:rsidR="00E111EE" w:rsidRPr="002C29D2" w:rsidRDefault="00E111EE" w:rsidP="00E111EE">
      <w:pPr>
        <w:spacing w:line="480" w:lineRule="auto"/>
        <w:jc w:val="center"/>
        <w:rPr>
          <w:b/>
          <w:bCs/>
        </w:rPr>
      </w:pPr>
      <w:r w:rsidRPr="002C29D2">
        <w:rPr>
          <w:b/>
          <w:bCs/>
        </w:rPr>
        <w:lastRenderedPageBreak/>
        <w:t>Accelerating AI Adoption with Responsible AI Signals and Employee Engagement Mechanisms in Health Care</w:t>
      </w:r>
    </w:p>
    <w:p w14:paraId="1635E364" w14:textId="77777777" w:rsidR="00E111EE" w:rsidRPr="002C29D2" w:rsidRDefault="00E111EE" w:rsidP="0094374C">
      <w:pPr>
        <w:spacing w:line="480" w:lineRule="auto"/>
        <w:jc w:val="both"/>
        <w:rPr>
          <w:b/>
          <w:bCs/>
          <w:lang w:val="en-US"/>
        </w:rPr>
      </w:pPr>
    </w:p>
    <w:p w14:paraId="4A4EA4A1" w14:textId="77777777" w:rsidR="0094374C" w:rsidRPr="002C29D2" w:rsidRDefault="0094374C" w:rsidP="0094374C">
      <w:pPr>
        <w:spacing w:line="480" w:lineRule="auto"/>
        <w:jc w:val="both"/>
        <w:rPr>
          <w:b/>
          <w:bCs/>
        </w:rPr>
      </w:pPr>
      <w:r w:rsidRPr="002C29D2">
        <w:rPr>
          <w:b/>
          <w:bCs/>
        </w:rPr>
        <w:t>Abstract</w:t>
      </w:r>
    </w:p>
    <w:p w14:paraId="460E8D21" w14:textId="6A5CE26F" w:rsidR="0094374C" w:rsidRPr="002C29D2" w:rsidRDefault="0094374C" w:rsidP="0094374C">
      <w:pPr>
        <w:spacing w:line="480" w:lineRule="auto"/>
        <w:jc w:val="both"/>
      </w:pPr>
      <w:r w:rsidRPr="002C29D2">
        <w:t>Artificial Intelligence (AI) t</w:t>
      </w:r>
      <w:r w:rsidR="0035328B" w:rsidRPr="002C29D2">
        <w:t>echnology is</w:t>
      </w:r>
      <w:r w:rsidRPr="002C29D2">
        <w:t xml:space="preserve"> transforming the healthcare sector. </w:t>
      </w:r>
      <w:r w:rsidR="00761D6B" w:rsidRPr="002C29D2">
        <w:t>However, d</w:t>
      </w:r>
      <w:r w:rsidRPr="002C29D2">
        <w:t xml:space="preserve">espite </w:t>
      </w:r>
      <w:r w:rsidR="003A4F82" w:rsidRPr="002C29D2">
        <w:t>this</w:t>
      </w:r>
      <w:r w:rsidR="006E45CA" w:rsidRPr="002C29D2">
        <w:t>, the</w:t>
      </w:r>
      <w:r w:rsidRPr="002C29D2">
        <w:t xml:space="preserve"> </w:t>
      </w:r>
      <w:r w:rsidR="003A4F82" w:rsidRPr="002C29D2">
        <w:t xml:space="preserve">associated </w:t>
      </w:r>
      <w:r w:rsidRPr="002C29D2">
        <w:t xml:space="preserve">ethical implications remain </w:t>
      </w:r>
      <w:r w:rsidR="00761D6B" w:rsidRPr="002C29D2">
        <w:t xml:space="preserve">open to </w:t>
      </w:r>
      <w:r w:rsidRPr="002C29D2">
        <w:t xml:space="preserve">debate. This </w:t>
      </w:r>
      <w:r w:rsidR="005D2DE3" w:rsidRPr="002C29D2">
        <w:t>research</w:t>
      </w:r>
      <w:r w:rsidRPr="002C29D2">
        <w:t xml:space="preserve"> investigates how </w:t>
      </w:r>
      <w:r w:rsidR="003A4F82" w:rsidRPr="002C29D2">
        <w:t xml:space="preserve">signals of AI </w:t>
      </w:r>
      <w:r w:rsidRPr="002C29D2">
        <w:t>responsib</w:t>
      </w:r>
      <w:r w:rsidR="003A4F82" w:rsidRPr="002C29D2">
        <w:t>i</w:t>
      </w:r>
      <w:r w:rsidRPr="002C29D2">
        <w:t>l</w:t>
      </w:r>
      <w:r w:rsidR="003A4F82" w:rsidRPr="002C29D2">
        <w:t>ity</w:t>
      </w:r>
      <w:r w:rsidRPr="002C29D2">
        <w:t xml:space="preserve"> impact healthcare practitioners’ attitudes toward AI, satisfaction</w:t>
      </w:r>
      <w:r w:rsidR="00465AFB" w:rsidRPr="002C29D2">
        <w:t xml:space="preserve"> with AI</w:t>
      </w:r>
      <w:r w:rsidRPr="002C29D2">
        <w:t xml:space="preserve">, </w:t>
      </w:r>
      <w:r w:rsidR="003A4F82" w:rsidRPr="002C29D2">
        <w:t xml:space="preserve">AI </w:t>
      </w:r>
      <w:r w:rsidRPr="002C29D2">
        <w:t>usage intention</w:t>
      </w:r>
      <w:r w:rsidR="003A4F82" w:rsidRPr="002C29D2">
        <w:t>s</w:t>
      </w:r>
      <w:r w:rsidRPr="002C29D2">
        <w:t xml:space="preserve">, </w:t>
      </w:r>
      <w:r w:rsidR="00465AFB" w:rsidRPr="002C29D2">
        <w:t xml:space="preserve">including </w:t>
      </w:r>
      <w:r w:rsidRPr="002C29D2">
        <w:t>the underlying mechanism</w:t>
      </w:r>
      <w:r w:rsidR="00465AFB" w:rsidRPr="002C29D2">
        <w:t>s</w:t>
      </w:r>
      <w:r w:rsidRPr="002C29D2">
        <w:t xml:space="preserve">. Our research outlines autonomy, beneficence, explainability, justice, and non-maleficence as the five key </w:t>
      </w:r>
      <w:r w:rsidR="003A4F82" w:rsidRPr="002C29D2">
        <w:t xml:space="preserve">signals of AI </w:t>
      </w:r>
      <w:r w:rsidRPr="002C29D2">
        <w:t>responsib</w:t>
      </w:r>
      <w:r w:rsidR="003A4F82" w:rsidRPr="002C29D2">
        <w:t>i</w:t>
      </w:r>
      <w:r w:rsidRPr="002C29D2">
        <w:t>l</w:t>
      </w:r>
      <w:r w:rsidR="003A4F82" w:rsidRPr="002C29D2">
        <w:t>ity</w:t>
      </w:r>
      <w:r w:rsidRPr="002C29D2">
        <w:t xml:space="preserve"> for healthcare practitioners. The findings reveal that </w:t>
      </w:r>
      <w:r w:rsidR="00761D6B" w:rsidRPr="002C29D2">
        <w:t xml:space="preserve">these five </w:t>
      </w:r>
      <w:r w:rsidR="006E45CA" w:rsidRPr="002C29D2">
        <w:t>signals significantly</w:t>
      </w:r>
      <w:r w:rsidRPr="002C29D2">
        <w:t xml:space="preserve"> increase healthcare practitioners’ engagement, which subsequently lead</w:t>
      </w:r>
      <w:r w:rsidR="003A4F82" w:rsidRPr="002C29D2">
        <w:t>s</w:t>
      </w:r>
      <w:r w:rsidRPr="002C29D2">
        <w:t xml:space="preserve"> to </w:t>
      </w:r>
      <w:r w:rsidR="00761D6B" w:rsidRPr="002C29D2">
        <w:t xml:space="preserve">more </w:t>
      </w:r>
      <w:r w:rsidR="00551DA5" w:rsidRPr="002C29D2">
        <w:t>favo</w:t>
      </w:r>
      <w:r w:rsidR="00883F62" w:rsidRPr="002C29D2">
        <w:t>u</w:t>
      </w:r>
      <w:r w:rsidR="00551DA5" w:rsidRPr="002C29D2">
        <w:t>rable</w:t>
      </w:r>
      <w:r w:rsidRPr="002C29D2">
        <w:t xml:space="preserve"> attitude</w:t>
      </w:r>
      <w:r w:rsidR="005D2DE3" w:rsidRPr="002C29D2">
        <w:t>s</w:t>
      </w:r>
      <w:r w:rsidRPr="002C29D2">
        <w:t>, greater satisfaction, and higher usage intention</w:t>
      </w:r>
      <w:r w:rsidR="003A4F82" w:rsidRPr="002C29D2">
        <w:t>s</w:t>
      </w:r>
      <w:r w:rsidRPr="002C29D2">
        <w:t xml:space="preserve"> </w:t>
      </w:r>
      <w:r w:rsidR="00465AFB" w:rsidRPr="002C29D2">
        <w:t xml:space="preserve">with </w:t>
      </w:r>
      <w:r w:rsidRPr="002C29D2">
        <w:t>AI t</w:t>
      </w:r>
      <w:r w:rsidR="0035328B" w:rsidRPr="002C29D2">
        <w:t>echnology</w:t>
      </w:r>
      <w:r w:rsidRPr="002C29D2">
        <w:t>. Moreover,</w:t>
      </w:r>
      <w:r w:rsidR="00E76FDE" w:rsidRPr="002C29D2">
        <w:t xml:space="preserve"> </w:t>
      </w:r>
      <w:r w:rsidR="00B44AC5" w:rsidRPr="002C29D2">
        <w:t>‘</w:t>
      </w:r>
      <w:r w:rsidRPr="002C29D2">
        <w:t>techno-overload</w:t>
      </w:r>
      <w:r w:rsidR="00B44AC5" w:rsidRPr="002C29D2">
        <w:t>’</w:t>
      </w:r>
      <w:r w:rsidR="00E76FDE" w:rsidRPr="002C29D2">
        <w:t xml:space="preserve"> as a primary </w:t>
      </w:r>
      <w:r w:rsidR="00B44AC5" w:rsidRPr="002C29D2">
        <w:t>‘</w:t>
      </w:r>
      <w:r w:rsidR="00E76FDE" w:rsidRPr="002C29D2">
        <w:t>techno-stressor</w:t>
      </w:r>
      <w:r w:rsidR="00B44AC5" w:rsidRPr="002C29D2">
        <w:t>’</w:t>
      </w:r>
      <w:r w:rsidR="00D8585D" w:rsidRPr="002C29D2">
        <w:t xml:space="preserve"> </w:t>
      </w:r>
      <w:r w:rsidR="00626FF9" w:rsidRPr="002C29D2">
        <w:t>moderates the mediating effect of engagement on the relationship between AI justice and behavioural and attitudinal outcomes</w:t>
      </w:r>
      <w:r w:rsidR="00626FF9" w:rsidRPr="002C29D2">
        <w:rPr>
          <w:lang w:eastAsia="zh-TW"/>
        </w:rPr>
        <w:t xml:space="preserve">. </w:t>
      </w:r>
      <w:r w:rsidRPr="002C29D2">
        <w:rPr>
          <w:lang w:eastAsia="zh-TW"/>
        </w:rPr>
        <w:t xml:space="preserve">When healthcare practitioners perceive </w:t>
      </w:r>
      <w:r w:rsidR="0035328B" w:rsidRPr="002C29D2">
        <w:rPr>
          <w:lang w:eastAsia="zh-TW"/>
        </w:rPr>
        <w:t>AI technology</w:t>
      </w:r>
      <w:r w:rsidR="009E7D02" w:rsidRPr="002C29D2">
        <w:rPr>
          <w:lang w:eastAsia="zh-TW"/>
        </w:rPr>
        <w:t xml:space="preserve"> </w:t>
      </w:r>
      <w:r w:rsidRPr="002C29D2">
        <w:rPr>
          <w:lang w:eastAsia="zh-TW"/>
        </w:rPr>
        <w:t>as adding extra workload</w:t>
      </w:r>
      <w:r w:rsidR="0087489F" w:rsidRPr="002C29D2">
        <w:rPr>
          <w:lang w:eastAsia="zh-TW"/>
        </w:rPr>
        <w:t xml:space="preserve">, </w:t>
      </w:r>
      <w:r w:rsidRPr="002C29D2">
        <w:rPr>
          <w:lang w:eastAsia="zh-TW"/>
        </w:rPr>
        <w:t xml:space="preserve">such </w:t>
      </w:r>
      <w:r w:rsidR="00E76FDE" w:rsidRPr="002C29D2">
        <w:rPr>
          <w:lang w:eastAsia="zh-TW"/>
        </w:rPr>
        <w:t xml:space="preserve">techno-overload </w:t>
      </w:r>
      <w:r w:rsidRPr="002C29D2">
        <w:rPr>
          <w:lang w:eastAsia="zh-TW"/>
        </w:rPr>
        <w:t xml:space="preserve">will undermine the importance of </w:t>
      </w:r>
      <w:r w:rsidR="00465AFB" w:rsidRPr="002C29D2">
        <w:rPr>
          <w:lang w:eastAsia="zh-TW"/>
        </w:rPr>
        <w:t xml:space="preserve">the </w:t>
      </w:r>
      <w:r w:rsidR="00337CF0" w:rsidRPr="002C29D2">
        <w:rPr>
          <w:lang w:eastAsia="zh-TW"/>
        </w:rPr>
        <w:t>justice</w:t>
      </w:r>
      <w:r w:rsidR="00465AFB" w:rsidRPr="002C29D2">
        <w:rPr>
          <w:lang w:eastAsia="zh-TW"/>
        </w:rPr>
        <w:t xml:space="preserve"> signal</w:t>
      </w:r>
      <w:r w:rsidRPr="002C29D2">
        <w:rPr>
          <w:lang w:eastAsia="zh-TW"/>
        </w:rPr>
        <w:t xml:space="preserve"> and subsequently affect their attitudes, satisfaction</w:t>
      </w:r>
      <w:r w:rsidR="003F066D" w:rsidRPr="002C29D2">
        <w:rPr>
          <w:lang w:eastAsia="zh-TW"/>
        </w:rPr>
        <w:t>,</w:t>
      </w:r>
      <w:r w:rsidRPr="002C29D2">
        <w:rPr>
          <w:lang w:eastAsia="zh-TW"/>
        </w:rPr>
        <w:t xml:space="preserve"> and usage intention</w:t>
      </w:r>
      <w:r w:rsidR="003A4F82" w:rsidRPr="002C29D2">
        <w:rPr>
          <w:lang w:eastAsia="zh-TW"/>
        </w:rPr>
        <w:t>s</w:t>
      </w:r>
      <w:r w:rsidRPr="002C29D2">
        <w:rPr>
          <w:lang w:eastAsia="zh-TW"/>
        </w:rPr>
        <w:t xml:space="preserve"> </w:t>
      </w:r>
      <w:r w:rsidR="00465AFB" w:rsidRPr="002C29D2">
        <w:rPr>
          <w:lang w:eastAsia="zh-TW"/>
        </w:rPr>
        <w:t xml:space="preserve">with </w:t>
      </w:r>
      <w:r w:rsidRPr="002C29D2">
        <w:rPr>
          <w:lang w:eastAsia="zh-TW"/>
        </w:rPr>
        <w:t xml:space="preserve">AI </w:t>
      </w:r>
      <w:r w:rsidR="0035328B" w:rsidRPr="002C29D2">
        <w:rPr>
          <w:lang w:eastAsia="zh-TW"/>
        </w:rPr>
        <w:t>technology</w:t>
      </w:r>
      <w:r w:rsidRPr="002C29D2">
        <w:rPr>
          <w:lang w:eastAsia="zh-TW"/>
        </w:rPr>
        <w:t xml:space="preserve">. </w:t>
      </w:r>
    </w:p>
    <w:p w14:paraId="37490042" w14:textId="77777777" w:rsidR="0094374C" w:rsidRPr="002C29D2" w:rsidRDefault="0094374C" w:rsidP="0094374C">
      <w:pPr>
        <w:spacing w:line="480" w:lineRule="auto"/>
        <w:jc w:val="both"/>
        <w:rPr>
          <w:b/>
          <w:bCs/>
        </w:rPr>
      </w:pPr>
    </w:p>
    <w:p w14:paraId="069BB295" w14:textId="77777777" w:rsidR="0094374C" w:rsidRPr="002C29D2" w:rsidRDefault="0094374C" w:rsidP="0094374C">
      <w:pPr>
        <w:spacing w:line="480" w:lineRule="auto"/>
        <w:jc w:val="both"/>
        <w:rPr>
          <w:b/>
          <w:bCs/>
        </w:rPr>
      </w:pPr>
    </w:p>
    <w:p w14:paraId="1E1EA000" w14:textId="77777777" w:rsidR="0094374C" w:rsidRPr="002C29D2" w:rsidRDefault="0094374C" w:rsidP="0094374C">
      <w:pPr>
        <w:spacing w:line="480" w:lineRule="auto"/>
        <w:jc w:val="both"/>
        <w:rPr>
          <w:b/>
          <w:bCs/>
          <w:i/>
        </w:rPr>
      </w:pPr>
      <w:r w:rsidRPr="002C29D2">
        <w:rPr>
          <w:b/>
          <w:bCs/>
          <w:i/>
        </w:rPr>
        <w:t>Keywords:</w:t>
      </w:r>
    </w:p>
    <w:p w14:paraId="17ECD760" w14:textId="4772E601" w:rsidR="00391E66" w:rsidRPr="002C29D2" w:rsidRDefault="0094374C" w:rsidP="00281BD8">
      <w:pPr>
        <w:spacing w:line="480" w:lineRule="auto"/>
        <w:jc w:val="both"/>
      </w:pPr>
      <w:r w:rsidRPr="002C29D2">
        <w:t>Artificial Intelligence (AI), responsible AI, employee engagement, attitudes, satisfaction, usage intention</w:t>
      </w:r>
      <w:r w:rsidR="00691729" w:rsidRPr="002C29D2">
        <w:t>s</w:t>
      </w:r>
    </w:p>
    <w:p w14:paraId="740F3A44" w14:textId="2FB72A4D" w:rsidR="00391E66" w:rsidRPr="002C29D2" w:rsidRDefault="00391E66" w:rsidP="00281BD8">
      <w:pPr>
        <w:spacing w:line="480" w:lineRule="auto"/>
        <w:jc w:val="both"/>
        <w:rPr>
          <w:b/>
          <w:bCs/>
        </w:rPr>
      </w:pPr>
    </w:p>
    <w:p w14:paraId="20DE8A77" w14:textId="77777777" w:rsidR="00206A63" w:rsidRPr="002C29D2" w:rsidRDefault="00206A63" w:rsidP="00281BD8">
      <w:pPr>
        <w:spacing w:line="480" w:lineRule="auto"/>
        <w:jc w:val="both"/>
        <w:rPr>
          <w:b/>
          <w:bCs/>
        </w:rPr>
      </w:pPr>
    </w:p>
    <w:p w14:paraId="073B2BFB" w14:textId="77777777" w:rsidR="009E2493" w:rsidRPr="002C29D2" w:rsidRDefault="009E2493" w:rsidP="00281BD8">
      <w:pPr>
        <w:spacing w:line="480" w:lineRule="auto"/>
        <w:jc w:val="both"/>
        <w:rPr>
          <w:b/>
          <w:bCs/>
        </w:rPr>
      </w:pPr>
    </w:p>
    <w:p w14:paraId="3F9E02E5" w14:textId="77777777" w:rsidR="00EB4E67" w:rsidRPr="002C29D2" w:rsidRDefault="00EB4E67" w:rsidP="00EB4E67">
      <w:pPr>
        <w:tabs>
          <w:tab w:val="left" w:pos="3482"/>
          <w:tab w:val="left" w:pos="5984"/>
        </w:tabs>
        <w:spacing w:line="480" w:lineRule="auto"/>
        <w:rPr>
          <w:b/>
          <w:bCs/>
        </w:rPr>
      </w:pPr>
      <w:r w:rsidRPr="002C29D2">
        <w:rPr>
          <w:b/>
          <w:bCs/>
        </w:rPr>
        <w:lastRenderedPageBreak/>
        <w:t xml:space="preserve">1. </w:t>
      </w:r>
      <w:r w:rsidR="009E2493" w:rsidRPr="002C29D2">
        <w:rPr>
          <w:b/>
          <w:bCs/>
        </w:rPr>
        <w:t xml:space="preserve">Introduction </w:t>
      </w:r>
    </w:p>
    <w:p w14:paraId="66B1AA5B" w14:textId="6BE0032E" w:rsidR="009E2493" w:rsidRPr="002C29D2" w:rsidRDefault="00D163EB" w:rsidP="00EE61CE">
      <w:pPr>
        <w:tabs>
          <w:tab w:val="left" w:pos="567"/>
          <w:tab w:val="left" w:pos="5984"/>
        </w:tabs>
        <w:spacing w:line="480" w:lineRule="auto"/>
        <w:jc w:val="both"/>
        <w:rPr>
          <w:b/>
          <w:bCs/>
        </w:rPr>
      </w:pPr>
      <w:r w:rsidRPr="002C29D2">
        <w:t xml:space="preserve">        </w:t>
      </w:r>
      <w:r w:rsidR="009E2493" w:rsidRPr="002C29D2">
        <w:t xml:space="preserve">Artificial Intelligence (AI) is </w:t>
      </w:r>
      <w:r w:rsidR="00761D6B" w:rsidRPr="002C29D2">
        <w:t xml:space="preserve">a </w:t>
      </w:r>
      <w:r w:rsidR="009E2493" w:rsidRPr="002C29D2">
        <w:t>wide-ranging branch of computer science concerned with building smart machines capable of performing tasks that typically require human intelligence</w:t>
      </w:r>
      <w:r w:rsidR="009E7D02" w:rsidRPr="002C29D2">
        <w:t xml:space="preserve"> (Russell &amp; Norvig 2016)</w:t>
      </w:r>
      <w:r w:rsidR="009E2493" w:rsidRPr="002C29D2">
        <w:t xml:space="preserve">. The </w:t>
      </w:r>
      <w:r w:rsidR="00761D6B" w:rsidRPr="002C29D2">
        <w:t xml:space="preserve">global </w:t>
      </w:r>
      <w:r w:rsidR="009E2493" w:rsidRPr="002C29D2">
        <w:t xml:space="preserve">healthcare </w:t>
      </w:r>
      <w:r w:rsidR="009E7D02" w:rsidRPr="002C29D2">
        <w:t xml:space="preserve">AI </w:t>
      </w:r>
      <w:r w:rsidR="009E2493" w:rsidRPr="002C29D2">
        <w:t xml:space="preserve">market </w:t>
      </w:r>
      <w:r w:rsidR="00E34650" w:rsidRPr="002C29D2">
        <w:t>worth</w:t>
      </w:r>
      <w:r w:rsidR="009E2493" w:rsidRPr="002C29D2">
        <w:t xml:space="preserve"> is expected to </w:t>
      </w:r>
      <w:r w:rsidR="00E34650" w:rsidRPr="002C29D2">
        <w:t>reach</w:t>
      </w:r>
      <w:r w:rsidR="009E2493" w:rsidRPr="002C29D2">
        <w:t xml:space="preserve"> USD </w:t>
      </w:r>
      <w:r w:rsidR="00E34650" w:rsidRPr="002C29D2">
        <w:t>190.6</w:t>
      </w:r>
      <w:r w:rsidR="009E2493" w:rsidRPr="002C29D2">
        <w:t xml:space="preserve"> billion in 202</w:t>
      </w:r>
      <w:r w:rsidR="00E34650" w:rsidRPr="002C29D2">
        <w:t>5 (Singh 2020</w:t>
      </w:r>
      <w:r w:rsidR="009E2493" w:rsidRPr="002C29D2">
        <w:t xml:space="preserve">). </w:t>
      </w:r>
      <w:r w:rsidR="007E67B0" w:rsidRPr="002C29D2">
        <w:t>Many countries including China, are experiencing dramatic digiti</w:t>
      </w:r>
      <w:r w:rsidR="00C412A3" w:rsidRPr="002C29D2">
        <w:t>s</w:t>
      </w:r>
      <w:r w:rsidR="007E67B0" w:rsidRPr="002C29D2">
        <w:t>ation in the healthcare sector. China takes the lead in AI-based diagnostic imaging equipment (Nikkei Asia 2020). A</w:t>
      </w:r>
      <w:r w:rsidR="009E2493" w:rsidRPr="002C29D2">
        <w:t xml:space="preserve">I </w:t>
      </w:r>
      <w:r w:rsidR="0035328B" w:rsidRPr="002C29D2">
        <w:t>technology is</w:t>
      </w:r>
      <w:r w:rsidR="009E2493" w:rsidRPr="002C29D2">
        <w:t xml:space="preserve"> transforming the healthcare industry and offer</w:t>
      </w:r>
      <w:r w:rsidR="009E7D02" w:rsidRPr="002C29D2">
        <w:t>ing</w:t>
      </w:r>
      <w:r w:rsidR="009E2493" w:rsidRPr="002C29D2">
        <w:t xml:space="preserve"> great support to healthcare practitioners. </w:t>
      </w:r>
      <w:r w:rsidR="0047123B" w:rsidRPr="002C29D2">
        <w:t xml:space="preserve">Its </w:t>
      </w:r>
      <w:r w:rsidR="009E2493" w:rsidRPr="002C29D2">
        <w:t xml:space="preserve">implementation is evidenced in areas of medical imaging, disease diagnostics, drug discovery, </w:t>
      </w:r>
      <w:r w:rsidR="0047123B" w:rsidRPr="002C29D2">
        <w:t>various</w:t>
      </w:r>
      <w:r w:rsidR="009E2493" w:rsidRPr="002C29D2">
        <w:t xml:space="preserve"> sensors</w:t>
      </w:r>
      <w:r w:rsidR="009710E7" w:rsidRPr="002C29D2">
        <w:t>,</w:t>
      </w:r>
      <w:r w:rsidR="009E2493" w:rsidRPr="002C29D2">
        <w:t xml:space="preserve"> and devices to track patients</w:t>
      </w:r>
      <w:r w:rsidR="009710E7" w:rsidRPr="002C29D2">
        <w:t>’</w:t>
      </w:r>
      <w:r w:rsidR="009E2493" w:rsidRPr="002C29D2">
        <w:t xml:space="preserve"> health status in real time. </w:t>
      </w:r>
    </w:p>
    <w:p w14:paraId="48E155FA" w14:textId="4ECD9DCC" w:rsidR="009E2493" w:rsidRPr="002C29D2" w:rsidRDefault="009E2493" w:rsidP="00EB4E67">
      <w:pPr>
        <w:spacing w:line="480" w:lineRule="auto"/>
        <w:ind w:firstLine="567"/>
        <w:jc w:val="both"/>
      </w:pPr>
      <w:r w:rsidRPr="002C29D2">
        <w:t xml:space="preserve">While </w:t>
      </w:r>
      <w:r w:rsidR="00761D6B" w:rsidRPr="002C29D2">
        <w:t xml:space="preserve">the </w:t>
      </w:r>
      <w:r w:rsidRPr="002C29D2">
        <w:t>benefits of AI technolog</w:t>
      </w:r>
      <w:r w:rsidR="0035328B" w:rsidRPr="002C29D2">
        <w:t>y</w:t>
      </w:r>
      <w:r w:rsidRPr="002C29D2">
        <w:t xml:space="preserve"> in the healthcare sector </w:t>
      </w:r>
      <w:r w:rsidR="00761D6B" w:rsidRPr="002C29D2">
        <w:t xml:space="preserve">are </w:t>
      </w:r>
      <w:r w:rsidRPr="002C29D2">
        <w:t>widely recogni</w:t>
      </w:r>
      <w:r w:rsidR="00D073F1" w:rsidRPr="002C29D2">
        <w:t>z</w:t>
      </w:r>
      <w:r w:rsidRPr="002C29D2">
        <w:t>ed, there are still many obstacles in motivating healthcare practitioners to engage with the</w:t>
      </w:r>
      <w:r w:rsidR="00761D6B" w:rsidRPr="002C29D2">
        <w:t>m</w:t>
      </w:r>
      <w:r w:rsidRPr="002C29D2">
        <w:t xml:space="preserve">. </w:t>
      </w:r>
      <w:r w:rsidR="000116FD" w:rsidRPr="002C29D2">
        <w:rPr>
          <w:lang w:eastAsia="zh-TW"/>
        </w:rPr>
        <w:t xml:space="preserve">For instance, </w:t>
      </w:r>
      <w:r w:rsidR="008B0F82" w:rsidRPr="002C29D2">
        <w:t xml:space="preserve">job </w:t>
      </w:r>
      <w:r w:rsidR="000116FD" w:rsidRPr="002C29D2">
        <w:t xml:space="preserve">automation and </w:t>
      </w:r>
      <w:r w:rsidR="008B0F82" w:rsidRPr="002C29D2">
        <w:t xml:space="preserve">the </w:t>
      </w:r>
      <w:r w:rsidR="000116FD" w:rsidRPr="002C29D2">
        <w:t>substantial displacement of workforce</w:t>
      </w:r>
      <w:r w:rsidR="008B0F82" w:rsidRPr="002C29D2">
        <w:t>s</w:t>
      </w:r>
      <w:r w:rsidR="000116FD" w:rsidRPr="002C29D2">
        <w:rPr>
          <w:lang w:eastAsia="zh-TW"/>
        </w:rPr>
        <w:t xml:space="preserve"> induced by AI</w:t>
      </w:r>
      <w:r w:rsidR="000116FD" w:rsidRPr="002C29D2">
        <w:t xml:space="preserve"> has </w:t>
      </w:r>
      <w:r w:rsidR="008B0F82" w:rsidRPr="002C29D2">
        <w:t xml:space="preserve">triggered </w:t>
      </w:r>
      <w:r w:rsidR="000116FD" w:rsidRPr="002C29D2">
        <w:t xml:space="preserve">considerable stress for </w:t>
      </w:r>
      <w:r w:rsidR="000116FD" w:rsidRPr="002C29D2">
        <w:rPr>
          <w:lang w:eastAsia="zh-TW"/>
        </w:rPr>
        <w:t xml:space="preserve">healthcare </w:t>
      </w:r>
      <w:r w:rsidR="000116FD" w:rsidRPr="002C29D2">
        <w:t>practitioners (Davenport and Kalakota 2019).</w:t>
      </w:r>
      <w:r w:rsidR="000116FD" w:rsidRPr="002C29D2">
        <w:rPr>
          <w:lang w:eastAsia="zh-TW"/>
        </w:rPr>
        <w:t xml:space="preserve"> </w:t>
      </w:r>
      <w:r w:rsidR="00C831F4" w:rsidRPr="002C29D2">
        <w:fldChar w:fldCharType="begin" w:fldLock="1"/>
      </w:r>
      <w:r w:rsidR="00C831F4" w:rsidRPr="002C29D2">
        <w:instrText>ADDIN CSL_CITATION {"citationItems":[{"id":"ITEM-1","itemData":{"author":[{"dropping-particle":"","family":"Vakkuri","given":"Ville","non-dropping-particle":"","parse-names":false,"suffix":""},{"dropping-particle":"","family":"Kemell","given":"Kai-Kristian","non-dropping-particle":"","parse-names":false,"suffix":""},{"dropping-particle":"","family":"Kultanen","given":"Joni","non-dropping-particle":"","parse-names":false,"suffix":""},{"dropping-particle":"","family":"Abrahamsson","given":"Pekka","non-dropping-particle":"","parse-names":false,"suffix":""}],"container-title":"IEEE Software","id":"ITEM-1","issue":"4","issued":{"date-parts":[["2020"]]},"page":"50-57","title":"The current state of industrial practice in artificial intelligence ethics","type":"paper-conference","volume":"37"},"uris":["http://www.mendeley.com/documents/?uuid=313ef1b6-040f-4663-9639-a5f12f9278fc"]}],"mendeley":{"formattedCitation":"(Vakkuri et al., 2020)","plainTextFormattedCitation":"(Vakkuri et al., 2020)","previouslyFormattedCitation":"(Vakkuri &lt;i&gt;et al.&lt;/i&gt;, 2020)"},"properties":{"noteIndex":0},"schema":"https://github.com/citation-style-language/schema/raw/master/csl-citation.json"}</w:instrText>
      </w:r>
      <w:r w:rsidR="00C831F4" w:rsidRPr="002C29D2">
        <w:fldChar w:fldCharType="separate"/>
      </w:r>
      <w:r w:rsidR="00C831F4" w:rsidRPr="002C29D2">
        <w:t>Vakkuri et al. (2020)</w:t>
      </w:r>
      <w:r w:rsidR="00C831F4" w:rsidRPr="002C29D2">
        <w:fldChar w:fldCharType="end"/>
      </w:r>
      <w:r w:rsidR="00C831F4" w:rsidRPr="002C29D2">
        <w:t xml:space="preserve"> point out that the public is becoming aware of the ethical implications of AI technology, relating to, for example, the lack of data structure (Panch et al. 2019), ethical concerns over its unintended impacts </w:t>
      </w:r>
      <w:r w:rsidR="00C831F4" w:rsidRPr="002C29D2">
        <w:fldChar w:fldCharType="begin" w:fldLock="1"/>
      </w:r>
      <w:r w:rsidR="00C831F4" w:rsidRPr="002C29D2">
        <w:instrText>ADDIN CSL_CITATION {"citationItems":[{"id":"ITEM-1","itemData":{"author":[{"dropping-particle":"","family":"Peters","given":"D.","non-dropping-particle":"","parse-names":false,"suffix":""},{"dropping-particle":"","family":"Vold","given":"K.","non-dropping-particle":"","parse-names":false,"suffix":""},{"dropping-particle":"","family":"Robinson","given":"D.","non-dropping-particle":"","parse-names":false,"suffix":""},{"dropping-particle":"","family":"Calvo","given":"R. A.","non-dropping-particle":"","parse-names":false,"suffix":""}],"container-title":"IEEE Transactions on Technology and Society","id":"ITEM-1","issue":"1","issued":{"date-parts":[["2020"]]},"page":"34-47","title":"Responsible AI: Two frameworks for ethical design practice","type":"article-journal","volume":"1"},"uris":["http://www.mendeley.com/documents/?uuid=0753acd1-8a73-4e1f-804e-1dd31cfec774"]}],"mendeley":{"formattedCitation":"(Peters et al., 2020)","plainTextFormattedCitation":"(Peters et al., 2020)","previouslyFormattedCitation":"(Peters &lt;i&gt;et al.&lt;/i&gt;, 2020)"},"properties":{"noteIndex":0},"schema":"https://github.com/citation-style-language/schema/raw/master/csl-citation.json"}</w:instrText>
      </w:r>
      <w:r w:rsidR="00C831F4" w:rsidRPr="002C29D2">
        <w:fldChar w:fldCharType="separate"/>
      </w:r>
      <w:r w:rsidR="00C831F4" w:rsidRPr="002C29D2">
        <w:t>(Peters et al. 2020)</w:t>
      </w:r>
      <w:r w:rsidR="00C831F4" w:rsidRPr="002C29D2">
        <w:fldChar w:fldCharType="end"/>
      </w:r>
      <w:r w:rsidR="00C831F4" w:rsidRPr="002C29D2">
        <w:t xml:space="preserve">, and human acceptance of machines </w:t>
      </w:r>
      <w:r w:rsidR="00C831F4" w:rsidRPr="002C29D2">
        <w:fldChar w:fldCharType="begin" w:fldLock="1"/>
      </w:r>
      <w:r w:rsidR="00C831F4" w:rsidRPr="002C29D2">
        <w:instrText>ADDIN CSL_CITATION {"citationItems":[{"id":"ITEM-1","itemData":{"author":[{"dropping-particle":"","family":"Anderson","given":"Michael","non-dropping-particle":"","parse-names":false,"suffix":""},{"dropping-particle":"","family":"Anderson","given":"Susan Leigh","non-dropping-particle":"","parse-names":false,"suffix":""}],"container-title":"AI Magazine","id":"ITEM-1","issued":{"date-parts":[["2007"]]},"title":"Machine ethics : Creating an ethical intelligent agent","type":"article-journal"},"uris":["http://www.mendeley.com/documents/?uuid=9dc63a1d-d235-463a-a16d-d0ba3f24f724"]}],"mendeley":{"formattedCitation":"(Anderson &amp; Anderson, 2007)","plainTextFormattedCitation":"(Anderson &amp; Anderson, 2007)","previouslyFormattedCitation":"(Anderson and Anderson, 2007)"},"properties":{"noteIndex":0},"schema":"https://github.com/citation-style-language/schema/raw/master/csl-citation.json"}</w:instrText>
      </w:r>
      <w:r w:rsidR="00C831F4" w:rsidRPr="002C29D2">
        <w:fldChar w:fldCharType="separate"/>
      </w:r>
      <w:r w:rsidR="00C831F4" w:rsidRPr="002C29D2">
        <w:t>(Anderson and Anderson 2007)</w:t>
      </w:r>
      <w:r w:rsidR="00C831F4" w:rsidRPr="002C29D2">
        <w:fldChar w:fldCharType="end"/>
      </w:r>
      <w:r w:rsidR="00C831F4" w:rsidRPr="002C29D2">
        <w:t xml:space="preserve">. </w:t>
      </w:r>
      <w:r w:rsidR="000116FD" w:rsidRPr="002C29D2">
        <w:t>Hospitals face</w:t>
      </w:r>
      <w:r w:rsidR="000116FD" w:rsidRPr="002C29D2">
        <w:rPr>
          <w:lang w:eastAsia="zh-TW"/>
        </w:rPr>
        <w:t xml:space="preserve"> not only</w:t>
      </w:r>
      <w:r w:rsidR="000116FD" w:rsidRPr="002C29D2">
        <w:t xml:space="preserve"> the challenges of understanding </w:t>
      </w:r>
      <w:r w:rsidR="000116FD" w:rsidRPr="002C29D2">
        <w:rPr>
          <w:lang w:eastAsia="zh-TW"/>
        </w:rPr>
        <w:t xml:space="preserve">how </w:t>
      </w:r>
      <w:r w:rsidR="00C831F4" w:rsidRPr="002C29D2">
        <w:rPr>
          <w:rFonts w:hint="eastAsia"/>
          <w:lang w:eastAsia="zh-TW"/>
        </w:rPr>
        <w:t xml:space="preserve">AI can be </w:t>
      </w:r>
      <w:r w:rsidR="00C831F4" w:rsidRPr="002C29D2">
        <w:rPr>
          <w:lang w:eastAsia="zh-TW"/>
        </w:rPr>
        <w:t>deployed</w:t>
      </w:r>
      <w:r w:rsidR="00C831F4" w:rsidRPr="002C29D2">
        <w:rPr>
          <w:rFonts w:hint="eastAsia"/>
          <w:lang w:eastAsia="zh-TW"/>
        </w:rPr>
        <w:t xml:space="preserve"> </w:t>
      </w:r>
      <w:r w:rsidR="00C831F4" w:rsidRPr="002C29D2">
        <w:rPr>
          <w:lang w:eastAsia="zh-TW"/>
        </w:rPr>
        <w:t>responsibly,</w:t>
      </w:r>
      <w:r w:rsidR="000116FD" w:rsidRPr="002C29D2">
        <w:rPr>
          <w:lang w:eastAsia="zh-TW"/>
        </w:rPr>
        <w:t xml:space="preserve"> but also of whether their engagement with AI can </w:t>
      </w:r>
      <w:r w:rsidR="000116FD" w:rsidRPr="002C29D2">
        <w:t>subsequently generate positive outcomes such as favo</w:t>
      </w:r>
      <w:r w:rsidR="00883F62" w:rsidRPr="002C29D2">
        <w:t>u</w:t>
      </w:r>
      <w:r w:rsidR="000116FD" w:rsidRPr="002C29D2">
        <w:t>rable attitudes, greater satisfaction, and higher usage intention</w:t>
      </w:r>
      <w:r w:rsidR="008B0F82" w:rsidRPr="002C29D2">
        <w:t>s</w:t>
      </w:r>
      <w:r w:rsidR="000116FD" w:rsidRPr="002C29D2">
        <w:t xml:space="preserve">. </w:t>
      </w:r>
      <w:r w:rsidRPr="002C29D2">
        <w:t xml:space="preserve">While the discussions on </w:t>
      </w:r>
      <w:r w:rsidR="00C77445" w:rsidRPr="002C29D2">
        <w:t xml:space="preserve">the importance of </w:t>
      </w:r>
      <w:r w:rsidRPr="002C29D2">
        <w:t>AI ethic</w:t>
      </w:r>
      <w:r w:rsidR="00C2752A" w:rsidRPr="002C29D2">
        <w:t>s</w:t>
      </w:r>
      <w:r w:rsidRPr="002C29D2">
        <w:t xml:space="preserve"> principles are consistent </w:t>
      </w:r>
      <w:r w:rsidRPr="002C29D2">
        <w:fldChar w:fldCharType="begin" w:fldLock="1"/>
      </w:r>
      <w:r w:rsidRPr="002C29D2">
        <w:instrText>ADDIN CSL_CITATION {"citationItems":[{"id":"ITEM-1","itemData":{"author":[{"dropping-particle":"","family":"Morley","given":"J.","non-dropping-particle":"","parse-names":false,"suffix":""},{"dropping-particle":"","family":"Floridi","given":"L.","non-dropping-particle":"","parse-names":false,"suffix":""},{"dropping-particle":"","family":"Kinsey","given":"L.","non-dropping-particle":"","parse-names":false,"suffix":""},{"dropping-particle":"","family":"Elhalal","given":"A.","non-dropping-particle":"","parse-names":false,"suffix":""}],"container-title":"Science and Engineering Ethics","id":"ITEM-1","issued":{"date-parts":[["2019"]]},"page":"1-28","title":"From what to how: An initial review of publicly available AI ethics tools, methods and research to translate principles into practices","type":"article-journal"},"uris":["http://www.mendeley.com/documents/?uuid=7dbd56f7-f73f-4afe-b17e-51f7f0c60957"]}],"mendeley":{"formattedCitation":"(Morley et al., 2019)","plainTextFormattedCitation":"(Morley et al., 2019)","previouslyFormattedCitation":"(Morley &lt;i&gt;et al.&lt;/i&gt;, 2019)"},"properties":{"noteIndex":0},"schema":"https://github.com/citation-style-language/schema/raw/master/csl-citation.json"}</w:instrText>
      </w:r>
      <w:r w:rsidRPr="002C29D2">
        <w:fldChar w:fldCharType="separate"/>
      </w:r>
      <w:r w:rsidRPr="002C29D2">
        <w:t>(Morley et al. 2020)</w:t>
      </w:r>
      <w:r w:rsidRPr="002C29D2">
        <w:fldChar w:fldCharType="end"/>
      </w:r>
      <w:r w:rsidRPr="002C29D2">
        <w:t xml:space="preserve">, </w:t>
      </w:r>
      <w:r w:rsidR="00C2752A" w:rsidRPr="002C29D2">
        <w:t xml:space="preserve">there </w:t>
      </w:r>
      <w:r w:rsidR="00ED720D" w:rsidRPr="002C29D2">
        <w:t xml:space="preserve">is a lack of understanding </w:t>
      </w:r>
      <w:r w:rsidR="00C2752A" w:rsidRPr="002C29D2">
        <w:t xml:space="preserve">on </w:t>
      </w:r>
      <w:r w:rsidR="00206A63" w:rsidRPr="002C29D2">
        <w:t>the implementation of</w:t>
      </w:r>
      <w:r w:rsidRPr="002C29D2">
        <w:t xml:space="preserve"> responsible AI principles in the healthcare sector. </w:t>
      </w:r>
      <w:r w:rsidR="00206A63" w:rsidRPr="002C29D2">
        <w:t>Furthermore</w:t>
      </w:r>
      <w:r w:rsidRPr="002C29D2">
        <w:t xml:space="preserve">, prior research </w:t>
      </w:r>
      <w:r w:rsidR="00206A63" w:rsidRPr="002C29D2">
        <w:t>examine</w:t>
      </w:r>
      <w:r w:rsidR="00ED720D" w:rsidRPr="002C29D2">
        <w:t>s</w:t>
      </w:r>
      <w:r w:rsidR="00206A63" w:rsidRPr="002C29D2">
        <w:t xml:space="preserve"> the</w:t>
      </w:r>
      <w:r w:rsidRPr="002C29D2">
        <w:t xml:space="preserve"> adoption of </w:t>
      </w:r>
      <w:r w:rsidR="0035328B" w:rsidRPr="002C29D2">
        <w:t>AI technology</w:t>
      </w:r>
      <w:r w:rsidRPr="002C29D2">
        <w:t xml:space="preserve"> mainly from patients</w:t>
      </w:r>
      <w:r w:rsidR="00206A63" w:rsidRPr="002C29D2">
        <w:t>’ perspective</w:t>
      </w:r>
      <w:r w:rsidR="0020582F" w:rsidRPr="002C29D2">
        <w:t>s</w:t>
      </w:r>
      <w:r w:rsidRPr="002C29D2">
        <w:t xml:space="preserve"> </w:t>
      </w:r>
      <w:r w:rsidR="006E45CA" w:rsidRPr="002C29D2">
        <w:t>(Nadarzynski et al. 2019; Nadarzynski et al. 2020)</w:t>
      </w:r>
      <w:r w:rsidR="0020582F" w:rsidRPr="002C29D2">
        <w:t xml:space="preserve"> while</w:t>
      </w:r>
      <w:r w:rsidR="00C17E9B" w:rsidRPr="002C29D2">
        <w:t xml:space="preserve"> the </w:t>
      </w:r>
      <w:r w:rsidRPr="002C29D2">
        <w:t xml:space="preserve">drivers of </w:t>
      </w:r>
      <w:r w:rsidR="00555308" w:rsidRPr="002C29D2">
        <w:t>healthcare practition</w:t>
      </w:r>
      <w:r w:rsidRPr="002C29D2">
        <w:t>er</w:t>
      </w:r>
      <w:r w:rsidR="00C2752A" w:rsidRPr="002C29D2">
        <w:t>s</w:t>
      </w:r>
      <w:r w:rsidRPr="002C29D2">
        <w:t xml:space="preserve">’ engagement with </w:t>
      </w:r>
      <w:r w:rsidR="0035328B" w:rsidRPr="002C29D2">
        <w:t>AI technology</w:t>
      </w:r>
      <w:r w:rsidRPr="002C29D2">
        <w:t xml:space="preserve"> remain </w:t>
      </w:r>
      <w:r w:rsidR="00C17E9B" w:rsidRPr="002C29D2">
        <w:t>unexplored</w:t>
      </w:r>
      <w:r w:rsidRPr="002C29D2">
        <w:t xml:space="preserve">. </w:t>
      </w:r>
    </w:p>
    <w:p w14:paraId="07AC2766" w14:textId="2001E18F" w:rsidR="00071CFF" w:rsidRPr="002C29D2" w:rsidRDefault="000116FD" w:rsidP="004A56E0">
      <w:pPr>
        <w:spacing w:line="480" w:lineRule="auto"/>
        <w:ind w:firstLine="567"/>
        <w:jc w:val="both"/>
        <w:rPr>
          <w:lang w:eastAsia="zh-TW"/>
        </w:rPr>
      </w:pPr>
      <w:r w:rsidRPr="002C29D2">
        <w:rPr>
          <w:lang w:eastAsia="zh-TW"/>
        </w:rPr>
        <w:lastRenderedPageBreak/>
        <w:t>O</w:t>
      </w:r>
      <w:r w:rsidRPr="002C29D2">
        <w:t xml:space="preserve">ur </w:t>
      </w:r>
      <w:r w:rsidR="00B24D71" w:rsidRPr="002C29D2">
        <w:t>research</w:t>
      </w:r>
      <w:r w:rsidRPr="002C29D2">
        <w:t xml:space="preserve"> seeks to address this urgent need by elucidating how </w:t>
      </w:r>
      <w:r w:rsidR="0035328B" w:rsidRPr="002C29D2">
        <w:t xml:space="preserve">AI technology </w:t>
      </w:r>
      <w:r w:rsidR="005939B4" w:rsidRPr="002C29D2">
        <w:t xml:space="preserve">can be </w:t>
      </w:r>
      <w:r w:rsidRPr="002C29D2">
        <w:t>navigate</w:t>
      </w:r>
      <w:r w:rsidR="005939B4" w:rsidRPr="002C29D2">
        <w:t>d</w:t>
      </w:r>
      <w:r w:rsidRPr="002C29D2">
        <w:t xml:space="preserve"> responsibly and </w:t>
      </w:r>
      <w:r w:rsidR="005939B4" w:rsidRPr="002C29D2">
        <w:t xml:space="preserve">developed </w:t>
      </w:r>
      <w:r w:rsidRPr="002C29D2">
        <w:t>in a manner</w:t>
      </w:r>
      <w:r w:rsidRPr="002C29D2">
        <w:rPr>
          <w:lang w:eastAsia="zh-TW"/>
        </w:rPr>
        <w:t xml:space="preserve"> </w:t>
      </w:r>
      <w:r w:rsidR="0035328B" w:rsidRPr="002C29D2">
        <w:rPr>
          <w:lang w:eastAsia="zh-TW"/>
        </w:rPr>
        <w:t xml:space="preserve">to </w:t>
      </w:r>
      <w:r w:rsidRPr="002C29D2">
        <w:rPr>
          <w:lang w:eastAsia="zh-TW"/>
        </w:rPr>
        <w:t>enhanc</w:t>
      </w:r>
      <w:r w:rsidR="0035328B" w:rsidRPr="002C29D2">
        <w:rPr>
          <w:lang w:eastAsia="zh-TW"/>
        </w:rPr>
        <w:t>e</w:t>
      </w:r>
      <w:r w:rsidRPr="002C29D2">
        <w:rPr>
          <w:lang w:eastAsia="zh-TW"/>
        </w:rPr>
        <w:t xml:space="preserve"> healthcare professionals’ engagement and </w:t>
      </w:r>
      <w:r w:rsidR="004B09D8" w:rsidRPr="002C29D2">
        <w:rPr>
          <w:lang w:eastAsia="zh-TW"/>
        </w:rPr>
        <w:t xml:space="preserve">generate </w:t>
      </w:r>
      <w:r w:rsidRPr="002C29D2">
        <w:rPr>
          <w:lang w:eastAsia="zh-TW"/>
        </w:rPr>
        <w:t>positive response</w:t>
      </w:r>
      <w:r w:rsidR="00C412A3" w:rsidRPr="002C29D2">
        <w:rPr>
          <w:lang w:eastAsia="zh-TW"/>
        </w:rPr>
        <w:t>s</w:t>
      </w:r>
      <w:r w:rsidRPr="002C29D2">
        <w:rPr>
          <w:lang w:eastAsia="zh-TW"/>
        </w:rPr>
        <w:t xml:space="preserve"> toward </w:t>
      </w:r>
      <w:r w:rsidR="0020582F" w:rsidRPr="002C29D2">
        <w:rPr>
          <w:lang w:eastAsia="zh-TW"/>
        </w:rPr>
        <w:t>it</w:t>
      </w:r>
      <w:r w:rsidRPr="002C29D2">
        <w:rPr>
          <w:lang w:eastAsia="zh-TW"/>
        </w:rPr>
        <w:t xml:space="preserve">. </w:t>
      </w:r>
      <w:r w:rsidR="004A56E0" w:rsidRPr="002C29D2">
        <w:rPr>
          <w:lang w:eastAsia="zh-TW"/>
        </w:rPr>
        <w:t xml:space="preserve">The signal-mechanism-consequence (SMC) theory (Li and Wu 2018; Pavlou and Dimoka 2006) is used as the theoretical foundation of the proposed framework. The SMC theory integrates a multitude of theoretical views (including the diffusion of innovation theory and signaling theory) wherein information systems (IS) scholars aim to understand how the signals triggered by the implementation of an innovation in organisations may determine intended or unintended consequences via certain mechanisms. </w:t>
      </w:r>
      <w:r w:rsidR="004A56E0" w:rsidRPr="002C29D2">
        <w:t>Additionally, our research framework also builds on</w:t>
      </w:r>
      <w:r w:rsidR="002502E3" w:rsidRPr="002C29D2">
        <w:t xml:space="preserve"> </w:t>
      </w:r>
      <w:r w:rsidR="0020582F" w:rsidRPr="002C29D2">
        <w:t xml:space="preserve">the </w:t>
      </w:r>
      <w:r w:rsidR="009E2493" w:rsidRPr="002C29D2">
        <w:t xml:space="preserve">responsible AI principles </w:t>
      </w:r>
      <w:r w:rsidR="00626FF9" w:rsidRPr="002C29D2">
        <w:t>of Floridi</w:t>
      </w:r>
      <w:r w:rsidR="0020582F" w:rsidRPr="002C29D2">
        <w:t xml:space="preserve"> et al. (2018)</w:t>
      </w:r>
      <w:r w:rsidR="005939B4" w:rsidRPr="002C29D2">
        <w:t>,</w:t>
      </w:r>
      <w:r w:rsidR="0020582F" w:rsidRPr="002C29D2">
        <w:t xml:space="preserve"> namely</w:t>
      </w:r>
      <w:r w:rsidR="009E2493" w:rsidRPr="002C29D2">
        <w:t xml:space="preserve"> beneficence, non-maleficence, autonomy,</w:t>
      </w:r>
      <w:r w:rsidR="005939B4" w:rsidRPr="002C29D2">
        <w:t xml:space="preserve"> and</w:t>
      </w:r>
      <w:r w:rsidR="009E2493" w:rsidRPr="002C29D2">
        <w:t xml:space="preserve"> justice</w:t>
      </w:r>
      <w:r w:rsidR="002502E3" w:rsidRPr="002C29D2">
        <w:t>,</w:t>
      </w:r>
      <w:r w:rsidR="009E2493" w:rsidRPr="002C29D2">
        <w:t xml:space="preserve"> </w:t>
      </w:r>
      <w:r w:rsidR="002502E3" w:rsidRPr="002C29D2">
        <w:t xml:space="preserve">we </w:t>
      </w:r>
      <w:r w:rsidR="009E2493" w:rsidRPr="002C29D2">
        <w:t xml:space="preserve">add </w:t>
      </w:r>
      <w:r w:rsidR="005939B4" w:rsidRPr="002C29D2">
        <w:t xml:space="preserve">an </w:t>
      </w:r>
      <w:r w:rsidR="009E2493" w:rsidRPr="002C29D2">
        <w:rPr>
          <w:lang w:eastAsia="zh-TW"/>
        </w:rPr>
        <w:t>enabling principle</w:t>
      </w:r>
      <w:r w:rsidR="00895DDD" w:rsidRPr="002C29D2">
        <w:rPr>
          <w:lang w:eastAsia="zh-TW"/>
        </w:rPr>
        <w:t>,</w:t>
      </w:r>
      <w:r w:rsidR="005939B4" w:rsidRPr="002C29D2">
        <w:rPr>
          <w:lang w:eastAsia="zh-TW"/>
        </w:rPr>
        <w:t xml:space="preserve"> </w:t>
      </w:r>
      <w:r w:rsidR="009E2493" w:rsidRPr="002C29D2">
        <w:t>explainability</w:t>
      </w:r>
      <w:r w:rsidR="00895DDD" w:rsidRPr="002C29D2">
        <w:t xml:space="preserve">. We seek </w:t>
      </w:r>
      <w:r w:rsidR="009E2493" w:rsidRPr="002C29D2">
        <w:t xml:space="preserve">to understand </w:t>
      </w:r>
      <w:r w:rsidR="00ED720D" w:rsidRPr="002C29D2">
        <w:t>whether the</w:t>
      </w:r>
      <w:r w:rsidR="00895DDD" w:rsidRPr="002C29D2">
        <w:t>se</w:t>
      </w:r>
      <w:r w:rsidR="00ED720D" w:rsidRPr="002C29D2">
        <w:t xml:space="preserve"> five key responsible AI principles</w:t>
      </w:r>
      <w:r w:rsidR="009E2493" w:rsidRPr="002C29D2">
        <w:t xml:space="preserve"> </w:t>
      </w:r>
      <w:r w:rsidR="00ED720D" w:rsidRPr="002C29D2">
        <w:t>influence</w:t>
      </w:r>
      <w:r w:rsidR="009E2493" w:rsidRPr="002C29D2">
        <w:t xml:space="preserve"> healthcare practitioners’ engagement with AI technology.</w:t>
      </w:r>
      <w:r w:rsidR="004A56E0" w:rsidRPr="002C29D2">
        <w:rPr>
          <w:lang w:eastAsia="zh-TW"/>
        </w:rPr>
        <w:t xml:space="preserve"> </w:t>
      </w:r>
      <w:r w:rsidR="001559D5" w:rsidRPr="002C29D2">
        <w:rPr>
          <w:lang w:eastAsia="zh-TW"/>
        </w:rPr>
        <w:t>The</w:t>
      </w:r>
      <w:r w:rsidR="00071CFF" w:rsidRPr="002C29D2">
        <w:t xml:space="preserve"> importance of engagement has been examined in the context of general technology</w:t>
      </w:r>
      <w:r w:rsidR="005939B4" w:rsidRPr="002C29D2">
        <w:t xml:space="preserve">, such as </w:t>
      </w:r>
      <w:r w:rsidR="00071CFF" w:rsidRPr="002C29D2">
        <w:t>mobile applications and virtual reality</w:t>
      </w:r>
      <w:r w:rsidR="005939B4" w:rsidRPr="002C29D2">
        <w:t>;</w:t>
      </w:r>
      <w:r w:rsidR="00071CFF" w:rsidRPr="002C29D2">
        <w:t xml:space="preserve"> however, to the best of our knowledge, this is the first </w:t>
      </w:r>
      <w:r w:rsidR="005939B4" w:rsidRPr="002C29D2">
        <w:t xml:space="preserve">study to </w:t>
      </w:r>
      <w:r w:rsidR="00071CFF" w:rsidRPr="002C29D2">
        <w:t xml:space="preserve">explore how responsible AI principles improve </w:t>
      </w:r>
      <w:r w:rsidR="00555308" w:rsidRPr="002C29D2">
        <w:t>healthcare practition</w:t>
      </w:r>
      <w:r w:rsidR="00071CFF" w:rsidRPr="002C29D2">
        <w:t>ers’ attitudes, satisfaction, and usage intention</w:t>
      </w:r>
      <w:r w:rsidR="005939B4" w:rsidRPr="002C29D2">
        <w:t>s</w:t>
      </w:r>
      <w:r w:rsidR="00071CFF" w:rsidRPr="002C29D2">
        <w:t xml:space="preserve">. </w:t>
      </w:r>
      <w:r w:rsidR="00AF2714" w:rsidRPr="002C29D2">
        <w:t>More importantly</w:t>
      </w:r>
      <w:r w:rsidR="00071CFF" w:rsidRPr="002C29D2">
        <w:t xml:space="preserve">, we investigate the </w:t>
      </w:r>
      <w:r w:rsidR="004B09D8" w:rsidRPr="002C29D2">
        <w:t xml:space="preserve">underlying </w:t>
      </w:r>
      <w:r w:rsidR="00071CFF" w:rsidRPr="002C29D2">
        <w:t>mechanism</w:t>
      </w:r>
      <w:r w:rsidR="005939B4" w:rsidRPr="002C29D2">
        <w:t>s</w:t>
      </w:r>
      <w:r w:rsidR="00071CFF" w:rsidRPr="002C29D2">
        <w:t xml:space="preserve"> through which responsible AI principles </w:t>
      </w:r>
      <w:r w:rsidR="00895DDD" w:rsidRPr="002C29D2">
        <w:t xml:space="preserve">may </w:t>
      </w:r>
      <w:r w:rsidR="005939B4" w:rsidRPr="002C29D2">
        <w:t>achieve this</w:t>
      </w:r>
      <w:r w:rsidR="00071CFF" w:rsidRPr="002C29D2">
        <w:t>.</w:t>
      </w:r>
    </w:p>
    <w:p w14:paraId="727023C8" w14:textId="1F1CBE71" w:rsidR="00071CFF" w:rsidRPr="002C29D2" w:rsidRDefault="004B09D8" w:rsidP="00071CFF">
      <w:pPr>
        <w:spacing w:line="480" w:lineRule="auto"/>
        <w:ind w:firstLine="567"/>
        <w:jc w:val="both"/>
      </w:pPr>
      <w:r w:rsidRPr="002C29D2">
        <w:t>Furthermore</w:t>
      </w:r>
      <w:r w:rsidR="009E2493" w:rsidRPr="002C29D2">
        <w:t xml:space="preserve">, we also explore whether </w:t>
      </w:r>
      <w:r w:rsidR="00AE1168" w:rsidRPr="002C29D2">
        <w:t>‘</w:t>
      </w:r>
      <w:r w:rsidR="00AF2714" w:rsidRPr="002C29D2">
        <w:rPr>
          <w:lang w:eastAsia="zh-TW"/>
        </w:rPr>
        <w:t>techno-overload</w:t>
      </w:r>
      <w:r w:rsidR="00AE1168" w:rsidRPr="002C29D2">
        <w:rPr>
          <w:lang w:eastAsia="zh-TW"/>
        </w:rPr>
        <w:t>’</w:t>
      </w:r>
      <w:r w:rsidR="00AF2714" w:rsidRPr="002C29D2">
        <w:t xml:space="preserve"> </w:t>
      </w:r>
      <w:r w:rsidR="009E2493" w:rsidRPr="002C29D2">
        <w:t>moderates the effects of responsible AI principles on</w:t>
      </w:r>
      <w:r w:rsidR="009E7D02" w:rsidRPr="002C29D2">
        <w:t xml:space="preserve"> employee</w:t>
      </w:r>
      <w:r w:rsidR="009E2493" w:rsidRPr="002C29D2">
        <w:t xml:space="preserve"> engagement which then subsequently affect</w:t>
      </w:r>
      <w:r w:rsidR="00C2752A" w:rsidRPr="002C29D2">
        <w:t>s</w:t>
      </w:r>
      <w:r w:rsidR="009E2493" w:rsidRPr="002C29D2">
        <w:t xml:space="preserve"> </w:t>
      </w:r>
      <w:r w:rsidR="009E7D02" w:rsidRPr="002C29D2">
        <w:t xml:space="preserve">their </w:t>
      </w:r>
      <w:r w:rsidR="009E2493" w:rsidRPr="002C29D2">
        <w:t>attitudes, satisfaction, and usage intention</w:t>
      </w:r>
      <w:r w:rsidR="00AE1168" w:rsidRPr="002C29D2">
        <w:t>s</w:t>
      </w:r>
      <w:r w:rsidR="009E7D02" w:rsidRPr="002C29D2">
        <w:t xml:space="preserve"> </w:t>
      </w:r>
      <w:r w:rsidR="0043615C" w:rsidRPr="002C29D2">
        <w:t xml:space="preserve">with </w:t>
      </w:r>
      <w:r w:rsidR="0035328B" w:rsidRPr="002C29D2">
        <w:t>AI technology</w:t>
      </w:r>
      <w:r w:rsidR="009E2493" w:rsidRPr="002C29D2">
        <w:t xml:space="preserve">. </w:t>
      </w:r>
      <w:r w:rsidR="000265C4" w:rsidRPr="002C29D2">
        <w:rPr>
          <w:iCs/>
        </w:rPr>
        <w:t>Tarafdar et al. (2007)</w:t>
      </w:r>
      <w:r w:rsidR="00215516" w:rsidRPr="002C29D2">
        <w:rPr>
          <w:iCs/>
        </w:rPr>
        <w:t xml:space="preserve"> </w:t>
      </w:r>
      <w:r w:rsidR="00AE1168" w:rsidRPr="002C29D2">
        <w:rPr>
          <w:iCs/>
        </w:rPr>
        <w:t>describe</w:t>
      </w:r>
      <w:r w:rsidR="009E2493" w:rsidRPr="002C29D2">
        <w:rPr>
          <w:iCs/>
        </w:rPr>
        <w:t xml:space="preserve"> </w:t>
      </w:r>
      <w:r w:rsidR="00AF2714" w:rsidRPr="002C29D2">
        <w:rPr>
          <w:lang w:eastAsia="zh-TW"/>
        </w:rPr>
        <w:t>techno-overload</w:t>
      </w:r>
      <w:r w:rsidR="009E7D02" w:rsidRPr="002C29D2">
        <w:rPr>
          <w:iCs/>
        </w:rPr>
        <w:t xml:space="preserve"> </w:t>
      </w:r>
      <w:r w:rsidR="00AE1168" w:rsidRPr="002C29D2">
        <w:rPr>
          <w:iCs/>
        </w:rPr>
        <w:t xml:space="preserve">as being </w:t>
      </w:r>
      <w:r w:rsidR="009E7D02" w:rsidRPr="002C29D2">
        <w:rPr>
          <w:iCs/>
        </w:rPr>
        <w:t xml:space="preserve">often caused by technology-related work overload </w:t>
      </w:r>
      <w:r w:rsidR="009E2493" w:rsidRPr="002C29D2">
        <w:rPr>
          <w:iCs/>
        </w:rPr>
        <w:t>and</w:t>
      </w:r>
      <w:r w:rsidR="00AE1168" w:rsidRPr="002C29D2">
        <w:rPr>
          <w:iCs/>
        </w:rPr>
        <w:t xml:space="preserve"> as</w:t>
      </w:r>
      <w:r w:rsidR="009E2493" w:rsidRPr="002C29D2">
        <w:rPr>
          <w:iCs/>
        </w:rPr>
        <w:t xml:space="preserve"> affect</w:t>
      </w:r>
      <w:r w:rsidR="00AE1168" w:rsidRPr="002C29D2">
        <w:rPr>
          <w:iCs/>
        </w:rPr>
        <w:t>ing</w:t>
      </w:r>
      <w:r w:rsidR="009E2493" w:rsidRPr="002C29D2">
        <w:rPr>
          <w:iCs/>
        </w:rPr>
        <w:t xml:space="preserve"> employee productivity. </w:t>
      </w:r>
      <w:r w:rsidR="003C037B" w:rsidRPr="002C29D2">
        <w:t>H</w:t>
      </w:r>
      <w:r w:rsidR="009E2493" w:rsidRPr="002C29D2">
        <w:t xml:space="preserve">ealthcare practitioners </w:t>
      </w:r>
      <w:r w:rsidR="003C037B" w:rsidRPr="002C29D2">
        <w:t xml:space="preserve">may feel stressed when </w:t>
      </w:r>
      <w:r w:rsidR="00553B4F" w:rsidRPr="002C29D2">
        <w:t xml:space="preserve">they </w:t>
      </w:r>
      <w:r w:rsidR="009E2493" w:rsidRPr="002C29D2">
        <w:t xml:space="preserve">perceive their </w:t>
      </w:r>
      <w:r w:rsidR="00553B4F" w:rsidRPr="002C29D2">
        <w:t>daily</w:t>
      </w:r>
      <w:r w:rsidR="009E2493" w:rsidRPr="002C29D2">
        <w:t xml:space="preserve"> tasks </w:t>
      </w:r>
      <w:r w:rsidR="00AE1168" w:rsidRPr="002C29D2">
        <w:t xml:space="preserve">are extended by </w:t>
      </w:r>
      <w:r w:rsidR="009E2493" w:rsidRPr="002C29D2">
        <w:t>difficult</w:t>
      </w:r>
      <w:r w:rsidR="00553B4F" w:rsidRPr="002C29D2">
        <w:t>ies</w:t>
      </w:r>
      <w:r w:rsidR="009E2493" w:rsidRPr="002C29D2">
        <w:t xml:space="preserve"> </w:t>
      </w:r>
      <w:r w:rsidR="00AE1168" w:rsidRPr="002C29D2">
        <w:t>arising from</w:t>
      </w:r>
      <w:r w:rsidR="009E2493" w:rsidRPr="002C29D2">
        <w:t xml:space="preserve"> </w:t>
      </w:r>
      <w:r w:rsidR="00553B4F" w:rsidRPr="002C29D2">
        <w:t xml:space="preserve">using </w:t>
      </w:r>
      <w:r w:rsidR="0035328B" w:rsidRPr="002C29D2">
        <w:t>AI technology</w:t>
      </w:r>
      <w:r w:rsidR="00AE1168" w:rsidRPr="002C29D2">
        <w:t xml:space="preserve"> and </w:t>
      </w:r>
      <w:r w:rsidR="00B44AC5" w:rsidRPr="002C29D2">
        <w:t xml:space="preserve">their workload is seen to </w:t>
      </w:r>
      <w:r w:rsidR="00AE1168" w:rsidRPr="002C29D2">
        <w:t xml:space="preserve">exceed their capacity. </w:t>
      </w:r>
      <w:r w:rsidR="00B44AC5" w:rsidRPr="002C29D2">
        <w:t xml:space="preserve">Coined ‘techno-stressors’, such pressures </w:t>
      </w:r>
      <w:r w:rsidR="003C037B" w:rsidRPr="002C29D2">
        <w:t xml:space="preserve">can undermine </w:t>
      </w:r>
      <w:r w:rsidR="009E2493" w:rsidRPr="002C29D2">
        <w:t>the</w:t>
      </w:r>
      <w:r w:rsidR="00553B4F" w:rsidRPr="002C29D2">
        <w:t xml:space="preserve"> benefits of</w:t>
      </w:r>
      <w:r w:rsidR="009E2493" w:rsidRPr="002C29D2">
        <w:t xml:space="preserve"> responsible AI principles </w:t>
      </w:r>
      <w:r w:rsidR="00553B4F" w:rsidRPr="002C29D2">
        <w:t xml:space="preserve">on </w:t>
      </w:r>
      <w:r w:rsidR="009E2493" w:rsidRPr="002C29D2">
        <w:t xml:space="preserve">engagement. </w:t>
      </w:r>
    </w:p>
    <w:p w14:paraId="5319A48B" w14:textId="065615D7" w:rsidR="009E2493" w:rsidRPr="002C29D2" w:rsidRDefault="009E2493" w:rsidP="00071CFF">
      <w:pPr>
        <w:spacing w:line="480" w:lineRule="auto"/>
        <w:ind w:firstLine="567"/>
        <w:jc w:val="both"/>
      </w:pPr>
      <w:r w:rsidRPr="002C29D2">
        <w:lastRenderedPageBreak/>
        <w:t xml:space="preserve">In view of these gaps in the current literature, this </w:t>
      </w:r>
      <w:r w:rsidR="00590E67" w:rsidRPr="002C29D2">
        <w:t>research</w:t>
      </w:r>
      <w:r w:rsidRPr="002C29D2">
        <w:t xml:space="preserve"> </w:t>
      </w:r>
      <w:r w:rsidR="00C2752A" w:rsidRPr="002C29D2">
        <w:t xml:space="preserve">addresses </w:t>
      </w:r>
      <w:r w:rsidRPr="002C29D2">
        <w:t>the following questions:</w:t>
      </w:r>
    </w:p>
    <w:p w14:paraId="19CA5020" w14:textId="2E35B1C5" w:rsidR="009E2493" w:rsidRPr="002C29D2" w:rsidRDefault="009E2493" w:rsidP="00551DA5">
      <w:pPr>
        <w:tabs>
          <w:tab w:val="left" w:pos="3482"/>
          <w:tab w:val="left" w:pos="5984"/>
        </w:tabs>
        <w:spacing w:line="480" w:lineRule="auto"/>
        <w:ind w:left="720"/>
        <w:jc w:val="both"/>
        <w:rPr>
          <w:i/>
        </w:rPr>
      </w:pPr>
      <w:r w:rsidRPr="002C29D2">
        <w:rPr>
          <w:i/>
        </w:rPr>
        <w:t>RQ1: How do responsible AI technology principles affect healthcare practitioners’ attitudes, satisfaction, and usage intention</w:t>
      </w:r>
      <w:r w:rsidR="00B44AC5" w:rsidRPr="002C29D2">
        <w:rPr>
          <w:i/>
        </w:rPr>
        <w:t>s</w:t>
      </w:r>
      <w:r w:rsidRPr="002C29D2">
        <w:rPr>
          <w:i/>
        </w:rPr>
        <w:t xml:space="preserve">? </w:t>
      </w:r>
    </w:p>
    <w:p w14:paraId="0170971F" w14:textId="0302D900" w:rsidR="00C110D0" w:rsidRPr="002C29D2" w:rsidRDefault="009E2493" w:rsidP="00551DA5">
      <w:pPr>
        <w:tabs>
          <w:tab w:val="left" w:pos="3482"/>
          <w:tab w:val="left" w:pos="5984"/>
        </w:tabs>
        <w:spacing w:line="480" w:lineRule="auto"/>
        <w:ind w:left="720"/>
        <w:jc w:val="both"/>
        <w:rPr>
          <w:i/>
        </w:rPr>
      </w:pPr>
      <w:r w:rsidRPr="002C29D2">
        <w:rPr>
          <w:i/>
        </w:rPr>
        <w:t xml:space="preserve">RQ2: Does healthcare practitioner engagement mediate the effects of responsible AI technology principles on </w:t>
      </w:r>
      <w:r w:rsidR="00B44AC5" w:rsidRPr="002C29D2">
        <w:rPr>
          <w:i/>
        </w:rPr>
        <w:t>their</w:t>
      </w:r>
      <w:r w:rsidRPr="002C29D2">
        <w:rPr>
          <w:i/>
        </w:rPr>
        <w:t xml:space="preserve"> attitudes, satisfaction, and usage intention</w:t>
      </w:r>
      <w:r w:rsidR="00B44AC5" w:rsidRPr="002C29D2">
        <w:rPr>
          <w:i/>
        </w:rPr>
        <w:t>s</w:t>
      </w:r>
      <w:r w:rsidRPr="002C29D2">
        <w:rPr>
          <w:i/>
        </w:rPr>
        <w:t>?</w:t>
      </w:r>
    </w:p>
    <w:p w14:paraId="6EAF5C96" w14:textId="71F8C5C2" w:rsidR="002B1051" w:rsidRPr="002C29D2" w:rsidRDefault="009E2493" w:rsidP="00626FF9">
      <w:pPr>
        <w:tabs>
          <w:tab w:val="left" w:pos="3482"/>
          <w:tab w:val="left" w:pos="5984"/>
        </w:tabs>
        <w:spacing w:line="480" w:lineRule="auto"/>
        <w:ind w:left="720"/>
        <w:jc w:val="both"/>
        <w:rPr>
          <w:i/>
        </w:rPr>
      </w:pPr>
      <w:r w:rsidRPr="002C29D2">
        <w:rPr>
          <w:i/>
        </w:rPr>
        <w:t xml:space="preserve">RQ3: </w:t>
      </w:r>
      <w:r w:rsidR="00626FF9" w:rsidRPr="002C29D2">
        <w:rPr>
          <w:i/>
        </w:rPr>
        <w:t>How does techno-overload as a techno-stressor affect, through engagement, the impact of responsible AI principles on attitudes, satisfaction, and usage intentions with AI technology?</w:t>
      </w:r>
    </w:p>
    <w:p w14:paraId="587FE844" w14:textId="77777777" w:rsidR="005219C5" w:rsidRPr="002C29D2" w:rsidRDefault="005219C5" w:rsidP="002B1051">
      <w:pPr>
        <w:adjustRightInd w:val="0"/>
        <w:snapToGrid w:val="0"/>
        <w:spacing w:line="480" w:lineRule="auto"/>
        <w:jc w:val="both"/>
        <w:rPr>
          <w:b/>
          <w:bCs/>
        </w:rPr>
      </w:pPr>
      <w:r w:rsidRPr="002C29D2">
        <w:rPr>
          <w:b/>
          <w:bCs/>
        </w:rPr>
        <w:t xml:space="preserve">2. </w:t>
      </w:r>
      <w:r w:rsidR="00372A7E" w:rsidRPr="002C29D2">
        <w:rPr>
          <w:b/>
          <w:bCs/>
          <w:lang w:eastAsia="zh-TW"/>
        </w:rPr>
        <w:t>Theoretical Background and Research Model</w:t>
      </w:r>
    </w:p>
    <w:p w14:paraId="3DFE699F" w14:textId="57494C3D" w:rsidR="00030467" w:rsidRPr="002C29D2" w:rsidRDefault="005219C5" w:rsidP="002B1051">
      <w:pPr>
        <w:adjustRightInd w:val="0"/>
        <w:snapToGrid w:val="0"/>
        <w:spacing w:line="480" w:lineRule="auto"/>
        <w:jc w:val="both"/>
        <w:rPr>
          <w:i/>
          <w:iCs/>
        </w:rPr>
      </w:pPr>
      <w:r w:rsidRPr="002C29D2">
        <w:rPr>
          <w:i/>
          <w:iCs/>
        </w:rPr>
        <w:t>2.1</w:t>
      </w:r>
      <w:r w:rsidR="00372A7E" w:rsidRPr="002C29D2">
        <w:rPr>
          <w:i/>
          <w:iCs/>
          <w:lang w:eastAsia="zh-TW"/>
        </w:rPr>
        <w:t>.</w:t>
      </w:r>
      <w:r w:rsidRPr="002C29D2">
        <w:rPr>
          <w:i/>
          <w:iCs/>
        </w:rPr>
        <w:t xml:space="preserve"> </w:t>
      </w:r>
      <w:r w:rsidR="00030467" w:rsidRPr="002C29D2">
        <w:rPr>
          <w:i/>
          <w:iCs/>
        </w:rPr>
        <w:t xml:space="preserve">Current </w:t>
      </w:r>
      <w:r w:rsidR="009B75E7" w:rsidRPr="002C29D2">
        <w:rPr>
          <w:i/>
          <w:iCs/>
        </w:rPr>
        <w:t>research</w:t>
      </w:r>
      <w:r w:rsidR="002D054E" w:rsidRPr="002C29D2">
        <w:rPr>
          <w:i/>
          <w:iCs/>
        </w:rPr>
        <w:t xml:space="preserve"> </w:t>
      </w:r>
      <w:r w:rsidR="00B44AC5" w:rsidRPr="002C29D2">
        <w:rPr>
          <w:i/>
          <w:iCs/>
        </w:rPr>
        <w:t xml:space="preserve">on </w:t>
      </w:r>
      <w:r w:rsidR="00030467" w:rsidRPr="002C29D2">
        <w:rPr>
          <w:i/>
          <w:iCs/>
        </w:rPr>
        <w:t>AI in healthcare</w:t>
      </w:r>
    </w:p>
    <w:p w14:paraId="6426C855" w14:textId="59333A5E" w:rsidR="004C68F0" w:rsidRPr="002C29D2" w:rsidRDefault="00D163EB" w:rsidP="00FE1157">
      <w:pPr>
        <w:spacing w:line="480" w:lineRule="auto"/>
        <w:jc w:val="both"/>
      </w:pPr>
      <w:r w:rsidRPr="002C29D2">
        <w:t xml:space="preserve">        </w:t>
      </w:r>
      <w:r w:rsidR="005219C5" w:rsidRPr="002C29D2">
        <w:t xml:space="preserve">The healthcare sector is </w:t>
      </w:r>
      <w:r w:rsidR="00B44AC5" w:rsidRPr="002C29D2">
        <w:t>among</w:t>
      </w:r>
      <w:r w:rsidR="00E253A0" w:rsidRPr="002C29D2">
        <w:t xml:space="preserve"> the most</w:t>
      </w:r>
      <w:r w:rsidR="00241D43" w:rsidRPr="002C29D2">
        <w:t xml:space="preserve"> </w:t>
      </w:r>
      <w:r w:rsidR="00E253A0" w:rsidRPr="002C29D2">
        <w:t>promising</w:t>
      </w:r>
      <w:r w:rsidR="00241D43" w:rsidRPr="002C29D2">
        <w:t xml:space="preserve"> area</w:t>
      </w:r>
      <w:r w:rsidR="00E253A0" w:rsidRPr="002C29D2">
        <w:t>s</w:t>
      </w:r>
      <w:r w:rsidR="00241D43" w:rsidRPr="002C29D2">
        <w:t xml:space="preserve"> of AI </w:t>
      </w:r>
      <w:r w:rsidR="00E758B5" w:rsidRPr="002C29D2">
        <w:t>adoption in recent years</w:t>
      </w:r>
      <w:r w:rsidR="003C037B" w:rsidRPr="002C29D2">
        <w:t xml:space="preserve"> (Sun and Medaglia 2019; Yang et al. 2012)</w:t>
      </w:r>
      <w:r w:rsidR="00FD1861" w:rsidRPr="002C29D2">
        <w:t xml:space="preserve">. </w:t>
      </w:r>
      <w:r w:rsidR="00B44AC5" w:rsidRPr="002C29D2">
        <w:t xml:space="preserve">Its </w:t>
      </w:r>
      <w:r w:rsidR="00A96560" w:rsidRPr="002C29D2">
        <w:t>t</w:t>
      </w:r>
      <w:r w:rsidR="00FD1861" w:rsidRPr="002C29D2">
        <w:t xml:space="preserve">ransformative potential has been brought to </w:t>
      </w:r>
      <w:r w:rsidR="00A5698C" w:rsidRPr="002C29D2">
        <w:t xml:space="preserve">the sector </w:t>
      </w:r>
      <w:r w:rsidR="00B44AC5" w:rsidRPr="002C29D2">
        <w:t>with the</w:t>
      </w:r>
      <w:r w:rsidR="00030467" w:rsidRPr="002C29D2">
        <w:t xml:space="preserve"> </w:t>
      </w:r>
      <w:r w:rsidR="00491F55" w:rsidRPr="002C29D2">
        <w:t>design</w:t>
      </w:r>
      <w:r w:rsidR="003C037B" w:rsidRPr="002C29D2">
        <w:t xml:space="preserve"> and training</w:t>
      </w:r>
      <w:r w:rsidR="00030467" w:rsidRPr="002C29D2">
        <w:t xml:space="preserve"> </w:t>
      </w:r>
      <w:r w:rsidR="00B44AC5" w:rsidRPr="002C29D2">
        <w:t xml:space="preserve">of </w:t>
      </w:r>
      <w:r w:rsidR="00030467" w:rsidRPr="002C29D2">
        <w:t xml:space="preserve">powerful </w:t>
      </w:r>
      <w:r w:rsidR="00891962" w:rsidRPr="002C29D2">
        <w:t xml:space="preserve">computational </w:t>
      </w:r>
      <w:r w:rsidR="00030467" w:rsidRPr="002C29D2">
        <w:t xml:space="preserve">models </w:t>
      </w:r>
      <w:r w:rsidR="00E85DB9" w:rsidRPr="002C29D2">
        <w:t>to perform a wide range of functions</w:t>
      </w:r>
      <w:r w:rsidR="00491F55" w:rsidRPr="002C29D2">
        <w:t xml:space="preserve"> with aggregated data</w:t>
      </w:r>
      <w:r w:rsidR="0021384F" w:rsidRPr="002C29D2">
        <w:t xml:space="preserve"> </w:t>
      </w:r>
      <w:r w:rsidR="00FC50E1" w:rsidRPr="002C29D2">
        <w:rPr>
          <w:rStyle w:val="FootnoteReference"/>
        </w:rPr>
        <w:fldChar w:fldCharType="begin" w:fldLock="1"/>
      </w:r>
      <w:r w:rsidR="00830194" w:rsidRPr="002C29D2">
        <w:instrText>ADDIN CSL_CITATION {"citationItems":[{"id":"ITEM-1","itemData":{"author":[{"dropping-particle":"","family":"Keane","given":"P.A.","non-dropping-particle":"","parse-names":false,"suffix":""},{"dropping-particle":"","family":"Topol","given":"E.J.","non-dropping-particle":"","parse-names":false,"suffix":""}],"container-title":"Npj Digital Medicine","id":"ITEM-1","issue":"40","issued":{"date-parts":[["2018"]]},"title":"With an eye to AI and autonomous diagnosis","type":"article-journal","volume":"1"},"uris":["http://www.mendeley.com/documents/?uuid=dee5a522-e610-4f56-a5d5-88775d30152e"]}],"mendeley":{"formattedCitation":"(Keane &amp; Topol, 2018)","plainTextFormattedCitation":"(Keane &amp; Topol, 2018)","previouslyFormattedCitation":"(Keane and Topol, 2018)"},"properties":{"noteIndex":0},"schema":"https://github.com/citation-style-language/schema/raw/master/csl-citation.json"}</w:instrText>
      </w:r>
      <w:r w:rsidR="00FC50E1" w:rsidRPr="002C29D2">
        <w:rPr>
          <w:rStyle w:val="FootnoteReference"/>
        </w:rPr>
        <w:fldChar w:fldCharType="separate"/>
      </w:r>
      <w:r w:rsidR="00830194" w:rsidRPr="002C29D2">
        <w:rPr>
          <w:bCs/>
        </w:rPr>
        <w:t xml:space="preserve">(Keane </w:t>
      </w:r>
      <w:r w:rsidR="0022648F" w:rsidRPr="002C29D2">
        <w:rPr>
          <w:bCs/>
        </w:rPr>
        <w:t>and</w:t>
      </w:r>
      <w:r w:rsidR="00830194" w:rsidRPr="002C29D2">
        <w:rPr>
          <w:bCs/>
        </w:rPr>
        <w:t xml:space="preserve"> Topol 2018)</w:t>
      </w:r>
      <w:r w:rsidR="00FC50E1" w:rsidRPr="002C29D2">
        <w:rPr>
          <w:rStyle w:val="FootnoteReference"/>
        </w:rPr>
        <w:fldChar w:fldCharType="end"/>
      </w:r>
      <w:r w:rsidR="00491F55" w:rsidRPr="002C29D2">
        <w:t>.</w:t>
      </w:r>
      <w:r w:rsidR="00A65E66" w:rsidRPr="002C29D2">
        <w:t xml:space="preserve"> </w:t>
      </w:r>
      <w:r w:rsidR="004857AC" w:rsidRPr="002C29D2">
        <w:t>Some examples are</w:t>
      </w:r>
      <w:r w:rsidR="00A65E66" w:rsidRPr="002C29D2">
        <w:t xml:space="preserve"> </w:t>
      </w:r>
      <w:r w:rsidR="00A65E66" w:rsidRPr="002C29D2">
        <w:rPr>
          <w:lang w:eastAsia="zh-TW"/>
        </w:rPr>
        <w:t>c</w:t>
      </w:r>
      <w:r w:rsidR="00A65E66" w:rsidRPr="002C29D2">
        <w:t xml:space="preserve">ase classification, </w:t>
      </w:r>
      <w:r w:rsidR="00913D93" w:rsidRPr="002C29D2">
        <w:t xml:space="preserve">risk estimation </w:t>
      </w:r>
      <w:r w:rsidR="00FC50E1" w:rsidRPr="002C29D2">
        <w:rPr>
          <w:rStyle w:val="FootnoteReference"/>
        </w:rPr>
        <w:fldChar w:fldCharType="begin" w:fldLock="1"/>
      </w:r>
      <w:r w:rsidR="007C7AF2" w:rsidRPr="002C29D2">
        <w:instrText>ADDIN CSL_CITATION {"citationItems":[{"id":"ITEM-1","itemData":{"author":[{"dropping-particle":"","family":"Topol","given":"E.J.","non-dropping-particle":"","parse-names":false,"suffix":""}],"container-title":"Nature Medicine","id":"ITEM-1","issue":"1","issued":{"date-parts":[["2019"]]},"page":"44-56","title":"High-performance medicine: the convergence of human and artificial intelligence","type":"article-journal","volume":"25"},"uris":["http://www.mendeley.com/documents/?uuid=1c018e21-77dd-4521-85fb-fc101ae4773a"]}],"mendeley":{"formattedCitation":"(Topol, 2019)","plainTextFormattedCitation":"(Topol, 2019)","previouslyFormattedCitation":"(Topol, 2019)"},"properties":{"noteIndex":0},"schema":"https://github.com/citation-style-language/schema/raw/master/csl-citation.json"}</w:instrText>
      </w:r>
      <w:r w:rsidR="00FC50E1" w:rsidRPr="002C29D2">
        <w:rPr>
          <w:rStyle w:val="FootnoteReference"/>
        </w:rPr>
        <w:fldChar w:fldCharType="separate"/>
      </w:r>
      <w:r w:rsidR="007C7AF2" w:rsidRPr="002C29D2">
        <w:rPr>
          <w:bCs/>
        </w:rPr>
        <w:t>(Topol 2019)</w:t>
      </w:r>
      <w:r w:rsidR="00FC50E1" w:rsidRPr="002C29D2">
        <w:rPr>
          <w:rStyle w:val="FootnoteReference"/>
        </w:rPr>
        <w:fldChar w:fldCharType="end"/>
      </w:r>
      <w:r w:rsidR="00913D93" w:rsidRPr="002C29D2">
        <w:t xml:space="preserve">, </w:t>
      </w:r>
      <w:r w:rsidR="00237F4F" w:rsidRPr="002C29D2">
        <w:t xml:space="preserve">patient administration </w:t>
      </w:r>
      <w:r w:rsidR="00FC50E1" w:rsidRPr="002C29D2">
        <w:rPr>
          <w:rStyle w:val="FootnoteReference"/>
        </w:rPr>
        <w:fldChar w:fldCharType="begin" w:fldLock="1"/>
      </w:r>
      <w:r w:rsidR="00830194" w:rsidRPr="002C29D2">
        <w:instrText>ADDIN CSL_CITATION {"citationItems":[{"id":"ITEM-1","itemData":{"author":[{"dropping-particle":"","family":"Reddy","given":"Sandeep","non-dropping-particle":"","parse-names":false,"suffix":""},{"dropping-particle":"","family":"Fox","given":"John","non-dropping-particle":"","parse-names":false,"suffix":""},{"dropping-particle":"","family":"Purohit","given":"Maulik P","non-dropping-particle":"","parse-names":false,"suffix":""}],"container-title":"Journal of the Royal Society of Medicine","id":"ITEM-1","issue":"1","issued":{"date-parts":[["2019"]]},"page":"22-28","title":"Artificial intelligence-enabled healthcare delivery","type":"article-journal","volume":"112"},"uris":["http://www.mendeley.com/documents/?uuid=30c2c9c3-54eb-4df8-b20d-e6e322a8c38a"]}],"mendeley":{"formattedCitation":"(Reddy et al., 2019)","manualFormatting":"(Reddy et al., 2019)","plainTextFormattedCitation":"(Reddy et al., 2019)","previouslyFormattedCitation":"(Reddy, Fox and Purohit, 2019)"},"properties":{"noteIndex":0},"schema":"https://github.com/citation-style-language/schema/raw/master/csl-citation.json"}</w:instrText>
      </w:r>
      <w:r w:rsidR="00FC50E1" w:rsidRPr="002C29D2">
        <w:rPr>
          <w:rStyle w:val="FootnoteReference"/>
        </w:rPr>
        <w:fldChar w:fldCharType="separate"/>
      </w:r>
      <w:r w:rsidR="00FC50E1" w:rsidRPr="002C29D2">
        <w:t>(Reddy et al. 2019)</w:t>
      </w:r>
      <w:r w:rsidR="00FC50E1" w:rsidRPr="002C29D2">
        <w:rPr>
          <w:rStyle w:val="FootnoteReference"/>
        </w:rPr>
        <w:fldChar w:fldCharType="end"/>
      </w:r>
      <w:r w:rsidR="00237F4F" w:rsidRPr="002C29D2">
        <w:t xml:space="preserve">, </w:t>
      </w:r>
      <w:r w:rsidR="007F4598" w:rsidRPr="002C29D2">
        <w:t xml:space="preserve">automated diagnosis support </w:t>
      </w:r>
      <w:r w:rsidR="00FC50E1" w:rsidRPr="002C29D2">
        <w:rPr>
          <w:rStyle w:val="FootnoteReference"/>
        </w:rPr>
        <w:fldChar w:fldCharType="begin" w:fldLock="1"/>
      </w:r>
      <w:r w:rsidR="00830194" w:rsidRPr="002C29D2">
        <w:instrText>ADDIN CSL_CITATION {"citationItems":[{"id":"ITEM-1","itemData":{"author":[{"dropping-particle":"","family":"Abràmoff","given":"M. D.","non-dropping-particle":"","parse-names":false,"suffix":""},{"dropping-particle":"","family":"Lavin","given":"P. T.","non-dropping-particle":"","parse-names":false,"suffix":""},{"dropping-particle":"","family":"Birch","given":"M.","non-dropping-particle":"","parse-names":false,"suffix":""},{"dropping-particle":"","family":"Shah","given":"N.","non-dropping-particle":"","parse-names":false,"suffix":""},{"dropping-particle":"","family":"Folk","given":"J. C.","non-dropping-particle":"","parse-names":false,"suffix":""}],"container-title":"npj Digital Med","id":"ITEM-1","issue":"39","issued":{"date-parts":[["2018"]]},"title":"Pivotal trial of an autonomous AI-based diagnostic system for detection of diabetic retinopathy in primary care offices","type":"article-journal","volume":"1"},"uris":["http://www.mendeley.com/documents/?uuid=040865a7-3582-4ea9-b774-91637cad9fdb"]}],"mendeley":{"formattedCitation":"(Abràmoff et al., 2018)","plainTextFormattedCitation":"(Abràmoff et al., 2018)","previouslyFormattedCitation":"(Abràmoff &lt;i&gt;et al.&lt;/i&gt;, 2018)"},"properties":{"noteIndex":0},"schema":"https://github.com/citation-style-language/schema/raw/master/csl-citation.json"}</w:instrText>
      </w:r>
      <w:r w:rsidR="00FC50E1" w:rsidRPr="002C29D2">
        <w:rPr>
          <w:rStyle w:val="FootnoteReference"/>
        </w:rPr>
        <w:fldChar w:fldCharType="separate"/>
      </w:r>
      <w:r w:rsidR="007C7AF2" w:rsidRPr="002C29D2">
        <w:rPr>
          <w:bCs/>
        </w:rPr>
        <w:t>(Abràmoff et al. 2018)</w:t>
      </w:r>
      <w:r w:rsidR="00FC50E1" w:rsidRPr="002C29D2">
        <w:rPr>
          <w:rStyle w:val="FootnoteReference"/>
        </w:rPr>
        <w:fldChar w:fldCharType="end"/>
      </w:r>
      <w:r w:rsidR="00241D43" w:rsidRPr="002C29D2">
        <w:t xml:space="preserve">, </w:t>
      </w:r>
      <w:r w:rsidR="007F4598" w:rsidRPr="002C29D2">
        <w:t>disease prediction</w:t>
      </w:r>
      <w:r w:rsidR="0022648F" w:rsidRPr="002C29D2">
        <w:t>,</w:t>
      </w:r>
      <w:r w:rsidR="007F4598" w:rsidRPr="002C29D2">
        <w:t xml:space="preserve"> and chronic condition management </w:t>
      </w:r>
      <w:r w:rsidR="00FC50E1" w:rsidRPr="002C29D2">
        <w:rPr>
          <w:rStyle w:val="FootnoteReference"/>
        </w:rPr>
        <w:fldChar w:fldCharType="begin" w:fldLock="1"/>
      </w:r>
      <w:r w:rsidR="00830194" w:rsidRPr="002C29D2">
        <w:instrText>ADDIN CSL_CITATION {"citationItems":[{"id":"ITEM-1","itemData":{"author":[{"dropping-particle":"","family":"Zhou","given":"S.","non-dropping-particle":"","parse-names":false,"suffix":""},{"dropping-particle":"","family":"Fernandez-Gutierrez","given":"F.","non-dropping-particle":"","parse-names":false,"suffix":""},{"dropping-particle":"","family":"Kennedy","given":"J.","non-dropping-particle":"","parse-names":false,"suffix":""},{"dropping-particle":"","family":"Cooksey","given":"R.","non-dropping-particle":"","parse-names":false,"suffix":""},{"dropping-particle":"","family":"Atkinson","given":"M.","non-dropping-particle":"","parse-names":false,"suffix":""},{"dropping-particle":"","family":"Denaxas","given":"S.","non-dropping-particle":"","parse-names":false,"suffix":""},{"dropping-particle":"","family":"Siebert","given":"S.","non-dropping-particle":"","parse-names":false,"suffix":""},{"dropping-particle":"","family":"Dixon","given":"W. G.","non-dropping-particle":"","parse-names":false,"suffix":""},{"dropping-particle":"","family":"O'Neill","given":"T. W.","non-dropping-particle":"","parse-names":false,"suffix":""},{"dropping-particle":"","family":"Choy","given":"E.","non-dropping-particle":"","parse-names":false,"suffix":""},{"dropping-particle":"","family":"Sudlow","given":"C.","non-dropping-particle":"","parse-names":false,"suffix":""},{"dropping-particle":"","family":"Brophy","given":"S.","non-dropping-particle":"","parse-names":false,"suffix":""}],"container-title":"PloS One","id":"ITEM-1","issue":"5","issued":{"date-parts":[["2016"]]},"page":"1-14","title":"Defining disease phenotypes in primary care electronic health records by a machine learning approach: A case study in identifying rheumatoid arthritis","type":"article-journal","volume":"11"},"uris":["http://www.mendeley.com/documents/?uuid=4361ba61-9a08-4082-a649-e2f7a3f6d119"]}],"mendeley":{"formattedCitation":"(Zhou et al., 2016)","plainTextFormattedCitation":"(Zhou et al., 2016)","previouslyFormattedCitation":"(Zhou &lt;i&gt;et al.&lt;/i&gt;, 2016)"},"properties":{"noteIndex":0},"schema":"https://github.com/citation-style-language/schema/raw/master/csl-citation.json"}</w:instrText>
      </w:r>
      <w:r w:rsidR="00FC50E1" w:rsidRPr="002C29D2">
        <w:rPr>
          <w:rStyle w:val="FootnoteReference"/>
        </w:rPr>
        <w:fldChar w:fldCharType="separate"/>
      </w:r>
      <w:r w:rsidR="007C7AF2" w:rsidRPr="002C29D2">
        <w:rPr>
          <w:bCs/>
        </w:rPr>
        <w:t>(Zhou et al. 2016)</w:t>
      </w:r>
      <w:r w:rsidR="00FC50E1" w:rsidRPr="002C29D2">
        <w:rPr>
          <w:rStyle w:val="FootnoteReference"/>
        </w:rPr>
        <w:fldChar w:fldCharType="end"/>
      </w:r>
      <w:r w:rsidR="005219C5" w:rsidRPr="002C29D2">
        <w:t>.</w:t>
      </w:r>
      <w:r w:rsidR="00A65E66" w:rsidRPr="002C29D2">
        <w:t xml:space="preserve"> </w:t>
      </w:r>
      <w:r w:rsidR="0058368E" w:rsidRPr="002C29D2">
        <w:t xml:space="preserve">Increasingly, AI initiatives are becoming evident in clinical applications; for instance, algorithm-based disease surveillance systems have been adopted by hospitals in Hampshire, England to reduce virus outbreaks </w:t>
      </w:r>
      <w:r w:rsidR="0058368E" w:rsidRPr="002C29D2">
        <w:rPr>
          <w:rStyle w:val="FootnoteReference"/>
        </w:rPr>
        <w:fldChar w:fldCharType="begin" w:fldLock="1"/>
      </w:r>
      <w:r w:rsidR="0058368E" w:rsidRPr="002C29D2">
        <w:instrText>ADDIN CSL_CITATION {"citationItems":[{"id":"ITEM-1","itemData":{"author":[{"dropping-particle":"","family":"Mitchell","given":"C.","non-dropping-particle":"","parse-names":false,"suffix":""},{"dropping-particle":"","family":"Meredith","given":"P.","non-dropping-particle":"","parse-names":false,"suffix":""},{"dropping-particle":"","family":"Richardson","given":"M.","non-dropping-particle":"","parse-names":false,"suffix":""},{"dropping-particle":"","family":"Greengross","given":"P.","non-dropping-particle":"","parse-names":false,"suffix":""},{"dropping-particle":"","family":"Smith","given":"G. B.","non-dropping-particle":"","parse-names":false,"suffix":""}],"container-title":"BMJ Quality and Safety","id":"ITEM-1","issue":"6","issued":{"date-parts":[["2016"]]},"page":"466–474","title":"Reducing the number and impact of outbreaks of nosocomial viral gastroenteritis: Time-series analysis of a multidimensional quality improvement initiative","type":"article-journal","volume":"25"},"uris":["http://www.mendeley.com/documents/?uuid=43677aff-712b-4da1-b430-f9158d94990d"]}],"mendeley":{"formattedCitation":"(Mitchell et al., 2016)","plainTextFormattedCitation":"(Mitchell et al., 2016)","previouslyFormattedCitation":"(Mitchell &lt;i&gt;et al.&lt;/i&gt;, 2016)"},"properties":{"noteIndex":0},"schema":"https://github.com/citation-style-language/schema/raw/master/csl-citation.json"}</w:instrText>
      </w:r>
      <w:r w:rsidR="0058368E" w:rsidRPr="002C29D2">
        <w:rPr>
          <w:rStyle w:val="FootnoteReference"/>
        </w:rPr>
        <w:fldChar w:fldCharType="separate"/>
      </w:r>
      <w:r w:rsidR="0058368E" w:rsidRPr="002C29D2">
        <w:rPr>
          <w:bCs/>
        </w:rPr>
        <w:t>(Mitchell et al. 2016)</w:t>
      </w:r>
      <w:r w:rsidR="0058368E" w:rsidRPr="002C29D2">
        <w:rPr>
          <w:rStyle w:val="FootnoteReference"/>
        </w:rPr>
        <w:fldChar w:fldCharType="end"/>
      </w:r>
      <w:r w:rsidR="0058368E" w:rsidRPr="002C29D2">
        <w:t xml:space="preserve">. </w:t>
      </w:r>
      <w:r w:rsidR="00A5698C" w:rsidRPr="002C29D2">
        <w:t>The us</w:t>
      </w:r>
      <w:r w:rsidR="00AB19CB" w:rsidRPr="002C29D2">
        <w:t>e</w:t>
      </w:r>
      <w:r w:rsidR="00A5698C" w:rsidRPr="002C29D2">
        <w:t xml:space="preserve"> of AI technology</w:t>
      </w:r>
      <w:r w:rsidR="000A76D8" w:rsidRPr="002C29D2">
        <w:t xml:space="preserve"> </w:t>
      </w:r>
      <w:r w:rsidR="00A5698C" w:rsidRPr="002C29D2">
        <w:t xml:space="preserve">has </w:t>
      </w:r>
      <w:r w:rsidR="00491F55" w:rsidRPr="002C29D2">
        <w:t xml:space="preserve">greatly </w:t>
      </w:r>
      <w:r w:rsidR="0021384F" w:rsidRPr="002C29D2">
        <w:t>improv</w:t>
      </w:r>
      <w:r w:rsidR="00913D93" w:rsidRPr="002C29D2">
        <w:t>ed</w:t>
      </w:r>
      <w:r w:rsidR="0021384F" w:rsidRPr="002C29D2">
        <w:t xml:space="preserve"> </w:t>
      </w:r>
      <w:r w:rsidR="00CF4AF0" w:rsidRPr="002C29D2">
        <w:t>accuracy, productivity</w:t>
      </w:r>
      <w:r w:rsidR="00A5698C" w:rsidRPr="002C29D2">
        <w:t>,</w:t>
      </w:r>
      <w:r w:rsidR="00CF4AF0" w:rsidRPr="002C29D2">
        <w:t xml:space="preserve"> and workflow in health</w:t>
      </w:r>
      <w:r w:rsidR="002D4474" w:rsidRPr="002C29D2">
        <w:t>care</w:t>
      </w:r>
      <w:r w:rsidR="00CF4AF0" w:rsidRPr="002C29D2">
        <w:t xml:space="preserve"> systems</w:t>
      </w:r>
      <w:r w:rsidR="00A5698C" w:rsidRPr="002C29D2">
        <w:t xml:space="preserve"> </w:t>
      </w:r>
      <w:r w:rsidR="00A65E66" w:rsidRPr="002C29D2">
        <w:t xml:space="preserve">and </w:t>
      </w:r>
      <w:r w:rsidR="00A5698C" w:rsidRPr="002C29D2">
        <w:t xml:space="preserve">such benefits generate </w:t>
      </w:r>
      <w:r w:rsidR="00AB19CB" w:rsidRPr="002C29D2">
        <w:t xml:space="preserve">more </w:t>
      </w:r>
      <w:r w:rsidR="00A65E66" w:rsidRPr="002C29D2">
        <w:t xml:space="preserve">efficient and </w:t>
      </w:r>
      <w:r w:rsidR="00AB19CB" w:rsidRPr="002C29D2">
        <w:t xml:space="preserve">targeted </w:t>
      </w:r>
      <w:r w:rsidR="00A65E66" w:rsidRPr="002C29D2">
        <w:t>use of healthcare resources</w:t>
      </w:r>
      <w:r w:rsidR="00AB19CB" w:rsidRPr="002C29D2">
        <w:t xml:space="preserve">, serving to </w:t>
      </w:r>
      <w:r w:rsidR="003C037B" w:rsidRPr="002C29D2">
        <w:t>enhance healthcare services</w:t>
      </w:r>
      <w:r w:rsidR="00AB19CB" w:rsidRPr="002C29D2">
        <w:t xml:space="preserve"> overall</w:t>
      </w:r>
      <w:r w:rsidR="00A65E66" w:rsidRPr="002C29D2">
        <w:t xml:space="preserve"> </w:t>
      </w:r>
      <w:r w:rsidR="00B65C12" w:rsidRPr="002C29D2">
        <w:rPr>
          <w:rStyle w:val="FootnoteReference"/>
        </w:rPr>
        <w:fldChar w:fldCharType="begin" w:fldLock="1"/>
      </w:r>
      <w:r w:rsidR="00830194" w:rsidRPr="002C29D2">
        <w:instrText>ADDIN CSL_CITATION {"citationItems":[{"id":"ITEM-1","itemData":{"author":[{"dropping-particle":"","family":"Topol","given":"E.J.","non-dropping-particle":"","parse-names":false,"suffix":""}],"container-title":"Nature Medicine","id":"ITEM-1","issue":"1","issued":{"date-parts":[["2019"]]},"page":"44-56","title":"High-performance medicine: the convergence of human and artificial intelligence","type":"article-journal","volume":"25"},"uris":["http://www.mendeley.com/documents/?uuid=1c018e21-77dd-4521-85fb-fc101ae4773a"]},{"id":"ITEM-2","itemData":{"author":[{"dropping-particle":"","family":"Taddeo","given":"Mariarosaria","non-dropping-particle":"","parse-names":false,"suffix":""},{"dropping-particle":"","family":"Floridi","given":"Luciano","non-dropping-particle":"","parse-names":false,"suffix":""}],"container-title":"Science","id":"ITEM-2","issue":"6404","issued":{"date-parts":[["2018"]]},"page":"751-752","title":"How AI can be a force for good","type":"article-journal","volume":"361"},"uris":["http://www.mendeley.com/documents/?uuid=f2c2170c-db15-4fa6-9420-0404d899af4b"]}],"mendeley":{"formattedCitation":"(Taddeo &amp; Floridi, 2018; Topol, 2019)","plainTextFormattedCitation":"(Taddeo &amp; Floridi, 2018; Topol, 2019)","previouslyFormattedCitation":"(Taddeo and Floridi, 2018; Topol, 2019)"},"properties":{"noteIndex":0},"schema":"https://github.com/citation-style-language/schema/raw/master/csl-citation.json"}</w:instrText>
      </w:r>
      <w:r w:rsidR="00B65C12" w:rsidRPr="002C29D2">
        <w:rPr>
          <w:rStyle w:val="FootnoteReference"/>
        </w:rPr>
        <w:fldChar w:fldCharType="separate"/>
      </w:r>
      <w:r w:rsidR="00830194" w:rsidRPr="002C29D2">
        <w:t xml:space="preserve">(Taddeo </w:t>
      </w:r>
      <w:r w:rsidR="0022648F" w:rsidRPr="002C29D2">
        <w:t xml:space="preserve">and </w:t>
      </w:r>
      <w:r w:rsidR="00830194" w:rsidRPr="002C29D2">
        <w:t>Floridi 2018; Topol 2019)</w:t>
      </w:r>
      <w:r w:rsidR="00B65C12" w:rsidRPr="002C29D2">
        <w:rPr>
          <w:rStyle w:val="FootnoteReference"/>
        </w:rPr>
        <w:fldChar w:fldCharType="end"/>
      </w:r>
      <w:r w:rsidR="00913D93" w:rsidRPr="002C29D2">
        <w:t xml:space="preserve">. </w:t>
      </w:r>
    </w:p>
    <w:p w14:paraId="2F87F5C8" w14:textId="5219CCC5" w:rsidR="00BD18B6" w:rsidRPr="002C29D2" w:rsidRDefault="00E76CC9" w:rsidP="00C43E07">
      <w:pPr>
        <w:spacing w:line="480" w:lineRule="auto"/>
        <w:ind w:firstLine="567"/>
        <w:jc w:val="both"/>
      </w:pPr>
      <w:r w:rsidRPr="002C29D2">
        <w:t xml:space="preserve">Despite the </w:t>
      </w:r>
      <w:r w:rsidR="00AB19CB" w:rsidRPr="002C29D2">
        <w:t xml:space="preserve">striking </w:t>
      </w:r>
      <w:r w:rsidRPr="002C29D2">
        <w:t xml:space="preserve">usefulness </w:t>
      </w:r>
      <w:r w:rsidR="00AB19CB" w:rsidRPr="002C29D2">
        <w:t xml:space="preserve">and value </w:t>
      </w:r>
      <w:r w:rsidRPr="002C29D2">
        <w:t xml:space="preserve">of AI technology in the healthcare sector (e.g., Haleem et al. 2019; Hamet and Tremblay 2017), </w:t>
      </w:r>
      <w:r w:rsidR="00AB19CB" w:rsidRPr="002C29D2">
        <w:t xml:space="preserve">many </w:t>
      </w:r>
      <w:r w:rsidRPr="002C29D2">
        <w:t xml:space="preserve">researchers still examine </w:t>
      </w:r>
      <w:r w:rsidR="00AB19CB" w:rsidRPr="002C29D2">
        <w:t xml:space="preserve">its </w:t>
      </w:r>
      <w:r w:rsidRPr="002C29D2">
        <w:t>usage from</w:t>
      </w:r>
      <w:r w:rsidR="00AB19CB" w:rsidRPr="002C29D2">
        <w:t xml:space="preserve"> </w:t>
      </w:r>
      <w:r w:rsidR="00AB19CB" w:rsidRPr="002C29D2">
        <w:lastRenderedPageBreak/>
        <w:t>mainly</w:t>
      </w:r>
      <w:r w:rsidRPr="002C29D2">
        <w:t xml:space="preserve"> patients’ perspectives </w:t>
      </w:r>
      <w:r w:rsidRPr="002C29D2">
        <w:fldChar w:fldCharType="begin" w:fldLock="1"/>
      </w:r>
      <w:r w:rsidRPr="002C29D2">
        <w:instrText>ADDIN CSL_CITATION {"citationItems":[{"id":"ITEM-1","itemData":{"author":[{"dropping-particle":"","family":"Nadarzynski","given":"Tom","non-dropping-particle":"","parse-names":false,"suffix":""},{"dropping-particle":"","family":"Miles","given":"Oliver","non-dropping-particle":"","parse-names":false,"suffix":""},{"dropping-particle":"","family":"Cowie","given":"Aimee","non-dropping-particle":"","parse-names":false,"suffix":""},{"dropping-particle":"","family":"Ridge","given":"Damien","non-dropping-particle":"","parse-names":false,"suffix":""}],"container-title":"Digital Health","id":"ITEM-1","issued":{"date-parts":[["2019"]]},"page":"1-12","title":"Acceptability of artificial intelligence (AI)-led chatbot services in healthcare: A mixed-methods study","type":"article-journal","volume":"5"},"uris":["http://www.mendeley.com/documents/?uuid=5ee70514-f264-45c4-a01a-56f722db1e24"]},{"id":"ITEM-2","itemData":{"author":[{"dropping-particle":"","family":"Nadarzynski","given":"T.","non-dropping-particle":"","parse-names":false,"suffix":""},{"dropping-particle":"","family":"Bayley","given":"J.","non-dropping-particle":"","parse-names":false,"suffix":""},{"dropping-particle":"","family":"Llewellyn","given":"C.","non-dropping-particle":"","parse-names":false,"suffix":""},{"dropping-particle":"","family":"Kidsley","given":"S.","non-dropping-particle":"","parse-names":false,"suffix":""},{"dropping-particle":"","family":"Graham","given":"C. A.","non-dropping-particle":"","parse-names":false,"suffix":""}],"container-title":"BMJ sexual &amp; reproductive health","id":"ITEM-2","issued":{"date-parts":[["2020"]]},"title":"Acceptability of artificial intelligence (Ai)-enabled chatbots, video consultations and live webchats as online platforms for sexual health advice","type":"article-journal"},"uris":["http://www.mendeley.com/documents/?uuid=0be63a8a-44c0-40aa-bd27-84b12240f73d"]},{"id":"ITEM-3","itemData":{"author":[{"dropping-particle":"","family":"Tran","given":"V.","non-dropping-particle":"","parse-names":false,"suffix":""},{"dropping-particle":"","family":"Riveros","given":"C.","non-dropping-particle":"","parse-names":false,"suffix":""},{"dropping-particle":"","family":"Ravaud","given":"P.","non-dropping-particle":"","parse-names":false,"suffix":""}],"container-title":"Npj Digital Medicine","id":"ITEM-3","issue":"53","issued":{"date-parts":[["2019"]]},"title":"Patients’ views of wearable devices and AI in healthcare: findings from the ComPaRe e-cohort","type":"article-journal","volume":"2"},"uris":["http://www.mendeley.com/documents/?uuid=1be9175c-3c00-46ba-993c-b435eb452d41"]},{"id":"ITEM-4","itemData":{"author":[{"dropping-particle":"","family":"Yang","given":"H.","non-dropping-particle":"","parse-names":false,"suffix":""},{"dropping-particle":"","family":"Guo","given":"X.","non-dropping-particle":"","parse-names":false,"suffix":""},{"dropping-particle":"","family":"Wu","given":"T.","non-dropping-particle":"","parse-names":false,"suffix":""}],"container-title":"Decision Support Systems","id":"ITEM-4","issue":"1","issued":{"date-parts":[["2015"]]},"page":"113–121","title":"Exploring the influence of the online physician service delivery process on patient satisfaction","type":"article-journal","volume":"78"},"uris":["http://www.mendeley.com/documents/?uuid=f63f0ddd-ee83-4316-8d95-da81f3522dee"]}],"mendeley":{"formattedCitation":"(T. Nadarzynski et al., 2020; Tom Nadarzynski et al., 2019; Tran et al., 2019; Yang et al., 2015)","manualFormatting":"(e.g. Yang et al., 2015; Nadarzynski et al., 2019, 2020; Tran et al., 2019)","plainTextFormattedCitation":"(T. Nadarzynski et al., 2020; Tom Nadarzynski et al., 2019; Tran et al., 2019; Yang et al., 2015)","previouslyFormattedCitation":"(Yang, Guo and Wu, 2015; Nadarzynski &lt;i&gt;et al.&lt;/i&gt;, 2019, 2020; Tran, Riveros and Ravaud, 2019)"},"properties":{"noteIndex":0},"schema":"https://github.com/citation-style-language/schema/raw/master/csl-citation.json"}</w:instrText>
      </w:r>
      <w:r w:rsidRPr="002C29D2">
        <w:fldChar w:fldCharType="separate"/>
      </w:r>
      <w:r w:rsidRPr="002C29D2">
        <w:t xml:space="preserve">(e.g., </w:t>
      </w:r>
      <w:r w:rsidR="00875BC5" w:rsidRPr="002C29D2">
        <w:t>Fadhil and Gabrielli 2017;</w:t>
      </w:r>
      <w:r w:rsidR="00083835" w:rsidRPr="002C29D2">
        <w:t xml:space="preserve"> </w:t>
      </w:r>
      <w:r w:rsidRPr="002C29D2">
        <w:t>Nadarzynski et al. 2019, 2020; Tran et al. 2019; Yang et al. 2015)</w:t>
      </w:r>
      <w:r w:rsidRPr="002C29D2">
        <w:fldChar w:fldCharType="end"/>
      </w:r>
      <w:r w:rsidRPr="002C29D2">
        <w:t xml:space="preserve"> and </w:t>
      </w:r>
      <w:r w:rsidR="00AB19CB" w:rsidRPr="002C29D2">
        <w:t>disregard</w:t>
      </w:r>
      <w:r w:rsidRPr="002C29D2">
        <w:t xml:space="preserve"> the perspective of healthcare practitioners. To illustrate, Nadarzynski et al. (2020) examine patients’ accepta</w:t>
      </w:r>
      <w:r w:rsidR="00AB19CB" w:rsidRPr="002C29D2">
        <w:t xml:space="preserve">nce </w:t>
      </w:r>
      <w:r w:rsidRPr="002C29D2">
        <w:t xml:space="preserve">of medical chatbots and Fadhil and Gabrielli (2017) investigate how </w:t>
      </w:r>
      <w:r w:rsidR="00AB19CB" w:rsidRPr="002C29D2">
        <w:t xml:space="preserve">such </w:t>
      </w:r>
      <w:r w:rsidRPr="002C29D2">
        <w:t xml:space="preserve">chatbots </w:t>
      </w:r>
      <w:r w:rsidR="00AB19CB" w:rsidRPr="002C29D2">
        <w:t xml:space="preserve">induce </w:t>
      </w:r>
      <w:r w:rsidRPr="002C29D2">
        <w:t xml:space="preserve">behaviour change interventions </w:t>
      </w:r>
      <w:r w:rsidR="00AB19CB" w:rsidRPr="002C29D2">
        <w:t xml:space="preserve">in </w:t>
      </w:r>
      <w:r w:rsidRPr="002C29D2">
        <w:t>patients. AI wearable devices (Tran et al. 2019) and satisfaction with online physician service</w:t>
      </w:r>
      <w:r w:rsidR="00BD18B6" w:rsidRPr="002C29D2">
        <w:t>s</w:t>
      </w:r>
      <w:r w:rsidRPr="002C29D2">
        <w:t xml:space="preserve"> (Yang et al. 2015) </w:t>
      </w:r>
      <w:r w:rsidR="004B09D8" w:rsidRPr="002C29D2">
        <w:t xml:space="preserve">are </w:t>
      </w:r>
      <w:r w:rsidR="00BD18B6" w:rsidRPr="002C29D2">
        <w:t>further examples</w:t>
      </w:r>
      <w:r w:rsidRPr="002C29D2">
        <w:t xml:space="preserve">. </w:t>
      </w:r>
    </w:p>
    <w:p w14:paraId="288EBCD5" w14:textId="57AEA889" w:rsidR="007418DF" w:rsidRPr="002C29D2" w:rsidRDefault="00E76CC9" w:rsidP="00C43E07">
      <w:pPr>
        <w:spacing w:line="480" w:lineRule="auto"/>
        <w:ind w:firstLine="567"/>
        <w:jc w:val="both"/>
      </w:pPr>
      <w:r w:rsidRPr="002C29D2">
        <w:t>Despite</w:t>
      </w:r>
      <w:r w:rsidR="00CE3B64" w:rsidRPr="002C29D2">
        <w:t xml:space="preserve"> </w:t>
      </w:r>
      <w:r w:rsidR="00671ACF" w:rsidRPr="002C29D2">
        <w:t xml:space="preserve">all the promises of AI in healthcare, there are still many obstacles in motivating practitioners to engage with the technology </w:t>
      </w:r>
      <w:r w:rsidR="00671ACF" w:rsidRPr="002C29D2">
        <w:rPr>
          <w:rStyle w:val="FootnoteReference"/>
        </w:rPr>
        <w:fldChar w:fldCharType="begin" w:fldLock="1"/>
      </w:r>
      <w:r w:rsidR="00671ACF" w:rsidRPr="002C29D2">
        <w:instrText>ADDIN CSL_CITATION {"citationItems":[{"id":"ITEM-1","itemData":{"author":[{"dropping-particle":"","family":"Topol","given":"E.J.","non-dropping-particle":"","parse-names":false,"suffix":""}],"container-title":"Nature Medicine","id":"ITEM-1","issue":"1","issued":{"date-parts":[["2019"]]},"page":"44-56","title":"High-performance medicine: the convergence of human and artificial intelligence","type":"article-journal","volume":"25"},"uris":["http://www.mendeley.com/documents/?uuid=1c018e21-77dd-4521-85fb-fc101ae4773a"]}],"mendeley":{"formattedCitation":"(Topol, 2019)","plainTextFormattedCitation":"(Topol, 2019)","previouslyFormattedCitation":"(Topol, 2019)"},"properties":{"noteIndex":0},"schema":"https://github.com/citation-style-language/schema/raw/master/csl-citation.json"}</w:instrText>
      </w:r>
      <w:r w:rsidR="00671ACF" w:rsidRPr="002C29D2">
        <w:rPr>
          <w:rStyle w:val="FootnoteReference"/>
        </w:rPr>
        <w:fldChar w:fldCharType="separate"/>
      </w:r>
      <w:r w:rsidR="00671ACF" w:rsidRPr="002C29D2">
        <w:t>(Topol 2019)</w:t>
      </w:r>
      <w:r w:rsidR="00671ACF" w:rsidRPr="002C29D2">
        <w:rPr>
          <w:rStyle w:val="FootnoteReference"/>
        </w:rPr>
        <w:fldChar w:fldCharType="end"/>
      </w:r>
      <w:r w:rsidR="00671ACF" w:rsidRPr="002C29D2">
        <w:t xml:space="preserve">. </w:t>
      </w:r>
      <w:r w:rsidR="000A4B66" w:rsidRPr="002C29D2">
        <w:t xml:space="preserve">Research </w:t>
      </w:r>
      <w:r w:rsidR="00BD18B6" w:rsidRPr="002C29D2">
        <w:t xml:space="preserve">has </w:t>
      </w:r>
      <w:r w:rsidR="000A4B66" w:rsidRPr="002C29D2">
        <w:t>found th</w:t>
      </w:r>
      <w:r w:rsidR="00BD18B6" w:rsidRPr="002C29D2">
        <w:t xml:space="preserve">em </w:t>
      </w:r>
      <w:r w:rsidR="00F163C0" w:rsidRPr="002C29D2">
        <w:t xml:space="preserve">more likely to </w:t>
      </w:r>
      <w:r w:rsidR="00C43E07" w:rsidRPr="002C29D2">
        <w:t xml:space="preserve">be </w:t>
      </w:r>
      <w:r w:rsidR="00F163C0" w:rsidRPr="002C29D2">
        <w:t>distr</w:t>
      </w:r>
      <w:r w:rsidR="00C43E07" w:rsidRPr="002C29D2">
        <w:t>a</w:t>
      </w:r>
      <w:r w:rsidR="00F163C0" w:rsidRPr="002C29D2">
        <w:t>ct</w:t>
      </w:r>
      <w:r w:rsidR="00C43E07" w:rsidRPr="002C29D2">
        <w:t>ed</w:t>
      </w:r>
      <w:r w:rsidR="00F163C0" w:rsidRPr="002C29D2">
        <w:t xml:space="preserve"> and then refuse to use AI</w:t>
      </w:r>
      <w:r w:rsidR="00BD18B6" w:rsidRPr="002C29D2">
        <w:t>,</w:t>
      </w:r>
      <w:r w:rsidR="00F163C0" w:rsidRPr="002C29D2">
        <w:t xml:space="preserve"> while feeling it is incumbent upon them to ensure </w:t>
      </w:r>
      <w:r w:rsidR="004B09D8" w:rsidRPr="002C29D2">
        <w:t xml:space="preserve">the </w:t>
      </w:r>
      <w:r w:rsidR="00F163C0" w:rsidRPr="002C29D2">
        <w:t xml:space="preserve">appropriate use of AI-enabled systems in </w:t>
      </w:r>
      <w:r w:rsidR="00620631" w:rsidRPr="002C29D2">
        <w:t>healthcare</w:t>
      </w:r>
      <w:r w:rsidR="00F163C0" w:rsidRPr="002C29D2">
        <w:t xml:space="preserve"> delivery </w:t>
      </w:r>
      <w:r w:rsidR="00671ACF" w:rsidRPr="002C29D2">
        <w:rPr>
          <w:rStyle w:val="FootnoteReference"/>
        </w:rPr>
        <w:fldChar w:fldCharType="begin" w:fldLock="1"/>
      </w:r>
      <w:r w:rsidR="00830194" w:rsidRPr="002C29D2">
        <w:instrText>ADDIN CSL_CITATION {"citationItems":[{"id":"ITEM-1","itemData":{"author":[{"dropping-particle":"","family":"Fan","given":"Wenjuan","non-dropping-particle":"","parse-names":false,"suffix":""},{"dropping-particle":"","family":"Liu","given":"Jingnan","non-dropping-particle":"","parse-names":false,"suffix":""},{"dropping-particle":"","family":"Zhu","given":"Shuwan","non-dropping-particle":"","parse-names":false,"suffix":""},{"dropping-particle":"","family":"Pardalos","given":"Panos M.","non-dropping-particle":"","parse-names":false,"suffix":""}],"container-title":"Annals of Operations Research","id":"ITEM-1","issued":{"date-parts":[["2018"]]},"title":"Investigating the impacting factors for the healthcare professionals to adopt artificial intelligence-based medical diagnosis support system (AIMDSS)","type":"article-journal"},"uris":["http://www.mendeley.com/documents/?uuid=a7daa5f9-54e5-4eba-9f0c-3af271fae4ea"]},{"id":"ITEM-2","itemData":{"author":[{"dropping-particle":"","family":"Shinners","given":"Lucy","non-dropping-particle":"","parse-names":false,"suffix":""},{"dropping-particle":"","family":"Aggar","given":"Christina","non-dropping-particle":"","parse-names":false,"suffix":""},{"dropping-particle":"","family":"Grace","given":"Sandra","non-dropping-particle":"","parse-names":false,"suffix":""},{"dropping-particle":"","family":"Smith","given":"Stuart","non-dropping-particle":"","parse-names":false,"suffix":""}],"container-title":"Health Informatics Journal","id":"ITEM-2","issue":"2","issued":{"date-parts":[["2020"]]},"page":"1225-1236","title":"Exploring healthcare professionals’ understanding and experiences of artificial intelligence technology use in the delivery of healthcare: An integrative review","type":"article-journal","volume":"26"},"uris":["http://www.mendeley.com/documents/?uuid=3b8a8c56-d78a-4cc9-84b6-e36ed2a45b0e"]}],"mendeley":{"formattedCitation":"(Fan et al., 2018; Shinners et al., 2020)","plainTextFormattedCitation":"(Fan et al., 2018; Shinners et al., 2020)","previouslyFormattedCitation":"(Fan &lt;i&gt;et al.&lt;/i&gt;, 2018; Shinners &lt;i&gt;et al.&lt;/i&gt;, 2020)"},"properties":{"noteIndex":0},"schema":"https://github.com/citation-style-language/schema/raw/master/csl-citation.json"}</w:instrText>
      </w:r>
      <w:r w:rsidR="00671ACF" w:rsidRPr="002C29D2">
        <w:rPr>
          <w:rStyle w:val="FootnoteReference"/>
        </w:rPr>
        <w:fldChar w:fldCharType="separate"/>
      </w:r>
      <w:r w:rsidR="00671ACF" w:rsidRPr="002C29D2">
        <w:t>(Fan et al. 2018; Shinners et al. 2020)</w:t>
      </w:r>
      <w:r w:rsidR="00671ACF" w:rsidRPr="002C29D2">
        <w:rPr>
          <w:rStyle w:val="FootnoteReference"/>
        </w:rPr>
        <w:fldChar w:fldCharType="end"/>
      </w:r>
      <w:r w:rsidR="009C0F59" w:rsidRPr="002C29D2">
        <w:t xml:space="preserve">. </w:t>
      </w:r>
      <w:r w:rsidR="00F163C0" w:rsidRPr="002C29D2">
        <w:t>Also</w:t>
      </w:r>
      <w:r w:rsidR="007418DF" w:rsidRPr="002C29D2">
        <w:t xml:space="preserve">, </w:t>
      </w:r>
      <w:r w:rsidR="00F163C0" w:rsidRPr="002C29D2">
        <w:t xml:space="preserve">performance expectations of AI implementation </w:t>
      </w:r>
      <w:r w:rsidR="00C43E07" w:rsidRPr="002C29D2">
        <w:t>can</w:t>
      </w:r>
      <w:r w:rsidR="00D05783" w:rsidRPr="002C29D2">
        <w:t xml:space="preserve"> influence the behavioural outcomes of practitioners toward</w:t>
      </w:r>
      <w:r w:rsidR="00BD18B6" w:rsidRPr="002C29D2">
        <w:t>s</w:t>
      </w:r>
      <w:r w:rsidR="00D05783" w:rsidRPr="002C29D2">
        <w:t xml:space="preserve"> AI </w:t>
      </w:r>
      <w:r w:rsidR="007418DF" w:rsidRPr="002C29D2">
        <w:fldChar w:fldCharType="begin" w:fldLock="1"/>
      </w:r>
      <w:r w:rsidR="00830194" w:rsidRPr="002C29D2">
        <w:instrText>ADDIN CSL_CITATION {"citationItems":[{"id":"ITEM-1","itemData":{"author":[{"dropping-particle":"","family":"Fan","given":"Wenjuan","non-dropping-particle":"","parse-names":false,"suffix":""},{"dropping-particle":"","family":"Liu","given":"Jingnan","non-dropping-particle":"","parse-names":false,"suffix":""},{"dropping-particle":"","family":"Zhu","given":"Shuwan","non-dropping-particle":"","parse-names":false,"suffix":""},{"dropping-particle":"","family":"Pardalos","given":"Panos M.","non-dropping-particle":"","parse-names":false,"suffix":""}],"container-title":"Annals of Operations Research","id":"ITEM-1","issued":{"date-parts":[["2018"]]},"title":"Investigating the impacting factors for the healthcare professionals to adopt artificial intelligence-based medical diagnosis support system (AIMDSS)","type":"article-journal"},"uris":["http://www.mendeley.com/documents/?uuid=a7daa5f9-54e5-4eba-9f0c-3af271fae4ea"]}],"mendeley":{"formattedCitation":"(Fan et al., 2018)","plainTextFormattedCitation":"(Fan et al., 2018)","previouslyFormattedCitation":"(Fan &lt;i&gt;et al.&lt;/i&gt;, 2018)"},"properties":{"noteIndex":0},"schema":"https://github.com/citation-style-language/schema/raw/master/csl-citation.json"}</w:instrText>
      </w:r>
      <w:r w:rsidR="007418DF" w:rsidRPr="002C29D2">
        <w:fldChar w:fldCharType="separate"/>
      </w:r>
      <w:r w:rsidR="007418DF" w:rsidRPr="002C29D2">
        <w:t>(Fan et al.</w:t>
      </w:r>
      <w:r w:rsidR="00F23B5B" w:rsidRPr="002C29D2">
        <w:t xml:space="preserve"> </w:t>
      </w:r>
      <w:r w:rsidR="007418DF" w:rsidRPr="002C29D2">
        <w:t>2018)</w:t>
      </w:r>
      <w:r w:rsidR="007418DF" w:rsidRPr="002C29D2">
        <w:fldChar w:fldCharType="end"/>
      </w:r>
      <w:r w:rsidR="007418DF" w:rsidRPr="002C29D2">
        <w:t xml:space="preserve">. </w:t>
      </w:r>
      <w:r w:rsidR="00671ACF" w:rsidRPr="002C29D2">
        <w:t>Thus, to reali</w:t>
      </w:r>
      <w:r w:rsidR="00D05783" w:rsidRPr="002C29D2">
        <w:t>s</w:t>
      </w:r>
      <w:r w:rsidR="00671ACF" w:rsidRPr="002C29D2">
        <w:t xml:space="preserve">e the </w:t>
      </w:r>
      <w:r w:rsidR="00D05783" w:rsidRPr="002C29D2">
        <w:t xml:space="preserve">growing </w:t>
      </w:r>
      <w:r w:rsidR="00671ACF" w:rsidRPr="002C29D2">
        <w:t xml:space="preserve">potential of AI across healthcare </w:t>
      </w:r>
      <w:r w:rsidR="00D05783" w:rsidRPr="002C29D2">
        <w:t>organisations</w:t>
      </w:r>
      <w:r w:rsidR="00671ACF" w:rsidRPr="002C29D2">
        <w:t>,</w:t>
      </w:r>
      <w:r w:rsidR="00DA61C7" w:rsidRPr="002C29D2">
        <w:t xml:space="preserve"> </w:t>
      </w:r>
      <w:r w:rsidR="00BD18B6" w:rsidRPr="002C29D2">
        <w:t xml:space="preserve">it seems that gaining an </w:t>
      </w:r>
      <w:r w:rsidR="00671ACF" w:rsidRPr="002C29D2">
        <w:t xml:space="preserve">understanding of </w:t>
      </w:r>
      <w:r w:rsidR="00BD18B6" w:rsidRPr="002C29D2">
        <w:t xml:space="preserve">the </w:t>
      </w:r>
      <w:r w:rsidR="00671ACF" w:rsidRPr="002C29D2">
        <w:t xml:space="preserve">factors </w:t>
      </w:r>
      <w:r w:rsidR="00BD18B6" w:rsidRPr="002C29D2">
        <w:t xml:space="preserve">that </w:t>
      </w:r>
      <w:r w:rsidR="00671ACF" w:rsidRPr="002C29D2">
        <w:t xml:space="preserve">affect healthcare practitioner engagement with </w:t>
      </w:r>
      <w:r w:rsidR="0035328B" w:rsidRPr="002C29D2">
        <w:t>AI technology</w:t>
      </w:r>
      <w:r w:rsidR="00D05783" w:rsidRPr="002C29D2">
        <w:t xml:space="preserve"> </w:t>
      </w:r>
      <w:r w:rsidR="00671ACF" w:rsidRPr="002C29D2">
        <w:t xml:space="preserve">is </w:t>
      </w:r>
      <w:r w:rsidR="00BD18B6" w:rsidRPr="002C29D2">
        <w:t xml:space="preserve">an </w:t>
      </w:r>
      <w:r w:rsidR="00671ACF" w:rsidRPr="002C29D2">
        <w:t xml:space="preserve">imperative.  </w:t>
      </w:r>
    </w:p>
    <w:p w14:paraId="06EEF2E0" w14:textId="77777777" w:rsidR="003861A7" w:rsidRPr="002C29D2" w:rsidRDefault="005219C5" w:rsidP="002B1051">
      <w:pPr>
        <w:spacing w:line="480" w:lineRule="auto"/>
        <w:jc w:val="both"/>
        <w:rPr>
          <w:i/>
          <w:iCs/>
        </w:rPr>
      </w:pPr>
      <w:r w:rsidRPr="002C29D2">
        <w:rPr>
          <w:i/>
          <w:iCs/>
        </w:rPr>
        <w:t>2.2</w:t>
      </w:r>
      <w:r w:rsidR="00372A7E" w:rsidRPr="002C29D2">
        <w:rPr>
          <w:i/>
          <w:iCs/>
          <w:lang w:eastAsia="zh-TW"/>
        </w:rPr>
        <w:t>.</w:t>
      </w:r>
      <w:r w:rsidRPr="002C29D2">
        <w:rPr>
          <w:i/>
          <w:iCs/>
        </w:rPr>
        <w:t xml:space="preserve"> </w:t>
      </w:r>
      <w:r w:rsidR="00030467" w:rsidRPr="002C29D2">
        <w:rPr>
          <w:i/>
          <w:iCs/>
        </w:rPr>
        <w:t>Ethical consideration</w:t>
      </w:r>
      <w:r w:rsidR="008B7FA9" w:rsidRPr="002C29D2">
        <w:rPr>
          <w:i/>
          <w:iCs/>
        </w:rPr>
        <w:t>s</w:t>
      </w:r>
      <w:r w:rsidR="00030467" w:rsidRPr="002C29D2">
        <w:rPr>
          <w:i/>
          <w:iCs/>
        </w:rPr>
        <w:t xml:space="preserve"> of AI in healthcare </w:t>
      </w:r>
    </w:p>
    <w:p w14:paraId="2790FF8F" w14:textId="279E9255" w:rsidR="00EA18C0" w:rsidRPr="002C29D2" w:rsidRDefault="001B0673" w:rsidP="00EA18C0">
      <w:pPr>
        <w:spacing w:line="480" w:lineRule="auto"/>
        <w:ind w:firstLineChars="200" w:firstLine="480"/>
        <w:jc w:val="both"/>
      </w:pPr>
      <w:r w:rsidRPr="002C29D2">
        <w:t xml:space="preserve">  </w:t>
      </w:r>
      <w:r w:rsidR="00D05783" w:rsidRPr="002C29D2">
        <w:t>AI implementation</w:t>
      </w:r>
      <w:r w:rsidR="00C709BC" w:rsidRPr="002C29D2">
        <w:t xml:space="preserve"> in healthcare has raised public awareness </w:t>
      </w:r>
      <w:r w:rsidR="000E6DF3" w:rsidRPr="002C29D2">
        <w:t xml:space="preserve">and caused </w:t>
      </w:r>
      <w:r w:rsidR="003579E0" w:rsidRPr="002C29D2">
        <w:t xml:space="preserve">considerable </w:t>
      </w:r>
      <w:r w:rsidR="000E6DF3" w:rsidRPr="002C29D2">
        <w:t>controversy</w:t>
      </w:r>
      <w:r w:rsidR="003579E0" w:rsidRPr="002C29D2">
        <w:t>,</w:t>
      </w:r>
      <w:r w:rsidR="000E6DF3" w:rsidRPr="002C29D2">
        <w:t xml:space="preserve"> </w:t>
      </w:r>
      <w:r w:rsidR="000A4B66" w:rsidRPr="002C29D2">
        <w:t xml:space="preserve">particularly </w:t>
      </w:r>
      <w:r w:rsidR="000E6DF3" w:rsidRPr="002C29D2">
        <w:t xml:space="preserve">concerning </w:t>
      </w:r>
      <w:r w:rsidR="003579E0" w:rsidRPr="002C29D2">
        <w:t xml:space="preserve">the </w:t>
      </w:r>
      <w:r w:rsidR="000E6DF3" w:rsidRPr="002C29D2">
        <w:t xml:space="preserve">ethical implications </w:t>
      </w:r>
      <w:r w:rsidR="00C709BC" w:rsidRPr="002C29D2">
        <w:fldChar w:fldCharType="begin" w:fldLock="1"/>
      </w:r>
      <w:r w:rsidR="00830194" w:rsidRPr="002C29D2">
        <w:instrText>ADDIN CSL_CITATION {"citationItems":[{"id":"ITEM-1","itemData":{"author":[{"dropping-particle":"","family":"Vakkuri","given":"Ville","non-dropping-particle":"","parse-names":false,"suffix":""},{"dropping-particle":"","family":"Kemell","given":"Kai-Kristian","non-dropping-particle":"","parse-names":false,"suffix":""},{"dropping-particle":"","family":"Kultanen","given":"Joni","non-dropping-particle":"","parse-names":false,"suffix":""},{"dropping-particle":"","family":"Abrahamsson","given":"Pekka","non-dropping-particle":"","parse-names":false,"suffix":""}],"container-title":"IEEE Software","id":"ITEM-1","issue":"4","issued":{"date-parts":[["2020"]]},"page":"50-57","title":"The current state of industrial practice in artificial intelligence ethics","type":"paper-conference","volume":"37"},"uris":["http://www.mendeley.com/documents/?uuid=313ef1b6-040f-4663-9639-a5f12f9278fc"]}],"mendeley":{"formattedCitation":"(Vakkuri et al., 2020)","plainTextFormattedCitation":"(Vakkuri et al., 2020)","previouslyFormattedCitation":"(Vakkuri &lt;i&gt;et al.&lt;/i&gt;, 2020)"},"properties":{"noteIndex":0},"schema":"https://github.com/citation-style-language/schema/raw/master/csl-citation.json"}</w:instrText>
      </w:r>
      <w:r w:rsidR="00C709BC" w:rsidRPr="002C29D2">
        <w:fldChar w:fldCharType="separate"/>
      </w:r>
      <w:r w:rsidR="00C709BC" w:rsidRPr="002C29D2">
        <w:t>(</w:t>
      </w:r>
      <w:r w:rsidR="001D5DEE" w:rsidRPr="002C29D2">
        <w:t xml:space="preserve">e.g., </w:t>
      </w:r>
      <w:r w:rsidR="00C709BC" w:rsidRPr="002C29D2">
        <w:t>Vakkuri et al. 2020)</w:t>
      </w:r>
      <w:r w:rsidR="00C709BC" w:rsidRPr="002C29D2">
        <w:fldChar w:fldCharType="end"/>
      </w:r>
      <w:r w:rsidR="000E6DF3" w:rsidRPr="002C29D2">
        <w:t>.</w:t>
      </w:r>
      <w:r w:rsidR="00CE6F01" w:rsidRPr="002C29D2">
        <w:t xml:space="preserve"> </w:t>
      </w:r>
      <w:r w:rsidR="003579E0" w:rsidRPr="002C29D2">
        <w:t>The</w:t>
      </w:r>
      <w:r w:rsidR="00DA61C7" w:rsidRPr="002C29D2">
        <w:t xml:space="preserve"> discussion on ethical concerns arising from the unintended impacts</w:t>
      </w:r>
      <w:r w:rsidR="003579E0" w:rsidRPr="002C29D2">
        <w:t xml:space="preserve"> of </w:t>
      </w:r>
      <w:r w:rsidR="003E5909" w:rsidRPr="002C29D2">
        <w:t>AI</w:t>
      </w:r>
      <w:r w:rsidR="003579E0" w:rsidRPr="002C29D2">
        <w:t xml:space="preserve"> in healthcare has been substantial</w:t>
      </w:r>
      <w:r w:rsidR="00DA61C7" w:rsidRPr="002C29D2">
        <w:t xml:space="preserve"> (Morley et al. 2020; Peters et al. 2020)</w:t>
      </w:r>
      <w:r w:rsidR="003579E0" w:rsidRPr="002C29D2">
        <w:t xml:space="preserve"> and recently </w:t>
      </w:r>
      <w:r w:rsidR="00DA61C7" w:rsidRPr="002C29D2">
        <w:t>ex</w:t>
      </w:r>
      <w:r w:rsidR="003579E0" w:rsidRPr="002C29D2">
        <w:t>ten</w:t>
      </w:r>
      <w:r w:rsidR="00DA61C7" w:rsidRPr="002C29D2">
        <w:t>d</w:t>
      </w:r>
      <w:r w:rsidR="003579E0" w:rsidRPr="002C29D2">
        <w:t>ed</w:t>
      </w:r>
      <w:r w:rsidR="00DA61C7" w:rsidRPr="002C29D2">
        <w:t xml:space="preserve"> </w:t>
      </w:r>
      <w:r w:rsidR="003579E0" w:rsidRPr="002C29D2">
        <w:t>in</w:t>
      </w:r>
      <w:r w:rsidR="00DA61C7" w:rsidRPr="002C29D2">
        <w:t xml:space="preserve">to the theoretical constructs and principles of AI </w:t>
      </w:r>
      <w:r w:rsidR="00DA61C7" w:rsidRPr="002C29D2">
        <w:rPr>
          <w:rStyle w:val="FootnoteReference"/>
        </w:rPr>
        <w:fldChar w:fldCharType="begin" w:fldLock="1"/>
      </w:r>
      <w:r w:rsidR="00DA61C7" w:rsidRPr="002C29D2">
        <w:instrText>ADDIN CSL_CITATION {"citationItems":[{"id":"ITEM-1","itemData":{"author":[{"dropping-particle":"","family":"Jobin","given":"A.","non-dropping-particle":"","parse-names":false,"suffix":""},{"dropping-particle":"","family":"Lenca","given":"M.","non-dropping-particle":"","parse-names":false,"suffix":""},{"dropping-particle":"","family":"Vayena","given":"E.","non-dropping-particle":"","parse-names":false,"suffix":""}],"container-title":"Nature Machine Intelligence","id":"ITEM-1","issued":{"date-parts":[["2019"]]},"page":"389-399","title":"The global landscape of AI ethics guidelines","type":"article-journal","volume":"1"},"uris":["http://www.mendeley.com/documents/?uuid=984b4763-1176-4955-b042-f2c5886e5bdf"]},{"id":"ITEM-2","itemData":{"author":[{"dropping-particle":"","family":"Whittlestone","given":"J","non-dropping-particle":"","parse-names":false,"suffix":""},{"dropping-particle":"","family":"Nyrup","given":"R","non-dropping-particle":"","parse-names":false,"suffix":""},{"dropping-particle":"","family":"Alexandrova","given":"A","non-dropping-particle":"","parse-names":false,"suffix":""},{"dropping-particle":"","family":"Cave","given":"S","non-dropping-particle":"","parse-names":false,"suffix":""}],"container-title":"Proceedings of the 2019 AAAI/ACM Conference on AI, Ethics, and Society","id":"ITEM-2","issued":{"date-parts":[["2019"]]},"page":"195-200","title":"The role and limits of principles in AI ethics: towards a focus on tensions","type":"paper-conference"},"uris":["http://www.mendeley.com/documents/?uuid=6e1fbcc1-3f09-4c5c-86a6-89ddafbf5925"]},{"id":"ITEM-3","itemData":{"author":[{"dropping-particle":"","family":"Bryson","given":"Joanna","non-dropping-particle":"","parse-names":false,"suffix":""},{"dropping-particle":"","family":"Winfield","given":"Alan F.","non-dropping-particle":"","parse-names":false,"suffix":""}],"container-title":"Computer","id":"ITEM-3","issue":"5","issued":{"date-parts":[["2017"]]},"page":"116-119","title":"Standardizing ethical design for artificial intelligence and autonomous systems","type":"article-journal","volume":"50"},"uris":["http://www.mendeley.com/documents/?uuid=b492ce4b-6767-4d3f-a9ad-c90d794b9573"]}],"mendeley":{"formattedCitation":"(Bryson &amp; Winfield, 2017; Jobin et al., 2019; Whittlestone et al., 2019)","manualFormatting":"(Bryson &amp; Winfield, 2017; Jobin et al., 2019; Whittlestone et al., 2019)","plainTextFormattedCitation":"(Bryson &amp; Winfield, 2017; Jobin et al., 2019; Whittlestone et al., 2019)","previouslyFormattedCitation":"(Bryson and Winfield, 2017; Jobin, Lenca and Vayena, 2019; Whittlestone &lt;i&gt;et al.&lt;/i&gt;, 2019)"},"properties":{"noteIndex":0},"schema":"https://github.com/citation-style-language/schema/raw/master/csl-citation.json"}</w:instrText>
      </w:r>
      <w:r w:rsidR="00DA61C7" w:rsidRPr="002C29D2">
        <w:rPr>
          <w:rStyle w:val="FootnoteReference"/>
        </w:rPr>
        <w:fldChar w:fldCharType="separate"/>
      </w:r>
      <w:r w:rsidR="00DA61C7" w:rsidRPr="002C29D2">
        <w:t>(Jobin et al. 2019)</w:t>
      </w:r>
      <w:r w:rsidR="00DA61C7" w:rsidRPr="002C29D2">
        <w:rPr>
          <w:rStyle w:val="FootnoteReference"/>
        </w:rPr>
        <w:fldChar w:fldCharType="end"/>
      </w:r>
      <w:r w:rsidR="00DA61C7" w:rsidRPr="002C29D2">
        <w:t xml:space="preserve">. </w:t>
      </w:r>
      <w:r w:rsidR="00E40D1E" w:rsidRPr="002C29D2">
        <w:t>In response to concern, e</w:t>
      </w:r>
      <w:r w:rsidR="00DA61C7" w:rsidRPr="002C29D2">
        <w:t xml:space="preserve">thical and rights-based </w:t>
      </w:r>
      <w:r w:rsidR="003579E0" w:rsidRPr="002C29D2">
        <w:t>frameworks that</w:t>
      </w:r>
      <w:r w:rsidR="00DA61C7" w:rsidRPr="002C29D2">
        <w:t xml:space="preserve"> guide and govern AI implementations have been</w:t>
      </w:r>
      <w:r w:rsidR="003579E0" w:rsidRPr="002C29D2">
        <w:t xml:space="preserve"> explicit </w:t>
      </w:r>
      <w:r w:rsidR="00E40D1E" w:rsidRPr="002C29D2">
        <w:t>when</w:t>
      </w:r>
      <w:r w:rsidR="003579E0" w:rsidRPr="002C29D2">
        <w:t xml:space="preserve"> </w:t>
      </w:r>
      <w:r w:rsidR="00DA61C7" w:rsidRPr="002C29D2">
        <w:t xml:space="preserve">documented by different </w:t>
      </w:r>
      <w:r w:rsidR="00E40D1E" w:rsidRPr="002C29D2">
        <w:t xml:space="preserve">industries </w:t>
      </w:r>
      <w:r w:rsidR="00DA61C7" w:rsidRPr="002C29D2">
        <w:t xml:space="preserve">around the globe </w:t>
      </w:r>
      <w:r w:rsidR="00DA61C7" w:rsidRPr="002C29D2">
        <w:rPr>
          <w:rStyle w:val="FootnoteReference"/>
        </w:rPr>
        <w:fldChar w:fldCharType="begin" w:fldLock="1"/>
      </w:r>
      <w:r w:rsidR="00DA61C7" w:rsidRPr="002C29D2">
        <w:instrText>ADDIN CSL_CITATION {"citationItems":[{"id":"ITEM-1","itemData":{"author":[{"dropping-particle":"","family":"Jobin","given":"A.","non-dropping-particle":"","parse-names":false,"suffix":""},{"dropping-particle":"","family":"Lenca","given":"M.","non-dropping-particle":"","parse-names":false,"suffix":""},{"dropping-particle":"","family":"Vayena","given":"E.","non-dropping-particle":"","parse-names":false,"suffix":""}],"container-title":"Nature Machine Intelligence","id":"ITEM-1","issued":{"date-parts":[["2019"]]},"page":"389-399","title":"The global landscape of AI ethics guidelines","type":"article-journal","volume":"1"},"uris":["http://www.mendeley.com/documents/?uuid=984b4763-1176-4955-b042-f2c5886e5bdf"]},{"id":"ITEM-2","itemData":{"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y","non-dropping-particle":"","parse-names":false,"suffix":""}],"container-title":"Minds and Machines","id":"ITEM-2","issued":{"date-parts":[["2018"]]},"page":"689-707","title":"AI4People—An ethical framework for a good AI society: Opportunities, risks, principles, and recommendations","type":"article-journal","volume":"28"},"uris":["http://www.mendeley.com/documents/?uuid=0fa69287-7058-4569-9a08-d9a1a093b8cc"]}],"mendeley":{"formattedCitation":"(Floridi et al., 2018; Jobin et al., 2019)","manualFormatting":"(Floridi et al., 2018; Jobin et al., 2019)","plainTextFormattedCitation":"(Floridi et al., 2018; Jobin et al., 2019)","previouslyFormattedCitation":"(Floridi &lt;i&gt;et al.&lt;/i&gt;, 2018; Jobin, Lenca and Vayena, 2019)"},"properties":{"noteIndex":0},"schema":"https://github.com/citation-style-language/schema/raw/master/csl-citation.json"}</w:instrText>
      </w:r>
      <w:r w:rsidR="00DA61C7" w:rsidRPr="002C29D2">
        <w:rPr>
          <w:rStyle w:val="FootnoteReference"/>
        </w:rPr>
        <w:fldChar w:fldCharType="separate"/>
      </w:r>
      <w:r w:rsidR="00DA61C7" w:rsidRPr="002C29D2">
        <w:t>(Floridi et al. 2018; Jobin et al. 2019)</w:t>
      </w:r>
      <w:r w:rsidR="00DA61C7" w:rsidRPr="002C29D2">
        <w:rPr>
          <w:rStyle w:val="FootnoteReference"/>
        </w:rPr>
        <w:fldChar w:fldCharType="end"/>
      </w:r>
      <w:r w:rsidR="00DA61C7" w:rsidRPr="002C29D2">
        <w:t>.</w:t>
      </w:r>
    </w:p>
    <w:p w14:paraId="3CEEB558" w14:textId="7FBD9884" w:rsidR="001D5DEE" w:rsidRPr="002C29D2" w:rsidRDefault="00E40D1E" w:rsidP="00EA18C0">
      <w:pPr>
        <w:spacing w:line="480" w:lineRule="auto"/>
        <w:ind w:firstLineChars="200" w:firstLine="480"/>
        <w:jc w:val="both"/>
      </w:pPr>
      <w:r w:rsidRPr="002C29D2">
        <w:t>Nevertheless, m</w:t>
      </w:r>
      <w:r w:rsidR="00DA61C7" w:rsidRPr="002C29D2">
        <w:t>ost</w:t>
      </w:r>
      <w:r w:rsidR="0051242C" w:rsidRPr="002C29D2">
        <w:t xml:space="preserve"> healthcare organi</w:t>
      </w:r>
      <w:r w:rsidR="00D05783" w:rsidRPr="002C29D2">
        <w:t>s</w:t>
      </w:r>
      <w:r w:rsidR="0051242C" w:rsidRPr="002C29D2">
        <w:t xml:space="preserve">ations </w:t>
      </w:r>
      <w:r w:rsidR="00B95FEC" w:rsidRPr="002C29D2">
        <w:t xml:space="preserve">struggle </w:t>
      </w:r>
      <w:r w:rsidR="0051242C" w:rsidRPr="002C29D2">
        <w:t xml:space="preserve">to collect the data needed </w:t>
      </w:r>
      <w:r w:rsidR="00D05783" w:rsidRPr="002C29D2">
        <w:t xml:space="preserve">to </w:t>
      </w:r>
      <w:r w:rsidR="00B95FEC" w:rsidRPr="002C29D2">
        <w:t xml:space="preserve">design appropriate </w:t>
      </w:r>
      <w:r w:rsidR="0051242C" w:rsidRPr="002C29D2">
        <w:t xml:space="preserve">algorithms for local patients </w:t>
      </w:r>
      <w:r w:rsidRPr="002C29D2">
        <w:t xml:space="preserve">or </w:t>
      </w:r>
      <w:r w:rsidR="00B95FEC" w:rsidRPr="002C29D2">
        <w:t xml:space="preserve">generate consistent </w:t>
      </w:r>
      <w:r w:rsidR="0051242C" w:rsidRPr="002C29D2">
        <w:t>practice patterns</w:t>
      </w:r>
      <w:r w:rsidR="00D05783" w:rsidRPr="002C29D2">
        <w:t xml:space="preserve"> </w:t>
      </w:r>
      <w:r w:rsidR="00B95FEC" w:rsidRPr="002C29D2">
        <w:t>due to</w:t>
      </w:r>
      <w:r w:rsidR="00D05783" w:rsidRPr="002C29D2">
        <w:t xml:space="preserve"> </w:t>
      </w:r>
      <w:r w:rsidR="00913ED7" w:rsidRPr="002C29D2">
        <w:t xml:space="preserve">weak </w:t>
      </w:r>
      <w:r w:rsidR="00D05783" w:rsidRPr="002C29D2">
        <w:t>data infrastructure</w:t>
      </w:r>
      <w:r w:rsidR="00B95FEC" w:rsidRPr="002C29D2">
        <w:t>. Such weakness can</w:t>
      </w:r>
      <w:r w:rsidR="00D05783" w:rsidRPr="002C29D2">
        <w:t xml:space="preserve"> lead to</w:t>
      </w:r>
      <w:r w:rsidR="00B95FEC" w:rsidRPr="002C29D2">
        <w:t xml:space="preserve"> inconsistent </w:t>
      </w:r>
      <w:r w:rsidR="0051242C" w:rsidRPr="002C29D2">
        <w:t>algorithmic performance</w:t>
      </w:r>
      <w:r w:rsidR="004D3896" w:rsidRPr="002C29D2">
        <w:t xml:space="preserve"> </w:t>
      </w:r>
      <w:r w:rsidR="00D05783" w:rsidRPr="002C29D2">
        <w:t xml:space="preserve">and </w:t>
      </w:r>
      <w:r w:rsidR="0051242C" w:rsidRPr="002C29D2">
        <w:lastRenderedPageBreak/>
        <w:t>inaccurate diagnos</w:t>
      </w:r>
      <w:r w:rsidR="00B95FEC" w:rsidRPr="002C29D2">
        <w:t>es</w:t>
      </w:r>
      <w:r w:rsidR="0051242C" w:rsidRPr="002C29D2">
        <w:t xml:space="preserve"> </w:t>
      </w:r>
      <w:r w:rsidR="0051242C" w:rsidRPr="002C29D2">
        <w:rPr>
          <w:rStyle w:val="FootnoteReference"/>
        </w:rPr>
        <w:fldChar w:fldCharType="begin" w:fldLock="1"/>
      </w:r>
      <w:r w:rsidR="00830194" w:rsidRPr="002C29D2">
        <w:instrText>ADDIN CSL_CITATION {"citationItems":[{"id":"ITEM-1","itemData":{"author":[{"dropping-particle":"","family":"Panch","given":"T.","non-dropping-particle":"","parse-names":false,"suffix":""},{"dropping-particle":"","family":"Mattie","given":"H.","non-dropping-particle":"","parse-names":false,"suffix":""},{"dropping-particle":"","family":"Celi","given":"L.A.","non-dropping-particle":"","parse-names":false,"suffix":""}],"container-title":"Npj Digital Medicine","id":"ITEM-1","issue":"1","issued":{"date-parts":[["2019"]]},"page":"1-3","title":"The “inconvenient truth” about AI in healthcare","type":"article-journal","volume":"2"},"uris":["http://www.mendeley.com/documents/?uuid=e9e44473-32c5-48b6-8c5e-3e4e8a88696e"]}],"mendeley":{"formattedCitation":"(Panch et al., 2019)","manualFormatting":"(Panch et al., 2019)","plainTextFormattedCitation":"(Panch et al., 2019)","previouslyFormattedCitation":"(Panch, Mattie and Celi, 2019)"},"properties":{"noteIndex":0},"schema":"https://github.com/citation-style-language/schema/raw/master/csl-citation.json"}</w:instrText>
      </w:r>
      <w:r w:rsidR="0051242C" w:rsidRPr="002C29D2">
        <w:rPr>
          <w:rStyle w:val="FootnoteReference"/>
        </w:rPr>
        <w:fldChar w:fldCharType="separate"/>
      </w:r>
      <w:r w:rsidR="0051242C" w:rsidRPr="002C29D2">
        <w:t>(Panch et al. 2019)</w:t>
      </w:r>
      <w:r w:rsidR="0051242C" w:rsidRPr="002C29D2">
        <w:rPr>
          <w:rStyle w:val="FootnoteReference"/>
        </w:rPr>
        <w:fldChar w:fldCharType="end"/>
      </w:r>
      <w:r w:rsidR="0051242C" w:rsidRPr="002C29D2">
        <w:t xml:space="preserve">. </w:t>
      </w:r>
      <w:r w:rsidR="001D0F94" w:rsidRPr="002C29D2">
        <w:t xml:space="preserve">Given </w:t>
      </w:r>
      <w:r w:rsidRPr="002C29D2">
        <w:t xml:space="preserve">that </w:t>
      </w:r>
      <w:r w:rsidR="001D0F94" w:rsidRPr="002C29D2">
        <w:t xml:space="preserve">health practitioners often work in </w:t>
      </w:r>
      <w:r w:rsidR="00DD09DB" w:rsidRPr="002C29D2">
        <w:t xml:space="preserve">sensitive and high-risk contexts </w:t>
      </w:r>
      <w:r w:rsidR="00DD09DB" w:rsidRPr="002C29D2">
        <w:fldChar w:fldCharType="begin" w:fldLock="1"/>
      </w:r>
      <w:r w:rsidR="00830194" w:rsidRPr="002C29D2">
        <w:instrText>ADDIN CSL_CITATION {"citationItems":[{"id":"ITEM-1","itemData":{"author":[{"dropping-particle":"","family":"Peters","given":"D.","non-dropping-particle":"","parse-names":false,"suffix":""},{"dropping-particle":"","family":"Vold","given":"K.","non-dropping-particle":"","parse-names":false,"suffix":""},{"dropping-particle":"","family":"Robinson","given":"D.","non-dropping-particle":"","parse-names":false,"suffix":""},{"dropping-particle":"","family":"Calvo","given":"R. A.","non-dropping-particle":"","parse-names":false,"suffix":""}],"container-title":"IEEE Transactions on Technology and Society","id":"ITEM-1","issue":"1","issued":{"date-parts":[["2020"]]},"page":"34-47","title":"Responsible AI: Two frameworks for ethical design practice","type":"article-journal","volume":"1"},"uris":["http://www.mendeley.com/documents/?uuid=0753acd1-8a73-4e1f-804e-1dd31cfec774"]}],"mendeley":{"formattedCitation":"(Peters et al., 2020)","plainTextFormattedCitation":"(Peters et al., 2020)","previouslyFormattedCitation":"(Peters &lt;i&gt;et al.&lt;/i&gt;, 2020)"},"properties":{"noteIndex":0},"schema":"https://github.com/citation-style-language/schema/raw/master/csl-citation.json"}</w:instrText>
      </w:r>
      <w:r w:rsidR="00DD09DB" w:rsidRPr="002C29D2">
        <w:fldChar w:fldCharType="separate"/>
      </w:r>
      <w:r w:rsidR="00DD09DB" w:rsidRPr="002C29D2">
        <w:t>(Peters et al. 2020)</w:t>
      </w:r>
      <w:r w:rsidR="00DD09DB" w:rsidRPr="002C29D2">
        <w:fldChar w:fldCharType="end"/>
      </w:r>
      <w:r w:rsidR="001D0F94" w:rsidRPr="002C29D2">
        <w:t xml:space="preserve">, </w:t>
      </w:r>
      <w:r w:rsidR="00D3165A" w:rsidRPr="002C29D2">
        <w:t>cautio</w:t>
      </w:r>
      <w:r w:rsidRPr="002C29D2">
        <w:t xml:space="preserve">n with implementation is crucial </w:t>
      </w:r>
      <w:r w:rsidR="00D05783" w:rsidRPr="002C29D2">
        <w:t xml:space="preserve">for practitioners </w:t>
      </w:r>
      <w:r w:rsidR="00D3165A" w:rsidRPr="002C29D2">
        <w:t>to</w:t>
      </w:r>
      <w:r w:rsidR="00DA65F2" w:rsidRPr="002C29D2">
        <w:t xml:space="preserve"> mitigate</w:t>
      </w:r>
      <w:r w:rsidR="00055D2F" w:rsidRPr="002C29D2">
        <w:t xml:space="preserve"> against</w:t>
      </w:r>
      <w:r w:rsidR="00DA65F2" w:rsidRPr="002C29D2">
        <w:t xml:space="preserve"> </w:t>
      </w:r>
      <w:r w:rsidR="00BE7CD9" w:rsidRPr="002C29D2">
        <w:t xml:space="preserve">potential </w:t>
      </w:r>
      <w:r w:rsidR="00D05783" w:rsidRPr="002C29D2">
        <w:t xml:space="preserve">ethical </w:t>
      </w:r>
      <w:r w:rsidRPr="002C29D2">
        <w:t xml:space="preserve">breaches </w:t>
      </w:r>
      <w:r w:rsidR="00DA65F2" w:rsidRPr="002C29D2">
        <w:t>and</w:t>
      </w:r>
      <w:r w:rsidR="00D05783" w:rsidRPr="002C29D2">
        <w:t xml:space="preserve"> ensure ac</w:t>
      </w:r>
      <w:r w:rsidR="00055D2F" w:rsidRPr="002C29D2">
        <w:t>c</w:t>
      </w:r>
      <w:r w:rsidR="00D05783" w:rsidRPr="002C29D2">
        <w:t>ura</w:t>
      </w:r>
      <w:r w:rsidR="00055D2F" w:rsidRPr="002C29D2">
        <w:t>cy in AI</w:t>
      </w:r>
      <w:r w:rsidR="00D05783" w:rsidRPr="002C29D2">
        <w:t xml:space="preserve"> use.</w:t>
      </w:r>
      <w:r w:rsidR="00D3165A" w:rsidRPr="002C29D2">
        <w:t xml:space="preserve"> </w:t>
      </w:r>
    </w:p>
    <w:p w14:paraId="57B96F93" w14:textId="4AB9A99F" w:rsidR="00C460D5" w:rsidRPr="002C29D2" w:rsidRDefault="001D5DEE" w:rsidP="001D5DEE">
      <w:pPr>
        <w:spacing w:line="480" w:lineRule="auto"/>
        <w:ind w:firstLineChars="200" w:firstLine="480"/>
        <w:jc w:val="both"/>
      </w:pPr>
      <w:r w:rsidRPr="002C29D2">
        <w:t xml:space="preserve">While </w:t>
      </w:r>
      <w:r w:rsidR="006342F2" w:rsidRPr="002C29D2">
        <w:t xml:space="preserve">AI principles </w:t>
      </w:r>
      <w:r w:rsidRPr="002C29D2">
        <w:t>exert</w:t>
      </w:r>
      <w:r w:rsidR="006342F2" w:rsidRPr="002C29D2">
        <w:t xml:space="preserve"> normative constraints on the responsible use of </w:t>
      </w:r>
      <w:r w:rsidR="00055D2F" w:rsidRPr="002C29D2">
        <w:t xml:space="preserve">the </w:t>
      </w:r>
      <w:r w:rsidR="0035328B" w:rsidRPr="002C29D2">
        <w:t>technology</w:t>
      </w:r>
      <w:r w:rsidR="006342F2" w:rsidRPr="002C29D2">
        <w:t xml:space="preserve">, </w:t>
      </w:r>
      <w:r w:rsidRPr="002C29D2">
        <w:t>existing research points</w:t>
      </w:r>
      <w:r w:rsidR="00897237" w:rsidRPr="002C29D2">
        <w:t xml:space="preserve"> out that </w:t>
      </w:r>
      <w:r w:rsidRPr="002C29D2">
        <w:t xml:space="preserve">such principles remain </w:t>
      </w:r>
      <w:r w:rsidR="0099653E" w:rsidRPr="002C29D2">
        <w:t>highly theoretical</w:t>
      </w:r>
      <w:r w:rsidR="00C35E8E" w:rsidRPr="002C29D2">
        <w:t xml:space="preserve">; they are </w:t>
      </w:r>
      <w:r w:rsidR="001807E4" w:rsidRPr="002C29D2">
        <w:t>conceptual</w:t>
      </w:r>
      <w:r w:rsidRPr="002C29D2">
        <w:t xml:space="preserve"> </w:t>
      </w:r>
      <w:r w:rsidR="00C35E8E" w:rsidRPr="002C29D2">
        <w:t xml:space="preserve">frameworks </w:t>
      </w:r>
      <w:r w:rsidR="00485C3F" w:rsidRPr="002C29D2">
        <w:t>yet</w:t>
      </w:r>
      <w:r w:rsidRPr="002C29D2">
        <w:t xml:space="preserve"> </w:t>
      </w:r>
      <w:r w:rsidR="00C35E8E" w:rsidRPr="002C29D2">
        <w:t xml:space="preserve">to </w:t>
      </w:r>
      <w:r w:rsidRPr="002C29D2">
        <w:t>demonstrate</w:t>
      </w:r>
      <w:r w:rsidR="0099653E" w:rsidRPr="002C29D2">
        <w:t xml:space="preserve"> </w:t>
      </w:r>
      <w:r w:rsidRPr="002C29D2">
        <w:t xml:space="preserve">empirical </w:t>
      </w:r>
      <w:r w:rsidR="0099653E" w:rsidRPr="002C29D2">
        <w:t xml:space="preserve">evidence </w:t>
      </w:r>
      <w:r w:rsidRPr="002C29D2">
        <w:t>on whether the</w:t>
      </w:r>
      <w:r w:rsidR="00C35E8E" w:rsidRPr="002C29D2">
        <w:t>y</w:t>
      </w:r>
      <w:r w:rsidRPr="002C29D2">
        <w:t xml:space="preserve"> affect</w:t>
      </w:r>
      <w:r w:rsidR="0099653E" w:rsidRPr="002C29D2">
        <w:t xml:space="preserve"> ethical decisio</w:t>
      </w:r>
      <w:r w:rsidR="00F23B5B" w:rsidRPr="002C29D2">
        <w:t xml:space="preserve">n-making </w:t>
      </w:r>
      <w:r w:rsidR="00F810E1" w:rsidRPr="002C29D2">
        <w:fldChar w:fldCharType="begin" w:fldLock="1"/>
      </w:r>
      <w:r w:rsidR="00897237" w:rsidRPr="002C29D2">
        <w:instrText>ADDIN CSL_CITATION {"citationItems":[{"id":"ITEM-1","itemData":{"author":[{"dropping-particle":"","family":"McNamara","given":"A.","non-dropping-particle":"","parse-names":false,"suffix":""},{"dropping-particle":"","family":"Smith","given":"J.","non-dropping-particle":"","parse-names":false,"suffix":""},{"dropping-particle":"","family":"Murphy-Hill","given":"E.","non-dropping-particle":"","parse-names":false,"suffix":""}],"container-title":"Proceedings of the 2018 26th ACM Joint Meeting on European Software Engineering Conference and Symposium on the Foundations of Software Engineering","id":"ITEM-1","issued":{"date-parts":[["2018"]]},"page":"729-733","title":"Does ACM's code of ethics change ethical decision making in software development?","type":"paper-conference"},"uris":["http://www.mendeley.com/documents/?uuid=4ded07fd-d059-4e8a-8a2f-47d2ec835b19"]},{"id":"ITEM-2","itemData":{"author":[{"dropping-particle":"","family":"Vakkuri","given":"Ville","non-dropping-particle":"","parse-names":false,"suffix":""},{"dropping-particle":"","family":"Kemell","given":"Kai-Kristian","non-dropping-particle":"","parse-names":false,"suffix":""},{"dropping-particle":"","family":"Kultanen","given":"Joni","non-dropping-particle":"","parse-names":false,"suffix":""},{"dropping-particle":"","family":"Abrahamsson","given":"Pekka","non-dropping-particle":"","parse-names":false,"suffix":""}],"container-title":"IEEE Software","id":"ITEM-2","issue":"4","issued":{"date-parts":[["2020"]]},"page":"50-57","title":"The current state of industrial practice in artificial intelligence ethics","type":"paper-conference","volume":"37"},"uris":["http://www.mendeley.com/documents/?uuid=313ef1b6-040f-4663-9639-a5f12f9278fc"]},{"id":"ITEM-3","itemData":{"author":[{"dropping-particle":"","family":"Greene","given":"Daniel","non-dropping-particle":"","parse-names":false,"suffix":""},{"dropping-particle":"","family":"Hoffmann","given":"Anna Lauren","non-dropping-particle":"","parse-names":false,"suffix":""},{"dropping-particle":"","family":"Stark","given":"Luke","non-dropping-particle":"","parse-names":false,"suffix":""}],"container-title":"Critical and Ethical Studies of Digital and Social Media","id":"ITEM-3","issued":{"date-parts":[["2019"]]},"title":"Better, nicer, clearer, fairer: A critical assessment of the movement for ethical artificial intelligence and machine learning","type":"article-journal","volume":"10"},"uris":["http://www.mendeley.com/documents/?uuid=25596de0-672b-4263-b6ff-e94f89229fac"]}],"mendeley":{"formattedCitation":"(Greene et al., 2019; McNamara et al., 2018; Vakkuri et al., 2020)","manualFormatting":"(e.g. McNamara et al., 2018; Greene et al., 2019; Vakkuri et al., 2020)","plainTextFormattedCitation":"(Greene et al., 2019; McNamara et al., 2018; Vakkuri et al., 2020)","previouslyFormattedCitation":"(McNamara, Smith and Murphy-Hill, 2018; Greene, Hoffmann and Stark, 2019; Vakkuri &lt;i&gt;et al.&lt;/i&gt;, 2020)"},"properties":{"noteIndex":0},"schema":"https://github.com/citation-style-language/schema/raw/master/csl-citation.json"}</w:instrText>
      </w:r>
      <w:r w:rsidR="00F810E1" w:rsidRPr="002C29D2">
        <w:fldChar w:fldCharType="separate"/>
      </w:r>
      <w:r w:rsidR="00F810E1" w:rsidRPr="002C29D2">
        <w:t>(</w:t>
      </w:r>
      <w:r w:rsidR="00F23B5B" w:rsidRPr="002C29D2">
        <w:t xml:space="preserve">Greene et al. 2019; </w:t>
      </w:r>
      <w:r w:rsidR="00F810E1" w:rsidRPr="002C29D2">
        <w:t>Vakkuri et al. 2020)</w:t>
      </w:r>
      <w:r w:rsidR="00F810E1" w:rsidRPr="002C29D2">
        <w:fldChar w:fldCharType="end"/>
      </w:r>
      <w:r w:rsidR="00E03549" w:rsidRPr="002C29D2">
        <w:t>.</w:t>
      </w:r>
      <w:r w:rsidR="009B3A04" w:rsidRPr="002C29D2">
        <w:t xml:space="preserve"> Moreover, </w:t>
      </w:r>
      <w:r w:rsidR="009B3A04" w:rsidRPr="002C29D2">
        <w:fldChar w:fldCharType="begin" w:fldLock="1"/>
      </w:r>
      <w:r w:rsidR="00830194" w:rsidRPr="002C29D2">
        <w:instrText>ADDIN CSL_CITATION {"citationItems":[{"id":"ITEM-1","itemData":{"author":[{"dropping-particle":"","family":"Rothenberger","given":"L.","non-dropping-particle":"","parse-names":false,"suffix":""},{"dropping-particle":"","family":"Fabian","given":"B.","non-dropping-particle":"","parse-names":false,"suffix":""},{"dropping-particle":"","family":"Arunov","given":"E.","non-dropping-particle":"","parse-names":false,"suffix":""}],"container-title":"the 27th European Conference on Information Systems (ECIS)","id":"ITEM-1","issued":{"date-parts":[["2019"]]},"publisher":"Stockholm &amp; Uppsala","publisher-place":"Sweden","title":"Relevance of ethical guidelines for artificial intelligence - a survey and evaluation","type":"paper-conference"},"uris":["http://www.mendeley.com/documents/?uuid=d8fdcc9a-c7ff-4cc6-a569-bd1db1a89b88"]}],"mendeley":{"formattedCitation":"(Rothenberger et al., 2019)","manualFormatting":"Rothenberger et al. (2019)","plainTextFormattedCitation":"(Rothenberger et al., 2019)","previouslyFormattedCitation":"(Rothenberger, Fabian and Arunov, 2019)"},"properties":{"noteIndex":0},"schema":"https://github.com/citation-style-language/schema/raw/master/csl-citation.json"}</w:instrText>
      </w:r>
      <w:r w:rsidR="009B3A04" w:rsidRPr="002C29D2">
        <w:fldChar w:fldCharType="separate"/>
      </w:r>
      <w:r w:rsidR="009B3A04" w:rsidRPr="002C29D2">
        <w:t>Rothenberger et al. (2019)</w:t>
      </w:r>
      <w:r w:rsidR="009B3A04" w:rsidRPr="002C29D2">
        <w:fldChar w:fldCharType="end"/>
      </w:r>
      <w:r w:rsidR="009B3A04" w:rsidRPr="002C29D2">
        <w:t xml:space="preserve"> </w:t>
      </w:r>
      <w:r w:rsidR="00997415" w:rsidRPr="002C29D2">
        <w:t xml:space="preserve">highlight </w:t>
      </w:r>
      <w:r w:rsidR="009B3A04" w:rsidRPr="002C29D2">
        <w:t xml:space="preserve">the importance of </w:t>
      </w:r>
      <w:r w:rsidR="00C35E8E" w:rsidRPr="002C29D2">
        <w:t xml:space="preserve">identifying </w:t>
      </w:r>
      <w:r w:rsidR="009B3A04" w:rsidRPr="002C29D2">
        <w:t>who would be responsible for consequences</w:t>
      </w:r>
      <w:r w:rsidR="00C35E8E" w:rsidRPr="002C29D2">
        <w:t xml:space="preserve"> from AI</w:t>
      </w:r>
      <w:r w:rsidR="009B3A04" w:rsidRPr="002C29D2">
        <w:t xml:space="preserve">. </w:t>
      </w:r>
      <w:r w:rsidR="00C35E8E" w:rsidRPr="002C29D2">
        <w:t>These questions have</w:t>
      </w:r>
      <w:r w:rsidR="009B3A04" w:rsidRPr="002C29D2">
        <w:t xml:space="preserve"> intrigued researchers </w:t>
      </w:r>
      <w:r w:rsidR="00C35E8E" w:rsidRPr="002C29D2">
        <w:t xml:space="preserve">and steered enquiry towards </w:t>
      </w:r>
      <w:r w:rsidR="009B3A04" w:rsidRPr="002C29D2">
        <w:t>taking the AI principles</w:t>
      </w:r>
      <w:r w:rsidR="00C35E8E" w:rsidRPr="002C29D2">
        <w:t xml:space="preserve"> incrementally closer </w:t>
      </w:r>
      <w:r w:rsidR="009B3A04" w:rsidRPr="002C29D2">
        <w:t xml:space="preserve">to </w:t>
      </w:r>
      <w:r w:rsidR="00C35E8E" w:rsidRPr="002C29D2">
        <w:t>as</w:t>
      </w:r>
      <w:r w:rsidR="009B3A04" w:rsidRPr="002C29D2">
        <w:t>sur</w:t>
      </w:r>
      <w:r w:rsidR="00C35E8E" w:rsidRPr="002C29D2">
        <w:t>ing</w:t>
      </w:r>
      <w:r w:rsidR="009B3A04" w:rsidRPr="002C29D2">
        <w:t xml:space="preserve"> </w:t>
      </w:r>
      <w:r w:rsidR="00C35E8E" w:rsidRPr="002C29D2">
        <w:t xml:space="preserve">the technology is </w:t>
      </w:r>
      <w:r w:rsidR="006137FD" w:rsidRPr="002C29D2">
        <w:t xml:space="preserve">ethical and </w:t>
      </w:r>
      <w:r w:rsidR="009B3A04" w:rsidRPr="002C29D2">
        <w:t xml:space="preserve">socially beneficial, and </w:t>
      </w:r>
      <w:r w:rsidR="00361128" w:rsidRPr="002C29D2">
        <w:t>to</w:t>
      </w:r>
      <w:r w:rsidR="00C35E8E" w:rsidRPr="002C29D2">
        <w:t>wards</w:t>
      </w:r>
      <w:r w:rsidR="00361128" w:rsidRPr="002C29D2">
        <w:t xml:space="preserve"> </w:t>
      </w:r>
      <w:r w:rsidR="006137FD" w:rsidRPr="002C29D2">
        <w:t>promot</w:t>
      </w:r>
      <w:r w:rsidR="00C35E8E" w:rsidRPr="002C29D2">
        <w:t>ing</w:t>
      </w:r>
      <w:r w:rsidR="009B3A04" w:rsidRPr="002C29D2">
        <w:t xml:space="preserve"> responsible AI development</w:t>
      </w:r>
      <w:r w:rsidR="00555940" w:rsidRPr="002C29D2">
        <w:t xml:space="preserve"> in practice</w:t>
      </w:r>
      <w:r w:rsidR="006137FD" w:rsidRPr="002C29D2">
        <w:t xml:space="preserve"> </w:t>
      </w:r>
      <w:r w:rsidR="006137FD" w:rsidRPr="002C29D2">
        <w:fldChar w:fldCharType="begin" w:fldLock="1"/>
      </w:r>
      <w:r w:rsidR="00830194" w:rsidRPr="002C29D2">
        <w:instrText>ADDIN CSL_CITATION {"citationItems":[{"id":"ITEM-1","itemData":{"author":[{"dropping-particle":"","family":"Arrieta","given":"Alejandro Barredo","non-dropping-particle":"","parse-names":false,"suffix":""},{"dropping-particle":"","family":"Díaz-Rodríguez","given":"Natalia","non-dropping-particle":"","parse-names":false,"suffix":""},{"dropping-particle":"Del","family":"Ser","given":"Javier","non-dropping-particle":"","parse-names":false,"suffix":""},{"dropping-particle":"","family":"Bennetot","given":"Adrien","non-dropping-particle":"","parse-names":false,"suffix":""},{"dropping-particle":"","family":"Tabik","given":"Siham","non-dropping-particle":"","parse-names":false,"suffix":""},{"dropping-particle":"","family":"Barbado","given":"Alberto","non-dropping-particle":"","parse-names":false,"suffix":""},{"dropping-particle":"","family":"Garcia","given":"Salvador","non-dropping-particle":"","parse-names":false,"suffix":""},{"dropping-particle":"","family":"Gil-Lopez","given":"Sergio","non-dropping-particle":"","parse-names":false,"suffix":""},{"dropping-particle":"","family":"Molina","given":"Daniel","non-dropping-particle":"","parse-names":false,"suffix":""},{"dropping-particle":"","family":"Benjamins","given":"Richard","non-dropping-particle":"","parse-names":false,"suffix":""},{"dropping-particle":"","family":"Chatila","given":"Raja","non-dropping-particle":"","parse-names":false,"suffix":""},{"dropping-particle":"","family":"Herrera","given":"Francisco","non-dropping-particle":"","parse-names":false,"suffix":""}],"container-title":"Information Fusion","id":"ITEM-1","issue":"82-115","issued":{"date-parts":[["2020"]]},"title":"Explainable artificial intelligence (XAI): Concepts, taxonomies, opportunities and challenges toward responsible AI","type":"article-journal","volume":"58"},"uris":["http://www.mendeley.com/documents/?uuid=71c52893-a441-4744-ad01-0717d9649366"]}],"mendeley":{"formattedCitation":"(Arrieta et al., 2020)","plainTextFormattedCitation":"(Arrieta et al., 2020)","previouslyFormattedCitation":"(Arrieta &lt;i&gt;et al.&lt;/i&gt;, 2020)"},"properties":{"noteIndex":0},"schema":"https://github.com/citation-style-language/schema/raw/master/csl-citation.json"}</w:instrText>
      </w:r>
      <w:r w:rsidR="006137FD" w:rsidRPr="002C29D2">
        <w:fldChar w:fldCharType="separate"/>
      </w:r>
      <w:r w:rsidR="006137FD" w:rsidRPr="002C29D2">
        <w:t>(Arrieta et al. 2020)</w:t>
      </w:r>
      <w:r w:rsidR="006137FD" w:rsidRPr="002C29D2">
        <w:fldChar w:fldCharType="end"/>
      </w:r>
      <w:r w:rsidR="009B3A04" w:rsidRPr="002C29D2">
        <w:t xml:space="preserve">. </w:t>
      </w:r>
    </w:p>
    <w:p w14:paraId="7FFA2CF8" w14:textId="32B258B7" w:rsidR="009B3A04" w:rsidRPr="002C29D2" w:rsidRDefault="001D1555" w:rsidP="006342F2">
      <w:pPr>
        <w:spacing w:line="480" w:lineRule="auto"/>
        <w:ind w:firstLine="567"/>
        <w:jc w:val="both"/>
      </w:pPr>
      <w:r w:rsidRPr="002C29D2">
        <w:t>Responsible AI is</w:t>
      </w:r>
      <w:r w:rsidR="00F5127D" w:rsidRPr="002C29D2">
        <w:t xml:space="preserve"> </w:t>
      </w:r>
      <w:r w:rsidR="002070A3" w:rsidRPr="002C29D2">
        <w:t xml:space="preserve">a </w:t>
      </w:r>
      <w:r w:rsidR="00F5127D" w:rsidRPr="002C29D2">
        <w:t xml:space="preserve">newly </w:t>
      </w:r>
      <w:r w:rsidR="00C35E8E" w:rsidRPr="002C29D2">
        <w:t xml:space="preserve">coined </w:t>
      </w:r>
      <w:r w:rsidR="00F5127D" w:rsidRPr="002C29D2">
        <w:t xml:space="preserve">term </w:t>
      </w:r>
      <w:r w:rsidR="00A029B2" w:rsidRPr="002C29D2">
        <w:t>that ha</w:t>
      </w:r>
      <w:r w:rsidR="0036192D" w:rsidRPr="002C29D2">
        <w:t>s</w:t>
      </w:r>
      <w:r w:rsidR="00A029B2" w:rsidRPr="002C29D2">
        <w:t xml:space="preserve"> </w:t>
      </w:r>
      <w:r w:rsidR="002070A3" w:rsidRPr="002C29D2">
        <w:t xml:space="preserve">already </w:t>
      </w:r>
      <w:r w:rsidR="00EF36B5" w:rsidRPr="002C29D2">
        <w:t xml:space="preserve">managed to </w:t>
      </w:r>
      <w:r w:rsidR="00A029B2" w:rsidRPr="002C29D2">
        <w:t xml:space="preserve">generate </w:t>
      </w:r>
      <w:r w:rsidR="00EF36B5" w:rsidRPr="002C29D2">
        <w:t xml:space="preserve">considerable </w:t>
      </w:r>
      <w:r w:rsidR="00A029B2" w:rsidRPr="002C29D2">
        <w:t>attention within and beyond academi</w:t>
      </w:r>
      <w:r w:rsidR="00EF36B5" w:rsidRPr="002C29D2">
        <w:t>a</w:t>
      </w:r>
      <w:r w:rsidR="00A029B2" w:rsidRPr="002C29D2">
        <w:t xml:space="preserve"> </w:t>
      </w:r>
      <w:r w:rsidR="0036192D" w:rsidRPr="002C29D2">
        <w:fldChar w:fldCharType="begin" w:fldLock="1"/>
      </w:r>
      <w:r w:rsidR="00830194" w:rsidRPr="002C29D2">
        <w:instrText>ADDIN CSL_CITATION {"citationItems":[{"id":"ITEM-1","itemData":{"author":[{"dropping-particle":"","family":"Dignum","given":"Virginia","non-dropping-particle":"","parse-names":false,"suffix":""}],"container-title":"Artificial Intelligence: Foundations, Theory, and Algorithms","editor":[{"dropping-particle":"","family":"O’Sullivan","given":"Barry","non-dropping-particle":"","parse-names":false,"suffix":""},{"dropping-particle":"","family":"Wooldridge","given":"Michael","non-dropping-particle":"","parse-names":false,"suffix":""}],"id":"ITEM-1","issued":{"date-parts":[["2019"]]},"publisher":"Springer","publisher-place":"Switzerland","title":"Responsible artificial intelligence: How to develop and use AI in a responsible Way","type":"chapter"},"uris":["http://www.mendeley.com/documents/?uuid=9b5fece8-3d61-4190-8f0f-cbfcdc4d43d6"]},{"id":"ITEM-2","itemData":{"author":[{"dropping-particle":"","family":"Peters","given":"D.","non-dropping-particle":"","parse-names":false,"suffix":""},{"dropping-particle":"","family":"Vold","given":"K.","non-dropping-particle":"","parse-names":false,"suffix":""},{"dropping-particle":"","family":"Robinson","given":"D.","non-dropping-particle":"","parse-names":false,"suffix":""},{"dropping-particle":"","family":"Calvo","given":"R. A.","non-dropping-particle":"","parse-names":false,"suffix":""}],"container-title":"IEEE Transactions on Technology and Society","id":"ITEM-2","issue":"1","issued":{"date-parts":[["2020"]]},"page":"34-47","title":"Responsible AI: Two frameworks for ethical design practice","type":"article-journal","volume":"1"},"uris":["http://www.mendeley.com/documents/?uuid=0753acd1-8a73-4e1f-804e-1dd31cfec774"]}],"mendeley":{"formattedCitation":"(Dignum, 2019; Peters et al., 2020)","plainTextFormattedCitation":"(Dignum, 2019; Peters et al., 2020)","previouslyFormattedCitation":"(Dignum, 2019; Peters &lt;i&gt;et al.&lt;/i&gt;, 2020)"},"properties":{"noteIndex":0},"schema":"https://github.com/citation-style-language/schema/raw/master/csl-citation.json"}</w:instrText>
      </w:r>
      <w:r w:rsidR="0036192D" w:rsidRPr="002C29D2">
        <w:fldChar w:fldCharType="separate"/>
      </w:r>
      <w:r w:rsidR="0036192D" w:rsidRPr="002C29D2">
        <w:t>(Dignum 2019; Peters et al.</w:t>
      </w:r>
      <w:r w:rsidR="00E01AE9" w:rsidRPr="002C29D2">
        <w:t xml:space="preserve"> </w:t>
      </w:r>
      <w:r w:rsidR="0036192D" w:rsidRPr="002C29D2">
        <w:t>2020)</w:t>
      </w:r>
      <w:r w:rsidR="0036192D" w:rsidRPr="002C29D2">
        <w:fldChar w:fldCharType="end"/>
      </w:r>
      <w:r w:rsidR="0036192D" w:rsidRPr="002C29D2">
        <w:t xml:space="preserve">. </w:t>
      </w:r>
      <w:r w:rsidR="000B34FE" w:rsidRPr="002C29D2">
        <w:fldChar w:fldCharType="begin" w:fldLock="1"/>
      </w:r>
      <w:r w:rsidR="00830194" w:rsidRPr="002C29D2">
        <w:instrText>ADDIN CSL_CITATION {"citationItems":[{"id":"ITEM-1","itemData":{"author":[{"dropping-particle":"","family":"Dignum","given":"Virginia","non-dropping-particle":"","parse-names":false,"suffix":""}],"container-title":"ITU Journal: ICT Discoveries","id":"ITEM-1","issue":"1","issued":{"date-parts":[["2017"]]},"title":"Responsible artificial intelligence: Designing AI for human values","type":"article-journal"},"uris":["http://www.mendeley.com/documents/?uuid=5ed119fc-96ba-4956-8fe7-3d41917d9274"]},{"id":"ITEM-2","itemData":{"author":[{"dropping-particle":"","family":"Dignum","given":"Virginia","non-dropping-particle":"","parse-names":false,"suffix":""}],"container-title":"Artificial Intelligence: Foundations, Theory, and Algorithms","editor":[{"dropping-particle":"","family":"O’Sullivan","given":"Barry","non-dropping-particle":"","parse-names":false,"suffix":""},{"dropping-particle":"","family":"Wooldridge","given":"Michael","non-dropping-particle":"","parse-names":false,"suffix":""}],"id":"ITEM-2","issued":{"date-parts":[["2019"]]},"publisher":"Springer","publisher-place":"Switzerland","title":"Responsible artificial intelligence: How to develop and use AI in a responsible Way","type":"chapter"},"uris":["http://www.mendeley.com/documents/?uuid=9b5fece8-3d61-4190-8f0f-cbfcdc4d43d6"]}],"mendeley":{"formattedCitation":"(Dignum, 2017a, 2019)","manualFormatting":"Dignum (2017, 2019)","plainTextFormattedCitation":"(Dignum, 2017a, 2019)","previouslyFormattedCitation":"(Dignum, 2017, 2019)"},"properties":{"noteIndex":0},"schema":"https://github.com/citation-style-language/schema/raw/master/csl-citation.json"}</w:instrText>
      </w:r>
      <w:r w:rsidR="000B34FE" w:rsidRPr="002C29D2">
        <w:fldChar w:fldCharType="separate"/>
      </w:r>
      <w:r w:rsidR="000B34FE" w:rsidRPr="002C29D2">
        <w:t>Dignum (2019)</w:t>
      </w:r>
      <w:r w:rsidR="000B34FE" w:rsidRPr="002C29D2">
        <w:fldChar w:fldCharType="end"/>
      </w:r>
      <w:r w:rsidR="000B34FE" w:rsidRPr="002C29D2">
        <w:t xml:space="preserve"> </w:t>
      </w:r>
      <w:r w:rsidR="00BC3F8E" w:rsidRPr="002C29D2">
        <w:t>provide</w:t>
      </w:r>
      <w:r w:rsidR="00341AA6" w:rsidRPr="002C29D2">
        <w:t>s</w:t>
      </w:r>
      <w:r w:rsidR="00BC3F8E" w:rsidRPr="002C29D2">
        <w:t xml:space="preserve"> </w:t>
      </w:r>
      <w:r w:rsidR="0039010F" w:rsidRPr="002C29D2">
        <w:t xml:space="preserve">an overview </w:t>
      </w:r>
      <w:r w:rsidR="00341AA6" w:rsidRPr="002C29D2">
        <w:t>of</w:t>
      </w:r>
      <w:r w:rsidR="0039010F" w:rsidRPr="002C29D2">
        <w:t xml:space="preserve"> </w:t>
      </w:r>
      <w:r w:rsidR="00341AA6" w:rsidRPr="002C29D2">
        <w:t xml:space="preserve">AI </w:t>
      </w:r>
      <w:r w:rsidR="00EF36B5" w:rsidRPr="002C29D2">
        <w:t xml:space="preserve">as a </w:t>
      </w:r>
      <w:r w:rsidR="0039010F" w:rsidRPr="002C29D2">
        <w:t xml:space="preserve">concept and </w:t>
      </w:r>
      <w:r w:rsidR="00341AA6" w:rsidRPr="002C29D2">
        <w:t>emphasi</w:t>
      </w:r>
      <w:r w:rsidR="00055D2F" w:rsidRPr="002C29D2">
        <w:t>z</w:t>
      </w:r>
      <w:r w:rsidR="00341AA6" w:rsidRPr="002C29D2">
        <w:t>es</w:t>
      </w:r>
      <w:r w:rsidR="000B34FE" w:rsidRPr="002C29D2">
        <w:t xml:space="preserve"> the need to use </w:t>
      </w:r>
      <w:r w:rsidR="00EF36B5" w:rsidRPr="002C29D2">
        <w:t xml:space="preserve">it </w:t>
      </w:r>
      <w:r w:rsidR="001D753F" w:rsidRPr="002C29D2">
        <w:t>responsi</w:t>
      </w:r>
      <w:r w:rsidR="00EF36B5" w:rsidRPr="002C29D2">
        <w:t>b</w:t>
      </w:r>
      <w:r w:rsidR="001D753F" w:rsidRPr="002C29D2">
        <w:t>ly to meet the expectations of</w:t>
      </w:r>
      <w:r w:rsidR="006342F2" w:rsidRPr="002C29D2">
        <w:t xml:space="preserve"> </w:t>
      </w:r>
      <w:r w:rsidR="00BC3F8E" w:rsidRPr="002C29D2">
        <w:t xml:space="preserve">key </w:t>
      </w:r>
      <w:r w:rsidR="006342F2" w:rsidRPr="002C29D2">
        <w:t>stakeholders and society</w:t>
      </w:r>
      <w:r w:rsidR="001D753F" w:rsidRPr="002C29D2">
        <w:t xml:space="preserve"> </w:t>
      </w:r>
      <w:r w:rsidR="000B34FE" w:rsidRPr="002C29D2">
        <w:t>while harnessing its power to</w:t>
      </w:r>
      <w:r w:rsidR="00EF36B5" w:rsidRPr="002C29D2">
        <w:t xml:space="preserve"> effectively</w:t>
      </w:r>
      <w:r w:rsidR="000B34FE" w:rsidRPr="002C29D2">
        <w:t xml:space="preserve"> augment human</w:t>
      </w:r>
      <w:r w:rsidR="00EF36B5" w:rsidRPr="002C29D2">
        <w:t>ity</w:t>
      </w:r>
      <w:r w:rsidR="000B34FE" w:rsidRPr="002C29D2">
        <w:t xml:space="preserve"> and business. </w:t>
      </w:r>
      <w:r w:rsidR="00055FD7" w:rsidRPr="002C29D2">
        <w:fldChar w:fldCharType="begin" w:fldLock="1"/>
      </w:r>
      <w:r w:rsidR="00830194" w:rsidRPr="002C29D2">
        <w:instrText>ADDIN CSL_CITATION {"citationItems":[{"id":"ITEM-1","itemData":{"author":[{"dropping-particle":"","family":"Arrieta","given":"Alejandro Barredo","non-dropping-particle":"","parse-names":false,"suffix":""},{"dropping-particle":"","family":"Díaz-Rodríguez","given":"Natalia","non-dropping-particle":"","parse-names":false,"suffix":""},{"dropping-particle":"Del","family":"Ser","given":"Javier","non-dropping-particle":"","parse-names":false,"suffix":""},{"dropping-particle":"","family":"Bennetot","given":"Adrien","non-dropping-particle":"","parse-names":false,"suffix":""},{"dropping-particle":"","family":"Tabik","given":"Siham","non-dropping-particle":"","parse-names":false,"suffix":""},{"dropping-particle":"","family":"Barbado","given":"Alberto","non-dropping-particle":"","parse-names":false,"suffix":""},{"dropping-particle":"","family":"Garcia","given":"Salvador","non-dropping-particle":"","parse-names":false,"suffix":""},{"dropping-particle":"","family":"Gil-Lopez","given":"Sergio","non-dropping-particle":"","parse-names":false,"suffix":""},{"dropping-particle":"","family":"Molina","given":"Daniel","non-dropping-particle":"","parse-names":false,"suffix":""},{"dropping-particle":"","family":"Benjamins","given":"Richard","non-dropping-particle":"","parse-names":false,"suffix":""},{"dropping-particle":"","family":"Chatila","given":"Raja","non-dropping-particle":"","parse-names":false,"suffix":""},{"dropping-particle":"","family":"Herrera","given":"Francisco","non-dropping-particle":"","parse-names":false,"suffix":""}],"container-title":"Information Fusion","id":"ITEM-1","issue":"82-115","issued":{"date-parts":[["2020"]]},"title":"Explainable artificial intelligence (XAI): Concepts, taxonomies, opportunities and challenges toward responsible AI","type":"article-journal","volume":"58"},"uris":["http://www.mendeley.com/documents/?uuid=71c52893-a441-4744-ad01-0717d9649366"]}],"mendeley":{"formattedCitation":"(Arrieta et al., 2020)","manualFormatting":"Arrieta et al. (2020)","plainTextFormattedCitation":"(Arrieta et al., 2020)","previouslyFormattedCitation":"(Arrieta &lt;i&gt;et al.&lt;/i&gt;, 2020)"},"properties":{"noteIndex":0},"schema":"https://github.com/citation-style-language/schema/raw/master/csl-citation.json"}</w:instrText>
      </w:r>
      <w:r w:rsidR="00055FD7" w:rsidRPr="002C29D2">
        <w:fldChar w:fldCharType="separate"/>
      </w:r>
      <w:r w:rsidR="00055FD7" w:rsidRPr="002C29D2">
        <w:t>Arrieta et al. (2020)</w:t>
      </w:r>
      <w:r w:rsidR="00055FD7" w:rsidRPr="002C29D2">
        <w:fldChar w:fldCharType="end"/>
      </w:r>
      <w:r w:rsidR="00055FD7" w:rsidRPr="002C29D2">
        <w:t xml:space="preserve"> </w:t>
      </w:r>
      <w:r w:rsidR="006342F2" w:rsidRPr="002C29D2">
        <w:t>consider responsible AI as a paradigm</w:t>
      </w:r>
      <w:r w:rsidR="00EF36B5" w:rsidRPr="002C29D2">
        <w:t>atic</w:t>
      </w:r>
      <w:r w:rsidR="006342F2" w:rsidRPr="002C29D2">
        <w:t xml:space="preserve"> impos</w:t>
      </w:r>
      <w:r w:rsidR="00EF36B5" w:rsidRPr="002C29D2">
        <w:t>ition</w:t>
      </w:r>
      <w:r w:rsidR="006342F2" w:rsidRPr="002C29D2">
        <w:t xml:space="preserve"> on </w:t>
      </w:r>
      <w:r w:rsidR="00EF36B5" w:rsidRPr="002C29D2">
        <w:t>the</w:t>
      </w:r>
      <w:r w:rsidR="006342F2" w:rsidRPr="002C29D2">
        <w:t xml:space="preserve"> AI principles and </w:t>
      </w:r>
      <w:r w:rsidR="00EF36B5" w:rsidRPr="002C29D2">
        <w:t>a</w:t>
      </w:r>
      <w:r w:rsidR="00055FD7" w:rsidRPr="002C29D2">
        <w:t xml:space="preserve"> </w:t>
      </w:r>
      <w:r w:rsidR="00EF36B5" w:rsidRPr="002C29D2">
        <w:t xml:space="preserve">viable </w:t>
      </w:r>
      <w:r w:rsidR="00055FD7" w:rsidRPr="002C29D2">
        <w:t xml:space="preserve">prospect to address </w:t>
      </w:r>
      <w:r w:rsidR="001D753F" w:rsidRPr="002C29D2">
        <w:t xml:space="preserve">the </w:t>
      </w:r>
      <w:r w:rsidR="00055FD7" w:rsidRPr="002C29D2">
        <w:t xml:space="preserve">growing ethical and societal concerns </w:t>
      </w:r>
      <w:r w:rsidR="00691729" w:rsidRPr="002C29D2">
        <w:t xml:space="preserve">with </w:t>
      </w:r>
      <w:r w:rsidR="00055FD7" w:rsidRPr="002C29D2">
        <w:t>large-scale AI implementation</w:t>
      </w:r>
      <w:r w:rsidR="001D753F" w:rsidRPr="002C29D2">
        <w:t xml:space="preserve"> process</w:t>
      </w:r>
      <w:r w:rsidR="00EF36B5" w:rsidRPr="002C29D2">
        <w:t>es</w:t>
      </w:r>
      <w:r w:rsidR="00055FD7" w:rsidRPr="002C29D2">
        <w:t>.</w:t>
      </w:r>
      <w:r w:rsidR="009B3A04" w:rsidRPr="002C29D2">
        <w:t xml:space="preserve"> </w:t>
      </w:r>
      <w:r w:rsidR="002F21FB" w:rsidRPr="002C29D2">
        <w:t>Although researchers such as</w:t>
      </w:r>
      <w:r w:rsidR="005F147C" w:rsidRPr="002C29D2">
        <w:t xml:space="preserve"> </w:t>
      </w:r>
      <w:r w:rsidR="00D573DC" w:rsidRPr="002C29D2">
        <w:fldChar w:fldCharType="begin" w:fldLock="1"/>
      </w:r>
      <w:r w:rsidR="00830194" w:rsidRPr="002C29D2">
        <w:instrText>ADDIN CSL_CITATION {"citationItems":[{"id":"ITEM-1","itemData":{"author":[{"dropping-particle":"","family":"Benjamins","given":"R.","non-dropping-particle":"","parse-names":false,"suffix":""},{"dropping-particle":"","family":"Barbado","given":"A.","non-dropping-particle":"","parse-names":false,"suffix":""},{"dropping-particle":"","family":"Sierra","given":"D.","non-dropping-particle":"","parse-names":false,"suffix":""}],"container-title":"arXiv preprint","id":"ITEM-1","issued":{"date-parts":[["2019"]]},"title":"Responsible AI by design","type":"article-journal"},"uris":["http://www.mendeley.com/documents/?uuid=1a3cf4cb-ad17-4f64-9f2a-784ab65b7c64"]}],"mendeley":{"formattedCitation":"(Benjamins et al., 2019)","manualFormatting":"Benjamins et al. (2019)","plainTextFormattedCitation":"(Benjamins et al., 2019)","previouslyFormattedCitation":"(Benjamins, Barbado and Sierra, 2019)"},"properties":{"noteIndex":0},"schema":"https://github.com/citation-style-language/schema/raw/master/csl-citation.json"}</w:instrText>
      </w:r>
      <w:r w:rsidR="00D573DC" w:rsidRPr="002C29D2">
        <w:fldChar w:fldCharType="separate"/>
      </w:r>
      <w:r w:rsidR="00D573DC" w:rsidRPr="002C29D2">
        <w:t>Benjamins et al. (2019)</w:t>
      </w:r>
      <w:r w:rsidR="00D573DC" w:rsidRPr="002C29D2">
        <w:fldChar w:fldCharType="end"/>
      </w:r>
      <w:r w:rsidR="003A12FC" w:rsidRPr="002C29D2">
        <w:t xml:space="preserve"> </w:t>
      </w:r>
      <w:r w:rsidR="001D753F" w:rsidRPr="002C29D2">
        <w:t>propose</w:t>
      </w:r>
      <w:r w:rsidR="003A12FC" w:rsidRPr="002C29D2">
        <w:t xml:space="preserve"> a</w:t>
      </w:r>
      <w:r w:rsidR="006C65CE" w:rsidRPr="002C29D2">
        <w:t>n</w:t>
      </w:r>
      <w:r w:rsidR="003A12FC" w:rsidRPr="002C29D2">
        <w:t xml:space="preserve"> </w:t>
      </w:r>
      <w:r w:rsidR="00A143EC" w:rsidRPr="002C29D2">
        <w:t xml:space="preserve">integrated </w:t>
      </w:r>
      <w:r w:rsidR="003A12FC" w:rsidRPr="002C29D2">
        <w:t>approach</w:t>
      </w:r>
      <w:r w:rsidR="00691729" w:rsidRPr="002C29D2">
        <w:t>,</w:t>
      </w:r>
      <w:r w:rsidR="005F147C" w:rsidRPr="002C29D2">
        <w:t xml:space="preserve"> including defined principles, </w:t>
      </w:r>
      <w:r w:rsidR="00A143EC" w:rsidRPr="002C29D2">
        <w:t xml:space="preserve">design </w:t>
      </w:r>
      <w:r w:rsidR="005F147C" w:rsidRPr="002C29D2">
        <w:t xml:space="preserve">training, </w:t>
      </w:r>
      <w:r w:rsidR="00691729" w:rsidRPr="002C29D2">
        <w:t xml:space="preserve">a </w:t>
      </w:r>
      <w:r w:rsidR="005F147C" w:rsidRPr="002C29D2">
        <w:t>guidance checklist</w:t>
      </w:r>
      <w:r w:rsidR="00A143EC" w:rsidRPr="002C29D2">
        <w:t>, and governance process</w:t>
      </w:r>
      <w:r w:rsidR="003A12FC" w:rsidRPr="002C29D2">
        <w:t xml:space="preserve"> for organi</w:t>
      </w:r>
      <w:r w:rsidR="006342F2" w:rsidRPr="002C29D2">
        <w:t>s</w:t>
      </w:r>
      <w:r w:rsidR="003A12FC" w:rsidRPr="002C29D2">
        <w:t>ations</w:t>
      </w:r>
      <w:r w:rsidR="005F147C" w:rsidRPr="002C29D2">
        <w:t xml:space="preserve"> to </w:t>
      </w:r>
      <w:r w:rsidR="00691729" w:rsidRPr="002C29D2">
        <w:t xml:space="preserve">apply </w:t>
      </w:r>
      <w:r w:rsidR="004D3896" w:rsidRPr="002C29D2">
        <w:t xml:space="preserve">AI </w:t>
      </w:r>
      <w:r w:rsidR="005F147C" w:rsidRPr="002C29D2">
        <w:t>responsibly at scale</w:t>
      </w:r>
      <w:r w:rsidR="0070456C" w:rsidRPr="002C29D2">
        <w:t>,</w:t>
      </w:r>
      <w:r w:rsidR="005F147C" w:rsidRPr="002C29D2">
        <w:t xml:space="preserve"> </w:t>
      </w:r>
      <w:r w:rsidR="007418DF" w:rsidRPr="002C29D2">
        <w:t xml:space="preserve">more consideration </w:t>
      </w:r>
      <w:r w:rsidR="00691729" w:rsidRPr="002C29D2">
        <w:t xml:space="preserve">is needed </w:t>
      </w:r>
      <w:r w:rsidR="007418DF" w:rsidRPr="002C29D2">
        <w:t xml:space="preserve">on </w:t>
      </w:r>
      <w:r w:rsidR="00691729" w:rsidRPr="002C29D2">
        <w:t xml:space="preserve">the practical </w:t>
      </w:r>
      <w:r w:rsidR="007418DF" w:rsidRPr="002C29D2">
        <w:t>collective experience</w:t>
      </w:r>
      <w:r w:rsidR="006342F2" w:rsidRPr="002C29D2">
        <w:t>.</w:t>
      </w:r>
      <w:r w:rsidR="009B3A04" w:rsidRPr="002C29D2">
        <w:t xml:space="preserve"> </w:t>
      </w:r>
      <w:r w:rsidR="006342F2" w:rsidRPr="002C29D2">
        <w:t xml:space="preserve">This </w:t>
      </w:r>
      <w:r w:rsidR="009B3A04" w:rsidRPr="002C29D2">
        <w:t xml:space="preserve">has </w:t>
      </w:r>
      <w:r w:rsidR="001D753F" w:rsidRPr="002C29D2">
        <w:t>call</w:t>
      </w:r>
      <w:r w:rsidR="004D3896" w:rsidRPr="002C29D2">
        <w:t>ed</w:t>
      </w:r>
      <w:r w:rsidR="001D753F" w:rsidRPr="002C29D2">
        <w:t xml:space="preserve"> for </w:t>
      </w:r>
      <w:r w:rsidR="009B3A04" w:rsidRPr="002C29D2">
        <w:t xml:space="preserve">the need </w:t>
      </w:r>
      <w:r w:rsidR="00691729" w:rsidRPr="002C29D2">
        <w:t xml:space="preserve">for further </w:t>
      </w:r>
      <w:r w:rsidR="009B3A04" w:rsidRPr="002C29D2">
        <w:t>empirical studies</w:t>
      </w:r>
      <w:r w:rsidR="00BB2B9B" w:rsidRPr="002C29D2">
        <w:t xml:space="preserve"> </w:t>
      </w:r>
      <w:r w:rsidR="00691729" w:rsidRPr="002C29D2">
        <w:t xml:space="preserve">that support or </w:t>
      </w:r>
      <w:r w:rsidR="00BB2B9B" w:rsidRPr="002C29D2">
        <w:t>encourage the progression of responsible AI from design to practice</w:t>
      </w:r>
      <w:r w:rsidR="006342F2" w:rsidRPr="002C29D2">
        <w:t xml:space="preserve"> (Morley et al. 2020), particularly in the healthcare sector</w:t>
      </w:r>
      <w:r w:rsidR="009B3A04" w:rsidRPr="002C29D2">
        <w:t>.</w:t>
      </w:r>
    </w:p>
    <w:p w14:paraId="716D383B" w14:textId="44786A91" w:rsidR="007418DF" w:rsidRPr="002C29D2" w:rsidRDefault="00227A5B" w:rsidP="00FA2963">
      <w:pPr>
        <w:spacing w:line="480" w:lineRule="auto"/>
        <w:ind w:firstLine="567"/>
        <w:jc w:val="both"/>
      </w:pPr>
      <w:r w:rsidRPr="002C29D2">
        <w:lastRenderedPageBreak/>
        <w:t xml:space="preserve">With </w:t>
      </w:r>
      <w:r w:rsidR="009B3A04" w:rsidRPr="002C29D2">
        <w:t>the const</w:t>
      </w:r>
      <w:r w:rsidR="00691729" w:rsidRPr="002C29D2">
        <w:t>a</w:t>
      </w:r>
      <w:r w:rsidR="009B3A04" w:rsidRPr="002C29D2">
        <w:t xml:space="preserve">nt </w:t>
      </w:r>
      <w:r w:rsidR="00691729" w:rsidRPr="002C29D2">
        <w:t xml:space="preserve">theoretical </w:t>
      </w:r>
      <w:r w:rsidR="009B3A04" w:rsidRPr="002C29D2">
        <w:t>discussion</w:t>
      </w:r>
      <w:r w:rsidR="00691729" w:rsidRPr="002C29D2">
        <w:t xml:space="preserve">s on </w:t>
      </w:r>
      <w:r w:rsidR="009B3A04" w:rsidRPr="002C29D2">
        <w:t xml:space="preserve">AI ethics </w:t>
      </w:r>
      <w:r w:rsidR="00691729" w:rsidRPr="002C29D2">
        <w:t>in face of a</w:t>
      </w:r>
      <w:r w:rsidR="009B3A04" w:rsidRPr="002C29D2">
        <w:t xml:space="preserve"> </w:t>
      </w:r>
      <w:r w:rsidR="00691729" w:rsidRPr="002C29D2">
        <w:t xml:space="preserve">paucity of practical </w:t>
      </w:r>
      <w:r w:rsidR="001F66C2" w:rsidRPr="002C29D2">
        <w:t>evidence</w:t>
      </w:r>
      <w:r w:rsidR="009B3A04" w:rsidRPr="002C29D2">
        <w:t xml:space="preserve">, </w:t>
      </w:r>
      <w:r w:rsidR="006342F2" w:rsidRPr="002C29D2">
        <w:t xml:space="preserve">this </w:t>
      </w:r>
      <w:r w:rsidR="001F66C2" w:rsidRPr="002C29D2">
        <w:t>research</w:t>
      </w:r>
      <w:r w:rsidR="006342F2" w:rsidRPr="002C29D2">
        <w:t xml:space="preserve"> aims to </w:t>
      </w:r>
      <w:r w:rsidRPr="002C29D2">
        <w:t xml:space="preserve">compensate by </w:t>
      </w:r>
      <w:r w:rsidR="006342F2" w:rsidRPr="002C29D2">
        <w:t>offer</w:t>
      </w:r>
      <w:r w:rsidRPr="002C29D2">
        <w:t>ing</w:t>
      </w:r>
      <w:r w:rsidR="006342F2" w:rsidRPr="002C29D2">
        <w:t xml:space="preserve"> </w:t>
      </w:r>
      <w:r w:rsidR="009B3A04" w:rsidRPr="002C29D2">
        <w:t xml:space="preserve">deeper </w:t>
      </w:r>
      <w:r w:rsidRPr="002C29D2">
        <w:t>insight into</w:t>
      </w:r>
      <w:r w:rsidR="009B2026" w:rsidRPr="002C29D2">
        <w:t xml:space="preserve"> the potential use of </w:t>
      </w:r>
      <w:r w:rsidR="00D717E1" w:rsidRPr="002C29D2">
        <w:t xml:space="preserve">responsible </w:t>
      </w:r>
      <w:r w:rsidR="009B3A04" w:rsidRPr="002C29D2">
        <w:t>AI principles</w:t>
      </w:r>
      <w:r w:rsidR="009B2026" w:rsidRPr="002C29D2">
        <w:t xml:space="preserve"> </w:t>
      </w:r>
      <w:r w:rsidR="009B3A04" w:rsidRPr="002C29D2">
        <w:t>in</w:t>
      </w:r>
      <w:r w:rsidR="006342F2" w:rsidRPr="002C29D2">
        <w:t xml:space="preserve"> healthcare to </w:t>
      </w:r>
      <w:r w:rsidR="009B2026" w:rsidRPr="002C29D2">
        <w:t xml:space="preserve">trigger </w:t>
      </w:r>
      <w:r w:rsidR="006342F2" w:rsidRPr="002C29D2">
        <w:t>practitioners’ behavioural intention</w:t>
      </w:r>
      <w:r w:rsidR="00691729" w:rsidRPr="002C29D2">
        <w:t>s</w:t>
      </w:r>
      <w:r w:rsidR="006342F2" w:rsidRPr="002C29D2">
        <w:t xml:space="preserve"> and </w:t>
      </w:r>
      <w:r w:rsidR="00341AA6" w:rsidRPr="002C29D2">
        <w:t xml:space="preserve">affect </w:t>
      </w:r>
      <w:r w:rsidR="009B2026" w:rsidRPr="002C29D2">
        <w:t xml:space="preserve">their </w:t>
      </w:r>
      <w:r w:rsidR="001F66C2" w:rsidRPr="002C29D2">
        <w:t>attitud</w:t>
      </w:r>
      <w:r w:rsidR="009B2026" w:rsidRPr="002C29D2">
        <w:t>es</w:t>
      </w:r>
      <w:r w:rsidR="009B3A04" w:rsidRPr="002C29D2">
        <w:t xml:space="preserve">. </w:t>
      </w:r>
      <w:r w:rsidR="006342F2" w:rsidRPr="002C29D2">
        <w:t xml:space="preserve">A review </w:t>
      </w:r>
      <w:r w:rsidR="009B2026" w:rsidRPr="002C29D2">
        <w:t xml:space="preserve">by </w:t>
      </w:r>
      <w:r w:rsidR="006342F2" w:rsidRPr="002C29D2">
        <w:t xml:space="preserve">Floridi et al. (2018) </w:t>
      </w:r>
      <w:r w:rsidR="001F66C2" w:rsidRPr="002C29D2">
        <w:t>suggests</w:t>
      </w:r>
      <w:r w:rsidR="006342F2" w:rsidRPr="002C29D2">
        <w:t xml:space="preserve"> that </w:t>
      </w:r>
      <w:r w:rsidR="00FA2963" w:rsidRPr="002C29D2">
        <w:t xml:space="preserve">the key </w:t>
      </w:r>
      <w:r w:rsidR="006342F2" w:rsidRPr="002C29D2">
        <w:t xml:space="preserve">principles incorporated by many AI initiatives are </w:t>
      </w:r>
      <w:r w:rsidR="00FA2963" w:rsidRPr="002C29D2">
        <w:t xml:space="preserve">consistent with </w:t>
      </w:r>
      <w:r w:rsidR="006342F2" w:rsidRPr="002C29D2">
        <w:t>four classic bioethic</w:t>
      </w:r>
      <w:r w:rsidR="009B2026" w:rsidRPr="002C29D2">
        <w:t>al</w:t>
      </w:r>
      <w:r w:rsidR="00FA2963" w:rsidRPr="002C29D2">
        <w:t xml:space="preserve"> principles</w:t>
      </w:r>
      <w:r w:rsidR="009B2026" w:rsidRPr="002C29D2">
        <w:t xml:space="preserve">: </w:t>
      </w:r>
      <w:r w:rsidR="006342F2" w:rsidRPr="002C29D2">
        <w:t xml:space="preserve">beneficence, non-maleficence, autonomy, </w:t>
      </w:r>
      <w:r w:rsidR="00FA2963" w:rsidRPr="002C29D2">
        <w:t xml:space="preserve">and </w:t>
      </w:r>
      <w:r w:rsidR="006342F2" w:rsidRPr="002C29D2">
        <w:t xml:space="preserve">justice. </w:t>
      </w:r>
      <w:r w:rsidR="009B2026" w:rsidRPr="002C29D2">
        <w:t xml:space="preserve">This framework used in medicine </w:t>
      </w:r>
      <w:r w:rsidR="00FA2963" w:rsidRPr="002C29D2">
        <w:t xml:space="preserve">has great potential to address </w:t>
      </w:r>
      <w:r w:rsidR="004D3896" w:rsidRPr="002C29D2">
        <w:t xml:space="preserve">the </w:t>
      </w:r>
      <w:r w:rsidR="00FA2963" w:rsidRPr="002C29D2">
        <w:t>eth</w:t>
      </w:r>
      <w:r w:rsidR="00055D2F" w:rsidRPr="002C29D2">
        <w:t>i</w:t>
      </w:r>
      <w:r w:rsidR="00FA2963" w:rsidRPr="002C29D2">
        <w:t>cal challenges fac</w:t>
      </w:r>
      <w:r w:rsidR="009B2026" w:rsidRPr="002C29D2">
        <w:t>ed</w:t>
      </w:r>
      <w:r w:rsidR="00FA2963" w:rsidRPr="002C29D2">
        <w:t xml:space="preserve"> </w:t>
      </w:r>
      <w:r w:rsidR="004D3896" w:rsidRPr="002C29D2">
        <w:t xml:space="preserve">by </w:t>
      </w:r>
      <w:r w:rsidR="00FA2963" w:rsidRPr="002C29D2">
        <w:t>AI implementation in healthcare</w:t>
      </w:r>
      <w:r w:rsidR="009B2026" w:rsidRPr="002C29D2">
        <w:t xml:space="preserve">. </w:t>
      </w:r>
      <w:r w:rsidR="002D2D47" w:rsidRPr="002C29D2">
        <w:t>W</w:t>
      </w:r>
      <w:r w:rsidR="009B2026" w:rsidRPr="002C29D2">
        <w:t xml:space="preserve">ith </w:t>
      </w:r>
      <w:r w:rsidR="006342F2" w:rsidRPr="002C29D2">
        <w:t xml:space="preserve">new </w:t>
      </w:r>
      <w:r w:rsidR="002D2D47" w:rsidRPr="002C29D2">
        <w:t xml:space="preserve">subcategories </w:t>
      </w:r>
      <w:r w:rsidR="006342F2" w:rsidRPr="002C29D2">
        <w:t xml:space="preserve">of patient, </w:t>
      </w:r>
      <w:r w:rsidR="002D2D47" w:rsidRPr="002C29D2">
        <w:t xml:space="preserve">external </w:t>
      </w:r>
      <w:r w:rsidR="006342F2" w:rsidRPr="002C29D2">
        <w:t>agencies</w:t>
      </w:r>
      <w:r w:rsidR="00FA2963" w:rsidRPr="002C29D2">
        <w:t>,</w:t>
      </w:r>
      <w:r w:rsidR="006342F2" w:rsidRPr="002C29D2">
        <w:t xml:space="preserve"> and complex </w:t>
      </w:r>
      <w:r w:rsidR="009B2026" w:rsidRPr="002C29D2">
        <w:t xml:space="preserve">technical and clinical </w:t>
      </w:r>
      <w:r w:rsidR="006342F2" w:rsidRPr="002C29D2">
        <w:t>enviro</w:t>
      </w:r>
      <w:r w:rsidR="00055D2F" w:rsidRPr="002C29D2">
        <w:t>n</w:t>
      </w:r>
      <w:r w:rsidR="006342F2" w:rsidRPr="002C29D2">
        <w:t>ments</w:t>
      </w:r>
      <w:r w:rsidR="009B2026" w:rsidRPr="002C29D2">
        <w:t xml:space="preserve">, </w:t>
      </w:r>
      <w:r w:rsidR="002D2D47" w:rsidRPr="002C29D2">
        <w:t>it could easily be applied to</w:t>
      </w:r>
      <w:r w:rsidR="006342F2" w:rsidRPr="002C29D2">
        <w:t xml:space="preserve"> </w:t>
      </w:r>
      <w:r w:rsidR="002D2D47" w:rsidRPr="002C29D2">
        <w:t xml:space="preserve">digital environments </w:t>
      </w:r>
      <w:r w:rsidR="006342F2" w:rsidRPr="002C29D2">
        <w:t>(Floridi</w:t>
      </w:r>
      <w:r w:rsidR="003248A2" w:rsidRPr="002C29D2">
        <w:t xml:space="preserve">, </w:t>
      </w:r>
      <w:r w:rsidR="006342F2" w:rsidRPr="002C29D2">
        <w:t>2013)</w:t>
      </w:r>
      <w:r w:rsidR="00FA2963" w:rsidRPr="002C29D2">
        <w:t xml:space="preserve">. </w:t>
      </w:r>
      <w:r w:rsidR="009B3A04" w:rsidRPr="002C29D2">
        <w:t xml:space="preserve">Hence, </w:t>
      </w:r>
      <w:r w:rsidR="00FA2963" w:rsidRPr="002C29D2">
        <w:t xml:space="preserve">building on </w:t>
      </w:r>
      <w:r w:rsidR="002D2D47" w:rsidRPr="002C29D2">
        <w:t xml:space="preserve">the AI principles of </w:t>
      </w:r>
      <w:r w:rsidR="009B3A04" w:rsidRPr="002C29D2">
        <w:fldChar w:fldCharType="begin" w:fldLock="1"/>
      </w:r>
      <w:r w:rsidR="00830194" w:rsidRPr="002C29D2">
        <w:instrText>ADDIN CSL_CITATION {"citationItems":[{"id":"ITEM-1","itemData":{"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y","non-dropping-particle":"","parse-names":false,"suffix":""}],"container-title":"Minds and Machines","id":"ITEM-1","issued":{"date-parts":[["2018"]]},"page":"689-707","title":"AI4People—An ethical framework for a good AI society: Opportunities, risks, principles, and recommendations","type":"article-journal","volume":"28"},"uris":["http://www.mendeley.com/documents/?uuid=0fa69287-7058-4569-9a08-d9a1a093b8cc"]}],"mendeley":{"formattedCitation":"(Floridi et al., 2018)","manualFormatting":"Floridi et al. (2018)","plainTextFormattedCitation":"(Floridi et al., 2018)","previouslyFormattedCitation":"(Floridi &lt;i&gt;et al.&lt;/i&gt;, 2018)"},"properties":{"noteIndex":0},"schema":"https://github.com/citation-style-language/schema/raw/master/csl-citation.json"}</w:instrText>
      </w:r>
      <w:r w:rsidR="009B3A04" w:rsidRPr="002C29D2">
        <w:fldChar w:fldCharType="separate"/>
      </w:r>
      <w:r w:rsidR="009B3A04" w:rsidRPr="002C29D2">
        <w:t>Floridi et al. (2018)</w:t>
      </w:r>
      <w:r w:rsidR="009B3A04" w:rsidRPr="002C29D2">
        <w:fldChar w:fldCharType="end"/>
      </w:r>
      <w:r w:rsidR="00FA2963" w:rsidRPr="002C29D2">
        <w:t xml:space="preserve"> </w:t>
      </w:r>
      <w:r w:rsidR="00307F2B" w:rsidRPr="002C29D2">
        <w:t>and add</w:t>
      </w:r>
      <w:r w:rsidR="002D2D47" w:rsidRPr="002C29D2">
        <w:t>ing</w:t>
      </w:r>
      <w:r w:rsidR="00307F2B" w:rsidRPr="002C29D2">
        <w:t xml:space="preserve"> </w:t>
      </w:r>
      <w:r w:rsidR="002D2D47" w:rsidRPr="002C29D2">
        <w:t>‘</w:t>
      </w:r>
      <w:r w:rsidR="006342F2" w:rsidRPr="002C29D2">
        <w:t>explainability</w:t>
      </w:r>
      <w:r w:rsidR="002D2D47" w:rsidRPr="002C29D2">
        <w:t>’</w:t>
      </w:r>
      <w:r w:rsidR="006342F2" w:rsidRPr="002C29D2">
        <w:t xml:space="preserve"> as </w:t>
      </w:r>
      <w:r w:rsidR="002D2D47" w:rsidRPr="002C29D2">
        <w:t xml:space="preserve">a further </w:t>
      </w:r>
      <w:r w:rsidR="008048BF" w:rsidRPr="002C29D2">
        <w:rPr>
          <w:lang w:eastAsia="zh-TW"/>
        </w:rPr>
        <w:t>enabling principle</w:t>
      </w:r>
      <w:r w:rsidR="00FA2963" w:rsidRPr="002C29D2">
        <w:rPr>
          <w:lang w:eastAsia="zh-TW"/>
        </w:rPr>
        <w:t>, this research aims</w:t>
      </w:r>
      <w:r w:rsidR="008048BF" w:rsidRPr="002C29D2">
        <w:rPr>
          <w:lang w:eastAsia="zh-TW"/>
        </w:rPr>
        <w:t xml:space="preserve"> </w:t>
      </w:r>
      <w:r w:rsidR="009B3A04" w:rsidRPr="002C29D2">
        <w:t xml:space="preserve">to understand the effects </w:t>
      </w:r>
      <w:r w:rsidR="002D2D47" w:rsidRPr="002C29D2">
        <w:t xml:space="preserve">on healthcare practitioner engagement with AI technology </w:t>
      </w:r>
      <w:r w:rsidR="009B3A04" w:rsidRPr="002C29D2">
        <w:t xml:space="preserve">of </w:t>
      </w:r>
      <w:r w:rsidR="004D3896" w:rsidRPr="002C29D2">
        <w:t xml:space="preserve">five key </w:t>
      </w:r>
      <w:r w:rsidR="00D717E1" w:rsidRPr="002C29D2">
        <w:t xml:space="preserve">responsible </w:t>
      </w:r>
      <w:r w:rsidR="009B3A04" w:rsidRPr="002C29D2">
        <w:t xml:space="preserve">AI </w:t>
      </w:r>
      <w:r w:rsidR="002D2D47" w:rsidRPr="002C29D2">
        <w:t xml:space="preserve">principles: </w:t>
      </w:r>
      <w:r w:rsidR="004D3896" w:rsidRPr="002C29D2">
        <w:t>autonomy, beneficence, explainability, justice, and non-maleficence</w:t>
      </w:r>
      <w:r w:rsidR="002D2D47" w:rsidRPr="002C29D2">
        <w:t xml:space="preserve">. </w:t>
      </w:r>
    </w:p>
    <w:p w14:paraId="06132D04" w14:textId="77777777" w:rsidR="007418DF" w:rsidRPr="002C29D2" w:rsidRDefault="00372A7E" w:rsidP="002B1051">
      <w:pPr>
        <w:spacing w:line="480" w:lineRule="auto"/>
        <w:jc w:val="both"/>
        <w:rPr>
          <w:bCs/>
          <w:i/>
          <w:iCs/>
          <w:lang w:eastAsia="zh-TW"/>
        </w:rPr>
      </w:pPr>
      <w:r w:rsidRPr="002C29D2">
        <w:rPr>
          <w:bCs/>
          <w:i/>
          <w:iCs/>
          <w:lang w:eastAsia="zh-TW"/>
        </w:rPr>
        <w:t>2.3. Research model</w:t>
      </w:r>
    </w:p>
    <w:p w14:paraId="65AE8AAF" w14:textId="0BE6ECEF" w:rsidR="004A7F05" w:rsidRPr="002C29D2" w:rsidRDefault="0070456C" w:rsidP="00341AA6">
      <w:pPr>
        <w:spacing w:line="480" w:lineRule="auto"/>
        <w:jc w:val="both"/>
        <w:rPr>
          <w:lang w:eastAsia="zh-TW"/>
        </w:rPr>
      </w:pPr>
      <w:r w:rsidRPr="002C29D2">
        <w:rPr>
          <w:lang w:eastAsia="zh-TW"/>
        </w:rPr>
        <w:tab/>
      </w:r>
      <w:r w:rsidR="00DA041B" w:rsidRPr="002C29D2">
        <w:rPr>
          <w:lang w:eastAsia="zh-TW"/>
        </w:rPr>
        <w:t xml:space="preserve">The theoretical basis for </w:t>
      </w:r>
      <w:r w:rsidR="00AF5BDD" w:rsidRPr="002C29D2">
        <w:rPr>
          <w:lang w:eastAsia="zh-TW"/>
        </w:rPr>
        <w:t xml:space="preserve">the proposed research model is the </w:t>
      </w:r>
      <w:r w:rsidR="002D2D47" w:rsidRPr="002C29D2">
        <w:rPr>
          <w:lang w:eastAsia="zh-TW"/>
        </w:rPr>
        <w:t>s</w:t>
      </w:r>
      <w:r w:rsidR="00AF5BDD" w:rsidRPr="002C29D2">
        <w:rPr>
          <w:lang w:eastAsia="zh-TW"/>
        </w:rPr>
        <w:t>ignal-</w:t>
      </w:r>
      <w:r w:rsidR="002D2D47" w:rsidRPr="002C29D2">
        <w:rPr>
          <w:lang w:eastAsia="zh-TW"/>
        </w:rPr>
        <w:t>m</w:t>
      </w:r>
      <w:r w:rsidR="00AF5BDD" w:rsidRPr="002C29D2">
        <w:rPr>
          <w:lang w:eastAsia="zh-TW"/>
        </w:rPr>
        <w:t>echanism-</w:t>
      </w:r>
      <w:r w:rsidR="002D2D47" w:rsidRPr="002C29D2">
        <w:rPr>
          <w:lang w:eastAsia="zh-TW"/>
        </w:rPr>
        <w:t>c</w:t>
      </w:r>
      <w:r w:rsidR="00AF5BDD" w:rsidRPr="002C29D2">
        <w:rPr>
          <w:lang w:eastAsia="zh-TW"/>
        </w:rPr>
        <w:t xml:space="preserve">onsequence (SMC) theory (Li </w:t>
      </w:r>
      <w:r w:rsidRPr="002C29D2">
        <w:rPr>
          <w:lang w:eastAsia="zh-TW"/>
        </w:rPr>
        <w:t>and</w:t>
      </w:r>
      <w:r w:rsidR="00AF5BDD" w:rsidRPr="002C29D2">
        <w:rPr>
          <w:lang w:eastAsia="zh-TW"/>
        </w:rPr>
        <w:t xml:space="preserve"> Wu 2018; Pavlou </w:t>
      </w:r>
      <w:r w:rsidRPr="002C29D2">
        <w:rPr>
          <w:lang w:eastAsia="zh-TW"/>
        </w:rPr>
        <w:t>and</w:t>
      </w:r>
      <w:r w:rsidR="00AF5BDD" w:rsidRPr="002C29D2">
        <w:rPr>
          <w:lang w:eastAsia="zh-TW"/>
        </w:rPr>
        <w:t xml:space="preserve"> Dimoka 2006). </w:t>
      </w:r>
      <w:r w:rsidR="00F0076E" w:rsidRPr="002C29D2">
        <w:rPr>
          <w:lang w:eastAsia="zh-TW"/>
        </w:rPr>
        <w:t>SMC theory is rooted in two theoretical views.</w:t>
      </w:r>
      <w:r w:rsidR="00024EE8" w:rsidRPr="002C29D2">
        <w:rPr>
          <w:lang w:eastAsia="zh-TW"/>
        </w:rPr>
        <w:t xml:space="preserve"> First,</w:t>
      </w:r>
      <w:r w:rsidR="00F0076E" w:rsidRPr="002C29D2">
        <w:rPr>
          <w:lang w:eastAsia="zh-TW"/>
        </w:rPr>
        <w:t xml:space="preserve"> </w:t>
      </w:r>
      <w:r w:rsidR="00024EE8" w:rsidRPr="002C29D2">
        <w:rPr>
          <w:lang w:eastAsia="zh-TW"/>
        </w:rPr>
        <w:t xml:space="preserve">the </w:t>
      </w:r>
      <w:r w:rsidR="00F0076E" w:rsidRPr="002C29D2">
        <w:rPr>
          <w:lang w:eastAsia="zh-TW"/>
        </w:rPr>
        <w:t>diffusion of innovation theory developed by Rogers (1962)</w:t>
      </w:r>
      <w:r w:rsidR="004721EE" w:rsidRPr="002C29D2">
        <w:rPr>
          <w:lang w:eastAsia="zh-TW"/>
        </w:rPr>
        <w:t xml:space="preserve"> </w:t>
      </w:r>
      <w:r w:rsidR="00F0076E" w:rsidRPr="002C29D2">
        <w:rPr>
          <w:lang w:eastAsia="zh-TW"/>
        </w:rPr>
        <w:t>posits that the adoption of a</w:t>
      </w:r>
      <w:r w:rsidR="004721EE" w:rsidRPr="002C29D2">
        <w:rPr>
          <w:lang w:eastAsia="zh-TW"/>
        </w:rPr>
        <w:t>ny</w:t>
      </w:r>
      <w:r w:rsidR="00F0076E" w:rsidRPr="002C29D2">
        <w:rPr>
          <w:lang w:eastAsia="zh-TW"/>
        </w:rPr>
        <w:t xml:space="preserve"> innovation can lead to certain consequences</w:t>
      </w:r>
      <w:r w:rsidR="004721EE" w:rsidRPr="002C29D2">
        <w:rPr>
          <w:lang w:eastAsia="zh-TW"/>
        </w:rPr>
        <w:t xml:space="preserve">, </w:t>
      </w:r>
      <w:r w:rsidR="00F0076E" w:rsidRPr="002C29D2">
        <w:rPr>
          <w:lang w:eastAsia="zh-TW"/>
        </w:rPr>
        <w:t xml:space="preserve">either benefit or </w:t>
      </w:r>
      <w:r w:rsidR="004721EE" w:rsidRPr="002C29D2">
        <w:rPr>
          <w:lang w:eastAsia="zh-TW"/>
        </w:rPr>
        <w:t>harm</w:t>
      </w:r>
      <w:r w:rsidR="00024EE8" w:rsidRPr="002C29D2">
        <w:rPr>
          <w:lang w:eastAsia="zh-TW"/>
        </w:rPr>
        <w:t xml:space="preserve">. </w:t>
      </w:r>
      <w:r w:rsidR="004721EE" w:rsidRPr="002C29D2">
        <w:rPr>
          <w:lang w:eastAsia="zh-TW"/>
        </w:rPr>
        <w:t>It</w:t>
      </w:r>
      <w:r w:rsidR="00886FC9" w:rsidRPr="002C29D2">
        <w:rPr>
          <w:lang w:eastAsia="zh-TW"/>
        </w:rPr>
        <w:t xml:space="preserve"> </w:t>
      </w:r>
      <w:r w:rsidR="008040AC" w:rsidRPr="002C29D2">
        <w:rPr>
          <w:lang w:eastAsia="zh-TW"/>
        </w:rPr>
        <w:t xml:space="preserve">has been frequently </w:t>
      </w:r>
      <w:r w:rsidR="00886FC9" w:rsidRPr="002C29D2">
        <w:rPr>
          <w:lang w:eastAsia="zh-TW"/>
        </w:rPr>
        <w:t xml:space="preserve">employed </w:t>
      </w:r>
      <w:r w:rsidR="008040AC" w:rsidRPr="002C29D2">
        <w:rPr>
          <w:lang w:eastAsia="zh-TW"/>
        </w:rPr>
        <w:t xml:space="preserve">in the </w:t>
      </w:r>
      <w:r w:rsidR="00886FC9" w:rsidRPr="002C29D2">
        <w:rPr>
          <w:lang w:eastAsia="zh-TW"/>
        </w:rPr>
        <w:t xml:space="preserve">technology adoption </w:t>
      </w:r>
      <w:r w:rsidR="008040AC" w:rsidRPr="002C29D2">
        <w:rPr>
          <w:lang w:eastAsia="zh-TW"/>
        </w:rPr>
        <w:t>literature</w:t>
      </w:r>
      <w:r w:rsidR="00886FC9" w:rsidRPr="002C29D2">
        <w:rPr>
          <w:lang w:eastAsia="zh-TW"/>
        </w:rPr>
        <w:t>, where scholars</w:t>
      </w:r>
      <w:r w:rsidR="008040AC" w:rsidRPr="002C29D2">
        <w:rPr>
          <w:lang w:eastAsia="zh-TW"/>
        </w:rPr>
        <w:t xml:space="preserve"> </w:t>
      </w:r>
      <w:r w:rsidR="00AF62BB" w:rsidRPr="002C29D2">
        <w:rPr>
          <w:lang w:eastAsia="zh-TW"/>
        </w:rPr>
        <w:t>examine</w:t>
      </w:r>
      <w:r w:rsidR="00886FC9" w:rsidRPr="002C29D2">
        <w:rPr>
          <w:lang w:eastAsia="zh-TW"/>
        </w:rPr>
        <w:t xml:space="preserve"> </w:t>
      </w:r>
      <w:r w:rsidR="004721EE" w:rsidRPr="002C29D2">
        <w:rPr>
          <w:lang w:eastAsia="zh-TW"/>
        </w:rPr>
        <w:t xml:space="preserve">specific </w:t>
      </w:r>
      <w:r w:rsidR="00AF62BB" w:rsidRPr="002C29D2">
        <w:rPr>
          <w:lang w:eastAsia="zh-TW"/>
        </w:rPr>
        <w:t>influen</w:t>
      </w:r>
      <w:r w:rsidR="004721EE" w:rsidRPr="002C29D2">
        <w:rPr>
          <w:lang w:eastAsia="zh-TW"/>
        </w:rPr>
        <w:t xml:space="preserve">ces of </w:t>
      </w:r>
      <w:r w:rsidR="00886FC9" w:rsidRPr="002C29D2">
        <w:rPr>
          <w:lang w:eastAsia="zh-TW"/>
        </w:rPr>
        <w:t xml:space="preserve">information technology (IT) </w:t>
      </w:r>
      <w:r w:rsidR="004721EE" w:rsidRPr="002C29D2">
        <w:rPr>
          <w:lang w:eastAsia="zh-TW"/>
        </w:rPr>
        <w:t xml:space="preserve">uptake </w:t>
      </w:r>
      <w:r w:rsidR="00886FC9" w:rsidRPr="002C29D2">
        <w:rPr>
          <w:lang w:eastAsia="zh-TW"/>
        </w:rPr>
        <w:t xml:space="preserve">and </w:t>
      </w:r>
      <w:r w:rsidR="004721EE" w:rsidRPr="002C29D2">
        <w:rPr>
          <w:lang w:eastAsia="zh-TW"/>
        </w:rPr>
        <w:t>the</w:t>
      </w:r>
      <w:r w:rsidR="00886FC9" w:rsidRPr="002C29D2">
        <w:rPr>
          <w:lang w:eastAsia="zh-TW"/>
        </w:rPr>
        <w:t xml:space="preserve"> impacts on </w:t>
      </w:r>
      <w:r w:rsidR="00E5714E" w:rsidRPr="002C29D2">
        <w:rPr>
          <w:lang w:eastAsia="zh-TW"/>
        </w:rPr>
        <w:t>behavio</w:t>
      </w:r>
      <w:r w:rsidR="00A919CA" w:rsidRPr="002C29D2">
        <w:rPr>
          <w:lang w:eastAsia="zh-TW"/>
        </w:rPr>
        <w:t>u</w:t>
      </w:r>
      <w:r w:rsidR="00E5714E" w:rsidRPr="002C29D2">
        <w:rPr>
          <w:lang w:eastAsia="zh-TW"/>
        </w:rPr>
        <w:t>ral</w:t>
      </w:r>
      <w:r w:rsidR="00886FC9" w:rsidRPr="002C29D2">
        <w:rPr>
          <w:lang w:eastAsia="zh-TW"/>
        </w:rPr>
        <w:t xml:space="preserve"> intention</w:t>
      </w:r>
      <w:r w:rsidR="004721EE" w:rsidRPr="002C29D2">
        <w:rPr>
          <w:lang w:eastAsia="zh-TW"/>
        </w:rPr>
        <w:t>s</w:t>
      </w:r>
      <w:r w:rsidR="00AF62BB" w:rsidRPr="002C29D2">
        <w:rPr>
          <w:lang w:eastAsia="zh-TW"/>
        </w:rPr>
        <w:t xml:space="preserve"> </w:t>
      </w:r>
      <w:r w:rsidR="00886FC9" w:rsidRPr="002C29D2">
        <w:rPr>
          <w:lang w:eastAsia="zh-TW"/>
        </w:rPr>
        <w:t>(e.g.</w:t>
      </w:r>
      <w:r w:rsidR="0071315D" w:rsidRPr="002C29D2">
        <w:rPr>
          <w:lang w:eastAsia="zh-TW"/>
        </w:rPr>
        <w:t>,</w:t>
      </w:r>
      <w:r w:rsidR="00886FC9" w:rsidRPr="002C29D2">
        <w:rPr>
          <w:lang w:eastAsia="zh-TW"/>
        </w:rPr>
        <w:t xml:space="preserve"> Weerakkody et al. 2017)</w:t>
      </w:r>
      <w:r w:rsidR="008040AC" w:rsidRPr="002C29D2">
        <w:rPr>
          <w:lang w:eastAsia="zh-TW"/>
        </w:rPr>
        <w:t>.</w:t>
      </w:r>
      <w:r w:rsidR="00341AA6" w:rsidRPr="002C29D2">
        <w:rPr>
          <w:lang w:eastAsia="zh-TW"/>
        </w:rPr>
        <w:t xml:space="preserve"> </w:t>
      </w:r>
      <w:r w:rsidR="00024EE8" w:rsidRPr="002C29D2">
        <w:rPr>
          <w:lang w:eastAsia="zh-TW"/>
        </w:rPr>
        <w:t xml:space="preserve">Second, </w:t>
      </w:r>
      <w:r w:rsidR="00E5714E" w:rsidRPr="002C29D2">
        <w:rPr>
          <w:lang w:eastAsia="zh-TW"/>
        </w:rPr>
        <w:t>signaling</w:t>
      </w:r>
      <w:r w:rsidR="00024EE8" w:rsidRPr="002C29D2">
        <w:rPr>
          <w:lang w:eastAsia="zh-TW"/>
        </w:rPr>
        <w:t xml:space="preserve"> theory explains </w:t>
      </w:r>
      <w:r w:rsidR="008040AC" w:rsidRPr="002C29D2">
        <w:rPr>
          <w:lang w:eastAsia="zh-TW"/>
        </w:rPr>
        <w:t>how two parties</w:t>
      </w:r>
      <w:r w:rsidR="004721EE" w:rsidRPr="002C29D2">
        <w:rPr>
          <w:lang w:eastAsia="zh-TW"/>
        </w:rPr>
        <w:t xml:space="preserve">, such as </w:t>
      </w:r>
      <w:r w:rsidR="008040AC" w:rsidRPr="002C29D2">
        <w:rPr>
          <w:lang w:eastAsia="zh-TW"/>
        </w:rPr>
        <w:t>focal company and stakeholders</w:t>
      </w:r>
      <w:r w:rsidR="004721EE" w:rsidRPr="002C29D2">
        <w:rPr>
          <w:lang w:eastAsia="zh-TW"/>
        </w:rPr>
        <w:t xml:space="preserve"> or</w:t>
      </w:r>
      <w:r w:rsidR="008040AC" w:rsidRPr="002C29D2">
        <w:rPr>
          <w:lang w:eastAsia="zh-TW"/>
        </w:rPr>
        <w:t xml:space="preserve"> customers and suppliers</w:t>
      </w:r>
      <w:r w:rsidR="004721EE" w:rsidRPr="002C29D2">
        <w:rPr>
          <w:lang w:eastAsia="zh-TW"/>
        </w:rPr>
        <w:t>, may</w:t>
      </w:r>
      <w:r w:rsidR="008040AC" w:rsidRPr="002C29D2">
        <w:rPr>
          <w:lang w:eastAsia="zh-TW"/>
        </w:rPr>
        <w:t xml:space="preserve"> communicate through information processing (Connelly et al. 2011). </w:t>
      </w:r>
      <w:r w:rsidR="004A7F05" w:rsidRPr="002C29D2">
        <w:rPr>
          <w:lang w:eastAsia="zh-TW"/>
        </w:rPr>
        <w:t xml:space="preserve">There are four core components of </w:t>
      </w:r>
      <w:r w:rsidR="00E5714E" w:rsidRPr="002C29D2">
        <w:rPr>
          <w:lang w:eastAsia="zh-TW"/>
        </w:rPr>
        <w:t>signaling</w:t>
      </w:r>
      <w:r w:rsidR="004A7F05" w:rsidRPr="002C29D2">
        <w:rPr>
          <w:lang w:eastAsia="zh-TW"/>
        </w:rPr>
        <w:t xml:space="preserve"> theory: sender, receiver, signal, and </w:t>
      </w:r>
      <w:r w:rsidR="00E5714E" w:rsidRPr="002C29D2">
        <w:rPr>
          <w:lang w:eastAsia="zh-TW"/>
        </w:rPr>
        <w:t>signaling</w:t>
      </w:r>
      <w:r w:rsidR="004A7F05" w:rsidRPr="002C29D2">
        <w:rPr>
          <w:lang w:eastAsia="zh-TW"/>
        </w:rPr>
        <w:t xml:space="preserve"> environment.</w:t>
      </w:r>
      <w:r w:rsidR="00341AA6" w:rsidRPr="002C29D2">
        <w:rPr>
          <w:lang w:eastAsia="zh-TW"/>
        </w:rPr>
        <w:t xml:space="preserve"> </w:t>
      </w:r>
      <w:r w:rsidRPr="002C29D2">
        <w:rPr>
          <w:lang w:eastAsia="zh-TW"/>
        </w:rPr>
        <w:t>‘</w:t>
      </w:r>
      <w:r w:rsidR="00477928" w:rsidRPr="002C29D2">
        <w:rPr>
          <w:lang w:eastAsia="zh-TW"/>
        </w:rPr>
        <w:t>S</w:t>
      </w:r>
      <w:r w:rsidR="004A7F05" w:rsidRPr="002C29D2">
        <w:rPr>
          <w:lang w:eastAsia="zh-TW"/>
        </w:rPr>
        <w:t>ignal</w:t>
      </w:r>
      <w:r w:rsidRPr="002C29D2">
        <w:rPr>
          <w:lang w:eastAsia="zh-TW"/>
        </w:rPr>
        <w:t>’</w:t>
      </w:r>
      <w:r w:rsidR="004A7F05" w:rsidRPr="002C29D2">
        <w:rPr>
          <w:lang w:eastAsia="zh-TW"/>
        </w:rPr>
        <w:t xml:space="preserve"> refers to the deliberate communication of information to convey </w:t>
      </w:r>
      <w:r w:rsidR="00477928" w:rsidRPr="002C29D2">
        <w:rPr>
          <w:lang w:eastAsia="zh-TW"/>
        </w:rPr>
        <w:t xml:space="preserve">it </w:t>
      </w:r>
      <w:r w:rsidR="004A7F05" w:rsidRPr="002C29D2">
        <w:rPr>
          <w:lang w:eastAsia="zh-TW"/>
        </w:rPr>
        <w:t>from one</w:t>
      </w:r>
      <w:r w:rsidR="00477928" w:rsidRPr="002C29D2">
        <w:rPr>
          <w:lang w:eastAsia="zh-TW"/>
        </w:rPr>
        <w:t xml:space="preserve"> party</w:t>
      </w:r>
      <w:r w:rsidR="004A7F05" w:rsidRPr="002C29D2">
        <w:rPr>
          <w:lang w:eastAsia="zh-TW"/>
        </w:rPr>
        <w:t xml:space="preserve"> to another </w:t>
      </w:r>
      <w:r w:rsidR="004A7F05" w:rsidRPr="002C29D2">
        <w:rPr>
          <w:lang w:eastAsia="zh-TW"/>
        </w:rPr>
        <w:lastRenderedPageBreak/>
        <w:t xml:space="preserve">(Connelly et al. 2011). The </w:t>
      </w:r>
      <w:r w:rsidR="00477928" w:rsidRPr="002C29D2">
        <w:rPr>
          <w:lang w:eastAsia="zh-TW"/>
        </w:rPr>
        <w:t xml:space="preserve">senders of </w:t>
      </w:r>
      <w:r w:rsidR="004A7F05" w:rsidRPr="002C29D2">
        <w:rPr>
          <w:lang w:eastAsia="zh-TW"/>
        </w:rPr>
        <w:t>signal</w:t>
      </w:r>
      <w:r w:rsidR="00477928" w:rsidRPr="002C29D2">
        <w:rPr>
          <w:lang w:eastAsia="zh-TW"/>
        </w:rPr>
        <w:t>s</w:t>
      </w:r>
      <w:r w:rsidR="004A7F05" w:rsidRPr="002C29D2">
        <w:rPr>
          <w:lang w:eastAsia="zh-TW"/>
        </w:rPr>
        <w:t xml:space="preserve"> decide on how to communicate the information </w:t>
      </w:r>
      <w:r w:rsidRPr="002C29D2">
        <w:rPr>
          <w:lang w:eastAsia="zh-TW"/>
        </w:rPr>
        <w:t xml:space="preserve">they want </w:t>
      </w:r>
      <w:r w:rsidR="004A7F05" w:rsidRPr="002C29D2">
        <w:rPr>
          <w:lang w:eastAsia="zh-TW"/>
        </w:rPr>
        <w:t>receivers</w:t>
      </w:r>
      <w:r w:rsidRPr="002C29D2">
        <w:rPr>
          <w:lang w:eastAsia="zh-TW"/>
        </w:rPr>
        <w:t xml:space="preserve"> to know</w:t>
      </w:r>
      <w:r w:rsidR="004A7F05" w:rsidRPr="002C29D2">
        <w:rPr>
          <w:lang w:eastAsia="zh-TW"/>
        </w:rPr>
        <w:t>, while the receivers interpret the information sent by the</w:t>
      </w:r>
      <w:r w:rsidR="00477928" w:rsidRPr="002C29D2">
        <w:rPr>
          <w:lang w:eastAsia="zh-TW"/>
        </w:rPr>
        <w:t>se</w:t>
      </w:r>
      <w:r w:rsidR="004A7F05" w:rsidRPr="002C29D2">
        <w:rPr>
          <w:lang w:eastAsia="zh-TW"/>
        </w:rPr>
        <w:t xml:space="preserve"> signal senders. </w:t>
      </w:r>
      <w:r w:rsidR="007053A9" w:rsidRPr="002C29D2">
        <w:rPr>
          <w:lang w:eastAsia="zh-TW"/>
        </w:rPr>
        <w:t xml:space="preserve">Building on </w:t>
      </w:r>
      <w:r w:rsidR="00E5714E" w:rsidRPr="002C29D2">
        <w:rPr>
          <w:lang w:eastAsia="zh-TW"/>
        </w:rPr>
        <w:t>signaling</w:t>
      </w:r>
      <w:r w:rsidR="007053A9" w:rsidRPr="002C29D2">
        <w:rPr>
          <w:lang w:eastAsia="zh-TW"/>
        </w:rPr>
        <w:t xml:space="preserve"> theory, considerable effort ha</w:t>
      </w:r>
      <w:r w:rsidR="00477928" w:rsidRPr="002C29D2">
        <w:rPr>
          <w:lang w:eastAsia="zh-TW"/>
        </w:rPr>
        <w:t>s</w:t>
      </w:r>
      <w:r w:rsidR="007053A9" w:rsidRPr="002C29D2">
        <w:rPr>
          <w:lang w:eastAsia="zh-TW"/>
        </w:rPr>
        <w:t xml:space="preserve"> been </w:t>
      </w:r>
      <w:r w:rsidR="00477928" w:rsidRPr="002C29D2">
        <w:rPr>
          <w:lang w:eastAsia="zh-TW"/>
        </w:rPr>
        <w:t>expended on research</w:t>
      </w:r>
      <w:r w:rsidR="007053A9" w:rsidRPr="002C29D2">
        <w:rPr>
          <w:lang w:eastAsia="zh-TW"/>
        </w:rPr>
        <w:t xml:space="preserve"> </w:t>
      </w:r>
      <w:r w:rsidR="00477928" w:rsidRPr="002C29D2">
        <w:rPr>
          <w:lang w:eastAsia="zh-TW"/>
        </w:rPr>
        <w:t xml:space="preserve">into </w:t>
      </w:r>
      <w:r w:rsidR="007053A9" w:rsidRPr="002C29D2">
        <w:rPr>
          <w:lang w:eastAsia="zh-TW"/>
        </w:rPr>
        <w:t xml:space="preserve">how senders can convey signals effectively to target parties. For example, in the e-commerce environment, Pavlou and Dimoka (2006) </w:t>
      </w:r>
      <w:r w:rsidR="00477928" w:rsidRPr="002C29D2">
        <w:rPr>
          <w:lang w:eastAsia="zh-TW"/>
        </w:rPr>
        <w:t xml:space="preserve">show </w:t>
      </w:r>
      <w:r w:rsidR="00485C2E" w:rsidRPr="002C29D2">
        <w:rPr>
          <w:lang w:eastAsia="zh-TW"/>
        </w:rPr>
        <w:t xml:space="preserve">that positive signals such as credibility and </w:t>
      </w:r>
      <w:r w:rsidR="00E01AE9" w:rsidRPr="002C29D2">
        <w:rPr>
          <w:lang w:eastAsia="zh-TW"/>
        </w:rPr>
        <w:t>benevolence conveyed</w:t>
      </w:r>
      <w:r w:rsidR="00485C2E" w:rsidRPr="002C29D2">
        <w:rPr>
          <w:lang w:eastAsia="zh-TW"/>
        </w:rPr>
        <w:t xml:space="preserve"> by sellers </w:t>
      </w:r>
      <w:r w:rsidR="00341AA6" w:rsidRPr="002C29D2">
        <w:rPr>
          <w:lang w:eastAsia="zh-TW"/>
        </w:rPr>
        <w:t xml:space="preserve">can </w:t>
      </w:r>
      <w:r w:rsidR="00485C2E" w:rsidRPr="002C29D2">
        <w:rPr>
          <w:lang w:eastAsia="zh-TW"/>
        </w:rPr>
        <w:t>improve price premium</w:t>
      </w:r>
      <w:r w:rsidR="00341AA6" w:rsidRPr="002C29D2">
        <w:rPr>
          <w:lang w:eastAsia="zh-TW"/>
        </w:rPr>
        <w:t xml:space="preserve">. </w:t>
      </w:r>
      <w:r w:rsidR="00485C2E" w:rsidRPr="002C29D2">
        <w:rPr>
          <w:lang w:eastAsia="zh-TW"/>
        </w:rPr>
        <w:t xml:space="preserve"> </w:t>
      </w:r>
      <w:r w:rsidR="00477928" w:rsidRPr="002C29D2">
        <w:rPr>
          <w:lang w:eastAsia="zh-TW"/>
        </w:rPr>
        <w:t>A f</w:t>
      </w:r>
      <w:r w:rsidR="00341AA6" w:rsidRPr="002C29D2">
        <w:rPr>
          <w:lang w:eastAsia="zh-TW"/>
        </w:rPr>
        <w:t>irm’</w:t>
      </w:r>
      <w:r w:rsidR="00477928" w:rsidRPr="002C29D2">
        <w:rPr>
          <w:lang w:eastAsia="zh-TW"/>
        </w:rPr>
        <w:t>s</w:t>
      </w:r>
      <w:r w:rsidR="00341AA6" w:rsidRPr="002C29D2">
        <w:rPr>
          <w:lang w:eastAsia="zh-TW"/>
        </w:rPr>
        <w:t xml:space="preserve"> market value is also increased when positive signals circulate among stakeholders</w:t>
      </w:r>
      <w:r w:rsidR="00477928" w:rsidRPr="002C29D2">
        <w:rPr>
          <w:lang w:eastAsia="zh-TW"/>
        </w:rPr>
        <w:t xml:space="preserve">, for instance </w:t>
      </w:r>
      <w:r w:rsidR="00341AA6" w:rsidRPr="002C29D2">
        <w:rPr>
          <w:lang w:eastAsia="zh-TW"/>
        </w:rPr>
        <w:t>voluntarily disclosing information security</w:t>
      </w:r>
      <w:r w:rsidR="00903C92" w:rsidRPr="002C29D2">
        <w:rPr>
          <w:lang w:eastAsia="zh-TW"/>
        </w:rPr>
        <w:t xml:space="preserve"> </w:t>
      </w:r>
      <w:r w:rsidR="004F60AF" w:rsidRPr="002C29D2">
        <w:rPr>
          <w:lang w:eastAsia="zh-TW"/>
        </w:rPr>
        <w:t>(</w:t>
      </w:r>
      <w:r w:rsidR="00485C2E" w:rsidRPr="002C29D2">
        <w:rPr>
          <w:lang w:eastAsia="zh-TW"/>
        </w:rPr>
        <w:t>Gordon et al. 2010)</w:t>
      </w:r>
      <w:r w:rsidR="004F60AF" w:rsidRPr="002C29D2">
        <w:rPr>
          <w:lang w:eastAsia="zh-TW"/>
        </w:rPr>
        <w:t>.</w:t>
      </w:r>
      <w:r w:rsidR="00485C2E" w:rsidRPr="002C29D2">
        <w:rPr>
          <w:lang w:eastAsia="zh-TW"/>
        </w:rPr>
        <w:t xml:space="preserve"> </w:t>
      </w:r>
    </w:p>
    <w:p w14:paraId="0AFD999F" w14:textId="7C46AEC1" w:rsidR="000C1E99" w:rsidRPr="002C29D2" w:rsidRDefault="004C704B" w:rsidP="00281BD8">
      <w:pPr>
        <w:spacing w:line="480" w:lineRule="auto"/>
        <w:ind w:firstLineChars="200" w:firstLine="480"/>
        <w:jc w:val="both"/>
        <w:rPr>
          <w:lang w:eastAsia="zh-TW"/>
        </w:rPr>
      </w:pPr>
      <w:r w:rsidRPr="002C29D2">
        <w:rPr>
          <w:lang w:eastAsia="zh-TW"/>
        </w:rPr>
        <w:t xml:space="preserve">Drawing on SMC theory, </w:t>
      </w:r>
      <w:r w:rsidR="001C7457" w:rsidRPr="002C29D2">
        <w:rPr>
          <w:lang w:eastAsia="zh-TW"/>
        </w:rPr>
        <w:t xml:space="preserve">our research </w:t>
      </w:r>
      <w:r w:rsidRPr="002C29D2">
        <w:rPr>
          <w:lang w:eastAsia="zh-TW"/>
        </w:rPr>
        <w:t>explore</w:t>
      </w:r>
      <w:r w:rsidR="00477928" w:rsidRPr="002C29D2">
        <w:rPr>
          <w:lang w:eastAsia="zh-TW"/>
        </w:rPr>
        <w:t>s</w:t>
      </w:r>
      <w:r w:rsidRPr="002C29D2">
        <w:rPr>
          <w:lang w:eastAsia="zh-TW"/>
        </w:rPr>
        <w:t xml:space="preserve"> </w:t>
      </w:r>
      <w:r w:rsidR="00903C92" w:rsidRPr="002C29D2">
        <w:rPr>
          <w:lang w:eastAsia="zh-TW"/>
        </w:rPr>
        <w:t xml:space="preserve">the </w:t>
      </w:r>
      <w:r w:rsidRPr="002C29D2">
        <w:rPr>
          <w:lang w:eastAsia="zh-TW"/>
        </w:rPr>
        <w:t xml:space="preserve">signals triggered by the </w:t>
      </w:r>
      <w:r w:rsidR="00477928" w:rsidRPr="002C29D2">
        <w:rPr>
          <w:lang w:eastAsia="zh-TW"/>
        </w:rPr>
        <w:t xml:space="preserve">adoption </w:t>
      </w:r>
      <w:r w:rsidRPr="002C29D2">
        <w:rPr>
          <w:lang w:eastAsia="zh-TW"/>
        </w:rPr>
        <w:t xml:space="preserve">of </w:t>
      </w:r>
      <w:r w:rsidR="00D717E1" w:rsidRPr="002C29D2">
        <w:rPr>
          <w:lang w:eastAsia="zh-TW"/>
        </w:rPr>
        <w:t xml:space="preserve">responsible </w:t>
      </w:r>
      <w:r w:rsidRPr="002C29D2">
        <w:rPr>
          <w:lang w:eastAsia="zh-TW"/>
        </w:rPr>
        <w:t>AI principles</w:t>
      </w:r>
      <w:r w:rsidR="00477928" w:rsidRPr="002C29D2">
        <w:rPr>
          <w:lang w:eastAsia="zh-TW"/>
        </w:rPr>
        <w:t>,</w:t>
      </w:r>
      <w:r w:rsidR="004E7489" w:rsidRPr="002C29D2">
        <w:rPr>
          <w:lang w:eastAsia="zh-TW"/>
        </w:rPr>
        <w:t xml:space="preserve"> which may </w:t>
      </w:r>
      <w:r w:rsidRPr="002C29D2">
        <w:rPr>
          <w:lang w:eastAsia="zh-TW"/>
        </w:rPr>
        <w:t xml:space="preserve">enable healthcare </w:t>
      </w:r>
      <w:r w:rsidR="00A919CA" w:rsidRPr="002C29D2">
        <w:rPr>
          <w:lang w:eastAsia="zh-TW"/>
        </w:rPr>
        <w:t xml:space="preserve">practitioners </w:t>
      </w:r>
      <w:r w:rsidR="00477928" w:rsidRPr="002C29D2">
        <w:rPr>
          <w:lang w:eastAsia="zh-TW"/>
        </w:rPr>
        <w:t xml:space="preserve">to </w:t>
      </w:r>
      <w:r w:rsidR="001C7457" w:rsidRPr="002C29D2">
        <w:rPr>
          <w:lang w:eastAsia="zh-TW"/>
        </w:rPr>
        <w:t>engage</w:t>
      </w:r>
      <w:r w:rsidRPr="002C29D2">
        <w:rPr>
          <w:lang w:eastAsia="zh-TW"/>
        </w:rPr>
        <w:t xml:space="preserve"> </w:t>
      </w:r>
      <w:r w:rsidR="00477928" w:rsidRPr="002C29D2">
        <w:rPr>
          <w:lang w:eastAsia="zh-TW"/>
        </w:rPr>
        <w:t xml:space="preserve">more </w:t>
      </w:r>
      <w:r w:rsidRPr="002C29D2">
        <w:rPr>
          <w:lang w:eastAsia="zh-TW"/>
        </w:rPr>
        <w:t>with AI and enhance the</w:t>
      </w:r>
      <w:r w:rsidR="0070456C" w:rsidRPr="002C29D2">
        <w:rPr>
          <w:lang w:eastAsia="zh-TW"/>
        </w:rPr>
        <w:t>ir</w:t>
      </w:r>
      <w:r w:rsidRPr="002C29D2">
        <w:rPr>
          <w:lang w:eastAsia="zh-TW"/>
        </w:rPr>
        <w:t xml:space="preserve"> positive attitude</w:t>
      </w:r>
      <w:r w:rsidR="0070456C" w:rsidRPr="002C29D2">
        <w:rPr>
          <w:lang w:eastAsia="zh-TW"/>
        </w:rPr>
        <w:t>s</w:t>
      </w:r>
      <w:r w:rsidRPr="002C29D2">
        <w:rPr>
          <w:lang w:eastAsia="zh-TW"/>
        </w:rPr>
        <w:t xml:space="preserve"> and intention</w:t>
      </w:r>
      <w:r w:rsidR="0070456C" w:rsidRPr="002C29D2">
        <w:rPr>
          <w:lang w:eastAsia="zh-TW"/>
        </w:rPr>
        <w:t>s</w:t>
      </w:r>
      <w:r w:rsidRPr="002C29D2">
        <w:rPr>
          <w:lang w:eastAsia="zh-TW"/>
        </w:rPr>
        <w:t xml:space="preserve"> toward </w:t>
      </w:r>
      <w:r w:rsidR="00477928" w:rsidRPr="002C29D2">
        <w:rPr>
          <w:lang w:eastAsia="zh-TW"/>
        </w:rPr>
        <w:t>it</w:t>
      </w:r>
      <w:r w:rsidRPr="002C29D2">
        <w:rPr>
          <w:lang w:eastAsia="zh-TW"/>
        </w:rPr>
        <w:t xml:space="preserve">. </w:t>
      </w:r>
      <w:r w:rsidR="00793DB3" w:rsidRPr="002C29D2">
        <w:rPr>
          <w:lang w:eastAsia="zh-TW"/>
        </w:rPr>
        <w:t xml:space="preserve">Building on Peters et al. (2020), </w:t>
      </w:r>
      <w:r w:rsidR="00D717E1" w:rsidRPr="002C29D2">
        <w:rPr>
          <w:lang w:eastAsia="zh-TW"/>
        </w:rPr>
        <w:t xml:space="preserve">we define responsible AI as principles that are designed to 1) </w:t>
      </w:r>
      <w:r w:rsidR="00D717E1" w:rsidRPr="002C29D2">
        <w:rPr>
          <w:i/>
          <w:lang w:eastAsia="zh-TW"/>
        </w:rPr>
        <w:t xml:space="preserve">navigate AI agents responsibly to create economic value </w:t>
      </w:r>
      <w:r w:rsidR="000C1E99" w:rsidRPr="002C29D2">
        <w:rPr>
          <w:i/>
          <w:lang w:eastAsia="zh-TW"/>
        </w:rPr>
        <w:t>from</w:t>
      </w:r>
      <w:r w:rsidR="00D717E1" w:rsidRPr="002C29D2">
        <w:rPr>
          <w:i/>
          <w:lang w:eastAsia="zh-TW"/>
        </w:rPr>
        <w:t xml:space="preserve"> healthcare service provision</w:t>
      </w:r>
      <w:r w:rsidR="00D717E1" w:rsidRPr="002C29D2">
        <w:rPr>
          <w:lang w:eastAsia="zh-TW"/>
        </w:rPr>
        <w:t xml:space="preserve">, 2) </w:t>
      </w:r>
      <w:r w:rsidR="00D717E1" w:rsidRPr="002C29D2">
        <w:rPr>
          <w:i/>
          <w:lang w:eastAsia="zh-TW"/>
        </w:rPr>
        <w:t xml:space="preserve">orchestrate </w:t>
      </w:r>
      <w:r w:rsidR="000C1E99" w:rsidRPr="002C29D2">
        <w:rPr>
          <w:i/>
          <w:lang w:eastAsia="zh-TW"/>
        </w:rPr>
        <w:t xml:space="preserve">both </w:t>
      </w:r>
      <w:r w:rsidR="00D717E1" w:rsidRPr="002C29D2">
        <w:rPr>
          <w:i/>
          <w:lang w:eastAsia="zh-TW"/>
        </w:rPr>
        <w:t>AI and healthcare professionals’ competencies ethically</w:t>
      </w:r>
      <w:r w:rsidR="000C1E99" w:rsidRPr="002C29D2">
        <w:rPr>
          <w:i/>
          <w:lang w:eastAsia="zh-TW"/>
        </w:rPr>
        <w:t>,</w:t>
      </w:r>
      <w:r w:rsidR="00D717E1" w:rsidRPr="002C29D2">
        <w:rPr>
          <w:i/>
          <w:lang w:eastAsia="zh-TW"/>
        </w:rPr>
        <w:t xml:space="preserve"> to achieve positive clinical outcomes for various stakeholder groups</w:t>
      </w:r>
      <w:r w:rsidR="00D717E1" w:rsidRPr="002C29D2">
        <w:rPr>
          <w:lang w:eastAsia="zh-TW"/>
        </w:rPr>
        <w:t xml:space="preserve">, and 3) </w:t>
      </w:r>
      <w:r w:rsidR="00D717E1" w:rsidRPr="002C29D2">
        <w:rPr>
          <w:i/>
          <w:lang w:eastAsia="zh-TW"/>
        </w:rPr>
        <w:t>leverage AI to achieve fairness, social inclusion, and sustainability in healthcare</w:t>
      </w:r>
      <w:r w:rsidR="00793DB3" w:rsidRPr="002C29D2">
        <w:rPr>
          <w:i/>
          <w:lang w:eastAsia="zh-TW"/>
        </w:rPr>
        <w:t>.</w:t>
      </w:r>
      <w:r w:rsidR="00D717E1" w:rsidRPr="002C29D2">
        <w:rPr>
          <w:lang w:eastAsia="zh-TW"/>
        </w:rPr>
        <w:t xml:space="preserve"> </w:t>
      </w:r>
    </w:p>
    <w:p w14:paraId="740B55EE" w14:textId="6F396420" w:rsidR="002C06F5" w:rsidRPr="002C29D2" w:rsidRDefault="00A86B3D" w:rsidP="00281BD8">
      <w:pPr>
        <w:spacing w:line="480" w:lineRule="auto"/>
        <w:ind w:firstLineChars="200" w:firstLine="480"/>
        <w:jc w:val="both"/>
        <w:rPr>
          <w:lang w:eastAsia="zh-TW"/>
        </w:rPr>
      </w:pPr>
      <w:r w:rsidRPr="002C29D2">
        <w:rPr>
          <w:lang w:eastAsia="zh-TW"/>
        </w:rPr>
        <w:t xml:space="preserve">Signals in the healthcare context are actions that convey information to healthcare professionals about planned actions for </w:t>
      </w:r>
      <w:r w:rsidR="000C1E99" w:rsidRPr="002C29D2">
        <w:rPr>
          <w:lang w:eastAsia="zh-TW"/>
        </w:rPr>
        <w:t xml:space="preserve">the </w:t>
      </w:r>
      <w:r w:rsidRPr="002C29D2">
        <w:rPr>
          <w:lang w:eastAsia="zh-TW"/>
        </w:rPr>
        <w:t>responsible implementation of AI-enabled healthcare systems.</w:t>
      </w:r>
      <w:r w:rsidR="00D717E1" w:rsidRPr="002C29D2">
        <w:rPr>
          <w:lang w:eastAsia="zh-TW"/>
        </w:rPr>
        <w:t xml:space="preserve"> </w:t>
      </w:r>
      <w:r w:rsidR="001C7457" w:rsidRPr="002C29D2">
        <w:rPr>
          <w:lang w:eastAsia="zh-TW"/>
        </w:rPr>
        <w:t>Leslie (2019) claims that mechanisms</w:t>
      </w:r>
      <w:r w:rsidR="000C1E99" w:rsidRPr="002C29D2">
        <w:rPr>
          <w:lang w:eastAsia="zh-TW"/>
        </w:rPr>
        <w:t xml:space="preserve"> can be explanatory by</w:t>
      </w:r>
      <w:r w:rsidR="001C7457" w:rsidRPr="002C29D2">
        <w:rPr>
          <w:lang w:eastAsia="zh-TW"/>
        </w:rPr>
        <w:t xml:space="preserve"> link</w:t>
      </w:r>
      <w:r w:rsidR="000C1E99" w:rsidRPr="002C29D2">
        <w:rPr>
          <w:lang w:eastAsia="zh-TW"/>
        </w:rPr>
        <w:t>ing</w:t>
      </w:r>
      <w:r w:rsidR="001C7457" w:rsidRPr="002C29D2">
        <w:rPr>
          <w:lang w:eastAsia="zh-TW"/>
        </w:rPr>
        <w:t xml:space="preserve"> signals </w:t>
      </w:r>
      <w:r w:rsidR="000C1E99" w:rsidRPr="002C29D2">
        <w:rPr>
          <w:lang w:eastAsia="zh-TW"/>
        </w:rPr>
        <w:t>with</w:t>
      </w:r>
      <w:r w:rsidR="001C7457" w:rsidRPr="002C29D2">
        <w:rPr>
          <w:lang w:eastAsia="zh-TW"/>
        </w:rPr>
        <w:t xml:space="preserve"> </w:t>
      </w:r>
      <w:r w:rsidR="000C1E99" w:rsidRPr="002C29D2">
        <w:rPr>
          <w:lang w:eastAsia="zh-TW"/>
        </w:rPr>
        <w:t>the associated pathways to</w:t>
      </w:r>
      <w:r w:rsidR="00D01670" w:rsidRPr="002C29D2">
        <w:rPr>
          <w:lang w:eastAsia="zh-TW"/>
        </w:rPr>
        <w:t xml:space="preserve"> </w:t>
      </w:r>
      <w:r w:rsidR="000C1E99" w:rsidRPr="002C29D2">
        <w:rPr>
          <w:lang w:eastAsia="zh-TW"/>
        </w:rPr>
        <w:t xml:space="preserve">various </w:t>
      </w:r>
      <w:r w:rsidR="001C7457" w:rsidRPr="002C29D2">
        <w:rPr>
          <w:lang w:eastAsia="zh-TW"/>
        </w:rPr>
        <w:t>consequences.</w:t>
      </w:r>
      <w:r w:rsidR="00D01670" w:rsidRPr="002C29D2">
        <w:rPr>
          <w:lang w:eastAsia="zh-TW"/>
        </w:rPr>
        <w:t xml:space="preserve"> </w:t>
      </w:r>
      <w:r w:rsidR="00260FE3" w:rsidRPr="002C29D2">
        <w:rPr>
          <w:lang w:eastAsia="zh-TW"/>
        </w:rPr>
        <w:t>Perhaps s</w:t>
      </w:r>
      <w:r w:rsidR="000C1E99" w:rsidRPr="002C29D2">
        <w:rPr>
          <w:lang w:eastAsia="zh-TW"/>
        </w:rPr>
        <w:t xml:space="preserve">uch a mechanism may be </w:t>
      </w:r>
      <w:r w:rsidR="00260FE3" w:rsidRPr="002C29D2">
        <w:rPr>
          <w:lang w:eastAsia="zh-TW"/>
        </w:rPr>
        <w:t xml:space="preserve">found </w:t>
      </w:r>
      <w:r w:rsidR="000C1E99" w:rsidRPr="002C29D2">
        <w:rPr>
          <w:lang w:eastAsia="zh-TW"/>
        </w:rPr>
        <w:t xml:space="preserve">in </w:t>
      </w:r>
      <w:r w:rsidR="00260FE3" w:rsidRPr="002C29D2">
        <w:rPr>
          <w:lang w:eastAsia="zh-TW"/>
        </w:rPr>
        <w:t>the application of</w:t>
      </w:r>
      <w:r w:rsidR="000C1E99" w:rsidRPr="002C29D2">
        <w:rPr>
          <w:lang w:eastAsia="zh-TW"/>
        </w:rPr>
        <w:t xml:space="preserve"> responsible AI principles, which it </w:t>
      </w:r>
      <w:r w:rsidR="00930EB7" w:rsidRPr="002C29D2">
        <w:rPr>
          <w:lang w:eastAsia="zh-TW"/>
        </w:rPr>
        <w:t xml:space="preserve">is reasonable to </w:t>
      </w:r>
      <w:r w:rsidR="000C1E99" w:rsidRPr="002C29D2">
        <w:rPr>
          <w:lang w:eastAsia="zh-TW"/>
        </w:rPr>
        <w:t>conce</w:t>
      </w:r>
      <w:r w:rsidR="00930EB7" w:rsidRPr="002C29D2">
        <w:rPr>
          <w:lang w:eastAsia="zh-TW"/>
        </w:rPr>
        <w:t xml:space="preserve">ive </w:t>
      </w:r>
      <w:r w:rsidR="002C06F5" w:rsidRPr="002C29D2">
        <w:rPr>
          <w:lang w:eastAsia="zh-TW"/>
        </w:rPr>
        <w:t xml:space="preserve">healthcare </w:t>
      </w:r>
      <w:r w:rsidR="00A919CA" w:rsidRPr="002C29D2">
        <w:rPr>
          <w:lang w:eastAsia="zh-TW"/>
        </w:rPr>
        <w:t>practitioners</w:t>
      </w:r>
      <w:r w:rsidR="000C1E99" w:rsidRPr="002C29D2">
        <w:rPr>
          <w:lang w:eastAsia="zh-TW"/>
        </w:rPr>
        <w:t xml:space="preserve"> would</w:t>
      </w:r>
      <w:r w:rsidR="00A919CA" w:rsidRPr="002C29D2">
        <w:rPr>
          <w:lang w:eastAsia="zh-TW"/>
        </w:rPr>
        <w:t xml:space="preserve"> </w:t>
      </w:r>
      <w:r w:rsidR="002C06F5" w:rsidRPr="002C29D2">
        <w:rPr>
          <w:lang w:eastAsia="zh-TW"/>
        </w:rPr>
        <w:t xml:space="preserve">interpret as signals </w:t>
      </w:r>
      <w:r w:rsidR="000C1E99" w:rsidRPr="002C29D2">
        <w:rPr>
          <w:lang w:eastAsia="zh-TW"/>
        </w:rPr>
        <w:t xml:space="preserve">to </w:t>
      </w:r>
      <w:r w:rsidR="002C06F5" w:rsidRPr="002C29D2">
        <w:rPr>
          <w:lang w:eastAsia="zh-TW"/>
        </w:rPr>
        <w:t xml:space="preserve">what </w:t>
      </w:r>
      <w:r w:rsidR="00E01AE9" w:rsidRPr="002C29D2">
        <w:rPr>
          <w:lang w:eastAsia="zh-TW"/>
        </w:rPr>
        <w:t xml:space="preserve">a </w:t>
      </w:r>
      <w:r w:rsidR="00A919CA" w:rsidRPr="002C29D2">
        <w:rPr>
          <w:lang w:eastAsia="zh-TW"/>
        </w:rPr>
        <w:t xml:space="preserve">responsible </w:t>
      </w:r>
      <w:r w:rsidR="00E01AE9" w:rsidRPr="002C29D2">
        <w:rPr>
          <w:lang w:eastAsia="zh-TW"/>
        </w:rPr>
        <w:t>healthcare</w:t>
      </w:r>
      <w:r w:rsidR="002C06F5" w:rsidRPr="002C29D2">
        <w:rPr>
          <w:lang w:eastAsia="zh-TW"/>
        </w:rPr>
        <w:t xml:space="preserve"> system is like</w:t>
      </w:r>
      <w:r w:rsidR="00260FE3" w:rsidRPr="002C29D2">
        <w:rPr>
          <w:lang w:eastAsia="zh-TW"/>
        </w:rPr>
        <w:t>. This may</w:t>
      </w:r>
      <w:r w:rsidR="002C06F5" w:rsidRPr="002C29D2">
        <w:rPr>
          <w:lang w:eastAsia="zh-TW"/>
        </w:rPr>
        <w:t xml:space="preserve"> </w:t>
      </w:r>
      <w:r w:rsidR="00260FE3" w:rsidRPr="002C29D2">
        <w:rPr>
          <w:lang w:eastAsia="zh-TW"/>
        </w:rPr>
        <w:t>generate</w:t>
      </w:r>
      <w:r w:rsidR="000C1E99" w:rsidRPr="002C29D2">
        <w:rPr>
          <w:lang w:eastAsia="zh-TW"/>
        </w:rPr>
        <w:t xml:space="preserve"> in them more </w:t>
      </w:r>
      <w:r w:rsidR="002C06F5" w:rsidRPr="002C29D2">
        <w:rPr>
          <w:lang w:eastAsia="zh-TW"/>
        </w:rPr>
        <w:t>positive intentions, attitudes</w:t>
      </w:r>
      <w:r w:rsidR="001C7457" w:rsidRPr="002C29D2">
        <w:rPr>
          <w:lang w:eastAsia="zh-TW"/>
        </w:rPr>
        <w:t>,</w:t>
      </w:r>
      <w:r w:rsidR="002C06F5" w:rsidRPr="002C29D2">
        <w:rPr>
          <w:lang w:eastAsia="zh-TW"/>
        </w:rPr>
        <w:t xml:space="preserve"> and </w:t>
      </w:r>
      <w:r w:rsidR="00E5714E" w:rsidRPr="002C29D2">
        <w:rPr>
          <w:lang w:eastAsia="zh-TW"/>
        </w:rPr>
        <w:t>behavio</w:t>
      </w:r>
      <w:r w:rsidR="00055D2F" w:rsidRPr="002C29D2">
        <w:rPr>
          <w:lang w:eastAsia="zh-TW"/>
        </w:rPr>
        <w:t>u</w:t>
      </w:r>
      <w:r w:rsidR="00E5714E" w:rsidRPr="002C29D2">
        <w:rPr>
          <w:lang w:eastAsia="zh-TW"/>
        </w:rPr>
        <w:t>rs</w:t>
      </w:r>
      <w:r w:rsidR="002C06F5" w:rsidRPr="002C29D2">
        <w:rPr>
          <w:lang w:eastAsia="zh-TW"/>
        </w:rPr>
        <w:t xml:space="preserve"> </w:t>
      </w:r>
      <w:r w:rsidR="000C1E99" w:rsidRPr="002C29D2">
        <w:rPr>
          <w:lang w:eastAsia="zh-TW"/>
        </w:rPr>
        <w:t xml:space="preserve">in relation to </w:t>
      </w:r>
      <w:r w:rsidR="002C06F5" w:rsidRPr="002C29D2">
        <w:rPr>
          <w:lang w:eastAsia="zh-TW"/>
        </w:rPr>
        <w:t xml:space="preserve">AI. </w:t>
      </w:r>
    </w:p>
    <w:p w14:paraId="71EC7D0D" w14:textId="6C30D4AB" w:rsidR="001B3163" w:rsidRPr="002C29D2" w:rsidRDefault="0068615A" w:rsidP="00440C25">
      <w:pPr>
        <w:spacing w:line="480" w:lineRule="auto"/>
        <w:ind w:firstLineChars="200" w:firstLine="480"/>
        <w:jc w:val="both"/>
        <w:rPr>
          <w:lang w:eastAsia="zh-TW"/>
        </w:rPr>
      </w:pPr>
      <w:r w:rsidRPr="002C29D2">
        <w:rPr>
          <w:lang w:eastAsia="zh-TW"/>
        </w:rPr>
        <w:lastRenderedPageBreak/>
        <w:t>I</w:t>
      </w:r>
      <w:r w:rsidR="00A919CA" w:rsidRPr="002C29D2">
        <w:rPr>
          <w:lang w:eastAsia="zh-TW"/>
        </w:rPr>
        <w:t xml:space="preserve">mplementing </w:t>
      </w:r>
      <w:r w:rsidR="00F56D22" w:rsidRPr="002C29D2">
        <w:rPr>
          <w:lang w:eastAsia="zh-TW"/>
        </w:rPr>
        <w:t xml:space="preserve">responsible AI </w:t>
      </w:r>
      <w:r w:rsidR="00A919CA" w:rsidRPr="002C29D2">
        <w:rPr>
          <w:lang w:eastAsia="zh-TW"/>
        </w:rPr>
        <w:t xml:space="preserve">in line with </w:t>
      </w:r>
      <w:r w:rsidR="00260FE3" w:rsidRPr="002C29D2">
        <w:rPr>
          <w:lang w:eastAsia="zh-TW"/>
        </w:rPr>
        <w:t>these</w:t>
      </w:r>
      <w:r w:rsidR="00A919CA" w:rsidRPr="002C29D2">
        <w:rPr>
          <w:lang w:eastAsia="zh-TW"/>
        </w:rPr>
        <w:t xml:space="preserve"> principles</w:t>
      </w:r>
      <w:r w:rsidRPr="002C29D2">
        <w:rPr>
          <w:lang w:eastAsia="zh-TW"/>
        </w:rPr>
        <w:t xml:space="preserve"> </w:t>
      </w:r>
      <w:r w:rsidR="00260FE3" w:rsidRPr="002C29D2">
        <w:rPr>
          <w:lang w:eastAsia="zh-TW"/>
        </w:rPr>
        <w:t xml:space="preserve">can </w:t>
      </w:r>
      <w:r w:rsidRPr="002C29D2">
        <w:rPr>
          <w:lang w:eastAsia="zh-TW"/>
        </w:rPr>
        <w:t>generate positive outcomes</w:t>
      </w:r>
      <w:r w:rsidR="00F56D22" w:rsidRPr="002C29D2">
        <w:rPr>
          <w:lang w:eastAsia="zh-TW"/>
        </w:rPr>
        <w:t>. Peters et al.</w:t>
      </w:r>
      <w:r w:rsidR="00C67B76" w:rsidRPr="002C29D2">
        <w:rPr>
          <w:lang w:eastAsia="zh-TW"/>
        </w:rPr>
        <w:t xml:space="preserve"> (2</w:t>
      </w:r>
      <w:r w:rsidR="00F56D22" w:rsidRPr="002C29D2">
        <w:rPr>
          <w:lang w:eastAsia="zh-TW"/>
        </w:rPr>
        <w:t>020</w:t>
      </w:r>
      <w:r w:rsidR="00C67B76" w:rsidRPr="002C29D2">
        <w:rPr>
          <w:lang w:eastAsia="zh-TW"/>
        </w:rPr>
        <w:t xml:space="preserve">) </w:t>
      </w:r>
      <w:r w:rsidR="00260FE3" w:rsidRPr="002C29D2">
        <w:rPr>
          <w:lang w:eastAsia="zh-TW"/>
        </w:rPr>
        <w:t>demonstrate, for example,</w:t>
      </w:r>
      <w:r w:rsidR="00C67B76" w:rsidRPr="002C29D2">
        <w:rPr>
          <w:lang w:eastAsia="zh-TW"/>
        </w:rPr>
        <w:t xml:space="preserve"> that AI-enabled healthcare systems developed with the principle of autonomy increase patient</w:t>
      </w:r>
      <w:r w:rsidRPr="002C29D2">
        <w:rPr>
          <w:lang w:eastAsia="zh-TW"/>
        </w:rPr>
        <w:t>s</w:t>
      </w:r>
      <w:r w:rsidR="00C67B76" w:rsidRPr="002C29D2">
        <w:rPr>
          <w:lang w:eastAsia="zh-TW"/>
        </w:rPr>
        <w:t xml:space="preserve">’ intention to engage with </w:t>
      </w:r>
      <w:r w:rsidR="00260FE3" w:rsidRPr="002C29D2">
        <w:rPr>
          <w:lang w:eastAsia="zh-TW"/>
        </w:rPr>
        <w:t xml:space="preserve">the </w:t>
      </w:r>
      <w:r w:rsidR="00C67B76" w:rsidRPr="002C29D2">
        <w:rPr>
          <w:lang w:eastAsia="zh-TW"/>
        </w:rPr>
        <w:t xml:space="preserve">systems </w:t>
      </w:r>
      <w:r w:rsidRPr="002C29D2">
        <w:rPr>
          <w:lang w:eastAsia="zh-TW"/>
        </w:rPr>
        <w:t>as well as</w:t>
      </w:r>
      <w:r w:rsidR="00C67B76" w:rsidRPr="002C29D2">
        <w:rPr>
          <w:lang w:eastAsia="zh-TW"/>
        </w:rPr>
        <w:t xml:space="preserve"> </w:t>
      </w:r>
      <w:r w:rsidR="00260FE3" w:rsidRPr="002C29D2">
        <w:rPr>
          <w:lang w:eastAsia="zh-TW"/>
        </w:rPr>
        <w:t xml:space="preserve">the </w:t>
      </w:r>
      <w:r w:rsidR="00A919CA" w:rsidRPr="002C29D2">
        <w:rPr>
          <w:lang w:eastAsia="zh-TW"/>
        </w:rPr>
        <w:t>practitioners</w:t>
      </w:r>
      <w:r w:rsidRPr="002C29D2">
        <w:rPr>
          <w:lang w:eastAsia="zh-TW"/>
        </w:rPr>
        <w:t>’</w:t>
      </w:r>
      <w:r w:rsidR="00A919CA" w:rsidRPr="002C29D2">
        <w:rPr>
          <w:lang w:eastAsia="zh-TW"/>
        </w:rPr>
        <w:t xml:space="preserve"> </w:t>
      </w:r>
      <w:r w:rsidR="00C67B76" w:rsidRPr="002C29D2">
        <w:rPr>
          <w:lang w:eastAsia="zh-TW"/>
        </w:rPr>
        <w:t xml:space="preserve">ability to make decisions. However, prior literature </w:t>
      </w:r>
      <w:r w:rsidR="009B75E7" w:rsidRPr="002C29D2">
        <w:t xml:space="preserve">lacks </w:t>
      </w:r>
      <w:r w:rsidR="0070456C" w:rsidRPr="002C29D2">
        <w:rPr>
          <w:lang w:eastAsia="zh-TW"/>
        </w:rPr>
        <w:t xml:space="preserve">discussion </w:t>
      </w:r>
      <w:r w:rsidR="009B75E7" w:rsidRPr="002C29D2">
        <w:rPr>
          <w:lang w:eastAsia="zh-TW"/>
        </w:rPr>
        <w:t>on the</w:t>
      </w:r>
      <w:r w:rsidR="00C67B76" w:rsidRPr="002C29D2">
        <w:rPr>
          <w:lang w:eastAsia="zh-TW"/>
        </w:rPr>
        <w:t xml:space="preserve"> </w:t>
      </w:r>
      <w:r w:rsidRPr="002C29D2">
        <w:rPr>
          <w:lang w:eastAsia="zh-TW"/>
        </w:rPr>
        <w:t xml:space="preserve">underlying </w:t>
      </w:r>
      <w:r w:rsidR="00C67B76" w:rsidRPr="002C29D2">
        <w:rPr>
          <w:lang w:eastAsia="zh-TW"/>
        </w:rPr>
        <w:t>mechanism that explain</w:t>
      </w:r>
      <w:r w:rsidRPr="002C29D2">
        <w:rPr>
          <w:lang w:eastAsia="zh-TW"/>
        </w:rPr>
        <w:t>s</w:t>
      </w:r>
      <w:r w:rsidR="00C67B76" w:rsidRPr="002C29D2">
        <w:rPr>
          <w:lang w:eastAsia="zh-TW"/>
        </w:rPr>
        <w:t xml:space="preserve"> how responsible AI signals </w:t>
      </w:r>
      <w:r w:rsidR="00260FE3" w:rsidRPr="002C29D2">
        <w:rPr>
          <w:lang w:eastAsia="zh-TW"/>
        </w:rPr>
        <w:t xml:space="preserve">may </w:t>
      </w:r>
      <w:r w:rsidR="00C67B76" w:rsidRPr="002C29D2">
        <w:rPr>
          <w:lang w:eastAsia="zh-TW"/>
        </w:rPr>
        <w:t>produce the desired consequences</w:t>
      </w:r>
      <w:r w:rsidR="00260FE3" w:rsidRPr="002C29D2">
        <w:rPr>
          <w:lang w:eastAsia="zh-TW"/>
        </w:rPr>
        <w:t xml:space="preserve">, namely improved </w:t>
      </w:r>
      <w:r w:rsidR="00C67B76" w:rsidRPr="002C29D2">
        <w:rPr>
          <w:lang w:eastAsia="zh-TW"/>
        </w:rPr>
        <w:t>attitude towards AI, satisfaction with AI</w:t>
      </w:r>
      <w:r w:rsidR="0070456C" w:rsidRPr="002C29D2">
        <w:rPr>
          <w:lang w:eastAsia="zh-TW"/>
        </w:rPr>
        <w:t>,</w:t>
      </w:r>
      <w:r w:rsidR="00C67B76" w:rsidRPr="002C29D2">
        <w:rPr>
          <w:lang w:eastAsia="zh-TW"/>
        </w:rPr>
        <w:t xml:space="preserve"> and </w:t>
      </w:r>
      <w:r w:rsidR="00260FE3" w:rsidRPr="002C29D2">
        <w:rPr>
          <w:lang w:eastAsia="zh-TW"/>
        </w:rPr>
        <w:t xml:space="preserve">AI </w:t>
      </w:r>
      <w:r w:rsidR="00C67B76" w:rsidRPr="002C29D2">
        <w:rPr>
          <w:lang w:eastAsia="zh-TW"/>
        </w:rPr>
        <w:t>usage intention</w:t>
      </w:r>
      <w:r w:rsidR="00260FE3" w:rsidRPr="002C29D2">
        <w:rPr>
          <w:lang w:eastAsia="zh-TW"/>
        </w:rPr>
        <w:t>s,</w:t>
      </w:r>
      <w:r w:rsidR="00A919CA" w:rsidRPr="002C29D2">
        <w:rPr>
          <w:lang w:eastAsia="zh-TW"/>
        </w:rPr>
        <w:t xml:space="preserve"> from </w:t>
      </w:r>
      <w:r w:rsidR="00260FE3" w:rsidRPr="002C29D2">
        <w:rPr>
          <w:lang w:eastAsia="zh-TW"/>
        </w:rPr>
        <w:t xml:space="preserve">the </w:t>
      </w:r>
      <w:r w:rsidR="00A919CA" w:rsidRPr="002C29D2">
        <w:rPr>
          <w:lang w:eastAsia="zh-TW"/>
        </w:rPr>
        <w:t>practitioner perspectives</w:t>
      </w:r>
      <w:r w:rsidR="00C67B76" w:rsidRPr="002C29D2">
        <w:rPr>
          <w:lang w:eastAsia="zh-TW"/>
        </w:rPr>
        <w:t xml:space="preserve">. </w:t>
      </w:r>
    </w:p>
    <w:p w14:paraId="3F233B5D" w14:textId="4F553BEE" w:rsidR="00DB43E8" w:rsidRPr="002C29D2" w:rsidRDefault="00D163EB" w:rsidP="00EE61CE">
      <w:pPr>
        <w:spacing w:after="100" w:afterAutospacing="1" w:line="480" w:lineRule="auto"/>
        <w:jc w:val="both"/>
        <w:rPr>
          <w:b/>
          <w:bCs/>
          <w:iCs/>
        </w:rPr>
      </w:pPr>
      <w:r w:rsidRPr="002C29D2">
        <w:rPr>
          <w:lang w:eastAsia="zh-TW"/>
        </w:rPr>
        <w:t xml:space="preserve">        </w:t>
      </w:r>
      <w:r w:rsidR="00FD0862" w:rsidRPr="002C29D2">
        <w:rPr>
          <w:lang w:eastAsia="zh-TW"/>
        </w:rPr>
        <w:t xml:space="preserve">We </w:t>
      </w:r>
      <w:r w:rsidR="0062054E" w:rsidRPr="002C29D2">
        <w:rPr>
          <w:lang w:eastAsia="zh-TW"/>
        </w:rPr>
        <w:t xml:space="preserve">claim that </w:t>
      </w:r>
      <w:r w:rsidR="00FD0862" w:rsidRPr="002C29D2">
        <w:rPr>
          <w:lang w:eastAsia="zh-TW"/>
        </w:rPr>
        <w:t xml:space="preserve">employee engagement </w:t>
      </w:r>
      <w:r w:rsidR="0062054E" w:rsidRPr="002C29D2">
        <w:rPr>
          <w:lang w:eastAsia="zh-TW"/>
        </w:rPr>
        <w:t>is</w:t>
      </w:r>
      <w:r w:rsidR="00FD0862" w:rsidRPr="002C29D2">
        <w:rPr>
          <w:lang w:eastAsia="zh-TW"/>
        </w:rPr>
        <w:t xml:space="preserve"> a linking mechanism between responsible AI signals and </w:t>
      </w:r>
      <w:r w:rsidR="0062054E" w:rsidRPr="002C29D2">
        <w:rPr>
          <w:lang w:eastAsia="zh-TW"/>
        </w:rPr>
        <w:t>outcomes</w:t>
      </w:r>
      <w:r w:rsidR="00FD0862" w:rsidRPr="002C29D2">
        <w:rPr>
          <w:lang w:eastAsia="zh-TW"/>
        </w:rPr>
        <w:t>.</w:t>
      </w:r>
      <w:r w:rsidR="005B327A" w:rsidRPr="002C29D2">
        <w:rPr>
          <w:lang w:eastAsia="zh-TW"/>
        </w:rPr>
        <w:t xml:space="preserve"> </w:t>
      </w:r>
      <w:r w:rsidR="001B3163" w:rsidRPr="002C29D2">
        <w:rPr>
          <w:lang w:eastAsia="zh-TW"/>
        </w:rPr>
        <w:t xml:space="preserve">Employee engagement has been extensively studied in </w:t>
      </w:r>
      <w:r w:rsidR="00A919CA" w:rsidRPr="002C29D2">
        <w:rPr>
          <w:lang w:eastAsia="zh-TW"/>
        </w:rPr>
        <w:t>IS</w:t>
      </w:r>
      <w:r w:rsidR="001B3163" w:rsidRPr="002C29D2">
        <w:rPr>
          <w:lang w:eastAsia="zh-TW"/>
        </w:rPr>
        <w:t xml:space="preserve"> contexts as it is considered </w:t>
      </w:r>
      <w:r w:rsidR="00260FE3" w:rsidRPr="002C29D2">
        <w:rPr>
          <w:lang w:eastAsia="zh-TW"/>
        </w:rPr>
        <w:t>an</w:t>
      </w:r>
      <w:r w:rsidR="001B3163" w:rsidRPr="002C29D2">
        <w:rPr>
          <w:lang w:eastAsia="zh-TW"/>
        </w:rPr>
        <w:t xml:space="preserve"> important influencing factor for IT adoption. </w:t>
      </w:r>
      <w:r w:rsidR="003208EC" w:rsidRPr="002C29D2">
        <w:rPr>
          <w:lang w:eastAsia="zh-TW"/>
        </w:rPr>
        <w:t>In particular, implementing AI requires organi</w:t>
      </w:r>
      <w:r w:rsidR="0062054E" w:rsidRPr="002C29D2">
        <w:rPr>
          <w:lang w:eastAsia="zh-TW"/>
        </w:rPr>
        <w:t>s</w:t>
      </w:r>
      <w:r w:rsidR="003208EC" w:rsidRPr="002C29D2">
        <w:rPr>
          <w:lang w:eastAsia="zh-TW"/>
        </w:rPr>
        <w:t xml:space="preserve">ations to engage their staff </w:t>
      </w:r>
      <w:r w:rsidR="00260FE3" w:rsidRPr="002C29D2">
        <w:rPr>
          <w:lang w:eastAsia="zh-TW"/>
        </w:rPr>
        <w:t>as a means to</w:t>
      </w:r>
      <w:r w:rsidR="003208EC" w:rsidRPr="002C29D2">
        <w:rPr>
          <w:lang w:eastAsia="zh-TW"/>
        </w:rPr>
        <w:t xml:space="preserve"> overcome internal resistance (Brock </w:t>
      </w:r>
      <w:r w:rsidR="0070456C" w:rsidRPr="002C29D2">
        <w:rPr>
          <w:lang w:eastAsia="zh-TW"/>
        </w:rPr>
        <w:t>and</w:t>
      </w:r>
      <w:r w:rsidR="003208EC" w:rsidRPr="002C29D2">
        <w:rPr>
          <w:lang w:eastAsia="zh-TW"/>
        </w:rPr>
        <w:t xml:space="preserve"> Von Wangenheim 2019). Therefore, we </w:t>
      </w:r>
      <w:r w:rsidR="00E01AE9" w:rsidRPr="002C29D2">
        <w:rPr>
          <w:lang w:eastAsia="zh-TW"/>
        </w:rPr>
        <w:t xml:space="preserve">set out </w:t>
      </w:r>
      <w:r w:rsidR="003208EC" w:rsidRPr="002C29D2">
        <w:rPr>
          <w:lang w:eastAsia="zh-TW"/>
        </w:rPr>
        <w:t xml:space="preserve">to explore how different responsible AI signals </w:t>
      </w:r>
      <w:r w:rsidR="0062054E" w:rsidRPr="002C29D2">
        <w:rPr>
          <w:lang w:eastAsia="zh-TW"/>
        </w:rPr>
        <w:t>affect</w:t>
      </w:r>
      <w:r w:rsidR="003208EC" w:rsidRPr="002C29D2">
        <w:rPr>
          <w:lang w:eastAsia="zh-TW"/>
        </w:rPr>
        <w:t xml:space="preserve"> </w:t>
      </w:r>
      <w:r w:rsidR="001B3163" w:rsidRPr="002C29D2">
        <w:rPr>
          <w:lang w:eastAsia="zh-TW"/>
        </w:rPr>
        <w:t xml:space="preserve">attitude, intention, and satisfaction toward AI through </w:t>
      </w:r>
      <w:r w:rsidR="00883F62" w:rsidRPr="002C29D2">
        <w:rPr>
          <w:lang w:eastAsia="zh-TW"/>
        </w:rPr>
        <w:t xml:space="preserve">the mechanism of </w:t>
      </w:r>
      <w:r w:rsidR="001B3163" w:rsidRPr="002C29D2">
        <w:rPr>
          <w:lang w:eastAsia="zh-TW"/>
        </w:rPr>
        <w:t xml:space="preserve">employee engagement. </w:t>
      </w:r>
      <w:r w:rsidR="00B26A93" w:rsidRPr="002C29D2">
        <w:rPr>
          <w:lang w:eastAsia="zh-TW"/>
        </w:rPr>
        <w:t xml:space="preserve">We further posit that healthcare </w:t>
      </w:r>
      <w:r w:rsidR="00A919CA" w:rsidRPr="002C29D2">
        <w:rPr>
          <w:lang w:eastAsia="zh-TW"/>
        </w:rPr>
        <w:t xml:space="preserve">practitioners </w:t>
      </w:r>
      <w:r w:rsidR="00B26A93" w:rsidRPr="002C29D2">
        <w:rPr>
          <w:lang w:eastAsia="zh-TW"/>
        </w:rPr>
        <w:t xml:space="preserve">who are highly engaged with AI </w:t>
      </w:r>
      <w:r w:rsidR="00883F62" w:rsidRPr="002C29D2">
        <w:rPr>
          <w:lang w:eastAsia="zh-TW"/>
        </w:rPr>
        <w:t xml:space="preserve">will </w:t>
      </w:r>
      <w:r w:rsidR="00B26A93" w:rsidRPr="002C29D2">
        <w:rPr>
          <w:lang w:eastAsia="zh-TW"/>
        </w:rPr>
        <w:t xml:space="preserve">tend to interpret responsible AI as a positive signal </w:t>
      </w:r>
      <w:r w:rsidR="00883F62" w:rsidRPr="002C29D2">
        <w:rPr>
          <w:lang w:eastAsia="zh-TW"/>
        </w:rPr>
        <w:t>so they feel</w:t>
      </w:r>
      <w:r w:rsidR="00B26A93" w:rsidRPr="002C29D2">
        <w:rPr>
          <w:lang w:eastAsia="zh-TW"/>
        </w:rPr>
        <w:t xml:space="preserve"> more satisfied with </w:t>
      </w:r>
      <w:r w:rsidR="00883F62" w:rsidRPr="002C29D2">
        <w:rPr>
          <w:lang w:eastAsia="zh-TW"/>
        </w:rPr>
        <w:t>it</w:t>
      </w:r>
      <w:r w:rsidR="00B26A93" w:rsidRPr="002C29D2">
        <w:rPr>
          <w:lang w:eastAsia="zh-TW"/>
        </w:rPr>
        <w:t xml:space="preserve"> and </w:t>
      </w:r>
      <w:r w:rsidR="00883F62" w:rsidRPr="002C29D2">
        <w:rPr>
          <w:lang w:eastAsia="zh-TW"/>
        </w:rPr>
        <w:t xml:space="preserve">embrace it more </w:t>
      </w:r>
      <w:r w:rsidR="00B26A93" w:rsidRPr="002C29D2">
        <w:rPr>
          <w:lang w:eastAsia="zh-TW"/>
        </w:rPr>
        <w:t xml:space="preserve">intensively.  </w:t>
      </w:r>
      <w:r w:rsidR="005C1F80" w:rsidRPr="002C29D2">
        <w:rPr>
          <w:lang w:eastAsia="zh-TW"/>
        </w:rPr>
        <w:t>Figure 1 represents an overview of our research framework</w:t>
      </w:r>
      <w:r w:rsidR="00440C25" w:rsidRPr="002C29D2">
        <w:rPr>
          <w:lang w:eastAsia="zh-TW"/>
        </w:rPr>
        <w:t xml:space="preserve"> and </w:t>
      </w:r>
      <w:r w:rsidR="00440C25" w:rsidRPr="002C29D2">
        <w:rPr>
          <w:iCs/>
        </w:rPr>
        <w:t xml:space="preserve">Appendix </w:t>
      </w:r>
      <w:r w:rsidR="00440C25" w:rsidRPr="002C29D2">
        <w:rPr>
          <w:iCs/>
          <w:lang w:eastAsia="zh-TW"/>
        </w:rPr>
        <w:t>A provides an overview of theoretical constructs.</w:t>
      </w:r>
    </w:p>
    <w:p w14:paraId="6EE88E40" w14:textId="45A92272" w:rsidR="00DA4902" w:rsidRPr="002C29D2" w:rsidRDefault="00F447C5" w:rsidP="00F447C5">
      <w:pPr>
        <w:spacing w:line="480" w:lineRule="auto"/>
        <w:jc w:val="center"/>
        <w:rPr>
          <w:lang w:eastAsia="zh-TW"/>
        </w:rPr>
      </w:pPr>
      <w:r w:rsidRPr="002C29D2">
        <w:rPr>
          <w:lang w:eastAsia="zh-TW"/>
        </w:rPr>
        <w:t>INSERT FIGURE 1 HERE</w:t>
      </w:r>
    </w:p>
    <w:p w14:paraId="049B4A15" w14:textId="77777777" w:rsidR="00DB43E8" w:rsidRPr="002C29D2" w:rsidRDefault="00DB43E8" w:rsidP="00F447C5">
      <w:pPr>
        <w:spacing w:line="480" w:lineRule="auto"/>
        <w:jc w:val="center"/>
        <w:rPr>
          <w:lang w:eastAsia="zh-TW"/>
        </w:rPr>
      </w:pPr>
    </w:p>
    <w:p w14:paraId="00E332A8" w14:textId="77777777" w:rsidR="007418DF" w:rsidRPr="002C29D2" w:rsidRDefault="00372A7E" w:rsidP="002B1051">
      <w:pPr>
        <w:spacing w:line="480" w:lineRule="auto"/>
        <w:jc w:val="both"/>
        <w:rPr>
          <w:b/>
        </w:rPr>
      </w:pPr>
      <w:r w:rsidRPr="002C29D2">
        <w:rPr>
          <w:b/>
          <w:lang w:eastAsia="zh-TW"/>
        </w:rPr>
        <w:t>3. Hypothesis Development</w:t>
      </w:r>
    </w:p>
    <w:p w14:paraId="271AF8C0" w14:textId="77777777" w:rsidR="00372A7E" w:rsidRPr="002C29D2" w:rsidRDefault="00372A7E" w:rsidP="002B1051">
      <w:pPr>
        <w:spacing w:line="480" w:lineRule="auto"/>
        <w:jc w:val="both"/>
        <w:rPr>
          <w:i/>
          <w:iCs/>
        </w:rPr>
      </w:pPr>
      <w:r w:rsidRPr="002C29D2">
        <w:rPr>
          <w:i/>
          <w:iCs/>
          <w:lang w:eastAsia="zh-TW"/>
        </w:rPr>
        <w:t>3.</w:t>
      </w:r>
      <w:r w:rsidR="0041400C" w:rsidRPr="002C29D2">
        <w:rPr>
          <w:i/>
          <w:iCs/>
          <w:lang w:eastAsia="zh-TW"/>
        </w:rPr>
        <w:t>1</w:t>
      </w:r>
      <w:r w:rsidRPr="002C29D2">
        <w:rPr>
          <w:i/>
          <w:iCs/>
          <w:lang w:eastAsia="zh-TW"/>
        </w:rPr>
        <w:t xml:space="preserve">. </w:t>
      </w:r>
      <w:r w:rsidRPr="002C29D2">
        <w:rPr>
          <w:i/>
          <w:iCs/>
        </w:rPr>
        <w:t xml:space="preserve">Autonomy </w:t>
      </w:r>
    </w:p>
    <w:p w14:paraId="4A9FCA5C" w14:textId="589779EB" w:rsidR="002B1051" w:rsidRPr="002C29D2" w:rsidRDefault="00D163EB" w:rsidP="002B1051">
      <w:pPr>
        <w:spacing w:line="480" w:lineRule="auto"/>
        <w:jc w:val="both"/>
      </w:pPr>
      <w:r w:rsidRPr="002C29D2">
        <w:t xml:space="preserve">        </w:t>
      </w:r>
      <w:r w:rsidR="005B186B" w:rsidRPr="002C29D2">
        <w:t xml:space="preserve">According to self-determination theory </w:t>
      </w:r>
      <w:r w:rsidR="005B186B" w:rsidRPr="002C29D2">
        <w:fldChar w:fldCharType="begin" w:fldLock="1"/>
      </w:r>
      <w:r w:rsidR="005B186B" w:rsidRPr="002C29D2">
        <w:instrText>ADDIN CSL_CITATION {"citationItems":[{"id":"ITEM-1","itemData":{"author":[{"dropping-particle":"","family":"Ryan","given":"R. M.","non-dropping-particle":"","parse-names":false,"suffix":""},{"dropping-particle":"","family":"Deci","given":"E. L.","non-dropping-particle":"","parse-names":false,"suffix":""}],"id":"ITEM-1","issued":{"date-parts":[["2017"]]},"publisher":"Guilford Press","publisher-place":"New York, NY","title":"Self-determination theory: Basic psychological needs in motivation, development, and wellness","type":"book"},"uris":["http://www.mendeley.com/documents/?uuid=837111d5-b75a-4990-8be0-122490b43c19"]}],"mendeley":{"formattedCitation":"(Ryan &amp; Deci, 2017)","manualFormatting":"(SDT; Ryan &amp; Deci, 2017)","plainTextFormattedCitation":"(Ryan &amp; Deci, 2017)","previouslyFormattedCitation":"(Ryan and Deci, 2017)"},"properties":{"noteIndex":0},"schema":"https://github.com/citation-style-language/schema/raw/master/csl-citation.json"}</w:instrText>
      </w:r>
      <w:r w:rsidR="005B186B" w:rsidRPr="002C29D2">
        <w:fldChar w:fldCharType="separate"/>
      </w:r>
      <w:r w:rsidR="00883F62" w:rsidRPr="002C29D2">
        <w:t>(</w:t>
      </w:r>
      <w:r w:rsidR="005B186B" w:rsidRPr="002C29D2">
        <w:t xml:space="preserve">Ryan </w:t>
      </w:r>
      <w:r w:rsidR="00055A4F" w:rsidRPr="002C29D2">
        <w:t xml:space="preserve">and </w:t>
      </w:r>
      <w:r w:rsidR="005B186B" w:rsidRPr="002C29D2">
        <w:t>Deci 2017)</w:t>
      </w:r>
      <w:r w:rsidR="005B186B" w:rsidRPr="002C29D2">
        <w:fldChar w:fldCharType="end"/>
      </w:r>
      <w:r w:rsidR="005B186B" w:rsidRPr="002C29D2">
        <w:t xml:space="preserve">, autonomy is universally essential to humans in relation to their experience of willingness and volition </w:t>
      </w:r>
      <w:r w:rsidR="005B186B" w:rsidRPr="002C29D2">
        <w:fldChar w:fldCharType="begin" w:fldLock="1"/>
      </w:r>
      <w:r w:rsidR="005B186B" w:rsidRPr="002C29D2">
        <w:instrText>ADDIN CSL_CITATION {"citationItems":[{"id":"ITEM-1","itemData":{"author":[{"dropping-particle":"","family":"Chen","given":"Beiwen","non-dropping-particle":"","parse-names":false,"suffix":""},{"dropping-particle":"","family":"Vansteenkiste","given":"Maarten","non-dropping-particle":"","parse-names":false,"suffix":""},{"dropping-particle":"","family":"Beyers","given":"Wim","non-dropping-particle":"","parse-names":false,"suffix":""},{"dropping-particle":"","family":"Boone","given":"Liesbet","non-dropping-particle":"","parse-names":false,"suffix":""},{"dropping-particle":"","family":"Deci","given":"Edward L.","non-dropping-particle":"","parse-names":false,"suffix":""},{"dropping-particle":"Van der","family":"Kaap-Deeder","given":"Jolene","non-dropping-particle":"","parse-names":false,"suffix":""},{"dropping-particle":"","family":"Duriez","given":"Bart","non-dropping-particle":"","parse-names":false,"suffix":""},{"dropping-particle":"","family":"Lens","given":"Willy","non-dropping-particle":"","parse-names":false,"suffix":""},{"dropping-particle":"","family":"Matos","given":"Lennia","non-dropping-particle":"","parse-names":false,"suffix":""},{"dropping-particle":"","family":"Mouratidis","given":"Athanasios","non-dropping-particle":"","parse-names":false,"suffix":""},{"dropping-particle":"","family":"Ryan","given":"Richard M.","non-dropping-particle":"","parse-names":false,"suffix":""},{"dropping-particle":"","family":"Sheldon","given":"Kennon M.","non-dropping-particle":"","parse-names":false,"suffix":""},{"dropping-particle":"","family":"Soenens","given":"Bart","non-dropping-particle":"","parse-names":false,"suffix":""},{"dropping-particle":"Van","family":"Petegem","given":"Stijn","non-dropping-particle":"","parse-names":false,"suffix":""},{"dropping-particle":"","family":"Verstuyf","given":"Joke","non-dropping-particle":"","parse-names":false,"suffix":""}],"container-title":"Motivation and Emotion","id":"ITEM-1","issued":{"date-parts":[["2015"]]},"page":"216-236","title":"Basic psychological need satisfaction, need frustration, and need strength across four cultures","type":"article-journal","volume":"39"},"uris":["http://www.mendeley.com/documents/?uuid=6af5fd91-031d-4d24-aa1e-c24a73eba2fc"]},{"id":"ITEM-2","itemData":{"author":[{"dropping-particle":"","family":"Martela","given":"Frank","non-dropping-particle":"","parse-names":false,"suffix":""},{"dropping-particle":"","family":"Ryan","given":"Richard M.","non-dropping-particle":"","parse-names":false,"suffix":""}],"container-title":"Journal of Personality","id":"ITEM-2","issue":"6","issued":{"date-parts":[["2015"]]},"page":"750-764","title":"The benefits of benevolence: Basic psychological needs, beneficence, and the enhancement of well-being","type":"article-journal","volume":"84"},"uris":["http://www.mendeley.com/documents/?uuid=e69b8ae5-85b8-43df-8ac0-e20b3fac43df"]}],"mendeley":{"formattedCitation":"(B. Chen et al., 2015; Martela &amp; Ryan, 2015)","plainTextFormattedCitation":"(B. Chen et al., 2015; Martela &amp; Ryan, 2015)","previouslyFormattedCitation":"(Chen &lt;i&gt;et al.&lt;/i&gt;, 2015; Martela and Ryan, 2015)"},"properties":{"noteIndex":0},"schema":"https://github.com/citation-style-language/schema/raw/master/csl-citation.json"}</w:instrText>
      </w:r>
      <w:r w:rsidR="005B186B" w:rsidRPr="002C29D2">
        <w:fldChar w:fldCharType="separate"/>
      </w:r>
      <w:r w:rsidR="005B186B" w:rsidRPr="002C29D2">
        <w:t xml:space="preserve">(Chen et al. 2015; Martela </w:t>
      </w:r>
      <w:r w:rsidR="00055A4F" w:rsidRPr="002C29D2">
        <w:t>and</w:t>
      </w:r>
      <w:r w:rsidR="005B186B" w:rsidRPr="002C29D2">
        <w:t xml:space="preserve"> Ryan 201</w:t>
      </w:r>
      <w:r w:rsidR="00C87796" w:rsidRPr="002C29D2">
        <w:t>6</w:t>
      </w:r>
      <w:r w:rsidR="005B186B" w:rsidRPr="002C29D2">
        <w:t>)</w:t>
      </w:r>
      <w:r w:rsidR="005B186B" w:rsidRPr="002C29D2">
        <w:fldChar w:fldCharType="end"/>
      </w:r>
      <w:r w:rsidR="005B186B" w:rsidRPr="002C29D2">
        <w:t>. With AI, the principle of autonomy does not imply the autonomy of AI</w:t>
      </w:r>
      <w:r w:rsidR="00055A4F" w:rsidRPr="002C29D2">
        <w:t xml:space="preserve"> </w:t>
      </w:r>
      <w:r w:rsidR="00055A4F" w:rsidRPr="002C29D2">
        <w:rPr>
          <w:iCs/>
        </w:rPr>
        <w:t>per se</w:t>
      </w:r>
      <w:r w:rsidR="00055A4F" w:rsidRPr="002C29D2">
        <w:t>.</w:t>
      </w:r>
      <w:r w:rsidR="005B186B" w:rsidRPr="002C29D2">
        <w:t xml:space="preserve"> </w:t>
      </w:r>
      <w:r w:rsidR="006E4A43" w:rsidRPr="002C29D2">
        <w:t>Rather</w:t>
      </w:r>
      <w:r w:rsidR="005B186B" w:rsidRPr="002C29D2">
        <w:t xml:space="preserve">, </w:t>
      </w:r>
      <w:r w:rsidR="00055A4F" w:rsidRPr="002C29D2">
        <w:t xml:space="preserve">it </w:t>
      </w:r>
      <w:r w:rsidR="005B186B" w:rsidRPr="002C29D2">
        <w:t xml:space="preserve">refers to the autonomy of all human beings that have been promoted </w:t>
      </w:r>
      <w:r w:rsidR="006E4A43" w:rsidRPr="002C29D2">
        <w:t xml:space="preserve">by </w:t>
      </w:r>
      <w:r w:rsidR="006E4A43" w:rsidRPr="002C29D2">
        <w:lastRenderedPageBreak/>
        <w:t xml:space="preserve">rather than </w:t>
      </w:r>
      <w:r w:rsidR="005B186B" w:rsidRPr="002C29D2">
        <w:t xml:space="preserve">impaired by autonomous systems </w:t>
      </w:r>
      <w:r w:rsidR="006E45CA" w:rsidRPr="002C29D2">
        <w:t xml:space="preserve">(Floridi et al. </w:t>
      </w:r>
      <w:r w:rsidR="00551DA5" w:rsidRPr="002C29D2">
        <w:t>2018</w:t>
      </w:r>
      <w:r w:rsidR="006E45CA" w:rsidRPr="002C29D2">
        <w:t>)</w:t>
      </w:r>
      <w:r w:rsidR="005B186B" w:rsidRPr="002C29D2">
        <w:t xml:space="preserve">. The </w:t>
      </w:r>
      <w:r w:rsidR="00EC2451" w:rsidRPr="002C29D2">
        <w:t>autonomous AI system</w:t>
      </w:r>
      <w:r w:rsidR="005B186B" w:rsidRPr="002C29D2">
        <w:t xml:space="preserve"> has the potential to augment labo</w:t>
      </w:r>
      <w:r w:rsidR="00A919CA" w:rsidRPr="002C29D2">
        <w:t>u</w:t>
      </w:r>
      <w:r w:rsidR="005B186B" w:rsidRPr="002C29D2">
        <w:t xml:space="preserve">r in productive processes and transform jobs </w:t>
      </w:r>
      <w:r w:rsidR="006E4A43" w:rsidRPr="002C29D2">
        <w:t xml:space="preserve">to have </w:t>
      </w:r>
      <w:r w:rsidR="005B186B" w:rsidRPr="002C29D2">
        <w:t xml:space="preserve">increased capabilities but reduce human autonomy in the workplace </w:t>
      </w:r>
      <w:r w:rsidR="005B186B" w:rsidRPr="002C29D2">
        <w:fldChar w:fldCharType="begin" w:fldLock="1"/>
      </w:r>
      <w:r w:rsidR="005B186B" w:rsidRPr="002C29D2">
        <w:instrText>ADDIN CSL_CITATION {"citationItems":[{"id":"ITEM-1","itemData":{"author":[{"dropping-particle":"","family":"Fernández-Macías","given":"Enrique","non-dropping-particle":"","parse-names":false,"suffix":""},{"dropping-particle":"","family":"Gómez","given":"Emilia","non-dropping-particle":"","parse-names":false,"suffix":""},{"dropping-particle":"","family":"Hernández-Orallo","given":"José","non-dropping-particle":"","parse-names":false,"suffix":""},{"dropping-particle":"","family":"Loe","given":"Bao Sheng","non-dropping-particle":"","parse-names":false,"suffix":""},{"dropping-particle":"","family":"Martens","given":"Bertin","non-dropping-particle":"","parse-names":false,"suffix":""},{"dropping-particle":"","family":"Martínez-Plumed","given":"Fernando","non-dropping-particle":"","parse-names":false,"suffix":""},{"dropping-particle":"","family":"Tolan","given":"Songül","non-dropping-particle":"","parse-names":false,"suffix":""}],"container-title":"FAIM Workshop on Architectures and Evaluation for Generaltiy, Autonomy and Progress in AI","id":"ITEM-1","issued":{"date-parts":[["2018"]]},"publisher-place":"Stockholm, Sweeden","title":"A multidisciplinary task-based perspective for evaluating the impact of ai autonomy and generality on the future of work","type":"paper-conference"},"uris":["http://www.mendeley.com/documents/?uuid=e8e7edf3-dad8-4a44-be51-602c4e237d23"]}],"mendeley":{"formattedCitation":"(Fernández-Macías et al., 2018)","plainTextFormattedCitation":"(Fernández-Macías et al., 2018)","previouslyFormattedCitation":"(Fernández-Macías &lt;i&gt;et al.&lt;/i&gt;, 2018)"},"properties":{"noteIndex":0},"schema":"https://github.com/citation-style-language/schema/raw/master/csl-citation.json"}</w:instrText>
      </w:r>
      <w:r w:rsidR="005B186B" w:rsidRPr="002C29D2">
        <w:fldChar w:fldCharType="separate"/>
      </w:r>
      <w:r w:rsidR="0089716A" w:rsidRPr="002C29D2">
        <w:t>(Calvo 2020</w:t>
      </w:r>
      <w:r w:rsidR="005B186B" w:rsidRPr="002C29D2">
        <w:t>)</w:t>
      </w:r>
      <w:r w:rsidR="005B186B" w:rsidRPr="002C29D2">
        <w:fldChar w:fldCharType="end"/>
      </w:r>
      <w:r w:rsidR="005B186B" w:rsidRPr="002C29D2">
        <w:t xml:space="preserve">. </w:t>
      </w:r>
      <w:r w:rsidR="00987E5E" w:rsidRPr="002C29D2">
        <w:t>The ethical concerns around s</w:t>
      </w:r>
      <w:r w:rsidR="00A919CA" w:rsidRPr="002C29D2">
        <w:t>uch</w:t>
      </w:r>
      <w:r w:rsidR="005B186B" w:rsidRPr="002C29D2">
        <w:t xml:space="preserve"> </w:t>
      </w:r>
      <w:r w:rsidR="009A1FC6" w:rsidRPr="002C29D2">
        <w:t xml:space="preserve">advances </w:t>
      </w:r>
      <w:r w:rsidR="005B186B" w:rsidRPr="002C29D2">
        <w:t xml:space="preserve">have </w:t>
      </w:r>
      <w:r w:rsidR="00A919CA" w:rsidRPr="002C29D2">
        <w:t>already raised</w:t>
      </w:r>
      <w:r w:rsidR="005B186B" w:rsidRPr="002C29D2">
        <w:t xml:space="preserve"> awareness of responsible and beneficial use of </w:t>
      </w:r>
      <w:r w:rsidR="0035328B" w:rsidRPr="002C29D2">
        <w:t>AI technology</w:t>
      </w:r>
      <w:r w:rsidR="005B186B" w:rsidRPr="002C29D2">
        <w:t xml:space="preserve"> </w:t>
      </w:r>
      <w:r w:rsidR="005B186B" w:rsidRPr="002C29D2">
        <w:fldChar w:fldCharType="begin" w:fldLock="1"/>
      </w:r>
      <w:r w:rsidR="005B186B" w:rsidRPr="002C29D2">
        <w:instrText>ADDIN CSL_CITATION {"citationItems":[{"id":"ITEM-1","itemData":{"author":[{"dropping-particle":"","family":"Dignum","given":"Virginia","non-dropping-particle":"","parse-names":false,"suffix":""}],"container-title":"26th International Joint Conference on Artificial Intelligence","id":"ITEM-1","issued":{"date-parts":[["2017"]]},"page":"4698–4704","title":"Responsible autonomy","type":"paper-conference"},"uris":["http://www.mendeley.com/documents/?uuid=af15f92a-c5cc-4d63-8198-65fc49c0a40f"]}],"mendeley":{"formattedCitation":"(Dignum, 2017b)","plainTextFormattedCitation":"(Dignum, 2017b)","previouslyFormattedCitation":"(Dignum, 2017)"},"properties":{"noteIndex":0},"schema":"https://github.com/citation-style-language/schema/raw/master/csl-citation.json"}</w:instrText>
      </w:r>
      <w:r w:rsidR="005B186B" w:rsidRPr="002C29D2">
        <w:fldChar w:fldCharType="separate"/>
      </w:r>
      <w:r w:rsidR="005B186B" w:rsidRPr="002C29D2">
        <w:t>(Dignum 2017)</w:t>
      </w:r>
      <w:r w:rsidR="005B186B" w:rsidRPr="002C29D2">
        <w:fldChar w:fldCharType="end"/>
      </w:r>
      <w:r w:rsidR="00E24004" w:rsidRPr="002C29D2">
        <w:t xml:space="preserve"> so </w:t>
      </w:r>
      <w:r w:rsidR="00DB43E8" w:rsidRPr="002C29D2">
        <w:t>it is essential to</w:t>
      </w:r>
      <w:r w:rsidR="005B186B" w:rsidRPr="002C29D2">
        <w:t xml:space="preserve"> ensure </w:t>
      </w:r>
      <w:r w:rsidR="001E4146" w:rsidRPr="002C29D2">
        <w:t xml:space="preserve">a </w:t>
      </w:r>
      <w:r w:rsidR="005B186B" w:rsidRPr="002C29D2">
        <w:t>trade-off between AI autonomy and human-retained decision</w:t>
      </w:r>
      <w:r w:rsidR="001E4146" w:rsidRPr="002C29D2">
        <w:t>-making</w:t>
      </w:r>
      <w:r w:rsidR="005B186B" w:rsidRPr="002C29D2">
        <w:t xml:space="preserve"> power to </w:t>
      </w:r>
      <w:r w:rsidR="00987E5E" w:rsidRPr="002C29D2">
        <w:t xml:space="preserve">preserve </w:t>
      </w:r>
      <w:r w:rsidR="005B186B" w:rsidRPr="002C29D2">
        <w:t>human autonomy and avoid ceding excessive control</w:t>
      </w:r>
      <w:r w:rsidR="00A919CA" w:rsidRPr="002C29D2">
        <w:t xml:space="preserve"> from humans</w:t>
      </w:r>
      <w:r w:rsidR="005B186B" w:rsidRPr="002C29D2">
        <w:t xml:space="preserve"> to AI algorithms </w:t>
      </w:r>
      <w:r w:rsidR="005B186B" w:rsidRPr="002C29D2">
        <w:fldChar w:fldCharType="begin" w:fldLock="1"/>
      </w:r>
      <w:r w:rsidR="005B186B" w:rsidRPr="002C29D2">
        <w:instrText>ADDIN CSL_CITATION {"citationItems":[{"id":"ITEM-1","itemData":{"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y","non-dropping-particle":"","parse-names":false,"suffix":""}],"container-title":"Minds and Machines","id":"ITEM-1","issued":{"date-parts":[["2018"]]},"page":"689-707","title":"AI4People—An ethical framework for a good AI society: Opportunities, risks, principles, and recommendations","type":"article-journal","volume":"28"},"uris":["http://www.mendeley.com/documents/?uuid=0fa69287-7058-4569-9a08-d9a1a093b8cc"]}],"mendeley":{"formattedCitation":"(Floridi et al., 2018)","plainTextFormattedCitation":"(Floridi et al., 2018)","previouslyFormattedCitation":"(Floridi &lt;i&gt;et al.&lt;/i&gt;, 2018)"},"properties":{"noteIndex":0},"schema":"https://github.com/citation-style-language/schema/raw/master/csl-citation.json"}</w:instrText>
      </w:r>
      <w:r w:rsidR="005B186B" w:rsidRPr="002C29D2">
        <w:fldChar w:fldCharType="separate"/>
      </w:r>
      <w:r w:rsidR="005B186B" w:rsidRPr="002C29D2">
        <w:t>(Floridi et al. 2018)</w:t>
      </w:r>
      <w:r w:rsidR="005B186B" w:rsidRPr="002C29D2">
        <w:fldChar w:fldCharType="end"/>
      </w:r>
      <w:r w:rsidR="005B186B" w:rsidRPr="002C29D2">
        <w:t xml:space="preserve">. </w:t>
      </w:r>
      <w:r w:rsidR="00E24004" w:rsidRPr="002C29D2">
        <w:t>A</w:t>
      </w:r>
      <w:r w:rsidR="005B186B" w:rsidRPr="002C29D2">
        <w:t xml:space="preserve"> similar vein of studies </w:t>
      </w:r>
      <w:r w:rsidR="00E24004" w:rsidRPr="002C29D2">
        <w:t xml:space="preserve">including </w:t>
      </w:r>
      <w:r w:rsidR="005B186B" w:rsidRPr="002C29D2">
        <w:fldChar w:fldCharType="begin" w:fldLock="1"/>
      </w:r>
      <w:r w:rsidR="005B186B" w:rsidRPr="002C29D2">
        <w:instrText>ADDIN CSL_CITATION {"citationItems":[{"id":"ITEM-1","itemData":{"author":[{"dropping-particle":"","family":"Gebauer","given":"J. E.","non-dropping-particle":"","parse-names":false,"suffix":""},{"dropping-particle":"","family":"Riketta","given":"M.","non-dropping-particle":"","parse-names":false,"suffix":""},{"dropping-particle":"","family":"Broemer","given":"P.","non-dropping-particle":"","parse-names":false,"suffix":""},{"dropping-particle":"","family":"Maio","given":"G. R.","non-dropping-particle":"","parse-names":false,"suffix":""}],"container-title":"Journal of Research in Personality","id":"ITEM-1","issued":{"date-parts":[["2008"]]},"page":"399-420","title":"Pleasure- and pressure-based prosocial motivation: Divergent relations to subjective well-being","type":"article-journal","volume":"43"},"uris":["http://www.mendeley.com/documents/?uuid=a823d30d-846b-4cf7-8138-ac7d0909e59c"]}],"mendeley":{"formattedCitation":"(Gebauer et al., 2008)","manualFormatting":"Gebauer et al. (2008)","plainTextFormattedCitation":"(Gebauer et al., 2008)","previouslyFormattedCitation":"(Gebauer &lt;i&gt;et al.&lt;/i&gt;, 2008)"},"properties":{"noteIndex":0},"schema":"https://github.com/citation-style-language/schema/raw/master/csl-citation.json"}</w:instrText>
      </w:r>
      <w:r w:rsidR="005B186B" w:rsidRPr="002C29D2">
        <w:fldChar w:fldCharType="separate"/>
      </w:r>
      <w:r w:rsidR="005B186B" w:rsidRPr="002C29D2">
        <w:t>Gebauer et al. (2008)</w:t>
      </w:r>
      <w:r w:rsidR="005B186B" w:rsidRPr="002C29D2">
        <w:fldChar w:fldCharType="end"/>
      </w:r>
      <w:r w:rsidR="005B186B" w:rsidRPr="002C29D2">
        <w:t xml:space="preserve"> and </w:t>
      </w:r>
      <w:r w:rsidR="005B186B" w:rsidRPr="002C29D2">
        <w:fldChar w:fldCharType="begin" w:fldLock="1"/>
      </w:r>
      <w:r w:rsidR="005B186B" w:rsidRPr="002C29D2">
        <w:instrText>ADDIN CSL_CITATION {"citationItems":[{"id":"ITEM-1","itemData":{"author":[{"dropping-particle":"","family":"Weinstein","given":"N.","non-dropping-particle":"","parse-names":false,"suffix":""},{"dropping-particle":"","family":"Ryan","given":"R. M.","non-dropping-particle":"","parse-names":false,"suffix":""}],"container-title":"Journal of Personality and Social Psychology","id":"ITEM-1","issued":{"date-parts":[["2010"]]},"page":"222-244","title":"When helping helps: Autonomous motivation for prosocial behavior and its influence on well-being for the helper and recipient","type":"article-journal","volume":"98"},"uris":["http://www.mendeley.com/documents/?uuid=1d2fe9a6-05e0-4202-9618-d05851517bde"]}],"mendeley":{"formattedCitation":"(Weinstein &amp; Ryan, 2010)","manualFormatting":"Weinstein and Ryan (2010)","plainTextFormattedCitation":"(Weinstein &amp; Ryan, 2010)","previouslyFormattedCitation":"(Weinstein and Ryan, 2010)"},"properties":{"noteIndex":0},"schema":"https://github.com/citation-style-language/schema/raw/master/csl-citation.json"}</w:instrText>
      </w:r>
      <w:r w:rsidR="005B186B" w:rsidRPr="002C29D2">
        <w:fldChar w:fldCharType="separate"/>
      </w:r>
      <w:r w:rsidR="005B186B" w:rsidRPr="002C29D2">
        <w:t>Weinstein and Ryan (2010)</w:t>
      </w:r>
      <w:r w:rsidR="005B186B" w:rsidRPr="002C29D2">
        <w:fldChar w:fldCharType="end"/>
      </w:r>
      <w:r w:rsidR="00E24004" w:rsidRPr="002C29D2">
        <w:t xml:space="preserve"> informs us that </w:t>
      </w:r>
      <w:r w:rsidR="005B186B" w:rsidRPr="002C29D2">
        <w:t xml:space="preserve">satisfaction </w:t>
      </w:r>
      <w:r w:rsidR="00E24004" w:rsidRPr="002C29D2">
        <w:t>from</w:t>
      </w:r>
      <w:r w:rsidR="005B186B" w:rsidRPr="002C29D2">
        <w:t xml:space="preserve"> human autonomy and the intrinsic value of human choice </w:t>
      </w:r>
      <w:r w:rsidR="00E24004" w:rsidRPr="002C29D2">
        <w:t xml:space="preserve">in </w:t>
      </w:r>
      <w:r w:rsidR="005B186B" w:rsidRPr="002C29D2">
        <w:t xml:space="preserve">important decisions in the healthcare sector can contribute to healthcare </w:t>
      </w:r>
      <w:r w:rsidR="00A919CA" w:rsidRPr="002C29D2">
        <w:t xml:space="preserve">practitioners’ </w:t>
      </w:r>
      <w:r w:rsidR="005B186B" w:rsidRPr="002C29D2">
        <w:t xml:space="preserve">psychological well-being. </w:t>
      </w:r>
      <w:r w:rsidR="00DB43E8" w:rsidRPr="002C29D2">
        <w:fldChar w:fldCharType="begin" w:fldLock="1"/>
      </w:r>
      <w:r w:rsidR="00DB43E8" w:rsidRPr="002C29D2">
        <w:instrText>ADDIN CSL_CITATION {"citationItems":[{"id":"ITEM-1","itemData":{"author":[{"dropping-particle":"","family":"Calvo","given":"R.A.","non-dropping-particle":"","parse-names":false,"suffix":""},{"dropping-particle":"","family":"Peters","given":"D.","non-dropping-particle":"","parse-names":false,"suffix":""},{"dropping-particle":"","family":"Vold","given":"K.","non-dropping-particle":"","parse-names":false,"suffix":""},{"dropping-particle":"","family":"Ryan","given":"R.M.","non-dropping-particle":"","parse-names":false,"suffix":""},{"dropping-particle":"","family":"Burr","given":"C.","non-dropping-particle":"","parse-names":false,"suffix":""},{"dropping-particle":"","family":"Floridi","given":"L.","non-dropping-particle":"","parse-names":false,"suffix":""}],"container-title":"Ethics of Digital Well-Being: A Multidisciplinary Approach","id":"ITEM-1","issued":{"date-parts":[["2020"]]},"publisher":"Springer","title":"Supporting human autonomy in AI systems: A framework for ethical enquiry","type":"chapter"},"uris":["http://www.mendeley.com/documents/?uuid=a103a60b-d81a-4ba0-81a0-d82f080b2cf3"]}],"mendeley":{"formattedCitation":"(Calvo et al., 2020)","manualFormatting":"Calvo et al. (2020)","plainTextFormattedCitation":"(Calvo et al., 2020)","previouslyFormattedCitation":"(Calvo &lt;i&gt;et al.&lt;/i&gt;, 2020)"},"properties":{"noteIndex":0},"schema":"https://github.com/citation-style-language/schema/raw/master/csl-citation.json"}</w:instrText>
      </w:r>
      <w:r w:rsidR="00DB43E8" w:rsidRPr="002C29D2">
        <w:fldChar w:fldCharType="separate"/>
      </w:r>
      <w:r w:rsidR="00DB43E8" w:rsidRPr="002C29D2">
        <w:t>Calvo et al. (2020)</w:t>
      </w:r>
      <w:r w:rsidR="00DB43E8" w:rsidRPr="002C29D2">
        <w:fldChar w:fldCharType="end"/>
      </w:r>
      <w:r w:rsidR="00DB43E8" w:rsidRPr="002C29D2">
        <w:t xml:space="preserve"> assert that </w:t>
      </w:r>
      <w:r w:rsidR="00E24004" w:rsidRPr="002C29D2">
        <w:t xml:space="preserve">in </w:t>
      </w:r>
      <w:r w:rsidR="00DB43E8" w:rsidRPr="002C29D2">
        <w:t>designing responsible AI for human autonomy</w:t>
      </w:r>
      <w:r w:rsidR="00E24004" w:rsidRPr="002C29D2">
        <w:t>, it</w:t>
      </w:r>
      <w:r w:rsidR="00DB43E8" w:rsidRPr="002C29D2">
        <w:t xml:space="preserve"> is critical to understand individuals’ motivation</w:t>
      </w:r>
      <w:r w:rsidR="00E24004" w:rsidRPr="002C29D2">
        <w:t>s</w:t>
      </w:r>
      <w:r w:rsidR="00DB43E8" w:rsidRPr="002C29D2">
        <w:t xml:space="preserve"> to use AI. </w:t>
      </w:r>
      <w:r w:rsidR="00A919CA" w:rsidRPr="002C29D2">
        <w:t xml:space="preserve">Practitioners </w:t>
      </w:r>
      <w:r w:rsidR="00E24004" w:rsidRPr="002C29D2">
        <w:t xml:space="preserve">with </w:t>
      </w:r>
      <w:r w:rsidR="00A919CA" w:rsidRPr="002C29D2">
        <w:t>positive psychological states while using AI-enabled systems are likely to have positive attitudes and satisf</w:t>
      </w:r>
      <w:r w:rsidR="00E24004" w:rsidRPr="002C29D2">
        <w:t>action</w:t>
      </w:r>
      <w:r w:rsidR="00A919CA" w:rsidRPr="002C29D2">
        <w:t xml:space="preserve"> with </w:t>
      </w:r>
      <w:r w:rsidR="00E24004" w:rsidRPr="002C29D2">
        <w:t xml:space="preserve">the </w:t>
      </w:r>
      <w:r w:rsidR="0035328B" w:rsidRPr="002C29D2">
        <w:t>technology</w:t>
      </w:r>
      <w:r w:rsidR="00A919CA" w:rsidRPr="002C29D2">
        <w:t xml:space="preserve">. </w:t>
      </w:r>
      <w:r w:rsidR="005B186B" w:rsidRPr="002C29D2">
        <w:t>Thus,</w:t>
      </w:r>
      <w:r w:rsidR="00241C78" w:rsidRPr="002C29D2">
        <w:t xml:space="preserve"> </w:t>
      </w:r>
      <w:r w:rsidR="009A7167" w:rsidRPr="002C29D2">
        <w:t xml:space="preserve">the </w:t>
      </w:r>
      <w:r w:rsidR="005B186B" w:rsidRPr="002C29D2">
        <w:t>following hypothesis</w:t>
      </w:r>
      <w:r w:rsidR="009A7167" w:rsidRPr="002C29D2">
        <w:t xml:space="preserve"> is proposed: </w:t>
      </w:r>
    </w:p>
    <w:p w14:paraId="2C31DCA9" w14:textId="01007BD7" w:rsidR="00B15DE3" w:rsidRPr="002C29D2" w:rsidRDefault="00372A7E" w:rsidP="002B1051">
      <w:pPr>
        <w:pStyle w:val="NormalWeb"/>
        <w:shd w:val="clear" w:color="auto" w:fill="FFFFFF"/>
        <w:spacing w:before="0" w:beforeAutospacing="0" w:after="0" w:afterAutospacing="0" w:line="480" w:lineRule="auto"/>
        <w:jc w:val="both"/>
        <w:rPr>
          <w:i/>
          <w:iCs/>
        </w:rPr>
      </w:pPr>
      <w:r w:rsidRPr="002C29D2">
        <w:rPr>
          <w:b/>
          <w:i/>
          <w:iCs/>
        </w:rPr>
        <w:t>H</w:t>
      </w:r>
      <w:r w:rsidR="002B1051" w:rsidRPr="002C29D2">
        <w:rPr>
          <w:b/>
          <w:i/>
          <w:iCs/>
        </w:rPr>
        <w:t>yp</w:t>
      </w:r>
      <w:r w:rsidR="00241C78" w:rsidRPr="002C29D2">
        <w:rPr>
          <w:b/>
          <w:i/>
          <w:iCs/>
        </w:rPr>
        <w:t>o</w:t>
      </w:r>
      <w:r w:rsidR="002B1051" w:rsidRPr="002C29D2">
        <w:rPr>
          <w:b/>
          <w:i/>
          <w:iCs/>
        </w:rPr>
        <w:t xml:space="preserve">thesis </w:t>
      </w:r>
      <w:r w:rsidR="0041400C" w:rsidRPr="002C29D2">
        <w:rPr>
          <w:b/>
          <w:i/>
          <w:iCs/>
        </w:rPr>
        <w:t>1</w:t>
      </w:r>
      <w:r w:rsidR="002B1051" w:rsidRPr="002C29D2">
        <w:rPr>
          <w:b/>
          <w:i/>
          <w:iCs/>
        </w:rPr>
        <w:t xml:space="preserve"> (H1)</w:t>
      </w:r>
      <w:r w:rsidRPr="002C29D2">
        <w:rPr>
          <w:i/>
          <w:iCs/>
        </w:rPr>
        <w:t xml:space="preserve">: Autonomy of AI </w:t>
      </w:r>
      <w:r w:rsidR="00241C78" w:rsidRPr="002C29D2">
        <w:rPr>
          <w:i/>
          <w:iCs/>
        </w:rPr>
        <w:t>is</w:t>
      </w:r>
      <w:r w:rsidRPr="002C29D2">
        <w:rPr>
          <w:i/>
          <w:iCs/>
        </w:rPr>
        <w:t xml:space="preserve"> positively related to </w:t>
      </w:r>
      <w:r w:rsidR="00555308" w:rsidRPr="002C29D2">
        <w:rPr>
          <w:i/>
          <w:iCs/>
        </w:rPr>
        <w:t>healthcare practition</w:t>
      </w:r>
      <w:r w:rsidRPr="002C29D2">
        <w:rPr>
          <w:i/>
          <w:iCs/>
        </w:rPr>
        <w:t>ers</w:t>
      </w:r>
      <w:r w:rsidR="00FB345E" w:rsidRPr="002C29D2">
        <w:rPr>
          <w:i/>
          <w:iCs/>
        </w:rPr>
        <w:t>’</w:t>
      </w:r>
      <w:r w:rsidRPr="002C29D2">
        <w:rPr>
          <w:i/>
          <w:iCs/>
        </w:rPr>
        <w:t xml:space="preserve"> </w:t>
      </w:r>
      <w:r w:rsidR="002B1051" w:rsidRPr="002C29D2">
        <w:rPr>
          <w:i/>
          <w:iCs/>
        </w:rPr>
        <w:t xml:space="preserve">(a) </w:t>
      </w:r>
      <w:r w:rsidRPr="002C29D2">
        <w:rPr>
          <w:i/>
          <w:iCs/>
        </w:rPr>
        <w:t>attitude</w:t>
      </w:r>
      <w:r w:rsidR="00FB345E" w:rsidRPr="002C29D2">
        <w:rPr>
          <w:i/>
          <w:iCs/>
        </w:rPr>
        <w:t>s</w:t>
      </w:r>
      <w:r w:rsidRPr="002C29D2">
        <w:rPr>
          <w:i/>
          <w:iCs/>
        </w:rPr>
        <w:t xml:space="preserve"> toward AI, </w:t>
      </w:r>
      <w:r w:rsidR="002B1051" w:rsidRPr="002C29D2">
        <w:rPr>
          <w:i/>
          <w:iCs/>
        </w:rPr>
        <w:t xml:space="preserve">(b) </w:t>
      </w:r>
      <w:r w:rsidRPr="002C29D2">
        <w:rPr>
          <w:i/>
          <w:iCs/>
        </w:rPr>
        <w:t>satisfaction with AI, and</w:t>
      </w:r>
      <w:r w:rsidR="002B1051" w:rsidRPr="002C29D2">
        <w:rPr>
          <w:i/>
          <w:iCs/>
        </w:rPr>
        <w:t xml:space="preserve"> (c)</w:t>
      </w:r>
      <w:r w:rsidR="0043615C" w:rsidRPr="002C29D2">
        <w:rPr>
          <w:i/>
          <w:iCs/>
        </w:rPr>
        <w:t xml:space="preserve"> AI</w:t>
      </w:r>
      <w:r w:rsidR="002B1051" w:rsidRPr="002C29D2">
        <w:rPr>
          <w:i/>
          <w:iCs/>
        </w:rPr>
        <w:t xml:space="preserve"> </w:t>
      </w:r>
      <w:r w:rsidRPr="002C29D2">
        <w:rPr>
          <w:i/>
          <w:iCs/>
        </w:rPr>
        <w:t>usage intention</w:t>
      </w:r>
      <w:r w:rsidR="00E24004" w:rsidRPr="002C29D2">
        <w:rPr>
          <w:i/>
          <w:iCs/>
        </w:rPr>
        <w:t>s</w:t>
      </w:r>
      <w:r w:rsidRPr="002C29D2">
        <w:rPr>
          <w:i/>
          <w:iCs/>
        </w:rPr>
        <w:t xml:space="preserve">. </w:t>
      </w:r>
    </w:p>
    <w:p w14:paraId="0FEB18CA" w14:textId="77777777" w:rsidR="00372A7E" w:rsidRPr="002C29D2" w:rsidRDefault="00372A7E" w:rsidP="002B1051">
      <w:pPr>
        <w:spacing w:line="480" w:lineRule="auto"/>
        <w:jc w:val="both"/>
        <w:rPr>
          <w:i/>
          <w:iCs/>
        </w:rPr>
      </w:pPr>
      <w:r w:rsidRPr="002C29D2">
        <w:rPr>
          <w:i/>
          <w:iCs/>
          <w:lang w:eastAsia="zh-TW"/>
        </w:rPr>
        <w:t>3.</w:t>
      </w:r>
      <w:r w:rsidR="0041400C" w:rsidRPr="002C29D2">
        <w:rPr>
          <w:i/>
          <w:iCs/>
          <w:lang w:eastAsia="zh-TW"/>
        </w:rPr>
        <w:t>2</w:t>
      </w:r>
      <w:r w:rsidRPr="002C29D2">
        <w:rPr>
          <w:i/>
          <w:iCs/>
          <w:lang w:eastAsia="zh-TW"/>
        </w:rPr>
        <w:t xml:space="preserve">. </w:t>
      </w:r>
      <w:r w:rsidRPr="002C29D2">
        <w:rPr>
          <w:i/>
          <w:iCs/>
        </w:rPr>
        <w:t xml:space="preserve">Beneficence </w:t>
      </w:r>
    </w:p>
    <w:p w14:paraId="512A2DA3" w14:textId="248690D6" w:rsidR="002B1051" w:rsidRPr="002C29D2" w:rsidRDefault="00372A7E" w:rsidP="00FB345E">
      <w:pPr>
        <w:spacing w:line="480" w:lineRule="auto"/>
        <w:ind w:firstLineChars="200" w:firstLine="480"/>
        <w:jc w:val="both"/>
      </w:pPr>
      <w:r w:rsidRPr="002C29D2">
        <w:t xml:space="preserve">Beneficence refers to the subjective sense of being able to </w:t>
      </w:r>
      <w:r w:rsidR="00E24004" w:rsidRPr="002C29D2">
        <w:t xml:space="preserve">voluntarily </w:t>
      </w:r>
      <w:r w:rsidR="00FB345E" w:rsidRPr="002C29D2">
        <w:t>exert</w:t>
      </w:r>
      <w:r w:rsidR="00055A4F" w:rsidRPr="002C29D2">
        <w:t xml:space="preserve"> </w:t>
      </w:r>
      <w:r w:rsidRPr="002C29D2">
        <w:t>positive pro-social impacts on others</w:t>
      </w:r>
      <w:r w:rsidR="00D6165D" w:rsidRPr="002C29D2">
        <w:t xml:space="preserve">, with </w:t>
      </w:r>
      <w:r w:rsidRPr="002C29D2">
        <w:t xml:space="preserve">wellness-relevant outcomes about oneself </w:t>
      </w:r>
      <w:r w:rsidR="00D6165D" w:rsidRPr="002C29D2">
        <w:t xml:space="preserve">resulting </w:t>
      </w:r>
      <w:r w:rsidRPr="002C29D2">
        <w:fldChar w:fldCharType="begin" w:fldLock="1"/>
      </w:r>
      <w:r w:rsidR="00830194" w:rsidRPr="002C29D2">
        <w:instrText>ADDIN CSL_CITATION {"citationItems":[{"id":"ITEM-1","itemData":{"author":[{"dropping-particle":"","family":"Martela","given":"Frank","non-dropping-particle":"","parse-names":false,"suffix":""},{"dropping-particle":"","family":"Ryan","given":"Richard M.","non-dropping-particle":"","parse-names":false,"suffix":""}],"container-title":"Journal of Personality","id":"ITEM-1","issue":"6","issued":{"date-parts":[["2015"]]},"page":"750-764","title":"The benefits of benevolence: Basic psychological needs, beneficence, and the enhancement of well-being","type":"article-journal","volume":"84"},"uris":["http://www.mendeley.com/documents/?uuid=e69b8ae5-85b8-43df-8ac0-e20b3fac43df"]}],"mendeley":{"formattedCitation":"(Martela &amp; Ryan, 2015)","plainTextFormattedCitation":"(Martela &amp; Ryan, 2015)","previouslyFormattedCitation":"(Martela and Ryan, 2015)"},"properties":{"noteIndex":0},"schema":"https://github.com/citation-style-language/schema/raw/master/csl-citation.json"}</w:instrText>
      </w:r>
      <w:r w:rsidRPr="002C29D2">
        <w:fldChar w:fldCharType="separate"/>
      </w:r>
      <w:r w:rsidR="00830194" w:rsidRPr="002C29D2">
        <w:t xml:space="preserve">(Martela </w:t>
      </w:r>
      <w:r w:rsidR="00055A4F" w:rsidRPr="002C29D2">
        <w:t>and</w:t>
      </w:r>
      <w:r w:rsidR="00830194" w:rsidRPr="002C29D2">
        <w:t xml:space="preserve"> Ryan 201</w:t>
      </w:r>
      <w:r w:rsidR="006D27DE" w:rsidRPr="002C29D2">
        <w:t>6</w:t>
      </w:r>
      <w:r w:rsidR="00830194" w:rsidRPr="002C29D2">
        <w:t>)</w:t>
      </w:r>
      <w:r w:rsidRPr="002C29D2">
        <w:fldChar w:fldCharType="end"/>
      </w:r>
      <w:r w:rsidRPr="002C29D2">
        <w:t xml:space="preserve">. </w:t>
      </w:r>
      <w:r w:rsidR="00241C78" w:rsidRPr="002C29D2">
        <w:t>Regarding the use of AI in healthcare,</w:t>
      </w:r>
      <w:r w:rsidR="00FB345E" w:rsidRPr="002C29D2">
        <w:t xml:space="preserve"> as a </w:t>
      </w:r>
      <w:r w:rsidRPr="002C29D2">
        <w:t>classic ethical principle</w:t>
      </w:r>
      <w:r w:rsidR="00FB345E" w:rsidRPr="002C29D2">
        <w:t>, beneficence</w:t>
      </w:r>
      <w:r w:rsidRPr="002C29D2">
        <w:t xml:space="preserve"> </w:t>
      </w:r>
      <w:r w:rsidR="00FB345E" w:rsidRPr="002C29D2">
        <w:t>highlights</w:t>
      </w:r>
      <w:r w:rsidR="00241C78" w:rsidRPr="002C29D2">
        <w:t xml:space="preserve"> the importance of ensuring </w:t>
      </w:r>
      <w:r w:rsidRPr="002C29D2">
        <w:t>patients and practitioners are protected</w:t>
      </w:r>
      <w:r w:rsidR="00243985" w:rsidRPr="002C29D2">
        <w:t xml:space="preserve"> by</w:t>
      </w:r>
      <w:r w:rsidRPr="002C29D2">
        <w:t xml:space="preserve"> and benefit from </w:t>
      </w:r>
      <w:r w:rsidR="00241C78" w:rsidRPr="002C29D2">
        <w:t xml:space="preserve">the actions powered by </w:t>
      </w:r>
      <w:r w:rsidR="0035328B" w:rsidRPr="002C29D2">
        <w:t>AI technology</w:t>
      </w:r>
      <w:r w:rsidR="00D6165D" w:rsidRPr="002C29D2">
        <w:t>,</w:t>
      </w:r>
      <w:r w:rsidRPr="002C29D2">
        <w:t xml:space="preserve"> </w:t>
      </w:r>
      <w:r w:rsidR="00241C78" w:rsidRPr="002C29D2">
        <w:t xml:space="preserve">at </w:t>
      </w:r>
      <w:r w:rsidR="005776B9" w:rsidRPr="002C29D2">
        <w:t xml:space="preserve">the very </w:t>
      </w:r>
      <w:r w:rsidR="00D6165D" w:rsidRPr="002C29D2">
        <w:t xml:space="preserve">least </w:t>
      </w:r>
      <w:r w:rsidRPr="002C29D2">
        <w:fldChar w:fldCharType="begin" w:fldLock="1"/>
      </w:r>
      <w:r w:rsidR="00830194" w:rsidRPr="002C29D2">
        <w:instrText>ADDIN CSL_CITATION {"citationItems":[{"id":"ITEM-1","itemData":{"author":[{"dropping-particle":"","family":"Reddy","given":"Sandeep","non-dropping-particle":"","parse-names":false,"suffix":""},{"dropping-particle":"","family":"Allan","given":"Sonia","non-dropping-particle":"","parse-names":false,"suffix":""},{"dropping-particle":"","family":"Coghlan","given":"Simon","non-dropping-particle":"","parse-names":false,"suffix":""},{"dropping-particle":"","family":"Cooper","given":"Paul","non-dropping-particle":"","parse-names":false,"suffix":""}],"container-title":"Journal of the American Medical Informatics Association","id":"ITEM-1","issue":"3","issued":{"date-parts":[["2020"]]},"page":"491-497","title":"A governance model for the application of AI in health care","type":"article-journal","volume":"27"},"uris":["http://www.mendeley.com/documents/?uuid=26c7c46e-df40-4def-8086-797e248a37f4"]},{"id":"ITEM-2","itemData":{"author":[{"dropping-particle":"","family":"Beauchamp","given":"T. L","non-dropping-particle":"","parse-names":false,"suffix":""},{"dropping-particle":"","family":"Childress","given":"J. F","non-dropping-particle":"","parse-names":false,"suffix":""}],"edition":"4","id":"ITEM-2","issued":{"date-parts":[["1994"]]},"publisher":"Oxford University Press","publisher-place":"New York","title":"Principles in biomedical ethics","type":"book"},"uris":["http://www.mendeley.com/documents/?uuid=9b6f135e-1552-488d-b45d-f127742ea733"]}],"mendeley":{"formattedCitation":"(Beauchamp &amp; Childress, 1994; Reddy et al., 2020)","plainTextFormattedCitation":"(Beauchamp &amp; Childress, 1994; Reddy et al., 2020)","previouslyFormattedCitation":"(Beauchamp and Childress, 1994; Reddy &lt;i&gt;et al.&lt;/i&gt;, 2020)"},"properties":{"noteIndex":0},"schema":"https://github.com/citation-style-language/schema/raw/master/csl-citation.json"}</w:instrText>
      </w:r>
      <w:r w:rsidRPr="002C29D2">
        <w:fldChar w:fldCharType="separate"/>
      </w:r>
      <w:r w:rsidR="00830194" w:rsidRPr="002C29D2">
        <w:t>(Reddy et al. 2020)</w:t>
      </w:r>
      <w:r w:rsidRPr="002C29D2">
        <w:fldChar w:fldCharType="end"/>
      </w:r>
      <w:r w:rsidRPr="002C29D2">
        <w:t xml:space="preserve">. As such, AI should </w:t>
      </w:r>
      <w:r w:rsidR="00241C78" w:rsidRPr="002C29D2">
        <w:t xml:space="preserve">be designed and deployed in ways that </w:t>
      </w:r>
      <w:r w:rsidRPr="002C29D2">
        <w:t xml:space="preserve">respect and preserve the dignity of patients and practitioners, promote benefits </w:t>
      </w:r>
      <w:r w:rsidR="00D6165D" w:rsidRPr="002C29D2">
        <w:t xml:space="preserve">to </w:t>
      </w:r>
      <w:r w:rsidRPr="002C29D2">
        <w:t>humanity and the common good</w:t>
      </w:r>
      <w:r w:rsidR="00D6165D" w:rsidRPr="002C29D2">
        <w:t>, and</w:t>
      </w:r>
      <w:r w:rsidR="00FB345E" w:rsidRPr="002C29D2">
        <w:t xml:space="preserve"> </w:t>
      </w:r>
      <w:r w:rsidRPr="002C29D2">
        <w:t xml:space="preserve">ensure sustainability </w:t>
      </w:r>
      <w:r w:rsidRPr="002C29D2">
        <w:fldChar w:fldCharType="begin" w:fldLock="1"/>
      </w:r>
      <w:r w:rsidR="00830194" w:rsidRPr="002C29D2">
        <w:instrText>ADDIN CSL_CITATION {"citationItems":[{"id":"ITEM-1","itemData":{"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y","non-dropping-particle":"","parse-names":false,"suffix":""}],"container-title":"Minds and Machines","id":"ITEM-1","issued":{"date-parts":[["2018"]]},"page":"689-707","title":"AI4People—An ethical framework for a good AI society: Opportunities, risks, principles, and recommendations","type":"article-journal","volume":"28"},"uris":["http://www.mendeley.com/documents/?uuid=0fa69287-7058-4569-9a08-d9a1a093b8cc"]}],"mendeley":{"formattedCitation":"(Floridi et al., 2018)","plainTextFormattedCitation":"(Floridi et al., 2018)","previouslyFormattedCitation":"(Floridi &lt;i&gt;et al.&lt;/i&gt;, 2018)"},"properties":{"noteIndex":0},"schema":"https://github.com/citation-style-language/schema/raw/master/csl-citation.json"}</w:instrText>
      </w:r>
      <w:r w:rsidRPr="002C29D2">
        <w:fldChar w:fldCharType="separate"/>
      </w:r>
      <w:r w:rsidRPr="002C29D2">
        <w:t>(Floridi et al. 2018)</w:t>
      </w:r>
      <w:r w:rsidRPr="002C29D2">
        <w:fldChar w:fldCharType="end"/>
      </w:r>
      <w:r w:rsidRPr="002C29D2">
        <w:t xml:space="preserve">. </w:t>
      </w:r>
      <w:r w:rsidR="00D6165D" w:rsidRPr="002C29D2">
        <w:t>H</w:t>
      </w:r>
      <w:r w:rsidR="00241C78" w:rsidRPr="002C29D2">
        <w:t xml:space="preserve">ealthcare practitioners </w:t>
      </w:r>
      <w:r w:rsidR="003C36D8" w:rsidRPr="002C29D2">
        <w:t xml:space="preserve">particularly </w:t>
      </w:r>
      <w:r w:rsidR="00241C78" w:rsidRPr="002C29D2">
        <w:t>are obliged to</w:t>
      </w:r>
      <w:r w:rsidR="005776B9" w:rsidRPr="002C29D2">
        <w:t xml:space="preserve"> operate by a</w:t>
      </w:r>
      <w:r w:rsidR="00241C78" w:rsidRPr="002C29D2">
        <w:t xml:space="preserve"> moral </w:t>
      </w:r>
      <w:r w:rsidR="00241C78" w:rsidRPr="002C29D2">
        <w:lastRenderedPageBreak/>
        <w:t>imp</w:t>
      </w:r>
      <w:r w:rsidR="00E24004" w:rsidRPr="002C29D2">
        <w:t>era</w:t>
      </w:r>
      <w:r w:rsidR="00241C78" w:rsidRPr="002C29D2">
        <w:t xml:space="preserve">tive of doing good </w:t>
      </w:r>
      <w:r w:rsidR="00590E41" w:rsidRPr="002C29D2">
        <w:t xml:space="preserve">for </w:t>
      </w:r>
      <w:r w:rsidR="00241C78" w:rsidRPr="002C29D2">
        <w:t xml:space="preserve">patients and society. </w:t>
      </w:r>
      <w:r w:rsidR="00590E41" w:rsidRPr="002C29D2">
        <w:t>In fact, p</w:t>
      </w:r>
      <w:r w:rsidRPr="002C29D2">
        <w:t>ro-social behavio</w:t>
      </w:r>
      <w:r w:rsidR="00241C78" w:rsidRPr="002C29D2">
        <w:t>u</w:t>
      </w:r>
      <w:r w:rsidRPr="002C29D2">
        <w:t xml:space="preserve">rs </w:t>
      </w:r>
      <w:r w:rsidR="00241C78" w:rsidRPr="002C29D2">
        <w:t xml:space="preserve">are </w:t>
      </w:r>
      <w:r w:rsidRPr="002C29D2">
        <w:t xml:space="preserve">associated with </w:t>
      </w:r>
      <w:r w:rsidR="00FB345E" w:rsidRPr="002C29D2">
        <w:t xml:space="preserve">one’s </w:t>
      </w:r>
      <w:r w:rsidRPr="002C29D2">
        <w:t>psychological well-bein</w:t>
      </w:r>
      <w:r w:rsidR="00FB345E" w:rsidRPr="002C29D2">
        <w:t xml:space="preserve">g </w:t>
      </w:r>
      <w:r w:rsidR="00241C78" w:rsidRPr="002C29D2">
        <w:t xml:space="preserve">and enhanced </w:t>
      </w:r>
      <w:r w:rsidR="00590E41" w:rsidRPr="002C29D2">
        <w:t xml:space="preserve">satisfaction from </w:t>
      </w:r>
      <w:r w:rsidR="00241C78" w:rsidRPr="002C29D2">
        <w:t xml:space="preserve">beneficence </w:t>
      </w:r>
      <w:r w:rsidR="00590E41" w:rsidRPr="002C29D2">
        <w:t xml:space="preserve">creates a ‘virtuous-cycle’ wherein </w:t>
      </w:r>
      <w:r w:rsidRPr="002C29D2">
        <w:t>future benevolent intention</w:t>
      </w:r>
      <w:r w:rsidR="00590E41" w:rsidRPr="002C29D2">
        <w:t>s are cultivated by past ones</w:t>
      </w:r>
      <w:r w:rsidRPr="002C29D2">
        <w:t xml:space="preserve"> </w:t>
      </w:r>
      <w:r w:rsidRPr="002C29D2">
        <w:fldChar w:fldCharType="begin" w:fldLock="1"/>
      </w:r>
      <w:r w:rsidR="00830194" w:rsidRPr="002C29D2">
        <w:instrText>ADDIN CSL_CITATION {"citationItems":[{"id":"ITEM-1","itemData":{"author":[{"dropping-particle":"","family":"Martela","given":"Frank","non-dropping-particle":"","parse-names":false,"suffix":""},{"dropping-particle":"","family":"Ryan","given":"Richard M.","non-dropping-particle":"","parse-names":false,"suffix":""}],"container-title":"Journal of Personality","id":"ITEM-1","issue":"6","issued":{"date-parts":[["2015"]]},"page":"750-764","title":"The benefits of benevolence: Basic psychological needs, beneficence, and the enhancement of well-being","type":"article-journal","volume":"84"},"uris":["http://www.mendeley.com/documents/?uuid=e69b8ae5-85b8-43df-8ac0-e20b3fac43df"]}],"mendeley":{"formattedCitation":"(Martela &amp; Ryan, 2015)","plainTextFormattedCitation":"(Martela &amp; Ryan, 2015)","previouslyFormattedCitation":"(Martela and Ryan, 2015)"},"properties":{"noteIndex":0},"schema":"https://github.com/citation-style-language/schema/raw/master/csl-citation.json"}</w:instrText>
      </w:r>
      <w:r w:rsidRPr="002C29D2">
        <w:fldChar w:fldCharType="separate"/>
      </w:r>
      <w:r w:rsidR="00830194" w:rsidRPr="002C29D2">
        <w:t xml:space="preserve">(Martela </w:t>
      </w:r>
      <w:r w:rsidR="00055A4F" w:rsidRPr="002C29D2">
        <w:t>and</w:t>
      </w:r>
      <w:r w:rsidR="00830194" w:rsidRPr="002C29D2">
        <w:t xml:space="preserve"> Ryan 201</w:t>
      </w:r>
      <w:r w:rsidR="00C87796" w:rsidRPr="002C29D2">
        <w:t>6</w:t>
      </w:r>
      <w:r w:rsidR="00830194" w:rsidRPr="002C29D2">
        <w:t>)</w:t>
      </w:r>
      <w:r w:rsidRPr="002C29D2">
        <w:fldChar w:fldCharType="end"/>
      </w:r>
      <w:r w:rsidRPr="002C29D2">
        <w:t xml:space="preserve">. We </w:t>
      </w:r>
      <w:r w:rsidR="00590E41" w:rsidRPr="002C29D2">
        <w:t xml:space="preserve">can reasonably </w:t>
      </w:r>
      <w:r w:rsidRPr="002C29D2">
        <w:t xml:space="preserve">expect that healthcare practitioners will behave positively if they </w:t>
      </w:r>
      <w:r w:rsidR="00055A4F" w:rsidRPr="002C29D2">
        <w:t xml:space="preserve">are </w:t>
      </w:r>
      <w:r w:rsidRPr="002C29D2">
        <w:t xml:space="preserve">satisfied with the beneficence of AI systems, and </w:t>
      </w:r>
      <w:r w:rsidR="00FB345E" w:rsidRPr="002C29D2">
        <w:t xml:space="preserve">thus </w:t>
      </w:r>
      <w:r w:rsidRPr="002C29D2">
        <w:t>propose the following hypothesis</w:t>
      </w:r>
      <w:r w:rsidR="00FB345E" w:rsidRPr="002C29D2">
        <w:t>:</w:t>
      </w:r>
    </w:p>
    <w:p w14:paraId="1A5E8F16" w14:textId="7AF393E7" w:rsidR="00795B44" w:rsidRPr="002C29D2" w:rsidRDefault="002B1051" w:rsidP="00343B8E">
      <w:pPr>
        <w:spacing w:line="480" w:lineRule="auto"/>
        <w:jc w:val="both"/>
        <w:rPr>
          <w:b/>
          <w:bCs/>
          <w:i/>
        </w:rPr>
      </w:pPr>
      <w:r w:rsidRPr="002C29D2">
        <w:rPr>
          <w:b/>
          <w:i/>
          <w:iCs/>
        </w:rPr>
        <w:t>Hyp</w:t>
      </w:r>
      <w:r w:rsidR="00010C7B" w:rsidRPr="002C29D2">
        <w:rPr>
          <w:b/>
          <w:i/>
          <w:iCs/>
        </w:rPr>
        <w:t>o</w:t>
      </w:r>
      <w:r w:rsidRPr="002C29D2">
        <w:rPr>
          <w:b/>
          <w:i/>
          <w:iCs/>
        </w:rPr>
        <w:t>thesis 2 (H2)</w:t>
      </w:r>
      <w:r w:rsidRPr="002C29D2">
        <w:rPr>
          <w:i/>
          <w:iCs/>
        </w:rPr>
        <w:t xml:space="preserve">: </w:t>
      </w:r>
      <w:r w:rsidR="00372A7E" w:rsidRPr="002C29D2">
        <w:rPr>
          <w:i/>
          <w:iCs/>
        </w:rPr>
        <w:t xml:space="preserve">Beneficence of AI </w:t>
      </w:r>
      <w:r w:rsidR="00010C7B" w:rsidRPr="002C29D2">
        <w:rPr>
          <w:i/>
          <w:iCs/>
        </w:rPr>
        <w:t>is</w:t>
      </w:r>
      <w:r w:rsidR="00372A7E" w:rsidRPr="002C29D2">
        <w:rPr>
          <w:i/>
          <w:iCs/>
        </w:rPr>
        <w:t xml:space="preserve"> positively related to</w:t>
      </w:r>
      <w:r w:rsidRPr="002C29D2">
        <w:rPr>
          <w:i/>
          <w:iCs/>
        </w:rPr>
        <w:t xml:space="preserve"> </w:t>
      </w:r>
      <w:r w:rsidR="00555308" w:rsidRPr="002C29D2">
        <w:rPr>
          <w:i/>
          <w:iCs/>
        </w:rPr>
        <w:t>healthcare practition</w:t>
      </w:r>
      <w:r w:rsidRPr="002C29D2">
        <w:rPr>
          <w:i/>
          <w:iCs/>
        </w:rPr>
        <w:t>er</w:t>
      </w:r>
      <w:r w:rsidR="00FB345E" w:rsidRPr="002C29D2">
        <w:rPr>
          <w:i/>
          <w:iCs/>
        </w:rPr>
        <w:t>s’</w:t>
      </w:r>
      <w:r w:rsidRPr="002C29D2">
        <w:rPr>
          <w:i/>
          <w:iCs/>
        </w:rPr>
        <w:t xml:space="preserve"> (a) attitude</w:t>
      </w:r>
      <w:r w:rsidR="00FB345E" w:rsidRPr="002C29D2">
        <w:rPr>
          <w:i/>
          <w:iCs/>
        </w:rPr>
        <w:t>s</w:t>
      </w:r>
      <w:r w:rsidRPr="002C29D2">
        <w:rPr>
          <w:i/>
          <w:iCs/>
        </w:rPr>
        <w:t xml:space="preserve"> toward AI, (b) satisfaction with AI, and (c)</w:t>
      </w:r>
      <w:r w:rsidR="0043615C" w:rsidRPr="002C29D2">
        <w:rPr>
          <w:i/>
          <w:iCs/>
        </w:rPr>
        <w:t xml:space="preserve"> AI</w:t>
      </w:r>
      <w:r w:rsidRPr="002C29D2">
        <w:rPr>
          <w:i/>
          <w:iCs/>
        </w:rPr>
        <w:t xml:space="preserve"> usage intention</w:t>
      </w:r>
      <w:r w:rsidR="00590E41" w:rsidRPr="002C29D2">
        <w:rPr>
          <w:i/>
          <w:iCs/>
        </w:rPr>
        <w:t>s</w:t>
      </w:r>
      <w:r w:rsidRPr="002C29D2">
        <w:rPr>
          <w:i/>
          <w:iCs/>
        </w:rPr>
        <w:t>.</w:t>
      </w:r>
    </w:p>
    <w:p w14:paraId="70ECD01C" w14:textId="21E99DFC" w:rsidR="00372A7E" w:rsidRPr="002C29D2" w:rsidRDefault="00372A7E" w:rsidP="00553690">
      <w:pPr>
        <w:tabs>
          <w:tab w:val="left" w:pos="1527"/>
        </w:tabs>
        <w:spacing w:line="480" w:lineRule="auto"/>
        <w:jc w:val="both"/>
        <w:rPr>
          <w:i/>
          <w:iCs/>
        </w:rPr>
      </w:pPr>
      <w:r w:rsidRPr="002C29D2">
        <w:rPr>
          <w:i/>
          <w:iCs/>
          <w:lang w:eastAsia="zh-TW"/>
        </w:rPr>
        <w:t>3.</w:t>
      </w:r>
      <w:r w:rsidR="00B15DE3" w:rsidRPr="002C29D2">
        <w:rPr>
          <w:i/>
          <w:iCs/>
          <w:lang w:eastAsia="zh-TW"/>
        </w:rPr>
        <w:t>3</w:t>
      </w:r>
      <w:r w:rsidRPr="002C29D2">
        <w:rPr>
          <w:i/>
          <w:iCs/>
          <w:lang w:eastAsia="zh-TW"/>
        </w:rPr>
        <w:t xml:space="preserve">. </w:t>
      </w:r>
      <w:r w:rsidRPr="002C29D2">
        <w:rPr>
          <w:i/>
          <w:iCs/>
        </w:rPr>
        <w:t>Explainability</w:t>
      </w:r>
    </w:p>
    <w:p w14:paraId="47F8BE2E" w14:textId="778BA224" w:rsidR="00372A7E" w:rsidRPr="002C29D2" w:rsidRDefault="00D163EB" w:rsidP="00795B44">
      <w:pPr>
        <w:tabs>
          <w:tab w:val="left" w:pos="1527"/>
        </w:tabs>
        <w:spacing w:line="480" w:lineRule="auto"/>
        <w:jc w:val="both"/>
      </w:pPr>
      <w:r w:rsidRPr="002C29D2">
        <w:t xml:space="preserve">        </w:t>
      </w:r>
      <w:r w:rsidR="00372A7E" w:rsidRPr="002C29D2">
        <w:t xml:space="preserve">AI </w:t>
      </w:r>
      <w:r w:rsidR="00795B44" w:rsidRPr="002C29D2">
        <w:t>e</w:t>
      </w:r>
      <w:r w:rsidR="00372A7E" w:rsidRPr="002C29D2">
        <w:t xml:space="preserve">xplainability, also known as technological transparency </w:t>
      </w:r>
      <w:r w:rsidR="00372A7E" w:rsidRPr="002C29D2">
        <w:fldChar w:fldCharType="begin" w:fldLock="1"/>
      </w:r>
      <w:r w:rsidR="00830194" w:rsidRPr="002C29D2">
        <w:instrText>ADDIN CSL_CITATION {"citationItems":[{"id":"ITEM-1","itemData":{"author":[{"dropping-particle":"","family":"Haesevoets","given":"Tessa","non-dropping-particle":"","parse-names":false,"suffix":""},{"dropping-particle":"","family":"Cremer","given":"David","non-dropping-particle":"De","parse-names":false,"suffix":""},{"dropping-particle":"","family":"Schutter","given":"Leander","non-dropping-particle":"De","parse-names":false,"suffix":""},{"dropping-particle":"","family":"McGuire","given":"Jack","non-dropping-particle":"","parse-names":false,"suffix":""},{"dropping-particle":"","family":"Yang","given":"Yu","non-dropping-particle":"","parse-names":false,"suffix":""},{"dropping-particle":"","family":"Jian","given":"Xie","non-dropping-particle":"","parse-names":false,"suffix":""},{"dropping-particle":"","family":"Hiel","given":"Alain","non-dropping-particle":"Van","parse-names":false,"suffix":""}],"container-title":"Journal of Business Ethics","id":"ITEM-1","issued":{"date-parts":[["2019"]]},"title":"Transparency and control in email communication: The more the supervisor is put in cc the less trust is felt","type":"article-journal"},"uris":["http://www.mendeley.com/documents/?uuid=cacfb16f-0463-46bf-9958-c049552f61b5"]}],"mendeley":{"formattedCitation":"(Haesevoets et al., 2019)","plainTextFormattedCitation":"(Haesevoets et al., 2019)","previouslyFormattedCitation":"(Haesevoets &lt;i&gt;et al.&lt;/i&gt;, 2019)"},"properties":{"noteIndex":0},"schema":"https://github.com/citation-style-language/schema/raw/master/csl-citation.json"}</w:instrText>
      </w:r>
      <w:r w:rsidR="00372A7E" w:rsidRPr="002C29D2">
        <w:fldChar w:fldCharType="separate"/>
      </w:r>
      <w:r w:rsidR="00372A7E" w:rsidRPr="002C29D2">
        <w:t>(Haesevoets et al. 2019)</w:t>
      </w:r>
      <w:r w:rsidR="00372A7E" w:rsidRPr="002C29D2">
        <w:fldChar w:fldCharType="end"/>
      </w:r>
      <w:r w:rsidR="00372A7E" w:rsidRPr="002C29D2">
        <w:t>, emphasi</w:t>
      </w:r>
      <w:r w:rsidR="00055D2F" w:rsidRPr="002C29D2">
        <w:t>z</w:t>
      </w:r>
      <w:r w:rsidR="00372A7E" w:rsidRPr="002C29D2">
        <w:t>es the need to translate system actions</w:t>
      </w:r>
      <w:r w:rsidR="00590E41" w:rsidRPr="002C29D2">
        <w:t>, processes</w:t>
      </w:r>
      <w:r w:rsidR="00372A7E" w:rsidRPr="002C29D2">
        <w:t xml:space="preserve"> and outputs into intelligible information and communicate </w:t>
      </w:r>
      <w:r w:rsidR="00590E41" w:rsidRPr="002C29D2">
        <w:t xml:space="preserve">this </w:t>
      </w:r>
      <w:r w:rsidR="00372A7E" w:rsidRPr="002C29D2">
        <w:t xml:space="preserve">regularly </w:t>
      </w:r>
      <w:r w:rsidR="00590E41" w:rsidRPr="002C29D2">
        <w:t>and</w:t>
      </w:r>
      <w:r w:rsidR="00372A7E" w:rsidRPr="002C29D2">
        <w:t xml:space="preserve"> accessibl</w:t>
      </w:r>
      <w:r w:rsidR="00590E41" w:rsidRPr="002C29D2">
        <w:t xml:space="preserve">y, which </w:t>
      </w:r>
      <w:r w:rsidR="00372A7E" w:rsidRPr="002C29D2">
        <w:t>allow</w:t>
      </w:r>
      <w:r w:rsidR="00055A4F" w:rsidRPr="002C29D2">
        <w:t>s</w:t>
      </w:r>
      <w:r w:rsidR="00372A7E" w:rsidRPr="002C29D2">
        <w:t xml:space="preserve"> individuals to interpret the</w:t>
      </w:r>
      <w:r w:rsidR="00590E41" w:rsidRPr="002C29D2">
        <w:t>se</w:t>
      </w:r>
      <w:r w:rsidR="00372A7E" w:rsidRPr="002C29D2">
        <w:t xml:space="preserve"> complex automated decision</w:t>
      </w:r>
      <w:r w:rsidR="00590E41" w:rsidRPr="002C29D2">
        <w:t>s</w:t>
      </w:r>
      <w:r w:rsidR="00372A7E" w:rsidRPr="002C29D2">
        <w:t xml:space="preserve"> </w:t>
      </w:r>
      <w:r w:rsidR="00372A7E" w:rsidRPr="002C29D2">
        <w:fldChar w:fldCharType="begin" w:fldLock="1"/>
      </w:r>
      <w:r w:rsidR="00830194" w:rsidRPr="002C29D2">
        <w:instrText>ADDIN CSL_CITATION {"citationItems":[{"id":"ITEM-1","itemData":{"author":[{"dropping-particle":"","family":"Jobin","given":"A.","non-dropping-particle":"","parse-names":false,"suffix":""},{"dropping-particle":"","family":"Lenca","given":"M.","non-dropping-particle":"","parse-names":false,"suffix":""},{"dropping-particle":"","family":"Vayena","given":"E.","non-dropping-particle":"","parse-names":false,"suffix":""}],"container-title":"Nature Machine Intelligence","id":"ITEM-1","issued":{"date-parts":[["2019"]]},"page":"389-399","title":"The global landscape of AI ethics guidelines","type":"article-journal","volume":"1"},"uris":["http://www.mendeley.com/documents/?uuid=984b4763-1176-4955-b042-f2c5886e5bdf"]}],"mendeley":{"formattedCitation":"(Jobin et al., 2019)","plainTextFormattedCitation":"(Jobin et al., 2019)","previouslyFormattedCitation":"(Jobin &lt;i&gt;et al.&lt;/i&gt;, 2019)"},"properties":{"noteIndex":0},"schema":"https://github.com/citation-style-language/schema/raw/master/csl-citation.json"}</w:instrText>
      </w:r>
      <w:r w:rsidR="00372A7E" w:rsidRPr="002C29D2">
        <w:fldChar w:fldCharType="separate"/>
      </w:r>
      <w:r w:rsidR="00372A7E" w:rsidRPr="002C29D2">
        <w:t>(Jobin et al. 2019)</w:t>
      </w:r>
      <w:r w:rsidR="00372A7E" w:rsidRPr="002C29D2">
        <w:fldChar w:fldCharType="end"/>
      </w:r>
      <w:r w:rsidR="00372A7E" w:rsidRPr="002C29D2">
        <w:t xml:space="preserve">. When implementing AI systems in clinical settings, the use of patients’ information, the impact on </w:t>
      </w:r>
      <w:r w:rsidR="00590E41" w:rsidRPr="002C29D2">
        <w:t xml:space="preserve">their </w:t>
      </w:r>
      <w:r w:rsidR="00372A7E" w:rsidRPr="002C29D2">
        <w:t xml:space="preserve">care or treatment, and the reasoning behind </w:t>
      </w:r>
      <w:r w:rsidR="00590E41" w:rsidRPr="002C29D2">
        <w:t xml:space="preserve">an </w:t>
      </w:r>
      <w:r w:rsidR="00372A7E" w:rsidRPr="002C29D2">
        <w:t>AI diagnosis should</w:t>
      </w:r>
      <w:r w:rsidR="00590E41" w:rsidRPr="002C29D2">
        <w:t xml:space="preserve"> all</w:t>
      </w:r>
      <w:r w:rsidR="00372A7E" w:rsidRPr="002C29D2">
        <w:t xml:space="preserve"> be clearly discussed with patients in advance</w:t>
      </w:r>
      <w:r w:rsidR="00590E41" w:rsidRPr="002C29D2">
        <w:t xml:space="preserve"> </w:t>
      </w:r>
      <w:r w:rsidR="00372A7E" w:rsidRPr="002C29D2">
        <w:fldChar w:fldCharType="begin" w:fldLock="1"/>
      </w:r>
      <w:r w:rsidR="00830194" w:rsidRPr="002C29D2">
        <w:instrText>ADDIN CSL_CITATION {"citationItems":[{"id":"ITEM-1","itemData":{"author":[{"dropping-particle":"","family":"Currie","given":"Geoff","non-dropping-particle":"","parse-names":false,"suffix":""},{"dropping-particle":"","family":"Hawk","given":"K Elizabeth","non-dropping-particle":"","parse-names":false,"suffix":""},{"dropping-particle":"","family":"Rohren","given":"Eric M.","non-dropping-particle":"","parse-names":false,"suffix":""}],"container-title":"European Journal of Nuclear Medicine and Molecular Imaging","id":"ITEM-1","issued":{"date-parts":[["2020"]]},"page":"748-752","title":"Ethical principles for the application of artificial intelligence (AI) in nuclear medicine","type":"article-journal","volume":"47"},"uris":["http://www.mendeley.com/documents/?uuid=c752a7ee-c543-4d20-bb90-2f44947dbb9e"]}],"mendeley":{"formattedCitation":"(Currie et al., 2020)","plainTextFormattedCitation":"(Currie et al., 2020)","previouslyFormattedCitation":"(Currie &lt;i&gt;et al.&lt;/i&gt;, 2020)"},"properties":{"noteIndex":0},"schema":"https://github.com/citation-style-language/schema/raw/master/csl-citation.json"}</w:instrText>
      </w:r>
      <w:r w:rsidR="00372A7E" w:rsidRPr="002C29D2">
        <w:fldChar w:fldCharType="separate"/>
      </w:r>
      <w:r w:rsidR="00372A7E" w:rsidRPr="002C29D2">
        <w:t>(Currie et al. 2020)</w:t>
      </w:r>
      <w:r w:rsidR="00372A7E" w:rsidRPr="002C29D2">
        <w:fldChar w:fldCharType="end"/>
      </w:r>
      <w:r w:rsidR="00372A7E" w:rsidRPr="002C29D2">
        <w:t xml:space="preserve">. </w:t>
      </w:r>
      <w:r w:rsidR="00010C7B" w:rsidRPr="002C29D2">
        <w:t>Also, having</w:t>
      </w:r>
      <w:r w:rsidR="00372A7E" w:rsidRPr="002C29D2">
        <w:t xml:space="preserve"> access to sufficient </w:t>
      </w:r>
      <w:r w:rsidR="001B7F38" w:rsidRPr="002C29D2">
        <w:t xml:space="preserve">extra </w:t>
      </w:r>
      <w:r w:rsidR="00372A7E" w:rsidRPr="002C29D2">
        <w:t>detail</w:t>
      </w:r>
      <w:r w:rsidR="001B7F38" w:rsidRPr="002C29D2">
        <w:t xml:space="preserve"> or </w:t>
      </w:r>
      <w:r w:rsidR="00372A7E" w:rsidRPr="002C29D2">
        <w:t xml:space="preserve">algorithmic reasoning may increase </w:t>
      </w:r>
      <w:r w:rsidR="00010C7B" w:rsidRPr="002C29D2">
        <w:t>the</w:t>
      </w:r>
      <w:r w:rsidR="00372A7E" w:rsidRPr="002C29D2">
        <w:t xml:space="preserve"> diagnostic accuracy</w:t>
      </w:r>
      <w:r w:rsidR="00010C7B" w:rsidRPr="002C29D2">
        <w:t xml:space="preserve"> from healthcare practitioners</w:t>
      </w:r>
      <w:r w:rsidR="00372A7E" w:rsidRPr="002C29D2">
        <w:t xml:space="preserve"> </w:t>
      </w:r>
      <w:r w:rsidR="001B7F38" w:rsidRPr="002C29D2">
        <w:t xml:space="preserve">using such systems </w:t>
      </w:r>
      <w:r w:rsidR="00372A7E" w:rsidRPr="002C29D2">
        <w:fldChar w:fldCharType="begin" w:fldLock="1"/>
      </w:r>
      <w:r w:rsidR="00372A7E" w:rsidRPr="002C29D2">
        <w:instrText>ADDIN CSL_CITATION {"citationItems":[{"id":"ITEM-1","itemData":{"author":[{"dropping-particle":"","family":"Rai","given":"Arun","non-dropping-particle":"","parse-names":false,"suffix":""}],"container-title":"Journal of the Academy of Marketing Science","id":"ITEM-1","issued":{"date-parts":[["2020"]]},"page":"137-141","title":"Explainable AI: from black box to glass box","type":"article-journal","volume":"48"},"uris":["http://www.mendeley.com/documents/?uuid=f48d4ded-3513-44f7-8d33-0f303be72b0a"]},{"id":"ITEM-2","itemData":{"author":[{"dropping-particle":"","family":"Miller","given":"Tim","non-dropping-particle":"","parse-names":false,"suffix":""}],"container-title":"Artif. Intell.","id":"ITEM-2","issued":{"date-parts":[["2019"]]},"page":"1-38","title":"Explanation in artificial intelligence: Insights from the social sciences","type":"article-journal","volume":"267"},"uris":["http://www.mendeley.com/documents/?uuid=3e9b875d-055d-49f1-999e-ca4838288ace"]}],"mendeley":{"formattedCitation":"(Miller, 2019; Rai, 2020)","plainTextFormattedCitation":"(Miller, 2019; Rai, 2020)","previouslyFormattedCitation":"(Miller, 2019; Rai, 2020)"},"properties":{"noteIndex":0},"schema":"https://github.com/citation-style-language/schema/raw/master/csl-citation.json"}</w:instrText>
      </w:r>
      <w:r w:rsidR="00372A7E" w:rsidRPr="002C29D2">
        <w:fldChar w:fldCharType="separate"/>
      </w:r>
      <w:r w:rsidR="00372A7E" w:rsidRPr="002C29D2">
        <w:t>(Miller 2019; Rai 2020)</w:t>
      </w:r>
      <w:r w:rsidR="00372A7E" w:rsidRPr="002C29D2">
        <w:fldChar w:fldCharType="end"/>
      </w:r>
      <w:r w:rsidR="00372A7E" w:rsidRPr="002C29D2">
        <w:t xml:space="preserve">. However, </w:t>
      </w:r>
      <w:r w:rsidR="00055A4F" w:rsidRPr="002C29D2">
        <w:t xml:space="preserve">in some studies, </w:t>
      </w:r>
      <w:r w:rsidR="001B7F38" w:rsidRPr="002C29D2">
        <w:t xml:space="preserve">deeming </w:t>
      </w:r>
      <w:r w:rsidR="00212FAE" w:rsidRPr="002C29D2">
        <w:t xml:space="preserve">explanations </w:t>
      </w:r>
      <w:r w:rsidR="0091622A" w:rsidRPr="002C29D2">
        <w:t>of algorithmic decisions</w:t>
      </w:r>
      <w:r w:rsidR="001B7F38" w:rsidRPr="002C29D2">
        <w:t xml:space="preserve"> as</w:t>
      </w:r>
      <w:r w:rsidR="0091622A" w:rsidRPr="002C29D2">
        <w:t xml:space="preserve"> </w:t>
      </w:r>
      <w:r w:rsidR="001B7F38" w:rsidRPr="002C29D2">
        <w:t xml:space="preserve">‘good’ </w:t>
      </w:r>
      <w:r w:rsidR="0091622A" w:rsidRPr="002C29D2">
        <w:t>w</w:t>
      </w:r>
      <w:r w:rsidR="001B7F38" w:rsidRPr="002C29D2">
        <w:t>as</w:t>
      </w:r>
      <w:r w:rsidR="0091622A" w:rsidRPr="002C29D2">
        <w:t xml:space="preserve"> mostly </w:t>
      </w:r>
      <w:r w:rsidR="001B7F38" w:rsidRPr="002C29D2">
        <w:t>based on</w:t>
      </w:r>
      <w:r w:rsidR="0091622A" w:rsidRPr="002C29D2">
        <w:t xml:space="preserve"> researcher intuition </w:t>
      </w:r>
      <w:r w:rsidR="001B7F38" w:rsidRPr="002C29D2">
        <w:t xml:space="preserve">within the process of </w:t>
      </w:r>
      <w:r w:rsidR="0091622A" w:rsidRPr="002C29D2">
        <w:t xml:space="preserve">exploring how explanations can affect users’ perceptions of and interactions with AI systems (Miller 2019). </w:t>
      </w:r>
      <w:r w:rsidR="001B7F38" w:rsidRPr="002C29D2">
        <w:t>Further</w:t>
      </w:r>
      <w:r w:rsidR="0091622A" w:rsidRPr="002C29D2">
        <w:t xml:space="preserve">, </w:t>
      </w:r>
      <w:r w:rsidR="001B7F38" w:rsidRPr="002C29D2">
        <w:t xml:space="preserve">the </w:t>
      </w:r>
      <w:r w:rsidR="00372A7E" w:rsidRPr="002C29D2">
        <w:t xml:space="preserve">explanations are </w:t>
      </w:r>
      <w:r w:rsidR="008E5433" w:rsidRPr="002C29D2">
        <w:t xml:space="preserve">sometimes </w:t>
      </w:r>
      <w:r w:rsidR="00372A7E" w:rsidRPr="002C29D2">
        <w:t xml:space="preserve">required by end users who </w:t>
      </w:r>
      <w:r w:rsidR="00010C7B" w:rsidRPr="002C29D2">
        <w:t xml:space="preserve">lack the technical knowledge to interpret </w:t>
      </w:r>
      <w:r w:rsidR="008E5433" w:rsidRPr="002C29D2">
        <w:t xml:space="preserve">them </w:t>
      </w:r>
      <w:r w:rsidR="001B7F38" w:rsidRPr="002C29D2">
        <w:t>with</w:t>
      </w:r>
      <w:r w:rsidR="00010C7B" w:rsidRPr="002C29D2">
        <w:t xml:space="preserve">in </w:t>
      </w:r>
      <w:r w:rsidR="001B7F38" w:rsidRPr="002C29D2">
        <w:t xml:space="preserve">certain </w:t>
      </w:r>
      <w:r w:rsidR="00010C7B" w:rsidRPr="002C29D2">
        <w:t>contexts</w:t>
      </w:r>
      <w:r w:rsidR="0091622A" w:rsidRPr="002C29D2">
        <w:t xml:space="preserve"> (Liao et al. 2020)</w:t>
      </w:r>
      <w:r w:rsidR="00372A7E" w:rsidRPr="002C29D2">
        <w:t xml:space="preserve">. For instance, initial machine diagnosis often presents the most </w:t>
      </w:r>
      <w:r w:rsidR="009B75E7" w:rsidRPr="002C29D2">
        <w:t xml:space="preserve">likely </w:t>
      </w:r>
      <w:r w:rsidR="00372A7E" w:rsidRPr="002C29D2">
        <w:t>symptoms</w:t>
      </w:r>
      <w:r w:rsidR="00010C7B" w:rsidRPr="002C29D2">
        <w:t xml:space="preserve"> </w:t>
      </w:r>
      <w:r w:rsidR="008E5433" w:rsidRPr="002C29D2">
        <w:t xml:space="preserve">of </w:t>
      </w:r>
      <w:r w:rsidR="00372A7E" w:rsidRPr="002C29D2">
        <w:t xml:space="preserve">a certain disease </w:t>
      </w:r>
      <w:r w:rsidR="008E5433" w:rsidRPr="002C29D2">
        <w:t xml:space="preserve">as </w:t>
      </w:r>
      <w:r w:rsidR="00372A7E" w:rsidRPr="002C29D2">
        <w:t xml:space="preserve">a </w:t>
      </w:r>
      <w:r w:rsidR="008E5433" w:rsidRPr="002C29D2">
        <w:t xml:space="preserve">descriptive </w:t>
      </w:r>
      <w:r w:rsidR="00372A7E" w:rsidRPr="002C29D2">
        <w:t>list</w:t>
      </w:r>
      <w:r w:rsidR="008E5433" w:rsidRPr="002C29D2">
        <w:t xml:space="preserve">, without further analysis, which may confuse some </w:t>
      </w:r>
      <w:r w:rsidR="00372A7E" w:rsidRPr="002C29D2">
        <w:t xml:space="preserve">healthcare </w:t>
      </w:r>
      <w:r w:rsidR="00010C7B" w:rsidRPr="002C29D2">
        <w:t xml:space="preserve">practitioners </w:t>
      </w:r>
      <w:r w:rsidR="008E5433" w:rsidRPr="002C29D2">
        <w:t>resulting in</w:t>
      </w:r>
      <w:r w:rsidR="00372A7E" w:rsidRPr="002C29D2">
        <w:t xml:space="preserve"> </w:t>
      </w:r>
      <w:r w:rsidR="008E5433" w:rsidRPr="002C29D2">
        <w:t xml:space="preserve">poor </w:t>
      </w:r>
      <w:r w:rsidR="00372A7E" w:rsidRPr="002C29D2">
        <w:t>decision</w:t>
      </w:r>
      <w:r w:rsidR="00010C7B" w:rsidRPr="002C29D2">
        <w:t>s</w:t>
      </w:r>
      <w:r w:rsidR="00372A7E" w:rsidRPr="002C29D2">
        <w:t xml:space="preserve"> (Ribeiro et al. 2016). </w:t>
      </w:r>
      <w:r w:rsidR="00010C7B" w:rsidRPr="002C29D2">
        <w:t xml:space="preserve">Whether healthcare practitioners are satisfied </w:t>
      </w:r>
      <w:r w:rsidR="00010C7B" w:rsidRPr="002C29D2">
        <w:lastRenderedPageBreak/>
        <w:t xml:space="preserve">with the performance of AI systems, especially in terms of explainability, is still uncertain and </w:t>
      </w:r>
      <w:r w:rsidR="00795B44" w:rsidRPr="002C29D2">
        <w:t>warrant</w:t>
      </w:r>
      <w:r w:rsidR="008E5433" w:rsidRPr="002C29D2">
        <w:t>s</w:t>
      </w:r>
      <w:r w:rsidR="00795B44" w:rsidRPr="002C29D2">
        <w:t xml:space="preserve"> </w:t>
      </w:r>
      <w:r w:rsidR="00010C7B" w:rsidRPr="002C29D2">
        <w:t xml:space="preserve">further </w:t>
      </w:r>
      <w:r w:rsidR="00795B44" w:rsidRPr="002C29D2">
        <w:t>investigation</w:t>
      </w:r>
      <w:r w:rsidR="00010C7B" w:rsidRPr="002C29D2">
        <w:t>.</w:t>
      </w:r>
      <w:r w:rsidR="00372A7E" w:rsidRPr="002C29D2">
        <w:t xml:space="preserve"> </w:t>
      </w:r>
      <w:r w:rsidR="00795B44" w:rsidRPr="002C29D2">
        <w:t xml:space="preserve">Thus, the </w:t>
      </w:r>
      <w:r w:rsidR="00010C7B" w:rsidRPr="002C29D2">
        <w:t>following hypothesis</w:t>
      </w:r>
      <w:r w:rsidR="00795B44" w:rsidRPr="002C29D2">
        <w:t xml:space="preserve"> is proposed:</w:t>
      </w:r>
    </w:p>
    <w:p w14:paraId="0098E604" w14:textId="52280318" w:rsidR="00372A7E" w:rsidRPr="002C29D2" w:rsidRDefault="002B1051" w:rsidP="00795B44">
      <w:pPr>
        <w:spacing w:line="480" w:lineRule="auto"/>
        <w:jc w:val="both"/>
        <w:rPr>
          <w:b/>
          <w:bCs/>
          <w:i/>
        </w:rPr>
      </w:pPr>
      <w:r w:rsidRPr="002C29D2">
        <w:rPr>
          <w:b/>
          <w:i/>
          <w:iCs/>
        </w:rPr>
        <w:t>Hyp</w:t>
      </w:r>
      <w:r w:rsidR="00010C7B" w:rsidRPr="002C29D2">
        <w:rPr>
          <w:b/>
          <w:i/>
          <w:iCs/>
        </w:rPr>
        <w:t>o</w:t>
      </w:r>
      <w:r w:rsidRPr="002C29D2">
        <w:rPr>
          <w:b/>
          <w:i/>
          <w:iCs/>
        </w:rPr>
        <w:t>thesis 3 (H3)</w:t>
      </w:r>
      <w:r w:rsidRPr="002C29D2">
        <w:rPr>
          <w:i/>
          <w:iCs/>
        </w:rPr>
        <w:t xml:space="preserve">: </w:t>
      </w:r>
      <w:r w:rsidR="00372A7E" w:rsidRPr="002C29D2">
        <w:rPr>
          <w:i/>
          <w:iCs/>
        </w:rPr>
        <w:t xml:space="preserve">Explainability of AI </w:t>
      </w:r>
      <w:r w:rsidR="00010C7B" w:rsidRPr="002C29D2">
        <w:rPr>
          <w:i/>
          <w:iCs/>
        </w:rPr>
        <w:t>is</w:t>
      </w:r>
      <w:r w:rsidR="00372A7E" w:rsidRPr="002C29D2">
        <w:rPr>
          <w:i/>
          <w:iCs/>
        </w:rPr>
        <w:t xml:space="preserve"> positively related to </w:t>
      </w:r>
      <w:r w:rsidR="00555308" w:rsidRPr="002C29D2">
        <w:rPr>
          <w:i/>
          <w:iCs/>
        </w:rPr>
        <w:t>healthcare practition</w:t>
      </w:r>
      <w:r w:rsidRPr="002C29D2">
        <w:rPr>
          <w:i/>
          <w:iCs/>
        </w:rPr>
        <w:t>er</w:t>
      </w:r>
      <w:r w:rsidR="003515AB" w:rsidRPr="002C29D2">
        <w:rPr>
          <w:i/>
          <w:iCs/>
        </w:rPr>
        <w:t>s’</w:t>
      </w:r>
      <w:r w:rsidRPr="002C29D2">
        <w:rPr>
          <w:i/>
          <w:iCs/>
        </w:rPr>
        <w:t xml:space="preserve"> (a) attitude</w:t>
      </w:r>
      <w:r w:rsidR="003515AB" w:rsidRPr="002C29D2">
        <w:rPr>
          <w:i/>
          <w:iCs/>
        </w:rPr>
        <w:t>s</w:t>
      </w:r>
      <w:r w:rsidRPr="002C29D2">
        <w:rPr>
          <w:i/>
          <w:iCs/>
        </w:rPr>
        <w:t xml:space="preserve"> toward AI, (b) satisfaction with AI, and (c) </w:t>
      </w:r>
      <w:r w:rsidR="0043615C" w:rsidRPr="002C29D2">
        <w:rPr>
          <w:i/>
          <w:iCs/>
        </w:rPr>
        <w:t xml:space="preserve">AI </w:t>
      </w:r>
      <w:r w:rsidRPr="002C29D2">
        <w:rPr>
          <w:i/>
          <w:iCs/>
        </w:rPr>
        <w:t>usage intention</w:t>
      </w:r>
      <w:r w:rsidR="008E5433" w:rsidRPr="002C29D2">
        <w:rPr>
          <w:i/>
          <w:iCs/>
        </w:rPr>
        <w:t>s</w:t>
      </w:r>
      <w:r w:rsidRPr="002C29D2">
        <w:rPr>
          <w:i/>
          <w:iCs/>
        </w:rPr>
        <w:t>.</w:t>
      </w:r>
    </w:p>
    <w:p w14:paraId="04BCD29E" w14:textId="77777777" w:rsidR="00372A7E" w:rsidRPr="002C29D2" w:rsidRDefault="00372A7E" w:rsidP="00795B44">
      <w:pPr>
        <w:tabs>
          <w:tab w:val="left" w:pos="1527"/>
        </w:tabs>
        <w:spacing w:line="480" w:lineRule="auto"/>
        <w:jc w:val="both"/>
        <w:rPr>
          <w:i/>
          <w:iCs/>
        </w:rPr>
      </w:pPr>
      <w:r w:rsidRPr="002C29D2">
        <w:rPr>
          <w:i/>
          <w:iCs/>
          <w:lang w:eastAsia="zh-TW"/>
        </w:rPr>
        <w:t>3.</w:t>
      </w:r>
      <w:r w:rsidR="00B15DE3" w:rsidRPr="002C29D2">
        <w:rPr>
          <w:i/>
          <w:iCs/>
          <w:lang w:eastAsia="zh-TW"/>
        </w:rPr>
        <w:t>4</w:t>
      </w:r>
      <w:r w:rsidRPr="002C29D2">
        <w:rPr>
          <w:i/>
          <w:iCs/>
          <w:lang w:eastAsia="zh-TW"/>
        </w:rPr>
        <w:t xml:space="preserve">. </w:t>
      </w:r>
      <w:r w:rsidRPr="002C29D2">
        <w:rPr>
          <w:i/>
          <w:iCs/>
        </w:rPr>
        <w:t>Justice</w:t>
      </w:r>
    </w:p>
    <w:p w14:paraId="5AE89C7D" w14:textId="32523129" w:rsidR="00372A7E" w:rsidRPr="002C29D2" w:rsidRDefault="00E6420F" w:rsidP="00795B44">
      <w:pPr>
        <w:tabs>
          <w:tab w:val="left" w:pos="1527"/>
        </w:tabs>
        <w:spacing w:line="480" w:lineRule="auto"/>
        <w:jc w:val="both"/>
      </w:pPr>
      <w:r w:rsidRPr="002C29D2">
        <w:t xml:space="preserve">          </w:t>
      </w:r>
      <w:r w:rsidR="00010C7B" w:rsidRPr="002C29D2">
        <w:t xml:space="preserve">The principle of justice </w:t>
      </w:r>
      <w:r w:rsidR="00793DB3" w:rsidRPr="002C29D2">
        <w:t>refers</w:t>
      </w:r>
      <w:r w:rsidR="00010C7B" w:rsidRPr="002C29D2">
        <w:t xml:space="preserve"> </w:t>
      </w:r>
      <w:r w:rsidR="00793DB3" w:rsidRPr="002C29D2">
        <w:t xml:space="preserve">to </w:t>
      </w:r>
      <w:r w:rsidR="00010C7B" w:rsidRPr="002C29D2">
        <w:t>the obligation of distributing benefits equitably to individuals</w:t>
      </w:r>
      <w:r w:rsidR="00386415" w:rsidRPr="002C29D2">
        <w:t xml:space="preserve"> </w:t>
      </w:r>
      <w:r w:rsidR="00EF3977" w:rsidRPr="002C29D2">
        <w:t xml:space="preserve">(Newman et al. 2020). </w:t>
      </w:r>
      <w:r w:rsidR="00372A7E" w:rsidRPr="002C29D2">
        <w:t xml:space="preserve">According to justice theory, employees’ perceptions </w:t>
      </w:r>
      <w:r w:rsidR="00386415" w:rsidRPr="002C29D2">
        <w:t>of</w:t>
      </w:r>
      <w:r w:rsidR="00372A7E" w:rsidRPr="002C29D2">
        <w:t xml:space="preserve"> </w:t>
      </w:r>
      <w:r w:rsidR="008E5433" w:rsidRPr="002C29D2">
        <w:t xml:space="preserve">fairness in </w:t>
      </w:r>
      <w:r w:rsidR="00372A7E" w:rsidRPr="002C29D2">
        <w:t>their personnel procedures are positively associated with the</w:t>
      </w:r>
      <w:r w:rsidR="008E5433" w:rsidRPr="002C29D2">
        <w:t xml:space="preserve"> overall</w:t>
      </w:r>
      <w:r w:rsidR="00372A7E" w:rsidRPr="002C29D2">
        <w:t xml:space="preserve"> fairness of </w:t>
      </w:r>
      <w:r w:rsidR="00010C7B" w:rsidRPr="002C29D2">
        <w:t xml:space="preserve">organisational </w:t>
      </w:r>
      <w:r w:rsidR="00372A7E" w:rsidRPr="002C29D2">
        <w:t>decision</w:t>
      </w:r>
      <w:r w:rsidR="008E5433" w:rsidRPr="002C29D2">
        <w:t>-making</w:t>
      </w:r>
      <w:r w:rsidR="00372A7E" w:rsidRPr="002C29D2">
        <w:t xml:space="preserve"> </w:t>
      </w:r>
      <w:r w:rsidR="00372A7E" w:rsidRPr="002C29D2">
        <w:fldChar w:fldCharType="begin" w:fldLock="1"/>
      </w:r>
      <w:r w:rsidR="00830194" w:rsidRPr="002C29D2">
        <w:instrText>ADDIN CSL_CITATION {"citationItems":[{"id":"ITEM-1","itemData":{"author":[{"dropping-particle":"","family":"Lind","given":"E. A.","non-dropping-particle":"","parse-names":false,"suffix":""}],"chapter-number":"1","container-title":"Advances in Organizational Justice","editor":[{"dropping-particle":"","family":"Greenberg","given":"J.","non-dropping-particle":"","parse-names":false,"suffix":""},{"dropping-particle":"","family":"Cropanzano","given":"R.","non-dropping-particle":"","parse-names":false,"suffix":""}],"id":"ITEM-1","issued":{"date-parts":[["2001"]]},"page":"56–88","publisher":"Stanford University Press","publisher-place":"Stanford, CA","title":"Fairness heuristic theory: Justice judgments as pivotal cognitions in organizational relations","type":"chapter"},"uris":["http://www.mendeley.com/documents/?uuid=c0a30a6e-b724-47d5-bf09-859149e4b0bb"]},{"id":"ITEM-2","itemData":{"author":[{"dropping-particle":"","family":"Lavelle","given":"J. J.","non-dropping-particle":"","parse-names":false,"suffix":""},{"dropping-particle":"","family":"Brockner","given":"J.","non-dropping-particle":"","parse-names":false,"suffix":""},{"dropping-particle":"","family":"Konovsky","given":"M. A.","non-dropping-particle":"","parse-names":false,"suffix":""},{"dropping-particle":"","family":"Price","given":"K. H.","non-dropping-particle":"","parse-names":false,"suffix":""},{"dropping-particle":"","family":"Henley","given":"A. B.","non-dropping-particle":"","parse-names":false,"suffix":""},{"dropping-particle":"","family":"Taneja","given":"A.","non-dropping-particle":"","parse-names":false,"suffix":""},{"dropping-particle":"","family":"Vinekar","given":"V.","non-dropping-particle":"","parse-names":false,"suffix":""}],"container-title":"Journal of Organizational Behavior","id":"ITEM-2","issued":{"date-parts":[["2009"]]},"page":"337–357","title":"Commitment, procedural fairness, and organizational citizenship behavior: A multifoci analysis","type":"article-journal","volume":"30"},"uris":["http://www.mendeley.com/documents/?uuid=79a9fd0c-510c-482d-852e-14ec47c8fe9c"]}],"mendeley":{"formattedCitation":"(Lavelle et al., 2009; Lind, 2001)","plainTextFormattedCitation":"(Lavelle et al., 2009; Lind, 2001)","previouslyFormattedCitation":"(Lind, 2001; Lavelle &lt;i&gt;et al.&lt;/i&gt;, 2009)"},"properties":{"noteIndex":0},"schema":"https://github.com/citation-style-language/schema/raw/master/csl-citation.json"}</w:instrText>
      </w:r>
      <w:r w:rsidR="00372A7E" w:rsidRPr="002C29D2">
        <w:fldChar w:fldCharType="separate"/>
      </w:r>
      <w:r w:rsidR="00830194" w:rsidRPr="002C29D2">
        <w:t>(Lind 2001)</w:t>
      </w:r>
      <w:r w:rsidR="00372A7E" w:rsidRPr="002C29D2">
        <w:fldChar w:fldCharType="end"/>
      </w:r>
      <w:r w:rsidR="00372A7E" w:rsidRPr="002C29D2">
        <w:t xml:space="preserve">. </w:t>
      </w:r>
      <w:r w:rsidR="004717AE" w:rsidRPr="002C29D2">
        <w:t>O</w:t>
      </w:r>
      <w:r w:rsidR="00010C7B" w:rsidRPr="002C29D2">
        <w:t xml:space="preserve">rganisations </w:t>
      </w:r>
      <w:r w:rsidR="00372A7E" w:rsidRPr="002C29D2">
        <w:t xml:space="preserve">have long </w:t>
      </w:r>
      <w:r w:rsidR="00D6429C" w:rsidRPr="002C29D2">
        <w:t>associated</w:t>
      </w:r>
      <w:r w:rsidR="00516C1F" w:rsidRPr="002C29D2">
        <w:t xml:space="preserve"> the decision process</w:t>
      </w:r>
      <w:r w:rsidR="00D6429C" w:rsidRPr="002C29D2">
        <w:t xml:space="preserve"> with</w:t>
      </w:r>
      <w:r w:rsidR="00516C1F" w:rsidRPr="002C29D2">
        <w:t xml:space="preserve"> </w:t>
      </w:r>
      <w:r w:rsidR="00372A7E" w:rsidRPr="002C29D2">
        <w:t xml:space="preserve">justice, </w:t>
      </w:r>
      <w:r w:rsidRPr="002C29D2">
        <w:t xml:space="preserve">particularly </w:t>
      </w:r>
      <w:r w:rsidR="00372A7E" w:rsidRPr="002C29D2">
        <w:t xml:space="preserve">from </w:t>
      </w:r>
      <w:r w:rsidR="00516C1F" w:rsidRPr="002C29D2">
        <w:t xml:space="preserve">the perspectives of </w:t>
      </w:r>
      <w:r w:rsidR="00372A7E" w:rsidRPr="002C29D2">
        <w:t xml:space="preserve">employees </w:t>
      </w:r>
      <w:r w:rsidR="00372A7E" w:rsidRPr="002C29D2">
        <w:fldChar w:fldCharType="begin" w:fldLock="1"/>
      </w:r>
      <w:r w:rsidR="00830194" w:rsidRPr="002C29D2">
        <w:instrText>ADDIN CSL_CITATION {"citationItems":[{"id":"ITEM-1","itemData":{"author":[{"dropping-particle":"","family":"Colquitt","given":"J. A.","non-dropping-particle":"","parse-names":false,"suffix":""},{"dropping-particle":"","family":"Conlon","given":"D. E.","non-dropping-particle":"","parse-names":false,"suffix":""},{"dropping-particle":"","family":"Wesson","given":"M. J.","non-dropping-particle":"","parse-names":false,"suffix":""},{"dropping-particle":"","family":"Porter","given":"C. O. L. H.","non-dropping-particle":"","parse-names":false,"suffix":""},{"dropping-particle":"","family":"Ng","given":"K. Y.","non-dropping-particle":"","parse-names":false,"suffix":""}],"container-title":"Journal of Applied Psychology","id":"ITEM-1","issued":{"date-parts":[["2001"]]},"page":"425-445","title":"Justice at the millennium: A meta-analytic review of 25 years of organizational justice research","type":"article-journal","volume":"86"},"uris":["http://www.mendeley.com/documents/?uuid=92047c8e-2e34-4778-8102-cb094490519f"]}],"mendeley":{"formattedCitation":"(Colquitt et al., 2001)","plainTextFormattedCitation":"(Colquitt et al., 2001)","previouslyFormattedCitation":"(Colquitt &lt;i&gt;et al.&lt;/i&gt;, 2001)"},"properties":{"noteIndex":0},"schema":"https://github.com/citation-style-language/schema/raw/master/csl-citation.json"}</w:instrText>
      </w:r>
      <w:r w:rsidR="00372A7E" w:rsidRPr="002C29D2">
        <w:fldChar w:fldCharType="separate"/>
      </w:r>
      <w:r w:rsidR="00372A7E" w:rsidRPr="002C29D2">
        <w:t>(Colquitt et al. 2001)</w:t>
      </w:r>
      <w:r w:rsidR="00372A7E" w:rsidRPr="002C29D2">
        <w:fldChar w:fldCharType="end"/>
      </w:r>
      <w:r w:rsidR="00D6429C" w:rsidRPr="002C29D2">
        <w:t>,</w:t>
      </w:r>
      <w:r w:rsidR="00516C1F" w:rsidRPr="002C29D2">
        <w:t xml:space="preserve"> who </w:t>
      </w:r>
      <w:r w:rsidR="00372A7E" w:rsidRPr="002C29D2">
        <w:t xml:space="preserve">tend to </w:t>
      </w:r>
      <w:r w:rsidR="00010C7B" w:rsidRPr="002C29D2">
        <w:t xml:space="preserve">agree </w:t>
      </w:r>
      <w:r w:rsidR="004717AE" w:rsidRPr="002C29D2">
        <w:t xml:space="preserve">with </w:t>
      </w:r>
      <w:r w:rsidRPr="002C29D2">
        <w:t>decisions</w:t>
      </w:r>
      <w:r w:rsidR="00010C7B" w:rsidRPr="002C29D2">
        <w:t xml:space="preserve"> if they are consistent,</w:t>
      </w:r>
      <w:r w:rsidRPr="002C29D2">
        <w:t xml:space="preserve"> </w:t>
      </w:r>
      <w:r w:rsidR="00D6429C" w:rsidRPr="002C29D2">
        <w:t xml:space="preserve">are </w:t>
      </w:r>
      <w:r w:rsidRPr="002C29D2">
        <w:t xml:space="preserve">based on </w:t>
      </w:r>
      <w:r w:rsidR="00372A7E" w:rsidRPr="002C29D2">
        <w:t>accurate data</w:t>
      </w:r>
      <w:r w:rsidR="00010C7B" w:rsidRPr="002C29D2">
        <w:t>,</w:t>
      </w:r>
      <w:r w:rsidRPr="002C29D2">
        <w:t xml:space="preserve"> have </w:t>
      </w:r>
      <w:r w:rsidR="00372A7E" w:rsidRPr="002C29D2">
        <w:t>complied with rules, and</w:t>
      </w:r>
      <w:r w:rsidRPr="002C29D2">
        <w:t xml:space="preserve"> </w:t>
      </w:r>
      <w:r w:rsidR="00D6429C" w:rsidRPr="002C29D2">
        <w:t>are</w:t>
      </w:r>
      <w:r w:rsidRPr="002C29D2">
        <w:t xml:space="preserve"> </w:t>
      </w:r>
      <w:r w:rsidR="00372A7E" w:rsidRPr="002C29D2">
        <w:t xml:space="preserve">less influenced by individual bias </w:t>
      </w:r>
      <w:r w:rsidR="00372A7E" w:rsidRPr="002C29D2">
        <w:fldChar w:fldCharType="begin" w:fldLock="1"/>
      </w:r>
      <w:r w:rsidR="00830194" w:rsidRPr="002C29D2">
        <w:instrText>ADDIN CSL_CITATION {"citationItems":[{"id":"ITEM-1","itemData":{"author":[{"dropping-particle":"","family":"Brockner","given":"J.","non-dropping-particle":"","parse-names":false,"suffix":""}],"container-title":"Harvard Business Review","id":"ITEM-1","issued":{"date-parts":[["2006"]]},"page":"122–129","title":"Why it’s so hard to be fair","type":"article-journal","volume":"84"},"uris":["http://www.mendeley.com/documents/?uuid=a1606918-c138-4323-abae-0aecae73da34"]},{"id":"ITEM-2","itemData":{"author":[{"dropping-particle":"","family":"Colquitt","given":"J. A.","non-dropping-particle":"","parse-names":false,"suffix":""},{"dropping-particle":"","family":"Zipay","given":"K. P.","non-dropping-particle":"","parse-names":false,"suffix":""}],"container-title":"Annual Review of Organizational Psychology and Organizational Behavior","id":"ITEM-2","issued":{"date-parts":[["2015"]]},"page":"75–99","title":"Justice, fairness, and employee reactions","type":"article-journal","volume":"2"},"uris":["http://www.mendeley.com/documents/?uuid=d47f40dc-bacf-4f37-8f80-c035a64bdb5b"]}],"mendeley":{"formattedCitation":"(Brockner, 2006; Colquitt &amp; Zipay, 2015)","plainTextFormattedCitation":"(Brockner, 2006; Colquitt &amp; Zipay, 2015)","previouslyFormattedCitation":"(Brockner, 2006; Colquitt and Zipay, 2015)"},"properties":{"noteIndex":0},"schema":"https://github.com/citation-style-language/schema/raw/master/csl-citation.json"}</w:instrText>
      </w:r>
      <w:r w:rsidR="00372A7E" w:rsidRPr="002C29D2">
        <w:fldChar w:fldCharType="separate"/>
      </w:r>
      <w:r w:rsidR="00830194" w:rsidRPr="002C29D2">
        <w:t xml:space="preserve">(Colquitt </w:t>
      </w:r>
      <w:r w:rsidRPr="002C29D2">
        <w:t>and</w:t>
      </w:r>
      <w:r w:rsidR="00830194" w:rsidRPr="002C29D2">
        <w:t xml:space="preserve"> Zipay 2015)</w:t>
      </w:r>
      <w:r w:rsidR="00372A7E" w:rsidRPr="002C29D2">
        <w:fldChar w:fldCharType="end"/>
      </w:r>
      <w:r w:rsidR="00372A7E" w:rsidRPr="002C29D2">
        <w:t xml:space="preserve">. </w:t>
      </w:r>
      <w:r w:rsidR="00212FAE" w:rsidRPr="002C29D2">
        <w:t>Similarly, when decision</w:t>
      </w:r>
      <w:r w:rsidR="00D6429C" w:rsidRPr="002C29D2">
        <w:t>-making</w:t>
      </w:r>
      <w:r w:rsidR="00212FAE" w:rsidRPr="002C29D2">
        <w:t xml:space="preserve"> come</w:t>
      </w:r>
      <w:r w:rsidR="00D6429C" w:rsidRPr="002C29D2">
        <w:t>s</w:t>
      </w:r>
      <w:r w:rsidR="00212FAE" w:rsidRPr="002C29D2">
        <w:t xml:space="preserve"> to AI systems i</w:t>
      </w:r>
      <w:r w:rsidR="00372A7E" w:rsidRPr="002C29D2">
        <w:t>n the healthcare sector, algorithms are expected to treat all patients fairly, equitably</w:t>
      </w:r>
      <w:r w:rsidR="004717AE" w:rsidRPr="002C29D2">
        <w:t>,</w:t>
      </w:r>
      <w:r w:rsidR="00372A7E" w:rsidRPr="002C29D2">
        <w:t xml:space="preserve"> proportionately, and </w:t>
      </w:r>
      <w:r w:rsidR="00D6429C" w:rsidRPr="002C29D2">
        <w:t xml:space="preserve">able </w:t>
      </w:r>
      <w:r w:rsidR="00372A7E" w:rsidRPr="002C29D2">
        <w:t>to distribute medical goods and services witho</w:t>
      </w:r>
      <w:r w:rsidR="00D6429C" w:rsidRPr="002C29D2">
        <w:t>ut</w:t>
      </w:r>
      <w:r w:rsidR="00372A7E" w:rsidRPr="002C29D2">
        <w:t xml:space="preserve"> </w:t>
      </w:r>
      <w:r w:rsidR="00010C7B" w:rsidRPr="002C29D2">
        <w:t xml:space="preserve">bias, </w:t>
      </w:r>
      <w:r w:rsidR="00372A7E" w:rsidRPr="002C29D2">
        <w:t>discrimination</w:t>
      </w:r>
      <w:r w:rsidR="004717AE" w:rsidRPr="002C29D2">
        <w:t>,</w:t>
      </w:r>
      <w:r w:rsidR="00372A7E" w:rsidRPr="002C29D2">
        <w:t xml:space="preserve"> or harm </w:t>
      </w:r>
      <w:r w:rsidR="00372A7E" w:rsidRPr="002C29D2">
        <w:fldChar w:fldCharType="begin" w:fldLock="1"/>
      </w:r>
      <w:r w:rsidR="00372A7E" w:rsidRPr="002C29D2">
        <w:instrText>ADDIN CSL_CITATION {"citationItems":[{"id":"ITEM-1","itemData":{"author":[{"dropping-particle":"","family":"Schönberger","given":"Daniel","non-dropping-particle":"","parse-names":false,"suffix":""}],"container-title":"International Journal of Law and Information Technology","id":"ITEM-1","issued":{"date-parts":[["2019"]]},"page":"171–203","title":"Artificial intelligence in healthcare: a critical analysis of the legal and ethical implications","type":"article-journal","volume":"27"},"uris":["http://www.mendeley.com/documents/?uuid=51bbb118-b681-4132-96af-05ef32a3d368"]}],"mendeley":{"formattedCitation":"(Schönberger, 2019)","plainTextFormattedCitation":"(Schönberger, 2019)","previouslyFormattedCitation":"(Schönberger, 2019)"},"properties":{"noteIndex":0},"schema":"https://github.com/citation-style-language/schema/raw/master/csl-citation.json"}</w:instrText>
      </w:r>
      <w:r w:rsidR="00372A7E" w:rsidRPr="002C29D2">
        <w:fldChar w:fldCharType="separate"/>
      </w:r>
      <w:r w:rsidR="00372A7E" w:rsidRPr="002C29D2">
        <w:t>(Schönberger 2019)</w:t>
      </w:r>
      <w:r w:rsidR="00372A7E" w:rsidRPr="002C29D2">
        <w:fldChar w:fldCharType="end"/>
      </w:r>
      <w:r w:rsidR="00372A7E" w:rsidRPr="002C29D2">
        <w:t xml:space="preserve">. Although </w:t>
      </w:r>
      <w:r w:rsidR="00372A7E" w:rsidRPr="002C29D2">
        <w:fldChar w:fldCharType="begin" w:fldLock="1"/>
      </w:r>
      <w:r w:rsidR="00830194" w:rsidRPr="002C29D2">
        <w:instrText>ADDIN CSL_CITATION {"citationItems":[{"id":"ITEM-1","itemData":{"author":[{"dropping-particle":"","family":"Newman","given":"David T.","non-dropping-particle":"","parse-names":false,"suffix":""},{"dropping-particle":"","family":"Fast","given":"Nathanael J.","non-dropping-particle":"","parse-names":false,"suffix":""},{"dropping-particle":"","family":"Harmon","given":"Derek J.","non-dropping-particle":"","parse-names":false,"suffix":""}],"container-title":"Organizational Behavior and Human Decision Processes","id":"ITEM-1","issued":{"date-parts":[["2020"]]},"page":"149-167","title":"When eliminating bias isn’t fair: Algorithmic reductionism and procedural justice in human resource decisions","type":"article-journal","volume":"160"},"uris":["http://www.mendeley.com/documents/?uuid=479088e2-5372-4df3-afd7-ac83e3989408"]}],"mendeley":{"formattedCitation":"(Newman et al., 2020)","manualFormatting":"Newman et al. (2020)","plainTextFormattedCitation":"(Newman et al., 2020)","previouslyFormattedCitation":"(Newman &lt;i&gt;et al.&lt;/i&gt;, 2020)"},"properties":{"noteIndex":0},"schema":"https://github.com/citation-style-language/schema/raw/master/csl-citation.json"}</w:instrText>
      </w:r>
      <w:r w:rsidR="00372A7E" w:rsidRPr="002C29D2">
        <w:fldChar w:fldCharType="separate"/>
      </w:r>
      <w:r w:rsidR="00372A7E" w:rsidRPr="002C29D2">
        <w:t>Newman et al. (2020)</w:t>
      </w:r>
      <w:r w:rsidR="00372A7E" w:rsidRPr="002C29D2">
        <w:fldChar w:fldCharType="end"/>
      </w:r>
      <w:r w:rsidR="00372A7E" w:rsidRPr="002C29D2">
        <w:t xml:space="preserve"> </w:t>
      </w:r>
      <w:r w:rsidR="004717AE" w:rsidRPr="002C29D2">
        <w:t xml:space="preserve">postulate </w:t>
      </w:r>
      <w:r w:rsidR="00372A7E" w:rsidRPr="002C29D2">
        <w:t>that algorithm-driven personnel decisions are considered less fair than identical human-made decisions in certain context</w:t>
      </w:r>
      <w:r w:rsidRPr="002C29D2">
        <w:t>s</w:t>
      </w:r>
      <w:r w:rsidR="00372A7E" w:rsidRPr="002C29D2">
        <w:t xml:space="preserve">, </w:t>
      </w:r>
      <w:r w:rsidR="00010C7B" w:rsidRPr="002C29D2">
        <w:t xml:space="preserve">responsible </w:t>
      </w:r>
      <w:r w:rsidR="00372A7E" w:rsidRPr="002C29D2">
        <w:t xml:space="preserve">AI </w:t>
      </w:r>
      <w:r w:rsidR="00F641E3" w:rsidRPr="002C29D2">
        <w:t>could</w:t>
      </w:r>
      <w:r w:rsidR="00372A7E" w:rsidRPr="002C29D2">
        <w:t xml:space="preserve"> still </w:t>
      </w:r>
      <w:r w:rsidRPr="002C29D2">
        <w:t xml:space="preserve">have </w:t>
      </w:r>
      <w:r w:rsidR="00372A7E" w:rsidRPr="002C29D2">
        <w:t>the potential to overcome human bias</w:t>
      </w:r>
      <w:r w:rsidR="004717AE" w:rsidRPr="002C29D2">
        <w:t xml:space="preserve"> in order to </w:t>
      </w:r>
      <w:r w:rsidR="00372A7E" w:rsidRPr="002C29D2">
        <w:t>increase distributive</w:t>
      </w:r>
      <w:r w:rsidR="004717AE" w:rsidRPr="002C29D2">
        <w:t xml:space="preserve"> justice, </w:t>
      </w:r>
      <w:r w:rsidR="00372A7E" w:rsidRPr="002C29D2">
        <w:t>procedural justice, and bring enormous opportunities for organi</w:t>
      </w:r>
      <w:r w:rsidR="00010C7B" w:rsidRPr="002C29D2">
        <w:t>s</w:t>
      </w:r>
      <w:r w:rsidR="00372A7E" w:rsidRPr="002C29D2">
        <w:t xml:space="preserve">ations </w:t>
      </w:r>
      <w:r w:rsidR="00F641E3" w:rsidRPr="002C29D2">
        <w:t xml:space="preserve">through </w:t>
      </w:r>
      <w:r w:rsidR="00372A7E" w:rsidRPr="002C29D2">
        <w:t xml:space="preserve">more accurate information </w:t>
      </w:r>
      <w:r w:rsidR="00372A7E" w:rsidRPr="002C29D2">
        <w:fldChar w:fldCharType="begin" w:fldLock="1"/>
      </w:r>
      <w:r w:rsidR="00830194" w:rsidRPr="002C29D2">
        <w:instrText>ADDIN CSL_CITATION {"citationItems":[{"id":"ITEM-1","itemData":{"author":[{"dropping-particle":"","family":"Aral","given":"S.","non-dropping-particle":"","parse-names":false,"suffix":""},{"dropping-particle":"","family":"Brynjolfsson","given":"E.","non-dropping-particle":"","parse-names":false,"suffix":""},{"dropping-particle":"","family":"Wu","given":"L.","non-dropping-particle":"","parse-names":false,"suffix":""}],"container-title":"Management Science","id":"ITEM-1","issued":{"date-parts":[["2012"]]},"page":"913-931","title":"Three-way complementarities: Performance pay, human resource analytics, and information technology","type":"article-journal","volume":"58"},"uris":["http://www.mendeley.com/documents/?uuid=f95cd5cf-7280-4261-bf5f-1b8add0c09b2"]}],"mendeley":{"formattedCitation":"(Aral et al., 2012)","plainTextFormattedCitation":"(Aral et al., 2012)","previouslyFormattedCitation":"(Aral &lt;i&gt;et al.&lt;/i&gt;, 2012)"},"properties":{"noteIndex":0},"schema":"https://github.com/citation-style-language/schema/raw/master/csl-citation.json"}</w:instrText>
      </w:r>
      <w:r w:rsidR="00372A7E" w:rsidRPr="002C29D2">
        <w:fldChar w:fldCharType="separate"/>
      </w:r>
      <w:r w:rsidR="00372A7E" w:rsidRPr="002C29D2">
        <w:t>(Aral et al. 2012)</w:t>
      </w:r>
      <w:r w:rsidR="00372A7E" w:rsidRPr="002C29D2">
        <w:fldChar w:fldCharType="end"/>
      </w:r>
      <w:r w:rsidR="00372A7E" w:rsidRPr="002C29D2">
        <w:t xml:space="preserve">. </w:t>
      </w:r>
      <w:r w:rsidR="00F641E3" w:rsidRPr="002C29D2">
        <w:t>It seems clear that</w:t>
      </w:r>
      <w:r w:rsidR="004717AE" w:rsidRPr="002C29D2">
        <w:t xml:space="preserve"> the principle of justice </w:t>
      </w:r>
      <w:r w:rsidR="00F641E3" w:rsidRPr="002C29D2">
        <w:t>should</w:t>
      </w:r>
      <w:r w:rsidR="00010C7B" w:rsidRPr="002C29D2">
        <w:t xml:space="preserve"> positively influence practitioners’ behavioural outcomes. </w:t>
      </w:r>
      <w:r w:rsidR="00372A7E" w:rsidRPr="002C29D2">
        <w:t>We the</w:t>
      </w:r>
      <w:r w:rsidR="00F641E3" w:rsidRPr="002C29D2">
        <w:t>refore</w:t>
      </w:r>
      <w:r w:rsidR="00372A7E" w:rsidRPr="002C29D2">
        <w:t xml:space="preserve"> </w:t>
      </w:r>
      <w:r w:rsidR="00010C7B" w:rsidRPr="002C29D2">
        <w:t>propose the following hypothesis</w:t>
      </w:r>
      <w:r w:rsidR="004717AE" w:rsidRPr="002C29D2">
        <w:t>:</w:t>
      </w:r>
    </w:p>
    <w:p w14:paraId="2A380F8F" w14:textId="48668288" w:rsidR="004717AE" w:rsidRPr="002C29D2" w:rsidRDefault="002B1051" w:rsidP="00281BD8">
      <w:pPr>
        <w:tabs>
          <w:tab w:val="left" w:pos="1527"/>
        </w:tabs>
        <w:spacing w:line="480" w:lineRule="auto"/>
        <w:jc w:val="both"/>
        <w:rPr>
          <w:b/>
          <w:bCs/>
          <w:i/>
        </w:rPr>
      </w:pPr>
      <w:r w:rsidRPr="002C29D2">
        <w:rPr>
          <w:b/>
          <w:i/>
          <w:iCs/>
        </w:rPr>
        <w:t>Hyp</w:t>
      </w:r>
      <w:r w:rsidR="00010C7B" w:rsidRPr="002C29D2">
        <w:rPr>
          <w:b/>
          <w:i/>
          <w:iCs/>
        </w:rPr>
        <w:t>o</w:t>
      </w:r>
      <w:r w:rsidRPr="002C29D2">
        <w:rPr>
          <w:b/>
          <w:i/>
          <w:iCs/>
        </w:rPr>
        <w:t>thesis 4 (H4)</w:t>
      </w:r>
      <w:r w:rsidRPr="002C29D2">
        <w:rPr>
          <w:i/>
          <w:iCs/>
        </w:rPr>
        <w:t>:</w:t>
      </w:r>
      <w:r w:rsidR="00372A7E" w:rsidRPr="002C29D2">
        <w:rPr>
          <w:i/>
          <w:iCs/>
        </w:rPr>
        <w:t xml:space="preserve"> </w:t>
      </w:r>
      <w:r w:rsidR="00EC2451" w:rsidRPr="002C29D2">
        <w:rPr>
          <w:i/>
          <w:iCs/>
        </w:rPr>
        <w:t xml:space="preserve">Justice </w:t>
      </w:r>
      <w:r w:rsidR="00042ACC" w:rsidRPr="002C29D2">
        <w:rPr>
          <w:i/>
          <w:iCs/>
        </w:rPr>
        <w:t>of</w:t>
      </w:r>
      <w:r w:rsidR="00F641E3" w:rsidRPr="002C29D2">
        <w:rPr>
          <w:i/>
          <w:iCs/>
        </w:rPr>
        <w:t xml:space="preserve"> </w:t>
      </w:r>
      <w:r w:rsidR="00EC2451" w:rsidRPr="002C29D2">
        <w:rPr>
          <w:i/>
          <w:iCs/>
        </w:rPr>
        <w:t>AI</w:t>
      </w:r>
      <w:r w:rsidR="00372A7E" w:rsidRPr="002C29D2">
        <w:rPr>
          <w:i/>
          <w:iCs/>
        </w:rPr>
        <w:t xml:space="preserve"> </w:t>
      </w:r>
      <w:r w:rsidR="00010C7B" w:rsidRPr="002C29D2">
        <w:rPr>
          <w:i/>
          <w:iCs/>
        </w:rPr>
        <w:t>is</w:t>
      </w:r>
      <w:r w:rsidR="00372A7E" w:rsidRPr="002C29D2">
        <w:rPr>
          <w:i/>
          <w:iCs/>
        </w:rPr>
        <w:t xml:space="preserve"> positively related to </w:t>
      </w:r>
      <w:r w:rsidR="00555308" w:rsidRPr="002C29D2">
        <w:rPr>
          <w:i/>
          <w:iCs/>
        </w:rPr>
        <w:t>healthcare practition</w:t>
      </w:r>
      <w:r w:rsidRPr="002C29D2">
        <w:rPr>
          <w:i/>
          <w:iCs/>
        </w:rPr>
        <w:t>ers</w:t>
      </w:r>
      <w:r w:rsidR="004717AE" w:rsidRPr="002C29D2">
        <w:rPr>
          <w:i/>
          <w:iCs/>
        </w:rPr>
        <w:t>’</w:t>
      </w:r>
      <w:r w:rsidRPr="002C29D2">
        <w:rPr>
          <w:i/>
          <w:iCs/>
        </w:rPr>
        <w:t xml:space="preserve"> (a) attitude</w:t>
      </w:r>
      <w:r w:rsidR="004717AE" w:rsidRPr="002C29D2">
        <w:rPr>
          <w:i/>
          <w:iCs/>
        </w:rPr>
        <w:t>s</w:t>
      </w:r>
      <w:r w:rsidRPr="002C29D2">
        <w:rPr>
          <w:i/>
          <w:iCs/>
        </w:rPr>
        <w:t xml:space="preserve"> toward AI, (b) satisfaction with AI, and (c) </w:t>
      </w:r>
      <w:r w:rsidR="0043615C" w:rsidRPr="002C29D2">
        <w:rPr>
          <w:i/>
          <w:iCs/>
        </w:rPr>
        <w:t xml:space="preserve">AI </w:t>
      </w:r>
      <w:r w:rsidRPr="002C29D2">
        <w:rPr>
          <w:i/>
          <w:iCs/>
        </w:rPr>
        <w:t>usage intention</w:t>
      </w:r>
      <w:r w:rsidR="00F641E3" w:rsidRPr="002C29D2">
        <w:rPr>
          <w:i/>
          <w:iCs/>
        </w:rPr>
        <w:t>s</w:t>
      </w:r>
      <w:r w:rsidRPr="002C29D2">
        <w:rPr>
          <w:i/>
          <w:iCs/>
        </w:rPr>
        <w:t>.</w:t>
      </w:r>
    </w:p>
    <w:p w14:paraId="3CE9BBEE" w14:textId="77777777" w:rsidR="00372A7E" w:rsidRPr="002C29D2" w:rsidRDefault="00372A7E" w:rsidP="00281BD8">
      <w:pPr>
        <w:spacing w:line="480" w:lineRule="auto"/>
        <w:jc w:val="both"/>
        <w:rPr>
          <w:i/>
          <w:iCs/>
        </w:rPr>
      </w:pPr>
      <w:r w:rsidRPr="002C29D2">
        <w:rPr>
          <w:i/>
          <w:iCs/>
          <w:lang w:eastAsia="zh-TW"/>
        </w:rPr>
        <w:t>3.</w:t>
      </w:r>
      <w:r w:rsidR="00B15DE3" w:rsidRPr="002C29D2">
        <w:rPr>
          <w:i/>
          <w:iCs/>
          <w:lang w:eastAsia="zh-TW"/>
        </w:rPr>
        <w:t>5</w:t>
      </w:r>
      <w:r w:rsidRPr="002C29D2">
        <w:rPr>
          <w:i/>
          <w:iCs/>
          <w:lang w:eastAsia="zh-TW"/>
        </w:rPr>
        <w:t xml:space="preserve">. </w:t>
      </w:r>
      <w:r w:rsidRPr="002C29D2">
        <w:rPr>
          <w:i/>
          <w:iCs/>
        </w:rPr>
        <w:t>Non-</w:t>
      </w:r>
      <w:r w:rsidR="00157BA4" w:rsidRPr="002C29D2">
        <w:rPr>
          <w:i/>
          <w:iCs/>
        </w:rPr>
        <w:t>m</w:t>
      </w:r>
      <w:r w:rsidRPr="002C29D2">
        <w:rPr>
          <w:i/>
          <w:iCs/>
        </w:rPr>
        <w:t xml:space="preserve">aleficence </w:t>
      </w:r>
    </w:p>
    <w:p w14:paraId="150E97BA" w14:textId="4D17C287" w:rsidR="002B1051" w:rsidRPr="002C29D2" w:rsidRDefault="00010C7B" w:rsidP="000225EA">
      <w:pPr>
        <w:spacing w:line="480" w:lineRule="auto"/>
        <w:ind w:firstLineChars="200" w:firstLine="480"/>
        <w:jc w:val="both"/>
      </w:pPr>
      <w:r w:rsidRPr="002C29D2">
        <w:lastRenderedPageBreak/>
        <w:t xml:space="preserve">Non-maleficence </w:t>
      </w:r>
      <w:r w:rsidR="00F16838" w:rsidRPr="002C29D2">
        <w:t xml:space="preserve">refers </w:t>
      </w:r>
      <w:r w:rsidR="000225EA" w:rsidRPr="002C29D2">
        <w:t xml:space="preserve">to </w:t>
      </w:r>
      <w:r w:rsidR="00F16838" w:rsidRPr="002C29D2">
        <w:t xml:space="preserve">the obligation </w:t>
      </w:r>
      <w:r w:rsidR="00F641E3" w:rsidRPr="002C29D2">
        <w:t xml:space="preserve">to not inflict </w:t>
      </w:r>
      <w:r w:rsidR="00F16838" w:rsidRPr="002C29D2">
        <w:t xml:space="preserve">harm intentionally </w:t>
      </w:r>
      <w:r w:rsidR="00F641E3" w:rsidRPr="002C29D2">
        <w:t xml:space="preserve">on </w:t>
      </w:r>
      <w:r w:rsidR="00F16838" w:rsidRPr="002C29D2">
        <w:t>others</w:t>
      </w:r>
      <w:r w:rsidR="000225EA" w:rsidRPr="002C29D2">
        <w:t xml:space="preserve"> </w:t>
      </w:r>
      <w:r w:rsidR="00AE3E76" w:rsidRPr="002C29D2">
        <w:t xml:space="preserve">(Floridi et al. 2018). </w:t>
      </w:r>
      <w:r w:rsidR="00372A7E" w:rsidRPr="002C29D2">
        <w:t xml:space="preserve">Consideration of non-maleficence </w:t>
      </w:r>
      <w:r w:rsidR="000225EA" w:rsidRPr="002C29D2">
        <w:t>associated with</w:t>
      </w:r>
      <w:r w:rsidR="00E6420F" w:rsidRPr="002C29D2">
        <w:t xml:space="preserve"> </w:t>
      </w:r>
      <w:r w:rsidR="00372A7E" w:rsidRPr="002C29D2">
        <w:t xml:space="preserve">AI </w:t>
      </w:r>
      <w:r w:rsidR="000225EA" w:rsidRPr="002C29D2">
        <w:t>technology</w:t>
      </w:r>
      <w:r w:rsidR="00372A7E" w:rsidRPr="002C29D2">
        <w:t xml:space="preserve"> focu</w:t>
      </w:r>
      <w:r w:rsidR="00E6420F" w:rsidRPr="002C29D2">
        <w:t>s</w:t>
      </w:r>
      <w:r w:rsidR="00372A7E" w:rsidRPr="002C29D2">
        <w:t xml:space="preserve">es on the avoidance of any potential harm to individuals or intentional misuse of </w:t>
      </w:r>
      <w:r w:rsidR="00F16838" w:rsidRPr="002C29D2">
        <w:t xml:space="preserve">personal </w:t>
      </w:r>
      <w:r w:rsidR="00372A7E" w:rsidRPr="002C29D2">
        <w:t xml:space="preserve">information </w:t>
      </w:r>
      <w:r w:rsidR="00372A7E" w:rsidRPr="002C29D2">
        <w:fldChar w:fldCharType="begin" w:fldLock="1"/>
      </w:r>
      <w:r w:rsidR="00830194" w:rsidRPr="002C29D2">
        <w:instrText>ADDIN CSL_CITATION {"citationItems":[{"id":"ITEM-1","itemData":{"author":[{"dropping-particle":"","family":"Jobin","given":"A.","non-dropping-particle":"","parse-names":false,"suffix":""},{"dropping-particle":"","family":"Lenca","given":"M.","non-dropping-particle":"","parse-names":false,"suffix":""},{"dropping-particle":"","family":"Vayena","given":"E.","non-dropping-particle":"","parse-names":false,"suffix":""}],"container-title":"Nature Machine Intelligence","id":"ITEM-1","issued":{"date-parts":[["2019"]]},"page":"389-399","title":"The global landscape of AI ethics guidelines","type":"article-journal","volume":"1"},"uris":["http://www.mendeley.com/documents/?uuid=984b4763-1176-4955-b042-f2c5886e5bdf"]}],"mendeley":{"formattedCitation":"(Jobin et al., 2019)","plainTextFormattedCitation":"(Jobin et al., 2019)","previouslyFormattedCitation":"(Jobin &lt;i&gt;et al.&lt;/i&gt;, 2019)"},"properties":{"noteIndex":0},"schema":"https://github.com/citation-style-language/schema/raw/master/csl-citation.json"}</w:instrText>
      </w:r>
      <w:r w:rsidR="00372A7E" w:rsidRPr="002C29D2">
        <w:fldChar w:fldCharType="separate"/>
      </w:r>
      <w:r w:rsidR="00372A7E" w:rsidRPr="002C29D2">
        <w:t>(Jobin et al. 2019)</w:t>
      </w:r>
      <w:r w:rsidR="00372A7E" w:rsidRPr="002C29D2">
        <w:fldChar w:fldCharType="end"/>
      </w:r>
      <w:r w:rsidR="00A63863" w:rsidRPr="002C29D2">
        <w:t xml:space="preserve">, </w:t>
      </w:r>
      <w:r w:rsidR="00F641E3" w:rsidRPr="002C29D2">
        <w:t xml:space="preserve">along with </w:t>
      </w:r>
      <w:r w:rsidR="00372A7E" w:rsidRPr="002C29D2">
        <w:t xml:space="preserve">the </w:t>
      </w:r>
      <w:r w:rsidR="00F641E3" w:rsidRPr="002C29D2">
        <w:t xml:space="preserve">assurance </w:t>
      </w:r>
      <w:r w:rsidR="00372A7E" w:rsidRPr="002C29D2">
        <w:t xml:space="preserve">of robust and secure algorithmic decisions </w:t>
      </w:r>
      <w:r w:rsidR="00372A7E" w:rsidRPr="002C29D2">
        <w:fldChar w:fldCharType="begin" w:fldLock="1"/>
      </w:r>
      <w:r w:rsidR="003A6D34" w:rsidRPr="002C29D2">
        <w:instrText>ADDIN CSL_CITATION {"citationItems":[{"id":"ITEM-1","itemData":{"author":[{"dropping-particle":"","family":"Morley","given":"J.","non-dropping-particle":"","parse-names":false,"suffix":""},{"dropping-particle":"","family":"Floridi","given":"L.","non-dropping-particle":"","parse-names":false,"suffix":""},{"dropping-particle":"","family":"Kinsey","given":"L.","non-dropping-particle":"","parse-names":false,"suffix":""},{"dropping-particle":"","family":"Elhalal","given":"A.","non-dropping-particle":"","parse-names":false,"suffix":""}],"container-title":"Science and Engineering Ethics","id":"ITEM-1","issued":{"date-parts":[["2019"]]},"page":"1-28","title":"From what to how: An initial review of publicly available AI ethics tools, methods and research to translate principles into practices","type":"article-journal"},"uris":["http://www.mendeley.com/documents/?uuid=7dbd56f7-f73f-4afe-b17e-51f7f0c60957"]}],"mendeley":{"formattedCitation":"(Morley et al., 2019)","manualFormatting":"(Morley et al., 2020)","plainTextFormattedCitation":"(Morley et al., 2019)","previouslyFormattedCitation":"(Morley &lt;i&gt;et al.&lt;/i&gt;, 2019)"},"properties":{"noteIndex":0},"schema":"https://github.com/citation-style-language/schema/raw/master/csl-citation.json"}</w:instrText>
      </w:r>
      <w:r w:rsidR="00372A7E" w:rsidRPr="002C29D2">
        <w:fldChar w:fldCharType="separate"/>
      </w:r>
      <w:r w:rsidR="00372A7E" w:rsidRPr="002C29D2">
        <w:t>(Morley et al. 20</w:t>
      </w:r>
      <w:r w:rsidR="003A6D34" w:rsidRPr="002C29D2">
        <w:t>20</w:t>
      </w:r>
      <w:r w:rsidR="00372A7E" w:rsidRPr="002C29D2">
        <w:t>)</w:t>
      </w:r>
      <w:r w:rsidR="00372A7E" w:rsidRPr="002C29D2">
        <w:fldChar w:fldCharType="end"/>
      </w:r>
      <w:r w:rsidR="00372A7E" w:rsidRPr="002C29D2">
        <w:t xml:space="preserve">. In </w:t>
      </w:r>
      <w:r w:rsidR="000225EA" w:rsidRPr="002C29D2">
        <w:t xml:space="preserve">the </w:t>
      </w:r>
      <w:r w:rsidR="00372A7E" w:rsidRPr="002C29D2">
        <w:t>healthcare</w:t>
      </w:r>
      <w:r w:rsidR="000225EA" w:rsidRPr="002C29D2">
        <w:t xml:space="preserve"> sector</w:t>
      </w:r>
      <w:r w:rsidR="00372A7E" w:rsidRPr="002C29D2">
        <w:t xml:space="preserve">, </w:t>
      </w:r>
      <w:r w:rsidR="00F641E3" w:rsidRPr="002C29D2">
        <w:t xml:space="preserve">this is </w:t>
      </w:r>
      <w:r w:rsidR="00067D4B" w:rsidRPr="002C29D2">
        <w:t>fitting</w:t>
      </w:r>
      <w:r w:rsidR="00F641E3" w:rsidRPr="002C29D2">
        <w:t xml:space="preserve"> for </w:t>
      </w:r>
      <w:r w:rsidR="00372A7E" w:rsidRPr="002C29D2">
        <w:t>AI solutions</w:t>
      </w:r>
      <w:r w:rsidR="00067D4B" w:rsidRPr="002C29D2">
        <w:t xml:space="preserve">; they should </w:t>
      </w:r>
      <w:r w:rsidR="00BC5494" w:rsidRPr="002C29D2">
        <w:t xml:space="preserve">be geared to </w:t>
      </w:r>
      <w:r w:rsidR="00067D4B" w:rsidRPr="002C29D2">
        <w:t>avert any</w:t>
      </w:r>
      <w:r w:rsidR="00372A7E" w:rsidRPr="002C29D2">
        <w:t xml:space="preserve"> </w:t>
      </w:r>
      <w:r w:rsidR="00067D4B" w:rsidRPr="002C29D2">
        <w:t xml:space="preserve">patient </w:t>
      </w:r>
      <w:r w:rsidR="00372A7E" w:rsidRPr="002C29D2">
        <w:t>harm</w:t>
      </w:r>
      <w:r w:rsidR="00067D4B" w:rsidRPr="002C29D2">
        <w:t xml:space="preserve"> or privacy breach, </w:t>
      </w:r>
      <w:r w:rsidR="00372A7E" w:rsidRPr="002C29D2">
        <w:t xml:space="preserve">and </w:t>
      </w:r>
      <w:r w:rsidR="00067D4B" w:rsidRPr="002C29D2">
        <w:t xml:space="preserve">rather </w:t>
      </w:r>
      <w:r w:rsidR="00BC5494" w:rsidRPr="002C29D2">
        <w:t>to as</w:t>
      </w:r>
      <w:r w:rsidR="00372A7E" w:rsidRPr="002C29D2">
        <w:t>sur</w:t>
      </w:r>
      <w:r w:rsidR="00BC5494" w:rsidRPr="002C29D2">
        <w:t>ing</w:t>
      </w:r>
      <w:r w:rsidR="00372A7E" w:rsidRPr="002C29D2">
        <w:t xml:space="preserve"> </w:t>
      </w:r>
      <w:r w:rsidR="00BC5494" w:rsidRPr="002C29D2">
        <w:t xml:space="preserve">positive </w:t>
      </w:r>
      <w:r w:rsidR="00372A7E" w:rsidRPr="002C29D2">
        <w:t xml:space="preserve">outcomes </w:t>
      </w:r>
      <w:r w:rsidR="00E6420F" w:rsidRPr="002C29D2">
        <w:t xml:space="preserve">for </w:t>
      </w:r>
      <w:r w:rsidR="00372A7E" w:rsidRPr="002C29D2">
        <w:t xml:space="preserve">their </w:t>
      </w:r>
      <w:r w:rsidR="00067D4B" w:rsidRPr="002C29D2">
        <w:t xml:space="preserve">treatment and </w:t>
      </w:r>
      <w:r w:rsidR="00372A7E" w:rsidRPr="002C29D2">
        <w:t xml:space="preserve">care </w:t>
      </w:r>
      <w:r w:rsidR="00372A7E" w:rsidRPr="002C29D2">
        <w:fldChar w:fldCharType="begin" w:fldLock="1"/>
      </w:r>
      <w:r w:rsidR="00830194" w:rsidRPr="002C29D2">
        <w:instrText>ADDIN CSL_CITATION {"citationItems":[{"id":"ITEM-1","itemData":{"author":[{"dropping-particle":"","family":"Padela","given":"A.I.","non-dropping-particle":"","parse-names":false,"suffix":""},{"dropping-particle":"","family":"Punekar","given":"I.R.","non-dropping-particle":"","parse-names":false,"suffix":""}],"container-title":"Academic Emergency Medicine","id":"ITEM-1","issue":"1","issued":{"date-parts":[["2009"]]},"page":"69-75","title":"Emergency medical practice: advancing cultural competence and reducing health care disparities","type":"article-journal","volume":"16"},"uris":["http://www.mendeley.com/documents/?uuid=75189df1-54a0-4760-91ff-6d59eb5b5a7e"]},{"id":"ITEM-2","itemData":{"author":[{"dropping-particle":"","family":"Currie","given":"Geoff","non-dropping-particle":"","parse-names":false,"suffix":""},{"dropping-particle":"","family":"Hawk","given":"K Elizabeth","non-dropping-particle":"","parse-names":false,"suffix":""},{"dropping-particle":"","family":"Rohren","given":"Eric M.","non-dropping-particle":"","parse-names":false,"suffix":""}],"container-title":"European Journal of Nuclear Medicine and Molecular Imaging","id":"ITEM-2","issued":{"date-parts":[["2020"]]},"page":"748-752","title":"Ethical principles for the application of artificial intelligence (AI) in nuclear medicine","type":"article-journal","volume":"47"},"uris":["http://www.mendeley.com/documents/?uuid=c752a7ee-c543-4d20-bb90-2f44947dbb9e"]}],"mendeley":{"formattedCitation":"(Currie et al., 2020; Padela &amp; Punekar, 2009)","plainTextFormattedCitation":"(Currie et al., 2020; Padela &amp; Punekar, 2009)","previouslyFormattedCitation":"(Padela and Punekar, 2009; Currie &lt;i&gt;et al.&lt;/i&gt;, 2020)"},"properties":{"noteIndex":0},"schema":"https://github.com/citation-style-language/schema/raw/master/csl-citation.json"}</w:instrText>
      </w:r>
      <w:r w:rsidR="00372A7E" w:rsidRPr="002C29D2">
        <w:fldChar w:fldCharType="separate"/>
      </w:r>
      <w:r w:rsidR="00830194" w:rsidRPr="002C29D2">
        <w:t>(Currie et al. 2020)</w:t>
      </w:r>
      <w:r w:rsidR="00372A7E" w:rsidRPr="002C29D2">
        <w:fldChar w:fldCharType="end"/>
      </w:r>
      <w:r w:rsidR="00372A7E" w:rsidRPr="002C29D2">
        <w:t xml:space="preserve">. According to </w:t>
      </w:r>
      <w:r w:rsidR="00372A7E" w:rsidRPr="002C29D2">
        <w:fldChar w:fldCharType="begin" w:fldLock="1"/>
      </w:r>
      <w:r w:rsidR="00830194" w:rsidRPr="002C29D2">
        <w:instrText>ADDIN CSL_CITATION {"citationItems":[{"id":"ITEM-1","itemData":{"author":[{"dropping-particle":"","family":"Roca","given":"Juan Carlos","non-dropping-particle":"","parse-names":false,"suffix":""},{"dropping-particle":"","family":"García","given":"Juan José","non-dropping-particle":"","parse-names":false,"suffix":""},{"dropping-particle":"","family":"la Vega","given":"Juan José","non-dropping-particle":"de","parse-names":false,"suffix":""}],"container-title":"Information Management &amp; Computer Security","id":"ITEM-1","issue":"2","issued":{"date-parts":[["2009"]]},"page":"96-113","title":"The importance of perceived trust, security and privacy in online trading systems","type":"article-journal","volume":"17"},"uris":["http://www.mendeley.com/documents/?uuid=0f3308b2-b6db-49a2-be52-4a72b748e84f"]}],"mendeley":{"formattedCitation":"(Roca et al., 2009)","manualFormatting":"Roca et al. (2009)","plainTextFormattedCitation":"(Roca et al., 2009)","previouslyFormattedCitation":"(Roca &lt;i&gt;et al.&lt;/i&gt;, 2009)"},"properties":{"noteIndex":0},"schema":"https://github.com/citation-style-language/schema/raw/master/csl-citation.json"}</w:instrText>
      </w:r>
      <w:r w:rsidR="00372A7E" w:rsidRPr="002C29D2">
        <w:fldChar w:fldCharType="separate"/>
      </w:r>
      <w:r w:rsidR="00372A7E" w:rsidRPr="002C29D2">
        <w:t>Roca et al. (2009)</w:t>
      </w:r>
      <w:r w:rsidR="00372A7E" w:rsidRPr="002C29D2">
        <w:fldChar w:fldCharType="end"/>
      </w:r>
      <w:r w:rsidR="00372A7E" w:rsidRPr="002C29D2">
        <w:t>, individuals’ perceptions of perceived technological security</w:t>
      </w:r>
      <w:r w:rsidR="000225EA" w:rsidRPr="002C29D2">
        <w:t xml:space="preserve"> influence</w:t>
      </w:r>
      <w:r w:rsidR="00372A7E" w:rsidRPr="002C29D2">
        <w:t xml:space="preserve"> their trust and </w:t>
      </w:r>
      <w:r w:rsidR="00A63863" w:rsidRPr="002C29D2">
        <w:t>behavio</w:t>
      </w:r>
      <w:r w:rsidR="00055D2F" w:rsidRPr="002C29D2">
        <w:t>u</w:t>
      </w:r>
      <w:r w:rsidR="00A63863" w:rsidRPr="002C29D2">
        <w:t>r</w:t>
      </w:r>
      <w:r w:rsidR="00A63863" w:rsidRPr="002C29D2">
        <w:rPr>
          <w:lang w:eastAsia="zh-TW"/>
        </w:rPr>
        <w:t>al</w:t>
      </w:r>
      <w:r w:rsidR="00372A7E" w:rsidRPr="002C29D2">
        <w:t xml:space="preserve"> intention</w:t>
      </w:r>
      <w:r w:rsidR="00BC5494" w:rsidRPr="002C29D2">
        <w:t>s</w:t>
      </w:r>
      <w:r w:rsidR="00372A7E" w:rsidRPr="002C29D2">
        <w:t xml:space="preserve"> towards such technology. </w:t>
      </w:r>
      <w:r w:rsidR="00F16838" w:rsidRPr="002C29D2">
        <w:t xml:space="preserve">As </w:t>
      </w:r>
      <w:r w:rsidR="00BC5494" w:rsidRPr="002C29D2">
        <w:t xml:space="preserve">patient </w:t>
      </w:r>
      <w:r w:rsidR="00F16838" w:rsidRPr="002C29D2">
        <w:t xml:space="preserve">information is highly sensitive, non-maleficence of AI </w:t>
      </w:r>
      <w:r w:rsidR="00BC5494" w:rsidRPr="002C29D2">
        <w:t xml:space="preserve">is </w:t>
      </w:r>
      <w:r w:rsidR="00F16838" w:rsidRPr="002C29D2">
        <w:t>specifically concern</w:t>
      </w:r>
      <w:r w:rsidR="00BC5494" w:rsidRPr="002C29D2">
        <w:t>ed with</w:t>
      </w:r>
      <w:r w:rsidR="00F16838" w:rsidRPr="002C29D2">
        <w:t xml:space="preserve"> individual privacy</w:t>
      </w:r>
      <w:r w:rsidR="00BC5494" w:rsidRPr="002C29D2">
        <w:t xml:space="preserve"> and</w:t>
      </w:r>
      <w:r w:rsidR="00F16838" w:rsidRPr="002C29D2">
        <w:t xml:space="preserve"> security</w:t>
      </w:r>
      <w:r w:rsidR="000225EA" w:rsidRPr="002C29D2">
        <w:t>,</w:t>
      </w:r>
      <w:r w:rsidR="00BC5494" w:rsidRPr="002C29D2">
        <w:t xml:space="preserve"> personal</w:t>
      </w:r>
      <w:r w:rsidR="00F16838" w:rsidRPr="002C29D2">
        <w:t xml:space="preserve"> safety, and </w:t>
      </w:r>
      <w:r w:rsidR="00BC5494" w:rsidRPr="002C29D2">
        <w:t xml:space="preserve">consistency in how </w:t>
      </w:r>
      <w:r w:rsidR="00F16838" w:rsidRPr="002C29D2">
        <w:t>AI systems perform ethically based on pre-de</w:t>
      </w:r>
      <w:r w:rsidR="000225EA" w:rsidRPr="002C29D2">
        <w:t>fined</w:t>
      </w:r>
      <w:r w:rsidR="00F16838" w:rsidRPr="002C29D2">
        <w:t xml:space="preserve"> principles (Floridi et al. 2018). </w:t>
      </w:r>
      <w:r w:rsidR="000225EA" w:rsidRPr="002C29D2">
        <w:t>Therefore</w:t>
      </w:r>
      <w:r w:rsidR="00372A7E" w:rsidRPr="002C29D2">
        <w:t xml:space="preserve">, </w:t>
      </w:r>
      <w:r w:rsidR="000225EA" w:rsidRPr="002C29D2">
        <w:t>we posit that satisfaction</w:t>
      </w:r>
      <w:r w:rsidR="00372A7E" w:rsidRPr="002C29D2">
        <w:t xml:space="preserve"> </w:t>
      </w:r>
      <w:r w:rsidR="00303B4D" w:rsidRPr="002C29D2">
        <w:t xml:space="preserve">with </w:t>
      </w:r>
      <w:r w:rsidR="00372A7E" w:rsidRPr="002C29D2">
        <w:t xml:space="preserve">perceived technological security </w:t>
      </w:r>
      <w:r w:rsidR="00F16838" w:rsidRPr="002C29D2">
        <w:t>related to</w:t>
      </w:r>
      <w:r w:rsidR="00372A7E" w:rsidRPr="002C29D2">
        <w:t xml:space="preserve"> non-maleficence of AI in the healthcare sector</w:t>
      </w:r>
      <w:r w:rsidR="00A63863" w:rsidRPr="002C29D2">
        <w:t xml:space="preserve"> </w:t>
      </w:r>
      <w:r w:rsidR="00F16838" w:rsidRPr="002C29D2">
        <w:t xml:space="preserve">would </w:t>
      </w:r>
      <w:r w:rsidR="000225EA" w:rsidRPr="002C29D2">
        <w:t>gene</w:t>
      </w:r>
      <w:r w:rsidR="00303B4D" w:rsidRPr="002C29D2">
        <w:t>r</w:t>
      </w:r>
      <w:r w:rsidR="000225EA" w:rsidRPr="002C29D2">
        <w:t>ate</w:t>
      </w:r>
      <w:r w:rsidR="00F16838" w:rsidRPr="002C29D2">
        <w:t xml:space="preserve"> positive</w:t>
      </w:r>
      <w:r w:rsidR="00A63863" w:rsidRPr="002C29D2">
        <w:t xml:space="preserve"> behavio</w:t>
      </w:r>
      <w:r w:rsidR="00F16838" w:rsidRPr="002C29D2">
        <w:t>u</w:t>
      </w:r>
      <w:r w:rsidR="00A63863" w:rsidRPr="002C29D2">
        <w:t xml:space="preserve">ral </w:t>
      </w:r>
      <w:r w:rsidR="000225EA" w:rsidRPr="002C29D2">
        <w:t>intentions from</w:t>
      </w:r>
      <w:r w:rsidR="00A63863" w:rsidRPr="002C29D2">
        <w:t xml:space="preserve"> healthcare practitioners</w:t>
      </w:r>
      <w:r w:rsidR="00303B4D" w:rsidRPr="002C29D2">
        <w:t xml:space="preserve">; </w:t>
      </w:r>
      <w:r w:rsidR="00372A7E" w:rsidRPr="002C29D2">
        <w:t>we propose the following</w:t>
      </w:r>
      <w:r w:rsidR="000225EA" w:rsidRPr="002C29D2">
        <w:t>:</w:t>
      </w:r>
    </w:p>
    <w:p w14:paraId="786D72EC" w14:textId="7A252F1E" w:rsidR="00372A7E" w:rsidRPr="002C29D2" w:rsidRDefault="002B1051" w:rsidP="002B1051">
      <w:pPr>
        <w:spacing w:line="480" w:lineRule="auto"/>
        <w:jc w:val="both"/>
        <w:rPr>
          <w:i/>
          <w:iCs/>
        </w:rPr>
      </w:pPr>
      <w:r w:rsidRPr="002C29D2">
        <w:rPr>
          <w:b/>
          <w:i/>
          <w:iCs/>
        </w:rPr>
        <w:t>Hyp</w:t>
      </w:r>
      <w:r w:rsidR="00F16838" w:rsidRPr="002C29D2">
        <w:rPr>
          <w:b/>
          <w:i/>
          <w:iCs/>
        </w:rPr>
        <w:t>o</w:t>
      </w:r>
      <w:r w:rsidRPr="002C29D2">
        <w:rPr>
          <w:b/>
          <w:i/>
          <w:iCs/>
        </w:rPr>
        <w:t>thesis 5 (H5)</w:t>
      </w:r>
      <w:r w:rsidR="00372A7E" w:rsidRPr="002C29D2">
        <w:rPr>
          <w:i/>
          <w:iCs/>
        </w:rPr>
        <w:t xml:space="preserve">: Non-maleficence of AI </w:t>
      </w:r>
      <w:r w:rsidR="00F16838" w:rsidRPr="002C29D2">
        <w:rPr>
          <w:i/>
          <w:iCs/>
        </w:rPr>
        <w:t>is</w:t>
      </w:r>
      <w:r w:rsidR="00372A7E" w:rsidRPr="002C29D2">
        <w:rPr>
          <w:i/>
          <w:iCs/>
        </w:rPr>
        <w:t xml:space="preserve"> positively related to</w:t>
      </w:r>
      <w:r w:rsidR="00157BA4" w:rsidRPr="002C29D2">
        <w:rPr>
          <w:i/>
          <w:iCs/>
        </w:rPr>
        <w:t xml:space="preserve"> </w:t>
      </w:r>
      <w:r w:rsidR="00555308" w:rsidRPr="002C29D2">
        <w:rPr>
          <w:i/>
          <w:iCs/>
        </w:rPr>
        <w:t>healthcare practition</w:t>
      </w:r>
      <w:r w:rsidRPr="002C29D2">
        <w:rPr>
          <w:i/>
          <w:iCs/>
        </w:rPr>
        <w:t>ers</w:t>
      </w:r>
      <w:r w:rsidR="009309B5" w:rsidRPr="002C29D2">
        <w:rPr>
          <w:i/>
          <w:iCs/>
        </w:rPr>
        <w:t>’</w:t>
      </w:r>
      <w:r w:rsidRPr="002C29D2">
        <w:rPr>
          <w:i/>
          <w:iCs/>
        </w:rPr>
        <w:t>(a) attitude</w:t>
      </w:r>
      <w:r w:rsidR="009309B5" w:rsidRPr="002C29D2">
        <w:rPr>
          <w:i/>
          <w:iCs/>
        </w:rPr>
        <w:t>s</w:t>
      </w:r>
      <w:r w:rsidRPr="002C29D2">
        <w:rPr>
          <w:i/>
          <w:iCs/>
        </w:rPr>
        <w:t xml:space="preserve"> toward AI, (b) satisfaction with AI, and (c) </w:t>
      </w:r>
      <w:r w:rsidR="0043615C" w:rsidRPr="002C29D2">
        <w:rPr>
          <w:i/>
          <w:iCs/>
        </w:rPr>
        <w:t xml:space="preserve">AI </w:t>
      </w:r>
      <w:r w:rsidRPr="002C29D2">
        <w:rPr>
          <w:i/>
          <w:iCs/>
        </w:rPr>
        <w:t>usage intention</w:t>
      </w:r>
      <w:r w:rsidR="00303B4D" w:rsidRPr="002C29D2">
        <w:rPr>
          <w:i/>
          <w:iCs/>
        </w:rPr>
        <w:t>s</w:t>
      </w:r>
      <w:r w:rsidRPr="002C29D2">
        <w:rPr>
          <w:i/>
          <w:iCs/>
        </w:rPr>
        <w:t>.</w:t>
      </w:r>
    </w:p>
    <w:p w14:paraId="19DEB475" w14:textId="77777777" w:rsidR="00DA4902" w:rsidRPr="002C29D2" w:rsidRDefault="00DA4902" w:rsidP="002B1051">
      <w:pPr>
        <w:spacing w:line="480" w:lineRule="auto"/>
        <w:jc w:val="both"/>
        <w:rPr>
          <w:bCs/>
          <w:i/>
          <w:lang w:eastAsia="zh-TW"/>
        </w:rPr>
      </w:pPr>
      <w:r w:rsidRPr="002C29D2">
        <w:rPr>
          <w:bCs/>
          <w:i/>
          <w:lang w:eastAsia="zh-TW"/>
        </w:rPr>
        <w:t>3.</w:t>
      </w:r>
      <w:r w:rsidR="00B15DE3" w:rsidRPr="002C29D2">
        <w:rPr>
          <w:bCs/>
          <w:i/>
          <w:lang w:eastAsia="zh-TW"/>
        </w:rPr>
        <w:t>6</w:t>
      </w:r>
      <w:r w:rsidRPr="002C29D2">
        <w:rPr>
          <w:bCs/>
          <w:i/>
          <w:lang w:eastAsia="zh-TW"/>
        </w:rPr>
        <w:t>. The role of employee engagement</w:t>
      </w:r>
    </w:p>
    <w:p w14:paraId="7BEB0C9B" w14:textId="50DE1A74" w:rsidR="0042782B" w:rsidRPr="002C29D2" w:rsidRDefault="00157BA4" w:rsidP="008C63FB">
      <w:pPr>
        <w:spacing w:line="480" w:lineRule="auto"/>
        <w:jc w:val="both"/>
        <w:rPr>
          <w:iCs/>
        </w:rPr>
      </w:pPr>
      <w:r w:rsidRPr="002C29D2">
        <w:rPr>
          <w:iCs/>
          <w:lang w:eastAsia="zh-TW"/>
        </w:rPr>
        <w:tab/>
      </w:r>
      <w:r w:rsidR="008C63FB" w:rsidRPr="002C29D2">
        <w:rPr>
          <w:iCs/>
          <w:lang w:eastAsia="zh-TW"/>
        </w:rPr>
        <w:t>E</w:t>
      </w:r>
      <w:r w:rsidR="00430AA3" w:rsidRPr="002C29D2">
        <w:rPr>
          <w:iCs/>
          <w:lang w:eastAsia="zh-TW"/>
        </w:rPr>
        <w:t xml:space="preserve">mployee engagement is viewed as </w:t>
      </w:r>
      <w:r w:rsidR="00430AA3" w:rsidRPr="002C29D2">
        <w:rPr>
          <w:lang w:eastAsia="zh-TW"/>
        </w:rPr>
        <w:t>personal</w:t>
      </w:r>
      <w:r w:rsidR="00430AA3" w:rsidRPr="002C29D2">
        <w:rPr>
          <w:iCs/>
          <w:lang w:eastAsia="zh-TW"/>
        </w:rPr>
        <w:t xml:space="preserve"> engagement</w:t>
      </w:r>
      <w:r w:rsidR="0014467A" w:rsidRPr="002C29D2">
        <w:rPr>
          <w:iCs/>
          <w:lang w:eastAsia="zh-TW"/>
        </w:rPr>
        <w:t>. I</w:t>
      </w:r>
      <w:r w:rsidR="008C63FB" w:rsidRPr="002C29D2">
        <w:rPr>
          <w:iCs/>
          <w:lang w:eastAsia="zh-TW"/>
        </w:rPr>
        <w:t>n particular,</w:t>
      </w:r>
      <w:r w:rsidR="00430AA3" w:rsidRPr="002C29D2">
        <w:rPr>
          <w:iCs/>
          <w:lang w:eastAsia="zh-TW"/>
        </w:rPr>
        <w:t xml:space="preserve"> Kahn (1990</w:t>
      </w:r>
      <w:r w:rsidR="0014467A" w:rsidRPr="002C29D2">
        <w:rPr>
          <w:iCs/>
          <w:lang w:eastAsia="zh-TW"/>
        </w:rPr>
        <w:t>,</w:t>
      </w:r>
      <w:r w:rsidR="008777E1" w:rsidRPr="002C29D2">
        <w:rPr>
          <w:iCs/>
          <w:lang w:eastAsia="zh-TW"/>
        </w:rPr>
        <w:t xml:space="preserve"> p. </w:t>
      </w:r>
      <w:r w:rsidRPr="002C29D2">
        <w:rPr>
          <w:iCs/>
          <w:lang w:eastAsia="zh-TW"/>
        </w:rPr>
        <w:t>694</w:t>
      </w:r>
      <w:r w:rsidR="00430AA3" w:rsidRPr="002C29D2">
        <w:rPr>
          <w:iCs/>
          <w:lang w:eastAsia="zh-TW"/>
        </w:rPr>
        <w:t>) define</w:t>
      </w:r>
      <w:r w:rsidR="0077306A" w:rsidRPr="002C29D2">
        <w:rPr>
          <w:iCs/>
          <w:lang w:eastAsia="zh-TW"/>
        </w:rPr>
        <w:t xml:space="preserve">s </w:t>
      </w:r>
      <w:r w:rsidR="00430AA3" w:rsidRPr="002C29D2">
        <w:rPr>
          <w:iCs/>
          <w:lang w:eastAsia="zh-TW"/>
        </w:rPr>
        <w:t>it as the “harnessing of organi</w:t>
      </w:r>
      <w:r w:rsidR="00F16838" w:rsidRPr="002C29D2">
        <w:rPr>
          <w:iCs/>
          <w:lang w:eastAsia="zh-TW"/>
        </w:rPr>
        <w:t>s</w:t>
      </w:r>
      <w:r w:rsidR="00430AA3" w:rsidRPr="002C29D2">
        <w:rPr>
          <w:iCs/>
          <w:lang w:eastAsia="zh-TW"/>
        </w:rPr>
        <w:t>ation members</w:t>
      </w:r>
      <w:r w:rsidR="009E4C75" w:rsidRPr="002C29D2">
        <w:rPr>
          <w:iCs/>
          <w:lang w:eastAsia="zh-TW"/>
        </w:rPr>
        <w:t>’</w:t>
      </w:r>
      <w:r w:rsidR="00430AA3" w:rsidRPr="002C29D2">
        <w:rPr>
          <w:iCs/>
          <w:lang w:eastAsia="zh-TW"/>
        </w:rPr>
        <w:t xml:space="preserve"> selves to their work roles; in engagement</w:t>
      </w:r>
      <w:r w:rsidR="00F16838" w:rsidRPr="002C29D2">
        <w:rPr>
          <w:iCs/>
          <w:lang w:eastAsia="zh-TW"/>
        </w:rPr>
        <w:t xml:space="preserve">, </w:t>
      </w:r>
      <w:r w:rsidR="00430AA3" w:rsidRPr="002C29D2">
        <w:rPr>
          <w:iCs/>
          <w:lang w:eastAsia="zh-TW"/>
        </w:rPr>
        <w:t>people employ and express themselves physically, cognitively</w:t>
      </w:r>
      <w:r w:rsidR="0077306A" w:rsidRPr="002C29D2">
        <w:rPr>
          <w:iCs/>
          <w:lang w:eastAsia="zh-TW"/>
        </w:rPr>
        <w:t>,</w:t>
      </w:r>
      <w:r w:rsidR="00430AA3" w:rsidRPr="002C29D2">
        <w:rPr>
          <w:iCs/>
          <w:lang w:eastAsia="zh-TW"/>
        </w:rPr>
        <w:t xml:space="preserve"> </w:t>
      </w:r>
      <w:r w:rsidR="00F16838" w:rsidRPr="002C29D2">
        <w:rPr>
          <w:iCs/>
          <w:lang w:eastAsia="zh-TW"/>
        </w:rPr>
        <w:t xml:space="preserve">or </w:t>
      </w:r>
      <w:r w:rsidR="00430AA3" w:rsidRPr="002C29D2">
        <w:rPr>
          <w:iCs/>
          <w:lang w:eastAsia="zh-TW"/>
        </w:rPr>
        <w:t>emotionally</w:t>
      </w:r>
      <w:r w:rsidR="00F16838" w:rsidRPr="002C29D2">
        <w:rPr>
          <w:iCs/>
          <w:lang w:eastAsia="zh-TW"/>
        </w:rPr>
        <w:t xml:space="preserve"> during role performances</w:t>
      </w:r>
      <w:r w:rsidR="00430AA3" w:rsidRPr="002C29D2">
        <w:rPr>
          <w:iCs/>
          <w:lang w:eastAsia="zh-TW"/>
        </w:rPr>
        <w:t>”</w:t>
      </w:r>
      <w:r w:rsidRPr="002C29D2">
        <w:rPr>
          <w:iCs/>
          <w:lang w:eastAsia="zh-TW"/>
        </w:rPr>
        <w:t xml:space="preserve">. </w:t>
      </w:r>
      <w:r w:rsidR="0077306A" w:rsidRPr="002C29D2">
        <w:rPr>
          <w:iCs/>
          <w:lang w:eastAsia="zh-TW"/>
        </w:rPr>
        <w:t>When</w:t>
      </w:r>
      <w:r w:rsidR="00430AA3" w:rsidRPr="002C29D2">
        <w:rPr>
          <w:iCs/>
          <w:lang w:eastAsia="zh-TW"/>
        </w:rPr>
        <w:t xml:space="preserve"> an organi</w:t>
      </w:r>
      <w:r w:rsidR="00F16838" w:rsidRPr="002C29D2">
        <w:rPr>
          <w:iCs/>
          <w:lang w:eastAsia="zh-TW"/>
        </w:rPr>
        <w:t>s</w:t>
      </w:r>
      <w:r w:rsidR="00430AA3" w:rsidRPr="002C29D2">
        <w:rPr>
          <w:iCs/>
          <w:lang w:eastAsia="zh-TW"/>
        </w:rPr>
        <w:t>ation undergoes technical changes</w:t>
      </w:r>
      <w:r w:rsidR="009E4C75" w:rsidRPr="002C29D2">
        <w:rPr>
          <w:iCs/>
          <w:lang w:eastAsia="zh-TW"/>
        </w:rPr>
        <w:t xml:space="preserve">, like </w:t>
      </w:r>
      <w:r w:rsidR="00430AA3" w:rsidRPr="002C29D2">
        <w:rPr>
          <w:iCs/>
          <w:lang w:eastAsia="zh-TW"/>
        </w:rPr>
        <w:t>adopti</w:t>
      </w:r>
      <w:r w:rsidR="009E4C75" w:rsidRPr="002C29D2">
        <w:rPr>
          <w:iCs/>
          <w:lang w:eastAsia="zh-TW"/>
        </w:rPr>
        <w:t>ng</w:t>
      </w:r>
      <w:r w:rsidRPr="002C29D2">
        <w:rPr>
          <w:iCs/>
          <w:lang w:eastAsia="zh-TW"/>
        </w:rPr>
        <w:t xml:space="preserve"> </w:t>
      </w:r>
      <w:r w:rsidR="00430AA3" w:rsidRPr="002C29D2">
        <w:rPr>
          <w:iCs/>
          <w:lang w:eastAsia="zh-TW"/>
        </w:rPr>
        <w:t>a</w:t>
      </w:r>
      <w:r w:rsidR="009E4C75" w:rsidRPr="002C29D2">
        <w:rPr>
          <w:iCs/>
          <w:lang w:eastAsia="zh-TW"/>
        </w:rPr>
        <w:t xml:space="preserve">n </w:t>
      </w:r>
      <w:r w:rsidR="00430AA3" w:rsidRPr="002C29D2">
        <w:rPr>
          <w:iCs/>
          <w:lang w:eastAsia="zh-TW"/>
        </w:rPr>
        <w:t>innovation or new technology, employees</w:t>
      </w:r>
      <w:r w:rsidR="008C63FB" w:rsidRPr="002C29D2">
        <w:rPr>
          <w:iCs/>
          <w:lang w:eastAsia="zh-TW"/>
        </w:rPr>
        <w:t xml:space="preserve">’ </w:t>
      </w:r>
      <w:r w:rsidR="00430AA3" w:rsidRPr="002C29D2">
        <w:rPr>
          <w:iCs/>
          <w:lang w:eastAsia="zh-TW"/>
        </w:rPr>
        <w:t>accep</w:t>
      </w:r>
      <w:r w:rsidR="008C63FB" w:rsidRPr="002C29D2">
        <w:rPr>
          <w:iCs/>
          <w:lang w:eastAsia="zh-TW"/>
        </w:rPr>
        <w:t>tance</w:t>
      </w:r>
      <w:r w:rsidR="00430AA3" w:rsidRPr="002C29D2">
        <w:rPr>
          <w:iCs/>
          <w:lang w:eastAsia="zh-TW"/>
        </w:rPr>
        <w:t xml:space="preserve"> </w:t>
      </w:r>
      <w:r w:rsidR="008C63FB" w:rsidRPr="002C29D2">
        <w:rPr>
          <w:iCs/>
          <w:lang w:eastAsia="zh-TW"/>
        </w:rPr>
        <w:t xml:space="preserve">of </w:t>
      </w:r>
      <w:r w:rsidR="00430AA3" w:rsidRPr="002C29D2">
        <w:rPr>
          <w:iCs/>
          <w:lang w:eastAsia="zh-TW"/>
        </w:rPr>
        <w:t>or resis</w:t>
      </w:r>
      <w:r w:rsidR="008C63FB" w:rsidRPr="002C29D2">
        <w:rPr>
          <w:iCs/>
          <w:lang w:eastAsia="zh-TW"/>
        </w:rPr>
        <w:t xml:space="preserve">tance to </w:t>
      </w:r>
      <w:r w:rsidR="00430AA3" w:rsidRPr="002C29D2">
        <w:rPr>
          <w:iCs/>
          <w:lang w:eastAsia="zh-TW"/>
        </w:rPr>
        <w:t>these change</w:t>
      </w:r>
      <w:r w:rsidR="008C63FB" w:rsidRPr="002C29D2">
        <w:rPr>
          <w:iCs/>
          <w:lang w:eastAsia="zh-TW"/>
        </w:rPr>
        <w:t xml:space="preserve">s will </w:t>
      </w:r>
      <w:r w:rsidR="00430AA3" w:rsidRPr="002C29D2">
        <w:rPr>
          <w:iCs/>
          <w:lang w:eastAsia="zh-TW"/>
        </w:rPr>
        <w:t xml:space="preserve">depend on </w:t>
      </w:r>
      <w:r w:rsidR="008C63FB" w:rsidRPr="002C29D2">
        <w:rPr>
          <w:iCs/>
          <w:lang w:eastAsia="zh-TW"/>
        </w:rPr>
        <w:t>their</w:t>
      </w:r>
      <w:r w:rsidR="00430AA3" w:rsidRPr="002C29D2">
        <w:rPr>
          <w:iCs/>
          <w:lang w:eastAsia="zh-TW"/>
        </w:rPr>
        <w:t xml:space="preserve"> level of engagement (Braganza et al. 2020; Brock </w:t>
      </w:r>
      <w:r w:rsidRPr="002C29D2">
        <w:rPr>
          <w:iCs/>
          <w:lang w:eastAsia="zh-TW"/>
        </w:rPr>
        <w:t xml:space="preserve">and </w:t>
      </w:r>
      <w:r w:rsidR="00F16838" w:rsidRPr="002C29D2">
        <w:rPr>
          <w:iCs/>
          <w:lang w:eastAsia="zh-TW"/>
        </w:rPr>
        <w:t>v</w:t>
      </w:r>
      <w:r w:rsidR="00430AA3" w:rsidRPr="002C29D2">
        <w:rPr>
          <w:iCs/>
          <w:lang w:eastAsia="zh-TW"/>
        </w:rPr>
        <w:t>on Wangenheim 2019).</w:t>
      </w:r>
      <w:r w:rsidR="001D670F" w:rsidRPr="002C29D2">
        <w:rPr>
          <w:iCs/>
          <w:lang w:eastAsia="zh-TW"/>
        </w:rPr>
        <w:t xml:space="preserve"> </w:t>
      </w:r>
      <w:r w:rsidR="008C63FB" w:rsidRPr="002C29D2">
        <w:rPr>
          <w:iCs/>
          <w:lang w:eastAsia="zh-TW"/>
        </w:rPr>
        <w:t>Brock and von Wangenheim (2019) contend that involving highly engaged employees is key to successful AI implementation.</w:t>
      </w:r>
      <w:r w:rsidR="008C63FB" w:rsidRPr="002C29D2">
        <w:rPr>
          <w:iCs/>
        </w:rPr>
        <w:t xml:space="preserve"> </w:t>
      </w:r>
      <w:r w:rsidR="00F16838" w:rsidRPr="002C29D2">
        <w:rPr>
          <w:iCs/>
          <w:lang w:eastAsia="zh-TW"/>
        </w:rPr>
        <w:t xml:space="preserve">In </w:t>
      </w:r>
      <w:r w:rsidR="008C63FB" w:rsidRPr="002C29D2">
        <w:rPr>
          <w:iCs/>
          <w:lang w:eastAsia="zh-TW"/>
        </w:rPr>
        <w:t xml:space="preserve">the healthcare </w:t>
      </w:r>
      <w:r w:rsidR="00F16838" w:rsidRPr="002C29D2">
        <w:rPr>
          <w:iCs/>
          <w:lang w:eastAsia="zh-TW"/>
        </w:rPr>
        <w:t xml:space="preserve">context, we define </w:t>
      </w:r>
      <w:r w:rsidR="008C63FB" w:rsidRPr="002C29D2">
        <w:rPr>
          <w:iCs/>
          <w:lang w:eastAsia="zh-TW"/>
        </w:rPr>
        <w:t xml:space="preserve">employee </w:t>
      </w:r>
      <w:r w:rsidR="00F16838" w:rsidRPr="002C29D2">
        <w:rPr>
          <w:iCs/>
          <w:lang w:eastAsia="zh-TW"/>
        </w:rPr>
        <w:t xml:space="preserve">engagement </w:t>
      </w:r>
      <w:r w:rsidR="00F16838" w:rsidRPr="002C29D2">
        <w:rPr>
          <w:iCs/>
          <w:lang w:eastAsia="zh-TW"/>
        </w:rPr>
        <w:lastRenderedPageBreak/>
        <w:t xml:space="preserve">with AI as the degree to which practitioners </w:t>
      </w:r>
      <w:r w:rsidR="00F16838" w:rsidRPr="002C29D2">
        <w:rPr>
          <w:iCs/>
        </w:rPr>
        <w:t>are passi</w:t>
      </w:r>
      <w:r w:rsidR="0014467A" w:rsidRPr="002C29D2">
        <w:rPr>
          <w:iCs/>
        </w:rPr>
        <w:t>o</w:t>
      </w:r>
      <w:r w:rsidR="00F16838" w:rsidRPr="002C29D2">
        <w:rPr>
          <w:iCs/>
        </w:rPr>
        <w:t>nate about AI implementation</w:t>
      </w:r>
      <w:r w:rsidR="008C63FB" w:rsidRPr="002C29D2">
        <w:rPr>
          <w:iCs/>
        </w:rPr>
        <w:t xml:space="preserve"> </w:t>
      </w:r>
      <w:r w:rsidR="009E4C75" w:rsidRPr="002C29D2">
        <w:rPr>
          <w:iCs/>
        </w:rPr>
        <w:t xml:space="preserve">within </w:t>
      </w:r>
      <w:r w:rsidR="008C63FB" w:rsidRPr="002C29D2">
        <w:rPr>
          <w:iCs/>
        </w:rPr>
        <w:t>the</w:t>
      </w:r>
      <w:r w:rsidR="009E4C75" w:rsidRPr="002C29D2">
        <w:rPr>
          <w:iCs/>
        </w:rPr>
        <w:t>ir</w:t>
      </w:r>
      <w:r w:rsidR="008C63FB" w:rsidRPr="002C29D2">
        <w:rPr>
          <w:iCs/>
        </w:rPr>
        <w:t xml:space="preserve"> healthcare systems</w:t>
      </w:r>
      <w:r w:rsidR="00F16838" w:rsidRPr="002C29D2">
        <w:rPr>
          <w:iCs/>
        </w:rPr>
        <w:t xml:space="preserve">. </w:t>
      </w:r>
      <w:r w:rsidR="008C63FB" w:rsidRPr="002C29D2">
        <w:rPr>
          <w:iCs/>
          <w:lang w:eastAsia="zh-TW"/>
        </w:rPr>
        <w:t>The</w:t>
      </w:r>
      <w:r w:rsidR="006061D7" w:rsidRPr="002C29D2">
        <w:rPr>
          <w:iCs/>
          <w:lang w:eastAsia="zh-TW"/>
        </w:rPr>
        <w:t xml:space="preserve"> level of e</w:t>
      </w:r>
      <w:r w:rsidR="006061D7" w:rsidRPr="002C29D2">
        <w:rPr>
          <w:iCs/>
        </w:rPr>
        <w:t>mployee</w:t>
      </w:r>
      <w:r w:rsidR="006061D7" w:rsidRPr="002C29D2">
        <w:rPr>
          <w:iCs/>
          <w:lang w:eastAsia="zh-TW"/>
        </w:rPr>
        <w:t xml:space="preserve"> </w:t>
      </w:r>
      <w:r w:rsidR="006061D7" w:rsidRPr="002C29D2">
        <w:rPr>
          <w:iCs/>
        </w:rPr>
        <w:t>engagement depend</w:t>
      </w:r>
      <w:r w:rsidR="006061D7" w:rsidRPr="002C29D2">
        <w:rPr>
          <w:iCs/>
          <w:lang w:eastAsia="zh-TW"/>
        </w:rPr>
        <w:t>s</w:t>
      </w:r>
      <w:r w:rsidR="006061D7" w:rsidRPr="002C29D2">
        <w:rPr>
          <w:iCs/>
        </w:rPr>
        <w:t xml:space="preserve"> on the</w:t>
      </w:r>
      <w:r w:rsidR="00F16838" w:rsidRPr="002C29D2">
        <w:rPr>
          <w:iCs/>
        </w:rPr>
        <w:t xml:space="preserve"> benefits they enjoy from</w:t>
      </w:r>
      <w:r w:rsidR="006061D7" w:rsidRPr="002C29D2">
        <w:rPr>
          <w:iCs/>
        </w:rPr>
        <w:t xml:space="preserve"> </w:t>
      </w:r>
      <w:r w:rsidR="006061D7" w:rsidRPr="002C29D2">
        <w:rPr>
          <w:iCs/>
          <w:lang w:eastAsia="zh-TW"/>
        </w:rPr>
        <w:t>organi</w:t>
      </w:r>
      <w:r w:rsidR="00F16838" w:rsidRPr="002C29D2">
        <w:rPr>
          <w:iCs/>
          <w:lang w:eastAsia="zh-TW"/>
        </w:rPr>
        <w:t>s</w:t>
      </w:r>
      <w:r w:rsidR="006061D7" w:rsidRPr="002C29D2">
        <w:rPr>
          <w:iCs/>
          <w:lang w:eastAsia="zh-TW"/>
        </w:rPr>
        <w:t xml:space="preserve">ational </w:t>
      </w:r>
      <w:r w:rsidR="006061D7" w:rsidRPr="002C29D2">
        <w:rPr>
          <w:iCs/>
        </w:rPr>
        <w:t>resources (Saks 2006)</w:t>
      </w:r>
      <w:r w:rsidR="009E4C75" w:rsidRPr="002C29D2">
        <w:rPr>
          <w:iCs/>
        </w:rPr>
        <w:t xml:space="preserve">, which </w:t>
      </w:r>
      <w:r w:rsidR="006061D7" w:rsidRPr="002C29D2">
        <w:rPr>
          <w:iCs/>
        </w:rPr>
        <w:t>include information</w:t>
      </w:r>
      <w:r w:rsidR="009B4C54" w:rsidRPr="002C29D2">
        <w:rPr>
          <w:iCs/>
          <w:lang w:eastAsia="zh-TW"/>
        </w:rPr>
        <w:t xml:space="preserve"> (or </w:t>
      </w:r>
      <w:r w:rsidR="006061D7" w:rsidRPr="002C29D2">
        <w:rPr>
          <w:iCs/>
          <w:lang w:eastAsia="zh-TW"/>
        </w:rPr>
        <w:t>signal</w:t>
      </w:r>
      <w:r w:rsidR="009B4C54" w:rsidRPr="002C29D2">
        <w:rPr>
          <w:iCs/>
          <w:lang w:eastAsia="zh-TW"/>
        </w:rPr>
        <w:t>s)</w:t>
      </w:r>
      <w:r w:rsidR="006061D7" w:rsidRPr="002C29D2">
        <w:rPr>
          <w:iCs/>
          <w:lang w:eastAsia="zh-TW"/>
        </w:rPr>
        <w:t xml:space="preserve"> </w:t>
      </w:r>
      <w:r w:rsidR="006061D7" w:rsidRPr="002C29D2">
        <w:rPr>
          <w:iCs/>
        </w:rPr>
        <w:t xml:space="preserve">pertaining to their </w:t>
      </w:r>
      <w:r w:rsidR="006061D7" w:rsidRPr="002C29D2">
        <w:rPr>
          <w:iCs/>
          <w:lang w:eastAsia="zh-TW"/>
        </w:rPr>
        <w:t>tasks</w:t>
      </w:r>
      <w:r w:rsidR="009B4C54" w:rsidRPr="002C29D2">
        <w:rPr>
          <w:iCs/>
          <w:lang w:eastAsia="zh-TW"/>
        </w:rPr>
        <w:t xml:space="preserve"> so that </w:t>
      </w:r>
      <w:r w:rsidR="006061D7" w:rsidRPr="002C29D2">
        <w:rPr>
          <w:iCs/>
        </w:rPr>
        <w:t xml:space="preserve">they know what is expected </w:t>
      </w:r>
      <w:r w:rsidRPr="002C29D2">
        <w:rPr>
          <w:iCs/>
        </w:rPr>
        <w:t xml:space="preserve">of them </w:t>
      </w:r>
      <w:r w:rsidR="006061D7" w:rsidRPr="002C29D2">
        <w:rPr>
          <w:iCs/>
        </w:rPr>
        <w:t xml:space="preserve">and </w:t>
      </w:r>
      <w:r w:rsidR="008C63FB" w:rsidRPr="002C29D2">
        <w:rPr>
          <w:iCs/>
        </w:rPr>
        <w:t xml:space="preserve">how to </w:t>
      </w:r>
      <w:r w:rsidR="009B4C54" w:rsidRPr="002C29D2">
        <w:rPr>
          <w:iCs/>
        </w:rPr>
        <w:t>succeed</w:t>
      </w:r>
      <w:r w:rsidR="006061D7" w:rsidRPr="002C29D2">
        <w:rPr>
          <w:iCs/>
        </w:rPr>
        <w:t xml:space="preserve"> (Harter et</w:t>
      </w:r>
      <w:r w:rsidR="006061D7" w:rsidRPr="002C29D2">
        <w:rPr>
          <w:iCs/>
          <w:lang w:eastAsia="zh-TW"/>
        </w:rPr>
        <w:t xml:space="preserve"> </w:t>
      </w:r>
      <w:r w:rsidR="006061D7" w:rsidRPr="002C29D2">
        <w:rPr>
          <w:iCs/>
        </w:rPr>
        <w:t>al</w:t>
      </w:r>
      <w:r w:rsidR="000A4B66" w:rsidRPr="002C29D2">
        <w:rPr>
          <w:iCs/>
        </w:rPr>
        <w:t>.</w:t>
      </w:r>
      <w:r w:rsidR="006061D7" w:rsidRPr="002C29D2">
        <w:rPr>
          <w:iCs/>
        </w:rPr>
        <w:t xml:space="preserve"> 2002). </w:t>
      </w:r>
      <w:r w:rsidR="006061D7" w:rsidRPr="002C29D2">
        <w:rPr>
          <w:iCs/>
          <w:lang w:eastAsia="zh-TW"/>
        </w:rPr>
        <w:t xml:space="preserve">Responsible AI </w:t>
      </w:r>
      <w:r w:rsidR="00430AA3" w:rsidRPr="002C29D2">
        <w:rPr>
          <w:iCs/>
          <w:lang w:eastAsia="zh-TW"/>
        </w:rPr>
        <w:t xml:space="preserve">principles </w:t>
      </w:r>
      <w:r w:rsidR="006061D7" w:rsidRPr="002C29D2">
        <w:rPr>
          <w:iCs/>
          <w:lang w:eastAsia="zh-TW"/>
        </w:rPr>
        <w:t xml:space="preserve">can </w:t>
      </w:r>
      <w:r w:rsidR="006061D7" w:rsidRPr="002C29D2">
        <w:rPr>
          <w:iCs/>
        </w:rPr>
        <w:t xml:space="preserve">provide </w:t>
      </w:r>
      <w:r w:rsidR="00430AA3" w:rsidRPr="002C29D2">
        <w:rPr>
          <w:iCs/>
          <w:lang w:eastAsia="zh-TW"/>
        </w:rPr>
        <w:t xml:space="preserve">guidance </w:t>
      </w:r>
      <w:r w:rsidR="006061D7" w:rsidRPr="002C29D2">
        <w:rPr>
          <w:iCs/>
          <w:lang w:eastAsia="zh-TW"/>
        </w:rPr>
        <w:t>on how to operate</w:t>
      </w:r>
      <w:r w:rsidR="009B4C54" w:rsidRPr="002C29D2">
        <w:rPr>
          <w:iCs/>
          <w:lang w:eastAsia="zh-TW"/>
        </w:rPr>
        <w:t xml:space="preserve"> and exploit</w:t>
      </w:r>
      <w:r w:rsidR="006061D7" w:rsidRPr="002C29D2">
        <w:rPr>
          <w:iCs/>
          <w:lang w:eastAsia="zh-TW"/>
        </w:rPr>
        <w:t xml:space="preserve"> AI systems </w:t>
      </w:r>
      <w:r w:rsidR="009B4C54" w:rsidRPr="002C29D2">
        <w:rPr>
          <w:iCs/>
          <w:lang w:eastAsia="zh-TW"/>
        </w:rPr>
        <w:t xml:space="preserve">fully, </w:t>
      </w:r>
      <w:r w:rsidR="006061D7" w:rsidRPr="002C29D2">
        <w:rPr>
          <w:iCs/>
          <w:lang w:eastAsia="zh-TW"/>
        </w:rPr>
        <w:t>responsibly</w:t>
      </w:r>
      <w:r w:rsidR="009B4C54" w:rsidRPr="002C29D2">
        <w:rPr>
          <w:iCs/>
          <w:lang w:eastAsia="zh-TW"/>
        </w:rPr>
        <w:t>,</w:t>
      </w:r>
      <w:r w:rsidR="006061D7" w:rsidRPr="002C29D2">
        <w:rPr>
          <w:iCs/>
          <w:lang w:eastAsia="zh-TW"/>
        </w:rPr>
        <w:t xml:space="preserve"> and ethically</w:t>
      </w:r>
      <w:r w:rsidR="00B04F15" w:rsidRPr="002C29D2">
        <w:rPr>
          <w:iCs/>
          <w:lang w:eastAsia="zh-TW"/>
        </w:rPr>
        <w:t>,</w:t>
      </w:r>
      <w:r w:rsidR="006061D7" w:rsidRPr="002C29D2">
        <w:rPr>
          <w:iCs/>
        </w:rPr>
        <w:t xml:space="preserve"> </w:t>
      </w:r>
      <w:r w:rsidR="009B4C54" w:rsidRPr="002C29D2">
        <w:rPr>
          <w:iCs/>
        </w:rPr>
        <w:t xml:space="preserve">by means of </w:t>
      </w:r>
      <w:r w:rsidR="006061D7" w:rsidRPr="002C29D2">
        <w:rPr>
          <w:iCs/>
          <w:lang w:eastAsia="zh-TW"/>
        </w:rPr>
        <w:t xml:space="preserve">effective </w:t>
      </w:r>
      <w:r w:rsidR="006061D7" w:rsidRPr="002C29D2">
        <w:rPr>
          <w:iCs/>
        </w:rPr>
        <w:t xml:space="preserve">internal communication and training. </w:t>
      </w:r>
      <w:r w:rsidR="006061D7" w:rsidRPr="002C29D2">
        <w:rPr>
          <w:iCs/>
          <w:lang w:eastAsia="zh-TW"/>
        </w:rPr>
        <w:t xml:space="preserve">Such </w:t>
      </w:r>
      <w:r w:rsidR="006061D7" w:rsidRPr="002C29D2">
        <w:rPr>
          <w:iCs/>
        </w:rPr>
        <w:t>knowledge gain</w:t>
      </w:r>
      <w:r w:rsidR="006061D7" w:rsidRPr="002C29D2">
        <w:rPr>
          <w:iCs/>
          <w:lang w:eastAsia="zh-TW"/>
        </w:rPr>
        <w:t>s</w:t>
      </w:r>
      <w:r w:rsidR="006061D7" w:rsidRPr="002C29D2">
        <w:rPr>
          <w:iCs/>
        </w:rPr>
        <w:t xml:space="preserve"> through this </w:t>
      </w:r>
      <w:r w:rsidR="006061D7" w:rsidRPr="002C29D2">
        <w:rPr>
          <w:iCs/>
          <w:lang w:eastAsia="zh-TW"/>
        </w:rPr>
        <w:t xml:space="preserve">engagement </w:t>
      </w:r>
      <w:r w:rsidR="006061D7" w:rsidRPr="002C29D2">
        <w:rPr>
          <w:iCs/>
        </w:rPr>
        <w:t>process will result in great</w:t>
      </w:r>
      <w:r w:rsidR="009B4C54" w:rsidRPr="002C29D2">
        <w:rPr>
          <w:iCs/>
        </w:rPr>
        <w:t>er</w:t>
      </w:r>
      <w:r w:rsidR="006061D7" w:rsidRPr="002C29D2">
        <w:rPr>
          <w:iCs/>
        </w:rPr>
        <w:t xml:space="preserve"> clari</w:t>
      </w:r>
      <w:r w:rsidR="009B4C54" w:rsidRPr="002C29D2">
        <w:rPr>
          <w:iCs/>
        </w:rPr>
        <w:t>ty</w:t>
      </w:r>
      <w:r w:rsidR="006061D7" w:rsidRPr="002C29D2">
        <w:rPr>
          <w:iCs/>
        </w:rPr>
        <w:t xml:space="preserve"> </w:t>
      </w:r>
      <w:r w:rsidR="009B4C54" w:rsidRPr="002C29D2">
        <w:rPr>
          <w:iCs/>
        </w:rPr>
        <w:t xml:space="preserve">for </w:t>
      </w:r>
      <w:r w:rsidR="006061D7" w:rsidRPr="002C29D2">
        <w:rPr>
          <w:iCs/>
        </w:rPr>
        <w:t xml:space="preserve">employees’ </w:t>
      </w:r>
      <w:r w:rsidR="006061D7" w:rsidRPr="002C29D2">
        <w:rPr>
          <w:iCs/>
          <w:lang w:eastAsia="zh-TW"/>
        </w:rPr>
        <w:t>AI usage</w:t>
      </w:r>
      <w:r w:rsidR="006061D7" w:rsidRPr="002C29D2">
        <w:rPr>
          <w:iCs/>
        </w:rPr>
        <w:t>.</w:t>
      </w:r>
      <w:r w:rsidR="00362B47" w:rsidRPr="002C29D2">
        <w:rPr>
          <w:iCs/>
          <w:lang w:eastAsia="zh-TW"/>
        </w:rPr>
        <w:t xml:space="preserve"> </w:t>
      </w:r>
    </w:p>
    <w:p w14:paraId="034F9877" w14:textId="135777BF" w:rsidR="00362B47" w:rsidRPr="002C29D2" w:rsidRDefault="0064468F" w:rsidP="00ED6A5C">
      <w:pPr>
        <w:spacing w:line="480" w:lineRule="auto"/>
        <w:ind w:firstLineChars="200" w:firstLine="480"/>
        <w:jc w:val="both"/>
        <w:rPr>
          <w:iCs/>
          <w:lang w:eastAsia="zh-TW"/>
        </w:rPr>
      </w:pPr>
      <w:r w:rsidRPr="002C29D2">
        <w:rPr>
          <w:iCs/>
          <w:lang w:eastAsia="zh-TW"/>
        </w:rPr>
        <w:t>The significant effects of r</w:t>
      </w:r>
      <w:r w:rsidR="00362B47" w:rsidRPr="002C29D2">
        <w:rPr>
          <w:iCs/>
          <w:lang w:eastAsia="zh-TW"/>
        </w:rPr>
        <w:t xml:space="preserve">esponsible AI signals </w:t>
      </w:r>
      <w:r w:rsidR="006061D7" w:rsidRPr="002C29D2">
        <w:rPr>
          <w:iCs/>
        </w:rPr>
        <w:t xml:space="preserve">on employee engagement can be explained in terms of social exchanges within the </w:t>
      </w:r>
      <w:r w:rsidRPr="002C29D2">
        <w:rPr>
          <w:iCs/>
        </w:rPr>
        <w:t>organi</w:t>
      </w:r>
      <w:r w:rsidR="00055D2F" w:rsidRPr="002C29D2">
        <w:rPr>
          <w:iCs/>
        </w:rPr>
        <w:t>s</w:t>
      </w:r>
      <w:r w:rsidRPr="002C29D2">
        <w:rPr>
          <w:iCs/>
        </w:rPr>
        <w:t>ation</w:t>
      </w:r>
      <w:r w:rsidR="00B04F15" w:rsidRPr="002C29D2">
        <w:rPr>
          <w:iCs/>
        </w:rPr>
        <w:t xml:space="preserve">; </w:t>
      </w:r>
      <w:r w:rsidR="00AE3E76" w:rsidRPr="002C29D2">
        <w:rPr>
          <w:iCs/>
        </w:rPr>
        <w:t xml:space="preserve">interactions between employee and the company are established </w:t>
      </w:r>
      <w:r w:rsidR="00B04F15" w:rsidRPr="002C29D2">
        <w:rPr>
          <w:iCs/>
        </w:rPr>
        <w:t xml:space="preserve">and </w:t>
      </w:r>
      <w:r w:rsidR="00AE3E76" w:rsidRPr="002C29D2">
        <w:rPr>
          <w:iCs/>
        </w:rPr>
        <w:t>maintain</w:t>
      </w:r>
      <w:r w:rsidR="00B04F15" w:rsidRPr="002C29D2">
        <w:rPr>
          <w:iCs/>
        </w:rPr>
        <w:t>ed as a</w:t>
      </w:r>
      <w:r w:rsidR="00AE3E76" w:rsidRPr="002C29D2">
        <w:rPr>
          <w:iCs/>
        </w:rPr>
        <w:t xml:space="preserve"> balance between giving and receiving (Cropanzano and Mitchell 2005). </w:t>
      </w:r>
      <w:r w:rsidRPr="002C29D2">
        <w:rPr>
          <w:iCs/>
        </w:rPr>
        <w:t>In particular,</w:t>
      </w:r>
      <w:r w:rsidR="00543209" w:rsidRPr="002C29D2">
        <w:rPr>
          <w:iCs/>
          <w:lang w:eastAsia="zh-TW"/>
        </w:rPr>
        <w:t xml:space="preserve"> </w:t>
      </w:r>
      <w:r w:rsidR="00AE3E76" w:rsidRPr="002C29D2">
        <w:rPr>
          <w:iCs/>
        </w:rPr>
        <w:t>employees could reward the organisation with better job performance such as high</w:t>
      </w:r>
      <w:r w:rsidR="00530630" w:rsidRPr="002C29D2">
        <w:rPr>
          <w:iCs/>
        </w:rPr>
        <w:t>er</w:t>
      </w:r>
      <w:r w:rsidR="00AE3E76" w:rsidRPr="002C29D2">
        <w:rPr>
          <w:iCs/>
        </w:rPr>
        <w:t xml:space="preserve"> engagement when the use of </w:t>
      </w:r>
      <w:r w:rsidR="00AE3E76" w:rsidRPr="002C29D2">
        <w:rPr>
          <w:iCs/>
          <w:lang w:eastAsia="zh-TW"/>
        </w:rPr>
        <w:t xml:space="preserve">responsible AI systems is </w:t>
      </w:r>
      <w:r w:rsidR="00530630" w:rsidRPr="002C29D2">
        <w:rPr>
          <w:iCs/>
          <w:lang w:eastAsia="zh-TW"/>
        </w:rPr>
        <w:t>guaranteed</w:t>
      </w:r>
      <w:r w:rsidR="00AE3E76" w:rsidRPr="002C29D2">
        <w:rPr>
          <w:iCs/>
          <w:lang w:eastAsia="zh-TW"/>
        </w:rPr>
        <w:t xml:space="preserve"> (</w:t>
      </w:r>
      <w:r w:rsidR="00AE3E76" w:rsidRPr="002C29D2">
        <w:t>Masterson</w:t>
      </w:r>
      <w:r w:rsidR="00AE3E76" w:rsidRPr="002C29D2">
        <w:rPr>
          <w:iCs/>
          <w:lang w:eastAsia="zh-TW"/>
        </w:rPr>
        <w:t xml:space="preserve"> et al. 2000). </w:t>
      </w:r>
      <w:r w:rsidR="00EB0B93" w:rsidRPr="002C29D2">
        <w:rPr>
          <w:iCs/>
          <w:lang w:eastAsia="zh-TW"/>
        </w:rPr>
        <w:t xml:space="preserve">Furthermore, </w:t>
      </w:r>
      <w:r w:rsidR="00362B47" w:rsidRPr="002C29D2">
        <w:rPr>
          <w:iCs/>
          <w:lang w:eastAsia="zh-TW"/>
        </w:rPr>
        <w:t>Alder Hey Children’s Hospital, as one of the largest children’s hospitals in Europe, has developed an AI</w:t>
      </w:r>
      <w:r w:rsidR="00157BA4" w:rsidRPr="002C29D2">
        <w:rPr>
          <w:iCs/>
          <w:lang w:eastAsia="zh-TW"/>
        </w:rPr>
        <w:t>-</w:t>
      </w:r>
      <w:r w:rsidR="00362B47" w:rsidRPr="002C29D2">
        <w:rPr>
          <w:iCs/>
          <w:lang w:eastAsia="zh-TW"/>
        </w:rPr>
        <w:t xml:space="preserve">featured digital App called </w:t>
      </w:r>
      <w:r w:rsidR="00362B47" w:rsidRPr="002C29D2">
        <w:rPr>
          <w:i/>
          <w:iCs/>
          <w:lang w:eastAsia="zh-TW"/>
        </w:rPr>
        <w:t>Alder Play</w:t>
      </w:r>
      <w:r w:rsidR="00ED6A5C" w:rsidRPr="002C29D2">
        <w:rPr>
          <w:i/>
          <w:iCs/>
          <w:lang w:eastAsia="zh-TW"/>
        </w:rPr>
        <w:t xml:space="preserve"> </w:t>
      </w:r>
      <w:r w:rsidR="00ED6A5C" w:rsidRPr="002C29D2">
        <w:rPr>
          <w:iCs/>
          <w:lang w:eastAsia="zh-TW"/>
        </w:rPr>
        <w:t>(</w:t>
      </w:r>
      <w:r w:rsidR="00530630" w:rsidRPr="002C29D2">
        <w:rPr>
          <w:iCs/>
          <w:lang w:eastAsia="zh-TW"/>
        </w:rPr>
        <w:t>Alder Hey Children’s Charity</w:t>
      </w:r>
      <w:r w:rsidR="00530630" w:rsidRPr="002C29D2" w:rsidDel="00530630">
        <w:rPr>
          <w:iCs/>
          <w:lang w:eastAsia="zh-TW"/>
        </w:rPr>
        <w:t xml:space="preserve"> </w:t>
      </w:r>
      <w:r w:rsidR="00ED6A5C" w:rsidRPr="002C29D2">
        <w:rPr>
          <w:iCs/>
          <w:lang w:eastAsia="zh-TW"/>
        </w:rPr>
        <w:t>2017)</w:t>
      </w:r>
      <w:r w:rsidR="00530630" w:rsidRPr="002C29D2">
        <w:rPr>
          <w:iCs/>
          <w:lang w:eastAsia="zh-TW"/>
        </w:rPr>
        <w:t xml:space="preserve">, which </w:t>
      </w:r>
      <w:r w:rsidR="00362B47" w:rsidRPr="002C29D2">
        <w:rPr>
          <w:iCs/>
          <w:lang w:eastAsia="zh-TW"/>
        </w:rPr>
        <w:t xml:space="preserve">enables healthcare </w:t>
      </w:r>
      <w:r w:rsidR="00ED6A5C" w:rsidRPr="002C29D2">
        <w:rPr>
          <w:iCs/>
          <w:lang w:eastAsia="zh-TW"/>
        </w:rPr>
        <w:t>practitioners</w:t>
      </w:r>
      <w:r w:rsidR="00362B47" w:rsidRPr="002C29D2">
        <w:rPr>
          <w:iCs/>
          <w:lang w:eastAsia="zh-TW"/>
        </w:rPr>
        <w:t xml:space="preserve"> </w:t>
      </w:r>
      <w:r w:rsidR="00530630" w:rsidRPr="002C29D2">
        <w:rPr>
          <w:iCs/>
          <w:lang w:eastAsia="zh-TW"/>
        </w:rPr>
        <w:t xml:space="preserve">to </w:t>
      </w:r>
      <w:r w:rsidR="00362B47" w:rsidRPr="002C29D2">
        <w:rPr>
          <w:iCs/>
          <w:lang w:eastAsia="zh-TW"/>
        </w:rPr>
        <w:t xml:space="preserve">access </w:t>
      </w:r>
      <w:r w:rsidR="00EB0B93" w:rsidRPr="002C29D2">
        <w:rPr>
          <w:iCs/>
          <w:lang w:eastAsia="zh-TW"/>
        </w:rPr>
        <w:t xml:space="preserve">the </w:t>
      </w:r>
      <w:r w:rsidR="00362B47" w:rsidRPr="002C29D2">
        <w:rPr>
          <w:iCs/>
          <w:lang w:eastAsia="zh-TW"/>
        </w:rPr>
        <w:t xml:space="preserve">medical records of patients eligible for </w:t>
      </w:r>
      <w:r w:rsidR="00530630" w:rsidRPr="002C29D2">
        <w:rPr>
          <w:iCs/>
          <w:lang w:eastAsia="zh-TW"/>
        </w:rPr>
        <w:t xml:space="preserve">British </w:t>
      </w:r>
      <w:r w:rsidR="00362B47" w:rsidRPr="002C29D2">
        <w:rPr>
          <w:iCs/>
          <w:lang w:eastAsia="zh-TW"/>
        </w:rPr>
        <w:t xml:space="preserve">NHS treatment. This could largely improve </w:t>
      </w:r>
      <w:r w:rsidR="0042782B" w:rsidRPr="002C29D2">
        <w:rPr>
          <w:iCs/>
          <w:lang w:eastAsia="zh-TW"/>
        </w:rPr>
        <w:t xml:space="preserve">autonomy </w:t>
      </w:r>
      <w:r w:rsidR="00362B47" w:rsidRPr="002C29D2">
        <w:rPr>
          <w:iCs/>
          <w:lang w:eastAsia="zh-TW"/>
        </w:rPr>
        <w:t>in clinical processes, thereby enhanc</w:t>
      </w:r>
      <w:r w:rsidR="00530630" w:rsidRPr="002C29D2">
        <w:rPr>
          <w:iCs/>
          <w:lang w:eastAsia="zh-TW"/>
        </w:rPr>
        <w:t>ing</w:t>
      </w:r>
      <w:r w:rsidR="00362B47" w:rsidRPr="002C29D2">
        <w:rPr>
          <w:iCs/>
          <w:lang w:eastAsia="zh-TW"/>
        </w:rPr>
        <w:t xml:space="preserve"> the quality of health services and strengthe</w:t>
      </w:r>
      <w:r w:rsidR="00EB0B93" w:rsidRPr="002C29D2">
        <w:rPr>
          <w:iCs/>
          <w:lang w:eastAsia="zh-TW"/>
        </w:rPr>
        <w:t>n</w:t>
      </w:r>
      <w:r w:rsidR="00530630" w:rsidRPr="002C29D2">
        <w:rPr>
          <w:iCs/>
          <w:lang w:eastAsia="zh-TW"/>
        </w:rPr>
        <w:t>ing</w:t>
      </w:r>
      <w:r w:rsidR="00362B47" w:rsidRPr="002C29D2">
        <w:rPr>
          <w:iCs/>
          <w:lang w:eastAsia="zh-TW"/>
        </w:rPr>
        <w:t xml:space="preserve"> patient</w:t>
      </w:r>
      <w:r w:rsidR="00EB0B93" w:rsidRPr="002C29D2">
        <w:rPr>
          <w:iCs/>
          <w:lang w:eastAsia="zh-TW"/>
        </w:rPr>
        <w:t xml:space="preserve"> </w:t>
      </w:r>
      <w:r w:rsidR="00362B47" w:rsidRPr="002C29D2">
        <w:rPr>
          <w:iCs/>
          <w:lang w:eastAsia="zh-TW"/>
        </w:rPr>
        <w:t xml:space="preserve">engagement. </w:t>
      </w:r>
      <w:r w:rsidR="00ED6A5C" w:rsidRPr="002C29D2">
        <w:rPr>
          <w:iCs/>
          <w:lang w:eastAsia="zh-TW"/>
        </w:rPr>
        <w:t>Allowing the autonomy of data us</w:t>
      </w:r>
      <w:r w:rsidR="00EB0B93" w:rsidRPr="002C29D2">
        <w:rPr>
          <w:iCs/>
          <w:lang w:eastAsia="zh-TW"/>
        </w:rPr>
        <w:t>age</w:t>
      </w:r>
      <w:r w:rsidR="00ED6A5C" w:rsidRPr="002C29D2">
        <w:rPr>
          <w:iCs/>
          <w:lang w:eastAsia="zh-TW"/>
        </w:rPr>
        <w:t xml:space="preserve"> and providing meaning</w:t>
      </w:r>
      <w:r w:rsidR="00055D2F" w:rsidRPr="002C29D2">
        <w:rPr>
          <w:iCs/>
          <w:lang w:eastAsia="zh-TW"/>
        </w:rPr>
        <w:t>f</w:t>
      </w:r>
      <w:r w:rsidR="00ED6A5C" w:rsidRPr="002C29D2">
        <w:rPr>
          <w:iCs/>
          <w:lang w:eastAsia="zh-TW"/>
        </w:rPr>
        <w:t>ul and personali</w:t>
      </w:r>
      <w:r w:rsidR="00055D2F" w:rsidRPr="002C29D2">
        <w:rPr>
          <w:iCs/>
          <w:lang w:eastAsia="zh-TW"/>
        </w:rPr>
        <w:t>z</w:t>
      </w:r>
      <w:r w:rsidR="00ED6A5C" w:rsidRPr="002C29D2">
        <w:rPr>
          <w:iCs/>
          <w:lang w:eastAsia="zh-TW"/>
        </w:rPr>
        <w:t xml:space="preserve">ed explanations </w:t>
      </w:r>
      <w:r w:rsidR="00530630" w:rsidRPr="002C29D2">
        <w:rPr>
          <w:iCs/>
          <w:lang w:eastAsia="zh-TW"/>
        </w:rPr>
        <w:t xml:space="preserve">of </w:t>
      </w:r>
      <w:r w:rsidR="00ED6A5C" w:rsidRPr="002C29D2">
        <w:rPr>
          <w:iCs/>
          <w:lang w:eastAsia="zh-TW"/>
        </w:rPr>
        <w:t xml:space="preserve">AI </w:t>
      </w:r>
      <w:r w:rsidR="004B2E18" w:rsidRPr="002C29D2">
        <w:rPr>
          <w:iCs/>
        </w:rPr>
        <w:t xml:space="preserve">benefits are expected to </w:t>
      </w:r>
      <w:r w:rsidR="00ED6A5C" w:rsidRPr="002C29D2">
        <w:rPr>
          <w:iCs/>
        </w:rPr>
        <w:t>reduce uncertainty</w:t>
      </w:r>
      <w:r w:rsidR="004B2E18" w:rsidRPr="002C29D2">
        <w:rPr>
          <w:iCs/>
        </w:rPr>
        <w:t xml:space="preserve">, thus </w:t>
      </w:r>
      <w:r w:rsidR="00ED6A5C" w:rsidRPr="002C29D2">
        <w:rPr>
          <w:iCs/>
        </w:rPr>
        <w:t xml:space="preserve">improving </w:t>
      </w:r>
      <w:r w:rsidR="00ED6A5C" w:rsidRPr="002C29D2">
        <w:rPr>
          <w:iCs/>
          <w:lang w:eastAsia="zh-TW"/>
        </w:rPr>
        <w:t xml:space="preserve">healthcare practitioner satisfaction with AI and encouraging </w:t>
      </w:r>
      <w:r w:rsidR="00530630" w:rsidRPr="002C29D2">
        <w:rPr>
          <w:iCs/>
          <w:lang w:eastAsia="zh-TW"/>
        </w:rPr>
        <w:t xml:space="preserve">its </w:t>
      </w:r>
      <w:r w:rsidR="00ED6A5C" w:rsidRPr="002C29D2">
        <w:rPr>
          <w:iCs/>
          <w:lang w:eastAsia="zh-TW"/>
        </w:rPr>
        <w:t>involve</w:t>
      </w:r>
      <w:r w:rsidR="00530630" w:rsidRPr="002C29D2">
        <w:rPr>
          <w:iCs/>
          <w:lang w:eastAsia="zh-TW"/>
        </w:rPr>
        <w:t xml:space="preserve">ment </w:t>
      </w:r>
      <w:r w:rsidR="00ED6A5C" w:rsidRPr="002C29D2">
        <w:rPr>
          <w:iCs/>
          <w:lang w:eastAsia="zh-TW"/>
        </w:rPr>
        <w:t>their roles</w:t>
      </w:r>
      <w:r w:rsidR="004C1CFE" w:rsidRPr="002C29D2">
        <w:rPr>
          <w:iCs/>
          <w:lang w:eastAsia="zh-TW"/>
        </w:rPr>
        <w:t xml:space="preserve"> (Rai 2020; Ramaswamy et al. 2018). </w:t>
      </w:r>
    </w:p>
    <w:p w14:paraId="3F5711C3" w14:textId="2AE277FF" w:rsidR="002B1051" w:rsidRPr="002C29D2" w:rsidRDefault="0042782B" w:rsidP="00704F9E">
      <w:pPr>
        <w:spacing w:line="480" w:lineRule="auto"/>
        <w:ind w:firstLineChars="200" w:firstLine="480"/>
        <w:jc w:val="both"/>
        <w:rPr>
          <w:iCs/>
          <w:lang w:eastAsia="zh-TW"/>
        </w:rPr>
      </w:pPr>
      <w:r w:rsidRPr="002C29D2">
        <w:rPr>
          <w:iCs/>
          <w:lang w:eastAsia="zh-TW"/>
        </w:rPr>
        <w:t xml:space="preserve">Moreover, </w:t>
      </w:r>
      <w:r w:rsidR="00543209" w:rsidRPr="002C29D2">
        <w:rPr>
          <w:iCs/>
          <w:lang w:eastAsia="zh-TW"/>
        </w:rPr>
        <w:t xml:space="preserve">Karatepe (2013) </w:t>
      </w:r>
      <w:r w:rsidR="004B2E18" w:rsidRPr="002C29D2">
        <w:rPr>
          <w:iCs/>
          <w:lang w:eastAsia="zh-TW"/>
        </w:rPr>
        <w:t>posits</w:t>
      </w:r>
      <w:r w:rsidR="00543209" w:rsidRPr="002C29D2">
        <w:rPr>
          <w:iCs/>
          <w:lang w:eastAsia="zh-TW"/>
        </w:rPr>
        <w:t xml:space="preserve"> that employee engagement is a motivational factor which </w:t>
      </w:r>
      <w:r w:rsidR="004B2E18" w:rsidRPr="002C29D2">
        <w:rPr>
          <w:iCs/>
          <w:lang w:eastAsia="zh-TW"/>
        </w:rPr>
        <w:t>explains the</w:t>
      </w:r>
      <w:r w:rsidR="00543209" w:rsidRPr="002C29D2">
        <w:rPr>
          <w:iCs/>
          <w:lang w:eastAsia="zh-TW"/>
        </w:rPr>
        <w:t xml:space="preserve"> </w:t>
      </w:r>
      <w:r w:rsidR="004B2E18" w:rsidRPr="002C29D2">
        <w:rPr>
          <w:iCs/>
          <w:lang w:eastAsia="zh-TW"/>
        </w:rPr>
        <w:t>relationship</w:t>
      </w:r>
      <w:r w:rsidR="00543209" w:rsidRPr="002C29D2">
        <w:rPr>
          <w:iCs/>
          <w:lang w:eastAsia="zh-TW"/>
        </w:rPr>
        <w:t xml:space="preserve"> between work practi</w:t>
      </w:r>
      <w:r w:rsidR="004B2E18" w:rsidRPr="002C29D2">
        <w:rPr>
          <w:iCs/>
          <w:lang w:eastAsia="zh-TW"/>
        </w:rPr>
        <w:t>c</w:t>
      </w:r>
      <w:r w:rsidR="00543209" w:rsidRPr="002C29D2">
        <w:rPr>
          <w:iCs/>
          <w:lang w:eastAsia="zh-TW"/>
        </w:rPr>
        <w:t>e</w:t>
      </w:r>
      <w:r w:rsidR="004B2E18" w:rsidRPr="002C29D2">
        <w:rPr>
          <w:iCs/>
          <w:lang w:eastAsia="zh-TW"/>
        </w:rPr>
        <w:t>s</w:t>
      </w:r>
      <w:r w:rsidR="00543209" w:rsidRPr="002C29D2">
        <w:rPr>
          <w:iCs/>
          <w:lang w:eastAsia="zh-TW"/>
        </w:rPr>
        <w:t xml:space="preserve"> and performance. He suggests that </w:t>
      </w:r>
      <w:r w:rsidR="006061D7" w:rsidRPr="002C29D2">
        <w:rPr>
          <w:iCs/>
        </w:rPr>
        <w:t>employees are</w:t>
      </w:r>
      <w:r w:rsidR="00102362" w:rsidRPr="002C29D2">
        <w:rPr>
          <w:iCs/>
          <w:lang w:eastAsia="zh-TW"/>
        </w:rPr>
        <w:t xml:space="preserve"> most</w:t>
      </w:r>
      <w:r w:rsidR="006061D7" w:rsidRPr="002C29D2">
        <w:rPr>
          <w:iCs/>
        </w:rPr>
        <w:t xml:space="preserve"> likely to be in an engaged state of mind when they </w:t>
      </w:r>
      <w:r w:rsidR="00102362" w:rsidRPr="002C29D2">
        <w:rPr>
          <w:iCs/>
          <w:lang w:eastAsia="zh-TW"/>
        </w:rPr>
        <w:t>recogni</w:t>
      </w:r>
      <w:r w:rsidR="00D073F1" w:rsidRPr="002C29D2">
        <w:rPr>
          <w:iCs/>
          <w:lang w:eastAsia="zh-TW"/>
        </w:rPr>
        <w:t>z</w:t>
      </w:r>
      <w:r w:rsidR="00102362" w:rsidRPr="002C29D2">
        <w:rPr>
          <w:iCs/>
          <w:lang w:eastAsia="zh-TW"/>
        </w:rPr>
        <w:t xml:space="preserve">e </w:t>
      </w:r>
      <w:r w:rsidR="006061D7" w:rsidRPr="002C29D2">
        <w:rPr>
          <w:iCs/>
        </w:rPr>
        <w:t>organi</w:t>
      </w:r>
      <w:r w:rsidR="00D549AE" w:rsidRPr="002C29D2">
        <w:rPr>
          <w:iCs/>
        </w:rPr>
        <w:t>s</w:t>
      </w:r>
      <w:r w:rsidR="006061D7" w:rsidRPr="002C29D2">
        <w:rPr>
          <w:iCs/>
        </w:rPr>
        <w:t>ation</w:t>
      </w:r>
      <w:r w:rsidR="00530630" w:rsidRPr="002C29D2">
        <w:rPr>
          <w:iCs/>
          <w:lang w:eastAsia="zh-TW"/>
        </w:rPr>
        <w:t>al</w:t>
      </w:r>
      <w:r w:rsidR="00102362" w:rsidRPr="002C29D2">
        <w:rPr>
          <w:iCs/>
          <w:lang w:eastAsia="zh-TW"/>
        </w:rPr>
        <w:t xml:space="preserve"> </w:t>
      </w:r>
      <w:r w:rsidR="00102362" w:rsidRPr="002C29D2">
        <w:rPr>
          <w:iCs/>
          <w:lang w:eastAsia="zh-TW"/>
        </w:rPr>
        <w:lastRenderedPageBreak/>
        <w:t xml:space="preserve">efforts </w:t>
      </w:r>
      <w:r w:rsidR="00530630" w:rsidRPr="002C29D2">
        <w:rPr>
          <w:iCs/>
          <w:lang w:eastAsia="zh-TW"/>
        </w:rPr>
        <w:t xml:space="preserve">to </w:t>
      </w:r>
      <w:r w:rsidR="00102362" w:rsidRPr="002C29D2">
        <w:rPr>
          <w:iCs/>
          <w:lang w:eastAsia="zh-TW"/>
        </w:rPr>
        <w:t>improv</w:t>
      </w:r>
      <w:r w:rsidR="00530630" w:rsidRPr="002C29D2">
        <w:rPr>
          <w:iCs/>
          <w:lang w:eastAsia="zh-TW"/>
        </w:rPr>
        <w:t>e</w:t>
      </w:r>
      <w:r w:rsidR="00102362" w:rsidRPr="002C29D2">
        <w:rPr>
          <w:iCs/>
          <w:lang w:eastAsia="zh-TW"/>
        </w:rPr>
        <w:t xml:space="preserve"> their </w:t>
      </w:r>
      <w:r w:rsidR="006061D7" w:rsidRPr="002C29D2">
        <w:rPr>
          <w:iCs/>
        </w:rPr>
        <w:t xml:space="preserve">welfare. </w:t>
      </w:r>
      <w:r w:rsidR="009D4996" w:rsidRPr="002C29D2">
        <w:rPr>
          <w:iCs/>
          <w:lang w:eastAsia="zh-TW"/>
        </w:rPr>
        <w:t xml:space="preserve">In </w:t>
      </w:r>
      <w:r w:rsidR="00157BA4" w:rsidRPr="002C29D2">
        <w:rPr>
          <w:iCs/>
          <w:lang w:eastAsia="zh-TW"/>
        </w:rPr>
        <w:t xml:space="preserve">the </w:t>
      </w:r>
      <w:r w:rsidR="00D549AE" w:rsidRPr="002C29D2">
        <w:rPr>
          <w:iCs/>
          <w:lang w:eastAsia="zh-TW"/>
        </w:rPr>
        <w:t xml:space="preserve">healthcare </w:t>
      </w:r>
      <w:r w:rsidR="009D4996" w:rsidRPr="002C29D2">
        <w:rPr>
          <w:iCs/>
          <w:lang w:eastAsia="zh-TW"/>
        </w:rPr>
        <w:t>context, f</w:t>
      </w:r>
      <w:r w:rsidR="00543209" w:rsidRPr="002C29D2">
        <w:rPr>
          <w:iCs/>
          <w:lang w:eastAsia="zh-TW"/>
        </w:rPr>
        <w:t xml:space="preserve">or example, </w:t>
      </w:r>
      <w:r w:rsidR="00102362" w:rsidRPr="002C29D2">
        <w:rPr>
          <w:iCs/>
          <w:lang w:eastAsia="zh-TW"/>
        </w:rPr>
        <w:t xml:space="preserve">the principle of </w:t>
      </w:r>
      <w:r w:rsidR="00530630" w:rsidRPr="002C29D2">
        <w:rPr>
          <w:iCs/>
          <w:lang w:eastAsia="zh-TW"/>
        </w:rPr>
        <w:t xml:space="preserve">AI system </w:t>
      </w:r>
      <w:r w:rsidR="00102362" w:rsidRPr="002C29D2">
        <w:rPr>
          <w:iCs/>
          <w:lang w:eastAsia="zh-TW"/>
        </w:rPr>
        <w:t xml:space="preserve">non-maleficence </w:t>
      </w:r>
      <w:r w:rsidR="00530630" w:rsidRPr="002C29D2">
        <w:rPr>
          <w:iCs/>
          <w:lang w:eastAsia="zh-TW"/>
        </w:rPr>
        <w:t>may assure</w:t>
      </w:r>
      <w:r w:rsidR="00102362" w:rsidRPr="002C29D2">
        <w:rPr>
          <w:iCs/>
          <w:lang w:eastAsia="zh-TW"/>
        </w:rPr>
        <w:t xml:space="preserve"> employees </w:t>
      </w:r>
      <w:r w:rsidR="00530630" w:rsidRPr="002C29D2">
        <w:rPr>
          <w:iCs/>
          <w:lang w:eastAsia="zh-TW"/>
        </w:rPr>
        <w:t>that</w:t>
      </w:r>
      <w:r w:rsidR="00102362" w:rsidRPr="002C29D2">
        <w:rPr>
          <w:iCs/>
          <w:lang w:eastAsia="zh-TW"/>
        </w:rPr>
        <w:t xml:space="preserve"> any potential negative </w:t>
      </w:r>
      <w:r w:rsidR="00530630" w:rsidRPr="002C29D2">
        <w:rPr>
          <w:iCs/>
          <w:lang w:eastAsia="zh-TW"/>
        </w:rPr>
        <w:t xml:space="preserve">outcomes from information maangement will be avoided </w:t>
      </w:r>
      <w:r w:rsidR="00102362" w:rsidRPr="002C29D2">
        <w:rPr>
          <w:iCs/>
          <w:lang w:eastAsia="zh-TW"/>
        </w:rPr>
        <w:t xml:space="preserve">(Jobin et al. 2019). </w:t>
      </w:r>
      <w:r w:rsidR="009D4996" w:rsidRPr="002C29D2">
        <w:rPr>
          <w:iCs/>
          <w:lang w:eastAsia="zh-TW"/>
        </w:rPr>
        <w:t>As such, h</w:t>
      </w:r>
      <w:r w:rsidR="00102362" w:rsidRPr="002C29D2">
        <w:rPr>
          <w:iCs/>
          <w:lang w:eastAsia="zh-TW"/>
        </w:rPr>
        <w:t xml:space="preserve">ealthcare </w:t>
      </w:r>
      <w:r w:rsidR="00ED6A5C" w:rsidRPr="002C29D2">
        <w:rPr>
          <w:iCs/>
          <w:lang w:eastAsia="zh-TW"/>
        </w:rPr>
        <w:t xml:space="preserve">practitioners </w:t>
      </w:r>
      <w:r w:rsidR="00530630" w:rsidRPr="002C29D2">
        <w:rPr>
          <w:iCs/>
          <w:lang w:eastAsia="zh-TW"/>
        </w:rPr>
        <w:t xml:space="preserve">may be more </w:t>
      </w:r>
      <w:r w:rsidR="00102362" w:rsidRPr="002C29D2">
        <w:rPr>
          <w:iCs/>
          <w:lang w:eastAsia="zh-TW"/>
        </w:rPr>
        <w:t xml:space="preserve">willing to </w:t>
      </w:r>
      <w:r w:rsidR="00530630" w:rsidRPr="002C29D2">
        <w:rPr>
          <w:iCs/>
          <w:lang w:eastAsia="zh-TW"/>
        </w:rPr>
        <w:t>use</w:t>
      </w:r>
      <w:r w:rsidR="00102362" w:rsidRPr="002C29D2">
        <w:rPr>
          <w:iCs/>
          <w:lang w:eastAsia="zh-TW"/>
        </w:rPr>
        <w:t xml:space="preserve"> AI-enabled systems when </w:t>
      </w:r>
      <w:r w:rsidR="00430AA3" w:rsidRPr="002C29D2">
        <w:rPr>
          <w:iCs/>
          <w:lang w:eastAsia="zh-TW"/>
        </w:rPr>
        <w:t xml:space="preserve">a secure </w:t>
      </w:r>
      <w:r w:rsidR="00530630" w:rsidRPr="002C29D2">
        <w:rPr>
          <w:iCs/>
          <w:lang w:eastAsia="zh-TW"/>
        </w:rPr>
        <w:t xml:space="preserve">AI solution committed to </w:t>
      </w:r>
      <w:r w:rsidR="009D4996" w:rsidRPr="002C29D2">
        <w:rPr>
          <w:iCs/>
          <w:lang w:eastAsia="zh-TW"/>
        </w:rPr>
        <w:t xml:space="preserve">non-maleficence </w:t>
      </w:r>
      <w:r w:rsidR="00102362" w:rsidRPr="002C29D2">
        <w:rPr>
          <w:iCs/>
          <w:lang w:eastAsia="zh-TW"/>
        </w:rPr>
        <w:t xml:space="preserve">is </w:t>
      </w:r>
      <w:r w:rsidR="00430AA3" w:rsidRPr="002C29D2">
        <w:rPr>
          <w:iCs/>
          <w:lang w:eastAsia="zh-TW"/>
        </w:rPr>
        <w:t xml:space="preserve">offered by </w:t>
      </w:r>
      <w:r w:rsidR="00704F9E" w:rsidRPr="002C29D2">
        <w:rPr>
          <w:iCs/>
          <w:lang w:eastAsia="zh-TW"/>
        </w:rPr>
        <w:t xml:space="preserve">their </w:t>
      </w:r>
      <w:r w:rsidR="00430AA3" w:rsidRPr="002C29D2">
        <w:rPr>
          <w:iCs/>
          <w:lang w:eastAsia="zh-TW"/>
        </w:rPr>
        <w:t>organi</w:t>
      </w:r>
      <w:r w:rsidR="00ED6A5C" w:rsidRPr="002C29D2">
        <w:rPr>
          <w:iCs/>
          <w:lang w:eastAsia="zh-TW"/>
        </w:rPr>
        <w:t>s</w:t>
      </w:r>
      <w:r w:rsidR="00430AA3" w:rsidRPr="002C29D2">
        <w:rPr>
          <w:iCs/>
          <w:lang w:eastAsia="zh-TW"/>
        </w:rPr>
        <w:t xml:space="preserve">ations. </w:t>
      </w:r>
      <w:r w:rsidR="009D4996" w:rsidRPr="002C29D2">
        <w:rPr>
          <w:iCs/>
          <w:lang w:eastAsia="zh-TW"/>
        </w:rPr>
        <w:t>I</w:t>
      </w:r>
      <w:r w:rsidR="00543209" w:rsidRPr="002C29D2">
        <w:rPr>
          <w:iCs/>
          <w:lang w:eastAsia="zh-TW"/>
        </w:rPr>
        <w:t xml:space="preserve">t appears that when </w:t>
      </w:r>
      <w:r w:rsidR="00530630" w:rsidRPr="002C29D2">
        <w:rPr>
          <w:iCs/>
          <w:lang w:eastAsia="zh-TW"/>
        </w:rPr>
        <w:t xml:space="preserve">an </w:t>
      </w:r>
      <w:r w:rsidR="00543209" w:rsidRPr="002C29D2">
        <w:rPr>
          <w:iCs/>
          <w:lang w:eastAsia="zh-TW"/>
        </w:rPr>
        <w:t>organi</w:t>
      </w:r>
      <w:r w:rsidR="00ED6A5C" w:rsidRPr="002C29D2">
        <w:rPr>
          <w:iCs/>
          <w:lang w:eastAsia="zh-TW"/>
        </w:rPr>
        <w:t>s</w:t>
      </w:r>
      <w:r w:rsidR="00543209" w:rsidRPr="002C29D2">
        <w:rPr>
          <w:iCs/>
          <w:lang w:eastAsia="zh-TW"/>
        </w:rPr>
        <w:t xml:space="preserve">ation </w:t>
      </w:r>
      <w:r w:rsidR="00A63863" w:rsidRPr="002C29D2">
        <w:rPr>
          <w:iCs/>
          <w:lang w:eastAsia="zh-TW"/>
        </w:rPr>
        <w:t>makes</w:t>
      </w:r>
      <w:r w:rsidR="00543209" w:rsidRPr="002C29D2">
        <w:rPr>
          <w:iCs/>
          <w:lang w:eastAsia="zh-TW"/>
        </w:rPr>
        <w:t xml:space="preserve"> great efforts </w:t>
      </w:r>
      <w:r w:rsidR="000A4B66" w:rsidRPr="002C29D2">
        <w:rPr>
          <w:iCs/>
          <w:lang w:eastAsia="zh-TW"/>
        </w:rPr>
        <w:t xml:space="preserve">in </w:t>
      </w:r>
      <w:r w:rsidR="00543209" w:rsidRPr="002C29D2">
        <w:rPr>
          <w:iCs/>
          <w:lang w:eastAsia="zh-TW"/>
        </w:rPr>
        <w:t xml:space="preserve">improving </w:t>
      </w:r>
      <w:r w:rsidR="00530630" w:rsidRPr="002C29D2">
        <w:rPr>
          <w:iCs/>
          <w:lang w:eastAsia="zh-TW"/>
        </w:rPr>
        <w:t>their</w:t>
      </w:r>
      <w:r w:rsidR="00ED6A5C" w:rsidRPr="002C29D2">
        <w:rPr>
          <w:iCs/>
          <w:lang w:eastAsia="zh-TW"/>
        </w:rPr>
        <w:t xml:space="preserve"> </w:t>
      </w:r>
      <w:r w:rsidR="000F46E1" w:rsidRPr="002C29D2">
        <w:rPr>
          <w:iCs/>
          <w:lang w:eastAsia="zh-TW"/>
        </w:rPr>
        <w:t>engagement t</w:t>
      </w:r>
      <w:r w:rsidR="00543209" w:rsidRPr="002C29D2">
        <w:rPr>
          <w:iCs/>
          <w:lang w:eastAsia="zh-TW"/>
        </w:rPr>
        <w:t>hrough the responsible implementation of AI-enabled healthcare system</w:t>
      </w:r>
      <w:r w:rsidR="00ED6A5C" w:rsidRPr="002C29D2">
        <w:rPr>
          <w:iCs/>
          <w:lang w:eastAsia="zh-TW"/>
        </w:rPr>
        <w:t>s</w:t>
      </w:r>
      <w:r w:rsidR="00543209" w:rsidRPr="002C29D2">
        <w:rPr>
          <w:iCs/>
          <w:lang w:eastAsia="zh-TW"/>
        </w:rPr>
        <w:t>,</w:t>
      </w:r>
      <w:r w:rsidR="006738D5" w:rsidRPr="002C29D2">
        <w:rPr>
          <w:iCs/>
          <w:lang w:eastAsia="zh-TW"/>
        </w:rPr>
        <w:t xml:space="preserve"> </w:t>
      </w:r>
      <w:r w:rsidR="009D4996" w:rsidRPr="002C29D2">
        <w:rPr>
          <w:iCs/>
          <w:lang w:eastAsia="zh-TW"/>
        </w:rPr>
        <w:t xml:space="preserve">they </w:t>
      </w:r>
      <w:r w:rsidR="00530630" w:rsidRPr="002C29D2">
        <w:rPr>
          <w:iCs/>
          <w:lang w:eastAsia="zh-TW"/>
        </w:rPr>
        <w:t xml:space="preserve">will be </w:t>
      </w:r>
      <w:r w:rsidR="009D4996" w:rsidRPr="002C29D2">
        <w:rPr>
          <w:iCs/>
          <w:lang w:eastAsia="zh-TW"/>
        </w:rPr>
        <w:t>more engaged in their work, leading to better behavio</w:t>
      </w:r>
      <w:r w:rsidR="00055D2F" w:rsidRPr="002C29D2">
        <w:rPr>
          <w:iCs/>
          <w:lang w:eastAsia="zh-TW"/>
        </w:rPr>
        <w:t>u</w:t>
      </w:r>
      <w:r w:rsidR="009D4996" w:rsidRPr="002C29D2">
        <w:rPr>
          <w:iCs/>
          <w:lang w:eastAsia="zh-TW"/>
        </w:rPr>
        <w:t xml:space="preserve">ral outcomes toward AI usage. </w:t>
      </w:r>
      <w:r w:rsidR="009D4996" w:rsidRPr="002C29D2">
        <w:rPr>
          <w:iCs/>
        </w:rPr>
        <w:t xml:space="preserve">Therefore, </w:t>
      </w:r>
      <w:r w:rsidR="009D4996" w:rsidRPr="002C29D2">
        <w:rPr>
          <w:iCs/>
          <w:lang w:eastAsia="zh-TW"/>
        </w:rPr>
        <w:t>w</w:t>
      </w:r>
      <w:r w:rsidR="00430AA3" w:rsidRPr="002C29D2">
        <w:rPr>
          <w:iCs/>
        </w:rPr>
        <w:t xml:space="preserve">e propose the following </w:t>
      </w:r>
      <w:r w:rsidR="00704F9E" w:rsidRPr="002C29D2">
        <w:rPr>
          <w:iCs/>
        </w:rPr>
        <w:t>hypotheses:</w:t>
      </w:r>
    </w:p>
    <w:p w14:paraId="0A512A54" w14:textId="7FF1AB9D" w:rsidR="00F447C5" w:rsidRPr="002C29D2" w:rsidRDefault="002B1051" w:rsidP="00281BD8">
      <w:pPr>
        <w:spacing w:line="480" w:lineRule="auto"/>
        <w:jc w:val="both"/>
        <w:rPr>
          <w:i/>
          <w:iCs/>
          <w:lang w:eastAsia="zh-TW"/>
        </w:rPr>
      </w:pPr>
      <w:r w:rsidRPr="002C29D2">
        <w:rPr>
          <w:b/>
          <w:i/>
          <w:iCs/>
        </w:rPr>
        <w:t>Hyp</w:t>
      </w:r>
      <w:r w:rsidR="00ED6A5C" w:rsidRPr="002C29D2">
        <w:rPr>
          <w:b/>
          <w:i/>
          <w:iCs/>
        </w:rPr>
        <w:t>o</w:t>
      </w:r>
      <w:r w:rsidRPr="002C29D2">
        <w:rPr>
          <w:b/>
          <w:i/>
          <w:iCs/>
        </w:rPr>
        <w:t>thesis 6 (H6)</w:t>
      </w:r>
      <w:r w:rsidRPr="002C29D2">
        <w:rPr>
          <w:i/>
          <w:iCs/>
        </w:rPr>
        <w:t>:</w:t>
      </w:r>
      <w:r w:rsidR="00530630" w:rsidRPr="002C29D2">
        <w:rPr>
          <w:i/>
          <w:iCs/>
        </w:rPr>
        <w:t xml:space="preserve"> </w:t>
      </w:r>
      <w:r w:rsidR="00430AA3" w:rsidRPr="002C29D2">
        <w:rPr>
          <w:i/>
          <w:iCs/>
          <w:lang w:eastAsia="zh-TW"/>
        </w:rPr>
        <w:t xml:space="preserve">Responsible AI </w:t>
      </w:r>
      <w:r w:rsidR="00DA041B" w:rsidRPr="002C29D2">
        <w:rPr>
          <w:i/>
          <w:iCs/>
          <w:lang w:eastAsia="zh-TW"/>
        </w:rPr>
        <w:t xml:space="preserve">signals </w:t>
      </w:r>
      <w:r w:rsidR="00704F9E" w:rsidRPr="002C29D2">
        <w:rPr>
          <w:i/>
          <w:iCs/>
          <w:lang w:eastAsia="zh-TW"/>
        </w:rPr>
        <w:t xml:space="preserve">(autonomy, beneficence, explainability, justice, and non-maleficence) </w:t>
      </w:r>
      <w:r w:rsidR="00DA041B" w:rsidRPr="002C29D2">
        <w:rPr>
          <w:i/>
          <w:iCs/>
        </w:rPr>
        <w:t>a</w:t>
      </w:r>
      <w:r w:rsidR="00DA041B" w:rsidRPr="002C29D2">
        <w:rPr>
          <w:i/>
          <w:iCs/>
          <w:lang w:eastAsia="zh-TW"/>
        </w:rPr>
        <w:t>re positively related to employee engagement</w:t>
      </w:r>
      <w:r w:rsidR="00F447C5" w:rsidRPr="002C29D2">
        <w:rPr>
          <w:i/>
          <w:iCs/>
          <w:lang w:eastAsia="zh-TW"/>
        </w:rPr>
        <w:t>.</w:t>
      </w:r>
      <w:r w:rsidR="00DA041B" w:rsidRPr="002C29D2">
        <w:rPr>
          <w:i/>
          <w:iCs/>
          <w:lang w:eastAsia="zh-TW"/>
        </w:rPr>
        <w:t xml:space="preserve"> </w:t>
      </w:r>
    </w:p>
    <w:p w14:paraId="10111FA8" w14:textId="32BCF249" w:rsidR="00F447C5" w:rsidRPr="002C29D2" w:rsidRDefault="002B1051" w:rsidP="00472B0B">
      <w:pPr>
        <w:spacing w:line="480" w:lineRule="auto"/>
        <w:jc w:val="both"/>
        <w:rPr>
          <w:i/>
          <w:iCs/>
          <w:lang w:eastAsia="zh-TW"/>
        </w:rPr>
      </w:pPr>
      <w:r w:rsidRPr="002C29D2">
        <w:rPr>
          <w:b/>
          <w:i/>
          <w:iCs/>
        </w:rPr>
        <w:t>Hyp</w:t>
      </w:r>
      <w:r w:rsidR="00ED6A5C" w:rsidRPr="002C29D2">
        <w:rPr>
          <w:b/>
          <w:i/>
          <w:iCs/>
        </w:rPr>
        <w:t>o</w:t>
      </w:r>
      <w:r w:rsidRPr="002C29D2">
        <w:rPr>
          <w:b/>
          <w:i/>
          <w:iCs/>
        </w:rPr>
        <w:t>thesis 7 (H7)</w:t>
      </w:r>
      <w:r w:rsidR="00472B0B" w:rsidRPr="002C29D2">
        <w:rPr>
          <w:i/>
          <w:iCs/>
        </w:rPr>
        <w:t>:</w:t>
      </w:r>
      <w:r w:rsidR="00DA041B" w:rsidRPr="002C29D2">
        <w:rPr>
          <w:i/>
          <w:iCs/>
          <w:lang w:eastAsia="zh-TW"/>
        </w:rPr>
        <w:t xml:space="preserve"> </w:t>
      </w:r>
      <w:r w:rsidR="00DA041B" w:rsidRPr="002C29D2">
        <w:rPr>
          <w:i/>
          <w:iCs/>
        </w:rPr>
        <w:t>Employee engagement mediates the relationship between</w:t>
      </w:r>
      <w:r w:rsidR="00DA041B" w:rsidRPr="002C29D2">
        <w:rPr>
          <w:i/>
          <w:iCs/>
          <w:lang w:eastAsia="zh-TW"/>
        </w:rPr>
        <w:t xml:space="preserve"> </w:t>
      </w:r>
      <w:r w:rsidR="00430AA3" w:rsidRPr="002C29D2">
        <w:rPr>
          <w:i/>
          <w:iCs/>
          <w:lang w:eastAsia="zh-TW"/>
        </w:rPr>
        <w:t xml:space="preserve">responsible </w:t>
      </w:r>
      <w:r w:rsidR="00DA041B" w:rsidRPr="002C29D2">
        <w:rPr>
          <w:i/>
          <w:iCs/>
          <w:lang w:eastAsia="zh-TW"/>
        </w:rPr>
        <w:t xml:space="preserve">AI signals </w:t>
      </w:r>
      <w:r w:rsidR="00704F9E" w:rsidRPr="002C29D2">
        <w:rPr>
          <w:i/>
          <w:iCs/>
          <w:lang w:eastAsia="zh-TW"/>
        </w:rPr>
        <w:t xml:space="preserve">(autonomy, beneficence, explainability, justice, and non-maleficence) </w:t>
      </w:r>
      <w:r w:rsidR="00DA041B" w:rsidRPr="002C29D2">
        <w:rPr>
          <w:i/>
          <w:iCs/>
          <w:lang w:eastAsia="zh-TW"/>
        </w:rPr>
        <w:t>and behavio</w:t>
      </w:r>
      <w:r w:rsidR="00055D2F" w:rsidRPr="002C29D2">
        <w:rPr>
          <w:i/>
          <w:iCs/>
          <w:lang w:eastAsia="zh-TW"/>
        </w:rPr>
        <w:t>u</w:t>
      </w:r>
      <w:r w:rsidR="00DA041B" w:rsidRPr="002C29D2">
        <w:rPr>
          <w:i/>
          <w:iCs/>
          <w:lang w:eastAsia="zh-TW"/>
        </w:rPr>
        <w:t xml:space="preserve">ral </w:t>
      </w:r>
      <w:r w:rsidR="00472B0B" w:rsidRPr="002C29D2">
        <w:rPr>
          <w:i/>
          <w:iCs/>
          <w:lang w:eastAsia="zh-TW"/>
        </w:rPr>
        <w:t>consequences</w:t>
      </w:r>
      <w:r w:rsidR="00704F9E" w:rsidRPr="002C29D2">
        <w:rPr>
          <w:i/>
          <w:iCs/>
          <w:lang w:eastAsia="zh-TW"/>
        </w:rPr>
        <w:t xml:space="preserve"> (attitudes toward AI, satisfaction with AI, and </w:t>
      </w:r>
      <w:r w:rsidR="0043615C" w:rsidRPr="002C29D2">
        <w:rPr>
          <w:i/>
          <w:iCs/>
          <w:lang w:eastAsia="zh-TW"/>
        </w:rPr>
        <w:t xml:space="preserve">AI </w:t>
      </w:r>
      <w:r w:rsidR="00704F9E" w:rsidRPr="002C29D2">
        <w:rPr>
          <w:i/>
          <w:iCs/>
          <w:lang w:eastAsia="zh-TW"/>
        </w:rPr>
        <w:t>usage intention</w:t>
      </w:r>
      <w:r w:rsidR="00530630" w:rsidRPr="002C29D2">
        <w:rPr>
          <w:i/>
          <w:iCs/>
          <w:lang w:eastAsia="zh-TW"/>
        </w:rPr>
        <w:t>s</w:t>
      </w:r>
      <w:r w:rsidR="00704F9E" w:rsidRPr="002C29D2">
        <w:rPr>
          <w:i/>
          <w:iCs/>
          <w:lang w:eastAsia="zh-TW"/>
        </w:rPr>
        <w:t>)</w:t>
      </w:r>
      <w:r w:rsidR="00F447C5" w:rsidRPr="002C29D2">
        <w:rPr>
          <w:i/>
          <w:iCs/>
          <w:lang w:eastAsia="zh-TW"/>
        </w:rPr>
        <w:t>.</w:t>
      </w:r>
      <w:r w:rsidR="00DA041B" w:rsidRPr="002C29D2">
        <w:rPr>
          <w:i/>
          <w:iCs/>
          <w:lang w:eastAsia="zh-TW"/>
        </w:rPr>
        <w:t xml:space="preserve"> </w:t>
      </w:r>
    </w:p>
    <w:p w14:paraId="7BF82035" w14:textId="06317EE0" w:rsidR="00DA4902" w:rsidRPr="002C29D2" w:rsidRDefault="00DA041B" w:rsidP="00472B0B">
      <w:pPr>
        <w:spacing w:line="480" w:lineRule="auto"/>
        <w:jc w:val="both"/>
        <w:rPr>
          <w:bCs/>
          <w:i/>
          <w:lang w:eastAsia="zh-TW"/>
        </w:rPr>
      </w:pPr>
      <w:r w:rsidRPr="002C29D2">
        <w:rPr>
          <w:bCs/>
          <w:i/>
          <w:lang w:eastAsia="zh-TW"/>
        </w:rPr>
        <w:t>3.</w:t>
      </w:r>
      <w:r w:rsidR="00B15DE3" w:rsidRPr="002C29D2">
        <w:rPr>
          <w:bCs/>
          <w:i/>
          <w:lang w:eastAsia="zh-TW"/>
        </w:rPr>
        <w:t>7</w:t>
      </w:r>
      <w:r w:rsidRPr="002C29D2">
        <w:rPr>
          <w:bCs/>
          <w:i/>
          <w:lang w:eastAsia="zh-TW"/>
        </w:rPr>
        <w:t xml:space="preserve">. The moderating role of </w:t>
      </w:r>
      <w:r w:rsidRPr="002C29D2">
        <w:rPr>
          <w:bCs/>
          <w:i/>
        </w:rPr>
        <w:t>techno</w:t>
      </w:r>
      <w:r w:rsidR="00157BA4" w:rsidRPr="002C29D2">
        <w:rPr>
          <w:bCs/>
          <w:i/>
        </w:rPr>
        <w:t>-</w:t>
      </w:r>
      <w:r w:rsidR="001618FF" w:rsidRPr="002C29D2">
        <w:rPr>
          <w:bCs/>
          <w:i/>
        </w:rPr>
        <w:t>overload</w:t>
      </w:r>
    </w:p>
    <w:p w14:paraId="78F88996" w14:textId="05A17F9E" w:rsidR="003C644B" w:rsidRPr="002C29D2" w:rsidRDefault="00157BA4" w:rsidP="00472B0B">
      <w:pPr>
        <w:spacing w:line="480" w:lineRule="auto"/>
        <w:jc w:val="both"/>
      </w:pPr>
      <w:r w:rsidRPr="002C29D2">
        <w:rPr>
          <w:rFonts w:ascii="Times" w:hAnsi="Times"/>
        </w:rPr>
        <w:tab/>
      </w:r>
      <w:r w:rsidR="00281BD8" w:rsidRPr="002C29D2">
        <w:t>Not everyone experiences technology in the same way.</w:t>
      </w:r>
      <w:r w:rsidR="00ED6A5C" w:rsidRPr="002C29D2">
        <w:t xml:space="preserve"> Yin et al. (2018)</w:t>
      </w:r>
      <w:r w:rsidR="00281BD8" w:rsidRPr="002C29D2">
        <w:t xml:space="preserve"> </w:t>
      </w:r>
      <w:r w:rsidR="0025043F" w:rsidRPr="002C29D2">
        <w:t xml:space="preserve">report </w:t>
      </w:r>
      <w:r w:rsidR="00281BD8" w:rsidRPr="002C29D2">
        <w:t>that some</w:t>
      </w:r>
      <w:r w:rsidR="003C644B" w:rsidRPr="002C29D2">
        <w:t xml:space="preserve"> employees </w:t>
      </w:r>
      <w:r w:rsidR="00EB1775" w:rsidRPr="002C29D2">
        <w:t xml:space="preserve">experience higher </w:t>
      </w:r>
      <w:r w:rsidR="00ED6A5C" w:rsidRPr="002C29D2">
        <w:t>level</w:t>
      </w:r>
      <w:r w:rsidR="0025043F" w:rsidRPr="002C29D2">
        <w:t>s</w:t>
      </w:r>
      <w:r w:rsidR="00ED6A5C" w:rsidRPr="002C29D2">
        <w:t xml:space="preserve"> of stress </w:t>
      </w:r>
      <w:r w:rsidR="00EB1775" w:rsidRPr="002C29D2">
        <w:t xml:space="preserve">than others when </w:t>
      </w:r>
      <w:r w:rsidR="003C644B" w:rsidRPr="002C29D2">
        <w:t>over</w:t>
      </w:r>
      <w:r w:rsidR="0025043F" w:rsidRPr="002C29D2">
        <w:t>whelmed</w:t>
      </w:r>
      <w:r w:rsidR="003C644B" w:rsidRPr="002C29D2">
        <w:t xml:space="preserve"> by technology, </w:t>
      </w:r>
      <w:r w:rsidR="00281BD8" w:rsidRPr="002C29D2">
        <w:t>despite its aim to</w:t>
      </w:r>
      <w:r w:rsidR="003C644B" w:rsidRPr="002C29D2">
        <w:t xml:space="preserve"> </w:t>
      </w:r>
      <w:r w:rsidR="00216E41" w:rsidRPr="002C29D2">
        <w:t>boost</w:t>
      </w:r>
      <w:r w:rsidR="003C644B" w:rsidRPr="002C29D2">
        <w:t xml:space="preserve"> work</w:t>
      </w:r>
      <w:r w:rsidR="00216E41" w:rsidRPr="002C29D2">
        <w:t>-stream</w:t>
      </w:r>
      <w:r w:rsidR="003C644B" w:rsidRPr="002C29D2">
        <w:t xml:space="preserve"> </w:t>
      </w:r>
      <w:r w:rsidR="00281BD8" w:rsidRPr="002C29D2">
        <w:t>effectiveness</w:t>
      </w:r>
      <w:r w:rsidR="003C644B" w:rsidRPr="002C29D2">
        <w:t xml:space="preserve">. </w:t>
      </w:r>
      <w:r w:rsidR="00216E41" w:rsidRPr="002C29D2">
        <w:t>‘</w:t>
      </w:r>
      <w:r w:rsidR="00ED6A5C" w:rsidRPr="002C29D2">
        <w:t>Technostress</w:t>
      </w:r>
      <w:r w:rsidR="00216E41" w:rsidRPr="002C29D2">
        <w:t xml:space="preserve">’ is a term coined to describe </w:t>
      </w:r>
      <w:r w:rsidR="00ED6A5C" w:rsidRPr="002C29D2">
        <w:t>negative psychological state</w:t>
      </w:r>
      <w:r w:rsidR="00216E41" w:rsidRPr="002C29D2">
        <w:t>s</w:t>
      </w:r>
      <w:r w:rsidR="00ED6A5C" w:rsidRPr="002C29D2">
        <w:t xml:space="preserve"> such as anxiety, strain</w:t>
      </w:r>
      <w:r w:rsidR="002868DD" w:rsidRPr="002C29D2">
        <w:t>,</w:t>
      </w:r>
      <w:r w:rsidR="00ED6A5C" w:rsidRPr="002C29D2">
        <w:t xml:space="preserve"> </w:t>
      </w:r>
      <w:r w:rsidR="00216E41" w:rsidRPr="002C29D2">
        <w:t xml:space="preserve">or a sense of </w:t>
      </w:r>
      <w:r w:rsidR="00ED6A5C" w:rsidRPr="002C29D2">
        <w:t xml:space="preserve">ineffectiveness </w:t>
      </w:r>
      <w:r w:rsidR="00216E41" w:rsidRPr="002C29D2">
        <w:t xml:space="preserve">when </w:t>
      </w:r>
      <w:r w:rsidR="00ED6A5C" w:rsidRPr="002C29D2">
        <w:t>using new technologies (Salanova et al. 2013)</w:t>
      </w:r>
      <w:r w:rsidR="00216E41" w:rsidRPr="002C29D2">
        <w:t xml:space="preserve"> and this is</w:t>
      </w:r>
      <w:r w:rsidR="00ED6A5C" w:rsidRPr="002C29D2">
        <w:t xml:space="preserve"> often related to </w:t>
      </w:r>
      <w:r w:rsidR="00216E41" w:rsidRPr="002C29D2">
        <w:t xml:space="preserve">a sense of </w:t>
      </w:r>
      <w:r w:rsidR="00ED6A5C" w:rsidRPr="002C29D2">
        <w:t>overload (Cao and Sun 2018; Wang and Li 2019)</w:t>
      </w:r>
      <w:r w:rsidR="00216E41" w:rsidRPr="002C29D2">
        <w:t xml:space="preserve">. </w:t>
      </w:r>
      <w:r w:rsidR="003C644B" w:rsidRPr="002C29D2">
        <w:t>AI technology</w:t>
      </w:r>
      <w:r w:rsidR="00216E41" w:rsidRPr="002C29D2">
        <w:t xml:space="preserve"> may</w:t>
      </w:r>
      <w:r w:rsidR="003C644B" w:rsidRPr="002C29D2">
        <w:t xml:space="preserve"> force employees </w:t>
      </w:r>
      <w:r w:rsidR="00216E41" w:rsidRPr="002C29D2">
        <w:t xml:space="preserve">such as </w:t>
      </w:r>
      <w:r w:rsidR="003C644B" w:rsidRPr="002C29D2">
        <w:t xml:space="preserve">healthcare practitioners to work longer and faster </w:t>
      </w:r>
      <w:r w:rsidR="006E45CA" w:rsidRPr="002C29D2">
        <w:t>(Krishnan 2017)</w:t>
      </w:r>
      <w:r w:rsidR="00216E41" w:rsidRPr="002C29D2">
        <w:t>,</w:t>
      </w:r>
      <w:r w:rsidR="003C644B" w:rsidRPr="002C29D2">
        <w:t xml:space="preserve"> which contributes to job stress </w:t>
      </w:r>
      <w:r w:rsidR="006E45CA" w:rsidRPr="002C29D2">
        <w:t>(Folkman et al. 1986)</w:t>
      </w:r>
      <w:r w:rsidR="003C644B" w:rsidRPr="002C29D2">
        <w:t xml:space="preserve">, </w:t>
      </w:r>
      <w:r w:rsidR="003C644B" w:rsidRPr="002C29D2">
        <w:rPr>
          <w:shd w:val="clear" w:color="auto" w:fill="FFFFFF"/>
        </w:rPr>
        <w:t xml:space="preserve">predicts job burnout, impedes performance </w:t>
      </w:r>
      <w:r w:rsidR="006E45CA" w:rsidRPr="002C29D2">
        <w:rPr>
          <w:shd w:val="clear" w:color="auto" w:fill="FFFFFF"/>
        </w:rPr>
        <w:t>(Wu et al. 2019)</w:t>
      </w:r>
      <w:r w:rsidR="003C644B" w:rsidRPr="002C29D2">
        <w:rPr>
          <w:shd w:val="clear" w:color="auto" w:fill="FFFFFF"/>
        </w:rPr>
        <w:t xml:space="preserve">, and </w:t>
      </w:r>
      <w:r w:rsidR="00281BD8" w:rsidRPr="002C29D2">
        <w:rPr>
          <w:shd w:val="clear" w:color="auto" w:fill="FFFFFF"/>
        </w:rPr>
        <w:t>reduce</w:t>
      </w:r>
      <w:r w:rsidRPr="002C29D2">
        <w:rPr>
          <w:shd w:val="clear" w:color="auto" w:fill="FFFFFF"/>
        </w:rPr>
        <w:t>s</w:t>
      </w:r>
      <w:r w:rsidR="00281BD8" w:rsidRPr="002C29D2">
        <w:rPr>
          <w:shd w:val="clear" w:color="auto" w:fill="FFFFFF"/>
        </w:rPr>
        <w:t xml:space="preserve"> </w:t>
      </w:r>
      <w:r w:rsidR="003C644B" w:rsidRPr="002C29D2">
        <w:rPr>
          <w:shd w:val="clear" w:color="auto" w:fill="FFFFFF"/>
        </w:rPr>
        <w:t xml:space="preserve">productivity </w:t>
      </w:r>
      <w:r w:rsidR="006E45CA" w:rsidRPr="002C29D2">
        <w:t>(Tarafdar et al. 2007)</w:t>
      </w:r>
      <w:r w:rsidR="003C644B" w:rsidRPr="002C29D2">
        <w:t xml:space="preserve">. </w:t>
      </w:r>
    </w:p>
    <w:p w14:paraId="68D17408" w14:textId="556F8B1E" w:rsidR="00472B0B" w:rsidRPr="002C29D2" w:rsidRDefault="00465AFB" w:rsidP="00A468AC">
      <w:pPr>
        <w:spacing w:line="480" w:lineRule="auto"/>
        <w:ind w:firstLine="720"/>
        <w:jc w:val="both"/>
      </w:pPr>
      <w:r w:rsidRPr="002C29D2">
        <w:t>W</w:t>
      </w:r>
      <w:r w:rsidR="003C644B" w:rsidRPr="002C29D2">
        <w:t xml:space="preserve">e propose that unpleasant affective </w:t>
      </w:r>
      <w:r w:rsidR="00092E01" w:rsidRPr="002C29D2">
        <w:t>states associate</w:t>
      </w:r>
      <w:r w:rsidRPr="002C29D2">
        <w:t>d</w:t>
      </w:r>
      <w:r w:rsidR="003C644B" w:rsidRPr="002C29D2">
        <w:t xml:space="preserve"> with </w:t>
      </w:r>
      <w:r w:rsidR="00D8585D" w:rsidRPr="002C29D2">
        <w:t xml:space="preserve">techno-overload </w:t>
      </w:r>
      <w:r w:rsidR="003C644B" w:rsidRPr="002C29D2">
        <w:t xml:space="preserve">impede the subjective quality of </w:t>
      </w:r>
      <w:r w:rsidR="00612B0B" w:rsidRPr="002C29D2">
        <w:t xml:space="preserve">the responsible AI signal of </w:t>
      </w:r>
      <w:r w:rsidR="003C644B" w:rsidRPr="002C29D2">
        <w:t>justice</w:t>
      </w:r>
      <w:r w:rsidR="00612B0B" w:rsidRPr="002C29D2">
        <w:t>.</w:t>
      </w:r>
      <w:r w:rsidRPr="002C29D2">
        <w:t xml:space="preserve"> </w:t>
      </w:r>
      <w:r w:rsidR="00092E01" w:rsidRPr="002C29D2">
        <w:t xml:space="preserve"> </w:t>
      </w:r>
      <w:r w:rsidR="00612B0B" w:rsidRPr="002C29D2">
        <w:t>‘</w:t>
      </w:r>
      <w:r w:rsidR="003C644B" w:rsidRPr="002C29D2">
        <w:t>AI justice</w:t>
      </w:r>
      <w:r w:rsidR="00612B0B" w:rsidRPr="002C29D2">
        <w:t>’</w:t>
      </w:r>
      <w:r w:rsidR="003C644B" w:rsidRPr="002C29D2">
        <w:t xml:space="preserve"> is defined as a subjective </w:t>
      </w:r>
      <w:r w:rsidR="00612B0B" w:rsidRPr="002C29D2">
        <w:lastRenderedPageBreak/>
        <w:t>assessment</w:t>
      </w:r>
      <w:r w:rsidR="003C644B" w:rsidRPr="002C29D2">
        <w:t xml:space="preserve"> </w:t>
      </w:r>
      <w:r w:rsidR="00612B0B" w:rsidRPr="002C29D2">
        <w:t xml:space="preserve">of justice </w:t>
      </w:r>
      <w:r w:rsidR="003C644B" w:rsidRPr="002C29D2">
        <w:t xml:space="preserve">by healthcare practitioners on AI’s ability to eliminate discrimination, improve </w:t>
      </w:r>
      <w:r w:rsidR="00612B0B" w:rsidRPr="002C29D2">
        <w:t xml:space="preserve">equitably </w:t>
      </w:r>
      <w:r w:rsidR="003C644B" w:rsidRPr="002C29D2">
        <w:t>shared benefits, and prevent new threats</w:t>
      </w:r>
      <w:r w:rsidR="0071315D" w:rsidRPr="002C29D2">
        <w:t xml:space="preserve"> </w:t>
      </w:r>
      <w:r w:rsidR="006E45CA" w:rsidRPr="002C29D2">
        <w:t xml:space="preserve">(Floridi et al. </w:t>
      </w:r>
      <w:r w:rsidR="00551DA5" w:rsidRPr="002C29D2">
        <w:t>2018</w:t>
      </w:r>
      <w:r w:rsidR="006E45CA" w:rsidRPr="002C29D2">
        <w:t>; Floridi and Cowls 2019)</w:t>
      </w:r>
      <w:r w:rsidR="0071315D" w:rsidRPr="002C29D2">
        <w:t xml:space="preserve">. </w:t>
      </w:r>
      <w:r w:rsidR="00612B0B" w:rsidRPr="002C29D2">
        <w:t>J</w:t>
      </w:r>
      <w:r w:rsidR="003C644B" w:rsidRPr="002C29D2">
        <w:t>ustice</w:t>
      </w:r>
      <w:r w:rsidR="00612B0B" w:rsidRPr="002C29D2">
        <w:t xml:space="preserve"> – and therein injustice – </w:t>
      </w:r>
      <w:r w:rsidR="003C644B" w:rsidRPr="002C29D2">
        <w:t>is an emotionally laden</w:t>
      </w:r>
      <w:r w:rsidR="00612B0B" w:rsidRPr="002C29D2">
        <w:t xml:space="preserve"> </w:t>
      </w:r>
      <w:r w:rsidR="003C644B" w:rsidRPr="002C29D2">
        <w:t xml:space="preserve">subjective experience </w:t>
      </w:r>
      <w:r w:rsidR="006E45CA" w:rsidRPr="002C29D2">
        <w:t>(Barsky and Kaplan 2007)</w:t>
      </w:r>
      <w:r w:rsidR="003C644B" w:rsidRPr="002C29D2">
        <w:t xml:space="preserve">. </w:t>
      </w:r>
      <w:r w:rsidR="00612B0B" w:rsidRPr="002C29D2">
        <w:t>N</w:t>
      </w:r>
      <w:r w:rsidR="003C644B" w:rsidRPr="002C29D2">
        <w:t>egative emotions are believed to change how people perceive and respond to the</w:t>
      </w:r>
      <w:r w:rsidR="00612B0B" w:rsidRPr="002C29D2">
        <w:t>ir</w:t>
      </w:r>
      <w:r w:rsidR="003C644B" w:rsidRPr="002C29D2">
        <w:t xml:space="preserve"> surroundings</w:t>
      </w:r>
      <w:r w:rsidR="00612B0B" w:rsidRPr="002C29D2">
        <w:t>;</w:t>
      </w:r>
      <w:r w:rsidR="003C644B" w:rsidRPr="002C29D2">
        <w:t xml:space="preserve"> Folkman and Lazarus (1986) </w:t>
      </w:r>
      <w:r w:rsidR="00BD3AA1" w:rsidRPr="002C29D2">
        <w:t>contend</w:t>
      </w:r>
      <w:r w:rsidR="003C644B" w:rsidRPr="002C29D2">
        <w:t xml:space="preserve"> that depressed individuals </w:t>
      </w:r>
      <w:r w:rsidR="00BD3AA1" w:rsidRPr="002C29D2">
        <w:t>or those experiencing</w:t>
      </w:r>
      <w:r w:rsidR="003C644B" w:rsidRPr="002C29D2">
        <w:t xml:space="preserve"> emotions such as</w:t>
      </w:r>
      <w:r w:rsidR="00BD3AA1" w:rsidRPr="002C29D2">
        <w:t xml:space="preserve"> sustained</w:t>
      </w:r>
      <w:r w:rsidR="003C644B" w:rsidRPr="002C29D2">
        <w:t xml:space="preserve"> frustration or disappointment </w:t>
      </w:r>
      <w:r w:rsidR="00281BD8" w:rsidRPr="002C29D2">
        <w:t>often employ</w:t>
      </w:r>
      <w:r w:rsidR="003C644B" w:rsidRPr="002C29D2">
        <w:t xml:space="preserve"> </w:t>
      </w:r>
      <w:r w:rsidR="00281BD8" w:rsidRPr="002C29D2">
        <w:t>a</w:t>
      </w:r>
      <w:r w:rsidR="003C644B" w:rsidRPr="002C29D2">
        <w:t xml:space="preserve"> hostile </w:t>
      </w:r>
      <w:r w:rsidR="00612B0B" w:rsidRPr="002C29D2">
        <w:t>‘</w:t>
      </w:r>
      <w:r w:rsidR="003C644B" w:rsidRPr="002C29D2">
        <w:t>confrontative coping</w:t>
      </w:r>
      <w:r w:rsidR="00281BD8" w:rsidRPr="002C29D2">
        <w:t xml:space="preserve"> strategy</w:t>
      </w:r>
      <w:r w:rsidR="00BD3AA1" w:rsidRPr="002C29D2">
        <w:t>’</w:t>
      </w:r>
      <w:r w:rsidR="003C644B" w:rsidRPr="002C29D2">
        <w:t xml:space="preserve">. </w:t>
      </w:r>
      <w:r w:rsidR="00491F8F" w:rsidRPr="002C29D2">
        <w:t xml:space="preserve">This is consistent with </w:t>
      </w:r>
      <w:r w:rsidR="003C644B" w:rsidRPr="002C29D2">
        <w:t>Alloy and Abramson (1979)</w:t>
      </w:r>
      <w:r w:rsidR="00491F8F" w:rsidRPr="002C29D2">
        <w:t xml:space="preserve">, whose findings suggest </w:t>
      </w:r>
      <w:r w:rsidR="003C644B" w:rsidRPr="002C29D2">
        <w:t xml:space="preserve">that depressed individuals </w:t>
      </w:r>
      <w:r w:rsidR="00491F8F" w:rsidRPr="002C29D2">
        <w:t xml:space="preserve">tend to </w:t>
      </w:r>
      <w:r w:rsidR="003C644B" w:rsidRPr="002C29D2">
        <w:t>perceive the</w:t>
      </w:r>
      <w:r w:rsidR="00BD3AA1" w:rsidRPr="002C29D2">
        <w:t>ir</w:t>
      </w:r>
      <w:r w:rsidR="003C644B" w:rsidRPr="002C29D2">
        <w:t xml:space="preserve"> environment as more threatening than </w:t>
      </w:r>
      <w:r w:rsidR="00C740BF" w:rsidRPr="002C29D2">
        <w:t>their</w:t>
      </w:r>
      <w:r w:rsidR="00491F8F" w:rsidRPr="002C29D2">
        <w:t xml:space="preserve"> </w:t>
      </w:r>
      <w:r w:rsidR="003C644B" w:rsidRPr="002C29D2">
        <w:t>non</w:t>
      </w:r>
      <w:r w:rsidR="00C740BF" w:rsidRPr="002C29D2">
        <w:t>-</w:t>
      </w:r>
      <w:r w:rsidR="003C644B" w:rsidRPr="002C29D2">
        <w:t xml:space="preserve">depressed </w:t>
      </w:r>
      <w:r w:rsidR="00491F8F" w:rsidRPr="002C29D2">
        <w:t>counterparts</w:t>
      </w:r>
      <w:r w:rsidR="00C740BF" w:rsidRPr="002C29D2">
        <w:t xml:space="preserve"> do</w:t>
      </w:r>
      <w:r w:rsidR="003C644B" w:rsidRPr="002C29D2">
        <w:t>. In a similar vein, based on the affect-as-information model</w:t>
      </w:r>
      <w:r w:rsidR="00BD3AA1" w:rsidRPr="002C29D2">
        <w:t>,</w:t>
      </w:r>
      <w:r w:rsidR="003C644B" w:rsidRPr="002C29D2">
        <w:t xml:space="preserve"> which suggests that people </w:t>
      </w:r>
      <w:r w:rsidR="00491F8F" w:rsidRPr="002C29D2">
        <w:t xml:space="preserve">rely on </w:t>
      </w:r>
      <w:r w:rsidR="003C644B" w:rsidRPr="002C29D2">
        <w:t>affect as heuristic</w:t>
      </w:r>
      <w:r w:rsidR="00BD3AA1" w:rsidRPr="002C29D2">
        <w:t xml:space="preserve">, thereby </w:t>
      </w:r>
      <w:r w:rsidR="003C644B" w:rsidRPr="002C29D2">
        <w:t>substituting objective criteri</w:t>
      </w:r>
      <w:r w:rsidR="00C740BF" w:rsidRPr="002C29D2">
        <w:t>on</w:t>
      </w:r>
      <w:r w:rsidR="003C644B" w:rsidRPr="002C29D2">
        <w:t xml:space="preserve"> when making justice judgments</w:t>
      </w:r>
      <w:r w:rsidR="00092E01" w:rsidRPr="002C29D2">
        <w:t xml:space="preserve"> </w:t>
      </w:r>
      <w:r w:rsidR="00AE3E76" w:rsidRPr="002C29D2">
        <w:t>(van den Bos 2003)</w:t>
      </w:r>
      <w:r w:rsidR="00BD3AA1" w:rsidRPr="002C29D2">
        <w:t>, n</w:t>
      </w:r>
      <w:r w:rsidR="00A468AC" w:rsidRPr="002C29D2">
        <w:t>egative affective states often</w:t>
      </w:r>
      <w:r w:rsidR="003C644B" w:rsidRPr="002C29D2">
        <w:t xml:space="preserve"> associate with subjective judgment</w:t>
      </w:r>
      <w:r w:rsidR="00BD3AA1" w:rsidRPr="002C29D2">
        <w:t>s</w:t>
      </w:r>
      <w:r w:rsidR="003C644B" w:rsidRPr="002C29D2">
        <w:t xml:space="preserve"> of </w:t>
      </w:r>
      <w:r w:rsidR="00611A23" w:rsidRPr="002C29D2">
        <w:t>in</w:t>
      </w:r>
      <w:r w:rsidR="003C644B" w:rsidRPr="002C29D2">
        <w:t xml:space="preserve">justice </w:t>
      </w:r>
      <w:r w:rsidR="00611A23" w:rsidRPr="002C29D2">
        <w:t xml:space="preserve">or unfairness </w:t>
      </w:r>
      <w:r w:rsidR="006E45CA" w:rsidRPr="002C29D2">
        <w:t>(Barsky and Kaplan 2007; van den Bos 2003; Lang et al. 2011)</w:t>
      </w:r>
      <w:r w:rsidR="003C644B" w:rsidRPr="002C29D2">
        <w:t xml:space="preserve">. </w:t>
      </w:r>
      <w:r w:rsidR="00092E01" w:rsidRPr="002C29D2">
        <w:t>While recogni</w:t>
      </w:r>
      <w:r w:rsidR="00D073F1" w:rsidRPr="002C29D2">
        <w:t>z</w:t>
      </w:r>
      <w:r w:rsidR="00092E01" w:rsidRPr="002C29D2">
        <w:t>ing</w:t>
      </w:r>
      <w:r w:rsidR="003C644B" w:rsidRPr="002C29D2">
        <w:t xml:space="preserve"> th</w:t>
      </w:r>
      <w:r w:rsidR="00BD3AA1" w:rsidRPr="002C29D2">
        <w:t>is</w:t>
      </w:r>
      <w:r w:rsidR="003C644B" w:rsidRPr="002C29D2">
        <w:t xml:space="preserve"> negative </w:t>
      </w:r>
      <w:r w:rsidR="00BD3AA1" w:rsidRPr="002C29D2">
        <w:t xml:space="preserve">impact </w:t>
      </w:r>
      <w:r w:rsidR="003C644B" w:rsidRPr="002C29D2">
        <w:t>of unpleasant emotional and physiological state</w:t>
      </w:r>
      <w:r w:rsidR="00C740BF" w:rsidRPr="002C29D2">
        <w:t>s</w:t>
      </w:r>
      <w:r w:rsidR="003C644B" w:rsidRPr="002C29D2">
        <w:t xml:space="preserve"> on </w:t>
      </w:r>
      <w:r w:rsidR="00BD3AA1" w:rsidRPr="002C29D2">
        <w:t>how</w:t>
      </w:r>
      <w:r w:rsidR="003C644B" w:rsidRPr="002C29D2">
        <w:t xml:space="preserve"> justice</w:t>
      </w:r>
      <w:r w:rsidR="00BD3AA1" w:rsidRPr="002C29D2">
        <w:t xml:space="preserve"> is assessed subjectively</w:t>
      </w:r>
      <w:r w:rsidR="003C644B" w:rsidRPr="002C29D2">
        <w:t xml:space="preserve">, </w:t>
      </w:r>
      <w:r w:rsidR="00BD3AA1" w:rsidRPr="002C29D2">
        <w:t xml:space="preserve">any </w:t>
      </w:r>
      <w:r w:rsidR="00092E01" w:rsidRPr="002C29D2">
        <w:t xml:space="preserve">negative emotions triggered by techno-overload </w:t>
      </w:r>
      <w:r w:rsidR="00BD3AA1" w:rsidRPr="002C29D2">
        <w:t xml:space="preserve">should </w:t>
      </w:r>
      <w:r w:rsidR="00092E01" w:rsidRPr="002C29D2">
        <w:t xml:space="preserve">impede the ability of healthcare practitioners in making rational judgments </w:t>
      </w:r>
      <w:r w:rsidR="00BD3AA1" w:rsidRPr="002C29D2">
        <w:t xml:space="preserve">about their use of </w:t>
      </w:r>
      <w:r w:rsidR="003C644B" w:rsidRPr="002C29D2">
        <w:t xml:space="preserve">AI technology. </w:t>
      </w:r>
      <w:r w:rsidR="00894AD6" w:rsidRPr="002C29D2">
        <w:t>Therefore, i</w:t>
      </w:r>
      <w:r w:rsidR="00A468AC" w:rsidRPr="002C29D2">
        <w:t xml:space="preserve">t is </w:t>
      </w:r>
      <w:r w:rsidR="00BD3AA1" w:rsidRPr="002C29D2">
        <w:t xml:space="preserve">relevant </w:t>
      </w:r>
      <w:r w:rsidR="00A468AC" w:rsidRPr="002C29D2">
        <w:t xml:space="preserve">to explore whether </w:t>
      </w:r>
      <w:r w:rsidR="00BD3AA1" w:rsidRPr="002C29D2">
        <w:t>techno-overload plays a</w:t>
      </w:r>
      <w:r w:rsidR="00A468AC" w:rsidRPr="002C29D2">
        <w:t xml:space="preserve"> pivotal role </w:t>
      </w:r>
      <w:r w:rsidR="00BD3AA1" w:rsidRPr="002C29D2">
        <w:t>in</w:t>
      </w:r>
      <w:r w:rsidR="00A468AC" w:rsidRPr="002C29D2">
        <w:t xml:space="preserve"> undermin</w:t>
      </w:r>
      <w:r w:rsidR="00BD3AA1" w:rsidRPr="002C29D2">
        <w:t>ing</w:t>
      </w:r>
      <w:r w:rsidR="00A468AC" w:rsidRPr="002C29D2">
        <w:t xml:space="preserve"> the effects of AI justice on engagement. </w:t>
      </w:r>
      <w:r w:rsidR="001B2B1A" w:rsidRPr="002C29D2">
        <w:t>Hence</w:t>
      </w:r>
      <w:r w:rsidR="00491F8F" w:rsidRPr="002C29D2">
        <w:t>, the following hypothesis is proposed</w:t>
      </w:r>
      <w:r w:rsidR="001B2B1A" w:rsidRPr="002C29D2">
        <w:t>:</w:t>
      </w:r>
    </w:p>
    <w:p w14:paraId="7A8AAA0D" w14:textId="70D7FB16" w:rsidR="00BA3B2A" w:rsidRPr="002C29D2" w:rsidRDefault="00DE3E77" w:rsidP="00092E01">
      <w:pPr>
        <w:spacing w:line="480" w:lineRule="auto"/>
        <w:jc w:val="both"/>
        <w:rPr>
          <w:i/>
          <w:iCs/>
        </w:rPr>
      </w:pPr>
      <w:r w:rsidRPr="002C29D2">
        <w:rPr>
          <w:b/>
          <w:i/>
          <w:iCs/>
        </w:rPr>
        <w:t>Hypothesis</w:t>
      </w:r>
      <w:r w:rsidR="00472B0B" w:rsidRPr="002C29D2">
        <w:rPr>
          <w:b/>
          <w:i/>
          <w:iCs/>
        </w:rPr>
        <w:t xml:space="preserve"> 8 (H8)</w:t>
      </w:r>
      <w:r w:rsidR="00491F8F" w:rsidRPr="002C29D2">
        <w:rPr>
          <w:i/>
          <w:iCs/>
        </w:rPr>
        <w:t xml:space="preserve">: </w:t>
      </w:r>
      <w:r w:rsidR="001962BB" w:rsidRPr="002C29D2">
        <w:rPr>
          <w:i/>
          <w:iCs/>
        </w:rPr>
        <w:t>T</w:t>
      </w:r>
      <w:r w:rsidR="00D8585D" w:rsidRPr="002C29D2">
        <w:rPr>
          <w:i/>
          <w:iCs/>
        </w:rPr>
        <w:t>echno-overload</w:t>
      </w:r>
      <w:r w:rsidR="001962BB" w:rsidRPr="002C29D2">
        <w:rPr>
          <w:i/>
          <w:iCs/>
        </w:rPr>
        <w:t xml:space="preserve"> </w:t>
      </w:r>
      <w:r w:rsidR="003C644B" w:rsidRPr="002C29D2">
        <w:rPr>
          <w:i/>
          <w:iCs/>
        </w:rPr>
        <w:t>moderates</w:t>
      </w:r>
      <w:r w:rsidR="00ED6A5C" w:rsidRPr="002C29D2">
        <w:rPr>
          <w:i/>
          <w:iCs/>
        </w:rPr>
        <w:t xml:space="preserve"> </w:t>
      </w:r>
      <w:r w:rsidR="00A34C5B" w:rsidRPr="002C29D2">
        <w:rPr>
          <w:i/>
          <w:iCs/>
        </w:rPr>
        <w:t xml:space="preserve">the </w:t>
      </w:r>
      <w:r w:rsidR="00894AD6" w:rsidRPr="002C29D2">
        <w:rPr>
          <w:i/>
          <w:iCs/>
        </w:rPr>
        <w:t xml:space="preserve">relationship between AI justice and employee engagement, such that high techno-workload </w:t>
      </w:r>
      <w:r w:rsidR="00ED6A5C" w:rsidRPr="002C29D2">
        <w:rPr>
          <w:i/>
          <w:iCs/>
        </w:rPr>
        <w:t>weakens</w:t>
      </w:r>
      <w:r w:rsidR="003C644B" w:rsidRPr="002C29D2">
        <w:rPr>
          <w:i/>
          <w:iCs/>
        </w:rPr>
        <w:t xml:space="preserve"> the effect of AI justice on </w:t>
      </w:r>
      <w:r w:rsidR="00ED6A5C" w:rsidRPr="002C29D2">
        <w:rPr>
          <w:i/>
          <w:iCs/>
        </w:rPr>
        <w:t xml:space="preserve">employee </w:t>
      </w:r>
      <w:r w:rsidR="003C644B" w:rsidRPr="002C29D2">
        <w:rPr>
          <w:i/>
          <w:iCs/>
        </w:rPr>
        <w:t xml:space="preserve">engagement. </w:t>
      </w:r>
      <w:r w:rsidR="00BA3B2A" w:rsidRPr="002C29D2">
        <w:t xml:space="preserve">   </w:t>
      </w:r>
    </w:p>
    <w:p w14:paraId="11569798" w14:textId="0DA74173" w:rsidR="00BA3B2A" w:rsidRPr="002C29D2" w:rsidRDefault="00BA3B2A" w:rsidP="00EE61CE">
      <w:pPr>
        <w:spacing w:line="480" w:lineRule="auto"/>
        <w:jc w:val="both"/>
      </w:pPr>
      <w:r w:rsidRPr="002C29D2">
        <w:t xml:space="preserve">          The above </w:t>
      </w:r>
      <w:r w:rsidR="00894AD6" w:rsidRPr="002C29D2">
        <w:t xml:space="preserve">analysis outlines </w:t>
      </w:r>
      <w:r w:rsidRPr="002C29D2">
        <w:t xml:space="preserve">a framework in which </w:t>
      </w:r>
      <w:r w:rsidR="00894AD6" w:rsidRPr="002C29D2">
        <w:t xml:space="preserve">employee </w:t>
      </w:r>
      <w:r w:rsidRPr="002C29D2">
        <w:t>engagement mediates the relation</w:t>
      </w:r>
      <w:r w:rsidR="00894AD6" w:rsidRPr="002C29D2">
        <w:t>ship</w:t>
      </w:r>
      <w:r w:rsidRPr="002C29D2">
        <w:t xml:space="preserve"> between </w:t>
      </w:r>
      <w:r w:rsidR="00894AD6" w:rsidRPr="002C29D2">
        <w:t xml:space="preserve">AI justice </w:t>
      </w:r>
      <w:r w:rsidRPr="002C29D2">
        <w:t>and</w:t>
      </w:r>
      <w:r w:rsidR="00894AD6" w:rsidRPr="002C29D2">
        <w:t xml:space="preserve"> behaviour</w:t>
      </w:r>
      <w:r w:rsidR="001B2B1A" w:rsidRPr="002C29D2">
        <w:t>al</w:t>
      </w:r>
      <w:r w:rsidR="00894AD6" w:rsidRPr="002C29D2">
        <w:t xml:space="preserve"> and attitudinal outcomes</w:t>
      </w:r>
      <w:r w:rsidRPr="002C29D2">
        <w:t>, and techno-overload moderates the relation</w:t>
      </w:r>
      <w:r w:rsidR="00894AD6" w:rsidRPr="002C29D2">
        <w:t>ship</w:t>
      </w:r>
      <w:r w:rsidRPr="002C29D2">
        <w:t xml:space="preserve"> between AI justice and engagement. </w:t>
      </w:r>
      <w:r w:rsidR="001B2B1A" w:rsidRPr="002C29D2">
        <w:t>Given</w:t>
      </w:r>
      <w:r w:rsidRPr="002C29D2">
        <w:t xml:space="preserve"> that techno-overload </w:t>
      </w:r>
      <w:r w:rsidR="001B2B1A" w:rsidRPr="002C29D2">
        <w:t>may indeed</w:t>
      </w:r>
      <w:r w:rsidRPr="002C29D2">
        <w:t xml:space="preserve"> weaken the effect </w:t>
      </w:r>
      <w:r w:rsidR="001B2B1A" w:rsidRPr="002C29D2">
        <w:t xml:space="preserve">of </w:t>
      </w:r>
      <w:r w:rsidRPr="002C29D2">
        <w:t xml:space="preserve">AI justice on engagement and that engagement </w:t>
      </w:r>
      <w:r w:rsidR="001B2B1A" w:rsidRPr="002C29D2">
        <w:t xml:space="preserve">may </w:t>
      </w:r>
      <w:r w:rsidRPr="002C29D2">
        <w:t xml:space="preserve">positively </w:t>
      </w:r>
      <w:r w:rsidRPr="002C29D2">
        <w:lastRenderedPageBreak/>
        <w:t xml:space="preserve">associate with </w:t>
      </w:r>
      <w:r w:rsidR="00894AD6" w:rsidRPr="002C29D2">
        <w:t>behavioural and attitudinal outcomes</w:t>
      </w:r>
      <w:r w:rsidRPr="002C29D2">
        <w:t xml:space="preserve">, it is logical to suggest a moderated mediation effect (Edwards and Lambert 2007) </w:t>
      </w:r>
      <w:r w:rsidR="00A70F9E" w:rsidRPr="002C29D2">
        <w:t xml:space="preserve">whereby </w:t>
      </w:r>
      <w:r w:rsidRPr="002C29D2">
        <w:t>techno-overload also moderates the strength of the mediating mechanism for engagement in the relation</w:t>
      </w:r>
      <w:r w:rsidR="00894AD6" w:rsidRPr="002C29D2">
        <w:t>ship</w:t>
      </w:r>
      <w:r w:rsidRPr="002C29D2">
        <w:t xml:space="preserve"> between AI justice and</w:t>
      </w:r>
      <w:r w:rsidR="00894AD6" w:rsidRPr="002C29D2">
        <w:t xml:space="preserve"> behavioural and attitudinal outcomes</w:t>
      </w:r>
      <w:r w:rsidRPr="002C29D2">
        <w:t xml:space="preserve">. As mentioned previously, a stronger relation between AI justice and engagement will be enabled by less techno-overload. </w:t>
      </w:r>
      <w:r w:rsidRPr="002C29D2">
        <w:rPr>
          <w:rFonts w:ascii="Times" w:hAnsi="Times"/>
          <w:iCs/>
        </w:rPr>
        <w:t>Consequently</w:t>
      </w:r>
      <w:r w:rsidRPr="002C29D2">
        <w:t xml:space="preserve">, the indirect effect of AI justice on </w:t>
      </w:r>
      <w:r w:rsidR="00A70F9E" w:rsidRPr="002C29D2">
        <w:t xml:space="preserve">the </w:t>
      </w:r>
      <w:r w:rsidRPr="002C29D2">
        <w:t xml:space="preserve">AI consequences </w:t>
      </w:r>
      <w:r w:rsidR="00A70F9E" w:rsidRPr="002C29D2">
        <w:t>(</w:t>
      </w:r>
      <w:r w:rsidRPr="002C29D2">
        <w:t>attitude</w:t>
      </w:r>
      <w:r w:rsidR="00894AD6" w:rsidRPr="002C29D2">
        <w:t>s</w:t>
      </w:r>
      <w:r w:rsidRPr="002C29D2">
        <w:t xml:space="preserve"> toward AI, satisfaction with AI, and</w:t>
      </w:r>
      <w:r w:rsidR="0043615C" w:rsidRPr="002C29D2">
        <w:t xml:space="preserve"> AI</w:t>
      </w:r>
      <w:r w:rsidRPr="002C29D2">
        <w:t xml:space="preserve"> usage intention</w:t>
      </w:r>
      <w:r w:rsidR="00A70F9E" w:rsidRPr="002C29D2">
        <w:t>s)</w:t>
      </w:r>
      <w:r w:rsidRPr="002C29D2">
        <w:t xml:space="preserve"> may also be stronger when techno-overload is low. </w:t>
      </w:r>
      <w:r w:rsidR="00A70F9E" w:rsidRPr="002C29D2">
        <w:t>Our final proposition is the following:</w:t>
      </w:r>
    </w:p>
    <w:p w14:paraId="36ABDEAF" w14:textId="0E9A1F66" w:rsidR="00BA3B2A" w:rsidRPr="002C29D2" w:rsidRDefault="00BA3B2A" w:rsidP="00EE61CE">
      <w:pPr>
        <w:spacing w:line="480" w:lineRule="auto"/>
        <w:jc w:val="both"/>
        <w:rPr>
          <w:i/>
          <w:iCs/>
        </w:rPr>
      </w:pPr>
      <w:r w:rsidRPr="002C29D2">
        <w:rPr>
          <w:b/>
          <w:bCs/>
          <w:i/>
          <w:iCs/>
        </w:rPr>
        <w:t>Hypothesis 9 (H9):</w:t>
      </w:r>
      <w:r w:rsidRPr="002C29D2">
        <w:rPr>
          <w:i/>
          <w:iCs/>
        </w:rPr>
        <w:t xml:space="preserve"> Techno-overload moderates the mediating effect of engagement on the relation</w:t>
      </w:r>
      <w:r w:rsidR="00894AD6" w:rsidRPr="002C29D2">
        <w:rPr>
          <w:i/>
          <w:iCs/>
        </w:rPr>
        <w:t>ship</w:t>
      </w:r>
      <w:r w:rsidRPr="002C29D2">
        <w:rPr>
          <w:i/>
          <w:iCs/>
        </w:rPr>
        <w:t xml:space="preserve"> between AI justice and</w:t>
      </w:r>
      <w:r w:rsidR="00894AD6" w:rsidRPr="002C29D2">
        <w:rPr>
          <w:i/>
          <w:iCs/>
        </w:rPr>
        <w:t xml:space="preserve"> behavioural and attitudinal outcomes</w:t>
      </w:r>
      <w:r w:rsidRPr="002C29D2">
        <w:rPr>
          <w:i/>
          <w:iCs/>
        </w:rPr>
        <w:t>, such that techno-overload weakens the indirect effect of AI justice on healthcare practitioner’s (a) attitude towards AI, (b) satisfaction with AI, and (c)</w:t>
      </w:r>
      <w:r w:rsidR="0043615C" w:rsidRPr="002C29D2">
        <w:rPr>
          <w:i/>
          <w:iCs/>
        </w:rPr>
        <w:t xml:space="preserve"> AI</w:t>
      </w:r>
      <w:r w:rsidRPr="002C29D2">
        <w:rPr>
          <w:i/>
          <w:iCs/>
        </w:rPr>
        <w:t xml:space="preserve"> usage </w:t>
      </w:r>
      <w:r w:rsidR="00A70F9E" w:rsidRPr="002C29D2">
        <w:rPr>
          <w:i/>
          <w:iCs/>
        </w:rPr>
        <w:t>intention</w:t>
      </w:r>
      <w:r w:rsidR="004F5338" w:rsidRPr="002C29D2">
        <w:rPr>
          <w:i/>
          <w:iCs/>
        </w:rPr>
        <w:t>s,</w:t>
      </w:r>
      <w:r w:rsidRPr="002C29D2">
        <w:rPr>
          <w:i/>
          <w:iCs/>
        </w:rPr>
        <w:t xml:space="preserve"> via engagement.</w:t>
      </w:r>
    </w:p>
    <w:p w14:paraId="2AE87861" w14:textId="77777777" w:rsidR="001C780C" w:rsidRPr="002C29D2" w:rsidRDefault="001C780C" w:rsidP="00EE61CE">
      <w:pPr>
        <w:spacing w:line="480" w:lineRule="auto"/>
        <w:jc w:val="both"/>
        <w:rPr>
          <w:i/>
          <w:iCs/>
        </w:rPr>
      </w:pPr>
    </w:p>
    <w:p w14:paraId="45B581FA" w14:textId="07E700B9" w:rsidR="00DA041B" w:rsidRPr="002C29D2" w:rsidRDefault="00F447C5" w:rsidP="002B1051">
      <w:pPr>
        <w:spacing w:line="480" w:lineRule="auto"/>
        <w:jc w:val="both"/>
        <w:rPr>
          <w:b/>
          <w:bCs/>
          <w:iCs/>
        </w:rPr>
      </w:pPr>
      <w:r w:rsidRPr="002C29D2">
        <w:rPr>
          <w:b/>
          <w:bCs/>
          <w:iCs/>
        </w:rPr>
        <w:t>4. Method</w:t>
      </w:r>
    </w:p>
    <w:p w14:paraId="5F4829D6" w14:textId="77777777" w:rsidR="00870E8C" w:rsidRPr="002C29D2" w:rsidRDefault="00870E8C" w:rsidP="002B1051">
      <w:pPr>
        <w:spacing w:line="480" w:lineRule="auto"/>
        <w:jc w:val="both"/>
        <w:rPr>
          <w:i/>
        </w:rPr>
      </w:pPr>
      <w:r w:rsidRPr="002C29D2">
        <w:rPr>
          <w:i/>
        </w:rPr>
        <w:t>4.1 Measures</w:t>
      </w:r>
    </w:p>
    <w:p w14:paraId="48837EE8" w14:textId="64F262F0" w:rsidR="0062539E" w:rsidRPr="002C29D2" w:rsidRDefault="0062539E" w:rsidP="0062539E">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Measurement items (Table 1) were adapted from previous studies: beneficence (Martela and Ryan 2016), autonomy (Chen et al. 2015), justice (Newman et al. 2020), attitude (Lau-Gesk 2003), satisfaction with AI (McLean and Osei-Frimpong 2019), and usage intention</w:t>
      </w:r>
      <w:r w:rsidR="008A5FFB" w:rsidRPr="002C29D2">
        <w:rPr>
          <w:rFonts w:ascii="Times New Roman" w:hAnsi="Times New Roman"/>
          <w:sz w:val="24"/>
        </w:rPr>
        <w:t>s</w:t>
      </w:r>
      <w:r w:rsidR="00887208" w:rsidRPr="002C29D2">
        <w:rPr>
          <w:rFonts w:ascii="Times New Roman" w:hAnsi="Times New Roman"/>
          <w:sz w:val="24"/>
        </w:rPr>
        <w:t xml:space="preserve"> (Moons and De Pelsmacker 2012). The technological security scale was adapted from Carlos Roca et al. (2009) as a proxy to measure non-maleficence. Technological transparency was used as a proxy for explainability (Haesevoets et al. 2019). The measurement items for techno-overload were adopted from Tarafdar et al. (2007) and Krishnan (2017). All the items were randomized and measured with a seven-item Likert-type scale ranging from ‘strongly disagree’ to ‘strongly agree’</w:t>
      </w:r>
      <w:r w:rsidR="008A5FFB" w:rsidRPr="002C29D2">
        <w:rPr>
          <w:rFonts w:ascii="Times New Roman" w:hAnsi="Times New Roman"/>
          <w:sz w:val="24"/>
        </w:rPr>
        <w:t>.</w:t>
      </w:r>
    </w:p>
    <w:p w14:paraId="55461324" w14:textId="62AC776D" w:rsidR="00887208" w:rsidRPr="002C29D2" w:rsidRDefault="0062539E" w:rsidP="0062539E">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 xml:space="preserve">In addition to adapting all the measurement items from the existing literature, </w:t>
      </w:r>
      <w:r w:rsidR="008A5FFB" w:rsidRPr="002C29D2">
        <w:rPr>
          <w:rFonts w:ascii="Times New Roman" w:hAnsi="Times New Roman"/>
          <w:sz w:val="24"/>
        </w:rPr>
        <w:t xml:space="preserve">we also </w:t>
      </w:r>
      <w:r w:rsidR="008A5FFB" w:rsidRPr="002C29D2">
        <w:rPr>
          <w:rFonts w:ascii="Times New Roman" w:hAnsi="Times New Roman"/>
          <w:sz w:val="24"/>
        </w:rPr>
        <w:lastRenderedPageBreak/>
        <w:t>validated them by</w:t>
      </w:r>
      <w:r w:rsidR="00887208" w:rsidRPr="002C29D2">
        <w:rPr>
          <w:rFonts w:ascii="Times New Roman" w:hAnsi="Times New Roman"/>
          <w:sz w:val="24"/>
        </w:rPr>
        <w:t xml:space="preserve"> consult</w:t>
      </w:r>
      <w:r w:rsidR="008A5FFB" w:rsidRPr="002C29D2">
        <w:rPr>
          <w:rFonts w:ascii="Times New Roman" w:hAnsi="Times New Roman"/>
          <w:sz w:val="24"/>
        </w:rPr>
        <w:t>ing</w:t>
      </w:r>
      <w:r w:rsidR="00887208" w:rsidRPr="002C29D2">
        <w:rPr>
          <w:rFonts w:ascii="Times New Roman" w:hAnsi="Times New Roman"/>
          <w:sz w:val="24"/>
        </w:rPr>
        <w:t xml:space="preserve"> AI experts and healthcare practitioners (Vogt et al. 2004). The original questionnaire was written in English. The English version was translated into Chinese by an English-to-Chinse translator and a bilingual doctoral student. The Chinese version was then translated back to English</w:t>
      </w:r>
      <w:r w:rsidR="008A5FFB" w:rsidRPr="002C29D2">
        <w:rPr>
          <w:rFonts w:ascii="Times New Roman" w:hAnsi="Times New Roman"/>
          <w:sz w:val="24"/>
        </w:rPr>
        <w:t xml:space="preserve">. This process identifies and </w:t>
      </w:r>
      <w:r w:rsidR="00887208" w:rsidRPr="002C29D2">
        <w:rPr>
          <w:rFonts w:ascii="Times New Roman" w:hAnsi="Times New Roman"/>
          <w:sz w:val="24"/>
        </w:rPr>
        <w:t>minimize</w:t>
      </w:r>
      <w:r w:rsidR="008A5FFB" w:rsidRPr="002C29D2">
        <w:rPr>
          <w:rFonts w:ascii="Times New Roman" w:hAnsi="Times New Roman"/>
          <w:sz w:val="24"/>
        </w:rPr>
        <w:t>s</w:t>
      </w:r>
      <w:r w:rsidR="00887208" w:rsidRPr="002C29D2">
        <w:rPr>
          <w:rFonts w:ascii="Times New Roman" w:hAnsi="Times New Roman"/>
          <w:sz w:val="24"/>
        </w:rPr>
        <w:t xml:space="preserve"> any loss of meaning (Anderson and Brislin 1976; Gong et al. 2020). Once the translations were satisfactory, we invited a panel of two AI experts and two healthcare practitioners from a Chinese Hospital who have used AI </w:t>
      </w:r>
      <w:r w:rsidR="008A5FFB" w:rsidRPr="002C29D2">
        <w:rPr>
          <w:rFonts w:ascii="Times New Roman" w:hAnsi="Times New Roman"/>
          <w:sz w:val="24"/>
        </w:rPr>
        <w:t xml:space="preserve">in </w:t>
      </w:r>
      <w:r w:rsidR="00887208" w:rsidRPr="002C29D2">
        <w:rPr>
          <w:rFonts w:ascii="Times New Roman" w:hAnsi="Times New Roman"/>
          <w:sz w:val="24"/>
        </w:rPr>
        <w:t>their workplace</w:t>
      </w:r>
      <w:r w:rsidR="008A5FFB" w:rsidRPr="002C29D2">
        <w:rPr>
          <w:rFonts w:ascii="Times New Roman" w:hAnsi="Times New Roman"/>
          <w:sz w:val="24"/>
        </w:rPr>
        <w:t>,</w:t>
      </w:r>
      <w:r w:rsidR="00887208" w:rsidRPr="002C29D2">
        <w:rPr>
          <w:rFonts w:ascii="Times New Roman" w:hAnsi="Times New Roman"/>
          <w:sz w:val="24"/>
        </w:rPr>
        <w:t xml:space="preserve"> to review all the measurement items. Table 1 provides a list of items that we used in the research. </w:t>
      </w:r>
    </w:p>
    <w:p w14:paraId="043B6C99" w14:textId="77777777" w:rsidR="0083758E" w:rsidRPr="002C29D2" w:rsidRDefault="0083758E" w:rsidP="002B1051">
      <w:pPr>
        <w:pStyle w:val="NoSpacing"/>
        <w:spacing w:line="480" w:lineRule="auto"/>
        <w:jc w:val="center"/>
        <w:rPr>
          <w:sz w:val="24"/>
        </w:rPr>
      </w:pPr>
      <w:r w:rsidRPr="002C29D2">
        <w:rPr>
          <w:sz w:val="24"/>
        </w:rPr>
        <w:t>INSERT TABLE 1 HERE</w:t>
      </w:r>
    </w:p>
    <w:p w14:paraId="0541E606" w14:textId="77777777" w:rsidR="00295F36" w:rsidRPr="002C29D2" w:rsidRDefault="00870E8C" w:rsidP="002B1051">
      <w:pPr>
        <w:spacing w:line="480" w:lineRule="auto"/>
        <w:jc w:val="both"/>
        <w:rPr>
          <w:i/>
        </w:rPr>
      </w:pPr>
      <w:r w:rsidRPr="002C29D2">
        <w:rPr>
          <w:i/>
        </w:rPr>
        <w:t xml:space="preserve">4.2 Data collection </w:t>
      </w:r>
    </w:p>
    <w:p w14:paraId="54A031FB" w14:textId="74D1330E" w:rsidR="00887208" w:rsidRPr="002C29D2" w:rsidRDefault="00C740BF" w:rsidP="00887208">
      <w:pPr>
        <w:spacing w:line="480" w:lineRule="auto"/>
        <w:jc w:val="both"/>
      </w:pPr>
      <w:r w:rsidRPr="002C29D2">
        <w:rPr>
          <w:iCs/>
        </w:rPr>
        <w:tab/>
      </w:r>
      <w:r w:rsidR="00887208" w:rsidRPr="002C29D2">
        <w:rPr>
          <w:iCs/>
        </w:rPr>
        <w:t xml:space="preserve">All participants are healthcare practitioners working in the West China Hospital and </w:t>
      </w:r>
      <w:r w:rsidR="00B77083" w:rsidRPr="002C29D2">
        <w:rPr>
          <w:iCs/>
        </w:rPr>
        <w:t xml:space="preserve">other </w:t>
      </w:r>
      <w:r w:rsidR="00887208" w:rsidRPr="002C29D2">
        <w:rPr>
          <w:iCs/>
        </w:rPr>
        <w:t xml:space="preserve">Grade A tertiary hospitals in China. Since AI technology has not yet been widely adopted in the healthcare industry, </w:t>
      </w:r>
      <w:r w:rsidR="006B3E05" w:rsidRPr="002C29D2">
        <w:rPr>
          <w:iCs/>
        </w:rPr>
        <w:t>AI-related</w:t>
      </w:r>
      <w:r w:rsidR="00887208" w:rsidRPr="002C29D2">
        <w:rPr>
          <w:iCs/>
        </w:rPr>
        <w:t xml:space="preserve"> </w:t>
      </w:r>
      <w:r w:rsidR="00B77083" w:rsidRPr="002C29D2">
        <w:rPr>
          <w:iCs/>
        </w:rPr>
        <w:t xml:space="preserve">provisions </w:t>
      </w:r>
      <w:r w:rsidR="00887208" w:rsidRPr="002C29D2">
        <w:rPr>
          <w:iCs/>
        </w:rPr>
        <w:t xml:space="preserve">are primarily </w:t>
      </w:r>
      <w:r w:rsidR="00B77083" w:rsidRPr="002C29D2">
        <w:rPr>
          <w:iCs/>
        </w:rPr>
        <w:t>available</w:t>
      </w:r>
      <w:r w:rsidR="006B3E05" w:rsidRPr="002C29D2">
        <w:rPr>
          <w:iCs/>
        </w:rPr>
        <w:t xml:space="preserve"> </w:t>
      </w:r>
      <w:r w:rsidR="00887208" w:rsidRPr="002C29D2">
        <w:rPr>
          <w:iCs/>
        </w:rPr>
        <w:t>in tertiary hospitals classified as Grade A</w:t>
      </w:r>
      <w:r w:rsidR="00887208" w:rsidRPr="002C29D2">
        <w:t xml:space="preserve"> (</w:t>
      </w:r>
      <w:r w:rsidR="006B3E05" w:rsidRPr="002C29D2">
        <w:t xml:space="preserve">see </w:t>
      </w:r>
      <w:r w:rsidR="00887208" w:rsidRPr="002C29D2">
        <w:t xml:space="preserve">Appendix </w:t>
      </w:r>
      <w:r w:rsidR="00440C25" w:rsidRPr="002C29D2">
        <w:t>B</w:t>
      </w:r>
      <w:r w:rsidR="006B3E05" w:rsidRPr="002C29D2">
        <w:t xml:space="preserve"> for hospital classification</w:t>
      </w:r>
      <w:r w:rsidR="00887208" w:rsidRPr="002C29D2">
        <w:t xml:space="preserve">) </w:t>
      </w:r>
      <w:r w:rsidR="00767744" w:rsidRPr="002C29D2">
        <w:t>(</w:t>
      </w:r>
      <w:r w:rsidR="00B13129" w:rsidRPr="002C29D2">
        <w:t>Chinese Innovative Alliance of Industry, Education, Research and Application of Artificial Intelligence for Medical</w:t>
      </w:r>
      <w:r w:rsidR="00767744" w:rsidRPr="002C29D2">
        <w:t xml:space="preserve"> 2019)</w:t>
      </w:r>
      <w:r w:rsidR="00887208" w:rsidRPr="002C29D2">
        <w:t xml:space="preserve">. </w:t>
      </w:r>
      <w:r w:rsidR="006B3E05" w:rsidRPr="002C29D2">
        <w:rPr>
          <w:iCs/>
        </w:rPr>
        <w:t>The</w:t>
      </w:r>
      <w:r w:rsidR="00887208" w:rsidRPr="002C29D2">
        <w:rPr>
          <w:iCs/>
        </w:rPr>
        <w:t xml:space="preserve"> West China Hospital</w:t>
      </w:r>
      <w:r w:rsidR="00B77083" w:rsidRPr="002C29D2">
        <w:rPr>
          <w:iCs/>
        </w:rPr>
        <w:t xml:space="preserve"> is in this category as </w:t>
      </w:r>
      <w:r w:rsidR="00887208" w:rsidRPr="002C29D2">
        <w:rPr>
          <w:iCs/>
        </w:rPr>
        <w:t xml:space="preserve">China’s largest and the </w:t>
      </w:r>
      <w:r w:rsidR="00B77083" w:rsidRPr="002C29D2">
        <w:rPr>
          <w:iCs/>
        </w:rPr>
        <w:t>w</w:t>
      </w:r>
      <w:r w:rsidR="00887208" w:rsidRPr="002C29D2">
        <w:rPr>
          <w:iCs/>
        </w:rPr>
        <w:t>orld’s second-largest hospital</w:t>
      </w:r>
      <w:r w:rsidR="00B77083" w:rsidRPr="002C29D2">
        <w:rPr>
          <w:iCs/>
        </w:rPr>
        <w:t xml:space="preserve">, having 4,300 ward beds and being among </w:t>
      </w:r>
      <w:r w:rsidR="006B3E05" w:rsidRPr="002C29D2">
        <w:rPr>
          <w:iCs/>
        </w:rPr>
        <w:t>the top</w:t>
      </w:r>
      <w:r w:rsidR="00887208" w:rsidRPr="002C29D2">
        <w:rPr>
          <w:iCs/>
        </w:rPr>
        <w:t xml:space="preserve"> research hospital</w:t>
      </w:r>
      <w:r w:rsidR="006B3E05" w:rsidRPr="002C29D2">
        <w:rPr>
          <w:iCs/>
        </w:rPr>
        <w:t>s</w:t>
      </w:r>
      <w:r w:rsidR="00887208" w:rsidRPr="002C29D2">
        <w:rPr>
          <w:iCs/>
        </w:rPr>
        <w:t xml:space="preserve"> in China. </w:t>
      </w:r>
      <w:r w:rsidR="00672A26" w:rsidRPr="002C29D2">
        <w:rPr>
          <w:iCs/>
        </w:rPr>
        <w:t xml:space="preserve">Its </w:t>
      </w:r>
      <w:r w:rsidR="00887208" w:rsidRPr="002C29D2">
        <w:rPr>
          <w:iCs/>
        </w:rPr>
        <w:t xml:space="preserve">AI implementation has achieved </w:t>
      </w:r>
      <w:r w:rsidR="00672A26" w:rsidRPr="002C29D2">
        <w:rPr>
          <w:iCs/>
        </w:rPr>
        <w:t xml:space="preserve">both </w:t>
      </w:r>
      <w:r w:rsidR="00887208" w:rsidRPr="002C29D2">
        <w:rPr>
          <w:iCs/>
        </w:rPr>
        <w:t xml:space="preserve">domestic and international recognition </w:t>
      </w:r>
      <w:r w:rsidR="004619AF" w:rsidRPr="002C29D2">
        <w:rPr>
          <w:iCs/>
        </w:rPr>
        <w:t>(West China Hospital 2020; Zhou et al. 2020; Cancer</w:t>
      </w:r>
      <w:r w:rsidR="00672A26" w:rsidRPr="002C29D2">
        <w:rPr>
          <w:iCs/>
        </w:rPr>
        <w:t xml:space="preserve"> </w:t>
      </w:r>
      <w:r w:rsidR="004619AF" w:rsidRPr="002C29D2">
        <w:rPr>
          <w:iCs/>
        </w:rPr>
        <w:t>Research</w:t>
      </w:r>
      <w:r w:rsidR="00672A26" w:rsidRPr="002C29D2">
        <w:rPr>
          <w:iCs/>
        </w:rPr>
        <w:t xml:space="preserve"> </w:t>
      </w:r>
      <w:r w:rsidR="004619AF" w:rsidRPr="002C29D2">
        <w:rPr>
          <w:iCs/>
        </w:rPr>
        <w:t>UK 2020; Novuseeds</w:t>
      </w:r>
      <w:r w:rsidR="00672A26" w:rsidRPr="002C29D2">
        <w:rPr>
          <w:iCs/>
        </w:rPr>
        <w:t xml:space="preserve"> </w:t>
      </w:r>
      <w:r w:rsidR="004619AF" w:rsidRPr="002C29D2">
        <w:rPr>
          <w:iCs/>
        </w:rPr>
        <w:t>Medtech 2018)</w:t>
      </w:r>
      <w:r w:rsidR="00887208" w:rsidRPr="002C29D2">
        <w:t xml:space="preserve">. </w:t>
      </w:r>
      <w:r w:rsidR="00672A26" w:rsidRPr="002C29D2">
        <w:t>W</w:t>
      </w:r>
      <w:r w:rsidR="00887208" w:rsidRPr="002C29D2">
        <w:t xml:space="preserve">e </w:t>
      </w:r>
      <w:r w:rsidR="006B3E05" w:rsidRPr="002C29D2">
        <w:t>only select</w:t>
      </w:r>
      <w:r w:rsidR="00672A26" w:rsidRPr="002C29D2">
        <w:t>ed</w:t>
      </w:r>
      <w:r w:rsidR="006B3E05" w:rsidRPr="002C29D2">
        <w:t xml:space="preserve"> </w:t>
      </w:r>
      <w:r w:rsidR="00887208" w:rsidRPr="002C29D2">
        <w:t xml:space="preserve">healthcare practitioners working in </w:t>
      </w:r>
      <w:r w:rsidR="00672A26" w:rsidRPr="002C29D2">
        <w:t>this</w:t>
      </w:r>
      <w:r w:rsidR="00887208" w:rsidRPr="002C29D2">
        <w:t xml:space="preserve"> and other Grade A tertiary hospitals for </w:t>
      </w:r>
      <w:r w:rsidR="00672A26" w:rsidRPr="002C29D2">
        <w:t>these</w:t>
      </w:r>
      <w:r w:rsidR="00887208" w:rsidRPr="002C29D2">
        <w:t xml:space="preserve"> reasons.</w:t>
      </w:r>
    </w:p>
    <w:p w14:paraId="20AA3EC8" w14:textId="684A4E9B" w:rsidR="00887208" w:rsidRPr="002C29D2" w:rsidRDefault="00887208" w:rsidP="00887208">
      <w:pPr>
        <w:spacing w:line="480" w:lineRule="auto"/>
        <w:ind w:firstLine="720"/>
        <w:jc w:val="both"/>
      </w:pPr>
      <w:r w:rsidRPr="002C29D2">
        <w:t xml:space="preserve">To recruit </w:t>
      </w:r>
      <w:r w:rsidR="00672A26" w:rsidRPr="002C29D2">
        <w:t>these participants</w:t>
      </w:r>
      <w:r w:rsidRPr="002C29D2">
        <w:t xml:space="preserve">, we created an advertisement </w:t>
      </w:r>
      <w:r w:rsidR="00672A26" w:rsidRPr="002C29D2">
        <w:t>targeting</w:t>
      </w:r>
      <w:r w:rsidRPr="002C29D2">
        <w:t xml:space="preserve"> those with previous experience </w:t>
      </w:r>
      <w:r w:rsidR="006B3E05" w:rsidRPr="002C29D2">
        <w:t xml:space="preserve">of </w:t>
      </w:r>
      <w:r w:rsidRPr="002C29D2">
        <w:t>AI in healthcare. We then posted our survey invitation in three active WeChat (</w:t>
      </w:r>
      <w:r w:rsidR="002B096F" w:rsidRPr="002C29D2">
        <w:t>a Chinese social media platform</w:t>
      </w:r>
      <w:r w:rsidRPr="002C29D2">
        <w:t>) work</w:t>
      </w:r>
      <w:r w:rsidR="00672A26" w:rsidRPr="002C29D2">
        <w:t>place</w:t>
      </w:r>
      <w:r w:rsidRPr="002C29D2">
        <w:t xml:space="preserve"> chat groups </w:t>
      </w:r>
      <w:r w:rsidR="002B096F" w:rsidRPr="002C29D2">
        <w:t>of</w:t>
      </w:r>
      <w:r w:rsidR="00672A26" w:rsidRPr="002C29D2">
        <w:t xml:space="preserve"> </w:t>
      </w:r>
      <w:r w:rsidRPr="002C29D2">
        <w:t xml:space="preserve">the West China Hospital (1252 healthcare practitioners in total), asking for voluntary participation. </w:t>
      </w:r>
      <w:r w:rsidR="006B3E05" w:rsidRPr="002C29D2">
        <w:t>We recruited the</w:t>
      </w:r>
      <w:r w:rsidRPr="002C29D2">
        <w:t xml:space="preserve"> healthcare </w:t>
      </w:r>
      <w:r w:rsidRPr="002C29D2">
        <w:lastRenderedPageBreak/>
        <w:t xml:space="preserve">practitioners </w:t>
      </w:r>
      <w:r w:rsidR="00672A26" w:rsidRPr="002C29D2">
        <w:t>this way</w:t>
      </w:r>
      <w:r w:rsidRPr="002C29D2">
        <w:t xml:space="preserve"> </w:t>
      </w:r>
      <w:r w:rsidR="006B3E05" w:rsidRPr="002C29D2">
        <w:t>because</w:t>
      </w:r>
      <w:r w:rsidRPr="002C29D2">
        <w:t xml:space="preserve"> WeChat is the largest mobile instant text and voice messaging communication service in China, with about 1,206 million </w:t>
      </w:r>
      <w:r w:rsidR="00672A26" w:rsidRPr="002C29D2">
        <w:t xml:space="preserve">active </w:t>
      </w:r>
      <w:r w:rsidRPr="002C29D2">
        <w:t>users</w:t>
      </w:r>
      <w:r w:rsidR="00672A26" w:rsidRPr="002C29D2">
        <w:t xml:space="preserve"> per month</w:t>
      </w:r>
      <w:r w:rsidRPr="002C29D2">
        <w:t xml:space="preserve"> (Tencent 2020). </w:t>
      </w:r>
      <w:r w:rsidR="006B3E05" w:rsidRPr="002C29D2">
        <w:t>Many</w:t>
      </w:r>
      <w:r w:rsidRPr="002C29D2">
        <w:t xml:space="preserve"> Chinese organi</w:t>
      </w:r>
      <w:r w:rsidR="006B3E05" w:rsidRPr="002C29D2">
        <w:t>s</w:t>
      </w:r>
      <w:r w:rsidRPr="002C29D2">
        <w:t>ations</w:t>
      </w:r>
      <w:r w:rsidR="006B3E05" w:rsidRPr="002C29D2">
        <w:t xml:space="preserve"> </w:t>
      </w:r>
      <w:r w:rsidR="00672A26" w:rsidRPr="002C29D2">
        <w:t xml:space="preserve">like the </w:t>
      </w:r>
      <w:r w:rsidRPr="002C29D2">
        <w:t xml:space="preserve">West China Hospital </w:t>
      </w:r>
      <w:r w:rsidR="006B3E05" w:rsidRPr="002C29D2">
        <w:t>are using</w:t>
      </w:r>
      <w:r w:rsidRPr="002C29D2">
        <w:t xml:space="preserve"> </w:t>
      </w:r>
      <w:r w:rsidR="006B3E05" w:rsidRPr="002C29D2">
        <w:t xml:space="preserve">WeChat’s </w:t>
      </w:r>
      <w:r w:rsidRPr="002C29D2">
        <w:t xml:space="preserve">group chat function </w:t>
      </w:r>
      <w:r w:rsidR="006B3E05" w:rsidRPr="002C29D2">
        <w:t xml:space="preserve">as an important communication channel </w:t>
      </w:r>
      <w:r w:rsidRPr="002C29D2">
        <w:t>(</w:t>
      </w:r>
      <w:r w:rsidR="00011FAC" w:rsidRPr="002C29D2">
        <w:t>Deng 2020</w:t>
      </w:r>
      <w:r w:rsidRPr="002C29D2">
        <w:t xml:space="preserve">). </w:t>
      </w:r>
      <w:r w:rsidR="006B3E05" w:rsidRPr="002C29D2">
        <w:t>Additionally, w</w:t>
      </w:r>
      <w:r w:rsidRPr="002C29D2">
        <w:t>e also approached healthcare practitioners who work in other Grade A tertiary hospitals</w:t>
      </w:r>
      <w:r w:rsidR="004D68AB" w:rsidRPr="002C29D2">
        <w:t>,</w:t>
      </w:r>
      <w:r w:rsidRPr="002C29D2">
        <w:t xml:space="preserve"> via Sojump, a paid</w:t>
      </w:r>
      <w:r w:rsidR="004D68AB" w:rsidRPr="002C29D2">
        <w:t xml:space="preserve"> online</w:t>
      </w:r>
      <w:r w:rsidRPr="002C29D2">
        <w:t xml:space="preserve"> sampling service</w:t>
      </w:r>
      <w:r w:rsidR="004D68AB" w:rsidRPr="002C29D2">
        <w:t xml:space="preserve"> for</w:t>
      </w:r>
      <w:r w:rsidRPr="002C29D2">
        <w:t xml:space="preserve"> </w:t>
      </w:r>
      <w:r w:rsidR="004D68AB" w:rsidRPr="002C29D2">
        <w:t xml:space="preserve">survey research </w:t>
      </w:r>
      <w:r w:rsidRPr="002C29D2">
        <w:t>in China</w:t>
      </w:r>
      <w:r w:rsidR="004D68AB" w:rsidRPr="002C29D2">
        <w:t>,</w:t>
      </w:r>
      <w:r w:rsidRPr="002C29D2">
        <w:t xml:space="preserve"> that can reach up to 500 healthcare practitioners work</w:t>
      </w:r>
      <w:r w:rsidR="004D68AB" w:rsidRPr="002C29D2">
        <w:t>ing</w:t>
      </w:r>
      <w:r w:rsidRPr="002C29D2">
        <w:t xml:space="preserve"> in Grade A tertiary hospitals.</w:t>
      </w:r>
      <w:r w:rsidR="00AD6601" w:rsidRPr="002C29D2">
        <w:t xml:space="preserve"> </w:t>
      </w:r>
    </w:p>
    <w:p w14:paraId="7C71F582" w14:textId="77777777" w:rsidR="0062539E" w:rsidRPr="002C29D2" w:rsidRDefault="00887208" w:rsidP="0062539E">
      <w:pPr>
        <w:spacing w:line="480" w:lineRule="auto"/>
        <w:ind w:firstLine="720"/>
        <w:jc w:val="both"/>
      </w:pPr>
      <w:r w:rsidRPr="002C29D2">
        <w:rPr>
          <w:iCs/>
        </w:rPr>
        <w:t xml:space="preserve">As an introduction, </w:t>
      </w:r>
      <w:r w:rsidRPr="002C29D2">
        <w:rPr>
          <w:rFonts w:eastAsia="DengXian"/>
          <w:kern w:val="2"/>
        </w:rPr>
        <w:t>all participants were given a short summary of AI applications</w:t>
      </w:r>
      <w:r w:rsidR="004D68AB" w:rsidRPr="002C29D2">
        <w:rPr>
          <w:rFonts w:eastAsia="DengXian"/>
          <w:kern w:val="2"/>
        </w:rPr>
        <w:t xml:space="preserve"> used</w:t>
      </w:r>
      <w:r w:rsidRPr="002C29D2">
        <w:rPr>
          <w:rFonts w:eastAsia="DengXian"/>
          <w:kern w:val="2"/>
        </w:rPr>
        <w:t xml:space="preserve"> in the medical field </w:t>
      </w:r>
      <w:r w:rsidR="00620E94" w:rsidRPr="002C29D2">
        <w:rPr>
          <w:rFonts w:eastAsia="DengXian"/>
          <w:kern w:val="2"/>
          <w:lang w:eastAsia="zh-TW"/>
        </w:rPr>
        <w:t xml:space="preserve">(see Appendix </w:t>
      </w:r>
      <w:r w:rsidR="00440C25" w:rsidRPr="002C29D2">
        <w:rPr>
          <w:rFonts w:eastAsia="DengXian"/>
          <w:kern w:val="2"/>
          <w:lang w:eastAsia="zh-TW"/>
        </w:rPr>
        <w:t>C</w:t>
      </w:r>
      <w:r w:rsidR="00620E94" w:rsidRPr="002C29D2">
        <w:rPr>
          <w:rFonts w:eastAsia="DengXian"/>
          <w:kern w:val="2"/>
          <w:lang w:eastAsia="zh-TW"/>
        </w:rPr>
        <w:t xml:space="preserve">) </w:t>
      </w:r>
      <w:r w:rsidRPr="002C29D2">
        <w:rPr>
          <w:rFonts w:eastAsia="DengXian"/>
          <w:kern w:val="2"/>
        </w:rPr>
        <w:t>and exemplar AI applications (</w:t>
      </w:r>
      <w:r w:rsidR="00C278A1" w:rsidRPr="002C29D2">
        <w:t>Chinese Innovative Alliance of Industry, Education, Research and Application of Artificial Intelligence for Medical</w:t>
      </w:r>
      <w:r w:rsidRPr="002C29D2">
        <w:rPr>
          <w:rFonts w:eastAsia="DengXian"/>
          <w:kern w:val="2"/>
        </w:rPr>
        <w:t xml:space="preserve"> 2019) prior to their participation. To ensure data quality, we</w:t>
      </w:r>
      <w:r w:rsidRPr="002C29D2">
        <w:rPr>
          <w:iCs/>
        </w:rPr>
        <w:t xml:space="preserve"> only </w:t>
      </w:r>
      <w:r w:rsidRPr="002C29D2">
        <w:t xml:space="preserve">retained responses from healthcare practitioners who have used AI technology in their </w:t>
      </w:r>
      <w:r w:rsidRPr="002C29D2">
        <w:rPr>
          <w:rFonts w:eastAsia="DengXian"/>
          <w:kern w:val="2"/>
        </w:rPr>
        <w:t>workplace</w:t>
      </w:r>
      <w:r w:rsidRPr="002C29D2">
        <w:t>. In addition to the survey invitation and consent form, two screening questions were used to filter out ineligible respondents with no experience with AI</w:t>
      </w:r>
      <w:r w:rsidR="004D68AB" w:rsidRPr="002C29D2">
        <w:t xml:space="preserve">: </w:t>
      </w:r>
      <w:r w:rsidRPr="002C29D2">
        <w:t>“Have you used AI technology in your workplace before?” and “How much time (hours) on average do you use AI technology per week?” Furthermore, we added two open questions asking the name and region of the</w:t>
      </w:r>
      <w:r w:rsidR="004D68AB" w:rsidRPr="002C29D2">
        <w:t>ir</w:t>
      </w:r>
      <w:r w:rsidRPr="002C29D2">
        <w:t xml:space="preserve"> hospital in order to </w:t>
      </w:r>
      <w:r w:rsidR="004D68AB" w:rsidRPr="002C29D2">
        <w:t>en</w:t>
      </w:r>
      <w:r w:rsidRPr="002C29D2">
        <w:t xml:space="preserve">sure </w:t>
      </w:r>
      <w:r w:rsidR="004D68AB" w:rsidRPr="002C29D2">
        <w:t xml:space="preserve">it </w:t>
      </w:r>
      <w:r w:rsidRPr="002C29D2">
        <w:t xml:space="preserve">matches </w:t>
      </w:r>
      <w:r w:rsidR="004D68AB" w:rsidRPr="002C29D2">
        <w:t xml:space="preserve">the </w:t>
      </w:r>
      <w:r w:rsidRPr="002C29D2">
        <w:t xml:space="preserve">classification. Finally, we checked the IP addresses for all responses to </w:t>
      </w:r>
      <w:r w:rsidR="005D3CA1" w:rsidRPr="002C29D2">
        <w:t xml:space="preserve">detect any </w:t>
      </w:r>
      <w:r w:rsidR="004D68AB" w:rsidRPr="002C29D2">
        <w:t>replic</w:t>
      </w:r>
      <w:r w:rsidR="005D3CA1" w:rsidRPr="002C29D2">
        <w:t>a</w:t>
      </w:r>
      <w:r w:rsidR="004D68AB" w:rsidRPr="002C29D2">
        <w:t xml:space="preserve">ted </w:t>
      </w:r>
      <w:r w:rsidRPr="002C29D2">
        <w:t xml:space="preserve">submissions.  </w:t>
      </w:r>
      <w:r w:rsidR="00AD6601" w:rsidRPr="002C29D2">
        <w:t xml:space="preserve"> </w:t>
      </w:r>
    </w:p>
    <w:p w14:paraId="70B95185" w14:textId="3DAEF822" w:rsidR="0083758E" w:rsidRPr="002C29D2" w:rsidRDefault="00A21E75" w:rsidP="0062539E">
      <w:pPr>
        <w:spacing w:line="480" w:lineRule="auto"/>
        <w:ind w:firstLine="720"/>
        <w:jc w:val="both"/>
      </w:pPr>
      <w:r w:rsidRPr="002C29D2">
        <w:t>As a result,</w:t>
      </w:r>
      <w:r w:rsidR="00AD6601" w:rsidRPr="002C29D2">
        <w:t xml:space="preserve"> we successfully collected 413 responses</w:t>
      </w:r>
      <w:r w:rsidRPr="002C29D2">
        <w:t>, of</w:t>
      </w:r>
      <w:r w:rsidR="00AD6601" w:rsidRPr="002C29D2">
        <w:t xml:space="preserve"> which 213 were from the West China Hospital and 200 from Sojump. </w:t>
      </w:r>
      <w:r w:rsidRPr="002C29D2">
        <w:t xml:space="preserve">Nine responses </w:t>
      </w:r>
      <w:r w:rsidR="00AD6601" w:rsidRPr="002C29D2">
        <w:t xml:space="preserve">were </w:t>
      </w:r>
      <w:r w:rsidRPr="002C29D2">
        <w:t xml:space="preserve">invalid </w:t>
      </w:r>
      <w:r w:rsidR="005D3CA1" w:rsidRPr="002C29D2">
        <w:t xml:space="preserve">after failing the screening questions </w:t>
      </w:r>
      <w:r w:rsidRPr="002C29D2">
        <w:t>and</w:t>
      </w:r>
      <w:r w:rsidR="00AD6601" w:rsidRPr="002C29D2">
        <w:t xml:space="preserve"> </w:t>
      </w:r>
      <w:r w:rsidR="005D3CA1" w:rsidRPr="002C29D2">
        <w:t xml:space="preserve">were </w:t>
      </w:r>
      <w:r w:rsidRPr="002C29D2">
        <w:t xml:space="preserve">subsequently removed from further analysis. </w:t>
      </w:r>
      <w:r w:rsidR="00AD6601" w:rsidRPr="002C29D2">
        <w:t>In total, 404 valid responses were obtained. The mean age of the participants was 31 years (SD = 5.23)</w:t>
      </w:r>
      <w:r w:rsidR="00386D69" w:rsidRPr="002C29D2">
        <w:t xml:space="preserve">, </w:t>
      </w:r>
      <w:r w:rsidR="00AD6601" w:rsidRPr="002C29D2">
        <w:t xml:space="preserve">220 were female (54.46%) and 184 </w:t>
      </w:r>
      <w:r w:rsidR="005D3CA1" w:rsidRPr="002C29D2">
        <w:t xml:space="preserve">were male </w:t>
      </w:r>
      <w:r w:rsidR="00AD6601" w:rsidRPr="002C29D2">
        <w:t xml:space="preserve">(45.54%). The demographic breakdown is shown in Table </w:t>
      </w:r>
      <w:r w:rsidRPr="002C29D2">
        <w:t>2.</w:t>
      </w:r>
    </w:p>
    <w:p w14:paraId="1B0F0B30" w14:textId="1DD69251" w:rsidR="0083758E" w:rsidRPr="002C29D2" w:rsidRDefault="0083758E" w:rsidP="00386D69">
      <w:pPr>
        <w:pStyle w:val="NoSpacing"/>
        <w:spacing w:line="480" w:lineRule="auto"/>
        <w:jc w:val="center"/>
        <w:rPr>
          <w:rFonts w:ascii="Times New Roman" w:hAnsi="Times New Roman"/>
          <w:sz w:val="24"/>
        </w:rPr>
      </w:pPr>
      <w:r w:rsidRPr="002C29D2">
        <w:rPr>
          <w:rFonts w:ascii="Times New Roman" w:hAnsi="Times New Roman"/>
          <w:sz w:val="24"/>
        </w:rPr>
        <w:t>INSERT TABLE 2 HERE</w:t>
      </w:r>
    </w:p>
    <w:p w14:paraId="2B2CE1E4" w14:textId="6955AEB0" w:rsidR="008E2DDB" w:rsidRPr="002C29D2" w:rsidRDefault="00553690" w:rsidP="002B1051">
      <w:pPr>
        <w:spacing w:line="480" w:lineRule="auto"/>
        <w:jc w:val="both"/>
        <w:rPr>
          <w:b/>
          <w:bCs/>
          <w:iCs/>
        </w:rPr>
      </w:pPr>
      <w:r w:rsidRPr="002C29D2">
        <w:rPr>
          <w:b/>
          <w:bCs/>
          <w:iCs/>
        </w:rPr>
        <w:t>5.</w:t>
      </w:r>
      <w:r w:rsidR="0083758E" w:rsidRPr="002C29D2">
        <w:rPr>
          <w:b/>
          <w:bCs/>
          <w:iCs/>
        </w:rPr>
        <w:t xml:space="preserve"> </w:t>
      </w:r>
      <w:r w:rsidR="008E2DDB" w:rsidRPr="002C29D2">
        <w:rPr>
          <w:b/>
          <w:bCs/>
          <w:iCs/>
        </w:rPr>
        <w:t>Results</w:t>
      </w:r>
    </w:p>
    <w:p w14:paraId="73E2BD2B" w14:textId="171B82A9" w:rsidR="00AD77ED" w:rsidRPr="002C29D2" w:rsidRDefault="00553690" w:rsidP="002B1051">
      <w:pPr>
        <w:spacing w:line="480" w:lineRule="auto"/>
        <w:jc w:val="both"/>
        <w:rPr>
          <w:i/>
        </w:rPr>
      </w:pPr>
      <w:r w:rsidRPr="002C29D2">
        <w:rPr>
          <w:i/>
        </w:rPr>
        <w:lastRenderedPageBreak/>
        <w:t>5</w:t>
      </w:r>
      <w:r w:rsidR="008E2DDB" w:rsidRPr="002C29D2">
        <w:rPr>
          <w:i/>
        </w:rPr>
        <w:t xml:space="preserve">.1 </w:t>
      </w:r>
      <w:r w:rsidR="0083758E" w:rsidRPr="002C29D2">
        <w:rPr>
          <w:i/>
        </w:rPr>
        <w:t>Assessment of measurement model</w:t>
      </w:r>
    </w:p>
    <w:p w14:paraId="38EE09D9" w14:textId="1DBECCBB" w:rsidR="008E2DDB" w:rsidRPr="002C29D2" w:rsidRDefault="0062539E" w:rsidP="00611A23">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The data were analyzed using partial least squares structural equation modeling (PLS-SEM) (Hair et al. 2016). We used SmartPLS 3 to test the hypothesized research model with a bootstrap re-sampling procedure</w:t>
      </w:r>
      <w:r w:rsidR="005D3CA1" w:rsidRPr="002C29D2">
        <w:rPr>
          <w:rFonts w:ascii="Times New Roman" w:hAnsi="Times New Roman"/>
          <w:sz w:val="24"/>
        </w:rPr>
        <w:t xml:space="preserve">; </w:t>
      </w:r>
      <w:r w:rsidR="00887208" w:rsidRPr="002C29D2">
        <w:rPr>
          <w:rFonts w:ascii="Times New Roman" w:hAnsi="Times New Roman"/>
          <w:sz w:val="24"/>
        </w:rPr>
        <w:t xml:space="preserve">5000 sub-samples were randomly generated (Hair et al. 2016). Furthermore, we followed </w:t>
      </w:r>
      <w:r w:rsidR="005D3CA1" w:rsidRPr="002C29D2">
        <w:rPr>
          <w:rFonts w:ascii="Times New Roman" w:hAnsi="Times New Roman"/>
          <w:sz w:val="24"/>
        </w:rPr>
        <w:t xml:space="preserve">the bootstrapping method of </w:t>
      </w:r>
      <w:r w:rsidR="00887208" w:rsidRPr="002C29D2">
        <w:rPr>
          <w:rFonts w:ascii="Times New Roman" w:hAnsi="Times New Roman"/>
          <w:sz w:val="24"/>
        </w:rPr>
        <w:t>Hayes (2017) to test the mediating effects.</w:t>
      </w:r>
      <w:r w:rsidR="00A523D0" w:rsidRPr="002C29D2">
        <w:rPr>
          <w:rFonts w:ascii="Times New Roman" w:hAnsi="Times New Roman"/>
          <w:sz w:val="24"/>
        </w:rPr>
        <w:t xml:space="preserve"> </w:t>
      </w:r>
      <w:r w:rsidR="008E2DDB" w:rsidRPr="002C29D2">
        <w:rPr>
          <w:rFonts w:ascii="Times New Roman" w:hAnsi="Times New Roman"/>
          <w:sz w:val="24"/>
        </w:rPr>
        <w:t>First of all, we assess</w:t>
      </w:r>
      <w:r w:rsidR="006F0899" w:rsidRPr="002C29D2">
        <w:rPr>
          <w:rFonts w:ascii="Times New Roman" w:hAnsi="Times New Roman"/>
          <w:sz w:val="24"/>
        </w:rPr>
        <w:t>ed</w:t>
      </w:r>
      <w:r w:rsidR="008E2DDB" w:rsidRPr="002C29D2">
        <w:rPr>
          <w:rFonts w:ascii="Times New Roman" w:hAnsi="Times New Roman"/>
          <w:sz w:val="24"/>
        </w:rPr>
        <w:t xml:space="preserve"> the reliability, convergent validity</w:t>
      </w:r>
      <w:r w:rsidR="00A523D0" w:rsidRPr="002C29D2">
        <w:rPr>
          <w:rFonts w:ascii="Times New Roman" w:hAnsi="Times New Roman"/>
          <w:sz w:val="24"/>
        </w:rPr>
        <w:t>,</w:t>
      </w:r>
      <w:r w:rsidR="008E2DDB" w:rsidRPr="002C29D2">
        <w:rPr>
          <w:rFonts w:ascii="Times New Roman" w:hAnsi="Times New Roman"/>
          <w:sz w:val="24"/>
        </w:rPr>
        <w:t xml:space="preserve"> and discriminant validity of all research constructs</w:t>
      </w:r>
      <w:r w:rsidR="00B256A4" w:rsidRPr="002C29D2">
        <w:rPr>
          <w:rFonts w:ascii="Times New Roman" w:hAnsi="Times New Roman"/>
          <w:sz w:val="24"/>
        </w:rPr>
        <w:t xml:space="preserve">. </w:t>
      </w:r>
      <w:r w:rsidR="008E2DDB" w:rsidRPr="002C29D2">
        <w:rPr>
          <w:rFonts w:ascii="Times New Roman" w:hAnsi="Times New Roman"/>
          <w:sz w:val="24"/>
        </w:rPr>
        <w:t xml:space="preserve">Reliability was assessed using internal consistency and indicator loading </w:t>
      </w:r>
      <w:r w:rsidR="006E45CA" w:rsidRPr="002C29D2">
        <w:rPr>
          <w:rFonts w:ascii="Times New Roman" w:hAnsi="Times New Roman"/>
          <w:sz w:val="24"/>
        </w:rPr>
        <w:t>(Hair et al. 2011)</w:t>
      </w:r>
      <w:r w:rsidR="008E2DDB" w:rsidRPr="002C29D2">
        <w:rPr>
          <w:rFonts w:ascii="Times New Roman" w:hAnsi="Times New Roman"/>
          <w:sz w:val="24"/>
        </w:rPr>
        <w:t xml:space="preserve">. The composite reliability (CR) was used to measure internal consistency, </w:t>
      </w:r>
      <w:r w:rsidR="005D3CA1" w:rsidRPr="002C29D2">
        <w:rPr>
          <w:rFonts w:ascii="Times New Roman" w:hAnsi="Times New Roman"/>
          <w:sz w:val="24"/>
        </w:rPr>
        <w:t xml:space="preserve">with </w:t>
      </w:r>
      <w:r w:rsidR="008E2DDB" w:rsidRPr="002C29D2">
        <w:rPr>
          <w:rFonts w:ascii="Times New Roman" w:hAnsi="Times New Roman"/>
          <w:sz w:val="24"/>
        </w:rPr>
        <w:t xml:space="preserve">CR values above 0.7 considered satisfactory </w:t>
      </w:r>
      <w:r w:rsidR="006E45CA" w:rsidRPr="002C29D2">
        <w:rPr>
          <w:rFonts w:ascii="Times New Roman" w:hAnsi="Times New Roman"/>
          <w:sz w:val="24"/>
        </w:rPr>
        <w:t>(Hair et al. 2016)</w:t>
      </w:r>
      <w:r w:rsidR="008E2DDB" w:rsidRPr="002C29D2">
        <w:rPr>
          <w:rFonts w:ascii="Times New Roman" w:hAnsi="Times New Roman"/>
          <w:sz w:val="24"/>
        </w:rPr>
        <w:t xml:space="preserve">. </w:t>
      </w:r>
      <w:r w:rsidR="00EB06A6" w:rsidRPr="002C29D2">
        <w:rPr>
          <w:rFonts w:ascii="Times New Roman" w:hAnsi="Times New Roman"/>
          <w:sz w:val="24"/>
        </w:rPr>
        <w:t>F</w:t>
      </w:r>
      <w:r w:rsidR="008E2DDB" w:rsidRPr="002C29D2">
        <w:rPr>
          <w:rFonts w:ascii="Times New Roman" w:hAnsi="Times New Roman"/>
          <w:sz w:val="24"/>
        </w:rPr>
        <w:t xml:space="preserve">or </w:t>
      </w:r>
      <w:r w:rsidR="00887208" w:rsidRPr="002C29D2">
        <w:rPr>
          <w:rFonts w:ascii="Times New Roman" w:hAnsi="Times New Roman"/>
          <w:sz w:val="24"/>
        </w:rPr>
        <w:t xml:space="preserve">the </w:t>
      </w:r>
      <w:r w:rsidR="008E2DDB" w:rsidRPr="002C29D2">
        <w:rPr>
          <w:rFonts w:ascii="Times New Roman" w:hAnsi="Times New Roman"/>
          <w:sz w:val="24"/>
        </w:rPr>
        <w:t xml:space="preserve">factor loadings, </w:t>
      </w:r>
      <w:r w:rsidR="00EB06A6" w:rsidRPr="002C29D2">
        <w:rPr>
          <w:rFonts w:ascii="Times New Roman" w:hAnsi="Times New Roman"/>
          <w:sz w:val="24"/>
        </w:rPr>
        <w:t xml:space="preserve">those </w:t>
      </w:r>
      <w:r w:rsidR="008E2DDB" w:rsidRPr="002C29D2">
        <w:rPr>
          <w:rFonts w:ascii="Times New Roman" w:hAnsi="Times New Roman"/>
          <w:sz w:val="24"/>
        </w:rPr>
        <w:t xml:space="preserve">higher than 0.7 are satisfactory </w:t>
      </w:r>
      <w:r w:rsidR="006E45CA" w:rsidRPr="002C29D2">
        <w:rPr>
          <w:rFonts w:ascii="Times New Roman" w:hAnsi="Times New Roman"/>
          <w:sz w:val="24"/>
        </w:rPr>
        <w:t>(Hair et al. 2011)</w:t>
      </w:r>
      <w:r w:rsidR="008E2DDB" w:rsidRPr="002C29D2">
        <w:rPr>
          <w:rFonts w:ascii="Times New Roman" w:hAnsi="Times New Roman"/>
          <w:sz w:val="24"/>
        </w:rPr>
        <w:t xml:space="preserve"> and still considered acceptable when higher than 0.6 </w:t>
      </w:r>
      <w:r w:rsidR="006E45CA" w:rsidRPr="002C29D2">
        <w:rPr>
          <w:rFonts w:ascii="Times New Roman" w:hAnsi="Times New Roman"/>
          <w:sz w:val="24"/>
        </w:rPr>
        <w:t>(Bagozzi and Yi 1988)</w:t>
      </w:r>
      <w:r w:rsidR="008E2DDB" w:rsidRPr="002C29D2">
        <w:rPr>
          <w:rFonts w:ascii="Times New Roman" w:hAnsi="Times New Roman"/>
          <w:sz w:val="24"/>
        </w:rPr>
        <w:t>.</w:t>
      </w:r>
    </w:p>
    <w:p w14:paraId="6FD2B7E3" w14:textId="4730E5CA" w:rsidR="009751E9" w:rsidRPr="002C29D2" w:rsidRDefault="0062539E" w:rsidP="0062539E">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 xml:space="preserve">Validity is indicated by convergent validity and discriminant validity. The average variance extracted (AVE) of each construct exceeds 0.5, </w:t>
      </w:r>
      <w:r w:rsidR="00EB06A6" w:rsidRPr="002C29D2">
        <w:rPr>
          <w:rFonts w:ascii="Times New Roman" w:hAnsi="Times New Roman"/>
          <w:sz w:val="24"/>
        </w:rPr>
        <w:t xml:space="preserve">which </w:t>
      </w:r>
      <w:r w:rsidR="00887208" w:rsidRPr="002C29D2">
        <w:rPr>
          <w:rFonts w:ascii="Times New Roman" w:hAnsi="Times New Roman"/>
          <w:sz w:val="24"/>
        </w:rPr>
        <w:t xml:space="preserve">indicates a satisfactory convergent validity of measurements (Fornell and Larcker 1981). Based on the Farnell-Larcker criterion, the discriminant validity can be established when the square root of each construct’s AVE exceeds the squared correlation with any other construct (Hair et al. 2016). Table 3(a) and Table 3(b) </w:t>
      </w:r>
      <w:r w:rsidR="00A523D0" w:rsidRPr="002C29D2">
        <w:rPr>
          <w:rFonts w:ascii="Times New Roman" w:hAnsi="Times New Roman"/>
          <w:sz w:val="24"/>
        </w:rPr>
        <w:t xml:space="preserve">demonstrate that </w:t>
      </w:r>
      <w:r w:rsidR="00887208" w:rsidRPr="002C29D2">
        <w:rPr>
          <w:rFonts w:ascii="Times New Roman" w:hAnsi="Times New Roman"/>
          <w:sz w:val="24"/>
        </w:rPr>
        <w:t xml:space="preserve">both convergent validity and discriminant validity were established. </w:t>
      </w:r>
    </w:p>
    <w:p w14:paraId="485DC655" w14:textId="2207CEF7" w:rsidR="009D4996" w:rsidRPr="002C29D2" w:rsidRDefault="008E2DDB" w:rsidP="00611A23">
      <w:pPr>
        <w:pStyle w:val="NoSpacing"/>
        <w:spacing w:line="480" w:lineRule="auto"/>
        <w:ind w:firstLine="0"/>
        <w:jc w:val="center"/>
        <w:rPr>
          <w:sz w:val="24"/>
        </w:rPr>
      </w:pPr>
      <w:r w:rsidRPr="002C29D2">
        <w:rPr>
          <w:sz w:val="24"/>
        </w:rPr>
        <w:t>INSERT TABLE 3</w:t>
      </w:r>
      <w:r w:rsidR="003D42CC" w:rsidRPr="002C29D2">
        <w:rPr>
          <w:sz w:val="24"/>
        </w:rPr>
        <w:t>(</w:t>
      </w:r>
      <w:r w:rsidR="00A523D0" w:rsidRPr="002C29D2">
        <w:rPr>
          <w:sz w:val="24"/>
        </w:rPr>
        <w:t>a</w:t>
      </w:r>
      <w:r w:rsidR="003D42CC" w:rsidRPr="002C29D2">
        <w:rPr>
          <w:sz w:val="24"/>
        </w:rPr>
        <w:t>) AND TABLE 3(</w:t>
      </w:r>
      <w:r w:rsidR="00A523D0" w:rsidRPr="002C29D2">
        <w:rPr>
          <w:sz w:val="24"/>
        </w:rPr>
        <w:t>b</w:t>
      </w:r>
      <w:r w:rsidR="003D42CC" w:rsidRPr="002C29D2">
        <w:rPr>
          <w:sz w:val="24"/>
        </w:rPr>
        <w:t>)</w:t>
      </w:r>
      <w:r w:rsidRPr="002C29D2">
        <w:rPr>
          <w:sz w:val="24"/>
        </w:rPr>
        <w:t xml:space="preserve"> HERE</w:t>
      </w:r>
    </w:p>
    <w:p w14:paraId="508E876A" w14:textId="15705661" w:rsidR="00AD77ED" w:rsidRPr="002C29D2" w:rsidRDefault="00553690" w:rsidP="006F0899">
      <w:pPr>
        <w:spacing w:line="360" w:lineRule="auto"/>
        <w:jc w:val="both"/>
        <w:rPr>
          <w:i/>
        </w:rPr>
      </w:pPr>
      <w:r w:rsidRPr="002C29D2">
        <w:rPr>
          <w:i/>
        </w:rPr>
        <w:t>5</w:t>
      </w:r>
      <w:r w:rsidR="000169F4" w:rsidRPr="002C29D2">
        <w:rPr>
          <w:i/>
        </w:rPr>
        <w:t>.2 Structural model and hypotheses testing</w:t>
      </w:r>
    </w:p>
    <w:p w14:paraId="15C87C17" w14:textId="256CA211" w:rsidR="00FC3A34" w:rsidRPr="002C29D2" w:rsidRDefault="001020AF" w:rsidP="001020AF">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 xml:space="preserve">The structural model was assessed using standardized path coefficients (β) and their significance levels, including the t-statistics and </w:t>
      </w:r>
      <w:r w:rsidR="00887208" w:rsidRPr="002C29D2">
        <w:rPr>
          <w:rFonts w:ascii="Times New Roman" w:hAnsi="Times New Roman"/>
          <w:i/>
          <w:iCs/>
          <w:sz w:val="24"/>
        </w:rPr>
        <w:t>p</w:t>
      </w:r>
      <w:r w:rsidR="00887208" w:rsidRPr="002C29D2">
        <w:rPr>
          <w:rFonts w:ascii="Times New Roman" w:hAnsi="Times New Roman"/>
          <w:sz w:val="24"/>
        </w:rPr>
        <w:t>-values, as well as explained variance (R</w:t>
      </w:r>
      <w:r w:rsidR="00887208" w:rsidRPr="002C29D2">
        <w:rPr>
          <w:rFonts w:ascii="Times New Roman" w:hAnsi="Times New Roman"/>
          <w:sz w:val="24"/>
          <w:vertAlign w:val="superscript"/>
        </w:rPr>
        <w:t>2</w:t>
      </w:r>
      <w:r w:rsidR="00887208" w:rsidRPr="002C29D2">
        <w:rPr>
          <w:rFonts w:ascii="Times New Roman" w:hAnsi="Times New Roman"/>
          <w:sz w:val="24"/>
        </w:rPr>
        <w:t xml:space="preserve">) of the endogenous constructs (Becker et al. 2013). We also evaluated the effect size by means of Cohen’s </w:t>
      </w:r>
      <w:r w:rsidR="00887208" w:rsidRPr="002C29D2">
        <w:rPr>
          <w:rFonts w:ascii="Times New Roman" w:hAnsi="Times New Roman"/>
          <w:i/>
          <w:iCs/>
          <w:sz w:val="24"/>
        </w:rPr>
        <w:t>f</w:t>
      </w:r>
      <w:r w:rsidR="00887208" w:rsidRPr="002C29D2">
        <w:rPr>
          <w:rFonts w:ascii="Times New Roman" w:hAnsi="Times New Roman"/>
          <w:sz w:val="24"/>
          <w:vertAlign w:val="superscript"/>
        </w:rPr>
        <w:t>2</w:t>
      </w:r>
      <w:r w:rsidR="00887208" w:rsidRPr="002C29D2">
        <w:rPr>
          <w:rFonts w:ascii="Times New Roman" w:hAnsi="Times New Roman"/>
          <w:sz w:val="24"/>
        </w:rPr>
        <w:t xml:space="preserve"> (Cohen 2013), Q</w:t>
      </w:r>
      <w:r w:rsidR="00887208" w:rsidRPr="002C29D2">
        <w:rPr>
          <w:rFonts w:ascii="Times New Roman" w:hAnsi="Times New Roman"/>
          <w:sz w:val="24"/>
          <w:vertAlign w:val="superscript"/>
        </w:rPr>
        <w:t>2</w:t>
      </w:r>
      <w:r w:rsidR="00887208" w:rsidRPr="002C29D2">
        <w:rPr>
          <w:rFonts w:ascii="Times New Roman" w:hAnsi="Times New Roman"/>
          <w:sz w:val="24"/>
        </w:rPr>
        <w:t xml:space="preserve"> values for predictive relevance (Chin 1998), and standardized root mean square residual (SRMR) for the global fit of the model (Henseler et al. 2014). </w:t>
      </w:r>
    </w:p>
    <w:p w14:paraId="6CE57D67" w14:textId="6013A024" w:rsidR="0044229C" w:rsidRPr="002C29D2" w:rsidRDefault="007F5242" w:rsidP="007F5242">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According to Chin (1998), R</w:t>
      </w:r>
      <w:r w:rsidR="00887208" w:rsidRPr="002C29D2">
        <w:rPr>
          <w:rFonts w:ascii="Times New Roman" w:hAnsi="Times New Roman"/>
          <w:sz w:val="24"/>
          <w:vertAlign w:val="superscript"/>
        </w:rPr>
        <w:t xml:space="preserve">2 </w:t>
      </w:r>
      <w:r w:rsidR="00887208" w:rsidRPr="002C29D2">
        <w:rPr>
          <w:rFonts w:ascii="Times New Roman" w:hAnsi="Times New Roman"/>
          <w:sz w:val="24"/>
        </w:rPr>
        <w:t xml:space="preserve">values of 0.67, 0.33, and 0.19 are described as substantial, moderate, and weak effects. Table 4 shows that our model </w:t>
      </w:r>
      <w:r w:rsidR="00A523D0" w:rsidRPr="002C29D2">
        <w:rPr>
          <w:rFonts w:ascii="Times New Roman" w:hAnsi="Times New Roman"/>
          <w:sz w:val="24"/>
        </w:rPr>
        <w:t xml:space="preserve">accounted for 56% of the variance </w:t>
      </w:r>
      <w:r w:rsidR="00FC3A34" w:rsidRPr="002C29D2">
        <w:rPr>
          <w:rFonts w:ascii="Times New Roman" w:hAnsi="Times New Roman"/>
          <w:sz w:val="24"/>
        </w:rPr>
        <w:lastRenderedPageBreak/>
        <w:t xml:space="preserve">in </w:t>
      </w:r>
      <w:r w:rsidR="00A523D0" w:rsidRPr="002C29D2">
        <w:rPr>
          <w:rFonts w:ascii="Times New Roman" w:hAnsi="Times New Roman"/>
          <w:sz w:val="24"/>
        </w:rPr>
        <w:t>the</w:t>
      </w:r>
      <w:r w:rsidR="00887208" w:rsidRPr="002C29D2">
        <w:rPr>
          <w:rFonts w:ascii="Times New Roman" w:hAnsi="Times New Roman"/>
          <w:sz w:val="24"/>
        </w:rPr>
        <w:t xml:space="preserve"> effect of responsible AI signals on </w:t>
      </w:r>
      <w:r w:rsidR="00A523D0" w:rsidRPr="002C29D2">
        <w:rPr>
          <w:rFonts w:ascii="Times New Roman" w:hAnsi="Times New Roman"/>
          <w:sz w:val="24"/>
        </w:rPr>
        <w:t xml:space="preserve">employee </w:t>
      </w:r>
      <w:r w:rsidR="00887208" w:rsidRPr="002C29D2">
        <w:rPr>
          <w:rFonts w:ascii="Times New Roman" w:hAnsi="Times New Roman"/>
          <w:sz w:val="24"/>
        </w:rPr>
        <w:t>engagement</w:t>
      </w:r>
      <w:r w:rsidR="00FC3A34" w:rsidRPr="002C29D2">
        <w:rPr>
          <w:rFonts w:ascii="Times New Roman" w:hAnsi="Times New Roman"/>
          <w:sz w:val="24"/>
        </w:rPr>
        <w:t>;</w:t>
      </w:r>
      <w:r w:rsidR="00887208" w:rsidRPr="002C29D2">
        <w:rPr>
          <w:rFonts w:ascii="Times New Roman" w:hAnsi="Times New Roman"/>
          <w:sz w:val="24"/>
        </w:rPr>
        <w:t xml:space="preserve"> </w:t>
      </w:r>
      <w:r w:rsidR="006F0EA3" w:rsidRPr="002C29D2">
        <w:rPr>
          <w:rFonts w:ascii="Times New Roman" w:hAnsi="Times New Roman"/>
          <w:sz w:val="24"/>
        </w:rPr>
        <w:t xml:space="preserve">the strength of the effect is </w:t>
      </w:r>
      <w:r w:rsidR="00887208" w:rsidRPr="002C29D2">
        <w:rPr>
          <w:rFonts w:ascii="Times New Roman" w:hAnsi="Times New Roman"/>
          <w:sz w:val="24"/>
        </w:rPr>
        <w:t xml:space="preserve">between a substantial effect and moderate effect. </w:t>
      </w:r>
      <w:r w:rsidR="006F0EA3" w:rsidRPr="002C29D2">
        <w:rPr>
          <w:rFonts w:ascii="Times New Roman" w:hAnsi="Times New Roman"/>
          <w:sz w:val="24"/>
        </w:rPr>
        <w:t>Furthermore</w:t>
      </w:r>
      <w:r w:rsidR="00887208" w:rsidRPr="002C29D2">
        <w:rPr>
          <w:rFonts w:ascii="Times New Roman" w:hAnsi="Times New Roman"/>
          <w:sz w:val="24"/>
        </w:rPr>
        <w:t>,</w:t>
      </w:r>
      <w:r w:rsidR="006F0EA3" w:rsidRPr="002C29D2">
        <w:rPr>
          <w:rFonts w:ascii="Times New Roman" w:hAnsi="Times New Roman"/>
          <w:sz w:val="24"/>
        </w:rPr>
        <w:t xml:space="preserve"> our model also explained</w:t>
      </w:r>
      <w:r w:rsidR="00887208" w:rsidRPr="002C29D2">
        <w:rPr>
          <w:rFonts w:ascii="Times New Roman" w:hAnsi="Times New Roman"/>
          <w:sz w:val="24"/>
        </w:rPr>
        <w:t xml:space="preserve"> 47.3% of</w:t>
      </w:r>
      <w:r w:rsidR="0043615C" w:rsidRPr="002C29D2">
        <w:rPr>
          <w:rFonts w:ascii="Times New Roman" w:hAnsi="Times New Roman"/>
          <w:sz w:val="24"/>
        </w:rPr>
        <w:t xml:space="preserve"> </w:t>
      </w:r>
      <w:r w:rsidR="00887208" w:rsidRPr="002C29D2">
        <w:rPr>
          <w:rFonts w:ascii="Times New Roman" w:hAnsi="Times New Roman"/>
          <w:sz w:val="24"/>
        </w:rPr>
        <w:t>usage intention</w:t>
      </w:r>
      <w:r w:rsidR="00FC3A34" w:rsidRPr="002C29D2">
        <w:rPr>
          <w:rFonts w:ascii="Times New Roman" w:hAnsi="Times New Roman"/>
          <w:sz w:val="24"/>
        </w:rPr>
        <w:t>s</w:t>
      </w:r>
      <w:r w:rsidR="00E21DE0" w:rsidRPr="002C29D2">
        <w:rPr>
          <w:rFonts w:ascii="Times New Roman" w:hAnsi="Times New Roman"/>
          <w:sz w:val="24"/>
        </w:rPr>
        <w:t xml:space="preserve"> to AI</w:t>
      </w:r>
      <w:r w:rsidR="00887208" w:rsidRPr="002C29D2">
        <w:rPr>
          <w:rFonts w:ascii="Times New Roman" w:hAnsi="Times New Roman"/>
          <w:sz w:val="24"/>
        </w:rPr>
        <w:t>, 46.3% of satisfaction with AI, and 19.0% of attitude</w:t>
      </w:r>
      <w:r w:rsidR="006F0EA3" w:rsidRPr="002C29D2">
        <w:rPr>
          <w:rFonts w:ascii="Times New Roman" w:hAnsi="Times New Roman"/>
          <w:sz w:val="24"/>
        </w:rPr>
        <w:t>s</w:t>
      </w:r>
      <w:r w:rsidR="00887208" w:rsidRPr="002C29D2">
        <w:rPr>
          <w:rFonts w:ascii="Times New Roman" w:hAnsi="Times New Roman"/>
          <w:sz w:val="24"/>
        </w:rPr>
        <w:t xml:space="preserve"> towards</w:t>
      </w:r>
      <w:r w:rsidR="006F0EA3" w:rsidRPr="002C29D2">
        <w:rPr>
          <w:rFonts w:ascii="Times New Roman" w:hAnsi="Times New Roman"/>
          <w:sz w:val="24"/>
        </w:rPr>
        <w:t xml:space="preserve"> </w:t>
      </w:r>
      <w:r w:rsidR="00887208" w:rsidRPr="002C29D2">
        <w:rPr>
          <w:rFonts w:ascii="Times New Roman" w:hAnsi="Times New Roman"/>
          <w:sz w:val="24"/>
        </w:rPr>
        <w:t>AI, respectively. Second, we used the blindfolding technique in PLS to assess the predictive relevance of the path model. The Q</w:t>
      </w:r>
      <w:r w:rsidR="00887208" w:rsidRPr="002C29D2">
        <w:rPr>
          <w:rFonts w:ascii="Times New Roman" w:hAnsi="Times New Roman"/>
          <w:sz w:val="24"/>
          <w:vertAlign w:val="superscript"/>
        </w:rPr>
        <w:t>2</w:t>
      </w:r>
      <w:r w:rsidR="00887208" w:rsidRPr="002C29D2">
        <w:rPr>
          <w:rFonts w:ascii="Times New Roman" w:hAnsi="Times New Roman"/>
          <w:sz w:val="24"/>
        </w:rPr>
        <w:t xml:space="preserve"> values for all endogenous constructs were above zero (see Table 4). Hence, the model showed a good predictive relevance (Chin 1998). Third, we evaluated the global fit of the model by applying the fit index SRMR</w:t>
      </w:r>
      <w:r w:rsidR="000453A8" w:rsidRPr="002C29D2">
        <w:rPr>
          <w:rFonts w:ascii="Times New Roman" w:hAnsi="Times New Roman"/>
          <w:sz w:val="24"/>
        </w:rPr>
        <w:t xml:space="preserve"> (Henseler et al. 2014)</w:t>
      </w:r>
      <w:r w:rsidR="00FC3A34" w:rsidRPr="002C29D2">
        <w:rPr>
          <w:rFonts w:ascii="Times New Roman" w:hAnsi="Times New Roman"/>
          <w:sz w:val="24"/>
        </w:rPr>
        <w:t xml:space="preserve"> </w:t>
      </w:r>
      <w:r w:rsidR="000453A8" w:rsidRPr="002C29D2">
        <w:rPr>
          <w:rFonts w:ascii="Times New Roman" w:hAnsi="Times New Roman"/>
          <w:sz w:val="24"/>
        </w:rPr>
        <w:t xml:space="preserve">for </w:t>
      </w:r>
      <w:r w:rsidR="00887208" w:rsidRPr="002C29D2">
        <w:rPr>
          <w:rFonts w:ascii="Times New Roman" w:hAnsi="Times New Roman"/>
          <w:sz w:val="24"/>
        </w:rPr>
        <w:t>the discrepancy between the empirical indicator variance–covariance matrix and its model-implied counterpart</w:t>
      </w:r>
      <w:r w:rsidR="006F0EA3" w:rsidRPr="002C29D2">
        <w:rPr>
          <w:rFonts w:ascii="Times New Roman" w:hAnsi="Times New Roman"/>
          <w:sz w:val="24"/>
        </w:rPr>
        <w:t>s</w:t>
      </w:r>
      <w:r w:rsidR="000453A8" w:rsidRPr="002C29D2">
        <w:rPr>
          <w:rFonts w:ascii="Times New Roman" w:hAnsi="Times New Roman"/>
          <w:sz w:val="24"/>
        </w:rPr>
        <w:t>,</w:t>
      </w:r>
      <w:r w:rsidR="00887208" w:rsidRPr="002C29D2">
        <w:rPr>
          <w:rFonts w:ascii="Times New Roman" w:hAnsi="Times New Roman"/>
          <w:sz w:val="24"/>
        </w:rPr>
        <w:t xml:space="preserve"> </w:t>
      </w:r>
      <w:r w:rsidR="00FC3A34" w:rsidRPr="002C29D2">
        <w:rPr>
          <w:rFonts w:ascii="Times New Roman" w:hAnsi="Times New Roman"/>
          <w:sz w:val="24"/>
        </w:rPr>
        <w:t xml:space="preserve">with a resulting </w:t>
      </w:r>
      <w:r w:rsidR="00887208" w:rsidRPr="002C29D2">
        <w:rPr>
          <w:rFonts w:ascii="Times New Roman" w:hAnsi="Times New Roman"/>
          <w:sz w:val="24"/>
        </w:rPr>
        <w:t xml:space="preserve">SRMR value </w:t>
      </w:r>
      <w:r w:rsidR="00FC3A34" w:rsidRPr="002C29D2">
        <w:rPr>
          <w:rFonts w:ascii="Times New Roman" w:hAnsi="Times New Roman"/>
          <w:sz w:val="24"/>
        </w:rPr>
        <w:t xml:space="preserve">of </w:t>
      </w:r>
      <w:r w:rsidR="00887208" w:rsidRPr="002C29D2">
        <w:rPr>
          <w:rFonts w:ascii="Times New Roman" w:hAnsi="Times New Roman"/>
          <w:sz w:val="24"/>
        </w:rPr>
        <w:t>0.062 (see Table 4) below the threshold of 0.08 (Benitez et al. 2020)</w:t>
      </w:r>
      <w:r w:rsidR="000453A8" w:rsidRPr="002C29D2">
        <w:rPr>
          <w:rFonts w:ascii="Times New Roman" w:hAnsi="Times New Roman"/>
          <w:sz w:val="24"/>
        </w:rPr>
        <w:t>. This</w:t>
      </w:r>
      <w:r w:rsidR="00887208" w:rsidRPr="002C29D2">
        <w:rPr>
          <w:rFonts w:ascii="Times New Roman" w:hAnsi="Times New Roman"/>
          <w:sz w:val="24"/>
        </w:rPr>
        <w:t xml:space="preserve"> indicat</w:t>
      </w:r>
      <w:r w:rsidR="000453A8" w:rsidRPr="002C29D2">
        <w:rPr>
          <w:rFonts w:ascii="Times New Roman" w:hAnsi="Times New Roman"/>
          <w:sz w:val="24"/>
        </w:rPr>
        <w:t>es</w:t>
      </w:r>
      <w:r w:rsidR="00887208" w:rsidRPr="002C29D2">
        <w:rPr>
          <w:rFonts w:ascii="Times New Roman" w:hAnsi="Times New Roman"/>
          <w:sz w:val="24"/>
        </w:rPr>
        <w:t xml:space="preserve"> that our model provided a sufficient fit </w:t>
      </w:r>
      <w:r w:rsidR="00626FF9" w:rsidRPr="002C29D2">
        <w:rPr>
          <w:rFonts w:ascii="Times New Roman" w:hAnsi="Times New Roman"/>
          <w:sz w:val="24"/>
        </w:rPr>
        <w:t xml:space="preserve">with </w:t>
      </w:r>
      <w:r w:rsidR="00887208" w:rsidRPr="002C29D2">
        <w:rPr>
          <w:rFonts w:ascii="Times New Roman" w:hAnsi="Times New Roman"/>
          <w:sz w:val="24"/>
        </w:rPr>
        <w:t xml:space="preserve">the empirical data. Therefore, our proposed </w:t>
      </w:r>
      <w:r w:rsidR="006F0EA3" w:rsidRPr="002C29D2">
        <w:rPr>
          <w:rFonts w:ascii="Times New Roman" w:hAnsi="Times New Roman"/>
          <w:sz w:val="24"/>
        </w:rPr>
        <w:t xml:space="preserve">research </w:t>
      </w:r>
      <w:r w:rsidR="00887208" w:rsidRPr="002C29D2">
        <w:rPr>
          <w:rFonts w:ascii="Times New Roman" w:hAnsi="Times New Roman"/>
          <w:sz w:val="24"/>
        </w:rPr>
        <w:t xml:space="preserve">model is well suited </w:t>
      </w:r>
      <w:r w:rsidR="000453A8" w:rsidRPr="002C29D2">
        <w:rPr>
          <w:rFonts w:ascii="Times New Roman" w:hAnsi="Times New Roman"/>
          <w:sz w:val="24"/>
        </w:rPr>
        <w:t xml:space="preserve">to </w:t>
      </w:r>
      <w:r w:rsidR="00887208" w:rsidRPr="002C29D2">
        <w:rPr>
          <w:rFonts w:ascii="Times New Roman" w:hAnsi="Times New Roman"/>
          <w:sz w:val="24"/>
        </w:rPr>
        <w:t>confirming and explaining the effects of responsible AI signals on healthcare practitioners’ attitude</w:t>
      </w:r>
      <w:r w:rsidR="000453A8" w:rsidRPr="002C29D2">
        <w:rPr>
          <w:rFonts w:ascii="Times New Roman" w:hAnsi="Times New Roman"/>
          <w:sz w:val="24"/>
        </w:rPr>
        <w:t>s towards,</w:t>
      </w:r>
      <w:r w:rsidR="00887208" w:rsidRPr="002C29D2">
        <w:rPr>
          <w:rFonts w:ascii="Times New Roman" w:hAnsi="Times New Roman"/>
          <w:sz w:val="24"/>
        </w:rPr>
        <w:t xml:space="preserve"> satisfaction</w:t>
      </w:r>
      <w:r w:rsidR="000453A8" w:rsidRPr="002C29D2">
        <w:rPr>
          <w:rFonts w:ascii="Times New Roman" w:hAnsi="Times New Roman"/>
          <w:sz w:val="24"/>
        </w:rPr>
        <w:t xml:space="preserve"> of</w:t>
      </w:r>
      <w:r w:rsidR="00887208" w:rsidRPr="002C29D2">
        <w:rPr>
          <w:rFonts w:ascii="Times New Roman" w:hAnsi="Times New Roman"/>
          <w:sz w:val="24"/>
        </w:rPr>
        <w:t>, and usage intention</w:t>
      </w:r>
      <w:r w:rsidR="000453A8" w:rsidRPr="002C29D2">
        <w:rPr>
          <w:rFonts w:ascii="Times New Roman" w:hAnsi="Times New Roman"/>
          <w:sz w:val="24"/>
        </w:rPr>
        <w:t xml:space="preserve">s </w:t>
      </w:r>
      <w:r w:rsidR="00E115FD" w:rsidRPr="002C29D2">
        <w:rPr>
          <w:rFonts w:ascii="Times New Roman" w:hAnsi="Times New Roman"/>
          <w:sz w:val="24"/>
        </w:rPr>
        <w:t>with</w:t>
      </w:r>
      <w:r w:rsidR="00887208" w:rsidRPr="002C29D2">
        <w:rPr>
          <w:rFonts w:ascii="Times New Roman" w:hAnsi="Times New Roman"/>
          <w:sz w:val="24"/>
        </w:rPr>
        <w:t xml:space="preserve"> AI technology. </w:t>
      </w:r>
    </w:p>
    <w:p w14:paraId="5DB2FA33" w14:textId="696A5AC9" w:rsidR="0083758E" w:rsidRPr="002C29D2" w:rsidRDefault="005A7434" w:rsidP="006F0EA3">
      <w:pPr>
        <w:pStyle w:val="NoSpacing"/>
        <w:spacing w:line="480" w:lineRule="auto"/>
        <w:ind w:firstLine="0"/>
        <w:jc w:val="center"/>
        <w:rPr>
          <w:rFonts w:ascii="Times New Roman" w:hAnsi="Times New Roman"/>
          <w:sz w:val="24"/>
        </w:rPr>
      </w:pPr>
      <w:r w:rsidRPr="002C29D2">
        <w:rPr>
          <w:rFonts w:ascii="Times New Roman" w:hAnsi="Times New Roman"/>
          <w:sz w:val="24"/>
        </w:rPr>
        <w:t>INSERT TABL</w:t>
      </w:r>
      <w:r w:rsidR="006F0899" w:rsidRPr="002C29D2">
        <w:rPr>
          <w:rFonts w:ascii="Times New Roman" w:hAnsi="Times New Roman"/>
          <w:sz w:val="24"/>
        </w:rPr>
        <w:t>E</w:t>
      </w:r>
      <w:r w:rsidRPr="002C29D2">
        <w:rPr>
          <w:rFonts w:ascii="Times New Roman" w:hAnsi="Times New Roman"/>
          <w:sz w:val="24"/>
        </w:rPr>
        <w:t xml:space="preserve"> 4 HERE</w:t>
      </w:r>
    </w:p>
    <w:p w14:paraId="36355BFB" w14:textId="6D2DD595" w:rsidR="0083758E" w:rsidRPr="002C29D2" w:rsidRDefault="00553690" w:rsidP="00515BA3">
      <w:pPr>
        <w:spacing w:line="480" w:lineRule="auto"/>
        <w:jc w:val="both"/>
        <w:rPr>
          <w:iCs/>
        </w:rPr>
      </w:pPr>
      <w:r w:rsidRPr="002C29D2">
        <w:rPr>
          <w:i/>
          <w:iCs/>
        </w:rPr>
        <w:t>5</w:t>
      </w:r>
      <w:r w:rsidR="003171D8" w:rsidRPr="002C29D2">
        <w:rPr>
          <w:i/>
          <w:iCs/>
        </w:rPr>
        <w:t xml:space="preserve">.3 Mediating effects of engagement </w:t>
      </w:r>
    </w:p>
    <w:p w14:paraId="35A2C14E" w14:textId="116BF6FF" w:rsidR="007F5242" w:rsidRPr="002C29D2" w:rsidRDefault="007F5242" w:rsidP="007F5242">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Mediation seeks to assess whether the effect</w:t>
      </w:r>
      <w:r w:rsidR="006F0EA3" w:rsidRPr="002C29D2">
        <w:rPr>
          <w:rFonts w:ascii="Times New Roman" w:hAnsi="Times New Roman"/>
          <w:sz w:val="24"/>
        </w:rPr>
        <w:t>s</w:t>
      </w:r>
      <w:r w:rsidR="00887208" w:rsidRPr="002C29D2">
        <w:rPr>
          <w:rFonts w:ascii="Times New Roman" w:hAnsi="Times New Roman"/>
          <w:sz w:val="24"/>
        </w:rPr>
        <w:t xml:space="preserve"> of independent variable</w:t>
      </w:r>
      <w:r w:rsidR="006F0EA3" w:rsidRPr="002C29D2">
        <w:rPr>
          <w:rFonts w:ascii="Times New Roman" w:hAnsi="Times New Roman"/>
          <w:sz w:val="24"/>
        </w:rPr>
        <w:t>s</w:t>
      </w:r>
      <w:r w:rsidR="00887208" w:rsidRPr="002C29D2">
        <w:rPr>
          <w:rFonts w:ascii="Times New Roman" w:hAnsi="Times New Roman"/>
          <w:sz w:val="24"/>
        </w:rPr>
        <w:t xml:space="preserve"> on the dependent variables </w:t>
      </w:r>
      <w:r w:rsidR="006F0EA3" w:rsidRPr="002C29D2">
        <w:rPr>
          <w:rFonts w:ascii="Times New Roman" w:hAnsi="Times New Roman"/>
          <w:sz w:val="24"/>
        </w:rPr>
        <w:t>are</w:t>
      </w:r>
      <w:r w:rsidR="00887208" w:rsidRPr="002C29D2">
        <w:rPr>
          <w:rFonts w:ascii="Times New Roman" w:hAnsi="Times New Roman"/>
          <w:sz w:val="24"/>
        </w:rPr>
        <w:t xml:space="preserve"> direct or indirect via the mediator. We hypothesi</w:t>
      </w:r>
      <w:r w:rsidR="006F0EA3" w:rsidRPr="002C29D2">
        <w:rPr>
          <w:rFonts w:ascii="Times New Roman" w:hAnsi="Times New Roman"/>
          <w:sz w:val="24"/>
        </w:rPr>
        <w:t>s</w:t>
      </w:r>
      <w:r w:rsidR="00887208" w:rsidRPr="002C29D2">
        <w:rPr>
          <w:rFonts w:ascii="Times New Roman" w:hAnsi="Times New Roman"/>
          <w:sz w:val="24"/>
        </w:rPr>
        <w:t xml:space="preserve">ed that </w:t>
      </w:r>
      <w:r w:rsidR="006F0EA3" w:rsidRPr="002C29D2">
        <w:rPr>
          <w:rFonts w:ascii="Times New Roman" w:hAnsi="Times New Roman"/>
          <w:sz w:val="24"/>
        </w:rPr>
        <w:t xml:space="preserve">employee </w:t>
      </w:r>
      <w:r w:rsidR="00887208" w:rsidRPr="002C29D2">
        <w:rPr>
          <w:rFonts w:ascii="Times New Roman" w:hAnsi="Times New Roman"/>
          <w:sz w:val="24"/>
        </w:rPr>
        <w:t>engagement mediates the effects of responsible AI signals (</w:t>
      </w:r>
      <w:r w:rsidR="000453A8" w:rsidRPr="002C29D2">
        <w:rPr>
          <w:rFonts w:ascii="Times New Roman" w:hAnsi="Times New Roman"/>
          <w:sz w:val="24"/>
        </w:rPr>
        <w:t>namely</w:t>
      </w:r>
      <w:r w:rsidR="00887208" w:rsidRPr="002C29D2">
        <w:rPr>
          <w:rFonts w:ascii="Times New Roman" w:hAnsi="Times New Roman"/>
          <w:sz w:val="24"/>
        </w:rPr>
        <w:t xml:space="preserve"> autonomy,</w:t>
      </w:r>
      <w:r w:rsidR="00CE0A19" w:rsidRPr="002C29D2">
        <w:rPr>
          <w:rFonts w:ascii="Times New Roman" w:hAnsi="Times New Roman"/>
          <w:sz w:val="24"/>
        </w:rPr>
        <w:t xml:space="preserve"> beneficence,</w:t>
      </w:r>
      <w:r w:rsidR="00887208" w:rsidRPr="002C29D2">
        <w:rPr>
          <w:rFonts w:ascii="Times New Roman" w:hAnsi="Times New Roman"/>
          <w:sz w:val="24"/>
        </w:rPr>
        <w:t xml:space="preserve"> non-maleficence, justice, and explainability) on satisfaction with AI, attitude</w:t>
      </w:r>
      <w:r w:rsidR="006F0EA3" w:rsidRPr="002C29D2">
        <w:rPr>
          <w:rFonts w:ascii="Times New Roman" w:hAnsi="Times New Roman"/>
          <w:sz w:val="24"/>
        </w:rPr>
        <w:t>s</w:t>
      </w:r>
      <w:r w:rsidR="00887208" w:rsidRPr="002C29D2">
        <w:rPr>
          <w:rFonts w:ascii="Times New Roman" w:hAnsi="Times New Roman"/>
          <w:sz w:val="24"/>
        </w:rPr>
        <w:t xml:space="preserve"> toward AI, and</w:t>
      </w:r>
      <w:r w:rsidR="00341DF0" w:rsidRPr="002C29D2">
        <w:rPr>
          <w:rFonts w:ascii="Times New Roman" w:hAnsi="Times New Roman"/>
          <w:sz w:val="24"/>
        </w:rPr>
        <w:t xml:space="preserve"> AI</w:t>
      </w:r>
      <w:r w:rsidR="00887208" w:rsidRPr="002C29D2">
        <w:rPr>
          <w:rFonts w:ascii="Times New Roman" w:hAnsi="Times New Roman"/>
          <w:sz w:val="24"/>
        </w:rPr>
        <w:t xml:space="preserve"> usage intention</w:t>
      </w:r>
      <w:r w:rsidR="000453A8" w:rsidRPr="002C29D2">
        <w:rPr>
          <w:rFonts w:ascii="Times New Roman" w:hAnsi="Times New Roman"/>
          <w:sz w:val="24"/>
        </w:rPr>
        <w:t xml:space="preserve">s </w:t>
      </w:r>
      <w:r w:rsidR="00887208" w:rsidRPr="002C29D2">
        <w:rPr>
          <w:rFonts w:ascii="Times New Roman" w:hAnsi="Times New Roman"/>
          <w:sz w:val="24"/>
        </w:rPr>
        <w:t>in healthcare practice. We performed the bootstrapping resampling technique (5000 samples)</w:t>
      </w:r>
      <w:r w:rsidR="000453A8" w:rsidRPr="002C29D2">
        <w:rPr>
          <w:rFonts w:ascii="Times New Roman" w:hAnsi="Times New Roman"/>
          <w:sz w:val="24"/>
        </w:rPr>
        <w:t xml:space="preserve"> </w:t>
      </w:r>
      <w:r w:rsidR="00887208" w:rsidRPr="002C29D2">
        <w:rPr>
          <w:rFonts w:ascii="Times New Roman" w:hAnsi="Times New Roman"/>
          <w:sz w:val="24"/>
        </w:rPr>
        <w:t>with bias-corrected, 95%</w:t>
      </w:r>
      <w:r w:rsidR="000453A8" w:rsidRPr="002C29D2">
        <w:rPr>
          <w:rFonts w:ascii="Times New Roman" w:hAnsi="Times New Roman"/>
          <w:sz w:val="24"/>
        </w:rPr>
        <w:t>-</w:t>
      </w:r>
      <w:r w:rsidR="00887208" w:rsidRPr="002C29D2">
        <w:rPr>
          <w:rFonts w:ascii="Times New Roman" w:hAnsi="Times New Roman"/>
          <w:sz w:val="24"/>
        </w:rPr>
        <w:t xml:space="preserve">confidence intervals to calculate the significance of the hypothesized paths in the structural model. For the mediation analysis, we first focused on the significance of the direct effect without the mediator. Then we tested the significance of the indirect effect via the mediator. If the direct effect without the mediator is insignificant but the indirect effect is significant, a full mediation is supported. If the direct effect without the </w:t>
      </w:r>
      <w:r w:rsidR="00887208" w:rsidRPr="002C29D2">
        <w:rPr>
          <w:rFonts w:ascii="Times New Roman" w:hAnsi="Times New Roman"/>
          <w:sz w:val="24"/>
        </w:rPr>
        <w:lastRenderedPageBreak/>
        <w:t xml:space="preserve">mediator is significant and the indirect effect is </w:t>
      </w:r>
      <w:r w:rsidR="00DD561F" w:rsidRPr="002C29D2">
        <w:rPr>
          <w:rFonts w:ascii="Times New Roman" w:hAnsi="Times New Roman"/>
          <w:sz w:val="24"/>
        </w:rPr>
        <w:t>equally so</w:t>
      </w:r>
      <w:r w:rsidR="00887208" w:rsidRPr="002C29D2">
        <w:rPr>
          <w:rFonts w:ascii="Times New Roman" w:hAnsi="Times New Roman"/>
          <w:sz w:val="24"/>
        </w:rPr>
        <w:t xml:space="preserve">, </w:t>
      </w:r>
      <w:r w:rsidR="006F0EA3" w:rsidRPr="002C29D2">
        <w:rPr>
          <w:rFonts w:ascii="Times New Roman" w:hAnsi="Times New Roman"/>
          <w:sz w:val="24"/>
        </w:rPr>
        <w:t xml:space="preserve">then </w:t>
      </w:r>
      <w:r w:rsidR="00887208" w:rsidRPr="002C29D2">
        <w:rPr>
          <w:rFonts w:ascii="Times New Roman" w:hAnsi="Times New Roman"/>
          <w:sz w:val="24"/>
        </w:rPr>
        <w:t>a partial mediation is supported (Zhao et al. 2010). Table 5 shows the results of the effect of responsible AI signals on engagement, and Table 6 illustrates the direct effect of AI signals on attitude, satisfaction and usage intention</w:t>
      </w:r>
      <w:r w:rsidR="00DD561F" w:rsidRPr="002C29D2">
        <w:rPr>
          <w:rFonts w:ascii="Times New Roman" w:hAnsi="Times New Roman"/>
          <w:sz w:val="24"/>
        </w:rPr>
        <w:t>s</w:t>
      </w:r>
      <w:r w:rsidR="00887208" w:rsidRPr="002C29D2">
        <w:rPr>
          <w:rFonts w:ascii="Times New Roman" w:hAnsi="Times New Roman"/>
          <w:sz w:val="24"/>
        </w:rPr>
        <w:t xml:space="preserve"> without a mediator, with engagement as the mediator, and the indirect effect</w:t>
      </w:r>
      <w:r w:rsidR="0007704B" w:rsidRPr="002C29D2">
        <w:rPr>
          <w:rFonts w:ascii="Times New Roman" w:hAnsi="Times New Roman"/>
          <w:sz w:val="24"/>
        </w:rPr>
        <w:t xml:space="preserve"> via </w:t>
      </w:r>
      <w:r w:rsidR="00A3205A" w:rsidRPr="002C29D2">
        <w:rPr>
          <w:rFonts w:ascii="Times New Roman" w:hAnsi="Times New Roman"/>
          <w:sz w:val="24"/>
        </w:rPr>
        <w:t xml:space="preserve">the </w:t>
      </w:r>
      <w:r w:rsidR="0007704B" w:rsidRPr="002C29D2">
        <w:rPr>
          <w:rFonts w:ascii="Times New Roman" w:hAnsi="Times New Roman"/>
          <w:sz w:val="24"/>
        </w:rPr>
        <w:t>mediator</w:t>
      </w:r>
      <w:r w:rsidR="00887208" w:rsidRPr="002C29D2">
        <w:rPr>
          <w:rFonts w:ascii="Times New Roman" w:hAnsi="Times New Roman"/>
          <w:sz w:val="24"/>
        </w:rPr>
        <w:t xml:space="preserve">. </w:t>
      </w:r>
    </w:p>
    <w:p w14:paraId="4AF75139" w14:textId="77777777" w:rsidR="00042ACC" w:rsidRPr="002C29D2" w:rsidRDefault="00042ACC" w:rsidP="00042ACC">
      <w:pPr>
        <w:pStyle w:val="NoSpacing"/>
        <w:spacing w:line="480" w:lineRule="auto"/>
        <w:ind w:firstLine="0"/>
        <w:jc w:val="center"/>
        <w:rPr>
          <w:rFonts w:ascii="Times New Roman" w:hAnsi="Times New Roman"/>
          <w:sz w:val="24"/>
        </w:rPr>
      </w:pPr>
      <w:r w:rsidRPr="002C29D2">
        <w:rPr>
          <w:rFonts w:ascii="Times New Roman" w:hAnsi="Times New Roman"/>
          <w:sz w:val="24"/>
        </w:rPr>
        <w:t>INSERT TABLE 5 HERE</w:t>
      </w:r>
    </w:p>
    <w:p w14:paraId="23CF209D" w14:textId="028C6496" w:rsidR="00042ACC" w:rsidRPr="002C29D2" w:rsidRDefault="00042ACC" w:rsidP="00042ACC">
      <w:pPr>
        <w:pStyle w:val="NoSpacing"/>
        <w:spacing w:line="480" w:lineRule="auto"/>
        <w:ind w:firstLine="0"/>
        <w:jc w:val="center"/>
        <w:rPr>
          <w:rFonts w:ascii="Times New Roman" w:hAnsi="Times New Roman"/>
          <w:sz w:val="24"/>
        </w:rPr>
      </w:pPr>
      <w:r w:rsidRPr="002C29D2">
        <w:rPr>
          <w:rFonts w:ascii="Times New Roman" w:hAnsi="Times New Roman"/>
          <w:sz w:val="24"/>
        </w:rPr>
        <w:t>INSERT TABLE 6 HERE</w:t>
      </w:r>
    </w:p>
    <w:p w14:paraId="52CA29BB" w14:textId="326CA960" w:rsidR="00B165DA" w:rsidRPr="002C29D2" w:rsidRDefault="007F5242" w:rsidP="007F5242">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887208" w:rsidRPr="002C29D2">
        <w:rPr>
          <w:rFonts w:ascii="Times New Roman" w:hAnsi="Times New Roman"/>
          <w:sz w:val="24"/>
        </w:rPr>
        <w:t>Therefore,</w:t>
      </w:r>
      <w:r w:rsidR="00042ACC" w:rsidRPr="002C29D2">
        <w:rPr>
          <w:rFonts w:ascii="Times New Roman" w:hAnsi="Times New Roman"/>
          <w:sz w:val="24"/>
        </w:rPr>
        <w:t xml:space="preserve"> </w:t>
      </w:r>
      <w:r w:rsidR="00995A34" w:rsidRPr="002C29D2">
        <w:rPr>
          <w:rFonts w:ascii="Times New Roman" w:hAnsi="Times New Roman"/>
          <w:sz w:val="24"/>
        </w:rPr>
        <w:t>H1(c)</w:t>
      </w:r>
      <w:r w:rsidR="000253FC" w:rsidRPr="002C29D2">
        <w:rPr>
          <w:rFonts w:ascii="Times New Roman" w:hAnsi="Times New Roman"/>
          <w:sz w:val="24"/>
        </w:rPr>
        <w:t>,</w:t>
      </w:r>
      <w:r w:rsidR="00995A34" w:rsidRPr="002C29D2">
        <w:rPr>
          <w:rFonts w:ascii="Times New Roman" w:hAnsi="Times New Roman"/>
          <w:sz w:val="24"/>
        </w:rPr>
        <w:t xml:space="preserve"> H2(</w:t>
      </w:r>
      <w:r w:rsidR="007C0773" w:rsidRPr="002C29D2">
        <w:rPr>
          <w:rFonts w:ascii="Times New Roman" w:hAnsi="Times New Roman"/>
          <w:sz w:val="24"/>
        </w:rPr>
        <w:t>a</w:t>
      </w:r>
      <w:r w:rsidR="00995A34" w:rsidRPr="002C29D2">
        <w:rPr>
          <w:rFonts w:ascii="Times New Roman" w:hAnsi="Times New Roman"/>
          <w:sz w:val="24"/>
        </w:rPr>
        <w:t>)</w:t>
      </w:r>
      <w:r w:rsidR="007C0773" w:rsidRPr="002C29D2">
        <w:rPr>
          <w:rFonts w:ascii="Times New Roman" w:hAnsi="Times New Roman"/>
          <w:sz w:val="24"/>
        </w:rPr>
        <w:t>, H2</w:t>
      </w:r>
      <w:r w:rsidR="00892581" w:rsidRPr="002C29D2">
        <w:rPr>
          <w:rFonts w:ascii="Times New Roman" w:hAnsi="Times New Roman"/>
          <w:sz w:val="24"/>
        </w:rPr>
        <w:t>(c)</w:t>
      </w:r>
      <w:r w:rsidR="007C0773" w:rsidRPr="002C29D2">
        <w:rPr>
          <w:rFonts w:ascii="Times New Roman" w:hAnsi="Times New Roman"/>
          <w:sz w:val="24"/>
        </w:rPr>
        <w:t>, H3(b), H4(b), H5(b)</w:t>
      </w:r>
      <w:r w:rsidR="00892581" w:rsidRPr="002C29D2">
        <w:rPr>
          <w:rFonts w:ascii="Times New Roman" w:hAnsi="Times New Roman"/>
          <w:sz w:val="24"/>
        </w:rPr>
        <w:t>,</w:t>
      </w:r>
      <w:r w:rsidR="000253FC" w:rsidRPr="002C29D2">
        <w:rPr>
          <w:rFonts w:ascii="Times New Roman" w:hAnsi="Times New Roman"/>
          <w:sz w:val="24"/>
        </w:rPr>
        <w:t xml:space="preserve"> </w:t>
      </w:r>
      <w:r w:rsidR="00887208" w:rsidRPr="002C29D2">
        <w:rPr>
          <w:rFonts w:ascii="Times New Roman" w:hAnsi="Times New Roman"/>
          <w:sz w:val="24"/>
        </w:rPr>
        <w:t>H6, and H7 are supported</w:t>
      </w:r>
      <w:r w:rsidR="00042ACC" w:rsidRPr="002C29D2">
        <w:rPr>
          <w:rFonts w:ascii="Times New Roman" w:hAnsi="Times New Roman"/>
          <w:sz w:val="24"/>
        </w:rPr>
        <w:t xml:space="preserve">. </w:t>
      </w:r>
      <w:r w:rsidR="00887208" w:rsidRPr="002C29D2">
        <w:rPr>
          <w:rFonts w:ascii="Times New Roman" w:hAnsi="Times New Roman"/>
          <w:sz w:val="24"/>
        </w:rPr>
        <w:t xml:space="preserve">Responsible AI signals are positively related with </w:t>
      </w:r>
      <w:r w:rsidR="006F0EA3" w:rsidRPr="002C29D2">
        <w:rPr>
          <w:rFonts w:ascii="Times New Roman" w:hAnsi="Times New Roman"/>
          <w:sz w:val="24"/>
        </w:rPr>
        <w:t xml:space="preserve">employee </w:t>
      </w:r>
      <w:r w:rsidR="00887208" w:rsidRPr="002C29D2">
        <w:rPr>
          <w:rFonts w:ascii="Times New Roman" w:hAnsi="Times New Roman"/>
          <w:sz w:val="24"/>
        </w:rPr>
        <w:t>engagement, and engagement mediates the relationship between responsible AI signals on healthcare practitioners’ attitude, satisfaction, and usage intention</w:t>
      </w:r>
      <w:r w:rsidR="00DD561F" w:rsidRPr="002C29D2">
        <w:rPr>
          <w:rFonts w:ascii="Times New Roman" w:hAnsi="Times New Roman"/>
          <w:sz w:val="24"/>
        </w:rPr>
        <w:t>s</w:t>
      </w:r>
      <w:r w:rsidR="00887208" w:rsidRPr="002C29D2">
        <w:rPr>
          <w:rFonts w:ascii="Times New Roman" w:hAnsi="Times New Roman"/>
          <w:sz w:val="24"/>
        </w:rPr>
        <w:t xml:space="preserve"> </w:t>
      </w:r>
      <w:r w:rsidR="00DD561F" w:rsidRPr="002C29D2">
        <w:rPr>
          <w:rFonts w:ascii="Times New Roman" w:hAnsi="Times New Roman"/>
          <w:sz w:val="24"/>
        </w:rPr>
        <w:t xml:space="preserve">with </w:t>
      </w:r>
      <w:r w:rsidR="00887208" w:rsidRPr="002C29D2">
        <w:rPr>
          <w:rFonts w:ascii="Times New Roman" w:hAnsi="Times New Roman"/>
          <w:sz w:val="24"/>
        </w:rPr>
        <w:t xml:space="preserve">AI technology. </w:t>
      </w:r>
    </w:p>
    <w:p w14:paraId="76BA995D" w14:textId="2DC0BA94" w:rsidR="007B3D0C" w:rsidRPr="002C29D2" w:rsidRDefault="007F5242" w:rsidP="007F5242">
      <w:pPr>
        <w:spacing w:line="480" w:lineRule="auto"/>
        <w:jc w:val="both"/>
      </w:pPr>
      <w:r w:rsidRPr="002C29D2">
        <w:t xml:space="preserve">        </w:t>
      </w:r>
      <w:r w:rsidR="00371D32" w:rsidRPr="002C29D2">
        <w:t xml:space="preserve">We further </w:t>
      </w:r>
      <w:r w:rsidR="005C2AB8" w:rsidRPr="002C29D2">
        <w:t>conducted</w:t>
      </w:r>
      <w:r w:rsidR="00371D32" w:rsidRPr="002C29D2">
        <w:t xml:space="preserve"> </w:t>
      </w:r>
      <w:r w:rsidR="00DD561F" w:rsidRPr="002C29D2">
        <w:t xml:space="preserve">a </w:t>
      </w:r>
      <w:r w:rsidR="00371D32" w:rsidRPr="002C29D2">
        <w:t xml:space="preserve">moderated mediation </w:t>
      </w:r>
      <w:r w:rsidR="005C2AB8" w:rsidRPr="002C29D2">
        <w:t xml:space="preserve">analysis </w:t>
      </w:r>
      <w:r w:rsidR="00371D32" w:rsidRPr="002C29D2">
        <w:t>for our research model</w:t>
      </w:r>
      <w:r w:rsidR="00FC6DE6" w:rsidRPr="002C29D2">
        <w:t>.</w:t>
      </w:r>
      <w:r w:rsidR="00371D32" w:rsidRPr="002C29D2">
        <w:t xml:space="preserve"> </w:t>
      </w:r>
      <w:r w:rsidR="00FC6DE6" w:rsidRPr="002C29D2">
        <w:t>A</w:t>
      </w:r>
      <w:r w:rsidR="00371D32" w:rsidRPr="002C29D2">
        <w:t xml:space="preserve">s demonstrated in </w:t>
      </w:r>
      <w:r w:rsidR="00FC6DE6" w:rsidRPr="002C29D2">
        <w:t>F</w:t>
      </w:r>
      <w:r w:rsidR="00371D32" w:rsidRPr="002C29D2">
        <w:t>i</w:t>
      </w:r>
      <w:r w:rsidR="00FE52A9" w:rsidRPr="002C29D2">
        <w:t>g</w:t>
      </w:r>
      <w:r w:rsidR="00371D32" w:rsidRPr="002C29D2">
        <w:t xml:space="preserve"> 1, we </w:t>
      </w:r>
      <w:r w:rsidR="00507F24" w:rsidRPr="002C29D2">
        <w:t>aim</w:t>
      </w:r>
      <w:r w:rsidR="00371D32" w:rsidRPr="002C29D2">
        <w:t xml:space="preserve"> to </w:t>
      </w:r>
      <w:r w:rsidR="003C0139" w:rsidRPr="002C29D2">
        <w:t>examine</w:t>
      </w:r>
      <w:r w:rsidR="00371D32" w:rsidRPr="002C29D2">
        <w:t xml:space="preserve"> whether techno-overload moderate</w:t>
      </w:r>
      <w:r w:rsidR="005C2AB8" w:rsidRPr="002C29D2">
        <w:t>s</w:t>
      </w:r>
      <w:r w:rsidR="00507F24" w:rsidRPr="002C29D2">
        <w:t xml:space="preserve"> the mediating effects of employee engagement on the relationship between AI justice and behavioural and attitudinal outcomes. </w:t>
      </w:r>
      <w:r w:rsidR="003C0139" w:rsidRPr="002C29D2">
        <w:t xml:space="preserve">As </w:t>
      </w:r>
      <w:r w:rsidR="00507F24" w:rsidRPr="002C29D2">
        <w:t xml:space="preserve">illustrated </w:t>
      </w:r>
      <w:r w:rsidR="003C0139" w:rsidRPr="002C29D2">
        <w:t>in Table 7</w:t>
      </w:r>
      <w:r w:rsidR="003B042A" w:rsidRPr="002C29D2">
        <w:t>(a)</w:t>
      </w:r>
      <w:r w:rsidR="00A73275" w:rsidRPr="002C29D2">
        <w:t>,</w:t>
      </w:r>
      <w:r w:rsidR="003B042A" w:rsidRPr="002C29D2">
        <w:t xml:space="preserve"> </w:t>
      </w:r>
      <w:r w:rsidR="00C85101" w:rsidRPr="002C29D2">
        <w:t xml:space="preserve">techno-overload </w:t>
      </w:r>
      <w:r w:rsidR="00F966F4" w:rsidRPr="002C29D2">
        <w:t xml:space="preserve">moderates </w:t>
      </w:r>
      <w:r w:rsidR="00C85101" w:rsidRPr="002C29D2">
        <w:t>the effect of AI justic</w:t>
      </w:r>
      <w:r w:rsidR="00A73275" w:rsidRPr="002C29D2">
        <w:t>e</w:t>
      </w:r>
      <w:r w:rsidR="00C85101" w:rsidRPr="002C29D2">
        <w:t xml:space="preserve"> on engagement (β = -0.174, p &lt; 0.05)</w:t>
      </w:r>
      <w:r w:rsidR="00A73275" w:rsidRPr="002C29D2">
        <w:t xml:space="preserve">. </w:t>
      </w:r>
      <w:r w:rsidR="00FE52A9" w:rsidRPr="002C29D2">
        <w:t xml:space="preserve">Thus, H8 is supported. </w:t>
      </w:r>
      <w:r w:rsidR="00A73275" w:rsidRPr="002C29D2">
        <w:t>Table 7(b)</w:t>
      </w:r>
      <w:r w:rsidR="00507F24" w:rsidRPr="002C29D2">
        <w:t xml:space="preserve"> revealed that </w:t>
      </w:r>
      <w:r w:rsidR="003C0139" w:rsidRPr="002C29D2">
        <w:t xml:space="preserve">AI justice </w:t>
      </w:r>
      <w:r w:rsidR="00507F24" w:rsidRPr="002C29D2">
        <w:t>significantly influence</w:t>
      </w:r>
      <w:r w:rsidR="00DD561F" w:rsidRPr="002C29D2">
        <w:t>s</w:t>
      </w:r>
      <w:r w:rsidR="003C0139" w:rsidRPr="002C29D2">
        <w:t xml:space="preserve"> satisfaction (β = -0.062, p &lt; 0.05)</w:t>
      </w:r>
      <w:r w:rsidR="00507F24" w:rsidRPr="002C29D2">
        <w:t xml:space="preserve">, </w:t>
      </w:r>
      <w:r w:rsidR="003C0139" w:rsidRPr="002C29D2">
        <w:t>usage intention</w:t>
      </w:r>
      <w:r w:rsidR="00DD561F" w:rsidRPr="002C29D2">
        <w:t>s</w:t>
      </w:r>
      <w:r w:rsidR="003C0139" w:rsidRPr="002C29D2">
        <w:t xml:space="preserve"> (β = -0.091, p &lt; 0.05)</w:t>
      </w:r>
      <w:r w:rsidR="00A5076A" w:rsidRPr="002C29D2">
        <w:t xml:space="preserve"> and marginally </w:t>
      </w:r>
      <w:r w:rsidR="00507F24" w:rsidRPr="002C29D2">
        <w:t>affect</w:t>
      </w:r>
      <w:r w:rsidR="00DD561F" w:rsidRPr="002C29D2">
        <w:t>s</w:t>
      </w:r>
      <w:r w:rsidR="00A5076A" w:rsidRPr="002C29D2">
        <w:t xml:space="preserve"> </w:t>
      </w:r>
      <w:r w:rsidR="00C96CB5" w:rsidRPr="002C29D2">
        <w:t>a</w:t>
      </w:r>
      <w:r w:rsidR="00A5076A" w:rsidRPr="002C29D2">
        <w:t>ttitude</w:t>
      </w:r>
      <w:r w:rsidR="007F213B" w:rsidRPr="002C29D2">
        <w:t>s</w:t>
      </w:r>
      <w:r w:rsidR="00A5076A" w:rsidRPr="002C29D2">
        <w:t xml:space="preserve"> toward AI (β =</w:t>
      </w:r>
      <w:r w:rsidR="007F213B" w:rsidRPr="002C29D2">
        <w:t xml:space="preserve"> </w:t>
      </w:r>
      <w:r w:rsidR="00A5076A" w:rsidRPr="002C29D2">
        <w:t>-0.050, p &lt; 0.10)</w:t>
      </w:r>
      <w:r w:rsidR="003C0139" w:rsidRPr="002C29D2">
        <w:t xml:space="preserve"> through the moderated mediation path</w:t>
      </w:r>
      <w:r w:rsidR="00DD561F" w:rsidRPr="002C29D2">
        <w:t>,</w:t>
      </w:r>
      <w:r w:rsidR="003C0139" w:rsidRPr="002C29D2">
        <w:t xml:space="preserve"> while engagement acted as the mediator and techno-overload as the moderator. </w:t>
      </w:r>
      <w:r w:rsidR="00C96CB5" w:rsidRPr="002C29D2">
        <w:t>Therefore, H9</w:t>
      </w:r>
      <w:r w:rsidR="007F213B" w:rsidRPr="002C29D2">
        <w:t xml:space="preserve"> </w:t>
      </w:r>
      <w:r w:rsidR="00FE52A9" w:rsidRPr="002C29D2">
        <w:t>is</w:t>
      </w:r>
      <w:r w:rsidR="00C96CB5" w:rsidRPr="002C29D2">
        <w:t xml:space="preserve"> supported.</w:t>
      </w:r>
      <w:r w:rsidR="007A773D" w:rsidRPr="002C29D2">
        <w:rPr>
          <w:rFonts w:hint="eastAsia"/>
          <w:lang w:eastAsia="zh-TW"/>
        </w:rPr>
        <w:t xml:space="preserve"> T</w:t>
      </w:r>
      <w:r w:rsidR="00846F51" w:rsidRPr="002C29D2">
        <w:t xml:space="preserve">he results of hypotheses testing </w:t>
      </w:r>
      <w:r w:rsidR="00282EAE" w:rsidRPr="002C29D2">
        <w:t xml:space="preserve">are summarised in </w:t>
      </w:r>
      <w:r w:rsidR="00FE52A9" w:rsidRPr="002C29D2">
        <w:t>T</w:t>
      </w:r>
      <w:r w:rsidR="00282EAE" w:rsidRPr="002C29D2">
        <w:t>able 8.</w:t>
      </w:r>
    </w:p>
    <w:p w14:paraId="0D7ED80F" w14:textId="77777777" w:rsidR="00BF638A" w:rsidRPr="002C29D2" w:rsidRDefault="006638C4" w:rsidP="006638C4">
      <w:pPr>
        <w:pStyle w:val="NoSpacing"/>
        <w:spacing w:line="480" w:lineRule="auto"/>
        <w:ind w:firstLine="0"/>
        <w:jc w:val="center"/>
        <w:rPr>
          <w:rFonts w:ascii="Times New Roman" w:hAnsi="Times New Roman"/>
          <w:sz w:val="24"/>
        </w:rPr>
      </w:pPr>
      <w:r w:rsidRPr="002C29D2">
        <w:rPr>
          <w:rFonts w:ascii="Times New Roman" w:hAnsi="Times New Roman"/>
          <w:sz w:val="24"/>
        </w:rPr>
        <w:t>INSERT TABLE 7</w:t>
      </w:r>
      <w:r w:rsidR="00FF2F3E" w:rsidRPr="002C29D2">
        <w:rPr>
          <w:rFonts w:ascii="Times New Roman" w:hAnsi="Times New Roman"/>
          <w:sz w:val="24"/>
        </w:rPr>
        <w:t xml:space="preserve"> (</w:t>
      </w:r>
      <w:r w:rsidR="00BF638A" w:rsidRPr="002C29D2">
        <w:rPr>
          <w:rFonts w:ascii="Times New Roman" w:hAnsi="Times New Roman"/>
          <w:sz w:val="24"/>
        </w:rPr>
        <w:t>a</w:t>
      </w:r>
      <w:r w:rsidR="00FF2F3E" w:rsidRPr="002C29D2">
        <w:rPr>
          <w:rFonts w:ascii="Times New Roman" w:hAnsi="Times New Roman"/>
          <w:sz w:val="24"/>
        </w:rPr>
        <w:t xml:space="preserve">) </w:t>
      </w:r>
      <w:r w:rsidR="00BF638A" w:rsidRPr="002C29D2">
        <w:rPr>
          <w:rFonts w:ascii="Times New Roman" w:hAnsi="Times New Roman"/>
          <w:sz w:val="24"/>
        </w:rPr>
        <w:t>HERE</w:t>
      </w:r>
    </w:p>
    <w:p w14:paraId="0380DEB3" w14:textId="34D5DF24" w:rsidR="003E6E02" w:rsidRPr="002C29D2" w:rsidRDefault="00BF638A" w:rsidP="00BF638A">
      <w:pPr>
        <w:pStyle w:val="NoSpacing"/>
        <w:spacing w:line="480" w:lineRule="auto"/>
        <w:ind w:firstLine="0"/>
        <w:jc w:val="center"/>
        <w:rPr>
          <w:rFonts w:ascii="Times New Roman" w:hAnsi="Times New Roman"/>
          <w:sz w:val="24"/>
        </w:rPr>
      </w:pPr>
      <w:r w:rsidRPr="002C29D2">
        <w:rPr>
          <w:rFonts w:ascii="Times New Roman" w:hAnsi="Times New Roman"/>
          <w:sz w:val="24"/>
        </w:rPr>
        <w:t>INSERT</w:t>
      </w:r>
      <w:r w:rsidR="00FF2F3E" w:rsidRPr="002C29D2">
        <w:rPr>
          <w:rFonts w:ascii="Times New Roman" w:hAnsi="Times New Roman"/>
          <w:sz w:val="24"/>
        </w:rPr>
        <w:t xml:space="preserve"> TABLE 7 (</w:t>
      </w:r>
      <w:r w:rsidRPr="002C29D2">
        <w:rPr>
          <w:rFonts w:ascii="Times New Roman" w:hAnsi="Times New Roman"/>
          <w:sz w:val="24"/>
        </w:rPr>
        <w:t>b</w:t>
      </w:r>
      <w:r w:rsidR="00FF2F3E" w:rsidRPr="002C29D2">
        <w:rPr>
          <w:rFonts w:ascii="Times New Roman" w:hAnsi="Times New Roman"/>
          <w:sz w:val="24"/>
        </w:rPr>
        <w:t>)</w:t>
      </w:r>
      <w:r w:rsidR="006638C4" w:rsidRPr="002C29D2">
        <w:rPr>
          <w:rFonts w:ascii="Times New Roman" w:hAnsi="Times New Roman"/>
          <w:sz w:val="24"/>
        </w:rPr>
        <w:t xml:space="preserve"> HERE</w:t>
      </w:r>
    </w:p>
    <w:p w14:paraId="0BDE3CE7" w14:textId="1CB8A457" w:rsidR="00282EAE" w:rsidRPr="002C29D2" w:rsidRDefault="00282EAE" w:rsidP="00BF638A">
      <w:pPr>
        <w:pStyle w:val="NoSpacing"/>
        <w:spacing w:line="480" w:lineRule="auto"/>
        <w:ind w:firstLine="0"/>
        <w:jc w:val="center"/>
        <w:rPr>
          <w:rFonts w:ascii="Times New Roman" w:hAnsi="Times New Roman"/>
          <w:sz w:val="24"/>
        </w:rPr>
      </w:pPr>
      <w:r w:rsidRPr="002C29D2">
        <w:rPr>
          <w:rFonts w:ascii="Times New Roman" w:hAnsi="Times New Roman"/>
          <w:sz w:val="24"/>
        </w:rPr>
        <w:t>INSERT TABLE 8 HERE</w:t>
      </w:r>
    </w:p>
    <w:p w14:paraId="144EC248" w14:textId="5D8EEF95" w:rsidR="00776746" w:rsidRPr="002C29D2" w:rsidRDefault="007F5242" w:rsidP="007F5242">
      <w:pPr>
        <w:spacing w:line="480" w:lineRule="auto"/>
        <w:jc w:val="both"/>
        <w:rPr>
          <w:lang w:eastAsia="zh-TW"/>
        </w:rPr>
      </w:pPr>
      <w:r w:rsidRPr="002C29D2">
        <w:rPr>
          <w:lang w:eastAsia="zh-TW"/>
        </w:rPr>
        <w:lastRenderedPageBreak/>
        <w:t xml:space="preserve">        </w:t>
      </w:r>
      <w:r w:rsidR="003566A5" w:rsidRPr="002C29D2">
        <w:rPr>
          <w:lang w:eastAsia="zh-TW"/>
        </w:rPr>
        <w:t>Finally, a</w:t>
      </w:r>
      <w:r w:rsidR="00390AE2" w:rsidRPr="002C29D2">
        <w:rPr>
          <w:lang w:eastAsia="zh-TW"/>
        </w:rPr>
        <w:t xml:space="preserve">ssessing the multigroup (or between-group) differences </w:t>
      </w:r>
      <w:r w:rsidR="00B90565" w:rsidRPr="002C29D2">
        <w:rPr>
          <w:lang w:eastAsia="zh-TW"/>
        </w:rPr>
        <w:t xml:space="preserve">is important to </w:t>
      </w:r>
      <w:r w:rsidR="00DD561F" w:rsidRPr="002C29D2">
        <w:rPr>
          <w:lang w:eastAsia="zh-TW"/>
        </w:rPr>
        <w:t xml:space="preserve">more subtly </w:t>
      </w:r>
      <w:r w:rsidR="00B90565" w:rsidRPr="002C29D2">
        <w:rPr>
          <w:lang w:eastAsia="zh-TW"/>
        </w:rPr>
        <w:t xml:space="preserve">understand </w:t>
      </w:r>
      <w:r w:rsidR="00390AE2" w:rsidRPr="002C29D2">
        <w:rPr>
          <w:lang w:eastAsia="zh-TW"/>
        </w:rPr>
        <w:t>technology</w:t>
      </w:r>
      <w:r w:rsidR="00B90565" w:rsidRPr="002C29D2">
        <w:rPr>
          <w:lang w:eastAsia="zh-TW"/>
        </w:rPr>
        <w:t xml:space="preserve"> </w:t>
      </w:r>
      <w:r w:rsidR="003566A5" w:rsidRPr="002C29D2">
        <w:rPr>
          <w:lang w:eastAsia="zh-TW"/>
        </w:rPr>
        <w:t>usage behaviours</w:t>
      </w:r>
      <w:r w:rsidR="00B90565" w:rsidRPr="002C29D2">
        <w:rPr>
          <w:lang w:eastAsia="zh-TW"/>
        </w:rPr>
        <w:t xml:space="preserve"> (Qureshi and Compeau 2009). To explore this effect, we split the sample into groups based on </w:t>
      </w:r>
      <w:r w:rsidR="00486B0F" w:rsidRPr="002C29D2">
        <w:rPr>
          <w:lang w:eastAsia="zh-TW"/>
        </w:rPr>
        <w:t xml:space="preserve">respondents’ </w:t>
      </w:r>
      <w:r w:rsidR="00776746" w:rsidRPr="002C29D2">
        <w:rPr>
          <w:lang w:eastAsia="zh-TW"/>
        </w:rPr>
        <w:t>education</w:t>
      </w:r>
      <w:r w:rsidR="00C4445C" w:rsidRPr="002C29D2">
        <w:rPr>
          <w:lang w:eastAsia="zh-TW"/>
        </w:rPr>
        <w:t>al</w:t>
      </w:r>
      <w:r w:rsidR="00776746" w:rsidRPr="002C29D2">
        <w:rPr>
          <w:lang w:eastAsia="zh-TW"/>
        </w:rPr>
        <w:t xml:space="preserve"> background, gender, </w:t>
      </w:r>
      <w:r w:rsidR="00C4445C" w:rsidRPr="002C29D2">
        <w:rPr>
          <w:lang w:eastAsia="zh-TW"/>
        </w:rPr>
        <w:t xml:space="preserve">healthcare work </w:t>
      </w:r>
      <w:r w:rsidR="00776746" w:rsidRPr="002C29D2">
        <w:rPr>
          <w:lang w:eastAsia="zh-TW"/>
        </w:rPr>
        <w:t xml:space="preserve">experience, frequency of AI usage, average AI usage time per week, and </w:t>
      </w:r>
      <w:r w:rsidR="00C4445C" w:rsidRPr="002C29D2">
        <w:rPr>
          <w:lang w:eastAsia="zh-TW"/>
        </w:rPr>
        <w:t>j</w:t>
      </w:r>
      <w:r w:rsidR="00776746" w:rsidRPr="002C29D2">
        <w:rPr>
          <w:lang w:eastAsia="zh-TW"/>
        </w:rPr>
        <w:t xml:space="preserve">ob title. The multigroup analysis was run to </w:t>
      </w:r>
      <w:r w:rsidR="00C4445C" w:rsidRPr="002C29D2">
        <w:rPr>
          <w:lang w:eastAsia="zh-TW"/>
        </w:rPr>
        <w:t xml:space="preserve">learn </w:t>
      </w:r>
      <w:r w:rsidR="00776746" w:rsidRPr="002C29D2">
        <w:rPr>
          <w:lang w:eastAsia="zh-TW"/>
        </w:rPr>
        <w:t>whether healthcare professionals’ characteristics</w:t>
      </w:r>
      <w:r w:rsidR="00F23F03" w:rsidRPr="002C29D2">
        <w:rPr>
          <w:lang w:eastAsia="zh-TW"/>
        </w:rPr>
        <w:t xml:space="preserve"> and AI usage experience </w:t>
      </w:r>
      <w:r w:rsidR="00C4445C" w:rsidRPr="002C29D2">
        <w:rPr>
          <w:lang w:eastAsia="zh-TW"/>
        </w:rPr>
        <w:t xml:space="preserve">can </w:t>
      </w:r>
      <w:r w:rsidR="0080241E" w:rsidRPr="002C29D2">
        <w:rPr>
          <w:lang w:eastAsia="zh-TW"/>
        </w:rPr>
        <w:t>moderate</w:t>
      </w:r>
      <w:r w:rsidR="00F23F03" w:rsidRPr="002C29D2">
        <w:rPr>
          <w:lang w:eastAsia="zh-TW"/>
        </w:rPr>
        <w:t xml:space="preserve"> the </w:t>
      </w:r>
      <w:r w:rsidR="003566A5" w:rsidRPr="002C29D2">
        <w:rPr>
          <w:lang w:eastAsia="zh-TW"/>
        </w:rPr>
        <w:t>effects</w:t>
      </w:r>
      <w:r w:rsidR="00F23F03" w:rsidRPr="002C29D2">
        <w:rPr>
          <w:lang w:eastAsia="zh-TW"/>
        </w:rPr>
        <w:t xml:space="preserve"> of respo</w:t>
      </w:r>
      <w:r w:rsidR="00C4445C" w:rsidRPr="002C29D2">
        <w:rPr>
          <w:lang w:eastAsia="zh-TW"/>
        </w:rPr>
        <w:t>ns</w:t>
      </w:r>
      <w:r w:rsidR="00F23F03" w:rsidRPr="002C29D2">
        <w:rPr>
          <w:lang w:eastAsia="zh-TW"/>
        </w:rPr>
        <w:t>i</w:t>
      </w:r>
      <w:r w:rsidR="00C4445C" w:rsidRPr="002C29D2">
        <w:rPr>
          <w:lang w:eastAsia="zh-TW"/>
        </w:rPr>
        <w:t>b</w:t>
      </w:r>
      <w:r w:rsidR="00F23F03" w:rsidRPr="002C29D2">
        <w:rPr>
          <w:lang w:eastAsia="zh-TW"/>
        </w:rPr>
        <w:t xml:space="preserve">le AI </w:t>
      </w:r>
      <w:r w:rsidR="003566A5" w:rsidRPr="002C29D2">
        <w:rPr>
          <w:lang w:eastAsia="zh-TW"/>
        </w:rPr>
        <w:t xml:space="preserve">signals </w:t>
      </w:r>
      <w:r w:rsidR="00F23F03" w:rsidRPr="002C29D2">
        <w:rPr>
          <w:lang w:eastAsia="zh-TW"/>
        </w:rPr>
        <w:t xml:space="preserve">on </w:t>
      </w:r>
      <w:r w:rsidR="003566A5" w:rsidRPr="002C29D2">
        <w:rPr>
          <w:lang w:eastAsia="zh-TW"/>
        </w:rPr>
        <w:t xml:space="preserve">employees’ </w:t>
      </w:r>
      <w:r w:rsidR="0080241E" w:rsidRPr="002C29D2">
        <w:rPr>
          <w:lang w:eastAsia="zh-TW"/>
        </w:rPr>
        <w:t>responses toward AI</w:t>
      </w:r>
      <w:r w:rsidR="00F23F03" w:rsidRPr="002C29D2">
        <w:rPr>
          <w:lang w:eastAsia="zh-TW"/>
        </w:rPr>
        <w:t>. The re</w:t>
      </w:r>
      <w:r w:rsidR="00D84EB9" w:rsidRPr="002C29D2">
        <w:rPr>
          <w:lang w:eastAsia="zh-TW"/>
        </w:rPr>
        <w:t>s</w:t>
      </w:r>
      <w:r w:rsidR="00F23F03" w:rsidRPr="002C29D2">
        <w:rPr>
          <w:lang w:eastAsia="zh-TW"/>
        </w:rPr>
        <w:t xml:space="preserve">ults in Appendix </w:t>
      </w:r>
      <w:r w:rsidR="00440C25" w:rsidRPr="002C29D2">
        <w:rPr>
          <w:lang w:eastAsia="zh-TW"/>
        </w:rPr>
        <w:t>D</w:t>
      </w:r>
      <w:r w:rsidR="00F23F03" w:rsidRPr="002C29D2">
        <w:rPr>
          <w:lang w:eastAsia="zh-TW"/>
        </w:rPr>
        <w:t xml:space="preserve"> </w:t>
      </w:r>
      <w:r w:rsidR="003566A5" w:rsidRPr="002C29D2">
        <w:rPr>
          <w:lang w:eastAsia="zh-TW"/>
        </w:rPr>
        <w:t xml:space="preserve">demonstrate </w:t>
      </w:r>
      <w:r w:rsidR="00F23F03" w:rsidRPr="002C29D2">
        <w:rPr>
          <w:lang w:eastAsia="zh-TW"/>
        </w:rPr>
        <w:t>that</w:t>
      </w:r>
      <w:r w:rsidR="0080241E" w:rsidRPr="002C29D2">
        <w:rPr>
          <w:lang w:eastAsia="zh-TW"/>
        </w:rPr>
        <w:t xml:space="preserve"> the difference</w:t>
      </w:r>
      <w:r w:rsidR="003566A5" w:rsidRPr="002C29D2">
        <w:rPr>
          <w:lang w:eastAsia="zh-TW"/>
        </w:rPr>
        <w:t>s</w:t>
      </w:r>
      <w:r w:rsidR="00071CFF" w:rsidRPr="002C29D2">
        <w:rPr>
          <w:lang w:eastAsia="zh-TW"/>
        </w:rPr>
        <w:t xml:space="preserve"> </w:t>
      </w:r>
      <w:r w:rsidR="00C4445C" w:rsidRPr="002C29D2">
        <w:rPr>
          <w:lang w:eastAsia="zh-TW"/>
        </w:rPr>
        <w:t xml:space="preserve">between </w:t>
      </w:r>
      <w:r w:rsidR="0080241E" w:rsidRPr="002C29D2">
        <w:rPr>
          <w:lang w:eastAsia="zh-TW"/>
        </w:rPr>
        <w:t>the explainabi</w:t>
      </w:r>
      <w:r w:rsidR="003566A5" w:rsidRPr="002C29D2">
        <w:rPr>
          <w:lang w:eastAsia="zh-TW"/>
        </w:rPr>
        <w:t>li</w:t>
      </w:r>
      <w:r w:rsidR="0080241E" w:rsidRPr="002C29D2">
        <w:rPr>
          <w:lang w:eastAsia="zh-TW"/>
        </w:rPr>
        <w:t>ty</w:t>
      </w:r>
      <w:r w:rsidR="00C4445C" w:rsidRPr="002C29D2">
        <w:rPr>
          <w:lang w:eastAsia="zh-TW"/>
        </w:rPr>
        <w:t>-</w:t>
      </w:r>
      <w:r w:rsidR="0080241E" w:rsidRPr="002C29D2">
        <w:rPr>
          <w:lang w:eastAsia="zh-TW"/>
        </w:rPr>
        <w:t>to</w:t>
      </w:r>
      <w:r w:rsidR="00C4445C" w:rsidRPr="002C29D2">
        <w:rPr>
          <w:lang w:eastAsia="zh-TW"/>
        </w:rPr>
        <w:t>-</w:t>
      </w:r>
      <w:r w:rsidR="0080241E" w:rsidRPr="002C29D2">
        <w:rPr>
          <w:lang w:eastAsia="zh-TW"/>
        </w:rPr>
        <w:t xml:space="preserve">satisfaction </w:t>
      </w:r>
      <w:r w:rsidR="00B557A7" w:rsidRPr="002C29D2">
        <w:rPr>
          <w:lang w:eastAsia="zh-TW"/>
        </w:rPr>
        <w:t>coefficient</w:t>
      </w:r>
      <w:r w:rsidR="00C4445C" w:rsidRPr="002C29D2">
        <w:rPr>
          <w:lang w:eastAsia="zh-TW"/>
        </w:rPr>
        <w:t>s</w:t>
      </w:r>
      <w:r w:rsidR="00B557A7" w:rsidRPr="002C29D2">
        <w:rPr>
          <w:lang w:eastAsia="zh-TW"/>
        </w:rPr>
        <w:t xml:space="preserve"> from two job title group</w:t>
      </w:r>
      <w:r w:rsidR="00071CFF" w:rsidRPr="002C29D2">
        <w:rPr>
          <w:lang w:eastAsia="zh-TW"/>
        </w:rPr>
        <w:t>s</w:t>
      </w:r>
      <w:r w:rsidR="00B557A7" w:rsidRPr="002C29D2">
        <w:rPr>
          <w:lang w:eastAsia="zh-TW"/>
        </w:rPr>
        <w:t xml:space="preserve"> </w:t>
      </w:r>
      <w:r w:rsidR="003566A5" w:rsidRPr="002C29D2">
        <w:rPr>
          <w:lang w:eastAsia="zh-TW"/>
        </w:rPr>
        <w:t xml:space="preserve">were </w:t>
      </w:r>
      <w:r w:rsidR="00B557A7" w:rsidRPr="002C29D2">
        <w:rPr>
          <w:lang w:eastAsia="zh-TW"/>
        </w:rPr>
        <w:t>significant at the 0.05 level.</w:t>
      </w:r>
      <w:r w:rsidR="00071CFF" w:rsidRPr="002C29D2">
        <w:rPr>
          <w:lang w:eastAsia="zh-TW"/>
        </w:rPr>
        <w:t xml:space="preserve"> We also find that the differences </w:t>
      </w:r>
      <w:r w:rsidR="003566A5" w:rsidRPr="002C29D2">
        <w:rPr>
          <w:lang w:eastAsia="zh-TW"/>
        </w:rPr>
        <w:t>of</w:t>
      </w:r>
      <w:r w:rsidR="00071CFF" w:rsidRPr="002C29D2">
        <w:rPr>
          <w:lang w:eastAsia="zh-TW"/>
        </w:rPr>
        <w:t xml:space="preserve"> </w:t>
      </w:r>
      <w:r w:rsidR="00071CFF" w:rsidRPr="002C29D2">
        <w:t>autonomy</w:t>
      </w:r>
      <w:r w:rsidR="00071CFF" w:rsidRPr="002C29D2">
        <w:rPr>
          <w:lang w:eastAsia="zh-TW"/>
        </w:rPr>
        <w:t xml:space="preserve"> and</w:t>
      </w:r>
      <w:r w:rsidR="00071CFF" w:rsidRPr="002C29D2">
        <w:t xml:space="preserve"> beneficence</w:t>
      </w:r>
      <w:r w:rsidR="00C4445C" w:rsidRPr="002C29D2">
        <w:rPr>
          <w:lang w:eastAsia="zh-TW"/>
        </w:rPr>
        <w:t>-</w:t>
      </w:r>
      <w:r w:rsidR="00071CFF" w:rsidRPr="002C29D2">
        <w:rPr>
          <w:lang w:eastAsia="zh-TW"/>
        </w:rPr>
        <w:t>to</w:t>
      </w:r>
      <w:r w:rsidR="00C4445C" w:rsidRPr="002C29D2">
        <w:rPr>
          <w:lang w:eastAsia="zh-TW"/>
        </w:rPr>
        <w:t>-</w:t>
      </w:r>
      <w:r w:rsidR="00071CFF" w:rsidRPr="002C29D2">
        <w:t>satisfaction</w:t>
      </w:r>
      <w:r w:rsidR="00071CFF" w:rsidRPr="002C29D2">
        <w:rPr>
          <w:lang w:eastAsia="zh-TW"/>
        </w:rPr>
        <w:t xml:space="preserve"> coefficients </w:t>
      </w:r>
      <w:r w:rsidR="003566A5" w:rsidRPr="002C29D2">
        <w:rPr>
          <w:lang w:eastAsia="zh-TW"/>
        </w:rPr>
        <w:t>between</w:t>
      </w:r>
      <w:r w:rsidR="00071CFF" w:rsidRPr="002C29D2">
        <w:rPr>
          <w:lang w:eastAsia="zh-TW"/>
        </w:rPr>
        <w:t xml:space="preserve"> </w:t>
      </w:r>
      <w:r w:rsidR="003566A5" w:rsidRPr="002C29D2">
        <w:rPr>
          <w:lang w:eastAsia="zh-TW"/>
        </w:rPr>
        <w:t xml:space="preserve">high </w:t>
      </w:r>
      <w:r w:rsidR="00C4445C" w:rsidRPr="002C29D2">
        <w:rPr>
          <w:lang w:eastAsia="zh-TW"/>
        </w:rPr>
        <w:t>and</w:t>
      </w:r>
      <w:r w:rsidR="003566A5" w:rsidRPr="002C29D2">
        <w:rPr>
          <w:lang w:eastAsia="zh-TW"/>
        </w:rPr>
        <w:t xml:space="preserve"> low </w:t>
      </w:r>
      <w:r w:rsidR="00071CFF" w:rsidRPr="002C29D2">
        <w:rPr>
          <w:lang w:eastAsia="zh-TW"/>
        </w:rPr>
        <w:t xml:space="preserve">AI usage </w:t>
      </w:r>
      <w:r w:rsidR="00EE1467" w:rsidRPr="002C29D2">
        <w:rPr>
          <w:lang w:eastAsia="zh-TW"/>
        </w:rPr>
        <w:t xml:space="preserve">time </w:t>
      </w:r>
      <w:r w:rsidR="003566A5" w:rsidRPr="002C29D2">
        <w:rPr>
          <w:lang w:eastAsia="zh-TW"/>
        </w:rPr>
        <w:t>groups were</w:t>
      </w:r>
      <w:r w:rsidR="00071CFF" w:rsidRPr="002C29D2">
        <w:rPr>
          <w:lang w:eastAsia="zh-TW"/>
        </w:rPr>
        <w:t xml:space="preserve"> significant. </w:t>
      </w:r>
    </w:p>
    <w:p w14:paraId="63C4996A" w14:textId="77777777" w:rsidR="00553690" w:rsidRPr="002C29D2" w:rsidRDefault="00553690" w:rsidP="003566A5">
      <w:pPr>
        <w:spacing w:line="480" w:lineRule="auto"/>
        <w:ind w:firstLine="720"/>
        <w:jc w:val="both"/>
      </w:pPr>
    </w:p>
    <w:p w14:paraId="2C801036" w14:textId="1267A227" w:rsidR="0083758E" w:rsidRPr="002C29D2" w:rsidRDefault="00553690" w:rsidP="00472B0B">
      <w:pPr>
        <w:spacing w:line="480" w:lineRule="auto"/>
        <w:jc w:val="both"/>
        <w:rPr>
          <w:b/>
          <w:bCs/>
          <w:iCs/>
        </w:rPr>
      </w:pPr>
      <w:r w:rsidRPr="002C29D2">
        <w:rPr>
          <w:b/>
          <w:bCs/>
          <w:iCs/>
        </w:rPr>
        <w:t>6</w:t>
      </w:r>
      <w:r w:rsidR="006D38F0" w:rsidRPr="002C29D2">
        <w:rPr>
          <w:b/>
          <w:bCs/>
          <w:iCs/>
        </w:rPr>
        <w:t xml:space="preserve">. </w:t>
      </w:r>
      <w:r w:rsidR="007B3D0C" w:rsidRPr="002C29D2">
        <w:rPr>
          <w:b/>
          <w:bCs/>
          <w:iCs/>
        </w:rPr>
        <w:t>Discussion</w:t>
      </w:r>
    </w:p>
    <w:p w14:paraId="43448F51" w14:textId="799CBE6E" w:rsidR="00341DF0" w:rsidRPr="002C29D2" w:rsidRDefault="007F5242" w:rsidP="00472B0B">
      <w:pPr>
        <w:pStyle w:val="NoSpacing"/>
        <w:spacing w:line="480" w:lineRule="auto"/>
        <w:ind w:firstLine="0"/>
        <w:rPr>
          <w:rFonts w:ascii="Times New Roman" w:hAnsi="Times New Roman"/>
          <w:sz w:val="24"/>
          <w:lang w:eastAsia="zh-TW"/>
        </w:rPr>
      </w:pPr>
      <w:r w:rsidRPr="002C29D2">
        <w:rPr>
          <w:rFonts w:ascii="Times New Roman" w:hAnsi="Times New Roman"/>
          <w:sz w:val="24"/>
        </w:rPr>
        <w:t xml:space="preserve">        </w:t>
      </w:r>
      <w:r w:rsidR="00E23485" w:rsidRPr="002C29D2">
        <w:rPr>
          <w:rFonts w:ascii="Times New Roman" w:hAnsi="Times New Roman"/>
          <w:sz w:val="24"/>
        </w:rPr>
        <w:t>R</w:t>
      </w:r>
      <w:r w:rsidR="00194441" w:rsidRPr="002C29D2">
        <w:rPr>
          <w:rFonts w:ascii="Times New Roman" w:hAnsi="Times New Roman"/>
          <w:sz w:val="24"/>
        </w:rPr>
        <w:t xml:space="preserve">esponsible AI signals </w:t>
      </w:r>
      <w:r w:rsidR="00E23485" w:rsidRPr="002C29D2">
        <w:rPr>
          <w:rFonts w:ascii="Times New Roman" w:hAnsi="Times New Roman"/>
          <w:sz w:val="24"/>
        </w:rPr>
        <w:t xml:space="preserve">help us understand </w:t>
      </w:r>
      <w:r w:rsidR="004050AC" w:rsidRPr="002C29D2">
        <w:rPr>
          <w:rFonts w:ascii="Times New Roman" w:hAnsi="Times New Roman"/>
          <w:sz w:val="24"/>
        </w:rPr>
        <w:t>healthcare practitioners’ responses toward AI technology</w:t>
      </w:r>
      <w:r w:rsidR="00DC29E1" w:rsidRPr="002C29D2">
        <w:rPr>
          <w:rFonts w:ascii="Times New Roman" w:hAnsi="Times New Roman"/>
          <w:sz w:val="24"/>
        </w:rPr>
        <w:t xml:space="preserve">. </w:t>
      </w:r>
      <w:r w:rsidR="00E23485" w:rsidRPr="002C29D2">
        <w:rPr>
          <w:rFonts w:ascii="Times New Roman" w:hAnsi="Times New Roman"/>
          <w:sz w:val="24"/>
        </w:rPr>
        <w:t xml:space="preserve">However, despite recognition of </w:t>
      </w:r>
      <w:r w:rsidR="0043615C" w:rsidRPr="002C29D2">
        <w:rPr>
          <w:rFonts w:ascii="Times New Roman" w:hAnsi="Times New Roman"/>
          <w:sz w:val="24"/>
        </w:rPr>
        <w:t xml:space="preserve">the </w:t>
      </w:r>
      <w:r w:rsidR="00E23485" w:rsidRPr="002C29D2">
        <w:rPr>
          <w:rFonts w:ascii="Times New Roman" w:hAnsi="Times New Roman"/>
          <w:sz w:val="24"/>
        </w:rPr>
        <w:t xml:space="preserve">signals, there </w:t>
      </w:r>
      <w:r w:rsidR="0043615C" w:rsidRPr="002C29D2">
        <w:rPr>
          <w:rFonts w:ascii="Times New Roman" w:hAnsi="Times New Roman"/>
          <w:sz w:val="24"/>
        </w:rPr>
        <w:t>has been</w:t>
      </w:r>
      <w:r w:rsidR="00E23485" w:rsidRPr="002C29D2">
        <w:rPr>
          <w:rFonts w:ascii="Times New Roman" w:hAnsi="Times New Roman"/>
          <w:sz w:val="24"/>
        </w:rPr>
        <w:t xml:space="preserve"> </w:t>
      </w:r>
      <w:r w:rsidR="0043615C" w:rsidRPr="002C29D2">
        <w:rPr>
          <w:rFonts w:ascii="Times New Roman" w:hAnsi="Times New Roman"/>
          <w:sz w:val="24"/>
        </w:rPr>
        <w:t xml:space="preserve">scant </w:t>
      </w:r>
      <w:r w:rsidR="00E23485" w:rsidRPr="002C29D2">
        <w:rPr>
          <w:rFonts w:ascii="Times New Roman" w:hAnsi="Times New Roman"/>
          <w:sz w:val="24"/>
        </w:rPr>
        <w:t xml:space="preserve">research </w:t>
      </w:r>
      <w:r w:rsidR="006C6F2E" w:rsidRPr="002C29D2">
        <w:rPr>
          <w:rFonts w:ascii="Times New Roman" w:hAnsi="Times New Roman"/>
          <w:sz w:val="24"/>
        </w:rPr>
        <w:t>empirically examin</w:t>
      </w:r>
      <w:r w:rsidR="0043615C" w:rsidRPr="002C29D2">
        <w:rPr>
          <w:rFonts w:ascii="Times New Roman" w:hAnsi="Times New Roman"/>
          <w:sz w:val="24"/>
        </w:rPr>
        <w:t>ing</w:t>
      </w:r>
      <w:r w:rsidR="006C6F2E" w:rsidRPr="002C29D2">
        <w:rPr>
          <w:rFonts w:ascii="Times New Roman" w:hAnsi="Times New Roman"/>
          <w:sz w:val="24"/>
        </w:rPr>
        <w:t xml:space="preserve"> the</w:t>
      </w:r>
      <w:r w:rsidR="0043615C" w:rsidRPr="002C29D2">
        <w:rPr>
          <w:rFonts w:ascii="Times New Roman" w:hAnsi="Times New Roman"/>
          <w:sz w:val="24"/>
        </w:rPr>
        <w:t>ir</w:t>
      </w:r>
      <w:r w:rsidR="006C6F2E" w:rsidRPr="002C29D2">
        <w:rPr>
          <w:rFonts w:ascii="Times New Roman" w:hAnsi="Times New Roman"/>
          <w:sz w:val="24"/>
        </w:rPr>
        <w:t xml:space="preserve"> effects on attitudes</w:t>
      </w:r>
      <w:r w:rsidR="0043615C" w:rsidRPr="002C29D2">
        <w:rPr>
          <w:rFonts w:ascii="Times New Roman" w:hAnsi="Times New Roman"/>
          <w:sz w:val="24"/>
        </w:rPr>
        <w:t xml:space="preserve"> to</w:t>
      </w:r>
      <w:r w:rsidR="006C6F2E" w:rsidRPr="002C29D2">
        <w:rPr>
          <w:rFonts w:ascii="Times New Roman" w:hAnsi="Times New Roman"/>
          <w:sz w:val="24"/>
        </w:rPr>
        <w:t>, satisfaction, and usage intention</w:t>
      </w:r>
      <w:r w:rsidR="007D0B93" w:rsidRPr="002C29D2">
        <w:rPr>
          <w:rFonts w:ascii="Times New Roman" w:hAnsi="Times New Roman"/>
          <w:sz w:val="24"/>
        </w:rPr>
        <w:t>s with</w:t>
      </w:r>
      <w:r w:rsidR="006C6F2E" w:rsidRPr="002C29D2">
        <w:rPr>
          <w:rFonts w:ascii="Times New Roman" w:hAnsi="Times New Roman"/>
          <w:sz w:val="24"/>
        </w:rPr>
        <w:t xml:space="preserve"> AI technology. </w:t>
      </w:r>
      <w:r w:rsidR="004050AC" w:rsidRPr="002C29D2">
        <w:rPr>
          <w:rFonts w:ascii="Times New Roman" w:hAnsi="Times New Roman"/>
          <w:sz w:val="24"/>
        </w:rPr>
        <w:t xml:space="preserve">Our research model draws on </w:t>
      </w:r>
      <w:r w:rsidR="007D0B93" w:rsidRPr="002C29D2">
        <w:rPr>
          <w:rFonts w:ascii="Times New Roman" w:hAnsi="Times New Roman"/>
          <w:sz w:val="24"/>
        </w:rPr>
        <w:t>s</w:t>
      </w:r>
      <w:r w:rsidR="004050AC" w:rsidRPr="002C29D2">
        <w:rPr>
          <w:rFonts w:ascii="Times New Roman" w:hAnsi="Times New Roman"/>
          <w:sz w:val="24"/>
          <w:lang w:eastAsia="zh-TW"/>
        </w:rPr>
        <w:t>ignal-</w:t>
      </w:r>
      <w:r w:rsidR="007D0B93" w:rsidRPr="002C29D2">
        <w:rPr>
          <w:rFonts w:ascii="Times New Roman" w:hAnsi="Times New Roman"/>
          <w:sz w:val="24"/>
          <w:lang w:eastAsia="zh-TW"/>
        </w:rPr>
        <w:t>m</w:t>
      </w:r>
      <w:r w:rsidR="004050AC" w:rsidRPr="002C29D2">
        <w:rPr>
          <w:rFonts w:ascii="Times New Roman" w:hAnsi="Times New Roman"/>
          <w:sz w:val="24"/>
          <w:lang w:eastAsia="zh-TW"/>
        </w:rPr>
        <w:t>echanism-</w:t>
      </w:r>
      <w:r w:rsidR="007D0B93" w:rsidRPr="002C29D2">
        <w:rPr>
          <w:rFonts w:ascii="Times New Roman" w:hAnsi="Times New Roman"/>
          <w:sz w:val="24"/>
          <w:lang w:eastAsia="zh-TW"/>
        </w:rPr>
        <w:t>c</w:t>
      </w:r>
      <w:r w:rsidR="004050AC" w:rsidRPr="002C29D2">
        <w:rPr>
          <w:rFonts w:ascii="Times New Roman" w:hAnsi="Times New Roman"/>
          <w:sz w:val="24"/>
          <w:lang w:eastAsia="zh-TW"/>
        </w:rPr>
        <w:t xml:space="preserve">onsequence (SMC) theory (Li </w:t>
      </w:r>
      <w:r w:rsidR="00DC29E1" w:rsidRPr="002C29D2">
        <w:rPr>
          <w:rFonts w:ascii="Times New Roman" w:hAnsi="Times New Roman"/>
          <w:sz w:val="24"/>
          <w:lang w:eastAsia="zh-TW"/>
        </w:rPr>
        <w:t>and</w:t>
      </w:r>
      <w:r w:rsidR="004050AC" w:rsidRPr="002C29D2">
        <w:rPr>
          <w:rFonts w:ascii="Times New Roman" w:hAnsi="Times New Roman"/>
          <w:sz w:val="24"/>
          <w:lang w:eastAsia="zh-TW"/>
        </w:rPr>
        <w:t xml:space="preserve"> Wu 2018; Pavlou</w:t>
      </w:r>
      <w:r w:rsidR="00611A23" w:rsidRPr="002C29D2">
        <w:rPr>
          <w:rFonts w:ascii="Times New Roman" w:hAnsi="Times New Roman"/>
          <w:sz w:val="24"/>
          <w:lang w:eastAsia="zh-TW"/>
        </w:rPr>
        <w:t xml:space="preserve"> </w:t>
      </w:r>
      <w:r w:rsidR="00FC6DE6" w:rsidRPr="002C29D2">
        <w:rPr>
          <w:rFonts w:ascii="Times New Roman" w:hAnsi="Times New Roman"/>
          <w:sz w:val="24"/>
          <w:lang w:eastAsia="zh-TW"/>
        </w:rPr>
        <w:t xml:space="preserve">and </w:t>
      </w:r>
      <w:r w:rsidR="004050AC" w:rsidRPr="002C29D2">
        <w:rPr>
          <w:rFonts w:ascii="Times New Roman" w:hAnsi="Times New Roman"/>
          <w:sz w:val="24"/>
          <w:lang w:eastAsia="zh-TW"/>
        </w:rPr>
        <w:t>Dimoka 2006) and examin</w:t>
      </w:r>
      <w:r w:rsidR="006C6F2E" w:rsidRPr="002C29D2">
        <w:rPr>
          <w:rFonts w:ascii="Times New Roman" w:hAnsi="Times New Roman"/>
          <w:sz w:val="24"/>
          <w:lang w:eastAsia="zh-TW"/>
        </w:rPr>
        <w:t>es</w:t>
      </w:r>
      <w:r w:rsidR="004050AC" w:rsidRPr="002C29D2">
        <w:rPr>
          <w:rFonts w:ascii="Times New Roman" w:hAnsi="Times New Roman"/>
          <w:sz w:val="24"/>
          <w:lang w:eastAsia="zh-TW"/>
        </w:rPr>
        <w:t xml:space="preserve"> how </w:t>
      </w:r>
      <w:r w:rsidR="00C447FE" w:rsidRPr="002C29D2">
        <w:rPr>
          <w:rFonts w:ascii="Times New Roman" w:hAnsi="Times New Roman"/>
          <w:sz w:val="24"/>
          <w:lang w:eastAsia="zh-TW"/>
        </w:rPr>
        <w:t xml:space="preserve">autonomy, beneficence, explainability, justice, and non-maleficence </w:t>
      </w:r>
      <w:r w:rsidR="0043615C" w:rsidRPr="002C29D2">
        <w:rPr>
          <w:rFonts w:ascii="Times New Roman" w:hAnsi="Times New Roman"/>
          <w:sz w:val="24"/>
          <w:lang w:eastAsia="zh-TW"/>
        </w:rPr>
        <w:t>all serve as signals to</w:t>
      </w:r>
      <w:r w:rsidR="00C447FE" w:rsidRPr="002C29D2">
        <w:rPr>
          <w:rFonts w:ascii="Times New Roman" w:hAnsi="Times New Roman"/>
          <w:sz w:val="24"/>
          <w:lang w:eastAsia="zh-TW"/>
        </w:rPr>
        <w:t xml:space="preserve"> healthcare practitioners </w:t>
      </w:r>
      <w:r w:rsidR="0043615C" w:rsidRPr="002C29D2">
        <w:rPr>
          <w:rFonts w:ascii="Times New Roman" w:hAnsi="Times New Roman"/>
          <w:sz w:val="24"/>
          <w:lang w:eastAsia="zh-TW"/>
        </w:rPr>
        <w:t xml:space="preserve">steering their </w:t>
      </w:r>
      <w:r w:rsidR="00C447FE" w:rsidRPr="002C29D2">
        <w:rPr>
          <w:rFonts w:ascii="Times New Roman" w:hAnsi="Times New Roman"/>
          <w:sz w:val="24"/>
          <w:lang w:eastAsia="zh-TW"/>
        </w:rPr>
        <w:t>deci</w:t>
      </w:r>
      <w:r w:rsidR="0043615C" w:rsidRPr="002C29D2">
        <w:rPr>
          <w:rFonts w:ascii="Times New Roman" w:hAnsi="Times New Roman"/>
          <w:sz w:val="24"/>
          <w:lang w:eastAsia="zh-TW"/>
        </w:rPr>
        <w:t xml:space="preserve">sions </w:t>
      </w:r>
      <w:r w:rsidR="00C447FE" w:rsidRPr="002C29D2">
        <w:rPr>
          <w:rFonts w:ascii="Times New Roman" w:hAnsi="Times New Roman"/>
          <w:sz w:val="24"/>
          <w:lang w:eastAsia="zh-TW"/>
        </w:rPr>
        <w:t xml:space="preserve">to engage with </w:t>
      </w:r>
      <w:r w:rsidR="0043615C" w:rsidRPr="002C29D2">
        <w:rPr>
          <w:rFonts w:ascii="Times New Roman" w:hAnsi="Times New Roman"/>
          <w:sz w:val="24"/>
          <w:lang w:eastAsia="zh-TW"/>
        </w:rPr>
        <w:t xml:space="preserve">workplace </w:t>
      </w:r>
      <w:r w:rsidR="00C447FE" w:rsidRPr="002C29D2">
        <w:rPr>
          <w:rFonts w:ascii="Times New Roman" w:hAnsi="Times New Roman"/>
          <w:sz w:val="24"/>
          <w:lang w:eastAsia="zh-TW"/>
        </w:rPr>
        <w:t>AI technology and achieve desirable outcomes</w:t>
      </w:r>
      <w:r w:rsidR="0043615C" w:rsidRPr="002C29D2">
        <w:rPr>
          <w:rFonts w:ascii="Times New Roman" w:hAnsi="Times New Roman"/>
          <w:sz w:val="24"/>
          <w:lang w:eastAsia="zh-TW"/>
        </w:rPr>
        <w:t>,</w:t>
      </w:r>
      <w:r w:rsidR="00C447FE" w:rsidRPr="002C29D2">
        <w:rPr>
          <w:rFonts w:ascii="Times New Roman" w:hAnsi="Times New Roman"/>
          <w:sz w:val="24"/>
          <w:lang w:eastAsia="zh-TW"/>
        </w:rPr>
        <w:t xml:space="preserve"> </w:t>
      </w:r>
      <w:r w:rsidR="0043615C" w:rsidRPr="002C29D2">
        <w:rPr>
          <w:rFonts w:ascii="Times New Roman" w:hAnsi="Times New Roman"/>
          <w:sz w:val="24"/>
          <w:lang w:eastAsia="zh-TW"/>
        </w:rPr>
        <w:t>namely</w:t>
      </w:r>
      <w:r w:rsidR="00C447FE" w:rsidRPr="002C29D2">
        <w:rPr>
          <w:rFonts w:ascii="Times New Roman" w:hAnsi="Times New Roman"/>
          <w:sz w:val="24"/>
          <w:lang w:eastAsia="zh-TW"/>
        </w:rPr>
        <w:t xml:space="preserve"> favo</w:t>
      </w:r>
      <w:r w:rsidR="00883F62" w:rsidRPr="002C29D2">
        <w:rPr>
          <w:rFonts w:ascii="Times New Roman" w:hAnsi="Times New Roman"/>
          <w:sz w:val="24"/>
          <w:lang w:eastAsia="zh-TW"/>
        </w:rPr>
        <w:t>u</w:t>
      </w:r>
      <w:r w:rsidR="00C447FE" w:rsidRPr="002C29D2">
        <w:rPr>
          <w:rFonts w:ascii="Times New Roman" w:hAnsi="Times New Roman"/>
          <w:sz w:val="24"/>
          <w:lang w:eastAsia="zh-TW"/>
        </w:rPr>
        <w:t>rable attitude</w:t>
      </w:r>
      <w:r w:rsidR="007B38C5" w:rsidRPr="002C29D2">
        <w:rPr>
          <w:rFonts w:ascii="Times New Roman" w:hAnsi="Times New Roman"/>
          <w:sz w:val="24"/>
          <w:lang w:eastAsia="zh-TW"/>
        </w:rPr>
        <w:t>s</w:t>
      </w:r>
      <w:r w:rsidR="00C447FE" w:rsidRPr="002C29D2">
        <w:rPr>
          <w:rFonts w:ascii="Times New Roman" w:hAnsi="Times New Roman"/>
          <w:sz w:val="24"/>
          <w:lang w:eastAsia="zh-TW"/>
        </w:rPr>
        <w:t>, high satisfaction, and</w:t>
      </w:r>
      <w:r w:rsidR="00341DF0" w:rsidRPr="002C29D2">
        <w:rPr>
          <w:rFonts w:ascii="Times New Roman" w:hAnsi="Times New Roman"/>
          <w:sz w:val="24"/>
          <w:lang w:eastAsia="zh-TW"/>
        </w:rPr>
        <w:t xml:space="preserve"> clear</w:t>
      </w:r>
      <w:r w:rsidR="00C447FE" w:rsidRPr="002C29D2">
        <w:rPr>
          <w:rFonts w:ascii="Times New Roman" w:hAnsi="Times New Roman"/>
          <w:sz w:val="24"/>
          <w:lang w:eastAsia="zh-TW"/>
        </w:rPr>
        <w:t xml:space="preserve"> usage intention</w:t>
      </w:r>
      <w:r w:rsidR="0043615C" w:rsidRPr="002C29D2">
        <w:rPr>
          <w:rFonts w:ascii="Times New Roman" w:hAnsi="Times New Roman"/>
          <w:sz w:val="24"/>
          <w:lang w:eastAsia="zh-TW"/>
        </w:rPr>
        <w:t xml:space="preserve">s with </w:t>
      </w:r>
      <w:r w:rsidR="00C447FE" w:rsidRPr="002C29D2">
        <w:rPr>
          <w:rFonts w:ascii="Times New Roman" w:hAnsi="Times New Roman"/>
          <w:sz w:val="24"/>
          <w:lang w:eastAsia="zh-TW"/>
        </w:rPr>
        <w:t xml:space="preserve">AI technology. </w:t>
      </w:r>
    </w:p>
    <w:p w14:paraId="76364134" w14:textId="75C3BC6C" w:rsidR="00C90B19" w:rsidRPr="002C29D2" w:rsidRDefault="007F5242" w:rsidP="007F5242">
      <w:pPr>
        <w:pStyle w:val="NoSpacing"/>
        <w:spacing w:line="480" w:lineRule="auto"/>
        <w:ind w:firstLine="0"/>
        <w:rPr>
          <w:rFonts w:ascii="Times New Roman" w:hAnsi="Times New Roman"/>
          <w:sz w:val="24"/>
          <w:lang w:eastAsia="zh-TW"/>
        </w:rPr>
      </w:pPr>
      <w:r w:rsidRPr="002C29D2">
        <w:rPr>
          <w:rFonts w:ascii="Times New Roman" w:hAnsi="Times New Roman"/>
          <w:sz w:val="24"/>
          <w:lang w:eastAsia="zh-TW"/>
        </w:rPr>
        <w:t xml:space="preserve">        </w:t>
      </w:r>
      <w:r w:rsidR="0039116E" w:rsidRPr="002C29D2">
        <w:rPr>
          <w:rFonts w:ascii="Times New Roman" w:hAnsi="Times New Roman"/>
          <w:sz w:val="24"/>
          <w:lang w:eastAsia="zh-TW"/>
        </w:rPr>
        <w:t xml:space="preserve">The results demonstrate </w:t>
      </w:r>
      <w:r w:rsidR="0001555D" w:rsidRPr="002C29D2">
        <w:rPr>
          <w:rFonts w:ascii="Times New Roman" w:hAnsi="Times New Roman"/>
          <w:sz w:val="24"/>
          <w:lang w:eastAsia="zh-TW"/>
        </w:rPr>
        <w:t xml:space="preserve">that </w:t>
      </w:r>
      <w:r w:rsidR="0001555D" w:rsidRPr="002C29D2">
        <w:rPr>
          <w:rFonts w:ascii="Times New Roman" w:hAnsi="Times New Roman"/>
          <w:iCs/>
          <w:sz w:val="24"/>
          <w:lang w:eastAsia="zh-TW"/>
        </w:rPr>
        <w:t>autonomy</w:t>
      </w:r>
      <w:r w:rsidR="0001555D" w:rsidRPr="002C29D2">
        <w:rPr>
          <w:rFonts w:ascii="Times New Roman" w:hAnsi="Times New Roman"/>
          <w:sz w:val="24"/>
          <w:lang w:eastAsia="zh-TW"/>
        </w:rPr>
        <w:t xml:space="preserve"> has a </w:t>
      </w:r>
      <w:r w:rsidR="008F645F" w:rsidRPr="002C29D2">
        <w:rPr>
          <w:rFonts w:ascii="Times New Roman" w:hAnsi="Times New Roman"/>
          <w:sz w:val="24"/>
          <w:lang w:eastAsia="zh-TW"/>
        </w:rPr>
        <w:t>significant</w:t>
      </w:r>
      <w:r w:rsidR="0001555D" w:rsidRPr="002C29D2">
        <w:rPr>
          <w:rFonts w:ascii="Times New Roman" w:hAnsi="Times New Roman"/>
          <w:sz w:val="24"/>
          <w:lang w:eastAsia="zh-TW"/>
        </w:rPr>
        <w:t xml:space="preserve"> </w:t>
      </w:r>
      <w:r w:rsidR="000E0EEF" w:rsidRPr="002C29D2">
        <w:rPr>
          <w:rFonts w:ascii="Times New Roman" w:hAnsi="Times New Roman"/>
          <w:sz w:val="24"/>
          <w:lang w:eastAsia="zh-TW"/>
        </w:rPr>
        <w:t xml:space="preserve">positive </w:t>
      </w:r>
      <w:r w:rsidR="0001555D" w:rsidRPr="002C29D2">
        <w:rPr>
          <w:rFonts w:ascii="Times New Roman" w:hAnsi="Times New Roman"/>
          <w:sz w:val="24"/>
          <w:lang w:eastAsia="zh-TW"/>
        </w:rPr>
        <w:t>effect on healthcare practitioner</w:t>
      </w:r>
      <w:r w:rsidR="007125A6" w:rsidRPr="002C29D2">
        <w:rPr>
          <w:rFonts w:ascii="Times New Roman" w:hAnsi="Times New Roman"/>
          <w:sz w:val="24"/>
          <w:lang w:eastAsia="zh-TW"/>
        </w:rPr>
        <w:t>s’</w:t>
      </w:r>
      <w:r w:rsidR="00FC6DE6" w:rsidRPr="002C29D2">
        <w:rPr>
          <w:rFonts w:ascii="Times New Roman" w:hAnsi="Times New Roman"/>
          <w:sz w:val="24"/>
          <w:lang w:eastAsia="zh-TW"/>
        </w:rPr>
        <w:t xml:space="preserve"> </w:t>
      </w:r>
      <w:r w:rsidR="008235B5" w:rsidRPr="002C29D2">
        <w:rPr>
          <w:rFonts w:ascii="Times New Roman" w:hAnsi="Times New Roman"/>
          <w:sz w:val="24"/>
          <w:lang w:eastAsia="zh-TW"/>
        </w:rPr>
        <w:t xml:space="preserve">usage intention </w:t>
      </w:r>
      <w:r w:rsidR="00042ACC" w:rsidRPr="002C29D2">
        <w:rPr>
          <w:rFonts w:ascii="Times New Roman" w:hAnsi="Times New Roman"/>
          <w:sz w:val="24"/>
          <w:lang w:eastAsia="zh-TW"/>
        </w:rPr>
        <w:t>with</w:t>
      </w:r>
      <w:r w:rsidR="008235B5" w:rsidRPr="002C29D2">
        <w:rPr>
          <w:rFonts w:ascii="Times New Roman" w:hAnsi="Times New Roman"/>
          <w:sz w:val="24"/>
          <w:lang w:eastAsia="zh-TW"/>
        </w:rPr>
        <w:t xml:space="preserve"> </w:t>
      </w:r>
      <w:r w:rsidR="0001555D" w:rsidRPr="002C29D2">
        <w:rPr>
          <w:rFonts w:ascii="Times New Roman" w:hAnsi="Times New Roman"/>
          <w:sz w:val="24"/>
          <w:lang w:eastAsia="zh-TW"/>
        </w:rPr>
        <w:t xml:space="preserve">AI technology; </w:t>
      </w:r>
      <w:r w:rsidR="0001555D" w:rsidRPr="002C29D2">
        <w:rPr>
          <w:rFonts w:ascii="Times New Roman" w:hAnsi="Times New Roman"/>
          <w:iCs/>
          <w:sz w:val="24"/>
          <w:lang w:eastAsia="zh-TW"/>
        </w:rPr>
        <w:t>beneficence</w:t>
      </w:r>
      <w:r w:rsidR="0001555D" w:rsidRPr="002C29D2">
        <w:rPr>
          <w:rFonts w:ascii="Times New Roman" w:hAnsi="Times New Roman"/>
          <w:sz w:val="24"/>
          <w:lang w:eastAsia="zh-TW"/>
        </w:rPr>
        <w:t xml:space="preserve"> is positively related </w:t>
      </w:r>
      <w:r w:rsidR="00FC6DE6" w:rsidRPr="002C29D2">
        <w:rPr>
          <w:rFonts w:ascii="Times New Roman" w:hAnsi="Times New Roman"/>
          <w:sz w:val="24"/>
          <w:lang w:eastAsia="zh-TW"/>
        </w:rPr>
        <w:t xml:space="preserve">to </w:t>
      </w:r>
      <w:r w:rsidR="0001555D" w:rsidRPr="002C29D2">
        <w:rPr>
          <w:rFonts w:ascii="Times New Roman" w:hAnsi="Times New Roman"/>
          <w:sz w:val="24"/>
          <w:lang w:eastAsia="zh-TW"/>
        </w:rPr>
        <w:t>healthcare practitioner</w:t>
      </w:r>
      <w:r w:rsidR="007125A6" w:rsidRPr="002C29D2">
        <w:rPr>
          <w:rFonts w:ascii="Times New Roman" w:hAnsi="Times New Roman"/>
          <w:sz w:val="24"/>
          <w:lang w:eastAsia="zh-TW"/>
        </w:rPr>
        <w:t xml:space="preserve">s’ usage intention </w:t>
      </w:r>
      <w:r w:rsidR="00042ACC" w:rsidRPr="002C29D2">
        <w:rPr>
          <w:rFonts w:ascii="Times New Roman" w:hAnsi="Times New Roman"/>
          <w:sz w:val="24"/>
          <w:lang w:eastAsia="zh-TW"/>
        </w:rPr>
        <w:t>with</w:t>
      </w:r>
      <w:r w:rsidR="007125A6" w:rsidRPr="002C29D2">
        <w:rPr>
          <w:rFonts w:ascii="Times New Roman" w:hAnsi="Times New Roman"/>
          <w:sz w:val="24"/>
          <w:lang w:eastAsia="zh-TW"/>
        </w:rPr>
        <w:t xml:space="preserve"> AI technology and their attitudes toward </w:t>
      </w:r>
      <w:r w:rsidR="00042ACC" w:rsidRPr="002C29D2">
        <w:rPr>
          <w:rFonts w:ascii="Times New Roman" w:hAnsi="Times New Roman"/>
          <w:sz w:val="24"/>
          <w:lang w:eastAsia="zh-TW"/>
        </w:rPr>
        <w:t>AI</w:t>
      </w:r>
      <w:r w:rsidR="00341DF0" w:rsidRPr="002C29D2">
        <w:rPr>
          <w:rFonts w:ascii="Times New Roman" w:hAnsi="Times New Roman"/>
          <w:sz w:val="24"/>
          <w:lang w:eastAsia="zh-TW"/>
        </w:rPr>
        <w:t>;</w:t>
      </w:r>
      <w:r w:rsidR="0001555D" w:rsidRPr="002C29D2">
        <w:rPr>
          <w:rFonts w:ascii="Times New Roman" w:hAnsi="Times New Roman"/>
          <w:sz w:val="24"/>
          <w:lang w:eastAsia="zh-TW"/>
        </w:rPr>
        <w:t xml:space="preserve"> </w:t>
      </w:r>
      <w:r w:rsidR="00FC6DE6" w:rsidRPr="002C29D2">
        <w:rPr>
          <w:rFonts w:ascii="Times New Roman" w:hAnsi="Times New Roman"/>
          <w:sz w:val="24"/>
          <w:lang w:eastAsia="zh-TW"/>
        </w:rPr>
        <w:t xml:space="preserve">and </w:t>
      </w:r>
      <w:r w:rsidR="0001555D" w:rsidRPr="002C29D2">
        <w:rPr>
          <w:rFonts w:ascii="Times New Roman" w:hAnsi="Times New Roman"/>
          <w:iCs/>
          <w:sz w:val="24"/>
          <w:lang w:eastAsia="zh-TW"/>
        </w:rPr>
        <w:t>explainability</w:t>
      </w:r>
      <w:r w:rsidR="000E0EEF" w:rsidRPr="002C29D2">
        <w:rPr>
          <w:rFonts w:ascii="Times New Roman" w:hAnsi="Times New Roman"/>
          <w:iCs/>
          <w:sz w:val="24"/>
          <w:lang w:eastAsia="zh-TW"/>
        </w:rPr>
        <w:t xml:space="preserve">, </w:t>
      </w:r>
      <w:r w:rsidR="0001555D" w:rsidRPr="002C29D2">
        <w:rPr>
          <w:rFonts w:ascii="Times New Roman" w:hAnsi="Times New Roman"/>
          <w:iCs/>
          <w:sz w:val="24"/>
          <w:lang w:eastAsia="zh-TW"/>
        </w:rPr>
        <w:t>justice</w:t>
      </w:r>
      <w:r w:rsidR="000E0EEF" w:rsidRPr="002C29D2">
        <w:rPr>
          <w:rFonts w:ascii="Times New Roman" w:hAnsi="Times New Roman"/>
          <w:iCs/>
          <w:sz w:val="24"/>
          <w:lang w:eastAsia="zh-TW"/>
        </w:rPr>
        <w:t>, and non-maleficence</w:t>
      </w:r>
      <w:r w:rsidR="0001555D" w:rsidRPr="002C29D2">
        <w:rPr>
          <w:rFonts w:ascii="Times New Roman" w:hAnsi="Times New Roman"/>
          <w:sz w:val="24"/>
          <w:lang w:eastAsia="zh-TW"/>
        </w:rPr>
        <w:t xml:space="preserve"> contribute to satisfaction</w:t>
      </w:r>
      <w:r w:rsidR="000E0EEF" w:rsidRPr="002C29D2">
        <w:rPr>
          <w:rFonts w:ascii="Times New Roman" w:hAnsi="Times New Roman"/>
          <w:sz w:val="24"/>
          <w:lang w:eastAsia="zh-TW"/>
        </w:rPr>
        <w:t xml:space="preserve"> </w:t>
      </w:r>
      <w:r w:rsidR="00341DF0" w:rsidRPr="002C29D2">
        <w:rPr>
          <w:rFonts w:ascii="Times New Roman" w:hAnsi="Times New Roman"/>
          <w:sz w:val="24"/>
          <w:lang w:eastAsia="zh-TW"/>
        </w:rPr>
        <w:t xml:space="preserve">with </w:t>
      </w:r>
      <w:r w:rsidR="000E0EEF" w:rsidRPr="002C29D2">
        <w:rPr>
          <w:rFonts w:ascii="Times New Roman" w:hAnsi="Times New Roman"/>
          <w:sz w:val="24"/>
          <w:lang w:eastAsia="zh-TW"/>
        </w:rPr>
        <w:t xml:space="preserve">AI technology in the </w:t>
      </w:r>
      <w:r w:rsidR="000E0EEF" w:rsidRPr="002C29D2">
        <w:rPr>
          <w:rFonts w:ascii="Times New Roman" w:hAnsi="Times New Roman"/>
          <w:sz w:val="24"/>
          <w:lang w:eastAsia="zh-TW"/>
        </w:rPr>
        <w:lastRenderedPageBreak/>
        <w:t>workplace</w:t>
      </w:r>
      <w:r w:rsidR="0001555D" w:rsidRPr="002C29D2">
        <w:rPr>
          <w:rFonts w:ascii="Times New Roman" w:hAnsi="Times New Roman"/>
          <w:sz w:val="24"/>
          <w:lang w:eastAsia="zh-TW"/>
        </w:rPr>
        <w:t xml:space="preserve">. Most importantly, </w:t>
      </w:r>
      <w:r w:rsidR="00306F33" w:rsidRPr="002C29D2">
        <w:rPr>
          <w:rFonts w:ascii="Times New Roman" w:hAnsi="Times New Roman"/>
          <w:sz w:val="24"/>
          <w:lang w:eastAsia="zh-TW"/>
        </w:rPr>
        <w:t xml:space="preserve">the significant effects of </w:t>
      </w:r>
      <w:r w:rsidR="008F645F" w:rsidRPr="002C29D2">
        <w:rPr>
          <w:rFonts w:ascii="Times New Roman" w:hAnsi="Times New Roman"/>
          <w:sz w:val="24"/>
          <w:lang w:eastAsia="zh-TW"/>
        </w:rPr>
        <w:t>the</w:t>
      </w:r>
      <w:r w:rsidR="00341DF0" w:rsidRPr="002C29D2">
        <w:rPr>
          <w:rFonts w:ascii="Times New Roman" w:hAnsi="Times New Roman"/>
          <w:sz w:val="24"/>
          <w:lang w:eastAsia="zh-TW"/>
        </w:rPr>
        <w:t>se</w:t>
      </w:r>
      <w:r w:rsidR="008F645F" w:rsidRPr="002C29D2">
        <w:rPr>
          <w:rFonts w:ascii="Times New Roman" w:hAnsi="Times New Roman"/>
          <w:sz w:val="24"/>
          <w:lang w:eastAsia="zh-TW"/>
        </w:rPr>
        <w:t xml:space="preserve"> </w:t>
      </w:r>
      <w:r w:rsidR="00306F33" w:rsidRPr="002C29D2">
        <w:rPr>
          <w:rFonts w:ascii="Times New Roman" w:hAnsi="Times New Roman"/>
          <w:sz w:val="24"/>
          <w:lang w:eastAsia="zh-TW"/>
        </w:rPr>
        <w:t xml:space="preserve">five </w:t>
      </w:r>
      <w:r w:rsidR="0001555D" w:rsidRPr="002C29D2">
        <w:rPr>
          <w:rFonts w:ascii="Times New Roman" w:hAnsi="Times New Roman"/>
          <w:sz w:val="24"/>
          <w:lang w:eastAsia="zh-TW"/>
        </w:rPr>
        <w:t>responsible AI signals</w:t>
      </w:r>
      <w:r w:rsidR="00FC6DE6" w:rsidRPr="002C29D2">
        <w:rPr>
          <w:rFonts w:ascii="Times New Roman" w:hAnsi="Times New Roman"/>
          <w:sz w:val="24"/>
          <w:lang w:eastAsia="zh-TW"/>
        </w:rPr>
        <w:t xml:space="preserve"> –</w:t>
      </w:r>
      <w:r w:rsidR="0001555D" w:rsidRPr="002C29D2">
        <w:rPr>
          <w:rFonts w:ascii="Times New Roman" w:hAnsi="Times New Roman"/>
          <w:sz w:val="24"/>
          <w:lang w:eastAsia="zh-TW"/>
        </w:rPr>
        <w:t xml:space="preserve"> autonomy, beneficence, explainability, justice, and non-</w:t>
      </w:r>
      <w:r w:rsidR="00306F33" w:rsidRPr="002C29D2">
        <w:rPr>
          <w:rFonts w:ascii="Times New Roman" w:hAnsi="Times New Roman"/>
          <w:sz w:val="24"/>
          <w:lang w:eastAsia="zh-TW"/>
        </w:rPr>
        <w:t>maleficence on</w:t>
      </w:r>
      <w:r w:rsidR="0001555D" w:rsidRPr="002C29D2">
        <w:rPr>
          <w:rFonts w:ascii="Times New Roman" w:hAnsi="Times New Roman"/>
          <w:sz w:val="24"/>
          <w:lang w:eastAsia="zh-TW"/>
        </w:rPr>
        <w:t xml:space="preserve"> attitudes, satisfaction</w:t>
      </w:r>
      <w:r w:rsidR="00306F33" w:rsidRPr="002C29D2">
        <w:rPr>
          <w:rFonts w:ascii="Times New Roman" w:hAnsi="Times New Roman"/>
          <w:sz w:val="24"/>
          <w:lang w:eastAsia="zh-TW"/>
        </w:rPr>
        <w:t>,</w:t>
      </w:r>
      <w:r w:rsidR="0001555D" w:rsidRPr="002C29D2">
        <w:rPr>
          <w:rFonts w:ascii="Times New Roman" w:hAnsi="Times New Roman"/>
          <w:sz w:val="24"/>
          <w:lang w:eastAsia="zh-TW"/>
        </w:rPr>
        <w:t xml:space="preserve"> and usage intention</w:t>
      </w:r>
      <w:r w:rsidR="00341DF0" w:rsidRPr="002C29D2">
        <w:rPr>
          <w:rFonts w:ascii="Times New Roman" w:hAnsi="Times New Roman"/>
          <w:sz w:val="24"/>
          <w:lang w:eastAsia="zh-TW"/>
        </w:rPr>
        <w:t>s</w:t>
      </w:r>
      <w:r w:rsidR="00306F33" w:rsidRPr="002C29D2">
        <w:rPr>
          <w:rFonts w:ascii="Times New Roman" w:hAnsi="Times New Roman"/>
          <w:sz w:val="24"/>
          <w:lang w:eastAsia="zh-TW"/>
        </w:rPr>
        <w:t xml:space="preserve"> </w:t>
      </w:r>
      <w:r w:rsidR="00FC6DE6" w:rsidRPr="002C29D2">
        <w:rPr>
          <w:rFonts w:ascii="Times New Roman" w:hAnsi="Times New Roman"/>
          <w:sz w:val="24"/>
          <w:lang w:eastAsia="zh-TW"/>
        </w:rPr>
        <w:t xml:space="preserve">– </w:t>
      </w:r>
      <w:r w:rsidR="008F645F" w:rsidRPr="002C29D2">
        <w:rPr>
          <w:rFonts w:ascii="Times New Roman" w:hAnsi="Times New Roman"/>
          <w:sz w:val="24"/>
          <w:lang w:eastAsia="zh-TW"/>
        </w:rPr>
        <w:t xml:space="preserve">are </w:t>
      </w:r>
      <w:r w:rsidR="00626FF9" w:rsidRPr="002C29D2">
        <w:rPr>
          <w:rFonts w:ascii="Times New Roman" w:hAnsi="Times New Roman"/>
          <w:sz w:val="24"/>
          <w:lang w:eastAsia="zh-TW"/>
        </w:rPr>
        <w:t xml:space="preserve">accelerated </w:t>
      </w:r>
      <w:r w:rsidR="00306F33" w:rsidRPr="002C29D2">
        <w:rPr>
          <w:rFonts w:ascii="Times New Roman" w:hAnsi="Times New Roman"/>
          <w:sz w:val="24"/>
          <w:lang w:eastAsia="zh-TW"/>
        </w:rPr>
        <w:t xml:space="preserve">through healthcare practitioner engagement. Furthermore, </w:t>
      </w:r>
      <w:r w:rsidR="009E06BA" w:rsidRPr="002C29D2">
        <w:rPr>
          <w:rFonts w:ascii="Times New Roman" w:hAnsi="Times New Roman"/>
          <w:sz w:val="24"/>
          <w:lang w:eastAsia="zh-TW"/>
        </w:rPr>
        <w:t xml:space="preserve">our </w:t>
      </w:r>
      <w:r w:rsidR="00306F33" w:rsidRPr="002C29D2">
        <w:rPr>
          <w:rFonts w:ascii="Times New Roman" w:hAnsi="Times New Roman"/>
          <w:sz w:val="24"/>
          <w:lang w:eastAsia="zh-TW"/>
        </w:rPr>
        <w:t xml:space="preserve">findings reveal </w:t>
      </w:r>
      <w:r w:rsidR="008F645F" w:rsidRPr="002C29D2">
        <w:rPr>
          <w:rFonts w:ascii="Times New Roman" w:hAnsi="Times New Roman"/>
          <w:sz w:val="24"/>
          <w:lang w:eastAsia="zh-TW"/>
        </w:rPr>
        <w:t xml:space="preserve">that </w:t>
      </w:r>
      <w:r w:rsidR="00306F33" w:rsidRPr="002C29D2">
        <w:rPr>
          <w:rFonts w:ascii="Times New Roman" w:hAnsi="Times New Roman"/>
          <w:sz w:val="24"/>
          <w:lang w:eastAsia="zh-TW"/>
        </w:rPr>
        <w:t xml:space="preserve">techno-overload </w:t>
      </w:r>
      <w:r w:rsidR="00FC6DE6" w:rsidRPr="002C29D2">
        <w:rPr>
          <w:rFonts w:ascii="Times New Roman" w:hAnsi="Times New Roman"/>
          <w:sz w:val="24"/>
          <w:lang w:eastAsia="zh-TW"/>
        </w:rPr>
        <w:t xml:space="preserve">is </w:t>
      </w:r>
      <w:r w:rsidR="00306F33" w:rsidRPr="002C29D2">
        <w:rPr>
          <w:rFonts w:ascii="Times New Roman" w:hAnsi="Times New Roman"/>
          <w:sz w:val="24"/>
          <w:lang w:eastAsia="zh-TW"/>
        </w:rPr>
        <w:t xml:space="preserve">a significant moderator </w:t>
      </w:r>
      <w:r w:rsidR="00626FF9" w:rsidRPr="002C29D2">
        <w:rPr>
          <w:rFonts w:ascii="Times New Roman" w:hAnsi="Times New Roman"/>
          <w:sz w:val="24"/>
          <w:lang w:eastAsia="zh-TW"/>
        </w:rPr>
        <w:t>of</w:t>
      </w:r>
      <w:r w:rsidR="00306F33" w:rsidRPr="002C29D2">
        <w:rPr>
          <w:rFonts w:ascii="Times New Roman" w:hAnsi="Times New Roman"/>
          <w:sz w:val="24"/>
          <w:lang w:eastAsia="zh-TW"/>
        </w:rPr>
        <w:t xml:space="preserve"> the mediation</w:t>
      </w:r>
      <w:r w:rsidR="008F645F" w:rsidRPr="002C29D2">
        <w:rPr>
          <w:rFonts w:ascii="Times New Roman" w:hAnsi="Times New Roman"/>
          <w:sz w:val="24"/>
        </w:rPr>
        <w:t xml:space="preserve"> effects</w:t>
      </w:r>
      <w:r w:rsidR="009E06BA" w:rsidRPr="002C29D2">
        <w:rPr>
          <w:rFonts w:ascii="Times New Roman" w:hAnsi="Times New Roman"/>
          <w:sz w:val="24"/>
        </w:rPr>
        <w:t xml:space="preserve"> of employee engagement</w:t>
      </w:r>
      <w:r w:rsidR="00306F33" w:rsidRPr="002C29D2">
        <w:rPr>
          <w:rFonts w:ascii="Times New Roman" w:hAnsi="Times New Roman"/>
          <w:sz w:val="24"/>
        </w:rPr>
        <w:t>.</w:t>
      </w:r>
      <w:r w:rsidR="00C90B19" w:rsidRPr="002C29D2">
        <w:rPr>
          <w:rFonts w:ascii="Times New Roman" w:hAnsi="Times New Roman"/>
          <w:sz w:val="24"/>
          <w:lang w:eastAsia="zh-TW"/>
        </w:rPr>
        <w:t xml:space="preserve"> When healthcare practitioners perceive AI technology as adding extra workload, </w:t>
      </w:r>
      <w:r w:rsidR="001D3A81" w:rsidRPr="002C29D2">
        <w:rPr>
          <w:rFonts w:ascii="Times New Roman" w:hAnsi="Times New Roman"/>
          <w:sz w:val="24"/>
          <w:lang w:eastAsia="zh-TW"/>
        </w:rPr>
        <w:t>this</w:t>
      </w:r>
      <w:r w:rsidR="00C90B19" w:rsidRPr="002C29D2">
        <w:rPr>
          <w:rFonts w:ascii="Times New Roman" w:hAnsi="Times New Roman"/>
          <w:sz w:val="24"/>
          <w:lang w:eastAsia="zh-TW"/>
        </w:rPr>
        <w:t xml:space="preserve"> will undermine the importance of </w:t>
      </w:r>
      <w:r w:rsidR="006B28E5" w:rsidRPr="002C29D2">
        <w:rPr>
          <w:rFonts w:ascii="Times New Roman" w:hAnsi="Times New Roman"/>
          <w:sz w:val="24"/>
          <w:lang w:eastAsia="zh-TW"/>
        </w:rPr>
        <w:t>AI justice</w:t>
      </w:r>
      <w:r w:rsidR="00C90B19" w:rsidRPr="002C29D2">
        <w:rPr>
          <w:rFonts w:ascii="Times New Roman" w:hAnsi="Times New Roman"/>
          <w:sz w:val="24"/>
          <w:lang w:eastAsia="zh-TW"/>
        </w:rPr>
        <w:t xml:space="preserve"> and then subsequently affect </w:t>
      </w:r>
      <w:r w:rsidR="009E06BA" w:rsidRPr="002C29D2">
        <w:rPr>
          <w:rFonts w:ascii="Times New Roman" w:hAnsi="Times New Roman"/>
          <w:sz w:val="24"/>
          <w:lang w:eastAsia="zh-TW"/>
        </w:rPr>
        <w:t xml:space="preserve">practitioners’ </w:t>
      </w:r>
      <w:r w:rsidR="00C90B19" w:rsidRPr="002C29D2">
        <w:rPr>
          <w:rFonts w:ascii="Times New Roman" w:hAnsi="Times New Roman"/>
          <w:sz w:val="24"/>
          <w:lang w:eastAsia="zh-TW"/>
        </w:rPr>
        <w:t>attitude</w:t>
      </w:r>
      <w:r w:rsidR="009E06BA" w:rsidRPr="002C29D2">
        <w:rPr>
          <w:rFonts w:ascii="Times New Roman" w:hAnsi="Times New Roman"/>
          <w:sz w:val="24"/>
          <w:lang w:eastAsia="zh-TW"/>
        </w:rPr>
        <w:t>s</w:t>
      </w:r>
      <w:r w:rsidR="00C90B19" w:rsidRPr="002C29D2">
        <w:rPr>
          <w:rFonts w:ascii="Times New Roman" w:hAnsi="Times New Roman"/>
          <w:sz w:val="24"/>
          <w:lang w:eastAsia="zh-TW"/>
        </w:rPr>
        <w:t>, satisfaction</w:t>
      </w:r>
      <w:r w:rsidR="00FC6DE6" w:rsidRPr="002C29D2">
        <w:rPr>
          <w:rFonts w:ascii="Times New Roman" w:hAnsi="Times New Roman"/>
          <w:sz w:val="24"/>
          <w:lang w:eastAsia="zh-TW"/>
        </w:rPr>
        <w:t>,</w:t>
      </w:r>
      <w:r w:rsidR="00C90B19" w:rsidRPr="002C29D2">
        <w:rPr>
          <w:rFonts w:ascii="Times New Roman" w:hAnsi="Times New Roman"/>
          <w:sz w:val="24"/>
          <w:lang w:eastAsia="zh-TW"/>
        </w:rPr>
        <w:t xml:space="preserve"> and usage intention</w:t>
      </w:r>
      <w:r w:rsidR="001D3A81" w:rsidRPr="002C29D2">
        <w:rPr>
          <w:rFonts w:ascii="Times New Roman" w:hAnsi="Times New Roman"/>
          <w:sz w:val="24"/>
          <w:lang w:eastAsia="zh-TW"/>
        </w:rPr>
        <w:t>s</w:t>
      </w:r>
      <w:r w:rsidR="00C90B19" w:rsidRPr="002C29D2">
        <w:rPr>
          <w:rFonts w:ascii="Times New Roman" w:hAnsi="Times New Roman"/>
          <w:sz w:val="24"/>
          <w:lang w:eastAsia="zh-TW"/>
        </w:rPr>
        <w:t xml:space="preserve">. </w:t>
      </w:r>
    </w:p>
    <w:p w14:paraId="4723183C" w14:textId="0621B02E" w:rsidR="0077210D" w:rsidRPr="002C29D2" w:rsidRDefault="0077210D" w:rsidP="00472B0B">
      <w:pPr>
        <w:pStyle w:val="NoSpacing"/>
        <w:spacing w:line="480" w:lineRule="auto"/>
        <w:ind w:firstLine="0"/>
        <w:rPr>
          <w:rFonts w:ascii="Times New Roman" w:hAnsi="Times New Roman"/>
          <w:i/>
          <w:iCs/>
          <w:sz w:val="24"/>
        </w:rPr>
      </w:pPr>
      <w:r w:rsidRPr="002C29D2">
        <w:rPr>
          <w:rFonts w:ascii="Times New Roman" w:hAnsi="Times New Roman"/>
          <w:i/>
          <w:iCs/>
          <w:sz w:val="24"/>
          <w:lang w:eastAsia="zh-TW"/>
        </w:rPr>
        <w:t>5.1 Theoretical contributions</w:t>
      </w:r>
    </w:p>
    <w:p w14:paraId="5305C269" w14:textId="0C0AE2A7" w:rsidR="00990AE7" w:rsidRPr="002C29D2" w:rsidRDefault="007F5242" w:rsidP="00CE0A19">
      <w:pPr>
        <w:pStyle w:val="NoSpacing"/>
        <w:spacing w:line="480" w:lineRule="auto"/>
        <w:ind w:firstLine="0"/>
        <w:rPr>
          <w:rFonts w:ascii="Times New Roman" w:hAnsi="Times New Roman"/>
          <w:sz w:val="24"/>
          <w:lang w:eastAsia="zh-TW"/>
        </w:rPr>
      </w:pPr>
      <w:r w:rsidRPr="002C29D2">
        <w:rPr>
          <w:rFonts w:ascii="Times New Roman" w:hAnsi="Times New Roman"/>
          <w:sz w:val="24"/>
        </w:rPr>
        <w:t xml:space="preserve">        </w:t>
      </w:r>
      <w:r w:rsidR="008507BF" w:rsidRPr="002C29D2">
        <w:rPr>
          <w:rFonts w:ascii="Times New Roman" w:hAnsi="Times New Roman"/>
          <w:sz w:val="24"/>
        </w:rPr>
        <w:t xml:space="preserve">Our research makes several important theoretical contributions. </w:t>
      </w:r>
      <w:r w:rsidR="00990AE7" w:rsidRPr="002C29D2">
        <w:rPr>
          <w:rFonts w:ascii="Times New Roman" w:hAnsi="Times New Roman"/>
          <w:sz w:val="24"/>
        </w:rPr>
        <w:t>Principally</w:t>
      </w:r>
      <w:r w:rsidR="00EF3977" w:rsidRPr="002C29D2">
        <w:rPr>
          <w:rFonts w:ascii="Times New Roman" w:hAnsi="Times New Roman"/>
          <w:sz w:val="24"/>
        </w:rPr>
        <w:t xml:space="preserve">, we contribute to the responsible AI literature by empirically </w:t>
      </w:r>
      <w:r w:rsidR="001D3A81" w:rsidRPr="002C29D2">
        <w:rPr>
          <w:rFonts w:ascii="Times New Roman" w:hAnsi="Times New Roman"/>
          <w:sz w:val="24"/>
        </w:rPr>
        <w:t>documenting</w:t>
      </w:r>
      <w:r w:rsidR="00EF3977" w:rsidRPr="002C29D2">
        <w:rPr>
          <w:rFonts w:ascii="Times New Roman" w:hAnsi="Times New Roman"/>
          <w:sz w:val="24"/>
        </w:rPr>
        <w:t xml:space="preserve"> the effects of the five key responsible AI principles. </w:t>
      </w:r>
      <w:r w:rsidR="00916E76" w:rsidRPr="002C29D2">
        <w:rPr>
          <w:rFonts w:ascii="Times New Roman" w:hAnsi="Times New Roman"/>
          <w:sz w:val="24"/>
        </w:rPr>
        <w:t xml:space="preserve">Consistent with </w:t>
      </w:r>
      <w:r w:rsidR="00916E76" w:rsidRPr="002C29D2">
        <w:rPr>
          <w:rFonts w:ascii="Times New Roman" w:hAnsi="Times New Roman"/>
          <w:sz w:val="24"/>
          <w:lang w:eastAsia="zh-TW"/>
        </w:rPr>
        <w:t xml:space="preserve">Pavlou and Dimoka (2006) and Gordon et al. (2010), positive signals </w:t>
      </w:r>
      <w:r w:rsidR="001D3A81" w:rsidRPr="002C29D2">
        <w:rPr>
          <w:rFonts w:ascii="Times New Roman" w:hAnsi="Times New Roman"/>
          <w:sz w:val="24"/>
          <w:lang w:eastAsia="zh-TW"/>
        </w:rPr>
        <w:t xml:space="preserve">from the </w:t>
      </w:r>
      <w:r w:rsidR="00750EFA" w:rsidRPr="002C29D2">
        <w:rPr>
          <w:rFonts w:ascii="Times New Roman" w:hAnsi="Times New Roman"/>
          <w:sz w:val="24"/>
          <w:lang w:eastAsia="zh-TW"/>
        </w:rPr>
        <w:t xml:space="preserve">technology </w:t>
      </w:r>
      <w:r w:rsidR="00916E76" w:rsidRPr="002C29D2">
        <w:rPr>
          <w:rFonts w:ascii="Times New Roman" w:hAnsi="Times New Roman"/>
          <w:sz w:val="24"/>
          <w:lang w:eastAsia="zh-TW"/>
        </w:rPr>
        <w:t xml:space="preserve">can generate </w:t>
      </w:r>
      <w:r w:rsidR="00750EFA" w:rsidRPr="002C29D2">
        <w:rPr>
          <w:rFonts w:ascii="Times New Roman" w:hAnsi="Times New Roman"/>
          <w:sz w:val="24"/>
          <w:lang w:eastAsia="zh-TW"/>
        </w:rPr>
        <w:t xml:space="preserve">desirable </w:t>
      </w:r>
      <w:r w:rsidR="00916E76" w:rsidRPr="002C29D2">
        <w:rPr>
          <w:rFonts w:ascii="Times New Roman" w:hAnsi="Times New Roman"/>
          <w:sz w:val="24"/>
          <w:lang w:eastAsia="zh-TW"/>
        </w:rPr>
        <w:t>outcomes</w:t>
      </w:r>
      <w:r w:rsidR="00750EFA" w:rsidRPr="002C29D2">
        <w:rPr>
          <w:rFonts w:ascii="Times New Roman" w:hAnsi="Times New Roman"/>
          <w:sz w:val="24"/>
          <w:lang w:eastAsia="zh-TW"/>
        </w:rPr>
        <w:t xml:space="preserve"> i</w:t>
      </w:r>
      <w:r w:rsidR="00592833" w:rsidRPr="002C29D2">
        <w:rPr>
          <w:rFonts w:ascii="Times New Roman" w:hAnsi="Times New Roman"/>
          <w:sz w:val="24"/>
          <w:lang w:eastAsia="zh-TW"/>
        </w:rPr>
        <w:t xml:space="preserve">n </w:t>
      </w:r>
      <w:r w:rsidR="00295D7B" w:rsidRPr="002C29D2">
        <w:rPr>
          <w:rFonts w:ascii="Times New Roman" w:hAnsi="Times New Roman"/>
          <w:sz w:val="24"/>
          <w:lang w:eastAsia="zh-TW"/>
        </w:rPr>
        <w:t xml:space="preserve">the </w:t>
      </w:r>
      <w:r w:rsidR="00592833" w:rsidRPr="002C29D2">
        <w:rPr>
          <w:rFonts w:ascii="Times New Roman" w:hAnsi="Times New Roman"/>
          <w:sz w:val="24"/>
          <w:lang w:eastAsia="zh-TW"/>
        </w:rPr>
        <w:t>healthcare industry</w:t>
      </w:r>
      <w:r w:rsidR="00750EFA" w:rsidRPr="002C29D2">
        <w:rPr>
          <w:rFonts w:ascii="Times New Roman" w:hAnsi="Times New Roman"/>
          <w:sz w:val="24"/>
          <w:lang w:eastAsia="zh-TW"/>
        </w:rPr>
        <w:t xml:space="preserve">. The findings confirm the benefits of the five principles, and suggest that </w:t>
      </w:r>
      <w:r w:rsidR="00592833" w:rsidRPr="002C29D2">
        <w:rPr>
          <w:rFonts w:ascii="Times New Roman" w:hAnsi="Times New Roman"/>
          <w:sz w:val="24"/>
          <w:lang w:eastAsia="zh-TW"/>
        </w:rPr>
        <w:t xml:space="preserve">autonomy, beneficence, explainability, justice, and non-maleficence </w:t>
      </w:r>
      <w:r w:rsidR="00990AE7" w:rsidRPr="002C29D2">
        <w:rPr>
          <w:rFonts w:ascii="Times New Roman" w:hAnsi="Times New Roman"/>
          <w:sz w:val="24"/>
          <w:lang w:eastAsia="zh-TW"/>
        </w:rPr>
        <w:t xml:space="preserve">in relation to </w:t>
      </w:r>
      <w:r w:rsidR="00592833" w:rsidRPr="002C29D2">
        <w:rPr>
          <w:rFonts w:ascii="Times New Roman" w:hAnsi="Times New Roman"/>
          <w:sz w:val="24"/>
          <w:lang w:eastAsia="zh-TW"/>
        </w:rPr>
        <w:t>AI technology</w:t>
      </w:r>
      <w:r w:rsidR="00750EFA" w:rsidRPr="002C29D2">
        <w:rPr>
          <w:rFonts w:ascii="Times New Roman" w:hAnsi="Times New Roman"/>
          <w:sz w:val="24"/>
          <w:lang w:eastAsia="zh-TW"/>
        </w:rPr>
        <w:t xml:space="preserve"> are </w:t>
      </w:r>
      <w:r w:rsidR="00990AE7" w:rsidRPr="002C29D2">
        <w:rPr>
          <w:rFonts w:ascii="Times New Roman" w:hAnsi="Times New Roman"/>
          <w:sz w:val="24"/>
          <w:lang w:eastAsia="zh-TW"/>
        </w:rPr>
        <w:t xml:space="preserve">taken </w:t>
      </w:r>
      <w:r w:rsidR="00750EFA" w:rsidRPr="002C29D2">
        <w:rPr>
          <w:rFonts w:ascii="Times New Roman" w:hAnsi="Times New Roman"/>
          <w:sz w:val="24"/>
          <w:lang w:eastAsia="zh-TW"/>
        </w:rPr>
        <w:t xml:space="preserve">by healthcare practitioners as positive signals </w:t>
      </w:r>
      <w:r w:rsidR="00990AE7" w:rsidRPr="002C29D2">
        <w:rPr>
          <w:rFonts w:ascii="Times New Roman" w:hAnsi="Times New Roman"/>
          <w:sz w:val="24"/>
          <w:lang w:eastAsia="zh-TW"/>
        </w:rPr>
        <w:t xml:space="preserve">inducing </w:t>
      </w:r>
      <w:r w:rsidR="00750EFA" w:rsidRPr="002C29D2">
        <w:rPr>
          <w:rFonts w:ascii="Times New Roman" w:hAnsi="Times New Roman"/>
          <w:sz w:val="24"/>
          <w:lang w:eastAsia="zh-TW"/>
        </w:rPr>
        <w:t>their engagement</w:t>
      </w:r>
      <w:r w:rsidR="00592833" w:rsidRPr="002C29D2">
        <w:rPr>
          <w:rFonts w:ascii="Times New Roman" w:hAnsi="Times New Roman"/>
          <w:sz w:val="24"/>
          <w:lang w:eastAsia="zh-TW"/>
        </w:rPr>
        <w:t xml:space="preserve">. </w:t>
      </w:r>
    </w:p>
    <w:p w14:paraId="1A706446" w14:textId="6212041F" w:rsidR="00194441" w:rsidRPr="002C29D2" w:rsidRDefault="007F5242" w:rsidP="00CE0A19">
      <w:pPr>
        <w:pStyle w:val="NoSpacing"/>
        <w:spacing w:line="480" w:lineRule="auto"/>
        <w:ind w:firstLine="0"/>
        <w:rPr>
          <w:rFonts w:ascii="Times New Roman" w:hAnsi="Times New Roman"/>
          <w:sz w:val="24"/>
        </w:rPr>
      </w:pPr>
      <w:r w:rsidRPr="002C29D2">
        <w:rPr>
          <w:rFonts w:ascii="Times New Roman" w:hAnsi="Times New Roman"/>
          <w:sz w:val="24"/>
        </w:rPr>
        <w:t xml:space="preserve">        </w:t>
      </w:r>
      <w:r w:rsidR="00916E76" w:rsidRPr="002C29D2">
        <w:rPr>
          <w:rFonts w:ascii="Times New Roman" w:hAnsi="Times New Roman"/>
          <w:sz w:val="24"/>
        </w:rPr>
        <w:t xml:space="preserve">Interestingly, </w:t>
      </w:r>
      <w:r w:rsidR="00266A2B" w:rsidRPr="002C29D2">
        <w:rPr>
          <w:rFonts w:ascii="Times New Roman" w:hAnsi="Times New Roman"/>
          <w:sz w:val="24"/>
        </w:rPr>
        <w:t xml:space="preserve">among all five signals, </w:t>
      </w:r>
      <w:r w:rsidR="00194441" w:rsidRPr="002C29D2">
        <w:rPr>
          <w:rFonts w:ascii="Times New Roman" w:hAnsi="Times New Roman"/>
          <w:sz w:val="24"/>
        </w:rPr>
        <w:t>beneficence has the strongest positive effect on engagement with AI</w:t>
      </w:r>
      <w:r w:rsidR="00266A2B" w:rsidRPr="002C29D2">
        <w:rPr>
          <w:rFonts w:ascii="Times New Roman" w:hAnsi="Times New Roman"/>
          <w:sz w:val="24"/>
        </w:rPr>
        <w:t xml:space="preserve">. </w:t>
      </w:r>
      <w:r w:rsidR="00990AE7" w:rsidRPr="002C29D2">
        <w:rPr>
          <w:rFonts w:ascii="Times New Roman" w:hAnsi="Times New Roman"/>
          <w:sz w:val="24"/>
        </w:rPr>
        <w:t xml:space="preserve">Its </w:t>
      </w:r>
      <w:r w:rsidR="00266A2B" w:rsidRPr="002C29D2">
        <w:rPr>
          <w:rFonts w:ascii="Times New Roman" w:hAnsi="Times New Roman"/>
          <w:sz w:val="24"/>
        </w:rPr>
        <w:t>use</w:t>
      </w:r>
      <w:r w:rsidR="00990AE7" w:rsidRPr="002C29D2">
        <w:rPr>
          <w:rFonts w:ascii="Times New Roman" w:hAnsi="Times New Roman"/>
          <w:sz w:val="24"/>
        </w:rPr>
        <w:t xml:space="preserve"> </w:t>
      </w:r>
      <w:r w:rsidR="00266A2B" w:rsidRPr="002C29D2">
        <w:rPr>
          <w:rFonts w:ascii="Times New Roman" w:hAnsi="Times New Roman"/>
          <w:sz w:val="24"/>
        </w:rPr>
        <w:t xml:space="preserve">can be perceived by practitioners as a </w:t>
      </w:r>
      <w:r w:rsidR="00990AE7" w:rsidRPr="002C29D2">
        <w:rPr>
          <w:rFonts w:ascii="Times New Roman" w:hAnsi="Times New Roman"/>
          <w:sz w:val="24"/>
        </w:rPr>
        <w:t xml:space="preserve">means </w:t>
      </w:r>
      <w:r w:rsidR="00266A2B" w:rsidRPr="002C29D2">
        <w:rPr>
          <w:rFonts w:ascii="Times New Roman" w:hAnsi="Times New Roman"/>
          <w:sz w:val="24"/>
        </w:rPr>
        <w:t>to demonstrate their abilit</w:t>
      </w:r>
      <w:r w:rsidR="00990AE7" w:rsidRPr="002C29D2">
        <w:rPr>
          <w:rFonts w:ascii="Times New Roman" w:hAnsi="Times New Roman"/>
          <w:sz w:val="24"/>
        </w:rPr>
        <w:t>y</w:t>
      </w:r>
      <w:r w:rsidR="00266A2B" w:rsidRPr="002C29D2">
        <w:rPr>
          <w:rFonts w:ascii="Times New Roman" w:hAnsi="Times New Roman"/>
          <w:sz w:val="24"/>
        </w:rPr>
        <w:t xml:space="preserve"> to deliver positive </w:t>
      </w:r>
      <w:r w:rsidR="00990AE7" w:rsidRPr="002C29D2">
        <w:rPr>
          <w:rFonts w:ascii="Times New Roman" w:hAnsi="Times New Roman"/>
          <w:sz w:val="24"/>
        </w:rPr>
        <w:t xml:space="preserve">and </w:t>
      </w:r>
      <w:r w:rsidR="00266A2B" w:rsidRPr="002C29D2">
        <w:rPr>
          <w:rFonts w:ascii="Times New Roman" w:hAnsi="Times New Roman"/>
          <w:sz w:val="24"/>
        </w:rPr>
        <w:t xml:space="preserve">pro-social impacts </w:t>
      </w:r>
      <w:r w:rsidR="00295D7B" w:rsidRPr="002C29D2">
        <w:rPr>
          <w:rFonts w:ascii="Times New Roman" w:hAnsi="Times New Roman"/>
          <w:sz w:val="24"/>
        </w:rPr>
        <w:t xml:space="preserve">to </w:t>
      </w:r>
      <w:r w:rsidR="00266A2B" w:rsidRPr="002C29D2">
        <w:rPr>
          <w:rFonts w:ascii="Times New Roman" w:hAnsi="Times New Roman"/>
          <w:sz w:val="24"/>
        </w:rPr>
        <w:t xml:space="preserve">patients. </w:t>
      </w:r>
      <w:r w:rsidR="00B165DA" w:rsidRPr="002C29D2">
        <w:rPr>
          <w:rFonts w:ascii="Times New Roman" w:hAnsi="Times New Roman"/>
          <w:sz w:val="24"/>
        </w:rPr>
        <w:t xml:space="preserve">Most importantly, AI technology </w:t>
      </w:r>
      <w:r w:rsidR="00060C48" w:rsidRPr="002C29D2">
        <w:rPr>
          <w:rFonts w:ascii="Times New Roman" w:hAnsi="Times New Roman"/>
          <w:sz w:val="24"/>
        </w:rPr>
        <w:t>should be</w:t>
      </w:r>
      <w:r w:rsidR="00B165DA" w:rsidRPr="002C29D2">
        <w:rPr>
          <w:rFonts w:ascii="Times New Roman" w:hAnsi="Times New Roman"/>
          <w:sz w:val="24"/>
        </w:rPr>
        <w:t xml:space="preserve"> able to</w:t>
      </w:r>
      <w:r w:rsidR="00295D7B" w:rsidRPr="002C29D2">
        <w:rPr>
          <w:rFonts w:ascii="Times New Roman" w:hAnsi="Times New Roman"/>
          <w:sz w:val="24"/>
        </w:rPr>
        <w:t xml:space="preserve"> </w:t>
      </w:r>
      <w:r w:rsidR="00B165DA" w:rsidRPr="002C29D2">
        <w:rPr>
          <w:rFonts w:ascii="Times New Roman" w:hAnsi="Times New Roman"/>
          <w:sz w:val="24"/>
        </w:rPr>
        <w:t>inherently improve well-being</w:t>
      </w:r>
      <w:r w:rsidR="00990AE7" w:rsidRPr="002C29D2">
        <w:rPr>
          <w:rFonts w:ascii="Times New Roman" w:hAnsi="Times New Roman"/>
          <w:sz w:val="24"/>
        </w:rPr>
        <w:t>,</w:t>
      </w:r>
      <w:r w:rsidR="00B165DA" w:rsidRPr="002C29D2">
        <w:rPr>
          <w:rFonts w:ascii="Times New Roman" w:hAnsi="Times New Roman"/>
          <w:sz w:val="24"/>
        </w:rPr>
        <w:t xml:space="preserve"> to the betterment of human</w:t>
      </w:r>
      <w:r w:rsidR="00295D7B" w:rsidRPr="002C29D2">
        <w:rPr>
          <w:rFonts w:ascii="Times New Roman" w:hAnsi="Times New Roman"/>
          <w:sz w:val="24"/>
        </w:rPr>
        <w:t xml:space="preserve"> </w:t>
      </w:r>
      <w:r w:rsidR="00B165DA" w:rsidRPr="002C29D2">
        <w:rPr>
          <w:rFonts w:ascii="Times New Roman" w:hAnsi="Times New Roman"/>
          <w:sz w:val="24"/>
        </w:rPr>
        <w:t>being</w:t>
      </w:r>
      <w:r w:rsidR="00295D7B" w:rsidRPr="002C29D2">
        <w:rPr>
          <w:rFonts w:ascii="Times New Roman" w:hAnsi="Times New Roman"/>
          <w:sz w:val="24"/>
        </w:rPr>
        <w:t>s</w:t>
      </w:r>
      <w:r w:rsidR="00B165DA" w:rsidRPr="002C29D2">
        <w:rPr>
          <w:rFonts w:ascii="Times New Roman" w:hAnsi="Times New Roman"/>
          <w:sz w:val="24"/>
        </w:rPr>
        <w:t xml:space="preserve"> and society </w:t>
      </w:r>
      <w:r w:rsidR="00295D7B" w:rsidRPr="002C29D2">
        <w:rPr>
          <w:rFonts w:ascii="Times New Roman" w:hAnsi="Times New Roman"/>
          <w:sz w:val="24"/>
        </w:rPr>
        <w:t>in general</w:t>
      </w:r>
      <w:r w:rsidR="00FC6DE6" w:rsidRPr="002C29D2">
        <w:rPr>
          <w:rFonts w:ascii="Times New Roman" w:hAnsi="Times New Roman"/>
          <w:sz w:val="24"/>
        </w:rPr>
        <w:t xml:space="preserve"> </w:t>
      </w:r>
      <w:r w:rsidR="006E45CA" w:rsidRPr="002C29D2">
        <w:rPr>
          <w:rFonts w:ascii="Times New Roman" w:hAnsi="Times New Roman"/>
          <w:sz w:val="24"/>
        </w:rPr>
        <w:t>(Martela and Ryan 2016)</w:t>
      </w:r>
      <w:r w:rsidR="00B165DA" w:rsidRPr="002C29D2">
        <w:rPr>
          <w:rFonts w:ascii="Times New Roman" w:hAnsi="Times New Roman"/>
          <w:sz w:val="24"/>
        </w:rPr>
        <w:t xml:space="preserve">. </w:t>
      </w:r>
      <w:r w:rsidR="00266A2B" w:rsidRPr="002C29D2">
        <w:rPr>
          <w:rFonts w:ascii="Times New Roman" w:hAnsi="Times New Roman"/>
          <w:sz w:val="24"/>
        </w:rPr>
        <w:t xml:space="preserve">Despite the desirable functional benefits of AI </w:t>
      </w:r>
      <w:r w:rsidR="009B23A5" w:rsidRPr="002C29D2">
        <w:rPr>
          <w:rFonts w:ascii="Times New Roman" w:hAnsi="Times New Roman"/>
          <w:sz w:val="24"/>
        </w:rPr>
        <w:t>technology,</w:t>
      </w:r>
      <w:r w:rsidR="00750EFA" w:rsidRPr="002C29D2">
        <w:rPr>
          <w:rFonts w:ascii="Times New Roman" w:hAnsi="Times New Roman"/>
          <w:sz w:val="24"/>
        </w:rPr>
        <w:t xml:space="preserve"> </w:t>
      </w:r>
      <w:r w:rsidR="009B23A5" w:rsidRPr="002C29D2">
        <w:rPr>
          <w:rFonts w:ascii="Times New Roman" w:hAnsi="Times New Roman"/>
          <w:sz w:val="24"/>
        </w:rPr>
        <w:t xml:space="preserve">healthcare practitioners </w:t>
      </w:r>
      <w:r w:rsidR="00750EFA" w:rsidRPr="002C29D2">
        <w:rPr>
          <w:rFonts w:ascii="Times New Roman" w:hAnsi="Times New Roman"/>
          <w:sz w:val="24"/>
        </w:rPr>
        <w:t xml:space="preserve">tend to engage with </w:t>
      </w:r>
      <w:r w:rsidR="00990AE7" w:rsidRPr="002C29D2">
        <w:rPr>
          <w:rFonts w:ascii="Times New Roman" w:hAnsi="Times New Roman"/>
          <w:sz w:val="24"/>
        </w:rPr>
        <w:t>it</w:t>
      </w:r>
      <w:r w:rsidR="00750EFA" w:rsidRPr="002C29D2">
        <w:rPr>
          <w:rFonts w:ascii="Times New Roman" w:hAnsi="Times New Roman"/>
          <w:sz w:val="24"/>
        </w:rPr>
        <w:t xml:space="preserve"> when they perceive it</w:t>
      </w:r>
      <w:r w:rsidR="009A627B" w:rsidRPr="002C29D2">
        <w:rPr>
          <w:rFonts w:ascii="Times New Roman" w:hAnsi="Times New Roman"/>
          <w:sz w:val="24"/>
        </w:rPr>
        <w:t xml:space="preserve"> can preserve the dignity of </w:t>
      </w:r>
      <w:r w:rsidR="00750EFA" w:rsidRPr="002C29D2">
        <w:rPr>
          <w:rFonts w:ascii="Times New Roman" w:hAnsi="Times New Roman"/>
          <w:sz w:val="24"/>
        </w:rPr>
        <w:t xml:space="preserve">both </w:t>
      </w:r>
      <w:r w:rsidR="009A627B" w:rsidRPr="002C29D2">
        <w:rPr>
          <w:rFonts w:ascii="Times New Roman" w:hAnsi="Times New Roman"/>
          <w:sz w:val="24"/>
        </w:rPr>
        <w:t>patient</w:t>
      </w:r>
      <w:r w:rsidR="00750EFA" w:rsidRPr="002C29D2">
        <w:rPr>
          <w:rFonts w:ascii="Times New Roman" w:hAnsi="Times New Roman"/>
          <w:sz w:val="24"/>
        </w:rPr>
        <w:t>s</w:t>
      </w:r>
      <w:r w:rsidR="009A627B" w:rsidRPr="002C29D2">
        <w:rPr>
          <w:rFonts w:ascii="Times New Roman" w:hAnsi="Times New Roman"/>
          <w:sz w:val="24"/>
        </w:rPr>
        <w:t xml:space="preserve"> and practitioners</w:t>
      </w:r>
      <w:r w:rsidR="00750EFA" w:rsidRPr="002C29D2">
        <w:rPr>
          <w:rFonts w:ascii="Times New Roman" w:hAnsi="Times New Roman"/>
          <w:sz w:val="24"/>
        </w:rPr>
        <w:t xml:space="preserve"> </w:t>
      </w:r>
      <w:r w:rsidR="00750EFA" w:rsidRPr="002C29D2">
        <w:rPr>
          <w:rFonts w:ascii="Times New Roman" w:hAnsi="Times New Roman"/>
          <w:sz w:val="24"/>
        </w:rPr>
        <w:fldChar w:fldCharType="begin" w:fldLock="1"/>
      </w:r>
      <w:r w:rsidR="00750EFA" w:rsidRPr="002C29D2">
        <w:rPr>
          <w:rFonts w:ascii="Times New Roman" w:hAnsi="Times New Roman"/>
          <w:sz w:val="24"/>
        </w:rPr>
        <w:instrText>ADDIN CSL_CITATION {"citationItems":[{"id":"ITEM-1","itemData":{"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y","non-dropping-particle":"","parse-names":false,"suffix":""}],"container-title":"Minds and Machines","id":"ITEM-1","issued":{"date-parts":[["2018"]]},"page":"689-707","title":"AI4People—An ethical framework for a good AI society: Opportunities, risks, principles, and recommendations","type":"article-journal","volume":"28"},"uris":["http://www.mendeley.com/documents/?uuid=0fa69287-7058-4569-9a08-d9a1a093b8cc"]}],"mendeley":{"formattedCitation":"(Floridi et al., 2018)","plainTextFormattedCitation":"(Floridi et al., 2018)","previouslyFormattedCitation":"(Floridi &lt;i&gt;et al.&lt;/i&gt;, 2018)"},"properties":{"noteIndex":0},"schema":"https://github.com/citation-style-language/schema/raw/master/csl-citation.json"}</w:instrText>
      </w:r>
      <w:r w:rsidR="00750EFA" w:rsidRPr="002C29D2">
        <w:rPr>
          <w:rFonts w:ascii="Times New Roman" w:hAnsi="Times New Roman"/>
          <w:sz w:val="24"/>
        </w:rPr>
        <w:fldChar w:fldCharType="separate"/>
      </w:r>
      <w:r w:rsidR="00750EFA" w:rsidRPr="002C29D2">
        <w:rPr>
          <w:rFonts w:ascii="Times New Roman" w:hAnsi="Times New Roman"/>
          <w:sz w:val="24"/>
        </w:rPr>
        <w:t>(Floridi et al. 2018)</w:t>
      </w:r>
      <w:r w:rsidR="00750EFA" w:rsidRPr="002C29D2">
        <w:rPr>
          <w:rFonts w:ascii="Times New Roman" w:hAnsi="Times New Roman"/>
          <w:sz w:val="24"/>
        </w:rPr>
        <w:fldChar w:fldCharType="end"/>
      </w:r>
      <w:r w:rsidR="00750EFA" w:rsidRPr="002C29D2">
        <w:rPr>
          <w:rFonts w:ascii="Times New Roman" w:hAnsi="Times New Roman"/>
          <w:sz w:val="24"/>
        </w:rPr>
        <w:t xml:space="preserve">. </w:t>
      </w:r>
      <w:r w:rsidR="00FB0DCF" w:rsidRPr="002C29D2">
        <w:rPr>
          <w:rFonts w:ascii="Times New Roman" w:hAnsi="Times New Roman"/>
          <w:sz w:val="24"/>
        </w:rPr>
        <w:t xml:space="preserve">Further, extending Newman et al. (2020) and Rai (2020), </w:t>
      </w:r>
      <w:r w:rsidR="00A16A64" w:rsidRPr="002C29D2">
        <w:rPr>
          <w:rFonts w:ascii="Times New Roman" w:hAnsi="Times New Roman"/>
          <w:sz w:val="24"/>
        </w:rPr>
        <w:t>our</w:t>
      </w:r>
      <w:r w:rsidR="00FB0DCF" w:rsidRPr="002C29D2">
        <w:rPr>
          <w:rFonts w:ascii="Times New Roman" w:hAnsi="Times New Roman"/>
          <w:sz w:val="24"/>
        </w:rPr>
        <w:t xml:space="preserve"> findings support the important role</w:t>
      </w:r>
      <w:r w:rsidR="00295D7B" w:rsidRPr="002C29D2">
        <w:rPr>
          <w:rFonts w:ascii="Times New Roman" w:hAnsi="Times New Roman"/>
          <w:sz w:val="24"/>
        </w:rPr>
        <w:t>s</w:t>
      </w:r>
      <w:r w:rsidR="00FB0DCF" w:rsidRPr="002C29D2">
        <w:rPr>
          <w:rFonts w:ascii="Times New Roman" w:hAnsi="Times New Roman"/>
          <w:sz w:val="24"/>
        </w:rPr>
        <w:t xml:space="preserve"> of justice and explainability as they exert the strongest effects on healthcare practitioner</w:t>
      </w:r>
      <w:r w:rsidR="00990AE7" w:rsidRPr="002C29D2">
        <w:rPr>
          <w:rFonts w:ascii="Times New Roman" w:hAnsi="Times New Roman"/>
          <w:sz w:val="24"/>
        </w:rPr>
        <w:t xml:space="preserve"> </w:t>
      </w:r>
      <w:r w:rsidR="00FB0DCF" w:rsidRPr="002C29D2">
        <w:rPr>
          <w:rFonts w:ascii="Times New Roman" w:hAnsi="Times New Roman"/>
          <w:sz w:val="24"/>
        </w:rPr>
        <w:t>satisfaction with AI technology.</w:t>
      </w:r>
      <w:r w:rsidR="00A16A64" w:rsidRPr="002C29D2">
        <w:rPr>
          <w:rFonts w:ascii="Times New Roman" w:hAnsi="Times New Roman"/>
          <w:sz w:val="24"/>
        </w:rPr>
        <w:t xml:space="preserve"> </w:t>
      </w:r>
      <w:r w:rsidR="00FB0DCF" w:rsidRPr="002C29D2">
        <w:rPr>
          <w:rFonts w:ascii="Times New Roman" w:hAnsi="Times New Roman"/>
          <w:sz w:val="24"/>
        </w:rPr>
        <w:t xml:space="preserve">When healthcare practitioners perceive </w:t>
      </w:r>
      <w:r w:rsidR="00990AE7" w:rsidRPr="002C29D2">
        <w:rPr>
          <w:rFonts w:ascii="Times New Roman" w:hAnsi="Times New Roman"/>
          <w:sz w:val="24"/>
        </w:rPr>
        <w:t xml:space="preserve">the </w:t>
      </w:r>
      <w:r w:rsidR="00FB0DCF" w:rsidRPr="002C29D2">
        <w:rPr>
          <w:rFonts w:ascii="Times New Roman" w:hAnsi="Times New Roman"/>
          <w:sz w:val="24"/>
        </w:rPr>
        <w:t xml:space="preserve">technology </w:t>
      </w:r>
      <w:r w:rsidR="00990AE7" w:rsidRPr="002C29D2">
        <w:rPr>
          <w:rFonts w:ascii="Times New Roman" w:hAnsi="Times New Roman"/>
          <w:sz w:val="24"/>
        </w:rPr>
        <w:t xml:space="preserve">is able to </w:t>
      </w:r>
      <w:r w:rsidR="00FB0DCF" w:rsidRPr="002C29D2">
        <w:rPr>
          <w:rFonts w:ascii="Times New Roman" w:hAnsi="Times New Roman"/>
          <w:sz w:val="24"/>
        </w:rPr>
        <w:t xml:space="preserve">help them avoid human bias and </w:t>
      </w:r>
      <w:r w:rsidR="00FB0DCF" w:rsidRPr="002C29D2">
        <w:rPr>
          <w:rFonts w:ascii="Times New Roman" w:hAnsi="Times New Roman"/>
          <w:sz w:val="24"/>
        </w:rPr>
        <w:lastRenderedPageBreak/>
        <w:t xml:space="preserve">increase the level of information accuracy provided to patients, they are more likely to be satisfied. Similarly, healthcare practitioners tend to value the importance of technological transparency. Their access to sufficient detail and algorithmic reasoning </w:t>
      </w:r>
      <w:r w:rsidR="00990AE7" w:rsidRPr="002C29D2">
        <w:rPr>
          <w:rFonts w:ascii="Times New Roman" w:hAnsi="Times New Roman"/>
          <w:sz w:val="24"/>
        </w:rPr>
        <w:t xml:space="preserve">also </w:t>
      </w:r>
      <w:r w:rsidR="00FB0DCF" w:rsidRPr="002C29D2">
        <w:rPr>
          <w:rFonts w:ascii="Times New Roman" w:hAnsi="Times New Roman"/>
          <w:sz w:val="24"/>
        </w:rPr>
        <w:t>seem</w:t>
      </w:r>
      <w:r w:rsidR="00295D7B" w:rsidRPr="002C29D2">
        <w:rPr>
          <w:rFonts w:ascii="Times New Roman" w:hAnsi="Times New Roman"/>
          <w:sz w:val="24"/>
        </w:rPr>
        <w:t>s</w:t>
      </w:r>
      <w:r w:rsidR="00FB0DCF" w:rsidRPr="002C29D2">
        <w:rPr>
          <w:rFonts w:ascii="Times New Roman" w:hAnsi="Times New Roman"/>
          <w:sz w:val="24"/>
        </w:rPr>
        <w:t xml:space="preserve"> to determine </w:t>
      </w:r>
      <w:r w:rsidR="00990AE7" w:rsidRPr="002C29D2">
        <w:rPr>
          <w:rFonts w:ascii="Times New Roman" w:hAnsi="Times New Roman"/>
          <w:sz w:val="24"/>
        </w:rPr>
        <w:t>their</w:t>
      </w:r>
      <w:r w:rsidR="00FB0DCF" w:rsidRPr="002C29D2">
        <w:rPr>
          <w:rFonts w:ascii="Times New Roman" w:hAnsi="Times New Roman"/>
          <w:sz w:val="24"/>
        </w:rPr>
        <w:t xml:space="preserve"> satisfaction</w:t>
      </w:r>
      <w:r w:rsidR="00295D7B" w:rsidRPr="002C29D2">
        <w:rPr>
          <w:rFonts w:ascii="Times New Roman" w:hAnsi="Times New Roman"/>
          <w:sz w:val="24"/>
        </w:rPr>
        <w:t xml:space="preserve"> levels</w:t>
      </w:r>
      <w:r w:rsidR="00FB0DCF" w:rsidRPr="002C29D2">
        <w:rPr>
          <w:rFonts w:ascii="Times New Roman" w:hAnsi="Times New Roman"/>
          <w:sz w:val="24"/>
        </w:rPr>
        <w:t xml:space="preserve">. </w:t>
      </w:r>
    </w:p>
    <w:p w14:paraId="64C398FC" w14:textId="6558F81F" w:rsidR="004464C1" w:rsidRPr="002C29D2" w:rsidRDefault="007F5242" w:rsidP="007F5242">
      <w:pPr>
        <w:spacing w:line="480" w:lineRule="auto"/>
        <w:jc w:val="both"/>
        <w:rPr>
          <w:iCs/>
        </w:rPr>
      </w:pPr>
      <w:r w:rsidRPr="002C29D2">
        <w:t xml:space="preserve">        </w:t>
      </w:r>
      <w:r w:rsidR="00990AE7" w:rsidRPr="002C29D2">
        <w:t>O</w:t>
      </w:r>
      <w:r w:rsidR="00E71787" w:rsidRPr="002C29D2">
        <w:t>ur research also contribute</w:t>
      </w:r>
      <w:r w:rsidR="007D0B93" w:rsidRPr="002C29D2">
        <w:t>s</w:t>
      </w:r>
      <w:r w:rsidR="00E71787" w:rsidRPr="002C29D2">
        <w:t xml:space="preserve"> to </w:t>
      </w:r>
      <w:r w:rsidR="00611A23" w:rsidRPr="002C29D2">
        <w:rPr>
          <w:lang w:eastAsia="zh-TW"/>
        </w:rPr>
        <w:t>Signal-Mechanism-Consequence (</w:t>
      </w:r>
      <w:r w:rsidR="00E71787" w:rsidRPr="002C29D2">
        <w:rPr>
          <w:lang w:eastAsia="zh-TW"/>
        </w:rPr>
        <w:t>SMC</w:t>
      </w:r>
      <w:r w:rsidR="00611A23" w:rsidRPr="002C29D2">
        <w:rPr>
          <w:lang w:eastAsia="zh-TW"/>
        </w:rPr>
        <w:t>)</w:t>
      </w:r>
      <w:r w:rsidR="00E71787" w:rsidRPr="002C29D2">
        <w:rPr>
          <w:lang w:eastAsia="zh-TW"/>
        </w:rPr>
        <w:t xml:space="preserve"> theory (Li and Wu 2018; Pavlou and Dimoka 2006). </w:t>
      </w:r>
      <w:r w:rsidR="00E71787" w:rsidRPr="002C29D2">
        <w:t xml:space="preserve"> Our</w:t>
      </w:r>
      <w:r w:rsidR="009630F5" w:rsidRPr="002C29D2">
        <w:t xml:space="preserve"> results affirm that </w:t>
      </w:r>
      <w:r w:rsidR="00E71787" w:rsidRPr="002C29D2">
        <w:t xml:space="preserve">the five principles serve as responsible AI signals that </w:t>
      </w:r>
      <w:r w:rsidR="009630F5" w:rsidRPr="002C29D2">
        <w:t>healthcare practitioners</w:t>
      </w:r>
      <w:r w:rsidR="00E71787" w:rsidRPr="002C29D2">
        <w:t xml:space="preserve"> rely on to</w:t>
      </w:r>
      <w:r w:rsidR="009630F5" w:rsidRPr="002C29D2">
        <w:t xml:space="preserve"> </w:t>
      </w:r>
      <w:r w:rsidR="00E71787" w:rsidRPr="002C29D2">
        <w:t>decide whether to engage with AI technology.</w:t>
      </w:r>
      <w:r w:rsidR="009630F5" w:rsidRPr="002C29D2">
        <w:t xml:space="preserve"> </w:t>
      </w:r>
      <w:r w:rsidR="00E71787" w:rsidRPr="002C29D2">
        <w:t xml:space="preserve">Engagement </w:t>
      </w:r>
      <w:r w:rsidR="009630F5" w:rsidRPr="002C29D2">
        <w:t>is one of the key drivers of usage</w:t>
      </w:r>
      <w:r w:rsidR="00990AE7" w:rsidRPr="002C29D2">
        <w:t xml:space="preserve"> intentions</w:t>
      </w:r>
      <w:r w:rsidR="008F645F" w:rsidRPr="002C29D2">
        <w:t xml:space="preserve">, </w:t>
      </w:r>
      <w:r w:rsidR="00E71787" w:rsidRPr="002C29D2">
        <w:t>favo</w:t>
      </w:r>
      <w:r w:rsidR="00883F62" w:rsidRPr="002C29D2">
        <w:t>u</w:t>
      </w:r>
      <w:r w:rsidR="00E71787" w:rsidRPr="002C29D2">
        <w:t xml:space="preserve">rable </w:t>
      </w:r>
      <w:r w:rsidR="009630F5" w:rsidRPr="002C29D2">
        <w:t>attitudes</w:t>
      </w:r>
      <w:r w:rsidR="00295D7B" w:rsidRPr="002C29D2">
        <w:t>,</w:t>
      </w:r>
      <w:r w:rsidR="008F645F" w:rsidRPr="002C29D2">
        <w:t xml:space="preserve"> and satisfaction</w:t>
      </w:r>
      <w:r w:rsidR="00990AE7" w:rsidRPr="002C29D2">
        <w:t xml:space="preserve"> with AI</w:t>
      </w:r>
      <w:r w:rsidR="008F645F" w:rsidRPr="002C29D2">
        <w:t>.</w:t>
      </w:r>
      <w:r w:rsidR="009630F5" w:rsidRPr="002C29D2">
        <w:t xml:space="preserve"> </w:t>
      </w:r>
      <w:r w:rsidR="00990AE7" w:rsidRPr="002C29D2">
        <w:t>This is c</w:t>
      </w:r>
      <w:r w:rsidR="00AE56F9" w:rsidRPr="002C29D2">
        <w:t xml:space="preserve">onsistent with </w:t>
      </w:r>
      <w:r w:rsidR="00AE56F9" w:rsidRPr="002C29D2">
        <w:rPr>
          <w:iCs/>
          <w:lang w:eastAsia="zh-TW"/>
        </w:rPr>
        <w:t>Brock and Von Wangenheim (2019)</w:t>
      </w:r>
      <w:r w:rsidR="00B8333F" w:rsidRPr="002C29D2">
        <w:rPr>
          <w:iCs/>
          <w:lang w:eastAsia="zh-TW"/>
        </w:rPr>
        <w:t>, who note</w:t>
      </w:r>
      <w:r w:rsidR="00AE56F9" w:rsidRPr="002C29D2">
        <w:rPr>
          <w:iCs/>
          <w:lang w:eastAsia="zh-TW"/>
        </w:rPr>
        <w:t xml:space="preserve"> employee engagement </w:t>
      </w:r>
      <w:r w:rsidR="00B8333F" w:rsidRPr="002C29D2">
        <w:rPr>
          <w:iCs/>
          <w:lang w:eastAsia="zh-TW"/>
        </w:rPr>
        <w:t>may</w:t>
      </w:r>
      <w:r w:rsidR="00AE56F9" w:rsidRPr="002C29D2">
        <w:rPr>
          <w:iCs/>
          <w:lang w:eastAsia="zh-TW"/>
        </w:rPr>
        <w:t xml:space="preserve"> determine the success of </w:t>
      </w:r>
      <w:r w:rsidR="00B8333F" w:rsidRPr="002C29D2">
        <w:rPr>
          <w:iCs/>
          <w:lang w:eastAsia="zh-TW"/>
        </w:rPr>
        <w:t xml:space="preserve">hospital </w:t>
      </w:r>
      <w:r w:rsidR="00AE56F9" w:rsidRPr="002C29D2">
        <w:rPr>
          <w:iCs/>
          <w:lang w:eastAsia="zh-TW"/>
        </w:rPr>
        <w:t>AI implementation</w:t>
      </w:r>
      <w:r w:rsidR="00B8333F" w:rsidRPr="002C29D2">
        <w:rPr>
          <w:iCs/>
          <w:lang w:eastAsia="zh-TW"/>
        </w:rPr>
        <w:t>s</w:t>
      </w:r>
      <w:r w:rsidR="00AE56F9" w:rsidRPr="002C29D2">
        <w:rPr>
          <w:iCs/>
          <w:lang w:eastAsia="zh-TW"/>
        </w:rPr>
        <w:t xml:space="preserve">. Aligning with </w:t>
      </w:r>
      <w:r w:rsidR="00AE56F9" w:rsidRPr="002C29D2">
        <w:rPr>
          <w:iCs/>
        </w:rPr>
        <w:t>Harter et</w:t>
      </w:r>
      <w:r w:rsidR="00AE56F9" w:rsidRPr="002C29D2">
        <w:rPr>
          <w:iCs/>
          <w:lang w:eastAsia="zh-TW"/>
        </w:rPr>
        <w:t xml:space="preserve"> </w:t>
      </w:r>
      <w:r w:rsidR="00AE56F9" w:rsidRPr="002C29D2">
        <w:rPr>
          <w:iCs/>
        </w:rPr>
        <w:t>al</w:t>
      </w:r>
      <w:r w:rsidR="00295D7B" w:rsidRPr="002C29D2">
        <w:rPr>
          <w:iCs/>
        </w:rPr>
        <w:t>.</w:t>
      </w:r>
      <w:r w:rsidR="00AE56F9" w:rsidRPr="002C29D2">
        <w:rPr>
          <w:iCs/>
        </w:rPr>
        <w:t xml:space="preserve"> (2002), autonomy, beneficence, explainability, justice, and non-maleficence tend to reflect the nature of healthcare practitioners’ </w:t>
      </w:r>
      <w:r w:rsidR="00B8333F" w:rsidRPr="002C29D2">
        <w:rPr>
          <w:iCs/>
        </w:rPr>
        <w:t xml:space="preserve">workplace activity </w:t>
      </w:r>
      <w:r w:rsidR="00295D7B" w:rsidRPr="002C29D2">
        <w:rPr>
          <w:iCs/>
        </w:rPr>
        <w:t xml:space="preserve">and </w:t>
      </w:r>
      <w:r w:rsidR="00B8333F" w:rsidRPr="002C29D2">
        <w:rPr>
          <w:iCs/>
        </w:rPr>
        <w:t xml:space="preserve">synchronize with their view on what they </w:t>
      </w:r>
      <w:r w:rsidR="00AE56F9" w:rsidRPr="002C29D2">
        <w:rPr>
          <w:iCs/>
        </w:rPr>
        <w:t xml:space="preserve">need to do to perform well in the workplace. </w:t>
      </w:r>
      <w:r w:rsidR="00AE56F9" w:rsidRPr="002C29D2">
        <w:rPr>
          <w:iCs/>
          <w:lang w:eastAsia="zh-TW"/>
        </w:rPr>
        <w:t xml:space="preserve">The five </w:t>
      </w:r>
      <w:r w:rsidR="004464C1" w:rsidRPr="002C29D2">
        <w:rPr>
          <w:iCs/>
          <w:lang w:eastAsia="zh-TW"/>
        </w:rPr>
        <w:t xml:space="preserve">responsible AI </w:t>
      </w:r>
      <w:r w:rsidR="006C6C19" w:rsidRPr="002C29D2">
        <w:rPr>
          <w:iCs/>
          <w:lang w:eastAsia="zh-TW"/>
        </w:rPr>
        <w:t xml:space="preserve">signals </w:t>
      </w:r>
      <w:r w:rsidR="00AE56F9" w:rsidRPr="002C29D2">
        <w:rPr>
          <w:iCs/>
          <w:lang w:eastAsia="zh-TW"/>
        </w:rPr>
        <w:t xml:space="preserve">can </w:t>
      </w:r>
      <w:r w:rsidR="00AE56F9" w:rsidRPr="002C29D2">
        <w:rPr>
          <w:iCs/>
        </w:rPr>
        <w:t xml:space="preserve">provide </w:t>
      </w:r>
      <w:r w:rsidR="004464C1" w:rsidRPr="002C29D2">
        <w:rPr>
          <w:iCs/>
          <w:lang w:eastAsia="zh-TW"/>
        </w:rPr>
        <w:t xml:space="preserve">sufficient </w:t>
      </w:r>
      <w:r w:rsidR="00AE56F9" w:rsidRPr="002C29D2">
        <w:rPr>
          <w:iCs/>
          <w:lang w:eastAsia="zh-TW"/>
        </w:rPr>
        <w:t xml:space="preserve">guidance on how to operate </w:t>
      </w:r>
      <w:r w:rsidR="004464C1" w:rsidRPr="002C29D2">
        <w:rPr>
          <w:iCs/>
          <w:lang w:eastAsia="zh-TW"/>
        </w:rPr>
        <w:t xml:space="preserve">AI systems responsibly and ethically. </w:t>
      </w:r>
      <w:r w:rsidR="00B8333F" w:rsidRPr="002C29D2">
        <w:rPr>
          <w:iCs/>
          <w:lang w:eastAsia="zh-TW"/>
        </w:rPr>
        <w:t>This</w:t>
      </w:r>
      <w:r w:rsidR="004464C1" w:rsidRPr="002C29D2">
        <w:rPr>
          <w:iCs/>
          <w:lang w:eastAsia="zh-TW"/>
        </w:rPr>
        <w:t xml:space="preserve"> </w:t>
      </w:r>
      <w:r w:rsidR="00B8333F" w:rsidRPr="002C29D2">
        <w:rPr>
          <w:iCs/>
          <w:lang w:eastAsia="zh-TW"/>
        </w:rPr>
        <w:t xml:space="preserve">can </w:t>
      </w:r>
      <w:r w:rsidR="004464C1" w:rsidRPr="002C29D2">
        <w:rPr>
          <w:iCs/>
          <w:lang w:eastAsia="zh-TW"/>
        </w:rPr>
        <w:t xml:space="preserve">be disseminated through effective </w:t>
      </w:r>
      <w:r w:rsidR="004464C1" w:rsidRPr="002C29D2">
        <w:rPr>
          <w:iCs/>
        </w:rPr>
        <w:t xml:space="preserve">internal communication and training. </w:t>
      </w:r>
      <w:r w:rsidR="00B8333F" w:rsidRPr="002C29D2">
        <w:rPr>
          <w:iCs/>
        </w:rPr>
        <w:t>Commitment to</w:t>
      </w:r>
      <w:r w:rsidR="004464C1" w:rsidRPr="002C29D2">
        <w:rPr>
          <w:iCs/>
        </w:rPr>
        <w:t xml:space="preserve"> </w:t>
      </w:r>
      <w:r w:rsidR="00B8333F" w:rsidRPr="002C29D2">
        <w:rPr>
          <w:iCs/>
        </w:rPr>
        <w:t xml:space="preserve">such </w:t>
      </w:r>
      <w:r w:rsidR="004464C1" w:rsidRPr="002C29D2">
        <w:rPr>
          <w:iCs/>
        </w:rPr>
        <w:t>program</w:t>
      </w:r>
      <w:r w:rsidR="00B8333F" w:rsidRPr="002C29D2">
        <w:rPr>
          <w:iCs/>
        </w:rPr>
        <w:t>s</w:t>
      </w:r>
      <w:r w:rsidR="004464C1" w:rsidRPr="002C29D2">
        <w:rPr>
          <w:iCs/>
        </w:rPr>
        <w:t xml:space="preserve"> and </w:t>
      </w:r>
      <w:r w:rsidR="00B8333F" w:rsidRPr="002C29D2">
        <w:rPr>
          <w:iCs/>
        </w:rPr>
        <w:t xml:space="preserve">an </w:t>
      </w:r>
      <w:r w:rsidR="004464C1" w:rsidRPr="002C29D2">
        <w:rPr>
          <w:iCs/>
        </w:rPr>
        <w:t>understanding of the technology will result in greater engagement</w:t>
      </w:r>
      <w:r w:rsidR="00B8333F" w:rsidRPr="002C29D2">
        <w:rPr>
          <w:iCs/>
        </w:rPr>
        <w:t xml:space="preserve">, and </w:t>
      </w:r>
      <w:r w:rsidR="004464C1" w:rsidRPr="002C29D2">
        <w:rPr>
          <w:iCs/>
        </w:rPr>
        <w:t>higher level</w:t>
      </w:r>
      <w:r w:rsidR="00295D7B" w:rsidRPr="002C29D2">
        <w:rPr>
          <w:iCs/>
        </w:rPr>
        <w:t>s</w:t>
      </w:r>
      <w:r w:rsidR="004464C1" w:rsidRPr="002C29D2">
        <w:rPr>
          <w:iCs/>
        </w:rPr>
        <w:t xml:space="preserve"> of satisfaction and usage. </w:t>
      </w:r>
    </w:p>
    <w:p w14:paraId="6F4609BA" w14:textId="3DA20541" w:rsidR="00FC6DE6" w:rsidRPr="002C29D2" w:rsidRDefault="007F5242" w:rsidP="007F5242">
      <w:pPr>
        <w:spacing w:line="480" w:lineRule="auto"/>
        <w:jc w:val="both"/>
        <w:rPr>
          <w:rFonts w:ascii="Times" w:hAnsi="Times"/>
        </w:rPr>
      </w:pPr>
      <w:r w:rsidRPr="002C29D2">
        <w:rPr>
          <w:iCs/>
        </w:rPr>
        <w:t xml:space="preserve">        </w:t>
      </w:r>
      <w:r w:rsidR="00B55336" w:rsidRPr="002C29D2">
        <w:rPr>
          <w:iCs/>
        </w:rPr>
        <w:t>Finally, techno-overload is an important techno</w:t>
      </w:r>
      <w:r w:rsidR="00295D7B" w:rsidRPr="002C29D2">
        <w:rPr>
          <w:iCs/>
        </w:rPr>
        <w:t>-</w:t>
      </w:r>
      <w:r w:rsidR="00B55336" w:rsidRPr="002C29D2">
        <w:rPr>
          <w:iCs/>
        </w:rPr>
        <w:t>stressor</w:t>
      </w:r>
      <w:r w:rsidR="00B8333F" w:rsidRPr="002C29D2">
        <w:rPr>
          <w:iCs/>
        </w:rPr>
        <w:t>,</w:t>
      </w:r>
      <w:r w:rsidR="00B55336" w:rsidRPr="002C29D2">
        <w:rPr>
          <w:iCs/>
        </w:rPr>
        <w:t xml:space="preserve"> which</w:t>
      </w:r>
      <w:r w:rsidR="008F645F" w:rsidRPr="002C29D2">
        <w:rPr>
          <w:iCs/>
        </w:rPr>
        <w:t xml:space="preserve"> </w:t>
      </w:r>
      <w:r w:rsidR="00B55336" w:rsidRPr="002C29D2">
        <w:rPr>
          <w:iCs/>
        </w:rPr>
        <w:t>undermine</w:t>
      </w:r>
      <w:r w:rsidR="008F645F" w:rsidRPr="002C29D2">
        <w:rPr>
          <w:iCs/>
        </w:rPr>
        <w:t>s</w:t>
      </w:r>
      <w:r w:rsidR="00B55336" w:rsidRPr="002C29D2">
        <w:rPr>
          <w:iCs/>
        </w:rPr>
        <w:t xml:space="preserve"> the significant relationship between </w:t>
      </w:r>
      <w:r w:rsidR="006C6C19" w:rsidRPr="002C29D2">
        <w:rPr>
          <w:iCs/>
        </w:rPr>
        <w:t>justice</w:t>
      </w:r>
      <w:r w:rsidR="00B55336" w:rsidRPr="002C29D2">
        <w:rPr>
          <w:iCs/>
        </w:rPr>
        <w:t xml:space="preserve"> and satisfaction</w:t>
      </w:r>
      <w:r w:rsidR="006C6C19" w:rsidRPr="002C29D2">
        <w:rPr>
          <w:iCs/>
        </w:rPr>
        <w:t xml:space="preserve">, attitudes, and </w:t>
      </w:r>
      <w:r w:rsidR="00B55336" w:rsidRPr="002C29D2">
        <w:rPr>
          <w:iCs/>
        </w:rPr>
        <w:t>usage intention</w:t>
      </w:r>
      <w:r w:rsidR="00B8333F" w:rsidRPr="002C29D2">
        <w:rPr>
          <w:iCs/>
        </w:rPr>
        <w:t>s</w:t>
      </w:r>
      <w:r w:rsidR="00B55336" w:rsidRPr="002C29D2">
        <w:rPr>
          <w:iCs/>
        </w:rPr>
        <w:t xml:space="preserve">. In particular, </w:t>
      </w:r>
      <w:r w:rsidR="00B8333F" w:rsidRPr="002C29D2">
        <w:rPr>
          <w:iCs/>
        </w:rPr>
        <w:t>it</w:t>
      </w:r>
      <w:r w:rsidR="00B55336" w:rsidRPr="002C29D2">
        <w:rPr>
          <w:iCs/>
        </w:rPr>
        <w:t xml:space="preserve"> weakens the positive relationship between justice and healthcare practitioner engagement with AI technology. </w:t>
      </w:r>
      <w:r w:rsidR="000B1B30" w:rsidRPr="002C29D2">
        <w:rPr>
          <w:iCs/>
        </w:rPr>
        <w:t>Extending</w:t>
      </w:r>
      <w:r w:rsidR="008D7178" w:rsidRPr="002C29D2">
        <w:rPr>
          <w:iCs/>
        </w:rPr>
        <w:t xml:space="preserve"> </w:t>
      </w:r>
      <w:r w:rsidR="00CE662E" w:rsidRPr="002C29D2">
        <w:rPr>
          <w:iCs/>
        </w:rPr>
        <w:t>Tarafdar et al. (2007),</w:t>
      </w:r>
      <w:r w:rsidR="000B1B30" w:rsidRPr="002C29D2">
        <w:rPr>
          <w:iCs/>
        </w:rPr>
        <w:t xml:space="preserve"> when healthcare practitioners perceive </w:t>
      </w:r>
      <w:r w:rsidR="00295D7B" w:rsidRPr="002C29D2">
        <w:rPr>
          <w:iCs/>
        </w:rPr>
        <w:t xml:space="preserve">their </w:t>
      </w:r>
      <w:r w:rsidR="00FC6DE6" w:rsidRPr="002C29D2">
        <w:rPr>
          <w:iCs/>
        </w:rPr>
        <w:t xml:space="preserve">stated </w:t>
      </w:r>
      <w:r w:rsidR="000B1B30" w:rsidRPr="002C29D2">
        <w:rPr>
          <w:iCs/>
        </w:rPr>
        <w:t>role</w:t>
      </w:r>
      <w:r w:rsidR="00A67E44" w:rsidRPr="002C29D2">
        <w:rPr>
          <w:iCs/>
        </w:rPr>
        <w:t xml:space="preserve"> to</w:t>
      </w:r>
      <w:r w:rsidR="000B1B30" w:rsidRPr="002C29D2">
        <w:rPr>
          <w:iCs/>
        </w:rPr>
        <w:t xml:space="preserve"> exceed their capacity in terms of work </w:t>
      </w:r>
      <w:r w:rsidR="00A67E44" w:rsidRPr="002C29D2">
        <w:rPr>
          <w:iCs/>
        </w:rPr>
        <w:t xml:space="preserve">quantity </w:t>
      </w:r>
      <w:r w:rsidR="000B1B30" w:rsidRPr="002C29D2">
        <w:rPr>
          <w:iCs/>
        </w:rPr>
        <w:t xml:space="preserve">or difficulty, it tends to decrease </w:t>
      </w:r>
      <w:r w:rsidR="00A67E44" w:rsidRPr="002C29D2">
        <w:rPr>
          <w:iCs/>
        </w:rPr>
        <w:t>their</w:t>
      </w:r>
      <w:r w:rsidR="008F645F" w:rsidRPr="002C29D2">
        <w:rPr>
          <w:iCs/>
        </w:rPr>
        <w:t xml:space="preserve"> </w:t>
      </w:r>
      <w:r w:rsidR="000B1B30" w:rsidRPr="002C29D2">
        <w:rPr>
          <w:iCs/>
        </w:rPr>
        <w:t xml:space="preserve">engagement and undermine the importance of </w:t>
      </w:r>
      <w:r w:rsidR="00FC6DE6" w:rsidRPr="002C29D2">
        <w:rPr>
          <w:iCs/>
        </w:rPr>
        <w:t xml:space="preserve">the </w:t>
      </w:r>
      <w:r w:rsidR="000B1B30" w:rsidRPr="002C29D2">
        <w:rPr>
          <w:iCs/>
        </w:rPr>
        <w:t xml:space="preserve">AI justice </w:t>
      </w:r>
      <w:r w:rsidR="006C6C19" w:rsidRPr="002C29D2">
        <w:rPr>
          <w:iCs/>
        </w:rPr>
        <w:t>signal</w:t>
      </w:r>
      <w:r w:rsidR="000B1B30" w:rsidRPr="002C29D2">
        <w:rPr>
          <w:iCs/>
        </w:rPr>
        <w:t>.</w:t>
      </w:r>
      <w:r w:rsidR="00F26715" w:rsidRPr="002C29D2">
        <w:rPr>
          <w:iCs/>
        </w:rPr>
        <w:t xml:space="preserve"> </w:t>
      </w:r>
      <w:r w:rsidR="008D7178" w:rsidRPr="002C29D2">
        <w:rPr>
          <w:iCs/>
        </w:rPr>
        <w:t xml:space="preserve">Despite the benefits </w:t>
      </w:r>
      <w:r w:rsidR="00FC6DE6" w:rsidRPr="002C29D2">
        <w:rPr>
          <w:iCs/>
        </w:rPr>
        <w:t xml:space="preserve">of </w:t>
      </w:r>
      <w:r w:rsidR="00A67E44" w:rsidRPr="002C29D2">
        <w:rPr>
          <w:iCs/>
        </w:rPr>
        <w:t xml:space="preserve">using </w:t>
      </w:r>
      <w:r w:rsidR="008D7178" w:rsidRPr="002C29D2">
        <w:rPr>
          <w:iCs/>
        </w:rPr>
        <w:t xml:space="preserve">AI technology, </w:t>
      </w:r>
      <w:r w:rsidR="00F26715" w:rsidRPr="002C29D2">
        <w:rPr>
          <w:rFonts w:ascii="Times" w:hAnsi="Times"/>
        </w:rPr>
        <w:t xml:space="preserve">techno-overload is an affective event, </w:t>
      </w:r>
      <w:r w:rsidR="008F645F" w:rsidRPr="002C29D2">
        <w:rPr>
          <w:rFonts w:ascii="Times" w:hAnsi="Times"/>
        </w:rPr>
        <w:t xml:space="preserve">that may </w:t>
      </w:r>
      <w:r w:rsidR="00F26715" w:rsidRPr="002C29D2">
        <w:rPr>
          <w:rFonts w:ascii="Times" w:hAnsi="Times"/>
        </w:rPr>
        <w:t>result in negative feelings</w:t>
      </w:r>
      <w:r w:rsidR="00A67E44" w:rsidRPr="002C29D2">
        <w:rPr>
          <w:rFonts w:ascii="Times" w:hAnsi="Times"/>
        </w:rPr>
        <w:t xml:space="preserve">, </w:t>
      </w:r>
      <w:r w:rsidR="00F26715" w:rsidRPr="002C29D2">
        <w:rPr>
          <w:rFonts w:ascii="Times" w:hAnsi="Times"/>
        </w:rPr>
        <w:t xml:space="preserve">such as stress, exhaustion, anxiety, </w:t>
      </w:r>
      <w:r w:rsidR="00A67E44" w:rsidRPr="002C29D2">
        <w:rPr>
          <w:rFonts w:ascii="Times" w:hAnsi="Times"/>
        </w:rPr>
        <w:t xml:space="preserve">or </w:t>
      </w:r>
      <w:r w:rsidR="00F26715" w:rsidRPr="002C29D2">
        <w:rPr>
          <w:rFonts w:ascii="Times" w:hAnsi="Times"/>
        </w:rPr>
        <w:t xml:space="preserve">upset </w:t>
      </w:r>
      <w:r w:rsidR="006E45CA" w:rsidRPr="002C29D2">
        <w:rPr>
          <w:rFonts w:ascii="Times" w:hAnsi="Times"/>
        </w:rPr>
        <w:t>(Cao and Sun 2018)</w:t>
      </w:r>
      <w:r w:rsidR="00F26715" w:rsidRPr="002C29D2">
        <w:rPr>
          <w:rFonts w:ascii="Times" w:hAnsi="Times"/>
        </w:rPr>
        <w:t xml:space="preserve">.  </w:t>
      </w:r>
    </w:p>
    <w:p w14:paraId="6CF00A78" w14:textId="77777777" w:rsidR="004464C1" w:rsidRPr="002C29D2" w:rsidRDefault="004464C1" w:rsidP="00472B0B">
      <w:pPr>
        <w:spacing w:line="480" w:lineRule="auto"/>
        <w:jc w:val="both"/>
        <w:rPr>
          <w:i/>
          <w:lang w:eastAsia="zh-TW"/>
        </w:rPr>
      </w:pPr>
      <w:r w:rsidRPr="002C29D2">
        <w:rPr>
          <w:i/>
          <w:lang w:eastAsia="zh-TW"/>
        </w:rPr>
        <w:lastRenderedPageBreak/>
        <w:t xml:space="preserve">5.2 Implications </w:t>
      </w:r>
      <w:r w:rsidR="00FC6DE6" w:rsidRPr="002C29D2">
        <w:rPr>
          <w:i/>
          <w:lang w:eastAsia="zh-TW"/>
        </w:rPr>
        <w:t xml:space="preserve">for </w:t>
      </w:r>
      <w:r w:rsidRPr="002C29D2">
        <w:rPr>
          <w:i/>
          <w:lang w:eastAsia="zh-TW"/>
        </w:rPr>
        <w:t xml:space="preserve">practice </w:t>
      </w:r>
    </w:p>
    <w:p w14:paraId="4FCE9EFF" w14:textId="06B0205B" w:rsidR="00B165DA" w:rsidRPr="002C29D2" w:rsidRDefault="007F5242" w:rsidP="00B5003B">
      <w:pPr>
        <w:pStyle w:val="NoSpacing"/>
        <w:spacing w:line="480" w:lineRule="auto"/>
        <w:ind w:firstLine="0"/>
        <w:rPr>
          <w:rFonts w:ascii="Times New Roman" w:hAnsi="Times New Roman"/>
          <w:iCs/>
          <w:sz w:val="24"/>
          <w:lang w:eastAsia="zh-TW"/>
        </w:rPr>
      </w:pPr>
      <w:r w:rsidRPr="002C29D2">
        <w:rPr>
          <w:rFonts w:ascii="Times New Roman" w:hAnsi="Times New Roman"/>
          <w:iCs/>
          <w:sz w:val="24"/>
          <w:lang w:eastAsia="zh-TW"/>
        </w:rPr>
        <w:t xml:space="preserve">        </w:t>
      </w:r>
      <w:r w:rsidR="00E32DA5" w:rsidRPr="002C29D2">
        <w:rPr>
          <w:rFonts w:ascii="Times New Roman" w:hAnsi="Times New Roman"/>
          <w:iCs/>
          <w:sz w:val="24"/>
          <w:lang w:eastAsia="zh-TW"/>
        </w:rPr>
        <w:t>AI technology has the potential to transform the healthcare industry</w:t>
      </w:r>
      <w:r w:rsidR="00A67E44" w:rsidRPr="002C29D2">
        <w:rPr>
          <w:rFonts w:ascii="Times New Roman" w:hAnsi="Times New Roman"/>
          <w:iCs/>
          <w:sz w:val="24"/>
          <w:lang w:eastAsia="zh-TW"/>
        </w:rPr>
        <w:t xml:space="preserve">, with </w:t>
      </w:r>
      <w:r w:rsidR="00E32DA5" w:rsidRPr="002C29D2">
        <w:rPr>
          <w:rFonts w:ascii="Times New Roman" w:hAnsi="Times New Roman"/>
          <w:iCs/>
          <w:sz w:val="24"/>
          <w:lang w:eastAsia="zh-TW"/>
        </w:rPr>
        <w:t xml:space="preserve">powerful computational models </w:t>
      </w:r>
      <w:r w:rsidR="00A67E44" w:rsidRPr="002C29D2">
        <w:rPr>
          <w:rFonts w:ascii="Times New Roman" w:hAnsi="Times New Roman"/>
          <w:iCs/>
          <w:sz w:val="24"/>
          <w:lang w:eastAsia="zh-TW"/>
        </w:rPr>
        <w:t xml:space="preserve">that </w:t>
      </w:r>
      <w:r w:rsidR="00E32DA5" w:rsidRPr="002C29D2">
        <w:rPr>
          <w:rFonts w:ascii="Times New Roman" w:hAnsi="Times New Roman"/>
          <w:iCs/>
          <w:sz w:val="24"/>
          <w:lang w:eastAsia="zh-TW"/>
        </w:rPr>
        <w:t>assist healthcare practitioners’ job tasks</w:t>
      </w:r>
      <w:r w:rsidR="00A67E44" w:rsidRPr="002C29D2">
        <w:rPr>
          <w:rFonts w:ascii="Times New Roman" w:hAnsi="Times New Roman"/>
          <w:iCs/>
          <w:sz w:val="24"/>
          <w:lang w:eastAsia="zh-TW"/>
        </w:rPr>
        <w:t xml:space="preserve"> </w:t>
      </w:r>
      <w:r w:rsidR="00E32DA5" w:rsidRPr="002C29D2">
        <w:rPr>
          <w:rFonts w:ascii="Times New Roman" w:hAnsi="Times New Roman"/>
          <w:iCs/>
          <w:sz w:val="24"/>
          <w:lang w:eastAsia="zh-TW"/>
        </w:rPr>
        <w:t>with</w:t>
      </w:r>
      <w:r w:rsidR="00A67E44" w:rsidRPr="002C29D2">
        <w:rPr>
          <w:rFonts w:ascii="Times New Roman" w:hAnsi="Times New Roman"/>
          <w:iCs/>
          <w:sz w:val="24"/>
          <w:lang w:eastAsia="zh-TW"/>
        </w:rPr>
        <w:t xml:space="preserve"> complex</w:t>
      </w:r>
      <w:r w:rsidR="00E32DA5" w:rsidRPr="002C29D2">
        <w:rPr>
          <w:rFonts w:ascii="Times New Roman" w:hAnsi="Times New Roman"/>
          <w:iCs/>
          <w:sz w:val="24"/>
          <w:lang w:eastAsia="zh-TW"/>
        </w:rPr>
        <w:t xml:space="preserve"> data </w:t>
      </w:r>
      <w:r w:rsidR="00A67E44" w:rsidRPr="002C29D2">
        <w:rPr>
          <w:rFonts w:ascii="Times New Roman" w:hAnsi="Times New Roman"/>
          <w:iCs/>
          <w:sz w:val="24"/>
          <w:lang w:eastAsia="zh-TW"/>
        </w:rPr>
        <w:t xml:space="preserve">aggregation </w:t>
      </w:r>
      <w:r w:rsidR="00E32DA5" w:rsidRPr="002C29D2">
        <w:rPr>
          <w:rFonts w:ascii="Times New Roman" w:hAnsi="Times New Roman"/>
          <w:iCs/>
          <w:sz w:val="24"/>
          <w:lang w:eastAsia="zh-TW"/>
        </w:rPr>
        <w:fldChar w:fldCharType="begin" w:fldLock="1"/>
      </w:r>
      <w:r w:rsidR="00E32DA5" w:rsidRPr="002C29D2">
        <w:rPr>
          <w:rFonts w:ascii="Times New Roman" w:hAnsi="Times New Roman"/>
          <w:iCs/>
          <w:sz w:val="24"/>
          <w:lang w:eastAsia="zh-TW"/>
        </w:rPr>
        <w:instrText>ADDIN CSL_CITATION {"citationItems":[{"id":"ITEM-1","itemData":{"author":[{"dropping-particle":"","family":"Keane","given":"P.A.","non-dropping-particle":"","parse-names":false,"suffix":""},{"dropping-particle":"","family":"Topol","given":"E.J.","non-dropping-particle":"","parse-names":false,"suffix":""}],"container-title":"Npj Digital Medicine","id":"ITEM-1","issue":"40","issued":{"date-parts":[["2018"]]},"title":"With an eye to AI and autonomous diagnosis","type":"article-journal","volume":"1"},"uris":["http://www.mendeley.com/documents/?uuid=dee5a522-e610-4f56-a5d5-88775d30152e"]}],"mendeley":{"formattedCitation":"(Keane &amp; Topol, 2018)","plainTextFormattedCitation":"(Keane &amp; Topol, 2018)","previouslyFormattedCitation":"(Keane and Topol, 2018)"},"properties":{"noteIndex":0},"schema":"https://github.com/citation-style-language/schema/raw/master/csl-citation.json"}</w:instrText>
      </w:r>
      <w:r w:rsidR="00E32DA5" w:rsidRPr="002C29D2">
        <w:rPr>
          <w:rFonts w:ascii="Times New Roman" w:hAnsi="Times New Roman"/>
          <w:iCs/>
          <w:sz w:val="24"/>
          <w:lang w:eastAsia="zh-TW"/>
        </w:rPr>
        <w:fldChar w:fldCharType="separate"/>
      </w:r>
      <w:r w:rsidR="00E32DA5" w:rsidRPr="002C29D2">
        <w:rPr>
          <w:rFonts w:ascii="Times New Roman" w:hAnsi="Times New Roman"/>
          <w:iCs/>
          <w:sz w:val="24"/>
          <w:lang w:eastAsia="zh-TW"/>
        </w:rPr>
        <w:t xml:space="preserve">(Keane </w:t>
      </w:r>
      <w:r w:rsidR="00FC6DE6" w:rsidRPr="002C29D2">
        <w:rPr>
          <w:rFonts w:ascii="Times New Roman" w:hAnsi="Times New Roman"/>
          <w:iCs/>
          <w:sz w:val="24"/>
          <w:lang w:eastAsia="zh-TW"/>
        </w:rPr>
        <w:t>and</w:t>
      </w:r>
      <w:r w:rsidR="00E32DA5" w:rsidRPr="002C29D2">
        <w:rPr>
          <w:rFonts w:ascii="Times New Roman" w:hAnsi="Times New Roman"/>
          <w:iCs/>
          <w:sz w:val="24"/>
          <w:lang w:eastAsia="zh-TW"/>
        </w:rPr>
        <w:t xml:space="preserve"> Topol 2018)</w:t>
      </w:r>
      <w:r w:rsidR="00E32DA5" w:rsidRPr="002C29D2">
        <w:rPr>
          <w:rFonts w:ascii="Times New Roman" w:hAnsi="Times New Roman"/>
          <w:iCs/>
          <w:sz w:val="24"/>
          <w:lang w:eastAsia="zh-TW"/>
        </w:rPr>
        <w:fldChar w:fldCharType="end"/>
      </w:r>
      <w:r w:rsidR="00E32DA5" w:rsidRPr="002C29D2">
        <w:rPr>
          <w:rFonts w:ascii="Times New Roman" w:hAnsi="Times New Roman"/>
          <w:iCs/>
          <w:sz w:val="24"/>
          <w:lang w:eastAsia="zh-TW"/>
        </w:rPr>
        <w:t xml:space="preserve">. However, </w:t>
      </w:r>
      <w:r w:rsidR="00A67E44" w:rsidRPr="002C29D2">
        <w:rPr>
          <w:rFonts w:ascii="Times New Roman" w:hAnsi="Times New Roman"/>
          <w:iCs/>
          <w:sz w:val="24"/>
          <w:lang w:eastAsia="zh-TW"/>
        </w:rPr>
        <w:t xml:space="preserve">its </w:t>
      </w:r>
      <w:r w:rsidR="00E32DA5" w:rsidRPr="002C29D2">
        <w:rPr>
          <w:rFonts w:ascii="Times New Roman" w:hAnsi="Times New Roman"/>
          <w:iCs/>
          <w:sz w:val="24"/>
          <w:lang w:eastAsia="zh-TW"/>
        </w:rPr>
        <w:t>adoption in th</w:t>
      </w:r>
      <w:r w:rsidR="00F4190B" w:rsidRPr="002C29D2">
        <w:rPr>
          <w:rFonts w:ascii="Times New Roman" w:hAnsi="Times New Roman"/>
          <w:iCs/>
          <w:sz w:val="24"/>
          <w:lang w:eastAsia="zh-TW"/>
        </w:rPr>
        <w:t>is</w:t>
      </w:r>
      <w:r w:rsidR="00E32DA5" w:rsidRPr="002C29D2">
        <w:rPr>
          <w:rFonts w:ascii="Times New Roman" w:hAnsi="Times New Roman"/>
          <w:iCs/>
          <w:sz w:val="24"/>
          <w:lang w:eastAsia="zh-TW"/>
        </w:rPr>
        <w:t xml:space="preserve"> industry is still </w:t>
      </w:r>
      <w:r w:rsidR="00CB4F70" w:rsidRPr="002C29D2">
        <w:rPr>
          <w:rFonts w:ascii="Times New Roman" w:hAnsi="Times New Roman"/>
          <w:iCs/>
          <w:sz w:val="24"/>
        </w:rPr>
        <w:t xml:space="preserve">in its infancy. </w:t>
      </w:r>
      <w:r w:rsidR="00E62CD3" w:rsidRPr="002C29D2">
        <w:rPr>
          <w:rFonts w:ascii="Times New Roman" w:hAnsi="Times New Roman"/>
          <w:iCs/>
          <w:sz w:val="24"/>
          <w:lang w:eastAsia="zh-TW"/>
        </w:rPr>
        <w:t xml:space="preserve">This research </w:t>
      </w:r>
      <w:r w:rsidR="00F4190B" w:rsidRPr="002C29D2">
        <w:rPr>
          <w:rFonts w:ascii="Times New Roman" w:hAnsi="Times New Roman"/>
          <w:iCs/>
          <w:sz w:val="24"/>
          <w:lang w:eastAsia="zh-TW"/>
        </w:rPr>
        <w:t>has been</w:t>
      </w:r>
      <w:r w:rsidR="00A67E44" w:rsidRPr="002C29D2">
        <w:rPr>
          <w:rFonts w:ascii="Times New Roman" w:hAnsi="Times New Roman"/>
          <w:iCs/>
          <w:sz w:val="24"/>
          <w:lang w:eastAsia="zh-TW"/>
        </w:rPr>
        <w:t xml:space="preserve"> </w:t>
      </w:r>
      <w:r w:rsidR="00F4190B" w:rsidRPr="002C29D2">
        <w:rPr>
          <w:rFonts w:ascii="Times New Roman" w:hAnsi="Times New Roman"/>
          <w:iCs/>
          <w:sz w:val="24"/>
          <w:lang w:eastAsia="zh-TW"/>
        </w:rPr>
        <w:t>driven</w:t>
      </w:r>
      <w:r w:rsidR="00A67E44" w:rsidRPr="002C29D2">
        <w:rPr>
          <w:rFonts w:ascii="Times New Roman" w:hAnsi="Times New Roman"/>
          <w:iCs/>
          <w:sz w:val="24"/>
          <w:lang w:eastAsia="zh-TW"/>
        </w:rPr>
        <w:t xml:space="preserve"> by </w:t>
      </w:r>
      <w:r w:rsidR="00F4190B" w:rsidRPr="002C29D2">
        <w:rPr>
          <w:rFonts w:ascii="Times New Roman" w:hAnsi="Times New Roman"/>
          <w:iCs/>
          <w:sz w:val="24"/>
          <w:lang w:eastAsia="zh-TW"/>
        </w:rPr>
        <w:t xml:space="preserve">a long </w:t>
      </w:r>
      <w:r w:rsidR="00A67E44" w:rsidRPr="002C29D2">
        <w:rPr>
          <w:rFonts w:ascii="Times New Roman" w:hAnsi="Times New Roman"/>
          <w:iCs/>
          <w:sz w:val="24"/>
          <w:lang w:eastAsia="zh-TW"/>
        </w:rPr>
        <w:t xml:space="preserve">overdue </w:t>
      </w:r>
      <w:r w:rsidR="00E62CD3" w:rsidRPr="002C29D2">
        <w:rPr>
          <w:rFonts w:ascii="Times New Roman" w:hAnsi="Times New Roman"/>
          <w:iCs/>
          <w:sz w:val="24"/>
          <w:lang w:eastAsia="zh-TW"/>
        </w:rPr>
        <w:t xml:space="preserve">need to understand AI technology adoption from </w:t>
      </w:r>
      <w:r w:rsidR="00F4190B" w:rsidRPr="002C29D2">
        <w:rPr>
          <w:rFonts w:ascii="Times New Roman" w:hAnsi="Times New Roman"/>
          <w:iCs/>
          <w:sz w:val="24"/>
          <w:lang w:eastAsia="zh-TW"/>
        </w:rPr>
        <w:t xml:space="preserve">the perspective of </w:t>
      </w:r>
      <w:r w:rsidR="00E62CD3" w:rsidRPr="002C29D2">
        <w:rPr>
          <w:rFonts w:ascii="Times New Roman" w:hAnsi="Times New Roman"/>
          <w:iCs/>
          <w:sz w:val="24"/>
          <w:lang w:eastAsia="zh-TW"/>
        </w:rPr>
        <w:t xml:space="preserve">healthcare practitioner rather than patient </w:t>
      </w:r>
      <w:r w:rsidR="00E62CD3" w:rsidRPr="002C29D2">
        <w:rPr>
          <w:rFonts w:ascii="Times New Roman" w:hAnsi="Times New Roman"/>
          <w:iCs/>
          <w:sz w:val="24"/>
          <w:lang w:eastAsia="zh-TW"/>
        </w:rPr>
        <w:fldChar w:fldCharType="begin" w:fldLock="1"/>
      </w:r>
      <w:r w:rsidR="00E62CD3" w:rsidRPr="002C29D2">
        <w:rPr>
          <w:rFonts w:ascii="Times New Roman" w:hAnsi="Times New Roman"/>
          <w:iCs/>
          <w:sz w:val="24"/>
          <w:lang w:eastAsia="zh-TW"/>
        </w:rPr>
        <w:instrText>ADDIN CSL_CITATION {"citationItems":[{"id":"ITEM-1","itemData":{"author":[{"dropping-particle":"","family":"Nadarzynski","given":"Tom","non-dropping-particle":"","parse-names":false,"suffix":""},{"dropping-particle":"","family":"Miles","given":"Oliver","non-dropping-particle":"","parse-names":false,"suffix":""},{"dropping-particle":"","family":"Cowie","given":"Aimee","non-dropping-particle":"","parse-names":false,"suffix":""},{"dropping-particle":"","family":"Ridge","given":"Damien","non-dropping-particle":"","parse-names":false,"suffix":""}],"container-title":"Digital Health","id":"ITEM-1","issued":{"date-parts":[["2019"]]},"page":"1-12","title":"Acceptability of artificial intelligence (AI)-led chatbot services in healthcare: A mixed-methods study","type":"article-journal","volume":"5"},"uris":["http://www.mendeley.com/documents/?uuid=5ee70514-f264-45c4-a01a-56f722db1e24"]},{"id":"ITEM-2","itemData":{"author":[{"dropping-particle":"","family":"Nadarzynski","given":"T.","non-dropping-particle":"","parse-names":false,"suffix":""},{"dropping-particle":"","family":"Bayley","given":"J.","non-dropping-particle":"","parse-names":false,"suffix":""},{"dropping-particle":"","family":"Llewellyn","given":"C.","non-dropping-particle":"","parse-names":false,"suffix":""},{"dropping-particle":"","family":"Kidsley","given":"S.","non-dropping-particle":"","parse-names":false,"suffix":""},{"dropping-particle":"","family":"Graham","given":"C. A.","non-dropping-particle":"","parse-names":false,"suffix":""}],"container-title":"BMJ sexual &amp; reproductive health","id":"ITEM-2","issued":{"date-parts":[["2020"]]},"title":"Acceptability of artificial intelligence (Ai)-enabled chatbots, video consultations and live webchats as online platforms for sexual health advice","type":"article-journal"},"uris":["http://www.mendeley.com/documents/?uuid=0be63a8a-44c0-40aa-bd27-84b12240f73d"]},{"id":"ITEM-3","itemData":{"author":[{"dropping-particle":"","family":"Tran","given":"V.","non-dropping-particle":"","parse-names":false,"suffix":""},{"dropping-particle":"","family":"Riveros","given":"C.","non-dropping-particle":"","parse-names":false,"suffix":""},{"dropping-particle":"","family":"Ravaud","given":"P.","non-dropping-particle":"","parse-names":false,"suffix":""}],"container-title":"Npj Digital Medicine","id":"ITEM-3","issue":"53","issued":{"date-parts":[["2019"]]},"title":"Patients’ views of wearable devices and AI in healthcare: findings from the ComPaRe e-cohort","type":"article-journal","volume":"2"},"uris":["http://www.mendeley.com/documents/?uuid=1be9175c-3c00-46ba-993c-b435eb452d41"]},{"id":"ITEM-4","itemData":{"author":[{"dropping-particle":"","family":"Yang","given":"H.","non-dropping-particle":"","parse-names":false,"suffix":""},{"dropping-particle":"","family":"Guo","given":"X.","non-dropping-particle":"","parse-names":false,"suffix":""},{"dropping-particle":"","family":"Wu","given":"T.","non-dropping-particle":"","parse-names":false,"suffix":""}],"container-title":"Decision Support Systems","id":"ITEM-4","issue":"1","issued":{"date-parts":[["2015"]]},"page":"113–121","title":"Exploring the influence of the online physician service delivery process on patient satisfaction","type":"article-journal","volume":"78"},"uris":["http://www.mendeley.com/documents/?uuid=f63f0ddd-ee83-4316-8d95-da81f3522dee"]}],"mendeley":{"formattedCitation":"(T. Nadarzynski et al., 2020; Tom Nadarzynski et al., 2019; Tran et al., 2019; Yang et al., 2015)","manualFormatting":"(e.g. Yang et al., 2015; Nadarzynski et al., 2019, 2020; Tran et al., 2019)","plainTextFormattedCitation":"(T. Nadarzynski et al., 2020; Tom Nadarzynski et al., 2019; Tran et al., 2019; Yang et al., 2015)","previouslyFormattedCitation":"(Yang, Guo and Wu, 2015; Nadarzynski &lt;i&gt;et al.&lt;/i&gt;, 2019, 2020; Tran, Riveros and Ravaud, 2019)"},"properties":{"noteIndex":0},"schema":"https://github.com/citation-style-language/schema/raw/master/csl-citation.json"}</w:instrText>
      </w:r>
      <w:r w:rsidR="00E62CD3" w:rsidRPr="002C29D2">
        <w:rPr>
          <w:rFonts w:ascii="Times New Roman" w:hAnsi="Times New Roman"/>
          <w:iCs/>
          <w:sz w:val="24"/>
          <w:lang w:eastAsia="zh-TW"/>
        </w:rPr>
        <w:fldChar w:fldCharType="separate"/>
      </w:r>
      <w:r w:rsidR="00E62CD3" w:rsidRPr="002C29D2">
        <w:rPr>
          <w:rFonts w:ascii="Times New Roman" w:hAnsi="Times New Roman"/>
          <w:iCs/>
          <w:sz w:val="24"/>
          <w:lang w:eastAsia="zh-TW"/>
        </w:rPr>
        <w:t>(</w:t>
      </w:r>
      <w:r w:rsidR="00FC6DE6" w:rsidRPr="002C29D2">
        <w:rPr>
          <w:rFonts w:ascii="Times New Roman" w:hAnsi="Times New Roman"/>
          <w:iCs/>
          <w:sz w:val="24"/>
          <w:lang w:eastAsia="zh-TW"/>
        </w:rPr>
        <w:t>Yang et al. 2015</w:t>
      </w:r>
      <w:r w:rsidR="00CB4F70" w:rsidRPr="002C29D2">
        <w:rPr>
          <w:rFonts w:ascii="Times New Roman" w:hAnsi="Times New Roman"/>
          <w:iCs/>
          <w:sz w:val="24"/>
          <w:lang w:eastAsia="zh-TW"/>
        </w:rPr>
        <w:t>; Tran et al. 2019</w:t>
      </w:r>
      <w:r w:rsidR="00151882" w:rsidRPr="002C29D2">
        <w:rPr>
          <w:rFonts w:ascii="Times New Roman" w:hAnsi="Times New Roman"/>
          <w:iCs/>
          <w:sz w:val="24"/>
          <w:lang w:eastAsia="zh-TW"/>
        </w:rPr>
        <w:t>; Nadarzynski et al. 2019, 2020</w:t>
      </w:r>
      <w:r w:rsidR="00E62CD3" w:rsidRPr="002C29D2">
        <w:rPr>
          <w:rFonts w:ascii="Times New Roman" w:hAnsi="Times New Roman"/>
          <w:iCs/>
          <w:sz w:val="24"/>
          <w:lang w:eastAsia="zh-TW"/>
        </w:rPr>
        <w:t>)</w:t>
      </w:r>
      <w:r w:rsidR="00E62CD3" w:rsidRPr="002C29D2">
        <w:rPr>
          <w:rFonts w:ascii="Times New Roman" w:hAnsi="Times New Roman"/>
          <w:iCs/>
          <w:sz w:val="24"/>
          <w:lang w:eastAsia="zh-TW"/>
        </w:rPr>
        <w:fldChar w:fldCharType="end"/>
      </w:r>
      <w:r w:rsidR="00E62CD3" w:rsidRPr="002C29D2">
        <w:rPr>
          <w:rFonts w:ascii="Times New Roman" w:hAnsi="Times New Roman"/>
          <w:iCs/>
          <w:sz w:val="24"/>
          <w:lang w:eastAsia="zh-TW"/>
        </w:rPr>
        <w:t xml:space="preserve">. </w:t>
      </w:r>
      <w:r w:rsidR="00AC21BA" w:rsidRPr="002C29D2">
        <w:rPr>
          <w:rFonts w:ascii="Times New Roman" w:hAnsi="Times New Roman"/>
          <w:iCs/>
          <w:sz w:val="24"/>
          <w:lang w:eastAsia="zh-TW"/>
        </w:rPr>
        <w:t>Understanding the five key responsible AI signals tend</w:t>
      </w:r>
      <w:r w:rsidR="00A67E44" w:rsidRPr="002C29D2">
        <w:rPr>
          <w:rFonts w:ascii="Times New Roman" w:hAnsi="Times New Roman"/>
          <w:iCs/>
          <w:sz w:val="24"/>
          <w:lang w:eastAsia="zh-TW"/>
        </w:rPr>
        <w:t>s</w:t>
      </w:r>
      <w:r w:rsidR="00AC21BA" w:rsidRPr="002C29D2">
        <w:rPr>
          <w:rFonts w:ascii="Times New Roman" w:hAnsi="Times New Roman"/>
          <w:iCs/>
          <w:sz w:val="24"/>
          <w:lang w:eastAsia="zh-TW"/>
        </w:rPr>
        <w:t xml:space="preserve"> to bring societal benefits</w:t>
      </w:r>
      <w:r w:rsidR="006375CF" w:rsidRPr="002C29D2">
        <w:rPr>
          <w:rFonts w:ascii="Times New Roman" w:hAnsi="Times New Roman"/>
          <w:iCs/>
          <w:sz w:val="24"/>
          <w:lang w:eastAsia="zh-TW"/>
        </w:rPr>
        <w:t xml:space="preserve"> and </w:t>
      </w:r>
      <w:r w:rsidR="00AC21BA" w:rsidRPr="002C29D2">
        <w:rPr>
          <w:rFonts w:ascii="Times New Roman" w:hAnsi="Times New Roman"/>
          <w:iCs/>
          <w:sz w:val="24"/>
          <w:lang w:eastAsia="zh-TW"/>
        </w:rPr>
        <w:t xml:space="preserve">generate hope for practitioners. Hospitals </w:t>
      </w:r>
      <w:r w:rsidR="006375CF" w:rsidRPr="002C29D2">
        <w:rPr>
          <w:rFonts w:ascii="Times New Roman" w:hAnsi="Times New Roman"/>
          <w:iCs/>
          <w:sz w:val="24"/>
          <w:lang w:eastAsia="zh-TW"/>
        </w:rPr>
        <w:t xml:space="preserve">should </w:t>
      </w:r>
      <w:r w:rsidR="00AC21BA" w:rsidRPr="002C29D2">
        <w:rPr>
          <w:rFonts w:ascii="Times New Roman" w:hAnsi="Times New Roman"/>
          <w:iCs/>
          <w:sz w:val="24"/>
          <w:lang w:eastAsia="zh-TW"/>
        </w:rPr>
        <w:t>build</w:t>
      </w:r>
      <w:r w:rsidR="006375CF" w:rsidRPr="002C29D2">
        <w:rPr>
          <w:rFonts w:ascii="Times New Roman" w:hAnsi="Times New Roman"/>
          <w:iCs/>
          <w:sz w:val="24"/>
          <w:lang w:eastAsia="zh-TW"/>
        </w:rPr>
        <w:t xml:space="preserve"> </w:t>
      </w:r>
      <w:r w:rsidR="00AC21BA" w:rsidRPr="002C29D2">
        <w:rPr>
          <w:rFonts w:ascii="Times New Roman" w:hAnsi="Times New Roman"/>
          <w:iCs/>
          <w:sz w:val="24"/>
          <w:lang w:eastAsia="zh-TW"/>
        </w:rPr>
        <w:t>responsible AI system</w:t>
      </w:r>
      <w:r w:rsidR="00A67E44" w:rsidRPr="002C29D2">
        <w:rPr>
          <w:rFonts w:ascii="Times New Roman" w:hAnsi="Times New Roman"/>
          <w:iCs/>
          <w:sz w:val="24"/>
          <w:lang w:eastAsia="zh-TW"/>
        </w:rPr>
        <w:t>s</w:t>
      </w:r>
      <w:r w:rsidR="006375CF" w:rsidRPr="002C29D2">
        <w:rPr>
          <w:rFonts w:ascii="Times New Roman" w:hAnsi="Times New Roman"/>
          <w:iCs/>
          <w:sz w:val="24"/>
          <w:lang w:eastAsia="zh-TW"/>
        </w:rPr>
        <w:t xml:space="preserve"> by </w:t>
      </w:r>
      <w:r w:rsidR="00E62CD3" w:rsidRPr="002C29D2">
        <w:rPr>
          <w:rFonts w:ascii="Times New Roman" w:hAnsi="Times New Roman"/>
          <w:iCs/>
          <w:sz w:val="24"/>
          <w:lang w:eastAsia="zh-TW"/>
        </w:rPr>
        <w:t>emphasiz</w:t>
      </w:r>
      <w:r w:rsidR="006375CF" w:rsidRPr="002C29D2">
        <w:rPr>
          <w:rFonts w:ascii="Times New Roman" w:hAnsi="Times New Roman"/>
          <w:iCs/>
          <w:sz w:val="24"/>
          <w:lang w:eastAsia="zh-TW"/>
        </w:rPr>
        <w:t>ing</w:t>
      </w:r>
      <w:r w:rsidR="00E62CD3" w:rsidRPr="002C29D2">
        <w:rPr>
          <w:rFonts w:ascii="Times New Roman" w:hAnsi="Times New Roman"/>
          <w:iCs/>
          <w:sz w:val="24"/>
          <w:lang w:eastAsia="zh-TW"/>
        </w:rPr>
        <w:t xml:space="preserve"> </w:t>
      </w:r>
      <w:r w:rsidR="00E32DA5" w:rsidRPr="002C29D2">
        <w:rPr>
          <w:rFonts w:ascii="Times New Roman" w:hAnsi="Times New Roman"/>
          <w:iCs/>
          <w:sz w:val="24"/>
          <w:lang w:eastAsia="zh-TW"/>
        </w:rPr>
        <w:t xml:space="preserve">autonomy, beneficence, </w:t>
      </w:r>
      <w:r w:rsidR="00977D30" w:rsidRPr="002C29D2">
        <w:rPr>
          <w:rFonts w:ascii="Times New Roman" w:hAnsi="Times New Roman"/>
          <w:iCs/>
          <w:sz w:val="24"/>
          <w:lang w:eastAsia="zh-TW"/>
        </w:rPr>
        <w:t>and non-maleficence</w:t>
      </w:r>
      <w:r w:rsidR="00A67E44" w:rsidRPr="002C29D2">
        <w:rPr>
          <w:rFonts w:ascii="Times New Roman" w:hAnsi="Times New Roman"/>
          <w:iCs/>
          <w:sz w:val="24"/>
          <w:lang w:eastAsia="zh-TW"/>
        </w:rPr>
        <w:t>,</w:t>
      </w:r>
      <w:r w:rsidR="00977D30" w:rsidRPr="002C29D2">
        <w:rPr>
          <w:rFonts w:ascii="Times New Roman" w:hAnsi="Times New Roman"/>
          <w:iCs/>
          <w:sz w:val="24"/>
          <w:lang w:eastAsia="zh-TW"/>
        </w:rPr>
        <w:t xml:space="preserve"> and </w:t>
      </w:r>
      <w:r w:rsidR="004D1EE5" w:rsidRPr="002C29D2">
        <w:rPr>
          <w:rFonts w:ascii="Times New Roman" w:hAnsi="Times New Roman"/>
          <w:iCs/>
          <w:sz w:val="24"/>
          <w:lang w:eastAsia="zh-TW"/>
        </w:rPr>
        <w:t xml:space="preserve">perhaps </w:t>
      </w:r>
      <w:r w:rsidR="00977D30" w:rsidRPr="002C29D2">
        <w:rPr>
          <w:rFonts w:ascii="Times New Roman" w:hAnsi="Times New Roman"/>
          <w:iCs/>
          <w:sz w:val="24"/>
          <w:lang w:eastAsia="zh-TW"/>
        </w:rPr>
        <w:t>mo</w:t>
      </w:r>
      <w:r w:rsidR="004D1EE5" w:rsidRPr="002C29D2">
        <w:rPr>
          <w:rFonts w:ascii="Times New Roman" w:hAnsi="Times New Roman"/>
          <w:iCs/>
          <w:sz w:val="24"/>
          <w:lang w:eastAsia="zh-TW"/>
        </w:rPr>
        <w:t>re</w:t>
      </w:r>
      <w:r w:rsidR="00977D30" w:rsidRPr="002C29D2">
        <w:rPr>
          <w:rFonts w:ascii="Times New Roman" w:hAnsi="Times New Roman"/>
          <w:iCs/>
          <w:sz w:val="24"/>
          <w:lang w:eastAsia="zh-TW"/>
        </w:rPr>
        <w:t xml:space="preserve"> importantly</w:t>
      </w:r>
      <w:r w:rsidR="004D1EE5" w:rsidRPr="002C29D2">
        <w:rPr>
          <w:rFonts w:ascii="Times New Roman" w:hAnsi="Times New Roman"/>
          <w:iCs/>
          <w:sz w:val="24"/>
          <w:lang w:eastAsia="zh-TW"/>
        </w:rPr>
        <w:t>,</w:t>
      </w:r>
      <w:r w:rsidR="00977D30" w:rsidRPr="002C29D2">
        <w:rPr>
          <w:rFonts w:ascii="Times New Roman" w:hAnsi="Times New Roman"/>
          <w:iCs/>
          <w:sz w:val="24"/>
          <w:lang w:eastAsia="zh-TW"/>
        </w:rPr>
        <w:t xml:space="preserve"> draw healthcare practitioners’ attention </w:t>
      </w:r>
      <w:r w:rsidR="00FC6DE6" w:rsidRPr="002C29D2">
        <w:rPr>
          <w:rFonts w:ascii="Times New Roman" w:hAnsi="Times New Roman"/>
          <w:iCs/>
          <w:sz w:val="24"/>
          <w:lang w:eastAsia="zh-TW"/>
        </w:rPr>
        <w:t>to</w:t>
      </w:r>
      <w:r w:rsidR="004D1EE5" w:rsidRPr="002C29D2">
        <w:rPr>
          <w:rFonts w:ascii="Times New Roman" w:hAnsi="Times New Roman"/>
          <w:iCs/>
          <w:sz w:val="24"/>
          <w:lang w:eastAsia="zh-TW"/>
        </w:rPr>
        <w:t xml:space="preserve"> AI </w:t>
      </w:r>
      <w:r w:rsidR="00E32DA5" w:rsidRPr="002C29D2">
        <w:rPr>
          <w:rFonts w:ascii="Times New Roman" w:hAnsi="Times New Roman"/>
          <w:iCs/>
          <w:sz w:val="24"/>
          <w:lang w:eastAsia="zh-TW"/>
        </w:rPr>
        <w:t>explainability</w:t>
      </w:r>
      <w:r w:rsidR="00977D30" w:rsidRPr="002C29D2">
        <w:rPr>
          <w:rFonts w:ascii="Times New Roman" w:hAnsi="Times New Roman"/>
          <w:iCs/>
          <w:sz w:val="24"/>
          <w:lang w:eastAsia="zh-TW"/>
        </w:rPr>
        <w:t xml:space="preserve"> and </w:t>
      </w:r>
      <w:r w:rsidR="00E32DA5" w:rsidRPr="002C29D2">
        <w:rPr>
          <w:rFonts w:ascii="Times New Roman" w:hAnsi="Times New Roman"/>
          <w:iCs/>
          <w:sz w:val="24"/>
          <w:lang w:eastAsia="zh-TW"/>
        </w:rPr>
        <w:t>justice</w:t>
      </w:r>
      <w:r w:rsidR="00977D30" w:rsidRPr="002C29D2">
        <w:rPr>
          <w:rFonts w:ascii="Times New Roman" w:hAnsi="Times New Roman"/>
          <w:iCs/>
          <w:sz w:val="24"/>
          <w:lang w:eastAsia="zh-TW"/>
        </w:rPr>
        <w:t xml:space="preserve">. </w:t>
      </w:r>
      <w:r w:rsidR="0038048B" w:rsidRPr="002C29D2">
        <w:rPr>
          <w:rFonts w:ascii="Times New Roman" w:hAnsi="Times New Roman"/>
          <w:iCs/>
          <w:sz w:val="24"/>
          <w:lang w:eastAsia="zh-TW"/>
        </w:rPr>
        <w:t>This might be done through internal communication</w:t>
      </w:r>
      <w:r w:rsidR="004D1EE5" w:rsidRPr="002C29D2">
        <w:rPr>
          <w:rFonts w:ascii="Times New Roman" w:hAnsi="Times New Roman"/>
          <w:iCs/>
          <w:sz w:val="24"/>
          <w:lang w:eastAsia="zh-TW"/>
        </w:rPr>
        <w:t>s</w:t>
      </w:r>
      <w:r w:rsidR="0038048B" w:rsidRPr="002C29D2">
        <w:rPr>
          <w:rFonts w:ascii="Times New Roman" w:hAnsi="Times New Roman"/>
          <w:iCs/>
          <w:sz w:val="24"/>
          <w:lang w:eastAsia="zh-TW"/>
        </w:rPr>
        <w:t xml:space="preserve"> </w:t>
      </w:r>
      <w:r w:rsidR="004D1EE5" w:rsidRPr="002C29D2">
        <w:rPr>
          <w:rFonts w:ascii="Times New Roman" w:hAnsi="Times New Roman"/>
          <w:iCs/>
          <w:sz w:val="24"/>
          <w:lang w:eastAsia="zh-TW"/>
        </w:rPr>
        <w:t>or</w:t>
      </w:r>
      <w:r w:rsidR="0038048B" w:rsidRPr="002C29D2">
        <w:rPr>
          <w:rFonts w:ascii="Times New Roman" w:hAnsi="Times New Roman"/>
          <w:iCs/>
          <w:sz w:val="24"/>
          <w:lang w:eastAsia="zh-TW"/>
        </w:rPr>
        <w:t xml:space="preserve"> appropriate training</w:t>
      </w:r>
      <w:r w:rsidR="006375CF" w:rsidRPr="002C29D2">
        <w:rPr>
          <w:rFonts w:ascii="Times New Roman" w:hAnsi="Times New Roman"/>
          <w:iCs/>
          <w:sz w:val="24"/>
          <w:lang w:eastAsia="zh-TW"/>
        </w:rPr>
        <w:t xml:space="preserve"> </w:t>
      </w:r>
      <w:r w:rsidR="004D1EE5" w:rsidRPr="002C29D2">
        <w:rPr>
          <w:rFonts w:ascii="Times New Roman" w:hAnsi="Times New Roman"/>
          <w:iCs/>
          <w:sz w:val="24"/>
          <w:lang w:eastAsia="zh-TW"/>
        </w:rPr>
        <w:t xml:space="preserve">with the aim of </w:t>
      </w:r>
      <w:r w:rsidR="006375CF" w:rsidRPr="002C29D2">
        <w:rPr>
          <w:rFonts w:ascii="Times New Roman" w:hAnsi="Times New Roman"/>
          <w:iCs/>
          <w:sz w:val="24"/>
          <w:lang w:eastAsia="zh-TW"/>
        </w:rPr>
        <w:t>eliminat</w:t>
      </w:r>
      <w:r w:rsidR="004D1EE5" w:rsidRPr="002C29D2">
        <w:rPr>
          <w:rFonts w:ascii="Times New Roman" w:hAnsi="Times New Roman"/>
          <w:iCs/>
          <w:sz w:val="24"/>
          <w:lang w:eastAsia="zh-TW"/>
        </w:rPr>
        <w:t>ing</w:t>
      </w:r>
      <w:r w:rsidR="006375CF" w:rsidRPr="002C29D2">
        <w:rPr>
          <w:rFonts w:ascii="Times New Roman" w:hAnsi="Times New Roman"/>
          <w:iCs/>
          <w:sz w:val="24"/>
          <w:lang w:eastAsia="zh-TW"/>
        </w:rPr>
        <w:t xml:space="preserve"> practitioners’ </w:t>
      </w:r>
      <w:r w:rsidR="004D1EE5" w:rsidRPr="002C29D2">
        <w:rPr>
          <w:rFonts w:ascii="Times New Roman" w:hAnsi="Times New Roman"/>
          <w:iCs/>
          <w:sz w:val="24"/>
          <w:lang w:eastAsia="zh-TW"/>
        </w:rPr>
        <w:t xml:space="preserve">reticence </w:t>
      </w:r>
      <w:r w:rsidR="00F4190B" w:rsidRPr="002C29D2">
        <w:rPr>
          <w:rFonts w:ascii="Times New Roman" w:hAnsi="Times New Roman"/>
          <w:iCs/>
          <w:sz w:val="24"/>
          <w:lang w:eastAsia="zh-TW"/>
        </w:rPr>
        <w:t xml:space="preserve">with or fear of </w:t>
      </w:r>
      <w:r w:rsidR="006375CF" w:rsidRPr="002C29D2">
        <w:rPr>
          <w:rFonts w:ascii="Times New Roman" w:hAnsi="Times New Roman"/>
          <w:iCs/>
          <w:sz w:val="24"/>
          <w:lang w:eastAsia="zh-TW"/>
        </w:rPr>
        <w:t>AI technology</w:t>
      </w:r>
      <w:r w:rsidR="0038048B" w:rsidRPr="002C29D2">
        <w:rPr>
          <w:rFonts w:ascii="Times New Roman" w:hAnsi="Times New Roman"/>
          <w:iCs/>
          <w:sz w:val="24"/>
          <w:lang w:eastAsia="zh-TW"/>
        </w:rPr>
        <w:t xml:space="preserve">. </w:t>
      </w:r>
    </w:p>
    <w:p w14:paraId="5F4F951E" w14:textId="2C884CC9" w:rsidR="00553690" w:rsidRPr="002C29D2" w:rsidRDefault="007F5242" w:rsidP="007F5242">
      <w:pPr>
        <w:pStyle w:val="NoSpacing"/>
        <w:spacing w:line="480" w:lineRule="auto"/>
        <w:ind w:firstLine="0"/>
        <w:rPr>
          <w:rFonts w:ascii="Times New Roman" w:hAnsi="Times New Roman"/>
          <w:iCs/>
          <w:sz w:val="24"/>
          <w:lang w:eastAsia="zh-TW"/>
        </w:rPr>
      </w:pPr>
      <w:r w:rsidRPr="002C29D2">
        <w:rPr>
          <w:rFonts w:ascii="Times New Roman" w:hAnsi="Times New Roman"/>
          <w:iCs/>
          <w:sz w:val="24"/>
          <w:lang w:eastAsia="zh-TW"/>
        </w:rPr>
        <w:t xml:space="preserve">        </w:t>
      </w:r>
      <w:r w:rsidR="0038048B" w:rsidRPr="002C29D2">
        <w:rPr>
          <w:rFonts w:ascii="Times New Roman" w:hAnsi="Times New Roman"/>
          <w:iCs/>
          <w:sz w:val="24"/>
          <w:lang w:eastAsia="zh-TW"/>
        </w:rPr>
        <w:t xml:space="preserve">Accordingly, </w:t>
      </w:r>
      <w:r w:rsidR="001634E0" w:rsidRPr="002C29D2">
        <w:rPr>
          <w:rFonts w:ascii="Times New Roman" w:hAnsi="Times New Roman"/>
          <w:iCs/>
          <w:sz w:val="24"/>
          <w:lang w:eastAsia="zh-TW"/>
        </w:rPr>
        <w:t xml:space="preserve">hospital managers and AI developers should </w:t>
      </w:r>
      <w:r w:rsidR="00F4190B" w:rsidRPr="002C29D2">
        <w:rPr>
          <w:rFonts w:ascii="Times New Roman" w:hAnsi="Times New Roman"/>
          <w:iCs/>
          <w:sz w:val="24"/>
          <w:lang w:eastAsia="zh-TW"/>
        </w:rPr>
        <w:t>en</w:t>
      </w:r>
      <w:r w:rsidR="001634E0" w:rsidRPr="002C29D2">
        <w:rPr>
          <w:rFonts w:ascii="Times New Roman" w:hAnsi="Times New Roman"/>
          <w:iCs/>
          <w:sz w:val="24"/>
          <w:lang w:eastAsia="zh-TW"/>
        </w:rPr>
        <w:t xml:space="preserve">sure that algorithms are free </w:t>
      </w:r>
      <w:r w:rsidR="00F4190B" w:rsidRPr="002C29D2">
        <w:rPr>
          <w:rFonts w:ascii="Times New Roman" w:hAnsi="Times New Roman"/>
          <w:iCs/>
          <w:sz w:val="24"/>
          <w:lang w:eastAsia="zh-TW"/>
        </w:rPr>
        <w:t>from</w:t>
      </w:r>
      <w:r w:rsidR="003C35B7" w:rsidRPr="002C29D2">
        <w:rPr>
          <w:rFonts w:ascii="Times New Roman" w:hAnsi="Times New Roman"/>
          <w:iCs/>
          <w:sz w:val="24"/>
          <w:lang w:eastAsia="zh-TW"/>
        </w:rPr>
        <w:t xml:space="preserve"> the</w:t>
      </w:r>
      <w:r w:rsidR="001634E0" w:rsidRPr="002C29D2">
        <w:rPr>
          <w:rFonts w:ascii="Times New Roman" w:hAnsi="Times New Roman"/>
          <w:iCs/>
          <w:sz w:val="24"/>
          <w:lang w:eastAsia="zh-TW"/>
        </w:rPr>
        <w:t xml:space="preserve"> </w:t>
      </w:r>
      <w:r w:rsidR="00F4190B" w:rsidRPr="002C29D2">
        <w:rPr>
          <w:rFonts w:ascii="Times New Roman" w:hAnsi="Times New Roman"/>
          <w:iCs/>
          <w:sz w:val="24"/>
          <w:lang w:eastAsia="zh-TW"/>
        </w:rPr>
        <w:t xml:space="preserve">potential for </w:t>
      </w:r>
      <w:r w:rsidR="001634E0" w:rsidRPr="002C29D2">
        <w:rPr>
          <w:rFonts w:ascii="Times New Roman" w:hAnsi="Times New Roman"/>
          <w:iCs/>
          <w:sz w:val="24"/>
          <w:lang w:eastAsia="zh-TW"/>
        </w:rPr>
        <w:t>discrimination</w:t>
      </w:r>
      <w:r w:rsidR="00F4190B" w:rsidRPr="002C29D2">
        <w:rPr>
          <w:rFonts w:ascii="Times New Roman" w:hAnsi="Times New Roman"/>
          <w:sz w:val="24"/>
        </w:rPr>
        <w:t xml:space="preserve">, with </w:t>
      </w:r>
      <w:r w:rsidR="001634E0" w:rsidRPr="002C29D2">
        <w:rPr>
          <w:rFonts w:ascii="Times New Roman" w:hAnsi="Times New Roman"/>
          <w:sz w:val="24"/>
        </w:rPr>
        <w:t xml:space="preserve">practitioners able to eliminate </w:t>
      </w:r>
      <w:r w:rsidR="00F4190B" w:rsidRPr="002C29D2">
        <w:rPr>
          <w:rFonts w:ascii="Times New Roman" w:hAnsi="Times New Roman"/>
          <w:sz w:val="24"/>
        </w:rPr>
        <w:t xml:space="preserve">treatment disparity, which will </w:t>
      </w:r>
      <w:r w:rsidR="001634E0" w:rsidRPr="002C29D2">
        <w:rPr>
          <w:rFonts w:ascii="Times New Roman" w:hAnsi="Times New Roman"/>
          <w:sz w:val="24"/>
        </w:rPr>
        <w:t xml:space="preserve">improve their engagement. </w:t>
      </w:r>
      <w:r w:rsidR="00F4190B" w:rsidRPr="002C29D2">
        <w:rPr>
          <w:rFonts w:ascii="Times New Roman" w:hAnsi="Times New Roman"/>
          <w:sz w:val="24"/>
        </w:rPr>
        <w:t>They</w:t>
      </w:r>
      <w:r w:rsidR="001634E0" w:rsidRPr="002C29D2">
        <w:rPr>
          <w:rFonts w:ascii="Times New Roman" w:hAnsi="Times New Roman"/>
          <w:sz w:val="24"/>
        </w:rPr>
        <w:t xml:space="preserve"> may need to be </w:t>
      </w:r>
      <w:r w:rsidR="00F4190B" w:rsidRPr="002C29D2">
        <w:rPr>
          <w:rFonts w:ascii="Times New Roman" w:hAnsi="Times New Roman"/>
          <w:sz w:val="24"/>
        </w:rPr>
        <w:t xml:space="preserve">instructed on the potential for </w:t>
      </w:r>
      <w:r w:rsidR="001634E0" w:rsidRPr="002C29D2">
        <w:rPr>
          <w:rFonts w:ascii="Times New Roman" w:hAnsi="Times New Roman"/>
          <w:sz w:val="24"/>
        </w:rPr>
        <w:t xml:space="preserve">AI </w:t>
      </w:r>
      <w:r w:rsidR="00F4190B" w:rsidRPr="002C29D2">
        <w:rPr>
          <w:rFonts w:ascii="Times New Roman" w:hAnsi="Times New Roman"/>
          <w:sz w:val="24"/>
        </w:rPr>
        <w:t xml:space="preserve">to </w:t>
      </w:r>
      <w:r w:rsidR="001634E0" w:rsidRPr="002C29D2">
        <w:rPr>
          <w:rFonts w:ascii="Times New Roman" w:hAnsi="Times New Roman"/>
          <w:sz w:val="24"/>
        </w:rPr>
        <w:t>protect patient identit</w:t>
      </w:r>
      <w:r w:rsidR="00FC6DE6" w:rsidRPr="002C29D2">
        <w:rPr>
          <w:rFonts w:ascii="Times New Roman" w:hAnsi="Times New Roman"/>
          <w:sz w:val="24"/>
        </w:rPr>
        <w:t>ies</w:t>
      </w:r>
      <w:r w:rsidR="00F4190B" w:rsidRPr="002C29D2">
        <w:rPr>
          <w:rFonts w:ascii="Times New Roman" w:hAnsi="Times New Roman"/>
          <w:sz w:val="24"/>
        </w:rPr>
        <w:t>.</w:t>
      </w:r>
      <w:r w:rsidR="001634E0" w:rsidRPr="002C29D2">
        <w:rPr>
          <w:rFonts w:ascii="Times New Roman" w:hAnsi="Times New Roman"/>
          <w:sz w:val="24"/>
        </w:rPr>
        <w:t xml:space="preserve"> </w:t>
      </w:r>
      <w:r w:rsidR="003C35B7" w:rsidRPr="002C29D2">
        <w:rPr>
          <w:rFonts w:ascii="Times New Roman" w:hAnsi="Times New Roman"/>
          <w:sz w:val="24"/>
        </w:rPr>
        <w:t>Their inductions may include demonstrations on how it</w:t>
      </w:r>
      <w:r w:rsidR="001634E0" w:rsidRPr="002C29D2">
        <w:rPr>
          <w:rFonts w:ascii="Times New Roman" w:hAnsi="Times New Roman"/>
          <w:sz w:val="24"/>
        </w:rPr>
        <w:t xml:space="preserve"> assist</w:t>
      </w:r>
      <w:r w:rsidR="00FC6DE6" w:rsidRPr="002C29D2">
        <w:rPr>
          <w:rFonts w:ascii="Times New Roman" w:hAnsi="Times New Roman"/>
          <w:sz w:val="24"/>
        </w:rPr>
        <w:t>s</w:t>
      </w:r>
      <w:r w:rsidR="001634E0" w:rsidRPr="002C29D2">
        <w:rPr>
          <w:rFonts w:ascii="Times New Roman" w:hAnsi="Times New Roman"/>
          <w:sz w:val="24"/>
        </w:rPr>
        <w:t xml:space="preserve"> </w:t>
      </w:r>
      <w:r w:rsidR="003C35B7" w:rsidRPr="002C29D2">
        <w:rPr>
          <w:rFonts w:ascii="Times New Roman" w:hAnsi="Times New Roman"/>
          <w:sz w:val="24"/>
        </w:rPr>
        <w:t xml:space="preserve">rather than impairs </w:t>
      </w:r>
      <w:r w:rsidR="001634E0" w:rsidRPr="002C29D2">
        <w:rPr>
          <w:rFonts w:ascii="Times New Roman" w:hAnsi="Times New Roman"/>
          <w:sz w:val="24"/>
        </w:rPr>
        <w:t>their decision</w:t>
      </w:r>
      <w:r w:rsidR="00FC6DE6" w:rsidRPr="002C29D2">
        <w:rPr>
          <w:rFonts w:ascii="Times New Roman" w:hAnsi="Times New Roman"/>
          <w:sz w:val="24"/>
        </w:rPr>
        <w:t>-</w:t>
      </w:r>
      <w:r w:rsidR="001634E0" w:rsidRPr="002C29D2">
        <w:rPr>
          <w:rFonts w:ascii="Times New Roman" w:hAnsi="Times New Roman"/>
          <w:sz w:val="24"/>
        </w:rPr>
        <w:t xml:space="preserve">making </w:t>
      </w:r>
      <w:r w:rsidR="00FC6DE6" w:rsidRPr="002C29D2">
        <w:rPr>
          <w:rFonts w:ascii="Times New Roman" w:hAnsi="Times New Roman"/>
          <w:sz w:val="24"/>
        </w:rPr>
        <w:t>abilit</w:t>
      </w:r>
      <w:r w:rsidR="003C35B7" w:rsidRPr="002C29D2">
        <w:rPr>
          <w:rFonts w:ascii="Times New Roman" w:hAnsi="Times New Roman"/>
          <w:sz w:val="24"/>
        </w:rPr>
        <w:t>y</w:t>
      </w:r>
      <w:r w:rsidR="00FC6DE6" w:rsidRPr="002C29D2">
        <w:rPr>
          <w:rFonts w:ascii="Times New Roman" w:hAnsi="Times New Roman"/>
          <w:sz w:val="24"/>
        </w:rPr>
        <w:t xml:space="preserve"> </w:t>
      </w:r>
      <w:r w:rsidR="003C35B7" w:rsidRPr="002C29D2">
        <w:rPr>
          <w:rFonts w:ascii="Times New Roman" w:hAnsi="Times New Roman"/>
          <w:sz w:val="24"/>
        </w:rPr>
        <w:t>and</w:t>
      </w:r>
      <w:r w:rsidR="001634E0" w:rsidRPr="002C29D2">
        <w:rPr>
          <w:rFonts w:ascii="Times New Roman" w:hAnsi="Times New Roman"/>
          <w:sz w:val="24"/>
        </w:rPr>
        <w:t xml:space="preserve"> power. </w:t>
      </w:r>
      <w:r w:rsidR="0073283E" w:rsidRPr="002C29D2">
        <w:rPr>
          <w:rFonts w:ascii="Times New Roman" w:hAnsi="Times New Roman"/>
          <w:sz w:val="24"/>
        </w:rPr>
        <w:t>At</w:t>
      </w:r>
      <w:r w:rsidR="001634E0" w:rsidRPr="002C29D2">
        <w:rPr>
          <w:rFonts w:ascii="Times New Roman" w:hAnsi="Times New Roman"/>
          <w:sz w:val="24"/>
        </w:rPr>
        <w:t xml:space="preserve"> the technical level, AI developers should </w:t>
      </w:r>
      <w:r w:rsidR="001114F2" w:rsidRPr="002C29D2">
        <w:rPr>
          <w:rFonts w:ascii="Times New Roman" w:hAnsi="Times New Roman"/>
          <w:sz w:val="24"/>
        </w:rPr>
        <w:t>en</w:t>
      </w:r>
      <w:r w:rsidR="001634E0" w:rsidRPr="002C29D2">
        <w:rPr>
          <w:rFonts w:ascii="Times New Roman" w:hAnsi="Times New Roman"/>
          <w:sz w:val="24"/>
        </w:rPr>
        <w:t xml:space="preserve">sure </w:t>
      </w:r>
      <w:r w:rsidR="003C35B7" w:rsidRPr="002C29D2">
        <w:rPr>
          <w:rFonts w:ascii="Times New Roman" w:hAnsi="Times New Roman"/>
          <w:sz w:val="24"/>
        </w:rPr>
        <w:t>all</w:t>
      </w:r>
      <w:r w:rsidR="001634E0" w:rsidRPr="002C29D2">
        <w:rPr>
          <w:rFonts w:ascii="Times New Roman" w:hAnsi="Times New Roman"/>
          <w:sz w:val="24"/>
        </w:rPr>
        <w:t xml:space="preserve"> </w:t>
      </w:r>
      <w:r w:rsidR="001114F2" w:rsidRPr="002C29D2">
        <w:rPr>
          <w:rFonts w:ascii="Times New Roman" w:hAnsi="Times New Roman"/>
          <w:sz w:val="24"/>
        </w:rPr>
        <w:t xml:space="preserve">mechanisms are </w:t>
      </w:r>
      <w:r w:rsidR="001634E0" w:rsidRPr="002C29D2">
        <w:rPr>
          <w:rFonts w:ascii="Times New Roman" w:hAnsi="Times New Roman"/>
          <w:sz w:val="24"/>
        </w:rPr>
        <w:t>as transparent as possible</w:t>
      </w:r>
      <w:r w:rsidR="003C35B7" w:rsidRPr="002C29D2">
        <w:rPr>
          <w:rFonts w:ascii="Times New Roman" w:hAnsi="Times New Roman"/>
          <w:sz w:val="24"/>
        </w:rPr>
        <w:t>,</w:t>
      </w:r>
      <w:r w:rsidR="001634E0" w:rsidRPr="002C29D2">
        <w:rPr>
          <w:rFonts w:ascii="Times New Roman" w:hAnsi="Times New Roman"/>
          <w:sz w:val="24"/>
        </w:rPr>
        <w:t xml:space="preserve"> to hospital</w:t>
      </w:r>
      <w:r w:rsidR="003C35B7" w:rsidRPr="002C29D2">
        <w:rPr>
          <w:rFonts w:ascii="Times New Roman" w:hAnsi="Times New Roman"/>
          <w:sz w:val="24"/>
        </w:rPr>
        <w:t xml:space="preserve"> management</w:t>
      </w:r>
      <w:r w:rsidR="001634E0" w:rsidRPr="002C29D2">
        <w:rPr>
          <w:rFonts w:ascii="Times New Roman" w:hAnsi="Times New Roman"/>
          <w:sz w:val="24"/>
        </w:rPr>
        <w:t xml:space="preserve"> as well as </w:t>
      </w:r>
      <w:r w:rsidR="00555308" w:rsidRPr="002C29D2">
        <w:rPr>
          <w:rFonts w:ascii="Times New Roman" w:hAnsi="Times New Roman"/>
          <w:sz w:val="24"/>
        </w:rPr>
        <w:t>healthcare practition</w:t>
      </w:r>
      <w:r w:rsidR="001634E0" w:rsidRPr="002C29D2">
        <w:rPr>
          <w:rFonts w:ascii="Times New Roman" w:hAnsi="Times New Roman"/>
          <w:sz w:val="24"/>
        </w:rPr>
        <w:t xml:space="preserve">ers. </w:t>
      </w:r>
      <w:r w:rsidR="003C35B7" w:rsidRPr="002C29D2">
        <w:rPr>
          <w:rFonts w:ascii="Times New Roman" w:hAnsi="Times New Roman"/>
          <w:sz w:val="24"/>
        </w:rPr>
        <w:t>At</w:t>
      </w:r>
      <w:r w:rsidR="001634E0" w:rsidRPr="002C29D2">
        <w:rPr>
          <w:rFonts w:ascii="Times New Roman" w:hAnsi="Times New Roman"/>
          <w:sz w:val="24"/>
        </w:rPr>
        <w:t xml:space="preserve"> the administrative level, hospital manage</w:t>
      </w:r>
      <w:r w:rsidR="003C35B7" w:rsidRPr="002C29D2">
        <w:rPr>
          <w:rFonts w:ascii="Times New Roman" w:hAnsi="Times New Roman"/>
          <w:sz w:val="24"/>
        </w:rPr>
        <w:t>ment</w:t>
      </w:r>
      <w:r w:rsidR="001634E0" w:rsidRPr="002C29D2">
        <w:rPr>
          <w:rFonts w:ascii="Times New Roman" w:hAnsi="Times New Roman"/>
          <w:sz w:val="24"/>
        </w:rPr>
        <w:t xml:space="preserve"> </w:t>
      </w:r>
      <w:r w:rsidR="006F5A09" w:rsidRPr="002C29D2">
        <w:rPr>
          <w:rFonts w:ascii="Times New Roman" w:hAnsi="Times New Roman"/>
          <w:sz w:val="24"/>
        </w:rPr>
        <w:t xml:space="preserve">should </w:t>
      </w:r>
      <w:r w:rsidR="001634E0" w:rsidRPr="002C29D2">
        <w:rPr>
          <w:rFonts w:ascii="Times New Roman" w:hAnsi="Times New Roman"/>
          <w:sz w:val="24"/>
        </w:rPr>
        <w:t xml:space="preserve">encourage </w:t>
      </w:r>
      <w:r w:rsidR="003C35B7" w:rsidRPr="002C29D2">
        <w:rPr>
          <w:rFonts w:ascii="Times New Roman" w:hAnsi="Times New Roman"/>
          <w:sz w:val="24"/>
        </w:rPr>
        <w:t>honest</w:t>
      </w:r>
      <w:r w:rsidR="001634E0" w:rsidRPr="002C29D2">
        <w:rPr>
          <w:rFonts w:ascii="Times New Roman" w:hAnsi="Times New Roman"/>
          <w:sz w:val="24"/>
        </w:rPr>
        <w:t xml:space="preserve"> and unreserved information</w:t>
      </w:r>
      <w:r w:rsidR="003C35B7" w:rsidRPr="002C29D2">
        <w:rPr>
          <w:rFonts w:ascii="Times New Roman" w:hAnsi="Times New Roman"/>
          <w:sz w:val="24"/>
        </w:rPr>
        <w:t xml:space="preserve"> </w:t>
      </w:r>
      <w:r w:rsidR="001634E0" w:rsidRPr="002C29D2">
        <w:rPr>
          <w:rFonts w:ascii="Times New Roman" w:hAnsi="Times New Roman"/>
          <w:sz w:val="24"/>
        </w:rPr>
        <w:t>sharing among users</w:t>
      </w:r>
      <w:r w:rsidR="003C35B7" w:rsidRPr="002C29D2">
        <w:rPr>
          <w:rFonts w:ascii="Times New Roman" w:hAnsi="Times New Roman"/>
          <w:sz w:val="24"/>
        </w:rPr>
        <w:t xml:space="preserve"> and patients</w:t>
      </w:r>
      <w:r w:rsidR="001634E0" w:rsidRPr="002C29D2">
        <w:rPr>
          <w:rFonts w:ascii="Times New Roman" w:hAnsi="Times New Roman"/>
          <w:sz w:val="24"/>
        </w:rPr>
        <w:t xml:space="preserve">. </w:t>
      </w:r>
      <w:r w:rsidR="006375CF" w:rsidRPr="002C29D2">
        <w:rPr>
          <w:rFonts w:ascii="Times New Roman" w:hAnsi="Times New Roman"/>
          <w:iCs/>
          <w:sz w:val="24"/>
          <w:lang w:eastAsia="zh-TW"/>
        </w:rPr>
        <w:t xml:space="preserve">Only </w:t>
      </w:r>
      <w:r w:rsidR="003C35B7" w:rsidRPr="002C29D2">
        <w:rPr>
          <w:rFonts w:ascii="Times New Roman" w:hAnsi="Times New Roman"/>
          <w:iCs/>
          <w:sz w:val="24"/>
          <w:lang w:eastAsia="zh-TW"/>
        </w:rPr>
        <w:t xml:space="preserve">when </w:t>
      </w:r>
      <w:r w:rsidR="006375CF" w:rsidRPr="002C29D2">
        <w:rPr>
          <w:rFonts w:ascii="Times New Roman" w:hAnsi="Times New Roman"/>
          <w:iCs/>
          <w:sz w:val="24"/>
          <w:lang w:eastAsia="zh-TW"/>
        </w:rPr>
        <w:t xml:space="preserve">practitioners fully understand the ethical </w:t>
      </w:r>
      <w:r w:rsidR="003C35B7" w:rsidRPr="002C29D2">
        <w:rPr>
          <w:rFonts w:ascii="Times New Roman" w:hAnsi="Times New Roman"/>
          <w:iCs/>
          <w:sz w:val="24"/>
          <w:lang w:eastAsia="zh-TW"/>
        </w:rPr>
        <w:t xml:space="preserve">landscape behind the development </w:t>
      </w:r>
      <w:r w:rsidR="006375CF" w:rsidRPr="002C29D2">
        <w:rPr>
          <w:rFonts w:ascii="Times New Roman" w:hAnsi="Times New Roman"/>
          <w:iCs/>
          <w:sz w:val="24"/>
          <w:lang w:eastAsia="zh-TW"/>
        </w:rPr>
        <w:t xml:space="preserve">of AI technology, can </w:t>
      </w:r>
      <w:r w:rsidR="003C35B7" w:rsidRPr="002C29D2">
        <w:rPr>
          <w:rFonts w:ascii="Times New Roman" w:hAnsi="Times New Roman"/>
          <w:iCs/>
          <w:sz w:val="24"/>
          <w:lang w:eastAsia="zh-TW"/>
        </w:rPr>
        <w:t xml:space="preserve">they </w:t>
      </w:r>
      <w:r w:rsidR="006375CF" w:rsidRPr="002C29D2">
        <w:rPr>
          <w:rFonts w:ascii="Times New Roman" w:hAnsi="Times New Roman"/>
          <w:iCs/>
          <w:sz w:val="24"/>
          <w:lang w:eastAsia="zh-TW"/>
        </w:rPr>
        <w:t xml:space="preserve">communicate clearly </w:t>
      </w:r>
      <w:r w:rsidR="003C35B7" w:rsidRPr="002C29D2">
        <w:rPr>
          <w:rFonts w:ascii="Times New Roman" w:hAnsi="Times New Roman"/>
          <w:iCs/>
          <w:sz w:val="24"/>
          <w:lang w:eastAsia="zh-TW"/>
        </w:rPr>
        <w:t xml:space="preserve">with </w:t>
      </w:r>
      <w:r w:rsidR="006375CF" w:rsidRPr="002C29D2">
        <w:rPr>
          <w:rFonts w:ascii="Times New Roman" w:hAnsi="Times New Roman"/>
          <w:iCs/>
          <w:sz w:val="24"/>
          <w:lang w:eastAsia="zh-TW"/>
        </w:rPr>
        <w:t xml:space="preserve">patients and </w:t>
      </w:r>
      <w:r w:rsidR="006F5A09" w:rsidRPr="002C29D2">
        <w:rPr>
          <w:rFonts w:ascii="Times New Roman" w:hAnsi="Times New Roman"/>
          <w:iCs/>
          <w:sz w:val="24"/>
          <w:lang w:eastAsia="zh-TW"/>
        </w:rPr>
        <w:t xml:space="preserve">properly </w:t>
      </w:r>
      <w:r w:rsidR="003C35B7" w:rsidRPr="002C29D2">
        <w:rPr>
          <w:rFonts w:ascii="Times New Roman" w:hAnsi="Times New Roman"/>
          <w:iCs/>
          <w:sz w:val="24"/>
          <w:lang w:eastAsia="zh-TW"/>
        </w:rPr>
        <w:t xml:space="preserve">exploit </w:t>
      </w:r>
      <w:r w:rsidR="006375CF" w:rsidRPr="002C29D2">
        <w:rPr>
          <w:rFonts w:ascii="Times New Roman" w:hAnsi="Times New Roman"/>
          <w:iCs/>
          <w:sz w:val="24"/>
          <w:lang w:eastAsia="zh-TW"/>
        </w:rPr>
        <w:t xml:space="preserve">AI technology to transform </w:t>
      </w:r>
      <w:r w:rsidR="003C35B7" w:rsidRPr="002C29D2">
        <w:rPr>
          <w:rFonts w:ascii="Times New Roman" w:hAnsi="Times New Roman"/>
          <w:iCs/>
          <w:sz w:val="24"/>
          <w:lang w:eastAsia="zh-TW"/>
        </w:rPr>
        <w:t xml:space="preserve">the </w:t>
      </w:r>
      <w:r w:rsidR="006375CF" w:rsidRPr="002C29D2">
        <w:rPr>
          <w:rFonts w:ascii="Times New Roman" w:hAnsi="Times New Roman"/>
          <w:iCs/>
          <w:sz w:val="24"/>
          <w:lang w:eastAsia="zh-TW"/>
        </w:rPr>
        <w:t>patient experience positive</w:t>
      </w:r>
      <w:r w:rsidR="003C35B7" w:rsidRPr="002C29D2">
        <w:rPr>
          <w:rFonts w:ascii="Times New Roman" w:hAnsi="Times New Roman"/>
          <w:iCs/>
          <w:sz w:val="24"/>
          <w:lang w:eastAsia="zh-TW"/>
        </w:rPr>
        <w:t>ly</w:t>
      </w:r>
      <w:r w:rsidR="006375CF" w:rsidRPr="002C29D2">
        <w:rPr>
          <w:rFonts w:ascii="Times New Roman" w:hAnsi="Times New Roman"/>
          <w:iCs/>
          <w:sz w:val="24"/>
          <w:lang w:eastAsia="zh-TW"/>
        </w:rPr>
        <w:t xml:space="preserve">. </w:t>
      </w:r>
      <w:r w:rsidR="006F5A09" w:rsidRPr="002C29D2">
        <w:rPr>
          <w:rFonts w:ascii="Times New Roman" w:hAnsi="Times New Roman"/>
          <w:iCs/>
          <w:sz w:val="24"/>
          <w:lang w:eastAsia="zh-TW"/>
        </w:rPr>
        <w:t xml:space="preserve">A useful starting point is simply to </w:t>
      </w:r>
      <w:r w:rsidR="0073283E" w:rsidRPr="002C29D2">
        <w:rPr>
          <w:rFonts w:ascii="Times New Roman" w:hAnsi="Times New Roman"/>
          <w:iCs/>
          <w:sz w:val="24"/>
          <w:lang w:eastAsia="zh-TW"/>
        </w:rPr>
        <w:t xml:space="preserve">understand the five key responsible AI principles </w:t>
      </w:r>
      <w:r w:rsidR="006F5A09" w:rsidRPr="002C29D2">
        <w:rPr>
          <w:rFonts w:ascii="Times New Roman" w:hAnsi="Times New Roman"/>
          <w:iCs/>
          <w:sz w:val="24"/>
          <w:lang w:eastAsia="zh-TW"/>
        </w:rPr>
        <w:t xml:space="preserve">as </w:t>
      </w:r>
      <w:r w:rsidR="0073283E" w:rsidRPr="002C29D2">
        <w:rPr>
          <w:rFonts w:ascii="Times New Roman" w:hAnsi="Times New Roman"/>
          <w:iCs/>
          <w:sz w:val="24"/>
          <w:lang w:eastAsia="zh-TW"/>
        </w:rPr>
        <w:t xml:space="preserve">an important foundation </w:t>
      </w:r>
      <w:r w:rsidR="006F5A09" w:rsidRPr="002C29D2">
        <w:rPr>
          <w:rFonts w:ascii="Times New Roman" w:hAnsi="Times New Roman"/>
          <w:iCs/>
          <w:sz w:val="24"/>
          <w:lang w:eastAsia="zh-TW"/>
        </w:rPr>
        <w:t>for all stakeholders to</w:t>
      </w:r>
      <w:r w:rsidR="0073283E" w:rsidRPr="002C29D2">
        <w:rPr>
          <w:rFonts w:ascii="Times New Roman" w:hAnsi="Times New Roman"/>
          <w:iCs/>
          <w:sz w:val="24"/>
          <w:lang w:eastAsia="zh-TW"/>
        </w:rPr>
        <w:t xml:space="preserve"> </w:t>
      </w:r>
      <w:r w:rsidR="006F5A09" w:rsidRPr="002C29D2">
        <w:rPr>
          <w:rFonts w:ascii="Times New Roman" w:hAnsi="Times New Roman"/>
          <w:iCs/>
          <w:sz w:val="24"/>
          <w:lang w:eastAsia="zh-TW"/>
        </w:rPr>
        <w:t>build consensus around</w:t>
      </w:r>
      <w:r w:rsidR="0073283E" w:rsidRPr="002C29D2">
        <w:rPr>
          <w:rFonts w:ascii="Times New Roman" w:hAnsi="Times New Roman"/>
          <w:iCs/>
          <w:sz w:val="24"/>
          <w:lang w:eastAsia="zh-TW"/>
        </w:rPr>
        <w:t xml:space="preserve"> the benefits of </w:t>
      </w:r>
      <w:r w:rsidR="006F5A09" w:rsidRPr="002C29D2">
        <w:rPr>
          <w:rFonts w:ascii="Times New Roman" w:hAnsi="Times New Roman"/>
          <w:iCs/>
          <w:sz w:val="24"/>
          <w:lang w:eastAsia="zh-TW"/>
        </w:rPr>
        <w:t xml:space="preserve">this </w:t>
      </w:r>
      <w:r w:rsidR="008374D8" w:rsidRPr="002C29D2">
        <w:rPr>
          <w:rFonts w:ascii="Times New Roman" w:hAnsi="Times New Roman"/>
          <w:iCs/>
          <w:sz w:val="24"/>
          <w:lang w:eastAsia="zh-TW"/>
        </w:rPr>
        <w:t xml:space="preserve">technology in the healthcare sector.  </w:t>
      </w:r>
    </w:p>
    <w:p w14:paraId="12AD1DB9" w14:textId="05AD3005" w:rsidR="00D069E6" w:rsidRPr="002C29D2" w:rsidRDefault="00553690" w:rsidP="00472B0B">
      <w:pPr>
        <w:spacing w:line="480" w:lineRule="auto"/>
        <w:jc w:val="both"/>
        <w:rPr>
          <w:b/>
          <w:bCs/>
          <w:iCs/>
          <w:lang w:eastAsia="zh-TW"/>
        </w:rPr>
      </w:pPr>
      <w:r w:rsidRPr="002C29D2">
        <w:rPr>
          <w:b/>
          <w:bCs/>
          <w:iCs/>
          <w:lang w:eastAsia="zh-TW"/>
        </w:rPr>
        <w:lastRenderedPageBreak/>
        <w:t>7</w:t>
      </w:r>
      <w:r w:rsidR="0077210D" w:rsidRPr="002C29D2">
        <w:rPr>
          <w:b/>
          <w:bCs/>
          <w:iCs/>
          <w:lang w:eastAsia="zh-TW"/>
        </w:rPr>
        <w:t xml:space="preserve">. Conclusion, </w:t>
      </w:r>
      <w:r w:rsidRPr="002C29D2">
        <w:rPr>
          <w:b/>
          <w:bCs/>
          <w:iCs/>
          <w:lang w:eastAsia="zh-TW"/>
        </w:rPr>
        <w:t>L</w:t>
      </w:r>
      <w:r w:rsidR="001634E0" w:rsidRPr="002C29D2">
        <w:rPr>
          <w:b/>
          <w:bCs/>
          <w:iCs/>
          <w:lang w:eastAsia="zh-TW"/>
        </w:rPr>
        <w:t>imitations</w:t>
      </w:r>
      <w:r w:rsidR="0077210D" w:rsidRPr="002C29D2">
        <w:rPr>
          <w:b/>
          <w:bCs/>
          <w:iCs/>
          <w:lang w:eastAsia="zh-TW"/>
        </w:rPr>
        <w:t>,</w:t>
      </w:r>
      <w:r w:rsidR="001634E0" w:rsidRPr="002C29D2">
        <w:rPr>
          <w:b/>
          <w:bCs/>
          <w:iCs/>
          <w:lang w:eastAsia="zh-TW"/>
        </w:rPr>
        <w:t xml:space="preserve"> and </w:t>
      </w:r>
      <w:r w:rsidRPr="002C29D2">
        <w:rPr>
          <w:b/>
          <w:bCs/>
          <w:iCs/>
          <w:lang w:eastAsia="zh-TW"/>
        </w:rPr>
        <w:t>F</w:t>
      </w:r>
      <w:r w:rsidR="001634E0" w:rsidRPr="002C29D2">
        <w:rPr>
          <w:b/>
          <w:bCs/>
          <w:iCs/>
          <w:lang w:eastAsia="zh-TW"/>
        </w:rPr>
        <w:t xml:space="preserve">uture </w:t>
      </w:r>
      <w:r w:rsidRPr="002C29D2">
        <w:rPr>
          <w:b/>
          <w:bCs/>
          <w:iCs/>
          <w:lang w:eastAsia="zh-TW"/>
        </w:rPr>
        <w:t>R</w:t>
      </w:r>
      <w:r w:rsidR="001634E0" w:rsidRPr="002C29D2">
        <w:rPr>
          <w:b/>
          <w:bCs/>
          <w:iCs/>
          <w:lang w:eastAsia="zh-TW"/>
        </w:rPr>
        <w:t xml:space="preserve">esearch </w:t>
      </w:r>
      <w:r w:rsidRPr="002C29D2">
        <w:rPr>
          <w:b/>
          <w:bCs/>
          <w:iCs/>
          <w:lang w:eastAsia="zh-TW"/>
        </w:rPr>
        <w:t>D</w:t>
      </w:r>
      <w:r w:rsidR="001634E0" w:rsidRPr="002C29D2">
        <w:rPr>
          <w:b/>
          <w:bCs/>
          <w:iCs/>
          <w:lang w:eastAsia="zh-TW"/>
        </w:rPr>
        <w:t>irections</w:t>
      </w:r>
    </w:p>
    <w:p w14:paraId="0E1FE28E" w14:textId="4681034F" w:rsidR="008C7A52" w:rsidRPr="002C29D2" w:rsidRDefault="00B5003B" w:rsidP="00472B0B">
      <w:pPr>
        <w:spacing w:line="480" w:lineRule="auto"/>
        <w:jc w:val="both"/>
        <w:rPr>
          <w:iCs/>
          <w:lang w:eastAsia="zh-TW"/>
        </w:rPr>
      </w:pPr>
      <w:r w:rsidRPr="002C29D2">
        <w:rPr>
          <w:iCs/>
          <w:lang w:eastAsia="zh-TW"/>
        </w:rPr>
        <w:t xml:space="preserve">        </w:t>
      </w:r>
      <w:r w:rsidR="0077210D" w:rsidRPr="002C29D2">
        <w:rPr>
          <w:iCs/>
          <w:lang w:eastAsia="zh-TW"/>
        </w:rPr>
        <w:t>Our research shows that healthcare practitioners’ attitudes toward AI, satisfaction with AI, and usage intention</w:t>
      </w:r>
      <w:r w:rsidR="006F5A09" w:rsidRPr="002C29D2">
        <w:rPr>
          <w:iCs/>
          <w:lang w:eastAsia="zh-TW"/>
        </w:rPr>
        <w:t xml:space="preserve">s with </w:t>
      </w:r>
      <w:r w:rsidR="0077210D" w:rsidRPr="002C29D2">
        <w:rPr>
          <w:iCs/>
          <w:lang w:eastAsia="zh-TW"/>
        </w:rPr>
        <w:t xml:space="preserve">AI technology </w:t>
      </w:r>
      <w:r w:rsidR="00D92038" w:rsidRPr="002C29D2">
        <w:rPr>
          <w:iCs/>
          <w:lang w:eastAsia="zh-TW"/>
        </w:rPr>
        <w:t xml:space="preserve">are affected by the five key responsible AI signals: autonomy, beneficence, explainability, justice, and non-maleficence. </w:t>
      </w:r>
      <w:r w:rsidR="008C7A52" w:rsidRPr="002C29D2">
        <w:rPr>
          <w:iCs/>
          <w:lang w:eastAsia="zh-TW"/>
        </w:rPr>
        <w:t xml:space="preserve">Such significant effects are </w:t>
      </w:r>
      <w:r w:rsidR="00626FF9" w:rsidRPr="002C29D2">
        <w:rPr>
          <w:iCs/>
          <w:lang w:eastAsia="zh-TW"/>
        </w:rPr>
        <w:t>facilitated</w:t>
      </w:r>
      <w:r w:rsidR="008C7A52" w:rsidRPr="002C29D2">
        <w:rPr>
          <w:iCs/>
          <w:lang w:eastAsia="zh-TW"/>
        </w:rPr>
        <w:t xml:space="preserve"> through healthcare practitioners’ engagement with the technology. Moreover, this re</w:t>
      </w:r>
      <w:r w:rsidR="006F5A09" w:rsidRPr="002C29D2">
        <w:rPr>
          <w:iCs/>
          <w:lang w:eastAsia="zh-TW"/>
        </w:rPr>
        <w:t>se</w:t>
      </w:r>
      <w:r w:rsidR="008C7A52" w:rsidRPr="002C29D2">
        <w:rPr>
          <w:iCs/>
          <w:lang w:eastAsia="zh-TW"/>
        </w:rPr>
        <w:t>arch also yi</w:t>
      </w:r>
      <w:r w:rsidR="006F5A09" w:rsidRPr="002C29D2">
        <w:rPr>
          <w:iCs/>
          <w:lang w:eastAsia="zh-TW"/>
        </w:rPr>
        <w:t>e</w:t>
      </w:r>
      <w:r w:rsidR="008C7A52" w:rsidRPr="002C29D2">
        <w:rPr>
          <w:iCs/>
          <w:lang w:eastAsia="zh-TW"/>
        </w:rPr>
        <w:t xml:space="preserve">lds interesting findings </w:t>
      </w:r>
      <w:r w:rsidR="00C37C78" w:rsidRPr="002C29D2">
        <w:rPr>
          <w:iCs/>
          <w:lang w:eastAsia="zh-TW"/>
        </w:rPr>
        <w:t xml:space="preserve">on </w:t>
      </w:r>
      <w:r w:rsidR="008C7A52" w:rsidRPr="002C29D2">
        <w:rPr>
          <w:iCs/>
          <w:lang w:eastAsia="zh-TW"/>
        </w:rPr>
        <w:t xml:space="preserve">the pivotal role of techno-overload, </w:t>
      </w:r>
      <w:r w:rsidR="00C37C78" w:rsidRPr="002C29D2">
        <w:rPr>
          <w:iCs/>
          <w:lang w:eastAsia="zh-TW"/>
        </w:rPr>
        <w:t>in</w:t>
      </w:r>
      <w:r w:rsidR="008C7A52" w:rsidRPr="002C29D2">
        <w:rPr>
          <w:iCs/>
          <w:lang w:eastAsia="zh-TW"/>
        </w:rPr>
        <w:t xml:space="preserve"> undermin</w:t>
      </w:r>
      <w:r w:rsidR="00C37C78" w:rsidRPr="002C29D2">
        <w:rPr>
          <w:iCs/>
          <w:lang w:eastAsia="zh-TW"/>
        </w:rPr>
        <w:t>ing</w:t>
      </w:r>
      <w:r w:rsidR="008C7A52" w:rsidRPr="002C29D2">
        <w:rPr>
          <w:iCs/>
          <w:lang w:eastAsia="zh-TW"/>
        </w:rPr>
        <w:t xml:space="preserve"> the significant effects of responsible AI signals on engagement. </w:t>
      </w:r>
    </w:p>
    <w:p w14:paraId="1659FC5B" w14:textId="74C0FAF2" w:rsidR="001634E0" w:rsidRPr="002C29D2" w:rsidRDefault="007F5242" w:rsidP="007F5242">
      <w:pPr>
        <w:spacing w:line="480" w:lineRule="auto"/>
        <w:jc w:val="both"/>
        <w:rPr>
          <w:iCs/>
        </w:rPr>
      </w:pPr>
      <w:r w:rsidRPr="002C29D2">
        <w:rPr>
          <w:iCs/>
          <w:lang w:eastAsia="zh-TW"/>
        </w:rPr>
        <w:t xml:space="preserve">        </w:t>
      </w:r>
      <w:r w:rsidR="00E17FBD" w:rsidRPr="002C29D2">
        <w:rPr>
          <w:iCs/>
          <w:lang w:eastAsia="zh-TW"/>
        </w:rPr>
        <w:t xml:space="preserve">This research </w:t>
      </w:r>
      <w:r w:rsidR="00AD77ED" w:rsidRPr="002C29D2">
        <w:rPr>
          <w:iCs/>
          <w:lang w:eastAsia="zh-TW"/>
        </w:rPr>
        <w:t xml:space="preserve">has some limitations that might offer </w:t>
      </w:r>
      <w:r w:rsidR="00C37C78" w:rsidRPr="002C29D2">
        <w:rPr>
          <w:iCs/>
          <w:lang w:eastAsia="zh-TW"/>
        </w:rPr>
        <w:t xml:space="preserve">useful </w:t>
      </w:r>
      <w:r w:rsidR="00AD77ED" w:rsidRPr="002C29D2">
        <w:rPr>
          <w:iCs/>
          <w:lang w:eastAsia="zh-TW"/>
        </w:rPr>
        <w:t>future research directions. First of all, this study examines the perspectives of</w:t>
      </w:r>
      <w:r w:rsidR="00AD77ED" w:rsidRPr="002C29D2">
        <w:rPr>
          <w:iCs/>
        </w:rPr>
        <w:t xml:space="preserve"> healthcare practitioners who have used AI technology </w:t>
      </w:r>
      <w:r w:rsidR="00C37C78" w:rsidRPr="002C29D2">
        <w:rPr>
          <w:iCs/>
        </w:rPr>
        <w:t>in</w:t>
      </w:r>
      <w:r w:rsidR="00AD77ED" w:rsidRPr="002C29D2">
        <w:rPr>
          <w:iCs/>
        </w:rPr>
        <w:t xml:space="preserve"> Grade A tertiary hospitals in China. As </w:t>
      </w:r>
      <w:r w:rsidR="00C37C78" w:rsidRPr="002C29D2">
        <w:rPr>
          <w:iCs/>
        </w:rPr>
        <w:t xml:space="preserve">this </w:t>
      </w:r>
      <w:r w:rsidR="00AD77ED" w:rsidRPr="002C29D2">
        <w:rPr>
          <w:iCs/>
        </w:rPr>
        <w:t>technology is gradually transforming the healthcare industry, hospitals in rural areas</w:t>
      </w:r>
      <w:r w:rsidR="00D42142" w:rsidRPr="002C29D2">
        <w:rPr>
          <w:iCs/>
        </w:rPr>
        <w:t xml:space="preserve"> may </w:t>
      </w:r>
      <w:r w:rsidR="00C37C78" w:rsidRPr="002C29D2">
        <w:rPr>
          <w:iCs/>
        </w:rPr>
        <w:t xml:space="preserve">be </w:t>
      </w:r>
      <w:r w:rsidR="00D42142" w:rsidRPr="002C29D2">
        <w:rPr>
          <w:iCs/>
        </w:rPr>
        <w:t>plan</w:t>
      </w:r>
      <w:r w:rsidR="00C37C78" w:rsidRPr="002C29D2">
        <w:rPr>
          <w:iCs/>
        </w:rPr>
        <w:t>ning</w:t>
      </w:r>
      <w:r w:rsidR="00AD77ED" w:rsidRPr="002C29D2">
        <w:rPr>
          <w:iCs/>
        </w:rPr>
        <w:t xml:space="preserve"> </w:t>
      </w:r>
      <w:r w:rsidR="00D42142" w:rsidRPr="002C29D2">
        <w:rPr>
          <w:iCs/>
        </w:rPr>
        <w:t>to implement</w:t>
      </w:r>
      <w:r w:rsidR="00AD77ED" w:rsidRPr="002C29D2">
        <w:rPr>
          <w:iCs/>
        </w:rPr>
        <w:t xml:space="preserve"> AI technology. </w:t>
      </w:r>
      <w:r w:rsidR="007264CA" w:rsidRPr="002C29D2">
        <w:rPr>
          <w:iCs/>
        </w:rPr>
        <w:t xml:space="preserve">Hence, future </w:t>
      </w:r>
      <w:r w:rsidR="00AD77ED" w:rsidRPr="002C29D2">
        <w:rPr>
          <w:iCs/>
        </w:rPr>
        <w:t xml:space="preserve">research </w:t>
      </w:r>
      <w:r w:rsidR="007264CA" w:rsidRPr="002C29D2">
        <w:rPr>
          <w:iCs/>
        </w:rPr>
        <w:t xml:space="preserve">could </w:t>
      </w:r>
      <w:r w:rsidR="00AD77ED" w:rsidRPr="002C29D2">
        <w:rPr>
          <w:iCs/>
        </w:rPr>
        <w:t xml:space="preserve">explore whether healthcare practitioners </w:t>
      </w:r>
      <w:r w:rsidR="007264CA" w:rsidRPr="002C29D2">
        <w:rPr>
          <w:iCs/>
        </w:rPr>
        <w:t xml:space="preserve">in </w:t>
      </w:r>
      <w:r w:rsidR="00AD77ED" w:rsidRPr="002C29D2">
        <w:rPr>
          <w:iCs/>
        </w:rPr>
        <w:t xml:space="preserve">rural areas hold a different perspective </w:t>
      </w:r>
      <w:r w:rsidR="007264CA" w:rsidRPr="002C29D2">
        <w:rPr>
          <w:iCs/>
        </w:rPr>
        <w:t>i</w:t>
      </w:r>
      <w:r w:rsidR="00AD77ED" w:rsidRPr="002C29D2">
        <w:rPr>
          <w:iCs/>
        </w:rPr>
        <w:t xml:space="preserve">n </w:t>
      </w:r>
      <w:r w:rsidR="007264CA" w:rsidRPr="002C29D2">
        <w:rPr>
          <w:iCs/>
        </w:rPr>
        <w:t xml:space="preserve">defining </w:t>
      </w:r>
      <w:r w:rsidR="00AD77ED" w:rsidRPr="002C29D2">
        <w:rPr>
          <w:iCs/>
        </w:rPr>
        <w:t>responsible AI attributes. Second</w:t>
      </w:r>
      <w:r w:rsidR="007264CA" w:rsidRPr="002C29D2">
        <w:rPr>
          <w:iCs/>
        </w:rPr>
        <w:t>ly</w:t>
      </w:r>
      <w:r w:rsidR="00AD77ED" w:rsidRPr="002C29D2">
        <w:rPr>
          <w:iCs/>
        </w:rPr>
        <w:t xml:space="preserve">, </w:t>
      </w:r>
      <w:r w:rsidR="00D42142" w:rsidRPr="002C29D2">
        <w:rPr>
          <w:iCs/>
        </w:rPr>
        <w:t xml:space="preserve">the data in this </w:t>
      </w:r>
      <w:r w:rsidR="007264CA" w:rsidRPr="002C29D2">
        <w:rPr>
          <w:iCs/>
        </w:rPr>
        <w:t xml:space="preserve">study </w:t>
      </w:r>
      <w:r w:rsidR="001114F2" w:rsidRPr="002C29D2">
        <w:rPr>
          <w:iCs/>
        </w:rPr>
        <w:t xml:space="preserve">are </w:t>
      </w:r>
      <w:r w:rsidR="00D42142" w:rsidRPr="002C29D2">
        <w:rPr>
          <w:iCs/>
        </w:rPr>
        <w:t>cross-sectional</w:t>
      </w:r>
      <w:r w:rsidR="001114F2" w:rsidRPr="002C29D2">
        <w:rPr>
          <w:iCs/>
        </w:rPr>
        <w:t>; thus,</w:t>
      </w:r>
      <w:r w:rsidR="00D42142" w:rsidRPr="002C29D2">
        <w:rPr>
          <w:iCs/>
        </w:rPr>
        <w:t xml:space="preserve"> future research may explore the possibilit</w:t>
      </w:r>
      <w:r w:rsidR="007264CA" w:rsidRPr="002C29D2">
        <w:rPr>
          <w:iCs/>
        </w:rPr>
        <w:t>y</w:t>
      </w:r>
      <w:r w:rsidR="00D42142" w:rsidRPr="002C29D2">
        <w:rPr>
          <w:iCs/>
        </w:rPr>
        <w:t xml:space="preserve"> of longitudinal </w:t>
      </w:r>
      <w:r w:rsidR="007264CA" w:rsidRPr="002C29D2">
        <w:rPr>
          <w:iCs/>
        </w:rPr>
        <w:t xml:space="preserve">approaches </w:t>
      </w:r>
      <w:r w:rsidR="00D42142" w:rsidRPr="002C29D2">
        <w:rPr>
          <w:iCs/>
        </w:rPr>
        <w:t xml:space="preserve">to examine whether healthcare practitioner engagement varies over time as they </w:t>
      </w:r>
      <w:r w:rsidR="001114F2" w:rsidRPr="002C29D2">
        <w:rPr>
          <w:iCs/>
        </w:rPr>
        <w:t xml:space="preserve">experience </w:t>
      </w:r>
      <w:r w:rsidR="007264CA" w:rsidRPr="002C29D2">
        <w:rPr>
          <w:iCs/>
        </w:rPr>
        <w:t xml:space="preserve">either </w:t>
      </w:r>
      <w:r w:rsidR="00D42142" w:rsidRPr="002C29D2">
        <w:rPr>
          <w:iCs/>
        </w:rPr>
        <w:t>technology fatigue</w:t>
      </w:r>
      <w:r w:rsidR="007264CA" w:rsidRPr="002C29D2">
        <w:rPr>
          <w:iCs/>
        </w:rPr>
        <w:t xml:space="preserve"> or staged assimilation and familiarization, for example</w:t>
      </w:r>
      <w:r w:rsidR="00D42142" w:rsidRPr="002C29D2">
        <w:rPr>
          <w:iCs/>
        </w:rPr>
        <w:t xml:space="preserve">. </w:t>
      </w:r>
      <w:r w:rsidR="0001131B" w:rsidRPr="002C29D2">
        <w:rPr>
          <w:iCs/>
        </w:rPr>
        <w:t xml:space="preserve">Finally, </w:t>
      </w:r>
      <w:r w:rsidR="0097663F" w:rsidRPr="002C29D2">
        <w:rPr>
          <w:iCs/>
        </w:rPr>
        <w:t xml:space="preserve">this research has only explored techno-overload as </w:t>
      </w:r>
      <w:r w:rsidR="00FF60E5" w:rsidRPr="002C29D2">
        <w:rPr>
          <w:iCs/>
        </w:rPr>
        <w:t xml:space="preserve">a </w:t>
      </w:r>
      <w:r w:rsidR="0097663F" w:rsidRPr="002C29D2">
        <w:rPr>
          <w:iCs/>
        </w:rPr>
        <w:t>moderator significantly affect</w:t>
      </w:r>
      <w:r w:rsidR="00FF60E5" w:rsidRPr="002C29D2">
        <w:rPr>
          <w:iCs/>
        </w:rPr>
        <w:t>ing</w:t>
      </w:r>
      <w:r w:rsidR="0097663F" w:rsidRPr="002C29D2">
        <w:rPr>
          <w:iCs/>
        </w:rPr>
        <w:t xml:space="preserve"> </w:t>
      </w:r>
      <w:r w:rsidR="00FF60E5" w:rsidRPr="002C29D2">
        <w:rPr>
          <w:iCs/>
        </w:rPr>
        <w:t xml:space="preserve">the outcomes of </w:t>
      </w:r>
      <w:r w:rsidR="00B55BE7" w:rsidRPr="002C29D2">
        <w:rPr>
          <w:iCs/>
        </w:rPr>
        <w:t xml:space="preserve">AI </w:t>
      </w:r>
      <w:r w:rsidR="0097663F" w:rsidRPr="002C29D2">
        <w:rPr>
          <w:iCs/>
        </w:rPr>
        <w:t>justice and attitudes, satisfaction, and usage intention</w:t>
      </w:r>
      <w:r w:rsidR="00FF60E5" w:rsidRPr="002C29D2">
        <w:rPr>
          <w:iCs/>
        </w:rPr>
        <w:t>s</w:t>
      </w:r>
      <w:r w:rsidR="0097663F" w:rsidRPr="002C29D2">
        <w:rPr>
          <w:iCs/>
        </w:rPr>
        <w:t xml:space="preserve">. Future research may </w:t>
      </w:r>
      <w:r w:rsidR="00FF60E5" w:rsidRPr="002C29D2">
        <w:rPr>
          <w:iCs/>
        </w:rPr>
        <w:t xml:space="preserve">wish to </w:t>
      </w:r>
      <w:r w:rsidR="0097663F" w:rsidRPr="002C29D2">
        <w:rPr>
          <w:iCs/>
        </w:rPr>
        <w:t>explore other potential moderators that either undermine or enhance the effects of responsible AI attributes on healthcare practitioners’ attitudes, satisfaction</w:t>
      </w:r>
      <w:r w:rsidR="001E31B5" w:rsidRPr="002C29D2">
        <w:rPr>
          <w:iCs/>
        </w:rPr>
        <w:t xml:space="preserve"> levels</w:t>
      </w:r>
      <w:r w:rsidR="0097663F" w:rsidRPr="002C29D2">
        <w:rPr>
          <w:iCs/>
        </w:rPr>
        <w:t>, and usage intention</w:t>
      </w:r>
      <w:r w:rsidR="00FF60E5" w:rsidRPr="002C29D2">
        <w:rPr>
          <w:iCs/>
        </w:rPr>
        <w:t>s</w:t>
      </w:r>
      <w:r w:rsidR="0097663F" w:rsidRPr="002C29D2">
        <w:rPr>
          <w:iCs/>
        </w:rPr>
        <w:t xml:space="preserve">. </w:t>
      </w:r>
    </w:p>
    <w:p w14:paraId="067E8C3F" w14:textId="77777777" w:rsidR="003F4833" w:rsidRPr="002C29D2" w:rsidRDefault="003F4833" w:rsidP="00626FF9">
      <w:pPr>
        <w:adjustRightInd w:val="0"/>
        <w:snapToGrid w:val="0"/>
        <w:spacing w:line="360" w:lineRule="auto"/>
        <w:jc w:val="both"/>
        <w:rPr>
          <w:b/>
          <w:lang w:eastAsia="zh-TW"/>
        </w:rPr>
      </w:pPr>
    </w:p>
    <w:p w14:paraId="363E6112" w14:textId="77777777" w:rsidR="003F4833" w:rsidRPr="002C29D2" w:rsidRDefault="003F4833" w:rsidP="00626FF9">
      <w:pPr>
        <w:adjustRightInd w:val="0"/>
        <w:snapToGrid w:val="0"/>
        <w:spacing w:line="360" w:lineRule="auto"/>
        <w:jc w:val="both"/>
        <w:rPr>
          <w:b/>
          <w:lang w:eastAsia="zh-TW"/>
        </w:rPr>
      </w:pPr>
    </w:p>
    <w:p w14:paraId="4034D606" w14:textId="77777777" w:rsidR="003F4833" w:rsidRPr="002C29D2" w:rsidRDefault="003F4833" w:rsidP="00626FF9">
      <w:pPr>
        <w:adjustRightInd w:val="0"/>
        <w:snapToGrid w:val="0"/>
        <w:spacing w:line="360" w:lineRule="auto"/>
        <w:jc w:val="both"/>
        <w:rPr>
          <w:b/>
          <w:lang w:eastAsia="zh-TW"/>
        </w:rPr>
      </w:pPr>
    </w:p>
    <w:p w14:paraId="07CC8717" w14:textId="77777777" w:rsidR="00983568" w:rsidRPr="002C29D2" w:rsidRDefault="00983568">
      <w:pPr>
        <w:rPr>
          <w:b/>
          <w:lang w:eastAsia="zh-TW"/>
        </w:rPr>
      </w:pPr>
      <w:r w:rsidRPr="002C29D2">
        <w:rPr>
          <w:b/>
          <w:lang w:eastAsia="zh-TW"/>
        </w:rPr>
        <w:br w:type="page"/>
      </w:r>
    </w:p>
    <w:p w14:paraId="140828BB" w14:textId="18C2E4B4" w:rsidR="00626FF9" w:rsidRPr="002C29D2" w:rsidRDefault="00626FF9" w:rsidP="00626FF9">
      <w:pPr>
        <w:adjustRightInd w:val="0"/>
        <w:snapToGrid w:val="0"/>
        <w:spacing w:line="360" w:lineRule="auto"/>
        <w:jc w:val="both"/>
        <w:rPr>
          <w:b/>
          <w:lang w:eastAsia="zh-TW"/>
        </w:rPr>
      </w:pPr>
      <w:r w:rsidRPr="002C29D2">
        <w:rPr>
          <w:b/>
          <w:lang w:eastAsia="zh-TW"/>
        </w:rPr>
        <w:lastRenderedPageBreak/>
        <w:t>References</w:t>
      </w:r>
    </w:p>
    <w:p w14:paraId="180F5964" w14:textId="77777777" w:rsidR="00626FF9" w:rsidRPr="002C29D2" w:rsidRDefault="00626FF9" w:rsidP="00626FF9">
      <w:pPr>
        <w:adjustRightInd w:val="0"/>
        <w:snapToGrid w:val="0"/>
        <w:spacing w:line="360" w:lineRule="auto"/>
        <w:ind w:left="480" w:hangingChars="200" w:hanging="480"/>
        <w:jc w:val="both"/>
      </w:pPr>
      <w:r w:rsidRPr="002C29D2">
        <w:t xml:space="preserve">Abràmoff, M. D., Lavin, P. T., Birch, M., Shah, N., &amp; Folk, J. C. (2018). Pivotal trial of an autonomous AI-based diagnostic system for detection of diabetic retinopathy in primary care offices. </w:t>
      </w:r>
      <w:r w:rsidRPr="002C29D2">
        <w:rPr>
          <w:i/>
          <w:iCs/>
        </w:rPr>
        <w:t>NPJ Digital Medicine</w:t>
      </w:r>
      <w:r w:rsidRPr="002C29D2">
        <w:t xml:space="preserve">, </w:t>
      </w:r>
      <w:r w:rsidRPr="002C29D2">
        <w:rPr>
          <w:i/>
          <w:iCs/>
        </w:rPr>
        <w:t>1</w:t>
      </w:r>
      <w:r w:rsidRPr="002C29D2">
        <w:t>(1), 1-8.</w:t>
      </w:r>
    </w:p>
    <w:p w14:paraId="1FE5016F" w14:textId="5708EAF6" w:rsidR="00626FF9" w:rsidRPr="002C29D2" w:rsidRDefault="005772D3" w:rsidP="00626FF9">
      <w:pPr>
        <w:adjustRightInd w:val="0"/>
        <w:snapToGrid w:val="0"/>
        <w:spacing w:line="360" w:lineRule="auto"/>
        <w:ind w:left="480" w:hangingChars="200" w:hanging="480"/>
        <w:jc w:val="both"/>
      </w:pPr>
      <w:r w:rsidRPr="002C29D2">
        <w:t>Alder Hey Children’s Charity</w:t>
      </w:r>
      <w:r w:rsidR="00626FF9" w:rsidRPr="002C29D2">
        <w:t xml:space="preserve">. (2017). </w:t>
      </w:r>
      <w:r w:rsidR="00626FF9" w:rsidRPr="002C29D2">
        <w:rPr>
          <w:i/>
          <w:iCs/>
        </w:rPr>
        <w:t>Download our brilliant new app now.</w:t>
      </w:r>
      <w:r w:rsidR="00626FF9" w:rsidRPr="002C29D2">
        <w:t xml:space="preserve"> Alder Hey Charity. Retrieved November 24, 2020, from </w:t>
      </w:r>
      <w:hyperlink r:id="rId12" w:history="1">
        <w:r w:rsidR="00626FF9" w:rsidRPr="002C29D2">
          <w:rPr>
            <w:rStyle w:val="Hyperlink"/>
            <w:color w:val="auto"/>
          </w:rPr>
          <w:t>https://www.alderheycharity.org/news/latest-news/the-alder-play-app-has-launched/</w:t>
        </w:r>
      </w:hyperlink>
    </w:p>
    <w:p w14:paraId="2F74CA54" w14:textId="679EB502" w:rsidR="00626FF9" w:rsidRPr="002C29D2" w:rsidRDefault="00626FF9" w:rsidP="00626FF9">
      <w:pPr>
        <w:adjustRightInd w:val="0"/>
        <w:snapToGrid w:val="0"/>
        <w:spacing w:line="360" w:lineRule="auto"/>
        <w:ind w:left="480" w:hangingChars="200" w:hanging="480"/>
        <w:jc w:val="both"/>
      </w:pPr>
      <w:r w:rsidRPr="002C29D2">
        <w:t xml:space="preserve">Alloy, L. B., &amp; Abramson, L. Y. (1979). Judgment of contingency in depressed and nondepressed students: sadder but wiser? </w:t>
      </w:r>
      <w:r w:rsidRPr="002C29D2">
        <w:rPr>
          <w:i/>
        </w:rPr>
        <w:t>J</w:t>
      </w:r>
      <w:r w:rsidR="007D5B12" w:rsidRPr="002C29D2">
        <w:rPr>
          <w:i/>
        </w:rPr>
        <w:t>ournal of</w:t>
      </w:r>
      <w:r w:rsidRPr="002C29D2">
        <w:rPr>
          <w:i/>
        </w:rPr>
        <w:t xml:space="preserve"> Exp</w:t>
      </w:r>
      <w:r w:rsidR="007D5B12" w:rsidRPr="002C29D2">
        <w:rPr>
          <w:i/>
        </w:rPr>
        <w:t>erimental</w:t>
      </w:r>
      <w:r w:rsidRPr="002C29D2">
        <w:rPr>
          <w:i/>
        </w:rPr>
        <w:t xml:space="preserve"> Psychol</w:t>
      </w:r>
      <w:r w:rsidR="007D5B12" w:rsidRPr="002C29D2">
        <w:rPr>
          <w:i/>
        </w:rPr>
        <w:t>ogy:</w:t>
      </w:r>
      <w:r w:rsidRPr="002C29D2">
        <w:rPr>
          <w:i/>
        </w:rPr>
        <w:t xml:space="preserve"> Gen</w:t>
      </w:r>
      <w:r w:rsidR="007D5B12" w:rsidRPr="002C29D2">
        <w:rPr>
          <w:i/>
        </w:rPr>
        <w:t>eral</w:t>
      </w:r>
      <w:r w:rsidRPr="002C29D2">
        <w:rPr>
          <w:i/>
        </w:rPr>
        <w:t>, 108</w:t>
      </w:r>
      <w:r w:rsidRPr="002C29D2">
        <w:t xml:space="preserve">(4), 441-485. https://doi.org/10.1037/0096-3445.108.4.441. </w:t>
      </w:r>
    </w:p>
    <w:p w14:paraId="2E82CB8A" w14:textId="773D1B27" w:rsidR="00626FF9" w:rsidRPr="002C29D2" w:rsidRDefault="00626FF9" w:rsidP="00626FF9">
      <w:pPr>
        <w:adjustRightInd w:val="0"/>
        <w:snapToGrid w:val="0"/>
        <w:spacing w:line="360" w:lineRule="auto"/>
        <w:ind w:left="480" w:hangingChars="200" w:hanging="480"/>
        <w:jc w:val="both"/>
      </w:pPr>
      <w:r w:rsidRPr="002C29D2">
        <w:t xml:space="preserve">Anderson, M., &amp; Anderson, S. L. (2007). Machine ethics: Creating an ethical intelligent agent. </w:t>
      </w:r>
      <w:r w:rsidRPr="002C29D2">
        <w:rPr>
          <w:i/>
        </w:rPr>
        <w:t>A</w:t>
      </w:r>
      <w:r w:rsidR="007D5B12" w:rsidRPr="002C29D2">
        <w:rPr>
          <w:i/>
        </w:rPr>
        <w:t>I</w:t>
      </w:r>
      <w:r w:rsidRPr="002C29D2">
        <w:rPr>
          <w:i/>
        </w:rPr>
        <w:t xml:space="preserve"> Magazine</w:t>
      </w:r>
      <w:r w:rsidRPr="002C29D2">
        <w:t xml:space="preserve">, </w:t>
      </w:r>
      <w:r w:rsidRPr="002C29D2">
        <w:rPr>
          <w:i/>
          <w:iCs/>
        </w:rPr>
        <w:t>28</w:t>
      </w:r>
      <w:r w:rsidRPr="002C29D2">
        <w:t xml:space="preserve">(4), 15. </w:t>
      </w:r>
    </w:p>
    <w:p w14:paraId="6AC72A7F" w14:textId="41EAC8A1" w:rsidR="00626FF9" w:rsidRPr="002C29D2" w:rsidRDefault="00626FF9" w:rsidP="00626FF9">
      <w:pPr>
        <w:adjustRightInd w:val="0"/>
        <w:snapToGrid w:val="0"/>
        <w:spacing w:line="360" w:lineRule="auto"/>
        <w:ind w:left="480" w:hangingChars="200" w:hanging="480"/>
        <w:jc w:val="both"/>
      </w:pPr>
      <w:r w:rsidRPr="002C29D2">
        <w:t xml:space="preserve">Anderson, R. B. W., &amp; Brislin, R. W. (1976). </w:t>
      </w:r>
      <w:r w:rsidRPr="002C29D2">
        <w:rPr>
          <w:i/>
        </w:rPr>
        <w:t>Translation: applications and research</w:t>
      </w:r>
      <w:r w:rsidRPr="002C29D2">
        <w:t>. New York: Gardner Press.</w:t>
      </w:r>
    </w:p>
    <w:p w14:paraId="75B64145" w14:textId="77777777" w:rsidR="00626FF9" w:rsidRPr="002C29D2" w:rsidRDefault="00626FF9" w:rsidP="00626FF9">
      <w:pPr>
        <w:adjustRightInd w:val="0"/>
        <w:snapToGrid w:val="0"/>
        <w:spacing w:line="360" w:lineRule="auto"/>
        <w:ind w:left="480" w:hangingChars="200" w:hanging="480"/>
        <w:jc w:val="both"/>
      </w:pPr>
      <w:r w:rsidRPr="002C29D2">
        <w:t xml:space="preserve">Aral, S., Brynjolfsson, E., &amp; Wu, L. (2012). Three-way complementarities: Performance pay, human resource analytics, and information technology. </w:t>
      </w:r>
      <w:r w:rsidRPr="002C29D2">
        <w:rPr>
          <w:i/>
        </w:rPr>
        <w:t>Management Science</w:t>
      </w:r>
      <w:r w:rsidRPr="002C29D2">
        <w:t xml:space="preserve">, </w:t>
      </w:r>
      <w:r w:rsidRPr="002C29D2">
        <w:rPr>
          <w:i/>
          <w:iCs/>
        </w:rPr>
        <w:t>58</w:t>
      </w:r>
      <w:r w:rsidRPr="002C29D2">
        <w:t>(5), 913-931.</w:t>
      </w:r>
    </w:p>
    <w:p w14:paraId="6BF2ED13"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Arrieta, A. B., Díaz-Rodríguez, N., Del Ser, J., Bennetot, A., Tabik, S., Barbado, A., et al. (2020). Explainable artificial intelligence (XAI): Concepts, taxonomies, opportunities and challenges toward responsible AI. </w:t>
      </w:r>
      <w:r w:rsidRPr="002C29D2">
        <w:rPr>
          <w:i/>
          <w:iCs/>
          <w:shd w:val="clear" w:color="auto" w:fill="FFFFFF"/>
        </w:rPr>
        <w:t>Information Fusion</w:t>
      </w:r>
      <w:r w:rsidRPr="002C29D2">
        <w:rPr>
          <w:shd w:val="clear" w:color="auto" w:fill="FFFFFF"/>
        </w:rPr>
        <w:t>, </w:t>
      </w:r>
      <w:r w:rsidRPr="002C29D2">
        <w:rPr>
          <w:i/>
          <w:iCs/>
          <w:shd w:val="clear" w:color="auto" w:fill="FFFFFF"/>
        </w:rPr>
        <w:t>58</w:t>
      </w:r>
      <w:r w:rsidRPr="002C29D2">
        <w:rPr>
          <w:shd w:val="clear" w:color="auto" w:fill="FFFFFF"/>
        </w:rPr>
        <w:t>, 82-115.</w:t>
      </w:r>
    </w:p>
    <w:p w14:paraId="617DD93A" w14:textId="77777777" w:rsidR="00626FF9" w:rsidRPr="002C29D2" w:rsidRDefault="00626FF9" w:rsidP="00626FF9">
      <w:pPr>
        <w:adjustRightInd w:val="0"/>
        <w:snapToGrid w:val="0"/>
        <w:spacing w:line="360" w:lineRule="auto"/>
        <w:ind w:left="480" w:hangingChars="200" w:hanging="480"/>
        <w:jc w:val="both"/>
      </w:pPr>
      <w:r w:rsidRPr="002C29D2">
        <w:t xml:space="preserve">Bagozzi, R. P., &amp; Yi, Y. (1988). On the evaluation of structural equation models. </w:t>
      </w:r>
      <w:r w:rsidRPr="002C29D2">
        <w:rPr>
          <w:i/>
        </w:rPr>
        <w:t>Journal of the Academy of Marketing Science, 16</w:t>
      </w:r>
      <w:r w:rsidRPr="002C29D2">
        <w:t>(1), 74-94. https://doi.org/10.1007/BF02723327</w:t>
      </w:r>
    </w:p>
    <w:p w14:paraId="3403727E" w14:textId="05C1F0C4" w:rsidR="00626FF9" w:rsidRPr="002C29D2" w:rsidRDefault="00626FF9" w:rsidP="00626FF9">
      <w:pPr>
        <w:adjustRightInd w:val="0"/>
        <w:snapToGrid w:val="0"/>
        <w:spacing w:line="360" w:lineRule="auto"/>
        <w:ind w:left="480" w:hangingChars="200" w:hanging="480"/>
        <w:jc w:val="both"/>
      </w:pPr>
      <w:r w:rsidRPr="002C29D2">
        <w:t xml:space="preserve">Barsky, A., &amp; Kaplan, S. A. (2007). If you feel bad, it's unfair: a quantitative synthesis of affect and organizational justice perceptions. </w:t>
      </w:r>
      <w:r w:rsidRPr="002C29D2">
        <w:rPr>
          <w:i/>
        </w:rPr>
        <w:t>J</w:t>
      </w:r>
      <w:r w:rsidR="007D5B12" w:rsidRPr="002C29D2">
        <w:rPr>
          <w:i/>
        </w:rPr>
        <w:t>ournal of</w:t>
      </w:r>
      <w:r w:rsidRPr="002C29D2">
        <w:rPr>
          <w:i/>
        </w:rPr>
        <w:t xml:space="preserve"> Appl</w:t>
      </w:r>
      <w:r w:rsidR="007D5B12" w:rsidRPr="002C29D2">
        <w:rPr>
          <w:i/>
        </w:rPr>
        <w:t>ied</w:t>
      </w:r>
      <w:r w:rsidRPr="002C29D2">
        <w:rPr>
          <w:i/>
        </w:rPr>
        <w:t xml:space="preserve"> Psychol</w:t>
      </w:r>
      <w:r w:rsidR="007D5B12" w:rsidRPr="002C29D2">
        <w:rPr>
          <w:i/>
        </w:rPr>
        <w:t>ogy</w:t>
      </w:r>
      <w:r w:rsidRPr="002C29D2">
        <w:rPr>
          <w:i/>
        </w:rPr>
        <w:t>, 92</w:t>
      </w:r>
      <w:r w:rsidRPr="002C29D2">
        <w:t>(1), 286-295. https//doi.org/10.1037/0021-9010.92.1.286</w:t>
      </w:r>
    </w:p>
    <w:p w14:paraId="1A5774B4" w14:textId="77777777" w:rsidR="00626FF9" w:rsidRPr="002C29D2" w:rsidRDefault="00626FF9" w:rsidP="00626FF9">
      <w:pPr>
        <w:adjustRightInd w:val="0"/>
        <w:snapToGrid w:val="0"/>
        <w:spacing w:line="360" w:lineRule="auto"/>
        <w:ind w:left="480" w:hangingChars="200" w:hanging="480"/>
        <w:jc w:val="both"/>
      </w:pPr>
      <w:r w:rsidRPr="002C29D2">
        <w:t xml:space="preserve">Becker, J.-M., Rai, A., &amp; Rigdon, E. (2013). Predictive validity and formative measurement in structural equation modeling: Embracing practical relevance. In </w:t>
      </w:r>
      <w:r w:rsidRPr="002C29D2">
        <w:rPr>
          <w:i/>
        </w:rPr>
        <w:t>International Conference on Information Systems (ICIS 2013): Reshaping Society Through Information Systems Design, 4</w:t>
      </w:r>
      <w:r w:rsidRPr="002C29D2">
        <w:t>, 3088-3106.</w:t>
      </w:r>
    </w:p>
    <w:p w14:paraId="2824D571" w14:textId="77777777" w:rsidR="00626FF9" w:rsidRPr="002C29D2" w:rsidRDefault="00626FF9" w:rsidP="00626FF9">
      <w:pPr>
        <w:adjustRightInd w:val="0"/>
        <w:snapToGrid w:val="0"/>
        <w:spacing w:line="360" w:lineRule="auto"/>
        <w:ind w:left="480" w:hangingChars="200" w:hanging="480"/>
        <w:jc w:val="both"/>
      </w:pPr>
      <w:r w:rsidRPr="002C29D2">
        <w:t xml:space="preserve">Benitez, J., Henseler, J., Castillo, A., &amp; Schuberth, F. (2020). How to perform and report an impactful analysis using partial least squares: Guidelines for confirmatory and explanatory IS research. </w:t>
      </w:r>
      <w:r w:rsidRPr="002C29D2">
        <w:rPr>
          <w:i/>
        </w:rPr>
        <w:t>Information &amp; Management, 57</w:t>
      </w:r>
      <w:r w:rsidRPr="002C29D2">
        <w:t>(2), 103168. https://doi.org/10.1016/j.im.2019.05.003</w:t>
      </w:r>
    </w:p>
    <w:p w14:paraId="281D1570" w14:textId="23A33FB8" w:rsidR="00626FF9" w:rsidRPr="002C29D2" w:rsidRDefault="00626FF9" w:rsidP="007D5B12">
      <w:pPr>
        <w:spacing w:line="360" w:lineRule="auto"/>
        <w:ind w:left="426" w:hanging="426"/>
      </w:pPr>
      <w:r w:rsidRPr="002C29D2">
        <w:lastRenderedPageBreak/>
        <w:t>Benjamins, R., Barbado, A. &amp; Sierra, D. (2019). Responsible AI by design</w:t>
      </w:r>
      <w:r w:rsidR="00564101" w:rsidRPr="002C29D2">
        <w:t>.</w:t>
      </w:r>
      <w:r w:rsidRPr="002C29D2">
        <w:t xml:space="preserve"> </w:t>
      </w:r>
      <w:r w:rsidR="007D5B12" w:rsidRPr="002C29D2">
        <w:rPr>
          <w:shd w:val="clear" w:color="auto" w:fill="FCFCFC"/>
        </w:rPr>
        <w:t xml:space="preserve">In </w:t>
      </w:r>
      <w:r w:rsidR="007D5B12" w:rsidRPr="002C29D2">
        <w:rPr>
          <w:i/>
          <w:iCs/>
          <w:shd w:val="clear" w:color="auto" w:fill="FCFCFC"/>
        </w:rPr>
        <w:t>Proceedings of the Human-Centered AI: Trustworthiness of AI Models and Data (HAI) track at AAAI Fall Symposium, Washington DC</w:t>
      </w:r>
      <w:r w:rsidRPr="002C29D2">
        <w:t>.</w:t>
      </w:r>
    </w:p>
    <w:p w14:paraId="7ECC24CD" w14:textId="0E43AA7B" w:rsidR="00626FF9" w:rsidRPr="002C29D2" w:rsidRDefault="00626FF9" w:rsidP="00564101">
      <w:pPr>
        <w:spacing w:line="360" w:lineRule="auto"/>
        <w:ind w:left="567" w:hanging="567"/>
      </w:pPr>
      <w:r w:rsidRPr="002C29D2">
        <w:rPr>
          <w:lang w:eastAsia="zh-TW"/>
        </w:rPr>
        <w:t xml:space="preserve">Braganza, A., Chen, W., Canhoto, A., &amp; Sap, S. (2020). Productive employment and decent work: The impact of AI adoption on psychological contracts, job engagement and employee trust. </w:t>
      </w:r>
      <w:r w:rsidRPr="002C29D2">
        <w:rPr>
          <w:i/>
          <w:lang w:eastAsia="zh-TW"/>
        </w:rPr>
        <w:t>Journal of Business Research</w:t>
      </w:r>
      <w:r w:rsidRPr="002C29D2">
        <w:rPr>
          <w:lang w:eastAsia="zh-TW"/>
        </w:rPr>
        <w:t xml:space="preserve">. </w:t>
      </w:r>
      <w:r w:rsidR="00564101" w:rsidRPr="002C29D2">
        <w:rPr>
          <w:lang w:eastAsia="zh-TW"/>
        </w:rPr>
        <w:t>Advance online publication. doi</w:t>
      </w:r>
      <w:r w:rsidR="00564101" w:rsidRPr="002C29D2">
        <w:t>:10.1016/j.jbusres.2020.08.018.</w:t>
      </w:r>
    </w:p>
    <w:p w14:paraId="78ACD8BC" w14:textId="77777777" w:rsidR="00626FF9" w:rsidRPr="002C29D2" w:rsidRDefault="00626FF9" w:rsidP="007D5B12">
      <w:pPr>
        <w:adjustRightInd w:val="0"/>
        <w:snapToGrid w:val="0"/>
        <w:spacing w:line="360" w:lineRule="auto"/>
        <w:ind w:left="480" w:hangingChars="200" w:hanging="480"/>
        <w:jc w:val="both"/>
      </w:pPr>
      <w:r w:rsidRPr="002C29D2">
        <w:rPr>
          <w:lang w:eastAsia="zh-TW"/>
        </w:rPr>
        <w:t xml:space="preserve">Brock, J. K. U., &amp; Von Wangenheim, F. (2019). Demystifying AI: What digital transformation leaders can teach you about realistic artificial intelligence. </w:t>
      </w:r>
      <w:r w:rsidRPr="002C29D2">
        <w:rPr>
          <w:i/>
          <w:lang w:eastAsia="zh-TW"/>
        </w:rPr>
        <w:t>California Management Review</w:t>
      </w:r>
      <w:r w:rsidRPr="002C29D2">
        <w:rPr>
          <w:lang w:eastAsia="zh-TW"/>
        </w:rPr>
        <w:t xml:space="preserve">, </w:t>
      </w:r>
      <w:r w:rsidRPr="002C29D2">
        <w:rPr>
          <w:i/>
          <w:iCs/>
          <w:lang w:eastAsia="zh-TW"/>
        </w:rPr>
        <w:t>61</w:t>
      </w:r>
      <w:r w:rsidRPr="002C29D2">
        <w:rPr>
          <w:lang w:eastAsia="zh-TW"/>
        </w:rPr>
        <w:t>(4), 110-134.</w:t>
      </w:r>
    </w:p>
    <w:p w14:paraId="130CB380" w14:textId="77777777" w:rsidR="00626FF9" w:rsidRPr="002C29D2" w:rsidRDefault="00626FF9" w:rsidP="00626FF9">
      <w:pPr>
        <w:adjustRightInd w:val="0"/>
        <w:snapToGrid w:val="0"/>
        <w:spacing w:line="360" w:lineRule="auto"/>
        <w:ind w:left="360" w:hangingChars="150" w:hanging="360"/>
        <w:jc w:val="both"/>
        <w:rPr>
          <w:rFonts w:eastAsia="DengXian"/>
        </w:rPr>
      </w:pPr>
      <w:r w:rsidRPr="002C29D2">
        <w:rPr>
          <w:rFonts w:eastAsia="DengXian"/>
        </w:rPr>
        <w:t>Calvo, R. A., Peters, D., Vold, K., Ryan, R. M., Burr, C., &amp; Floridi, L. (2020). Supporting human autonomy in AI systems: A framework for ethical enquiry. In C. Burr &amp; L. Floridi (Eds.), In </w:t>
      </w:r>
      <w:r w:rsidRPr="002C29D2">
        <w:rPr>
          <w:rFonts w:eastAsia="DengXian"/>
          <w:i/>
          <w:iCs/>
        </w:rPr>
        <w:t>Ethics of Digital Well-Being: A Multidisciplinary Approach</w:t>
      </w:r>
      <w:r w:rsidRPr="002C29D2">
        <w:rPr>
          <w:rFonts w:eastAsia="DengXian"/>
        </w:rPr>
        <w:t xml:space="preserve"> (pp. 31-54). Springer, Cham. https://doi.org/10.1007/978-3-030-50585-1_2</w:t>
      </w:r>
    </w:p>
    <w:p w14:paraId="694EDF3C" w14:textId="4411481C" w:rsidR="00626FF9" w:rsidRPr="002C29D2" w:rsidRDefault="00626FF9" w:rsidP="00626FF9">
      <w:pPr>
        <w:adjustRightInd w:val="0"/>
        <w:snapToGrid w:val="0"/>
        <w:spacing w:line="360" w:lineRule="auto"/>
        <w:ind w:left="360" w:hangingChars="150" w:hanging="360"/>
        <w:jc w:val="both"/>
      </w:pPr>
      <w:r w:rsidRPr="002C29D2">
        <w:t>Cancer Research UK (2020</w:t>
      </w:r>
      <w:r w:rsidR="00564101" w:rsidRPr="002C29D2">
        <w:t>)</w:t>
      </w:r>
      <w:r w:rsidRPr="002C29D2">
        <w:t xml:space="preserve">. </w:t>
      </w:r>
      <w:r w:rsidRPr="002C29D2">
        <w:rPr>
          <w:i/>
          <w:iCs/>
        </w:rPr>
        <w:t>Sichuan University (West China Hospital)-Oxford University Gastrointestinal Cancer Centre.</w:t>
      </w:r>
      <w:r w:rsidRPr="002C29D2">
        <w:t xml:space="preserve"> </w:t>
      </w:r>
      <w:r w:rsidR="00564101" w:rsidRPr="002C29D2">
        <w:t xml:space="preserve">Retrieved 15 Jan, 2021, from </w:t>
      </w:r>
      <w:hyperlink r:id="rId13" w:history="1">
        <w:r w:rsidR="00564101" w:rsidRPr="002C29D2">
          <w:rPr>
            <w:rStyle w:val="Hyperlink"/>
            <w:color w:val="auto"/>
          </w:rPr>
          <w:t>https://www.cancercentre.ox.ac.uk/research/consortia/sichuan-university-west-china-hospital-oxford-university-gastrointestinal-cancer-centre/</w:t>
        </w:r>
      </w:hyperlink>
      <w:r w:rsidRPr="002C29D2">
        <w:t xml:space="preserve">. </w:t>
      </w:r>
    </w:p>
    <w:p w14:paraId="11D6E14F" w14:textId="77777777" w:rsidR="00626FF9" w:rsidRPr="002C29D2" w:rsidRDefault="00626FF9" w:rsidP="00626FF9">
      <w:pPr>
        <w:adjustRightInd w:val="0"/>
        <w:snapToGrid w:val="0"/>
        <w:spacing w:line="360" w:lineRule="auto"/>
        <w:ind w:left="360" w:hangingChars="150" w:hanging="360"/>
        <w:jc w:val="both"/>
      </w:pPr>
      <w:r w:rsidRPr="002C29D2">
        <w:t xml:space="preserve">Cao, X., &amp; Sun, J. (2018). Exploring the effect of overload on the discontinuous intention of social media users: An S-O-R perspective. </w:t>
      </w:r>
      <w:r w:rsidRPr="002C29D2">
        <w:rPr>
          <w:i/>
        </w:rPr>
        <w:t>Computers in Human Behavior, 81</w:t>
      </w:r>
      <w:r w:rsidRPr="002C29D2">
        <w:t>, 10-18. https://doi.org/10.1016/j.chb.2017.11.035</w:t>
      </w:r>
    </w:p>
    <w:p w14:paraId="7B8E4560" w14:textId="77777777" w:rsidR="00626FF9" w:rsidRPr="002C29D2" w:rsidRDefault="00626FF9" w:rsidP="00626FF9">
      <w:pPr>
        <w:adjustRightInd w:val="0"/>
        <w:snapToGrid w:val="0"/>
        <w:spacing w:line="360" w:lineRule="auto"/>
        <w:ind w:left="360" w:hangingChars="150" w:hanging="360"/>
        <w:jc w:val="both"/>
      </w:pPr>
      <w:r w:rsidRPr="002C29D2">
        <w:t xml:space="preserve">Carlos Roca, J., José García, J., &amp; José de la Vega, J. (2009). The importance of perceived trust, security and privacy in online trading systems. </w:t>
      </w:r>
      <w:r w:rsidRPr="002C29D2">
        <w:rPr>
          <w:i/>
        </w:rPr>
        <w:t>Information Management &amp; Computer Security, 17</w:t>
      </w:r>
      <w:r w:rsidRPr="002C29D2">
        <w:t>(2), 96-113. https://doi.org/10.1108/09685220910963983</w:t>
      </w:r>
    </w:p>
    <w:p w14:paraId="1C085E20" w14:textId="77777777" w:rsidR="00626FF9" w:rsidRPr="002C29D2" w:rsidRDefault="00626FF9" w:rsidP="00626FF9">
      <w:pPr>
        <w:adjustRightInd w:val="0"/>
        <w:snapToGrid w:val="0"/>
        <w:spacing w:line="360" w:lineRule="auto"/>
        <w:ind w:left="360" w:hangingChars="150" w:hanging="360"/>
        <w:jc w:val="both"/>
        <w:rPr>
          <w:rFonts w:eastAsia="DengXian"/>
        </w:rPr>
      </w:pPr>
      <w:r w:rsidRPr="002C29D2">
        <w:rPr>
          <w:rFonts w:eastAsia="DengXian"/>
        </w:rPr>
        <w:t>Chen, B., Vansteenkiste, M., Beyers, W., Boone, L., Deci, E. L., Van der Kaap-Deeder, J., et al. (2015). Basic psychological need satisfaction, need frustration, and need strength across four cultures. </w:t>
      </w:r>
      <w:r w:rsidRPr="002C29D2">
        <w:rPr>
          <w:rFonts w:eastAsia="DengXian"/>
          <w:i/>
          <w:iCs/>
        </w:rPr>
        <w:t>Motivation and Emotion,</w:t>
      </w:r>
      <w:r w:rsidRPr="002C29D2">
        <w:rPr>
          <w:rFonts w:eastAsia="DengXian"/>
        </w:rPr>
        <w:t> </w:t>
      </w:r>
      <w:r w:rsidRPr="002C29D2">
        <w:rPr>
          <w:rFonts w:eastAsia="DengXian"/>
          <w:i/>
          <w:iCs/>
        </w:rPr>
        <w:t>39</w:t>
      </w:r>
      <w:r w:rsidRPr="002C29D2">
        <w:rPr>
          <w:rFonts w:eastAsia="DengXian"/>
        </w:rPr>
        <w:t>(2), 216-236.</w:t>
      </w:r>
    </w:p>
    <w:p w14:paraId="080FBAFC" w14:textId="77777777" w:rsidR="00626FF9" w:rsidRPr="002C29D2" w:rsidRDefault="00626FF9" w:rsidP="00626FF9">
      <w:pPr>
        <w:adjustRightInd w:val="0"/>
        <w:snapToGrid w:val="0"/>
        <w:spacing w:line="360" w:lineRule="auto"/>
        <w:ind w:left="360" w:hangingChars="150" w:hanging="360"/>
        <w:jc w:val="both"/>
      </w:pPr>
      <w:r w:rsidRPr="002C29D2">
        <w:t>Chin, W. W. (1998). The partial least squares approach to structural equation modeling. </w:t>
      </w:r>
      <w:r w:rsidRPr="002C29D2">
        <w:rPr>
          <w:i/>
          <w:iCs/>
        </w:rPr>
        <w:t>Modern methods for business research</w:t>
      </w:r>
      <w:r w:rsidRPr="002C29D2">
        <w:t>, </w:t>
      </w:r>
      <w:r w:rsidRPr="002C29D2">
        <w:rPr>
          <w:i/>
          <w:iCs/>
        </w:rPr>
        <w:t>295</w:t>
      </w:r>
      <w:r w:rsidRPr="002C29D2">
        <w:t>(2), 295-336.</w:t>
      </w:r>
    </w:p>
    <w:p w14:paraId="5E85025A" w14:textId="77777777" w:rsidR="00626FF9" w:rsidRPr="002C29D2" w:rsidRDefault="00626FF9" w:rsidP="00626FF9">
      <w:pPr>
        <w:adjustRightInd w:val="0"/>
        <w:snapToGrid w:val="0"/>
        <w:spacing w:line="360" w:lineRule="auto"/>
        <w:ind w:left="360" w:hangingChars="150" w:hanging="360"/>
        <w:jc w:val="both"/>
      </w:pPr>
      <w:r w:rsidRPr="002C29D2">
        <w:t xml:space="preserve">Chinese Innovative Alliance of Industry, Education, Research and Application of Artificial Intelligence for Medical (2019). Releasing of the white paper on medical imaging artificial intelligence in China. </w:t>
      </w:r>
      <w:r w:rsidRPr="002C29D2">
        <w:rPr>
          <w:i/>
        </w:rPr>
        <w:t>Chinese Medical Sciences Journal, 34</w:t>
      </w:r>
      <w:r w:rsidRPr="002C29D2">
        <w:t>(2), 89-89. https://doi.org/10.24920/003620</w:t>
      </w:r>
    </w:p>
    <w:p w14:paraId="2FB8285D" w14:textId="77777777" w:rsidR="00626FF9" w:rsidRPr="002C29D2" w:rsidRDefault="00626FF9" w:rsidP="00626FF9">
      <w:pPr>
        <w:adjustRightInd w:val="0"/>
        <w:snapToGrid w:val="0"/>
        <w:spacing w:line="360" w:lineRule="auto"/>
        <w:ind w:left="480" w:hangingChars="200" w:hanging="480"/>
        <w:jc w:val="both"/>
      </w:pPr>
      <w:r w:rsidRPr="002C29D2">
        <w:t xml:space="preserve">Cohen, J. (2013). </w:t>
      </w:r>
      <w:r w:rsidRPr="002C29D2">
        <w:rPr>
          <w:i/>
        </w:rPr>
        <w:t>Statistical Power Analysis for the Behavioral Sciences</w:t>
      </w:r>
      <w:r w:rsidRPr="002C29D2">
        <w:t>. Academic press.</w:t>
      </w:r>
    </w:p>
    <w:p w14:paraId="46F14051" w14:textId="77777777" w:rsidR="00626FF9" w:rsidRPr="002C29D2" w:rsidRDefault="00626FF9" w:rsidP="00626FF9">
      <w:pPr>
        <w:adjustRightInd w:val="0"/>
        <w:snapToGrid w:val="0"/>
        <w:spacing w:line="360" w:lineRule="auto"/>
        <w:ind w:left="480" w:hangingChars="200" w:hanging="480"/>
        <w:jc w:val="both"/>
      </w:pPr>
      <w:r w:rsidRPr="002C29D2">
        <w:lastRenderedPageBreak/>
        <w:t xml:space="preserve">Colquitt, J. A., &amp; Zipay, K. P. (2015). Justice, fairness, and employee reactions. </w:t>
      </w:r>
      <w:r w:rsidRPr="002C29D2">
        <w:rPr>
          <w:i/>
        </w:rPr>
        <w:t>Annual Review of Organizational Psychology and Organizational Behavior</w:t>
      </w:r>
      <w:r w:rsidRPr="002C29D2">
        <w:t xml:space="preserve">, </w:t>
      </w:r>
      <w:r w:rsidRPr="002C29D2">
        <w:rPr>
          <w:i/>
          <w:iCs/>
        </w:rPr>
        <w:t>2</w:t>
      </w:r>
      <w:r w:rsidRPr="002C29D2">
        <w:t>(1), 75–99.</w:t>
      </w:r>
    </w:p>
    <w:p w14:paraId="303D36AC" w14:textId="77777777" w:rsidR="00626FF9" w:rsidRPr="002C29D2" w:rsidRDefault="00626FF9" w:rsidP="00626FF9">
      <w:pPr>
        <w:adjustRightInd w:val="0"/>
        <w:snapToGrid w:val="0"/>
        <w:spacing w:line="360" w:lineRule="auto"/>
        <w:ind w:left="480" w:hangingChars="200" w:hanging="480"/>
        <w:jc w:val="both"/>
      </w:pPr>
      <w:r w:rsidRPr="002C29D2">
        <w:t xml:space="preserve">Colquitt, J. A., Conlon, D. E., Wesson, M. J., Porter, C. O., &amp; Ng, K. Y. (2001). Justice at the millennium: A meta-analytic review of 25 years of organizational justice research. </w:t>
      </w:r>
      <w:r w:rsidRPr="002C29D2">
        <w:rPr>
          <w:i/>
        </w:rPr>
        <w:t>Journal of Applied Psychology</w:t>
      </w:r>
      <w:r w:rsidRPr="002C29D2">
        <w:t xml:space="preserve">, </w:t>
      </w:r>
      <w:r w:rsidRPr="002C29D2">
        <w:rPr>
          <w:i/>
          <w:iCs/>
        </w:rPr>
        <w:t>86</w:t>
      </w:r>
      <w:r w:rsidRPr="002C29D2">
        <w:t>(3), 425–445.</w:t>
      </w:r>
    </w:p>
    <w:p w14:paraId="376736C2" w14:textId="77777777" w:rsidR="00626FF9" w:rsidRPr="002C29D2" w:rsidRDefault="00626FF9" w:rsidP="00626FF9">
      <w:pPr>
        <w:adjustRightInd w:val="0"/>
        <w:snapToGrid w:val="0"/>
        <w:spacing w:line="360" w:lineRule="auto"/>
        <w:ind w:left="480" w:hangingChars="200" w:hanging="480"/>
        <w:jc w:val="both"/>
      </w:pPr>
      <w:r w:rsidRPr="002C29D2">
        <w:t xml:space="preserve">Connelly, B. L., Certo, S. T., Ireland, R. D., &amp; Reutzel, C. R. (2011). Signaling theory: A review and assessment. </w:t>
      </w:r>
      <w:r w:rsidRPr="002C29D2">
        <w:rPr>
          <w:i/>
        </w:rPr>
        <w:t>Journal of Management</w:t>
      </w:r>
      <w:r w:rsidRPr="002C29D2">
        <w:t xml:space="preserve">, </w:t>
      </w:r>
      <w:r w:rsidRPr="002C29D2">
        <w:rPr>
          <w:i/>
          <w:iCs/>
        </w:rPr>
        <w:t>37</w:t>
      </w:r>
      <w:r w:rsidRPr="002C29D2">
        <w:t>(1), 39-67.</w:t>
      </w:r>
    </w:p>
    <w:p w14:paraId="0DAC74E4" w14:textId="77777777" w:rsidR="00626FF9" w:rsidRPr="002C29D2" w:rsidRDefault="00626FF9" w:rsidP="00626FF9">
      <w:pPr>
        <w:adjustRightInd w:val="0"/>
        <w:snapToGrid w:val="0"/>
        <w:spacing w:line="360" w:lineRule="auto"/>
        <w:ind w:left="480" w:hangingChars="200" w:hanging="480"/>
        <w:jc w:val="both"/>
      </w:pPr>
      <w:r w:rsidRPr="002C29D2">
        <w:t>Cropanzano, R., &amp; Mitchell, M. S. (2005). Social exchange theory: An interdisciplinary review. </w:t>
      </w:r>
      <w:r w:rsidRPr="002C29D2">
        <w:rPr>
          <w:i/>
          <w:iCs/>
        </w:rPr>
        <w:t>Journal of Management</w:t>
      </w:r>
      <w:r w:rsidRPr="002C29D2">
        <w:t>, </w:t>
      </w:r>
      <w:r w:rsidRPr="002C29D2">
        <w:rPr>
          <w:i/>
          <w:iCs/>
        </w:rPr>
        <w:t>31</w:t>
      </w:r>
      <w:r w:rsidRPr="002C29D2">
        <w:t>(6), 874-900.</w:t>
      </w:r>
    </w:p>
    <w:p w14:paraId="2C0CFC16" w14:textId="77777777" w:rsidR="00626FF9" w:rsidRPr="002C29D2" w:rsidRDefault="00626FF9" w:rsidP="00626FF9">
      <w:pPr>
        <w:adjustRightInd w:val="0"/>
        <w:snapToGrid w:val="0"/>
        <w:spacing w:line="360" w:lineRule="auto"/>
        <w:ind w:left="480" w:hangingChars="200" w:hanging="480"/>
        <w:jc w:val="both"/>
      </w:pPr>
      <w:r w:rsidRPr="002C29D2">
        <w:t xml:space="preserve">Currie, G., Hawk, K. E., &amp; Rohren, E. M. (2020). Ethical principles for the application of artificial intelligence (AI) in nuclear medicine. </w:t>
      </w:r>
      <w:r w:rsidRPr="002C29D2">
        <w:rPr>
          <w:i/>
        </w:rPr>
        <w:t>European Journal of Nuclear Medicine and Molecular Imaging</w:t>
      </w:r>
      <w:r w:rsidRPr="002C29D2">
        <w:t xml:space="preserve">, </w:t>
      </w:r>
      <w:r w:rsidRPr="002C29D2">
        <w:rPr>
          <w:i/>
          <w:iCs/>
        </w:rPr>
        <w:t>47</w:t>
      </w:r>
      <w:r w:rsidRPr="002C29D2">
        <w:t>, 748–752.</w:t>
      </w:r>
    </w:p>
    <w:p w14:paraId="092FA6BF" w14:textId="1A95315D" w:rsidR="00626FF9" w:rsidRPr="002C29D2" w:rsidRDefault="00626FF9" w:rsidP="00626FF9">
      <w:pPr>
        <w:adjustRightInd w:val="0"/>
        <w:snapToGrid w:val="0"/>
        <w:spacing w:line="360" w:lineRule="auto"/>
        <w:ind w:left="480" w:hangingChars="200" w:hanging="480"/>
        <w:jc w:val="both"/>
      </w:pPr>
      <w:r w:rsidRPr="002C29D2">
        <w:t xml:space="preserve">Davenport, T., &amp; Kalakota, R. (2019). The potential for artificial intelligence in healthcare. </w:t>
      </w:r>
      <w:r w:rsidRPr="002C29D2">
        <w:rPr>
          <w:i/>
        </w:rPr>
        <w:t>Future Healthcare Journal, 6</w:t>
      </w:r>
      <w:r w:rsidRPr="002C29D2">
        <w:t>(2), 94.</w:t>
      </w:r>
    </w:p>
    <w:p w14:paraId="6893714F" w14:textId="307EC3AF" w:rsidR="00011FAC" w:rsidRPr="002C29D2" w:rsidRDefault="00011FAC" w:rsidP="00011FAC">
      <w:pPr>
        <w:adjustRightInd w:val="0"/>
        <w:snapToGrid w:val="0"/>
        <w:spacing w:line="360" w:lineRule="auto"/>
        <w:ind w:left="480" w:hangingChars="200" w:hanging="480"/>
        <w:jc w:val="both"/>
      </w:pPr>
      <w:r w:rsidRPr="002C29D2">
        <w:t xml:space="preserve">Deng, M.P. (2020). Be aware of the risks when using WeChat work group chat in healthcare sector. </w:t>
      </w:r>
      <w:r w:rsidRPr="002C29D2">
        <w:rPr>
          <w:iCs/>
        </w:rPr>
        <w:t xml:space="preserve">Retrieved 02 February, 2021, </w:t>
      </w:r>
      <w:r w:rsidRPr="002C29D2">
        <w:t>http://med.china.com.cn/content/pid/201946/tid/1026</w:t>
      </w:r>
    </w:p>
    <w:p w14:paraId="6D7ABEC0" w14:textId="2242F88B" w:rsidR="00626FF9" w:rsidRPr="002C29D2" w:rsidRDefault="00626FF9" w:rsidP="00626FF9">
      <w:pPr>
        <w:adjustRightInd w:val="0"/>
        <w:snapToGrid w:val="0"/>
        <w:spacing w:line="360" w:lineRule="auto"/>
        <w:ind w:left="480" w:hangingChars="200" w:hanging="480"/>
        <w:jc w:val="both"/>
      </w:pPr>
      <w:r w:rsidRPr="002C29D2">
        <w:t xml:space="preserve">Dignum, V. (2017). Responsible autonomy. In </w:t>
      </w:r>
      <w:r w:rsidRPr="002C29D2">
        <w:rPr>
          <w:i/>
          <w:iCs/>
        </w:rPr>
        <w:t xml:space="preserve">Proceedings of the 26th International Joint Conference on Artificial Intelligence </w:t>
      </w:r>
      <w:r w:rsidRPr="002C29D2">
        <w:t xml:space="preserve">(pp. 4698–4704): ACM Digital Library. </w:t>
      </w:r>
      <w:hyperlink r:id="rId14" w:history="1">
        <w:r w:rsidRPr="002C29D2">
          <w:rPr>
            <w:rStyle w:val="Hyperlink"/>
            <w:color w:val="auto"/>
          </w:rPr>
          <w:t>https://dl.acm.org/doi/10.5555/3171837.3171945</w:t>
        </w:r>
      </w:hyperlink>
      <w:r w:rsidRPr="002C29D2">
        <w:t xml:space="preserve"> </w:t>
      </w:r>
    </w:p>
    <w:p w14:paraId="18F4ADFC" w14:textId="77777777" w:rsidR="00626FF9" w:rsidRPr="002C29D2" w:rsidRDefault="00626FF9" w:rsidP="00626FF9">
      <w:pPr>
        <w:adjustRightInd w:val="0"/>
        <w:snapToGrid w:val="0"/>
        <w:spacing w:line="360" w:lineRule="auto"/>
        <w:ind w:left="480" w:hangingChars="200" w:hanging="480"/>
        <w:jc w:val="both"/>
      </w:pPr>
      <w:r w:rsidRPr="002C29D2">
        <w:t xml:space="preserve">Dignum, V. (2019). Responsible artificial intelligence: How to develop and use AI in a responsible Way, In B. O’Sullivan &amp; M. Wooldridge (Eds.), </w:t>
      </w:r>
      <w:r w:rsidRPr="002C29D2">
        <w:rPr>
          <w:i/>
          <w:iCs/>
        </w:rPr>
        <w:t>Artificial Intelligence: Foundations, Theory, and Algorithms</w:t>
      </w:r>
      <w:r w:rsidRPr="002C29D2">
        <w:t>. Switzerland: Springer Nature.</w:t>
      </w:r>
    </w:p>
    <w:p w14:paraId="7DC3551D" w14:textId="65B99834" w:rsidR="00626FF9" w:rsidRPr="002C29D2" w:rsidRDefault="00626FF9" w:rsidP="00626FF9">
      <w:pPr>
        <w:adjustRightInd w:val="0"/>
        <w:snapToGrid w:val="0"/>
        <w:spacing w:line="360" w:lineRule="auto"/>
        <w:ind w:left="480" w:hangingChars="200" w:hanging="480"/>
        <w:jc w:val="both"/>
      </w:pPr>
      <w:r w:rsidRPr="002C29D2">
        <w:t>Edwards, J. R., &amp; Lambert, L. S. (2007). Methods for integrating moderation and mediation: a general analytical framework using moderated path analysis. </w:t>
      </w:r>
      <w:r w:rsidRPr="002C29D2">
        <w:rPr>
          <w:i/>
          <w:iCs/>
        </w:rPr>
        <w:t xml:space="preserve">Psychological </w:t>
      </w:r>
      <w:r w:rsidR="00F93947" w:rsidRPr="002C29D2">
        <w:rPr>
          <w:i/>
          <w:iCs/>
        </w:rPr>
        <w:t>M</w:t>
      </w:r>
      <w:r w:rsidRPr="002C29D2">
        <w:rPr>
          <w:i/>
          <w:iCs/>
        </w:rPr>
        <w:t>ethods</w:t>
      </w:r>
      <w:r w:rsidRPr="002C29D2">
        <w:t>, </w:t>
      </w:r>
      <w:r w:rsidRPr="002C29D2">
        <w:rPr>
          <w:i/>
          <w:iCs/>
        </w:rPr>
        <w:t>12</w:t>
      </w:r>
      <w:r w:rsidRPr="002C29D2">
        <w:t>(1), 1–22. https://doi.org/10.1037/1082-989X.12.1.1</w:t>
      </w:r>
    </w:p>
    <w:p w14:paraId="49A53F0F" w14:textId="77777777" w:rsidR="00626FF9" w:rsidRPr="002C29D2" w:rsidRDefault="00626FF9" w:rsidP="00626FF9">
      <w:pPr>
        <w:adjustRightInd w:val="0"/>
        <w:snapToGrid w:val="0"/>
        <w:spacing w:line="360" w:lineRule="auto"/>
        <w:ind w:left="480" w:hangingChars="200" w:hanging="480"/>
        <w:jc w:val="both"/>
      </w:pPr>
      <w:r w:rsidRPr="002C29D2">
        <w:t xml:space="preserve">Fan, W., Liu, J., Zhu, S., &amp; Pardalos, P. M. (2018). Investigating the impacting factors for the healthcare professionals to adopt artificial intelligence-based medical diagnosis support system (AIMDSS). </w:t>
      </w:r>
      <w:r w:rsidRPr="002C29D2">
        <w:rPr>
          <w:i/>
          <w:iCs/>
        </w:rPr>
        <w:t>Annals of Operations Research</w:t>
      </w:r>
      <w:r w:rsidRPr="002C29D2">
        <w:t>, 1-26.</w:t>
      </w:r>
    </w:p>
    <w:p w14:paraId="7EBF893E" w14:textId="1E3CFEF1" w:rsidR="00626FF9" w:rsidRPr="002C29D2" w:rsidRDefault="00626FF9" w:rsidP="003248A2">
      <w:pPr>
        <w:adjustRightInd w:val="0"/>
        <w:snapToGrid w:val="0"/>
        <w:spacing w:line="360" w:lineRule="auto"/>
        <w:ind w:left="480" w:hangingChars="200" w:hanging="480"/>
        <w:jc w:val="both"/>
      </w:pPr>
      <w:r w:rsidRPr="002C29D2">
        <w:t xml:space="preserve">Fadhil, A., &amp; Gabrielli, S. (2017). Addressing challenges in promoting healthy lifestyles: the </w:t>
      </w:r>
      <w:r w:rsidR="00F93947" w:rsidRPr="002C29D2">
        <w:t>AI</w:t>
      </w:r>
      <w:r w:rsidRPr="002C29D2">
        <w:t>-chatbot approach. In </w:t>
      </w:r>
      <w:r w:rsidRPr="002C29D2">
        <w:rPr>
          <w:i/>
          <w:iCs/>
        </w:rPr>
        <w:t>Proceedings of the 11th EAI international conference on pervasive computing technologies for healthcare</w:t>
      </w:r>
      <w:r w:rsidRPr="002C29D2">
        <w:t> (pp. 261-265).</w:t>
      </w:r>
    </w:p>
    <w:p w14:paraId="15011679" w14:textId="77777777" w:rsidR="00626FF9" w:rsidRPr="002C29D2" w:rsidRDefault="00626FF9" w:rsidP="00626FF9">
      <w:pPr>
        <w:adjustRightInd w:val="0"/>
        <w:snapToGrid w:val="0"/>
        <w:spacing w:line="360" w:lineRule="auto"/>
        <w:ind w:left="480" w:hangingChars="200" w:hanging="480"/>
        <w:jc w:val="both"/>
      </w:pPr>
      <w:r w:rsidRPr="002C29D2">
        <w:t xml:space="preserve">Floridi, L. (2013). </w:t>
      </w:r>
      <w:r w:rsidRPr="002C29D2">
        <w:rPr>
          <w:i/>
          <w:iCs/>
        </w:rPr>
        <w:t>The ethics of information</w:t>
      </w:r>
      <w:r w:rsidRPr="002C29D2">
        <w:t>. Oxford: Oxford University Press.</w:t>
      </w:r>
    </w:p>
    <w:p w14:paraId="65C7D8AD" w14:textId="77777777" w:rsidR="00626FF9" w:rsidRPr="002C29D2" w:rsidRDefault="00626FF9" w:rsidP="00626FF9">
      <w:pPr>
        <w:adjustRightInd w:val="0"/>
        <w:snapToGrid w:val="0"/>
        <w:spacing w:line="360" w:lineRule="auto"/>
        <w:ind w:left="480" w:hangingChars="200" w:hanging="480"/>
        <w:jc w:val="both"/>
      </w:pPr>
      <w:r w:rsidRPr="002C29D2">
        <w:lastRenderedPageBreak/>
        <w:t xml:space="preserve">Floridi, L., &amp; Cowls, J. (2019). A unified framework of five principles for AI in society. </w:t>
      </w:r>
      <w:r w:rsidRPr="002C29D2">
        <w:rPr>
          <w:i/>
        </w:rPr>
        <w:t>Harvard Data Science Review</w:t>
      </w:r>
      <w:r w:rsidRPr="002C29D2">
        <w:t>. https://doi.org/10.1162/99608f92.8cd550d1</w:t>
      </w:r>
    </w:p>
    <w:p w14:paraId="3ED051F2"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Floridi, L., Cowls, J., Beltrametti, M., Chatila, R., Chazerand, P., Dignum, V., et al. (2018). AI4People—an ethical framework for a good AI society: opportunities, risks, principles, and recommendations. </w:t>
      </w:r>
      <w:r w:rsidRPr="002C29D2">
        <w:rPr>
          <w:i/>
          <w:iCs/>
          <w:shd w:val="clear" w:color="auto" w:fill="FFFFFF"/>
        </w:rPr>
        <w:t>Minds and Machines</w:t>
      </w:r>
      <w:r w:rsidRPr="002C29D2">
        <w:rPr>
          <w:shd w:val="clear" w:color="auto" w:fill="FFFFFF"/>
        </w:rPr>
        <w:t>, </w:t>
      </w:r>
      <w:r w:rsidRPr="002C29D2">
        <w:rPr>
          <w:i/>
          <w:iCs/>
          <w:shd w:val="clear" w:color="auto" w:fill="FFFFFF"/>
        </w:rPr>
        <w:t>28</w:t>
      </w:r>
      <w:r w:rsidRPr="002C29D2">
        <w:rPr>
          <w:shd w:val="clear" w:color="auto" w:fill="FFFFFF"/>
        </w:rPr>
        <w:t>(4), 689-707.</w:t>
      </w:r>
    </w:p>
    <w:p w14:paraId="58E4765F" w14:textId="6C83A0D5" w:rsidR="00626FF9" w:rsidRPr="002C29D2" w:rsidRDefault="00626FF9" w:rsidP="00626FF9">
      <w:pPr>
        <w:adjustRightInd w:val="0"/>
        <w:snapToGrid w:val="0"/>
        <w:spacing w:line="360" w:lineRule="auto"/>
        <w:ind w:left="480" w:hangingChars="200" w:hanging="480"/>
        <w:jc w:val="both"/>
      </w:pPr>
      <w:r w:rsidRPr="002C29D2">
        <w:t xml:space="preserve">Folkman, S., &amp; Lazarus, R. S. (1986). Stress-processes and depressive symptomatology. </w:t>
      </w:r>
      <w:r w:rsidRPr="002C29D2">
        <w:rPr>
          <w:i/>
        </w:rPr>
        <w:t>J</w:t>
      </w:r>
      <w:r w:rsidR="00F93947" w:rsidRPr="002C29D2">
        <w:rPr>
          <w:i/>
        </w:rPr>
        <w:t>ournal</w:t>
      </w:r>
      <w:r w:rsidRPr="002C29D2">
        <w:rPr>
          <w:i/>
        </w:rPr>
        <w:t xml:space="preserve"> </w:t>
      </w:r>
      <w:r w:rsidR="00F93947" w:rsidRPr="002C29D2">
        <w:rPr>
          <w:i/>
        </w:rPr>
        <w:t xml:space="preserve">of </w:t>
      </w:r>
      <w:r w:rsidRPr="002C29D2">
        <w:rPr>
          <w:i/>
        </w:rPr>
        <w:t>Abnorm</w:t>
      </w:r>
      <w:r w:rsidR="00F93947" w:rsidRPr="002C29D2">
        <w:rPr>
          <w:i/>
        </w:rPr>
        <w:t>al</w:t>
      </w:r>
      <w:r w:rsidRPr="002C29D2">
        <w:rPr>
          <w:i/>
        </w:rPr>
        <w:t xml:space="preserve"> Psychol</w:t>
      </w:r>
      <w:r w:rsidR="00F93947" w:rsidRPr="002C29D2">
        <w:rPr>
          <w:i/>
        </w:rPr>
        <w:t>ology</w:t>
      </w:r>
      <w:r w:rsidRPr="002C29D2">
        <w:rPr>
          <w:i/>
        </w:rPr>
        <w:t>, 95</w:t>
      </w:r>
      <w:r w:rsidRPr="002C29D2">
        <w:t>(2), 107-113. https://doi.org/10.10370021-843x.95.2.107</w:t>
      </w:r>
    </w:p>
    <w:p w14:paraId="4F9E02F6" w14:textId="6E011B18" w:rsidR="00626FF9" w:rsidRPr="002C29D2" w:rsidRDefault="00626FF9" w:rsidP="00626FF9">
      <w:pPr>
        <w:adjustRightInd w:val="0"/>
        <w:snapToGrid w:val="0"/>
        <w:spacing w:line="360" w:lineRule="auto"/>
        <w:ind w:left="480" w:hangingChars="200" w:hanging="480"/>
        <w:jc w:val="both"/>
      </w:pPr>
      <w:r w:rsidRPr="002C29D2">
        <w:t xml:space="preserve">Folkman, S., Lazarus, R. S., Dunkel-Schetter, C., DeLongis, A., &amp; Gruen, R. J. (1986). Dynamics of a stressful encounter: cognitive appraisal, coping, and encounter outcomes. </w:t>
      </w:r>
      <w:r w:rsidRPr="002C29D2">
        <w:rPr>
          <w:i/>
        </w:rPr>
        <w:t>J</w:t>
      </w:r>
      <w:r w:rsidR="00F93947" w:rsidRPr="002C29D2">
        <w:rPr>
          <w:i/>
        </w:rPr>
        <w:t>ournal of</w:t>
      </w:r>
      <w:r w:rsidRPr="002C29D2">
        <w:rPr>
          <w:i/>
        </w:rPr>
        <w:t xml:space="preserve"> Pers</w:t>
      </w:r>
      <w:r w:rsidR="00F93947" w:rsidRPr="002C29D2">
        <w:rPr>
          <w:i/>
        </w:rPr>
        <w:t>onality and</w:t>
      </w:r>
      <w:r w:rsidRPr="002C29D2">
        <w:rPr>
          <w:i/>
        </w:rPr>
        <w:t xml:space="preserve"> So</w:t>
      </w:r>
      <w:r w:rsidR="00F93947" w:rsidRPr="002C29D2">
        <w:rPr>
          <w:i/>
        </w:rPr>
        <w:t>cial</w:t>
      </w:r>
      <w:r w:rsidRPr="002C29D2">
        <w:rPr>
          <w:i/>
        </w:rPr>
        <w:t xml:space="preserve"> Psychol</w:t>
      </w:r>
      <w:r w:rsidR="00F93947" w:rsidRPr="002C29D2">
        <w:rPr>
          <w:i/>
        </w:rPr>
        <w:t>ology</w:t>
      </w:r>
      <w:r w:rsidRPr="002C29D2">
        <w:rPr>
          <w:i/>
        </w:rPr>
        <w:t>, 50</w:t>
      </w:r>
      <w:r w:rsidRPr="002C29D2">
        <w:t>(5), 992-1003. https://doi.org/10.1037/0022-3514.50.5.992</w:t>
      </w:r>
    </w:p>
    <w:p w14:paraId="7BE47925" w14:textId="77777777" w:rsidR="00626FF9" w:rsidRPr="002C29D2" w:rsidRDefault="00626FF9" w:rsidP="00626FF9">
      <w:pPr>
        <w:adjustRightInd w:val="0"/>
        <w:snapToGrid w:val="0"/>
        <w:spacing w:line="360" w:lineRule="auto"/>
        <w:ind w:left="480" w:hangingChars="200" w:hanging="480"/>
        <w:jc w:val="both"/>
      </w:pPr>
      <w:r w:rsidRPr="002C29D2">
        <w:t xml:space="preserve">Fornell, C., &amp; Larcker, D. F. (1981). Evaluating structural equation models with unobservable variables and measurement error. </w:t>
      </w:r>
      <w:r w:rsidRPr="002C29D2">
        <w:rPr>
          <w:i/>
        </w:rPr>
        <w:t>Journal of Marketing Research, 18</w:t>
      </w:r>
      <w:r w:rsidRPr="002C29D2">
        <w:t>(1), 39-50. https://doi.org/10.2307/3151312</w:t>
      </w:r>
    </w:p>
    <w:p w14:paraId="07088239"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Gebauer, J. E., Riketta, M., Broemer, P., &amp; Maio, G. R. (2008). Pleasure and pressure based prosocial motivation: Divergent relations to subjective well-being. </w:t>
      </w:r>
      <w:r w:rsidRPr="002C29D2">
        <w:rPr>
          <w:i/>
          <w:iCs/>
          <w:shd w:val="clear" w:color="auto" w:fill="FFFFFF"/>
        </w:rPr>
        <w:t>Journal of Research in Personality</w:t>
      </w:r>
      <w:r w:rsidRPr="002C29D2">
        <w:rPr>
          <w:shd w:val="clear" w:color="auto" w:fill="FFFFFF"/>
        </w:rPr>
        <w:t>, </w:t>
      </w:r>
      <w:r w:rsidRPr="002C29D2">
        <w:rPr>
          <w:i/>
          <w:iCs/>
          <w:shd w:val="clear" w:color="auto" w:fill="FFFFFF"/>
        </w:rPr>
        <w:t>42</w:t>
      </w:r>
      <w:r w:rsidRPr="002C29D2">
        <w:rPr>
          <w:shd w:val="clear" w:color="auto" w:fill="FFFFFF"/>
        </w:rPr>
        <w:t>(2), 399-420.</w:t>
      </w:r>
    </w:p>
    <w:p w14:paraId="6C7868E5" w14:textId="77777777" w:rsidR="00626FF9" w:rsidRPr="002C29D2" w:rsidRDefault="00626FF9" w:rsidP="00626FF9">
      <w:pPr>
        <w:adjustRightInd w:val="0"/>
        <w:snapToGrid w:val="0"/>
        <w:spacing w:line="360" w:lineRule="auto"/>
        <w:ind w:left="480" w:hangingChars="200" w:hanging="480"/>
        <w:jc w:val="both"/>
      </w:pPr>
      <w:r w:rsidRPr="002C29D2">
        <w:t xml:space="preserve">Gong, X., Lee, M. K. O., Liu, Z., &amp; Zheng, X. (2020). Examining the role of tie strength in users’ continuance intention of second-generation mobile instant messaging services. </w:t>
      </w:r>
      <w:r w:rsidRPr="002C29D2">
        <w:rPr>
          <w:i/>
        </w:rPr>
        <w:t>Information Systems Frontiers, 22</w:t>
      </w:r>
      <w:r w:rsidRPr="002C29D2">
        <w:t>(1), 149-170. https://doi.org/10.1007/s10796-018-9852-9</w:t>
      </w:r>
    </w:p>
    <w:p w14:paraId="625D0F20" w14:textId="3B7968D2" w:rsidR="00626FF9" w:rsidRPr="002C29D2" w:rsidRDefault="00626FF9" w:rsidP="00626FF9">
      <w:pPr>
        <w:adjustRightInd w:val="0"/>
        <w:snapToGrid w:val="0"/>
        <w:spacing w:line="360" w:lineRule="auto"/>
        <w:ind w:left="480" w:hangingChars="200" w:hanging="480"/>
        <w:jc w:val="both"/>
      </w:pPr>
      <w:r w:rsidRPr="002C29D2">
        <w:rPr>
          <w:shd w:val="clear" w:color="auto" w:fill="FFFFFF"/>
        </w:rPr>
        <w:t>Gordon, L. A., Loeb, M. P., &amp; Sohail, T. (2010). Market value of voluntary disclosures concerning information security. </w:t>
      </w:r>
      <w:r w:rsidRPr="002C29D2">
        <w:rPr>
          <w:i/>
          <w:iCs/>
          <w:shd w:val="clear" w:color="auto" w:fill="FFFFFF"/>
        </w:rPr>
        <w:t>MIS uarterly</w:t>
      </w:r>
      <w:r w:rsidRPr="002C29D2">
        <w:rPr>
          <w:shd w:val="clear" w:color="auto" w:fill="FFFFFF"/>
        </w:rPr>
        <w:t>, 567-594.</w:t>
      </w:r>
    </w:p>
    <w:p w14:paraId="271A3B3C" w14:textId="77777777" w:rsidR="00626FF9" w:rsidRPr="002C29D2" w:rsidRDefault="00626FF9" w:rsidP="00626FF9">
      <w:pPr>
        <w:adjustRightInd w:val="0"/>
        <w:snapToGrid w:val="0"/>
        <w:spacing w:line="360" w:lineRule="auto"/>
        <w:ind w:left="480" w:hangingChars="200" w:hanging="480"/>
        <w:jc w:val="both"/>
      </w:pPr>
      <w:r w:rsidRPr="002C29D2">
        <w:rPr>
          <w:shd w:val="clear" w:color="auto" w:fill="FFFFFF"/>
        </w:rPr>
        <w:t>Greene, D., Hoffmann, A. L., &amp; Stark, L. (2019, January). Better, nicer, clearer, fairer: A critical assessment of the movement for ethical artificial intelligence and machine learning. In </w:t>
      </w:r>
      <w:r w:rsidRPr="002C29D2">
        <w:rPr>
          <w:i/>
          <w:iCs/>
          <w:shd w:val="clear" w:color="auto" w:fill="FFFFFF"/>
        </w:rPr>
        <w:t>Proceedings of the 52nd Hawaii International Conference on System Sciences</w:t>
      </w:r>
      <w:r w:rsidRPr="002C29D2">
        <w:rPr>
          <w:shd w:val="clear" w:color="auto" w:fill="FFFFFF"/>
        </w:rPr>
        <w:t>.</w:t>
      </w:r>
    </w:p>
    <w:p w14:paraId="345F22E5"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Haesevoets, T., De Cremer, D., De Schutter, L., McGuire, J., Yang, Y., Jian, X., &amp; Van Hiel, A. (2019). Transparency and control in email communication: The more the supervisor is put in cc the less trust is felt. </w:t>
      </w:r>
      <w:r w:rsidRPr="002C29D2">
        <w:rPr>
          <w:i/>
          <w:iCs/>
          <w:shd w:val="clear" w:color="auto" w:fill="FFFFFF"/>
        </w:rPr>
        <w:t>Journal of Business Ethics</w:t>
      </w:r>
      <w:r w:rsidRPr="002C29D2">
        <w:rPr>
          <w:shd w:val="clear" w:color="auto" w:fill="FFFFFF"/>
        </w:rPr>
        <w:t>, 1-21.</w:t>
      </w:r>
    </w:p>
    <w:p w14:paraId="40CA8A93" w14:textId="77777777" w:rsidR="00626FF9" w:rsidRPr="002C29D2" w:rsidRDefault="00626FF9" w:rsidP="00626FF9">
      <w:pPr>
        <w:adjustRightInd w:val="0"/>
        <w:snapToGrid w:val="0"/>
        <w:spacing w:line="360" w:lineRule="auto"/>
        <w:ind w:left="480" w:hangingChars="200" w:hanging="480"/>
        <w:jc w:val="both"/>
      </w:pPr>
      <w:r w:rsidRPr="002C29D2">
        <w:t xml:space="preserve">Hair, J. F., Hult, G. T. M., Ringle, C., &amp; Sarstedt, M. (2016). </w:t>
      </w:r>
      <w:r w:rsidRPr="002C29D2">
        <w:rPr>
          <w:i/>
        </w:rPr>
        <w:t>A primer on partial least squares structural equation modeling (PLS-SEM)</w:t>
      </w:r>
      <w:r w:rsidRPr="002C29D2">
        <w:t>. SAGE Publications.</w:t>
      </w:r>
    </w:p>
    <w:p w14:paraId="35330C02" w14:textId="77777777" w:rsidR="00626FF9" w:rsidRPr="002C29D2" w:rsidRDefault="00626FF9" w:rsidP="00626FF9">
      <w:pPr>
        <w:adjustRightInd w:val="0"/>
        <w:snapToGrid w:val="0"/>
        <w:spacing w:line="360" w:lineRule="auto"/>
        <w:ind w:left="480" w:hangingChars="200" w:hanging="480"/>
        <w:jc w:val="both"/>
      </w:pPr>
      <w:r w:rsidRPr="002C29D2">
        <w:lastRenderedPageBreak/>
        <w:t xml:space="preserve">Hair, J. F., Ringle, C. M., &amp; Sarstedt, M. (2011). PLS-SEM: Indeed a silver bullet. </w:t>
      </w:r>
      <w:r w:rsidRPr="002C29D2">
        <w:rPr>
          <w:i/>
        </w:rPr>
        <w:t>Journal of Marketing Theory and Practice, 19</w:t>
      </w:r>
      <w:r w:rsidRPr="002C29D2">
        <w:t>(2), 139-152. https://doi.org/10.2753/MTP1069-6679190202</w:t>
      </w:r>
    </w:p>
    <w:p w14:paraId="02608411" w14:textId="77777777" w:rsidR="00626FF9" w:rsidRPr="002C29D2" w:rsidRDefault="00626FF9" w:rsidP="00626FF9">
      <w:pPr>
        <w:adjustRightInd w:val="0"/>
        <w:snapToGrid w:val="0"/>
        <w:spacing w:line="360" w:lineRule="auto"/>
        <w:ind w:left="480" w:hangingChars="200" w:hanging="480"/>
        <w:jc w:val="both"/>
      </w:pPr>
      <w:r w:rsidRPr="002C29D2">
        <w:t>Haleem, A., Javaid, M., &amp; Khan, I. H. (2019). Current status and applications of artificial intelligence (AI) in medical field: An overview. </w:t>
      </w:r>
      <w:r w:rsidRPr="002C29D2">
        <w:rPr>
          <w:i/>
          <w:iCs/>
        </w:rPr>
        <w:t>Current Medicine Research and Practice</w:t>
      </w:r>
      <w:r w:rsidRPr="002C29D2">
        <w:t>, </w:t>
      </w:r>
      <w:r w:rsidRPr="002C29D2">
        <w:rPr>
          <w:i/>
          <w:iCs/>
        </w:rPr>
        <w:t>9</w:t>
      </w:r>
      <w:r w:rsidRPr="002C29D2">
        <w:t>(6), 231-237.</w:t>
      </w:r>
    </w:p>
    <w:p w14:paraId="50AF6389" w14:textId="77777777" w:rsidR="00626FF9" w:rsidRPr="002C29D2" w:rsidRDefault="00626FF9" w:rsidP="00626FF9">
      <w:pPr>
        <w:adjustRightInd w:val="0"/>
        <w:snapToGrid w:val="0"/>
        <w:spacing w:line="360" w:lineRule="auto"/>
        <w:ind w:left="480" w:hangingChars="200" w:hanging="480"/>
        <w:jc w:val="both"/>
      </w:pPr>
      <w:r w:rsidRPr="002C29D2">
        <w:t>Hamet, P., &amp; Tremblay, J. (2017). Artificial intelligence in medicine. </w:t>
      </w:r>
      <w:r w:rsidRPr="002C29D2">
        <w:rPr>
          <w:i/>
          <w:iCs/>
        </w:rPr>
        <w:t>Metabolism</w:t>
      </w:r>
      <w:r w:rsidRPr="002C29D2">
        <w:t>, </w:t>
      </w:r>
      <w:r w:rsidRPr="002C29D2">
        <w:rPr>
          <w:i/>
          <w:iCs/>
        </w:rPr>
        <w:t>69</w:t>
      </w:r>
      <w:r w:rsidRPr="002C29D2">
        <w:t>, S36-S40.</w:t>
      </w:r>
    </w:p>
    <w:p w14:paraId="738A6B7D" w14:textId="77777777" w:rsidR="00626FF9" w:rsidRPr="002C29D2" w:rsidRDefault="00626FF9" w:rsidP="00626FF9">
      <w:pPr>
        <w:adjustRightInd w:val="0"/>
        <w:snapToGrid w:val="0"/>
        <w:spacing w:line="360" w:lineRule="auto"/>
        <w:ind w:left="480" w:hangingChars="200" w:hanging="480"/>
        <w:jc w:val="both"/>
      </w:pPr>
      <w:r w:rsidRPr="002C29D2">
        <w:rPr>
          <w:shd w:val="clear" w:color="auto" w:fill="FFFFFF"/>
        </w:rPr>
        <w:t>Harter, J. K., Schmidt, F. L., &amp; Hayes, T. L. (2002). Business-unit-level relationship between employee satisfaction, employee engagement, and business outcomes: a meta-analysis. </w:t>
      </w:r>
      <w:r w:rsidRPr="002C29D2">
        <w:rPr>
          <w:i/>
          <w:iCs/>
          <w:shd w:val="clear" w:color="auto" w:fill="FFFFFF"/>
        </w:rPr>
        <w:t>Journal of Applied Psychology</w:t>
      </w:r>
      <w:r w:rsidRPr="002C29D2">
        <w:rPr>
          <w:shd w:val="clear" w:color="auto" w:fill="FFFFFF"/>
        </w:rPr>
        <w:t>, </w:t>
      </w:r>
      <w:r w:rsidRPr="002C29D2">
        <w:rPr>
          <w:i/>
          <w:iCs/>
          <w:shd w:val="clear" w:color="auto" w:fill="FFFFFF"/>
        </w:rPr>
        <w:t>87</w:t>
      </w:r>
      <w:r w:rsidRPr="002C29D2">
        <w:rPr>
          <w:shd w:val="clear" w:color="auto" w:fill="FFFFFF"/>
        </w:rPr>
        <w:t>(2), 268-279.</w:t>
      </w:r>
    </w:p>
    <w:p w14:paraId="204A89C2" w14:textId="77777777" w:rsidR="00626FF9" w:rsidRPr="002C29D2" w:rsidRDefault="00626FF9" w:rsidP="00626FF9">
      <w:pPr>
        <w:adjustRightInd w:val="0"/>
        <w:snapToGrid w:val="0"/>
        <w:spacing w:line="360" w:lineRule="auto"/>
        <w:ind w:left="480" w:hangingChars="200" w:hanging="480"/>
        <w:jc w:val="both"/>
      </w:pPr>
      <w:r w:rsidRPr="002C29D2">
        <w:t xml:space="preserve">Hayes, A. F. (2017). </w:t>
      </w:r>
      <w:r w:rsidRPr="002C29D2">
        <w:rPr>
          <w:i/>
        </w:rPr>
        <w:t>Introduction to mediation, moderation, and conditional process analysis, second edition: A regression based approach</w:t>
      </w:r>
      <w:r w:rsidRPr="002C29D2">
        <w:t>. Guilford Publications.</w:t>
      </w:r>
    </w:p>
    <w:p w14:paraId="669387F4" w14:textId="77777777" w:rsidR="00626FF9" w:rsidRPr="002C29D2" w:rsidRDefault="00626FF9" w:rsidP="00626FF9">
      <w:pPr>
        <w:adjustRightInd w:val="0"/>
        <w:snapToGrid w:val="0"/>
        <w:spacing w:line="360" w:lineRule="auto"/>
        <w:ind w:left="480" w:hangingChars="200" w:hanging="480"/>
        <w:jc w:val="both"/>
      </w:pPr>
      <w:r w:rsidRPr="002C29D2">
        <w:t xml:space="preserve">Henseler, J., Dijkstra, T. K., Sarstedt, M., Ringle, C. M., Diamantopoulos, A., Straub, D. W., et al. (2014). Common beliefs and reality about PLS: Comments on Rönkkö and Evermann (2013). </w:t>
      </w:r>
      <w:r w:rsidRPr="002C29D2">
        <w:rPr>
          <w:i/>
        </w:rPr>
        <w:t>Organizational Research Methods, 17</w:t>
      </w:r>
      <w:r w:rsidRPr="002C29D2">
        <w:t>(2), 182-209. https://doi.org/10.1177/1094428114526928</w:t>
      </w:r>
    </w:p>
    <w:p w14:paraId="024E3ED4" w14:textId="77777777" w:rsidR="00626FF9" w:rsidRPr="002C29D2" w:rsidRDefault="00626FF9" w:rsidP="00626FF9">
      <w:pPr>
        <w:adjustRightInd w:val="0"/>
        <w:snapToGrid w:val="0"/>
        <w:spacing w:line="360" w:lineRule="auto"/>
        <w:ind w:left="480" w:hangingChars="200" w:hanging="480"/>
        <w:jc w:val="both"/>
      </w:pPr>
      <w:r w:rsidRPr="002C29D2">
        <w:rPr>
          <w:shd w:val="clear" w:color="auto" w:fill="FFFFFF"/>
        </w:rPr>
        <w:t>Jobin, A., Lenca, M., &amp; Vayena, E. (2019). The global landscape of AI ethics guidelines. </w:t>
      </w:r>
      <w:r w:rsidRPr="002C29D2">
        <w:rPr>
          <w:i/>
          <w:iCs/>
          <w:shd w:val="clear" w:color="auto" w:fill="FFFFFF"/>
        </w:rPr>
        <w:t>Nature Machine Intelligence</w:t>
      </w:r>
      <w:r w:rsidRPr="002C29D2">
        <w:rPr>
          <w:shd w:val="clear" w:color="auto" w:fill="FFFFFF"/>
        </w:rPr>
        <w:t>, </w:t>
      </w:r>
      <w:r w:rsidRPr="002C29D2">
        <w:rPr>
          <w:i/>
          <w:iCs/>
          <w:shd w:val="clear" w:color="auto" w:fill="FFFFFF"/>
        </w:rPr>
        <w:t>1</w:t>
      </w:r>
      <w:r w:rsidRPr="002C29D2">
        <w:rPr>
          <w:shd w:val="clear" w:color="auto" w:fill="FFFFFF"/>
        </w:rPr>
        <w:t>(9), 389-399.</w:t>
      </w:r>
    </w:p>
    <w:p w14:paraId="0ECD0A42" w14:textId="77777777" w:rsidR="00626FF9" w:rsidRPr="002C29D2" w:rsidRDefault="00626FF9" w:rsidP="00626FF9">
      <w:pPr>
        <w:adjustRightInd w:val="0"/>
        <w:snapToGrid w:val="0"/>
        <w:spacing w:line="360" w:lineRule="auto"/>
        <w:ind w:left="480" w:hangingChars="200" w:hanging="480"/>
        <w:jc w:val="both"/>
      </w:pPr>
      <w:r w:rsidRPr="002C29D2">
        <w:rPr>
          <w:shd w:val="clear" w:color="auto" w:fill="FFFFFF"/>
        </w:rPr>
        <w:t>Kahn, W. A. (1990). Psychological conditions of personal engagement and disengagement at work. </w:t>
      </w:r>
      <w:r w:rsidRPr="002C29D2">
        <w:rPr>
          <w:i/>
          <w:iCs/>
          <w:shd w:val="clear" w:color="auto" w:fill="FFFFFF"/>
        </w:rPr>
        <w:t>Academy of Management Journal</w:t>
      </w:r>
      <w:r w:rsidRPr="002C29D2">
        <w:rPr>
          <w:shd w:val="clear" w:color="auto" w:fill="FFFFFF"/>
        </w:rPr>
        <w:t>, </w:t>
      </w:r>
      <w:r w:rsidRPr="002C29D2">
        <w:rPr>
          <w:i/>
          <w:iCs/>
          <w:shd w:val="clear" w:color="auto" w:fill="FFFFFF"/>
        </w:rPr>
        <w:t>33</w:t>
      </w:r>
      <w:r w:rsidRPr="002C29D2">
        <w:rPr>
          <w:shd w:val="clear" w:color="auto" w:fill="FFFFFF"/>
        </w:rPr>
        <w:t>(4), 692-724.</w:t>
      </w:r>
    </w:p>
    <w:p w14:paraId="6B0F4524" w14:textId="77777777" w:rsidR="00626FF9" w:rsidRPr="002C29D2" w:rsidRDefault="00626FF9" w:rsidP="00626FF9">
      <w:pPr>
        <w:adjustRightInd w:val="0"/>
        <w:snapToGrid w:val="0"/>
        <w:spacing w:line="360" w:lineRule="auto"/>
        <w:ind w:left="480" w:hangingChars="200" w:hanging="480"/>
        <w:jc w:val="both"/>
      </w:pPr>
      <w:r w:rsidRPr="002C29D2">
        <w:rPr>
          <w:shd w:val="clear" w:color="auto" w:fill="FFFFFF"/>
        </w:rPr>
        <w:t>Karatepe, O. M. (2013). High-performance work practices and hotel employee performance: The mediation of work engagement. </w:t>
      </w:r>
      <w:r w:rsidRPr="002C29D2">
        <w:rPr>
          <w:i/>
          <w:iCs/>
          <w:shd w:val="clear" w:color="auto" w:fill="FFFFFF"/>
        </w:rPr>
        <w:t>International Journal of Hospitality Management</w:t>
      </w:r>
      <w:r w:rsidRPr="002C29D2">
        <w:rPr>
          <w:shd w:val="clear" w:color="auto" w:fill="FFFFFF"/>
        </w:rPr>
        <w:t>, </w:t>
      </w:r>
      <w:r w:rsidRPr="002C29D2">
        <w:rPr>
          <w:i/>
          <w:iCs/>
          <w:shd w:val="clear" w:color="auto" w:fill="FFFFFF"/>
        </w:rPr>
        <w:t>32</w:t>
      </w:r>
      <w:r w:rsidRPr="002C29D2">
        <w:rPr>
          <w:shd w:val="clear" w:color="auto" w:fill="FFFFFF"/>
        </w:rPr>
        <w:t>, 132-140.</w:t>
      </w:r>
    </w:p>
    <w:p w14:paraId="43DC6BA4" w14:textId="23FA8696" w:rsidR="00626FF9" w:rsidRPr="002C29D2" w:rsidRDefault="00626FF9" w:rsidP="00011FAC">
      <w:pPr>
        <w:spacing w:line="360" w:lineRule="auto"/>
        <w:ind w:left="567" w:hanging="567"/>
      </w:pPr>
      <w:r w:rsidRPr="002C29D2">
        <w:rPr>
          <w:shd w:val="clear" w:color="auto" w:fill="FFFFFF"/>
        </w:rPr>
        <w:t xml:space="preserve">Keane, P. A., &amp; Topol, E. J. (2018). With an eye to AI and autonomous diagnosis. </w:t>
      </w:r>
      <w:r w:rsidR="00011FAC" w:rsidRPr="002C29D2">
        <w:rPr>
          <w:i/>
          <w:iCs/>
        </w:rPr>
        <w:t>NPJ</w:t>
      </w:r>
      <w:r w:rsidRPr="002C29D2">
        <w:rPr>
          <w:i/>
          <w:iCs/>
        </w:rPr>
        <w:t xml:space="preserve"> Digital Medicine</w:t>
      </w:r>
      <w:r w:rsidRPr="002C29D2">
        <w:t xml:space="preserve">, </w:t>
      </w:r>
      <w:r w:rsidRPr="002C29D2">
        <w:rPr>
          <w:i/>
          <w:iCs/>
        </w:rPr>
        <w:t>1</w:t>
      </w:r>
      <w:r w:rsidRPr="002C29D2">
        <w:t>(40).</w:t>
      </w:r>
      <w:r w:rsidR="00011FAC" w:rsidRPr="002C29D2">
        <w:t xml:space="preserve"> </w:t>
      </w:r>
      <w:r w:rsidR="00011FAC" w:rsidRPr="002C29D2">
        <w:rPr>
          <w:shd w:val="clear" w:color="auto" w:fill="FCFCFC"/>
        </w:rPr>
        <w:t> </w:t>
      </w:r>
      <w:hyperlink r:id="rId15" w:history="1">
        <w:r w:rsidR="00011FAC" w:rsidRPr="002C29D2">
          <w:rPr>
            <w:rStyle w:val="Hyperlink"/>
            <w:color w:val="auto"/>
            <w:shd w:val="clear" w:color="auto" w:fill="FCFCFC"/>
          </w:rPr>
          <w:t>https://doi.org/10.1038/s41746-018-0048-y</w:t>
        </w:r>
      </w:hyperlink>
    </w:p>
    <w:p w14:paraId="7A1A4C44" w14:textId="77777777" w:rsidR="00626FF9" w:rsidRPr="002C29D2" w:rsidRDefault="00626FF9" w:rsidP="00011FAC">
      <w:pPr>
        <w:adjustRightInd w:val="0"/>
        <w:snapToGrid w:val="0"/>
        <w:spacing w:line="360" w:lineRule="auto"/>
        <w:ind w:left="480" w:hangingChars="200" w:hanging="480"/>
        <w:jc w:val="both"/>
      </w:pPr>
      <w:r w:rsidRPr="002C29D2">
        <w:t xml:space="preserve">Krishnan, S. (2017). Personality and espoused cultural differences in technostress creators. </w:t>
      </w:r>
      <w:r w:rsidRPr="002C29D2">
        <w:rPr>
          <w:i/>
        </w:rPr>
        <w:t>Computers in Human Behavior, 66</w:t>
      </w:r>
      <w:r w:rsidRPr="002C29D2">
        <w:t>, 154-167. https://doi.org/10.1016/j.chb.2016.09.039</w:t>
      </w:r>
    </w:p>
    <w:p w14:paraId="5DECB6CD" w14:textId="77777777" w:rsidR="00626FF9" w:rsidRPr="002C29D2" w:rsidRDefault="00626FF9" w:rsidP="00011FAC">
      <w:pPr>
        <w:adjustRightInd w:val="0"/>
        <w:snapToGrid w:val="0"/>
        <w:spacing w:line="360" w:lineRule="auto"/>
        <w:ind w:left="480" w:hangingChars="200" w:hanging="480"/>
        <w:jc w:val="both"/>
        <w:rPr>
          <w:shd w:val="clear" w:color="auto" w:fill="FFFFFF"/>
        </w:rPr>
      </w:pPr>
      <w:r w:rsidRPr="002C29D2">
        <w:rPr>
          <w:shd w:val="clear" w:color="auto" w:fill="FFFFFF"/>
        </w:rPr>
        <w:t xml:space="preserve">Lang, J., Bliese, P. D., Lang, J. W. B., &amp; Adler, A. B. (2011). Work gets unfair for the depressed: Cross-lagged relations between organizational justice perceptions and depressive symptoms. </w:t>
      </w:r>
      <w:r w:rsidRPr="002C29D2">
        <w:rPr>
          <w:i/>
          <w:shd w:val="clear" w:color="auto" w:fill="FFFFFF"/>
        </w:rPr>
        <w:t>Journal of Applied Psychology, 96</w:t>
      </w:r>
      <w:r w:rsidRPr="002C29D2">
        <w:rPr>
          <w:shd w:val="clear" w:color="auto" w:fill="FFFFFF"/>
        </w:rPr>
        <w:t>(3), 602-618. https://doi.org/10.1037/a0022463</w:t>
      </w:r>
    </w:p>
    <w:p w14:paraId="5D2DB81A"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 xml:space="preserve">Lau-Gesk, L. G. (2003). Activating culture through persuasion appeals: An examination of the bicultural consumer. </w:t>
      </w:r>
      <w:r w:rsidRPr="002C29D2">
        <w:rPr>
          <w:i/>
          <w:shd w:val="clear" w:color="auto" w:fill="FFFFFF"/>
        </w:rPr>
        <w:t>Journal of Consumer Psychology, 13</w:t>
      </w:r>
      <w:r w:rsidRPr="002C29D2">
        <w:rPr>
          <w:shd w:val="clear" w:color="auto" w:fill="FFFFFF"/>
        </w:rPr>
        <w:t>(3), 301-315.</w:t>
      </w:r>
    </w:p>
    <w:p w14:paraId="222A1051"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lastRenderedPageBreak/>
        <w:t>Leslie, L. M. (2019). Diversity initiative effectiveness: A typological theory of unintended consequences. </w:t>
      </w:r>
      <w:r w:rsidRPr="002C29D2">
        <w:rPr>
          <w:i/>
          <w:iCs/>
          <w:shd w:val="clear" w:color="auto" w:fill="FFFFFF"/>
        </w:rPr>
        <w:t>Academy of Management Review</w:t>
      </w:r>
      <w:r w:rsidRPr="002C29D2">
        <w:rPr>
          <w:shd w:val="clear" w:color="auto" w:fill="FFFFFF"/>
        </w:rPr>
        <w:t>, </w:t>
      </w:r>
      <w:r w:rsidRPr="002C29D2">
        <w:rPr>
          <w:i/>
          <w:iCs/>
          <w:shd w:val="clear" w:color="auto" w:fill="FFFFFF"/>
        </w:rPr>
        <w:t>44</w:t>
      </w:r>
      <w:r w:rsidRPr="002C29D2">
        <w:rPr>
          <w:shd w:val="clear" w:color="auto" w:fill="FFFFFF"/>
        </w:rPr>
        <w:t>(3), 538-563.</w:t>
      </w:r>
    </w:p>
    <w:p w14:paraId="77E8EE62" w14:textId="77777777" w:rsidR="00626FF9" w:rsidRPr="002C29D2" w:rsidRDefault="00626FF9" w:rsidP="00626FF9">
      <w:pPr>
        <w:adjustRightInd w:val="0"/>
        <w:snapToGrid w:val="0"/>
        <w:spacing w:line="360" w:lineRule="auto"/>
        <w:ind w:left="480" w:hangingChars="200" w:hanging="480"/>
        <w:jc w:val="both"/>
        <w:rPr>
          <w:lang w:eastAsia="zh-TW"/>
        </w:rPr>
      </w:pPr>
      <w:r w:rsidRPr="002C29D2">
        <w:rPr>
          <w:lang w:eastAsia="zh-TW"/>
        </w:rPr>
        <w:t xml:space="preserve">Li, X., &amp; Wu, L. (2018). Herding and social media word-of-mouth: evidence from groupon. </w:t>
      </w:r>
      <w:r w:rsidRPr="002C29D2">
        <w:rPr>
          <w:i/>
          <w:lang w:eastAsia="zh-TW"/>
        </w:rPr>
        <w:t>MIS Quarterly</w:t>
      </w:r>
      <w:r w:rsidRPr="002C29D2">
        <w:rPr>
          <w:lang w:eastAsia="zh-TW"/>
        </w:rPr>
        <w:t xml:space="preserve">, </w:t>
      </w:r>
      <w:r w:rsidRPr="002C29D2">
        <w:rPr>
          <w:i/>
          <w:iCs/>
          <w:lang w:eastAsia="zh-TW"/>
        </w:rPr>
        <w:t>42</w:t>
      </w:r>
      <w:r w:rsidRPr="002C29D2">
        <w:rPr>
          <w:lang w:eastAsia="zh-TW"/>
        </w:rPr>
        <w:t>(4), 1331–1351.</w:t>
      </w:r>
    </w:p>
    <w:p w14:paraId="3E0E1D56" w14:textId="77777777" w:rsidR="00626FF9" w:rsidRPr="002C29D2" w:rsidRDefault="00626FF9" w:rsidP="00626FF9">
      <w:pPr>
        <w:adjustRightInd w:val="0"/>
        <w:snapToGrid w:val="0"/>
        <w:spacing w:line="360" w:lineRule="auto"/>
        <w:ind w:left="480" w:hangingChars="200" w:hanging="480"/>
        <w:jc w:val="both"/>
        <w:rPr>
          <w:lang w:eastAsia="zh-TW"/>
        </w:rPr>
      </w:pPr>
      <w:r w:rsidRPr="002C29D2">
        <w:rPr>
          <w:shd w:val="clear" w:color="auto" w:fill="FFFFFF"/>
        </w:rPr>
        <w:t>Liao, Q. V., Gruen, D., &amp; Miller, S. (2020). Questioning the AI: Informing Design Practices for Explainable AI User Experiences. In </w:t>
      </w:r>
      <w:r w:rsidRPr="002C29D2">
        <w:rPr>
          <w:i/>
          <w:iCs/>
          <w:shd w:val="clear" w:color="auto" w:fill="FFFFFF"/>
        </w:rPr>
        <w:t>Proceedings of the 2020 CHI Conference on Human Factors in Computing Systems</w:t>
      </w:r>
      <w:r w:rsidRPr="002C29D2">
        <w:rPr>
          <w:shd w:val="clear" w:color="auto" w:fill="FFFFFF"/>
        </w:rPr>
        <w:t> (pp. 1-15).</w:t>
      </w:r>
    </w:p>
    <w:p w14:paraId="3E885046" w14:textId="77777777" w:rsidR="00626FF9" w:rsidRPr="002C29D2" w:rsidRDefault="00626FF9" w:rsidP="00626FF9">
      <w:pPr>
        <w:adjustRightInd w:val="0"/>
        <w:snapToGrid w:val="0"/>
        <w:spacing w:line="360" w:lineRule="auto"/>
        <w:ind w:left="480" w:hangingChars="200" w:hanging="480"/>
        <w:jc w:val="both"/>
      </w:pPr>
      <w:r w:rsidRPr="002C29D2">
        <w:t xml:space="preserve">Lind, E. A. (2001). Fairness heuristic theory: Justice judgments as pivotal cognitions in organizational relations. In J. Greenberg &amp; R. Cropanzano (Eds.), </w:t>
      </w:r>
      <w:r w:rsidRPr="002C29D2">
        <w:rPr>
          <w:i/>
          <w:iCs/>
        </w:rPr>
        <w:t xml:space="preserve">Advances in Organizational Justice. </w:t>
      </w:r>
      <w:r w:rsidRPr="002C29D2">
        <w:t>(pp. 56-88). Stanford, CA: Stanford University Press.</w:t>
      </w:r>
    </w:p>
    <w:p w14:paraId="52A4557E"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Martela, F., &amp; Ryan, R. M. (2016). The benefits of benevolence: Basic psychological needs, beneficence, and the enhancement of well‐being. </w:t>
      </w:r>
      <w:r w:rsidRPr="002C29D2">
        <w:rPr>
          <w:i/>
          <w:iCs/>
          <w:shd w:val="clear" w:color="auto" w:fill="FFFFFF"/>
        </w:rPr>
        <w:t>Journal of Personality</w:t>
      </w:r>
      <w:r w:rsidRPr="002C29D2">
        <w:rPr>
          <w:shd w:val="clear" w:color="auto" w:fill="FFFFFF"/>
        </w:rPr>
        <w:t>, </w:t>
      </w:r>
      <w:r w:rsidRPr="002C29D2">
        <w:rPr>
          <w:i/>
          <w:iCs/>
          <w:shd w:val="clear" w:color="auto" w:fill="FFFFFF"/>
        </w:rPr>
        <w:t>84</w:t>
      </w:r>
      <w:r w:rsidRPr="002C29D2">
        <w:rPr>
          <w:shd w:val="clear" w:color="auto" w:fill="FFFFFF"/>
        </w:rPr>
        <w:t>(6), 750-764.</w:t>
      </w:r>
    </w:p>
    <w:p w14:paraId="05709D97" w14:textId="77777777" w:rsidR="00626FF9" w:rsidRPr="002C29D2" w:rsidRDefault="00626FF9" w:rsidP="00626FF9">
      <w:pPr>
        <w:adjustRightInd w:val="0"/>
        <w:snapToGrid w:val="0"/>
        <w:spacing w:line="360" w:lineRule="auto"/>
        <w:ind w:left="480" w:hangingChars="200" w:hanging="480"/>
        <w:jc w:val="both"/>
      </w:pPr>
      <w:r w:rsidRPr="002C29D2">
        <w:t>Masterson, S. S., Lewis, K., Goldman, B. M., &amp; Taylor, M. S. (2000). Integrating justice and social exchange: The differing effects of fair procedures and treatment on work relationships. </w:t>
      </w:r>
      <w:r w:rsidRPr="002C29D2">
        <w:rPr>
          <w:i/>
          <w:iCs/>
        </w:rPr>
        <w:t>Academy of Management journal</w:t>
      </w:r>
      <w:r w:rsidRPr="002C29D2">
        <w:t>, </w:t>
      </w:r>
      <w:r w:rsidRPr="002C29D2">
        <w:rPr>
          <w:i/>
          <w:iCs/>
        </w:rPr>
        <w:t>43</w:t>
      </w:r>
      <w:r w:rsidRPr="002C29D2">
        <w:t>(4), 738-748.</w:t>
      </w:r>
    </w:p>
    <w:p w14:paraId="4C5A6306"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 xml:space="preserve">McLean, G., &amp; Osei-Frimpong, K. (2019). Chat now… Examining the variables influencing the use of online live chat. </w:t>
      </w:r>
      <w:r w:rsidRPr="002C29D2">
        <w:rPr>
          <w:i/>
          <w:shd w:val="clear" w:color="auto" w:fill="FFFFFF"/>
        </w:rPr>
        <w:t>Technological Forecasting and Social Change, 146</w:t>
      </w:r>
      <w:r w:rsidRPr="002C29D2">
        <w:rPr>
          <w:shd w:val="clear" w:color="auto" w:fill="FFFFFF"/>
        </w:rPr>
        <w:t>, 55-67. https://doi.org/10.1016/j.techfore.2019.05.017</w:t>
      </w:r>
    </w:p>
    <w:p w14:paraId="0802054E"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Miller, T. (2019). Explanation in artificial intelligence: Insights from the social sciences. </w:t>
      </w:r>
      <w:r w:rsidRPr="002C29D2">
        <w:rPr>
          <w:i/>
          <w:iCs/>
          <w:shd w:val="clear" w:color="auto" w:fill="FFFFFF"/>
        </w:rPr>
        <w:t>Artificial Intelligence</w:t>
      </w:r>
      <w:r w:rsidRPr="002C29D2">
        <w:rPr>
          <w:shd w:val="clear" w:color="auto" w:fill="FFFFFF"/>
        </w:rPr>
        <w:t>, </w:t>
      </w:r>
      <w:r w:rsidRPr="002C29D2">
        <w:rPr>
          <w:i/>
          <w:iCs/>
          <w:shd w:val="clear" w:color="auto" w:fill="FFFFFF"/>
        </w:rPr>
        <w:t>267</w:t>
      </w:r>
      <w:r w:rsidRPr="002C29D2">
        <w:rPr>
          <w:shd w:val="clear" w:color="auto" w:fill="FFFFFF"/>
        </w:rPr>
        <w:t>, 1-38.</w:t>
      </w:r>
    </w:p>
    <w:p w14:paraId="509245AB" w14:textId="5786CA4F" w:rsidR="00626FF9" w:rsidRPr="002C29D2" w:rsidRDefault="00626FF9" w:rsidP="00626FF9">
      <w:pPr>
        <w:adjustRightInd w:val="0"/>
        <w:snapToGrid w:val="0"/>
        <w:spacing w:line="360" w:lineRule="auto"/>
        <w:ind w:left="480" w:hangingChars="200" w:hanging="480"/>
        <w:jc w:val="both"/>
      </w:pPr>
      <w:r w:rsidRPr="002C29D2">
        <w:t>Ministry of Health of the People's Republic of China (2011, September 21</w:t>
      </w:r>
      <w:r w:rsidRPr="002C29D2">
        <w:rPr>
          <w:i/>
          <w:iCs/>
        </w:rPr>
        <w:t>). Interim measures for hospital evaluation</w:t>
      </w:r>
      <w:r w:rsidRPr="002C29D2">
        <w:t>.</w:t>
      </w:r>
      <w:r w:rsidR="006C13F4" w:rsidRPr="002C29D2">
        <w:t xml:space="preserve"> Retrieved October 17, 2020, from</w:t>
      </w:r>
      <w:r w:rsidRPr="002C29D2">
        <w:t xml:space="preserve"> http://www.nhc.gov.cn/cms-search/xxgk/getManuscriptXxgk.htm?id=53040</w:t>
      </w:r>
    </w:p>
    <w:p w14:paraId="1687A424" w14:textId="77777777" w:rsidR="00626FF9" w:rsidRPr="002C29D2" w:rsidRDefault="00626FF9" w:rsidP="00626FF9">
      <w:pPr>
        <w:adjustRightInd w:val="0"/>
        <w:snapToGrid w:val="0"/>
        <w:spacing w:line="360" w:lineRule="auto"/>
        <w:ind w:left="480" w:hangingChars="200" w:hanging="480"/>
        <w:jc w:val="both"/>
        <w:rPr>
          <w:shd w:val="clear" w:color="auto" w:fill="FFFFFF"/>
        </w:rPr>
      </w:pPr>
      <w:r w:rsidRPr="002C29D2">
        <w:rPr>
          <w:shd w:val="clear" w:color="auto" w:fill="FFFFFF"/>
        </w:rPr>
        <w:t>Mitchell, C., Meredith, P., Richardson, M., Greengross, P., &amp; Smith, G. B. (2016). Reducing the number and impact of outbreaks of nosocomial viral gastroenteritis: time-series analysis of a multidimensional quality improvement initiative. </w:t>
      </w:r>
      <w:r w:rsidRPr="002C29D2">
        <w:rPr>
          <w:i/>
          <w:iCs/>
          <w:shd w:val="clear" w:color="auto" w:fill="FFFFFF"/>
        </w:rPr>
        <w:t>BMJ Quality &amp; Safety</w:t>
      </w:r>
      <w:r w:rsidRPr="002C29D2">
        <w:rPr>
          <w:shd w:val="clear" w:color="auto" w:fill="FFFFFF"/>
        </w:rPr>
        <w:t>, </w:t>
      </w:r>
      <w:r w:rsidRPr="002C29D2">
        <w:rPr>
          <w:i/>
          <w:iCs/>
          <w:shd w:val="clear" w:color="auto" w:fill="FFFFFF"/>
        </w:rPr>
        <w:t>25</w:t>
      </w:r>
      <w:r w:rsidRPr="002C29D2">
        <w:rPr>
          <w:shd w:val="clear" w:color="auto" w:fill="FFFFFF"/>
        </w:rPr>
        <w:t>(6), 466-474.</w:t>
      </w:r>
    </w:p>
    <w:p w14:paraId="6CB0A595" w14:textId="77777777" w:rsidR="00626FF9" w:rsidRPr="002C29D2" w:rsidRDefault="00626FF9" w:rsidP="00626FF9">
      <w:pPr>
        <w:adjustRightInd w:val="0"/>
        <w:snapToGrid w:val="0"/>
        <w:spacing w:line="360" w:lineRule="auto"/>
        <w:ind w:left="480" w:hangingChars="200" w:hanging="480"/>
        <w:jc w:val="both"/>
      </w:pPr>
      <w:r w:rsidRPr="002C29D2">
        <w:t xml:space="preserve">Moons, I., &amp; De Pelsmacker, P. (2012). Emotions as determinants of electric car usage intention. </w:t>
      </w:r>
      <w:r w:rsidRPr="002C29D2">
        <w:rPr>
          <w:i/>
        </w:rPr>
        <w:t>Journal of Marketing Management, 28</w:t>
      </w:r>
      <w:r w:rsidRPr="002C29D2">
        <w:t>(3-4), 195-237. https://doi.org/10.1080/0267257X.2012.659007</w:t>
      </w:r>
    </w:p>
    <w:p w14:paraId="4FCD4149" w14:textId="77777777" w:rsidR="00626FF9" w:rsidRPr="002C29D2" w:rsidRDefault="00626FF9" w:rsidP="00626FF9">
      <w:pPr>
        <w:adjustRightInd w:val="0"/>
        <w:snapToGrid w:val="0"/>
        <w:spacing w:line="360" w:lineRule="auto"/>
        <w:ind w:left="480" w:hangingChars="200" w:hanging="480"/>
        <w:jc w:val="both"/>
      </w:pPr>
      <w:r w:rsidRPr="002C29D2">
        <w:rPr>
          <w:shd w:val="clear" w:color="auto" w:fill="FFFFFF"/>
        </w:rPr>
        <w:t>Morley, J., Floridi, L., Kinsey, L., &amp; Elhalal, A. (2020). From what to how: an initial review of publicly available AI ethics tools, methods and research to translate principles into practices. </w:t>
      </w:r>
      <w:r w:rsidRPr="002C29D2">
        <w:rPr>
          <w:i/>
          <w:iCs/>
          <w:shd w:val="clear" w:color="auto" w:fill="FFFFFF"/>
        </w:rPr>
        <w:t>Science and Engineering Ethics</w:t>
      </w:r>
      <w:r w:rsidRPr="002C29D2">
        <w:rPr>
          <w:shd w:val="clear" w:color="auto" w:fill="FFFFFF"/>
        </w:rPr>
        <w:t>, </w:t>
      </w:r>
      <w:r w:rsidRPr="002C29D2">
        <w:rPr>
          <w:i/>
          <w:iCs/>
          <w:shd w:val="clear" w:color="auto" w:fill="FFFFFF"/>
        </w:rPr>
        <w:t>26</w:t>
      </w:r>
      <w:r w:rsidRPr="002C29D2">
        <w:rPr>
          <w:shd w:val="clear" w:color="auto" w:fill="FFFFFF"/>
        </w:rPr>
        <w:t>(4), 2141-2168.</w:t>
      </w:r>
    </w:p>
    <w:p w14:paraId="104E669D" w14:textId="7DBD24B8" w:rsidR="00626FF9" w:rsidRPr="002C29D2" w:rsidRDefault="00626FF9" w:rsidP="006C13F4">
      <w:pPr>
        <w:spacing w:line="360" w:lineRule="auto"/>
        <w:ind w:left="426" w:hanging="426"/>
      </w:pPr>
      <w:r w:rsidRPr="002C29D2">
        <w:rPr>
          <w:shd w:val="clear" w:color="auto" w:fill="FFFFFF"/>
        </w:rPr>
        <w:lastRenderedPageBreak/>
        <w:t>Nadarzynski, T., Bayley, J., Llewellyn, C., Kidsley, S., &amp; Graham, C. A. (2020). Acceptability of artificial intelligence (AI)-enabled chatbots, video consultations and live webchats as online platforms for sexual health advice. </w:t>
      </w:r>
      <w:r w:rsidRPr="002C29D2">
        <w:rPr>
          <w:i/>
          <w:iCs/>
          <w:shd w:val="clear" w:color="auto" w:fill="FFFFFF"/>
        </w:rPr>
        <w:t>BMJ Sexual &amp; Reproductive Health</w:t>
      </w:r>
      <w:r w:rsidRPr="002C29D2">
        <w:rPr>
          <w:shd w:val="clear" w:color="auto" w:fill="FFFFFF"/>
        </w:rPr>
        <w:t>.</w:t>
      </w:r>
      <w:r w:rsidR="006C13F4" w:rsidRPr="002C29D2">
        <w:rPr>
          <w:shd w:val="clear" w:color="auto" w:fill="FFFFFF"/>
        </w:rPr>
        <w:t xml:space="preserve"> Advance online publication, </w:t>
      </w:r>
      <w:r w:rsidR="006C13F4" w:rsidRPr="002C29D2">
        <w:t>DOI: 10.1136/bmjsrh-2018-200271</w:t>
      </w:r>
    </w:p>
    <w:p w14:paraId="2AC34763" w14:textId="77777777" w:rsidR="00626FF9" w:rsidRPr="002C29D2" w:rsidRDefault="00626FF9" w:rsidP="00626FF9">
      <w:pPr>
        <w:adjustRightInd w:val="0"/>
        <w:snapToGrid w:val="0"/>
        <w:spacing w:line="360" w:lineRule="auto"/>
        <w:ind w:left="480" w:hangingChars="200" w:hanging="480"/>
        <w:jc w:val="both"/>
      </w:pPr>
      <w:r w:rsidRPr="002C29D2">
        <w:rPr>
          <w:shd w:val="clear" w:color="auto" w:fill="FFFFFF"/>
        </w:rPr>
        <w:t>Nadarzynski, T., Miles, O., Cowie, A., &amp; Ridge, D. (2019). Acceptability of artificial intelligence (AI)-led chatbot services in healthcare: A mixed-methods study. </w:t>
      </w:r>
      <w:r w:rsidRPr="002C29D2">
        <w:rPr>
          <w:i/>
          <w:iCs/>
          <w:shd w:val="clear" w:color="auto" w:fill="FFFFFF"/>
        </w:rPr>
        <w:t>Digital Health</w:t>
      </w:r>
      <w:r w:rsidRPr="002C29D2">
        <w:rPr>
          <w:shd w:val="clear" w:color="auto" w:fill="FFFFFF"/>
        </w:rPr>
        <w:t>, </w:t>
      </w:r>
      <w:r w:rsidRPr="002C29D2">
        <w:rPr>
          <w:i/>
          <w:iCs/>
          <w:shd w:val="clear" w:color="auto" w:fill="FFFFFF"/>
        </w:rPr>
        <w:t>5</w:t>
      </w:r>
      <w:r w:rsidRPr="002C29D2">
        <w:rPr>
          <w:shd w:val="clear" w:color="auto" w:fill="FFFFFF"/>
        </w:rPr>
        <w:t>, 1-12.</w:t>
      </w:r>
    </w:p>
    <w:p w14:paraId="4F627950" w14:textId="77CE1BAD" w:rsidR="00932425" w:rsidRPr="002C29D2" w:rsidRDefault="00626FF9" w:rsidP="00932425">
      <w:pPr>
        <w:adjustRightInd w:val="0"/>
        <w:snapToGrid w:val="0"/>
        <w:spacing w:line="360" w:lineRule="auto"/>
        <w:ind w:left="480" w:hangingChars="200" w:hanging="480"/>
        <w:jc w:val="both"/>
        <w:rPr>
          <w:shd w:val="clear" w:color="auto" w:fill="FFFFFF"/>
        </w:rPr>
      </w:pPr>
      <w:r w:rsidRPr="002C29D2">
        <w:rPr>
          <w:shd w:val="clear" w:color="auto" w:fill="FFFFFF"/>
        </w:rPr>
        <w:t>Newman, D. T., Fast, N. J., &amp; Harmon, D. J. (2020). When eliminating bias isn’t fair: Algorithmic reductionism and procedural justice in human resource decisions. </w:t>
      </w:r>
      <w:r w:rsidRPr="002C29D2">
        <w:rPr>
          <w:i/>
          <w:iCs/>
          <w:shd w:val="clear" w:color="auto" w:fill="FFFFFF"/>
        </w:rPr>
        <w:t>Organizational Behavior and Human Decision Processes</w:t>
      </w:r>
      <w:r w:rsidRPr="002C29D2">
        <w:rPr>
          <w:shd w:val="clear" w:color="auto" w:fill="FFFFFF"/>
        </w:rPr>
        <w:t>, </w:t>
      </w:r>
      <w:r w:rsidRPr="002C29D2">
        <w:rPr>
          <w:i/>
          <w:iCs/>
          <w:shd w:val="clear" w:color="auto" w:fill="FFFFFF"/>
        </w:rPr>
        <w:t>160</w:t>
      </w:r>
      <w:r w:rsidRPr="002C29D2">
        <w:rPr>
          <w:shd w:val="clear" w:color="auto" w:fill="FFFFFF"/>
        </w:rPr>
        <w:t>, 149-167.</w:t>
      </w:r>
    </w:p>
    <w:p w14:paraId="26F6A4BE" w14:textId="3E3E99DD" w:rsidR="00932425" w:rsidRPr="002C29D2" w:rsidRDefault="00932425" w:rsidP="00932425">
      <w:pPr>
        <w:spacing w:line="360" w:lineRule="auto"/>
        <w:ind w:left="426" w:hanging="426"/>
      </w:pPr>
      <w:r w:rsidRPr="002C29D2">
        <w:t xml:space="preserve">Nikkei Asia (2020). </w:t>
      </w:r>
      <w:r w:rsidRPr="002C29D2">
        <w:rPr>
          <w:rStyle w:val="ezstring-field"/>
        </w:rPr>
        <w:t xml:space="preserve">China takes lead in AI-based diagnostic imaging equipment, </w:t>
      </w:r>
      <w:r w:rsidRPr="002C29D2">
        <w:t>Retrieved March 20, 2021, from https://asia.nikkei.com/Business/Startups/China-takes-lead-in-AI-based-diagnostic-imaging-equipment.</w:t>
      </w:r>
    </w:p>
    <w:p w14:paraId="5F1AD720" w14:textId="1F37E60C"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 xml:space="preserve">Novuseeds Medtech (2018, May 24). </w:t>
      </w:r>
      <w:r w:rsidRPr="002C29D2">
        <w:rPr>
          <w:i/>
          <w:iCs/>
          <w:shd w:val="clear" w:color="auto" w:fill="FFFFFF"/>
        </w:rPr>
        <w:t>West China Hospital established a medical artificial intelligence research and development center</w:t>
      </w:r>
      <w:r w:rsidRPr="002C29D2">
        <w:rPr>
          <w:shd w:val="clear" w:color="auto" w:fill="FFFFFF"/>
        </w:rPr>
        <w:t xml:space="preserve">. Novuseeds Medtech. Retrieved </w:t>
      </w:r>
      <w:r w:rsidR="00E66BFE" w:rsidRPr="002C29D2">
        <w:rPr>
          <w:shd w:val="clear" w:color="auto" w:fill="FFFFFF"/>
        </w:rPr>
        <w:t>September 20, 2020, from</w:t>
      </w:r>
      <w:r w:rsidRPr="002C29D2">
        <w:rPr>
          <w:shd w:val="clear" w:color="auto" w:fill="FFFFFF"/>
        </w:rPr>
        <w:t xml:space="preserve"> </w:t>
      </w:r>
      <w:hyperlink r:id="rId16" w:history="1">
        <w:r w:rsidRPr="002C29D2">
          <w:rPr>
            <w:rStyle w:val="Hyperlink"/>
            <w:color w:val="auto"/>
            <w:shd w:val="clear" w:color="auto" w:fill="FFFFFF"/>
          </w:rPr>
          <w:t>http://www.seedsmed.com/news/3.html</w:t>
        </w:r>
      </w:hyperlink>
    </w:p>
    <w:p w14:paraId="78851C5A" w14:textId="4F85B7A4" w:rsidR="00932425" w:rsidRPr="002C29D2" w:rsidRDefault="00932425" w:rsidP="00E66BFE">
      <w:pPr>
        <w:adjustRightInd w:val="0"/>
        <w:snapToGrid w:val="0"/>
        <w:spacing w:line="360" w:lineRule="auto"/>
        <w:ind w:left="480" w:hangingChars="200" w:hanging="480"/>
        <w:jc w:val="both"/>
        <w:rPr>
          <w:shd w:val="clear" w:color="auto" w:fill="FFFFFF"/>
        </w:rPr>
      </w:pPr>
      <w:r w:rsidRPr="002C29D2">
        <w:rPr>
          <w:shd w:val="clear" w:color="auto" w:fill="FFFFFF"/>
        </w:rPr>
        <w:t>Panch, T., Mattie, H., &amp; Celi, L. A. (2019). The “inconvenient truth” about AI in healthcare. </w:t>
      </w:r>
      <w:r w:rsidRPr="002C29D2">
        <w:rPr>
          <w:i/>
          <w:iCs/>
          <w:shd w:val="clear" w:color="auto" w:fill="FFFFFF"/>
        </w:rPr>
        <w:t>N</w:t>
      </w:r>
      <w:r w:rsidR="00E66BFE" w:rsidRPr="002C29D2">
        <w:rPr>
          <w:i/>
          <w:iCs/>
          <w:shd w:val="clear" w:color="auto" w:fill="FFFFFF"/>
        </w:rPr>
        <w:t>PJ</w:t>
      </w:r>
      <w:r w:rsidRPr="002C29D2">
        <w:rPr>
          <w:i/>
          <w:iCs/>
          <w:shd w:val="clear" w:color="auto" w:fill="FFFFFF"/>
        </w:rPr>
        <w:t xml:space="preserve"> Digital Medicine</w:t>
      </w:r>
      <w:r w:rsidRPr="002C29D2">
        <w:rPr>
          <w:shd w:val="clear" w:color="auto" w:fill="FFFFFF"/>
        </w:rPr>
        <w:t>, </w:t>
      </w:r>
      <w:r w:rsidRPr="002C29D2">
        <w:rPr>
          <w:i/>
          <w:iCs/>
          <w:shd w:val="clear" w:color="auto" w:fill="FFFFFF"/>
        </w:rPr>
        <w:t>2</w:t>
      </w:r>
      <w:r w:rsidRPr="002C29D2">
        <w:rPr>
          <w:shd w:val="clear" w:color="auto" w:fill="FFFFFF"/>
        </w:rPr>
        <w:t>(1), 1-3.</w:t>
      </w:r>
    </w:p>
    <w:p w14:paraId="259D9B56"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Pavlou, P. A., &amp; Dimoka, A. (2006). The nature and role of feedback text comments in online marketplaces: Implications for trust building, price premiums, and seller differentiation. </w:t>
      </w:r>
      <w:r w:rsidRPr="002C29D2">
        <w:rPr>
          <w:i/>
          <w:iCs/>
          <w:shd w:val="clear" w:color="auto" w:fill="FFFFFF"/>
        </w:rPr>
        <w:t>Information Systems Research</w:t>
      </w:r>
      <w:r w:rsidRPr="002C29D2">
        <w:rPr>
          <w:shd w:val="clear" w:color="auto" w:fill="FFFFFF"/>
        </w:rPr>
        <w:t>, </w:t>
      </w:r>
      <w:r w:rsidRPr="002C29D2">
        <w:rPr>
          <w:i/>
          <w:iCs/>
          <w:shd w:val="clear" w:color="auto" w:fill="FFFFFF"/>
        </w:rPr>
        <w:t>17</w:t>
      </w:r>
      <w:r w:rsidRPr="002C29D2">
        <w:rPr>
          <w:shd w:val="clear" w:color="auto" w:fill="FFFFFF"/>
        </w:rPr>
        <w:t>(4), 392-414.</w:t>
      </w:r>
    </w:p>
    <w:p w14:paraId="2A5D08C9"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Peters, D., Vold, K., Robinson, D., &amp; Calvo, R. A. (2020). Responsible AI—two frameworks for ethical design practice. </w:t>
      </w:r>
      <w:r w:rsidRPr="002C29D2">
        <w:rPr>
          <w:i/>
          <w:iCs/>
          <w:shd w:val="clear" w:color="auto" w:fill="FFFFFF"/>
        </w:rPr>
        <w:t>IEEE Transactions on Technology and Society</w:t>
      </w:r>
      <w:r w:rsidRPr="002C29D2">
        <w:rPr>
          <w:shd w:val="clear" w:color="auto" w:fill="FFFFFF"/>
        </w:rPr>
        <w:t>, </w:t>
      </w:r>
      <w:r w:rsidRPr="002C29D2">
        <w:rPr>
          <w:i/>
          <w:iCs/>
          <w:shd w:val="clear" w:color="auto" w:fill="FFFFFF"/>
        </w:rPr>
        <w:t>1</w:t>
      </w:r>
      <w:r w:rsidRPr="002C29D2">
        <w:rPr>
          <w:shd w:val="clear" w:color="auto" w:fill="FFFFFF"/>
        </w:rPr>
        <w:t>(1), 34-47.</w:t>
      </w:r>
    </w:p>
    <w:p w14:paraId="4E26D8FE"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 xml:space="preserve">Qureshi, I., &amp; Compeau, D. (2009). Assessing between-group differences in information systems research: A comparison of covariance-and component-based SEM. </w:t>
      </w:r>
      <w:r w:rsidRPr="002C29D2">
        <w:rPr>
          <w:i/>
          <w:iCs/>
          <w:shd w:val="clear" w:color="auto" w:fill="FFFFFF"/>
        </w:rPr>
        <w:t xml:space="preserve">MIS </w:t>
      </w:r>
      <w:r w:rsidRPr="002C29D2">
        <w:rPr>
          <w:i/>
          <w:iCs/>
          <w:shd w:val="clear" w:color="auto" w:fill="FFFFFF"/>
          <w:lang w:eastAsia="zh-TW"/>
        </w:rPr>
        <w:t>Q</w:t>
      </w:r>
      <w:r w:rsidRPr="002C29D2">
        <w:rPr>
          <w:i/>
          <w:iCs/>
          <w:shd w:val="clear" w:color="auto" w:fill="FFFFFF"/>
        </w:rPr>
        <w:t xml:space="preserve">uarterly, </w:t>
      </w:r>
      <w:r w:rsidRPr="002C29D2">
        <w:rPr>
          <w:i/>
          <w:iCs/>
          <w:shd w:val="clear" w:color="auto" w:fill="FFFFFF"/>
          <w:lang w:eastAsia="zh-TW"/>
        </w:rPr>
        <w:t>33</w:t>
      </w:r>
      <w:r w:rsidRPr="002C29D2">
        <w:rPr>
          <w:shd w:val="clear" w:color="auto" w:fill="FFFFFF"/>
          <w:lang w:eastAsia="zh-TW"/>
        </w:rPr>
        <w:t xml:space="preserve">(1), </w:t>
      </w:r>
      <w:r w:rsidRPr="002C29D2">
        <w:rPr>
          <w:shd w:val="clear" w:color="auto" w:fill="FFFFFF"/>
        </w:rPr>
        <w:t>197-214.</w:t>
      </w:r>
    </w:p>
    <w:p w14:paraId="435F572C"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Rai, A. (2020). Explainable AI: From black box to glass box. </w:t>
      </w:r>
      <w:r w:rsidRPr="002C29D2">
        <w:rPr>
          <w:i/>
          <w:iCs/>
          <w:shd w:val="clear" w:color="auto" w:fill="FFFFFF"/>
        </w:rPr>
        <w:t>Journal of the Academy of Marketing Science</w:t>
      </w:r>
      <w:r w:rsidRPr="002C29D2">
        <w:rPr>
          <w:shd w:val="clear" w:color="auto" w:fill="FFFFFF"/>
        </w:rPr>
        <w:t>, </w:t>
      </w:r>
      <w:r w:rsidRPr="002C29D2">
        <w:rPr>
          <w:i/>
          <w:iCs/>
          <w:shd w:val="clear" w:color="auto" w:fill="FFFFFF"/>
        </w:rPr>
        <w:t>48</w:t>
      </w:r>
      <w:r w:rsidRPr="002C29D2">
        <w:rPr>
          <w:shd w:val="clear" w:color="auto" w:fill="FFFFFF"/>
        </w:rPr>
        <w:t>(1), 137-141.</w:t>
      </w:r>
    </w:p>
    <w:p w14:paraId="3BA01717" w14:textId="77777777" w:rsidR="00932425" w:rsidRPr="002C29D2" w:rsidRDefault="00932425" w:rsidP="00932425">
      <w:pPr>
        <w:adjustRightInd w:val="0"/>
        <w:snapToGrid w:val="0"/>
        <w:spacing w:line="360" w:lineRule="auto"/>
        <w:ind w:left="480" w:hangingChars="200" w:hanging="480"/>
        <w:jc w:val="both"/>
      </w:pPr>
      <w:r w:rsidRPr="002C29D2">
        <w:rPr>
          <w:shd w:val="clear" w:color="auto" w:fill="FFFFFF"/>
        </w:rPr>
        <w:t xml:space="preserve">Ramaswamy, P., Jeude, J., &amp; Smith, J. A. (2018, September). Making AI responsible and effective. </w:t>
      </w:r>
      <w:r w:rsidRPr="002C29D2">
        <w:t xml:space="preserve">Retrieved November 24, 2020, from </w:t>
      </w:r>
      <w:hyperlink r:id="rId17" w:history="1">
        <w:r w:rsidRPr="002C29D2">
          <w:rPr>
            <w:rStyle w:val="Hyperlink"/>
            <w:color w:val="auto"/>
            <w:shd w:val="clear" w:color="auto" w:fill="FFFFFF"/>
          </w:rPr>
          <w:t>https://www.cognizant.com/whitepapers/making-ai-responsible-and-effective-codex3916.pdf</w:t>
        </w:r>
      </w:hyperlink>
      <w:r w:rsidRPr="002C29D2">
        <w:rPr>
          <w:shd w:val="clear" w:color="auto" w:fill="FFFFFF"/>
        </w:rPr>
        <w:t xml:space="preserve"> </w:t>
      </w:r>
    </w:p>
    <w:p w14:paraId="07A29A9C"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lastRenderedPageBreak/>
        <w:t>Reddy, S., Allan, S., Coghlan, S., &amp; Cooper, P. (2020). A governance model for the application of AI in health care. </w:t>
      </w:r>
      <w:r w:rsidRPr="002C29D2">
        <w:rPr>
          <w:i/>
          <w:iCs/>
          <w:shd w:val="clear" w:color="auto" w:fill="FFFFFF"/>
        </w:rPr>
        <w:t>Journal of the American Medical Informatics Association</w:t>
      </w:r>
      <w:r w:rsidRPr="002C29D2">
        <w:rPr>
          <w:shd w:val="clear" w:color="auto" w:fill="FFFFFF"/>
        </w:rPr>
        <w:t>, </w:t>
      </w:r>
      <w:r w:rsidRPr="002C29D2">
        <w:rPr>
          <w:i/>
          <w:iCs/>
          <w:shd w:val="clear" w:color="auto" w:fill="FFFFFF"/>
        </w:rPr>
        <w:t>27</w:t>
      </w:r>
      <w:r w:rsidRPr="002C29D2">
        <w:rPr>
          <w:shd w:val="clear" w:color="auto" w:fill="FFFFFF"/>
        </w:rPr>
        <w:t>(3), 491-497.</w:t>
      </w:r>
    </w:p>
    <w:p w14:paraId="04121091"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Reddy, S., Fox, J., &amp; Purohit, M. P. (2019). Artificial intelligence-enabled healthcare delivery. </w:t>
      </w:r>
      <w:r w:rsidRPr="002C29D2">
        <w:rPr>
          <w:i/>
          <w:iCs/>
          <w:shd w:val="clear" w:color="auto" w:fill="FFFFFF"/>
        </w:rPr>
        <w:t>Journal of the Royal Society of Medicine</w:t>
      </w:r>
      <w:r w:rsidRPr="002C29D2">
        <w:rPr>
          <w:shd w:val="clear" w:color="auto" w:fill="FFFFFF"/>
        </w:rPr>
        <w:t>, </w:t>
      </w:r>
      <w:r w:rsidRPr="002C29D2">
        <w:rPr>
          <w:i/>
          <w:iCs/>
          <w:shd w:val="clear" w:color="auto" w:fill="FFFFFF"/>
        </w:rPr>
        <w:t>112</w:t>
      </w:r>
      <w:r w:rsidRPr="002C29D2">
        <w:rPr>
          <w:shd w:val="clear" w:color="auto" w:fill="FFFFFF"/>
        </w:rPr>
        <w:t>(1), 22-28.</w:t>
      </w:r>
    </w:p>
    <w:p w14:paraId="1E44A651" w14:textId="699D2355" w:rsidR="00932425" w:rsidRPr="002C29D2" w:rsidRDefault="00932425" w:rsidP="00E66BFE">
      <w:pPr>
        <w:adjustRightInd w:val="0"/>
        <w:snapToGrid w:val="0"/>
        <w:spacing w:line="360" w:lineRule="auto"/>
        <w:ind w:left="426" w:hanging="426"/>
        <w:jc w:val="both"/>
        <w:rPr>
          <w:shd w:val="clear" w:color="auto" w:fill="FFFFFF"/>
        </w:rPr>
      </w:pPr>
      <w:r w:rsidRPr="002C29D2">
        <w:rPr>
          <w:shd w:val="clear" w:color="auto" w:fill="FFFFFF"/>
        </w:rPr>
        <w:t xml:space="preserve">Ribeiro, M. T., Singh, S., &amp; Guestrin, C. (2016, August). " Why should i trust you?" Explaining the predictions of any classifier. In </w:t>
      </w:r>
      <w:r w:rsidRPr="002C29D2">
        <w:rPr>
          <w:i/>
          <w:iCs/>
          <w:shd w:val="clear" w:color="auto" w:fill="FFFFFF"/>
        </w:rPr>
        <w:t>Proceedings of the 22nd ACM SIGKDD international conference on knowledge discovery and data mining</w:t>
      </w:r>
      <w:r w:rsidRPr="002C29D2">
        <w:rPr>
          <w:shd w:val="clear" w:color="auto" w:fill="FFFFFF"/>
        </w:rPr>
        <w:t xml:space="preserve"> (pp. 1135-1144).</w:t>
      </w:r>
    </w:p>
    <w:p w14:paraId="38C0EEB9" w14:textId="77777777" w:rsidR="00932425" w:rsidRPr="002C29D2" w:rsidRDefault="00932425" w:rsidP="00E66BFE">
      <w:pPr>
        <w:spacing w:line="360" w:lineRule="auto"/>
        <w:ind w:left="426" w:hanging="426"/>
        <w:rPr>
          <w:shd w:val="clear" w:color="auto" w:fill="FFFFFF"/>
        </w:rPr>
      </w:pPr>
      <w:r w:rsidRPr="002C29D2">
        <w:rPr>
          <w:shd w:val="clear" w:color="auto" w:fill="FFFFFF"/>
        </w:rPr>
        <w:t>Roca, J. C., García, J. J., &amp; De La Vega, J. J. (2009). The importance of perceived trust, security and privacy in online trading systems. </w:t>
      </w:r>
      <w:r w:rsidRPr="002C29D2">
        <w:rPr>
          <w:i/>
          <w:iCs/>
          <w:shd w:val="clear" w:color="auto" w:fill="FFFFFF"/>
        </w:rPr>
        <w:t>Information Management &amp; Computer Security, 17(2), 96-113.</w:t>
      </w:r>
    </w:p>
    <w:p w14:paraId="5C92F065" w14:textId="77777777" w:rsidR="00932425" w:rsidRPr="002C29D2" w:rsidRDefault="00932425" w:rsidP="00E66BFE">
      <w:pPr>
        <w:spacing w:line="360" w:lineRule="auto"/>
        <w:jc w:val="both"/>
        <w:rPr>
          <w:lang w:eastAsia="zh-TW"/>
        </w:rPr>
      </w:pPr>
      <w:r w:rsidRPr="002C29D2">
        <w:rPr>
          <w:shd w:val="clear" w:color="auto" w:fill="FFFFFF"/>
        </w:rPr>
        <w:t xml:space="preserve">Rogers, E. M. (1962). </w:t>
      </w:r>
      <w:r w:rsidRPr="002C29D2">
        <w:rPr>
          <w:i/>
          <w:iCs/>
          <w:shd w:val="clear" w:color="auto" w:fill="FFFFFF"/>
        </w:rPr>
        <w:t>Diffusion of innovations</w:t>
      </w:r>
      <w:r w:rsidRPr="002C29D2">
        <w:rPr>
          <w:shd w:val="clear" w:color="auto" w:fill="FFFFFF"/>
        </w:rPr>
        <w:t xml:space="preserve">. </w:t>
      </w:r>
      <w:r w:rsidRPr="002C29D2">
        <w:rPr>
          <w:lang w:eastAsia="zh-TW"/>
        </w:rPr>
        <w:t>New York: Free Press of Glencoe.</w:t>
      </w:r>
    </w:p>
    <w:p w14:paraId="0C1D2D95" w14:textId="77777777" w:rsidR="00932425" w:rsidRPr="002C29D2" w:rsidRDefault="00932425" w:rsidP="00932425">
      <w:pPr>
        <w:adjustRightInd w:val="0"/>
        <w:snapToGrid w:val="0"/>
        <w:spacing w:line="360" w:lineRule="auto"/>
        <w:ind w:left="480" w:hangingChars="200" w:hanging="480"/>
        <w:jc w:val="both"/>
      </w:pPr>
      <w:r w:rsidRPr="002C29D2">
        <w:t xml:space="preserve">Rothenberger, L., Fabian, B., &amp; Arunov, E. (2019). Relevance of ethical guidelines for artificial intelligence - a survey and evaluation. In </w:t>
      </w:r>
      <w:r w:rsidRPr="002C29D2">
        <w:rPr>
          <w:i/>
          <w:iCs/>
        </w:rPr>
        <w:t>Proceedings of the 27th European Conference on Information Systems (ECIS)</w:t>
      </w:r>
      <w:r w:rsidRPr="002C29D2">
        <w:t>.</w:t>
      </w:r>
    </w:p>
    <w:p w14:paraId="566A6D44" w14:textId="77777777" w:rsidR="00932425" w:rsidRPr="002C29D2" w:rsidRDefault="00932425" w:rsidP="00932425">
      <w:pPr>
        <w:adjustRightInd w:val="0"/>
        <w:snapToGrid w:val="0"/>
        <w:spacing w:line="360" w:lineRule="auto"/>
        <w:ind w:left="480" w:hangingChars="200" w:hanging="480"/>
        <w:jc w:val="both"/>
      </w:pPr>
      <w:bookmarkStart w:id="0" w:name="_Ref11520849"/>
      <w:r w:rsidRPr="002C29D2">
        <w:t>Russell, S. J., &amp; Norvig, P. (2016). Artificial intelligence: a modern approach. Malaysia: Pearson Education Limited.</w:t>
      </w:r>
      <w:bookmarkEnd w:id="0"/>
    </w:p>
    <w:p w14:paraId="4BEEB620" w14:textId="77777777" w:rsidR="00932425" w:rsidRPr="002C29D2" w:rsidRDefault="00932425" w:rsidP="00932425">
      <w:pPr>
        <w:adjustRightInd w:val="0"/>
        <w:snapToGrid w:val="0"/>
        <w:spacing w:line="360" w:lineRule="auto"/>
        <w:ind w:left="480" w:hangingChars="200" w:hanging="480"/>
        <w:jc w:val="both"/>
      </w:pPr>
      <w:r w:rsidRPr="002C29D2">
        <w:rPr>
          <w:shd w:val="clear" w:color="auto" w:fill="FFFFFF"/>
        </w:rPr>
        <w:t>Ryan, R. M., &amp; Deci, E. L. (2017). </w:t>
      </w:r>
      <w:r w:rsidRPr="002C29D2">
        <w:rPr>
          <w:i/>
          <w:iCs/>
          <w:shd w:val="clear" w:color="auto" w:fill="FFFFFF"/>
        </w:rPr>
        <w:t>Self-determination theory: Basic psychological needs in motivation, development, and wellness</w:t>
      </w:r>
      <w:r w:rsidRPr="002C29D2">
        <w:rPr>
          <w:shd w:val="clear" w:color="auto" w:fill="FFFFFF"/>
        </w:rPr>
        <w:t>. Guilford Publications.</w:t>
      </w:r>
    </w:p>
    <w:p w14:paraId="1FCDBD19" w14:textId="40AF1EB4"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Saks, A. M. (2006). Antecedents and consequences of employee engagement. </w:t>
      </w:r>
      <w:r w:rsidRPr="002C29D2">
        <w:rPr>
          <w:i/>
          <w:iCs/>
          <w:shd w:val="clear" w:color="auto" w:fill="FFFFFF"/>
        </w:rPr>
        <w:t xml:space="preserve">Journal of </w:t>
      </w:r>
      <w:r w:rsidR="00E66BFE" w:rsidRPr="002C29D2">
        <w:rPr>
          <w:i/>
          <w:iCs/>
          <w:shd w:val="clear" w:color="auto" w:fill="FFFFFF"/>
        </w:rPr>
        <w:t>M</w:t>
      </w:r>
      <w:r w:rsidRPr="002C29D2">
        <w:rPr>
          <w:i/>
          <w:iCs/>
          <w:shd w:val="clear" w:color="auto" w:fill="FFFFFF"/>
        </w:rPr>
        <w:t xml:space="preserve">anagerial </w:t>
      </w:r>
      <w:r w:rsidR="00E66BFE" w:rsidRPr="002C29D2">
        <w:rPr>
          <w:i/>
          <w:iCs/>
          <w:shd w:val="clear" w:color="auto" w:fill="FFFFFF"/>
        </w:rPr>
        <w:t>P</w:t>
      </w:r>
      <w:r w:rsidRPr="002C29D2">
        <w:rPr>
          <w:i/>
          <w:iCs/>
          <w:shd w:val="clear" w:color="auto" w:fill="FFFFFF"/>
        </w:rPr>
        <w:t>sychology, 21</w:t>
      </w:r>
      <w:r w:rsidRPr="002C29D2">
        <w:rPr>
          <w:shd w:val="clear" w:color="auto" w:fill="FFFFFF"/>
        </w:rPr>
        <w:t>(7), 600-619.</w:t>
      </w:r>
    </w:p>
    <w:p w14:paraId="32DC28E5"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Salanova, M., Llorens, S. and Cifre, E. (2013). The dark side of technologies: Technostress among users of information and communication technologies. </w:t>
      </w:r>
      <w:r w:rsidRPr="002C29D2">
        <w:rPr>
          <w:i/>
          <w:iCs/>
        </w:rPr>
        <w:t>International Journal of Psychology</w:t>
      </w:r>
      <w:r w:rsidRPr="002C29D2">
        <w:rPr>
          <w:shd w:val="clear" w:color="auto" w:fill="FFFFFF"/>
        </w:rPr>
        <w:t>, </w:t>
      </w:r>
      <w:r w:rsidRPr="002C29D2">
        <w:rPr>
          <w:i/>
          <w:iCs/>
        </w:rPr>
        <w:t>48</w:t>
      </w:r>
      <w:r w:rsidRPr="002C29D2">
        <w:rPr>
          <w:shd w:val="clear" w:color="auto" w:fill="FFFFFF"/>
        </w:rPr>
        <w:t>(3), 422-436.</w:t>
      </w:r>
    </w:p>
    <w:p w14:paraId="4319B79A" w14:textId="77777777" w:rsidR="00932425" w:rsidRPr="002C29D2" w:rsidRDefault="00932425" w:rsidP="00932425">
      <w:pPr>
        <w:adjustRightInd w:val="0"/>
        <w:snapToGrid w:val="0"/>
        <w:spacing w:line="360" w:lineRule="auto"/>
        <w:ind w:left="480" w:hangingChars="200" w:hanging="480"/>
        <w:jc w:val="both"/>
      </w:pPr>
      <w:r w:rsidRPr="002C29D2">
        <w:rPr>
          <w:shd w:val="clear" w:color="auto" w:fill="FFFFFF"/>
        </w:rPr>
        <w:t>Schönberger, D. (2019). Artificial intelligence in healthcare: a critical analysis of the legal and ethical implications. </w:t>
      </w:r>
      <w:r w:rsidRPr="002C29D2">
        <w:rPr>
          <w:i/>
          <w:iCs/>
          <w:shd w:val="clear" w:color="auto" w:fill="FFFFFF"/>
        </w:rPr>
        <w:t>International Journal of Law and Information Technology</w:t>
      </w:r>
      <w:r w:rsidRPr="002C29D2">
        <w:rPr>
          <w:shd w:val="clear" w:color="auto" w:fill="FFFFFF"/>
        </w:rPr>
        <w:t>, </w:t>
      </w:r>
      <w:r w:rsidRPr="002C29D2">
        <w:rPr>
          <w:i/>
          <w:iCs/>
          <w:shd w:val="clear" w:color="auto" w:fill="FFFFFF"/>
        </w:rPr>
        <w:t>27</w:t>
      </w:r>
      <w:r w:rsidRPr="002C29D2">
        <w:rPr>
          <w:shd w:val="clear" w:color="auto" w:fill="FFFFFF"/>
        </w:rPr>
        <w:t>(2), 171-203.</w:t>
      </w:r>
    </w:p>
    <w:p w14:paraId="4CA563B0"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Shinners, L., Aggar, C., Grace, S., &amp; Smith, S. (2020). Exploring healthcare professionals’ understanding and experiences of artificial intelligence technology use in the delivery of healthcare: An integrative review. </w:t>
      </w:r>
      <w:r w:rsidRPr="002C29D2">
        <w:rPr>
          <w:i/>
          <w:iCs/>
          <w:shd w:val="clear" w:color="auto" w:fill="FFFFFF"/>
        </w:rPr>
        <w:t>Health Informatics Journal</w:t>
      </w:r>
      <w:r w:rsidRPr="002C29D2">
        <w:rPr>
          <w:shd w:val="clear" w:color="auto" w:fill="FFFFFF"/>
        </w:rPr>
        <w:t>, </w:t>
      </w:r>
      <w:r w:rsidRPr="002C29D2">
        <w:rPr>
          <w:i/>
          <w:iCs/>
          <w:shd w:val="clear" w:color="auto" w:fill="FFFFFF"/>
        </w:rPr>
        <w:t>26</w:t>
      </w:r>
      <w:r w:rsidRPr="002C29D2">
        <w:rPr>
          <w:shd w:val="clear" w:color="auto" w:fill="FFFFFF"/>
        </w:rPr>
        <w:t>(2), 1225-1236.</w:t>
      </w:r>
    </w:p>
    <w:p w14:paraId="7FEE417B" w14:textId="4D071F15" w:rsidR="00932425" w:rsidRPr="002C29D2" w:rsidRDefault="00932425" w:rsidP="00932425">
      <w:pPr>
        <w:adjustRightInd w:val="0"/>
        <w:snapToGrid w:val="0"/>
        <w:spacing w:line="360" w:lineRule="auto"/>
        <w:ind w:left="480" w:hangingChars="200" w:hanging="480"/>
        <w:jc w:val="both"/>
      </w:pPr>
      <w:r w:rsidRPr="002C29D2">
        <w:t xml:space="preserve">Singh, S. (2020, February 21). </w:t>
      </w:r>
      <w:r w:rsidR="00E66BFE" w:rsidRPr="002C29D2">
        <w:t xml:space="preserve">Retrieved March 18, 2021, </w:t>
      </w:r>
      <w:r w:rsidRPr="002C29D2">
        <w:t>https://www.marketsandmarkets.com/PressReleases/artificial-intelligence.asp</w:t>
      </w:r>
      <w:r w:rsidR="00E66BFE" w:rsidRPr="002C29D2">
        <w:t>.</w:t>
      </w:r>
    </w:p>
    <w:p w14:paraId="7253171F" w14:textId="77777777" w:rsidR="00932425" w:rsidRPr="002C29D2" w:rsidRDefault="00932425" w:rsidP="00932425">
      <w:pPr>
        <w:adjustRightInd w:val="0"/>
        <w:snapToGrid w:val="0"/>
        <w:spacing w:line="360" w:lineRule="auto"/>
        <w:ind w:left="480" w:hangingChars="200" w:hanging="480"/>
        <w:jc w:val="both"/>
      </w:pPr>
      <w:r w:rsidRPr="002C29D2">
        <w:rPr>
          <w:shd w:val="clear" w:color="auto" w:fill="FFFFFF"/>
        </w:rPr>
        <w:lastRenderedPageBreak/>
        <w:t>Sun, T. Q., &amp; Medaglia, R. (2019). Mapping the challenges of artificial intelligence in the public sector: Evidence from public healthcare. </w:t>
      </w:r>
      <w:r w:rsidRPr="002C29D2">
        <w:rPr>
          <w:i/>
          <w:iCs/>
          <w:shd w:val="clear" w:color="auto" w:fill="FFFFFF"/>
        </w:rPr>
        <w:t>Government Information Quarterly</w:t>
      </w:r>
      <w:r w:rsidRPr="002C29D2">
        <w:rPr>
          <w:shd w:val="clear" w:color="auto" w:fill="FFFFFF"/>
        </w:rPr>
        <w:t>, </w:t>
      </w:r>
      <w:r w:rsidRPr="002C29D2">
        <w:rPr>
          <w:i/>
          <w:iCs/>
          <w:shd w:val="clear" w:color="auto" w:fill="FFFFFF"/>
        </w:rPr>
        <w:t>36</w:t>
      </w:r>
      <w:r w:rsidRPr="002C29D2">
        <w:rPr>
          <w:shd w:val="clear" w:color="auto" w:fill="FFFFFF"/>
        </w:rPr>
        <w:t>(2), 368-383.</w:t>
      </w:r>
    </w:p>
    <w:p w14:paraId="78AB01CF"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Taddeo, M., &amp; Floridi, L. (2018). How AI can be a force for good. </w:t>
      </w:r>
      <w:r w:rsidRPr="002C29D2">
        <w:rPr>
          <w:i/>
          <w:iCs/>
          <w:shd w:val="clear" w:color="auto" w:fill="FFFFFF"/>
        </w:rPr>
        <w:t>Science</w:t>
      </w:r>
      <w:r w:rsidRPr="002C29D2">
        <w:rPr>
          <w:shd w:val="clear" w:color="auto" w:fill="FFFFFF"/>
        </w:rPr>
        <w:t>, </w:t>
      </w:r>
      <w:r w:rsidRPr="002C29D2">
        <w:rPr>
          <w:i/>
          <w:iCs/>
          <w:shd w:val="clear" w:color="auto" w:fill="FFFFFF"/>
        </w:rPr>
        <w:t>361</w:t>
      </w:r>
      <w:r w:rsidRPr="002C29D2">
        <w:rPr>
          <w:shd w:val="clear" w:color="auto" w:fill="FFFFFF"/>
        </w:rPr>
        <w:t>(6404), 751-752.</w:t>
      </w:r>
    </w:p>
    <w:p w14:paraId="537164A6" w14:textId="77777777" w:rsidR="00932425" w:rsidRPr="002C29D2" w:rsidRDefault="00932425" w:rsidP="00932425">
      <w:pPr>
        <w:adjustRightInd w:val="0"/>
        <w:snapToGrid w:val="0"/>
        <w:spacing w:line="360" w:lineRule="auto"/>
        <w:ind w:left="480" w:hangingChars="200" w:hanging="480"/>
        <w:jc w:val="both"/>
      </w:pPr>
      <w:r w:rsidRPr="002C29D2">
        <w:t xml:space="preserve">Tarafdar, M., Tu, Q., Ragu-Nathan, B. S., &amp; Ragu-Nathan, T. S. (2007). The impact of technostress on role stress and productivity. </w:t>
      </w:r>
      <w:r w:rsidRPr="002C29D2">
        <w:rPr>
          <w:i/>
        </w:rPr>
        <w:t>Journal of Management Information Systems, 24</w:t>
      </w:r>
      <w:r w:rsidRPr="002C29D2">
        <w:t>(1), 301-328. https://doi.org/10.2753/MIS0742-1222240109</w:t>
      </w:r>
    </w:p>
    <w:p w14:paraId="1BE32D79" w14:textId="59A1560F" w:rsidR="00932425" w:rsidRPr="002C29D2" w:rsidRDefault="00932425" w:rsidP="00E66BFE">
      <w:pPr>
        <w:adjustRightInd w:val="0"/>
        <w:snapToGrid w:val="0"/>
        <w:spacing w:line="360" w:lineRule="auto"/>
        <w:ind w:left="426" w:hanging="426"/>
        <w:jc w:val="both"/>
        <w:rPr>
          <w:rStyle w:val="Hyperlink"/>
          <w:color w:val="auto"/>
        </w:rPr>
      </w:pPr>
      <w:r w:rsidRPr="002C29D2">
        <w:t xml:space="preserve">Tencent (2020). Tencent 2020 Interim Report. Retrieved Jan 30, 2021, </w:t>
      </w:r>
      <w:r w:rsidR="00E66BFE" w:rsidRPr="002C29D2">
        <w:t>from https://cdc-tencent.com1258344706.image.myqcloud.com/uploads/2020/08/26/c798476aba9e18d44d9179e103a2e07f.pdf</w:t>
      </w:r>
    </w:p>
    <w:p w14:paraId="535E510A" w14:textId="77777777" w:rsidR="00932425" w:rsidRPr="002C29D2" w:rsidRDefault="00932425" w:rsidP="00932425">
      <w:pPr>
        <w:adjustRightInd w:val="0"/>
        <w:snapToGrid w:val="0"/>
        <w:spacing w:line="360" w:lineRule="auto"/>
        <w:ind w:left="480" w:hangingChars="200" w:hanging="480"/>
        <w:jc w:val="both"/>
      </w:pPr>
      <w:r w:rsidRPr="002C29D2">
        <w:rPr>
          <w:shd w:val="clear" w:color="auto" w:fill="FFFFFF"/>
        </w:rPr>
        <w:t>Topol, E. J. (2019). High-performance medicine: the convergence of human and artificial intelligence. </w:t>
      </w:r>
      <w:r w:rsidRPr="002C29D2">
        <w:rPr>
          <w:i/>
          <w:iCs/>
          <w:shd w:val="clear" w:color="auto" w:fill="FFFFFF"/>
        </w:rPr>
        <w:t>Nature Medicine</w:t>
      </w:r>
      <w:r w:rsidRPr="002C29D2">
        <w:rPr>
          <w:shd w:val="clear" w:color="auto" w:fill="FFFFFF"/>
        </w:rPr>
        <w:t>, </w:t>
      </w:r>
      <w:r w:rsidRPr="002C29D2">
        <w:rPr>
          <w:i/>
          <w:iCs/>
          <w:shd w:val="clear" w:color="auto" w:fill="FFFFFF"/>
        </w:rPr>
        <w:t>25</w:t>
      </w:r>
      <w:r w:rsidRPr="002C29D2">
        <w:rPr>
          <w:shd w:val="clear" w:color="auto" w:fill="FFFFFF"/>
        </w:rPr>
        <w:t>(1), 44-56.</w:t>
      </w:r>
    </w:p>
    <w:p w14:paraId="6457CBB7" w14:textId="7D630216" w:rsidR="00932425" w:rsidRPr="002C29D2" w:rsidRDefault="00932425" w:rsidP="00932425">
      <w:pPr>
        <w:adjustRightInd w:val="0"/>
        <w:snapToGrid w:val="0"/>
        <w:spacing w:line="360" w:lineRule="auto"/>
        <w:ind w:left="480" w:hangingChars="200" w:hanging="480"/>
        <w:jc w:val="both"/>
      </w:pPr>
      <w:r w:rsidRPr="002C29D2">
        <w:rPr>
          <w:shd w:val="clear" w:color="auto" w:fill="FFFFFF"/>
        </w:rPr>
        <w:t xml:space="preserve">Tran, V. T., Riveros, C., &amp; Ravaud, P. (2019). Patients’ views of wearable devices and AI in healthcare: </w:t>
      </w:r>
      <w:r w:rsidR="00E66BFE" w:rsidRPr="002C29D2">
        <w:rPr>
          <w:shd w:val="clear" w:color="auto" w:fill="FFFFFF"/>
        </w:rPr>
        <w:t>F</w:t>
      </w:r>
      <w:r w:rsidRPr="002C29D2">
        <w:rPr>
          <w:shd w:val="clear" w:color="auto" w:fill="FFFFFF"/>
        </w:rPr>
        <w:t>indings from the ComPaRe e-cohort. </w:t>
      </w:r>
      <w:r w:rsidRPr="002C29D2">
        <w:rPr>
          <w:i/>
          <w:iCs/>
          <w:shd w:val="clear" w:color="auto" w:fill="FFFFFF"/>
        </w:rPr>
        <w:t>NPJ Digital Medicine</w:t>
      </w:r>
      <w:r w:rsidRPr="002C29D2">
        <w:rPr>
          <w:shd w:val="clear" w:color="auto" w:fill="FFFFFF"/>
        </w:rPr>
        <w:t>, </w:t>
      </w:r>
      <w:r w:rsidRPr="002C29D2">
        <w:rPr>
          <w:i/>
          <w:iCs/>
          <w:shd w:val="clear" w:color="auto" w:fill="FFFFFF"/>
        </w:rPr>
        <w:t>2</w:t>
      </w:r>
      <w:r w:rsidRPr="002C29D2">
        <w:rPr>
          <w:shd w:val="clear" w:color="auto" w:fill="FFFFFF"/>
        </w:rPr>
        <w:t>(1), 1-8.</w:t>
      </w:r>
    </w:p>
    <w:p w14:paraId="172F1894"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Vakkuri, V., Kemell, K. K., Kultanen, J., &amp; Abrahamsson, P. (2020). The Current State of Industrial Practice in Artificial Intelligence Ethics. </w:t>
      </w:r>
      <w:r w:rsidRPr="002C29D2">
        <w:rPr>
          <w:i/>
          <w:iCs/>
          <w:shd w:val="clear" w:color="auto" w:fill="FFFFFF"/>
        </w:rPr>
        <w:t>IEEE Software</w:t>
      </w:r>
      <w:r w:rsidRPr="002C29D2">
        <w:rPr>
          <w:shd w:val="clear" w:color="auto" w:fill="FFFFFF"/>
        </w:rPr>
        <w:t xml:space="preserve">, 50-57. </w:t>
      </w:r>
    </w:p>
    <w:p w14:paraId="04CEAB3A" w14:textId="77777777" w:rsidR="00932425" w:rsidRPr="002C29D2" w:rsidRDefault="00932425" w:rsidP="00932425">
      <w:pPr>
        <w:adjustRightInd w:val="0"/>
        <w:snapToGrid w:val="0"/>
        <w:spacing w:line="360" w:lineRule="auto"/>
        <w:ind w:left="480" w:hangingChars="200" w:hanging="480"/>
        <w:jc w:val="both"/>
      </w:pPr>
      <w:r w:rsidRPr="002C29D2">
        <w:t xml:space="preserve">van den Bos, K. (2003). On the subjective quality of social justice: The role of affect as information in the psychology of justice judgments. </w:t>
      </w:r>
      <w:r w:rsidRPr="002C29D2">
        <w:rPr>
          <w:i/>
        </w:rPr>
        <w:t>Journal of Personality and Social Psychology, 85</w:t>
      </w:r>
      <w:r w:rsidRPr="002C29D2">
        <w:t>(3), 482-498. https://doi.org/10.1037/0022-3514.85.3.482</w:t>
      </w:r>
    </w:p>
    <w:p w14:paraId="078B9229" w14:textId="61D77780" w:rsidR="00932425" w:rsidRPr="002C29D2" w:rsidRDefault="00932425" w:rsidP="00932425">
      <w:pPr>
        <w:adjustRightInd w:val="0"/>
        <w:snapToGrid w:val="0"/>
        <w:spacing w:line="360" w:lineRule="auto"/>
        <w:ind w:left="480" w:hangingChars="200" w:hanging="480"/>
        <w:jc w:val="both"/>
      </w:pPr>
      <w:r w:rsidRPr="002C29D2">
        <w:t xml:space="preserve">Vogt, D. S., King, D. W., &amp; King, L. A. (2004). Focus groups in psychological assessment: enhancing content validity by consulting members of the target population. </w:t>
      </w:r>
      <w:r w:rsidR="00E66BFE" w:rsidRPr="002C29D2">
        <w:rPr>
          <w:i/>
        </w:rPr>
        <w:t>Psychology</w:t>
      </w:r>
      <w:r w:rsidRPr="002C29D2">
        <w:rPr>
          <w:i/>
        </w:rPr>
        <w:t xml:space="preserve"> Assess, 16</w:t>
      </w:r>
      <w:r w:rsidRPr="002C29D2">
        <w:t>(3), 231-243. https://doi.org/10.1037/1040-3590.16.3.231</w:t>
      </w:r>
    </w:p>
    <w:p w14:paraId="1072EA51" w14:textId="77777777" w:rsidR="00932425" w:rsidRPr="002C29D2" w:rsidRDefault="00932425" w:rsidP="00932425">
      <w:pPr>
        <w:adjustRightInd w:val="0"/>
        <w:snapToGrid w:val="0"/>
        <w:spacing w:line="360" w:lineRule="auto"/>
        <w:ind w:left="480" w:hangingChars="200" w:hanging="480"/>
        <w:jc w:val="both"/>
      </w:pPr>
      <w:r w:rsidRPr="002C29D2">
        <w:t xml:space="preserve">Wang, H., &amp; Li, Y. (2019). Role overload and Chinese nurses’ satisfaction with work-family balance: The role of negative emotions and core self-evaluations. </w:t>
      </w:r>
      <w:r w:rsidRPr="002C29D2">
        <w:rPr>
          <w:i/>
        </w:rPr>
        <w:t>Current Psychology</w:t>
      </w:r>
      <w:r w:rsidRPr="002C29D2">
        <w:t>, 1-11.</w:t>
      </w:r>
    </w:p>
    <w:p w14:paraId="2393DA7A" w14:textId="77777777" w:rsidR="00932425" w:rsidRPr="002C29D2" w:rsidRDefault="00932425" w:rsidP="00932425">
      <w:pPr>
        <w:adjustRightInd w:val="0"/>
        <w:snapToGrid w:val="0"/>
        <w:spacing w:line="360" w:lineRule="auto"/>
        <w:ind w:left="480" w:hangingChars="200" w:hanging="480"/>
        <w:jc w:val="both"/>
      </w:pPr>
      <w:r w:rsidRPr="002C29D2">
        <w:rPr>
          <w:shd w:val="clear" w:color="auto" w:fill="FFFFFF"/>
        </w:rPr>
        <w:t>Weerakkody, V., Irani, Z., Kapoor, K., Sivarajah, U., &amp; Dwivedi, Y. K. (2017). Open data and its usability: an empirical view from the citizen’s perspective. </w:t>
      </w:r>
      <w:r w:rsidRPr="002C29D2">
        <w:rPr>
          <w:i/>
          <w:iCs/>
          <w:shd w:val="clear" w:color="auto" w:fill="FFFFFF"/>
        </w:rPr>
        <w:t>Information Systems Frontiers</w:t>
      </w:r>
      <w:r w:rsidRPr="002C29D2">
        <w:rPr>
          <w:shd w:val="clear" w:color="auto" w:fill="FFFFFF"/>
        </w:rPr>
        <w:t>, </w:t>
      </w:r>
      <w:r w:rsidRPr="002C29D2">
        <w:rPr>
          <w:i/>
          <w:iCs/>
          <w:shd w:val="clear" w:color="auto" w:fill="FFFFFF"/>
        </w:rPr>
        <w:t>19</w:t>
      </w:r>
      <w:r w:rsidRPr="002C29D2">
        <w:rPr>
          <w:shd w:val="clear" w:color="auto" w:fill="FFFFFF"/>
        </w:rPr>
        <w:t>(2), 285-300.</w:t>
      </w:r>
    </w:p>
    <w:p w14:paraId="7A3144DF"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Weinstein, N., &amp; Ryan, R. M. (2010). When helping helps: autonomous motivation for prosocial behavior and its influence on well-being for the helper and recipient. </w:t>
      </w:r>
      <w:r w:rsidRPr="002C29D2">
        <w:rPr>
          <w:i/>
          <w:iCs/>
          <w:shd w:val="clear" w:color="auto" w:fill="FFFFFF"/>
        </w:rPr>
        <w:t>Journal of Personality and Social Psychology</w:t>
      </w:r>
      <w:r w:rsidRPr="002C29D2">
        <w:rPr>
          <w:shd w:val="clear" w:color="auto" w:fill="FFFFFF"/>
        </w:rPr>
        <w:t>, </w:t>
      </w:r>
      <w:r w:rsidRPr="002C29D2">
        <w:rPr>
          <w:i/>
          <w:iCs/>
          <w:shd w:val="clear" w:color="auto" w:fill="FFFFFF"/>
        </w:rPr>
        <w:t>98</w:t>
      </w:r>
      <w:r w:rsidRPr="002C29D2">
        <w:rPr>
          <w:shd w:val="clear" w:color="auto" w:fill="FFFFFF"/>
        </w:rPr>
        <w:t>(2), 222-244.</w:t>
      </w:r>
    </w:p>
    <w:p w14:paraId="4F2C14F3" w14:textId="13B839D0" w:rsidR="00932425" w:rsidRPr="002C29D2" w:rsidRDefault="00932425" w:rsidP="00932425">
      <w:pPr>
        <w:adjustRightInd w:val="0"/>
        <w:snapToGrid w:val="0"/>
        <w:spacing w:line="360" w:lineRule="auto"/>
        <w:ind w:left="480" w:hangingChars="200" w:hanging="480"/>
        <w:jc w:val="both"/>
      </w:pPr>
      <w:r w:rsidRPr="002C29D2">
        <w:t xml:space="preserve">West China Hospital (2020). </w:t>
      </w:r>
      <w:r w:rsidRPr="002C29D2">
        <w:rPr>
          <w:i/>
          <w:iCs/>
        </w:rPr>
        <w:t>West China School of Medicine: Overview.</w:t>
      </w:r>
      <w:r w:rsidRPr="002C29D2">
        <w:t xml:space="preserve"> West China School of Medicine.</w:t>
      </w:r>
      <w:r w:rsidR="00E66BFE" w:rsidRPr="002C29D2">
        <w:t xml:space="preserve"> Retrieved January 05, 2021, from</w:t>
      </w:r>
      <w:r w:rsidRPr="002C29D2">
        <w:t xml:space="preserve"> </w:t>
      </w:r>
      <w:hyperlink r:id="rId18" w:history="1">
        <w:r w:rsidRPr="002C29D2">
          <w:rPr>
            <w:rStyle w:val="Hyperlink"/>
            <w:color w:val="auto"/>
          </w:rPr>
          <w:t>http://www.wchscu.cn/details/50453.html</w:t>
        </w:r>
      </w:hyperlink>
      <w:r w:rsidRPr="002C29D2">
        <w:t xml:space="preserve"> </w:t>
      </w:r>
    </w:p>
    <w:p w14:paraId="6BE4BEC7" w14:textId="77777777" w:rsidR="00932425" w:rsidRPr="002C29D2" w:rsidRDefault="00932425" w:rsidP="00932425">
      <w:pPr>
        <w:pStyle w:val="EndNoteBibliography"/>
        <w:spacing w:line="360" w:lineRule="auto"/>
        <w:ind w:left="567" w:hanging="567"/>
        <w:rPr>
          <w:lang w:val="en-GB"/>
        </w:rPr>
      </w:pPr>
      <w:r w:rsidRPr="002C29D2">
        <w:rPr>
          <w:lang w:val="en-GB"/>
        </w:rPr>
        <w:lastRenderedPageBreak/>
        <w:t xml:space="preserve">World Health Organization (2015). </w:t>
      </w:r>
      <w:r w:rsidRPr="002C29D2">
        <w:rPr>
          <w:i/>
          <w:iCs/>
          <w:lang w:val="en-GB"/>
        </w:rPr>
        <w:t>People's Republic of China health system review</w:t>
      </w:r>
      <w:r w:rsidRPr="002C29D2">
        <w:rPr>
          <w:lang w:val="en-GB"/>
        </w:rPr>
        <w:t>. Manila: WHO Regional Office for the Western Pacific. Retrieved October 10, 2020, from https://apps.who.int/iris/handle/10665/208229</w:t>
      </w:r>
    </w:p>
    <w:p w14:paraId="4177B7AD" w14:textId="77777777" w:rsidR="00932425" w:rsidRPr="002C29D2" w:rsidRDefault="00932425" w:rsidP="00932425">
      <w:pPr>
        <w:adjustRightInd w:val="0"/>
        <w:snapToGrid w:val="0"/>
        <w:spacing w:line="360" w:lineRule="auto"/>
        <w:ind w:left="480" w:hangingChars="200" w:hanging="480"/>
        <w:jc w:val="both"/>
      </w:pPr>
      <w:r w:rsidRPr="002C29D2">
        <w:t xml:space="preserve">Wu, G., Hu, Z., &amp; Zheng, J. (2019). Role Stress, Job Burnout, and Job Performance in Construction Project Managers: The Moderating Role of Career Calling. </w:t>
      </w:r>
      <w:r w:rsidRPr="002C29D2">
        <w:rPr>
          <w:i/>
        </w:rPr>
        <w:t>International Journal of Environmental Research and Public Health, 16</w:t>
      </w:r>
      <w:r w:rsidRPr="002C29D2">
        <w:t>(13), 2394. https://doi.org/10.3390/ijerph16132394</w:t>
      </w:r>
    </w:p>
    <w:p w14:paraId="28CE4A88"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Yang, H., Guo, X., &amp; Wu, T. (2015). Exploring the influence of the online physician service delivery process on patient satisfaction. </w:t>
      </w:r>
      <w:r w:rsidRPr="002C29D2">
        <w:rPr>
          <w:i/>
          <w:iCs/>
          <w:shd w:val="clear" w:color="auto" w:fill="FFFFFF"/>
        </w:rPr>
        <w:t>Decision Support Systems</w:t>
      </w:r>
      <w:r w:rsidRPr="002C29D2">
        <w:rPr>
          <w:shd w:val="clear" w:color="auto" w:fill="FFFFFF"/>
        </w:rPr>
        <w:t>, </w:t>
      </w:r>
      <w:r w:rsidRPr="002C29D2">
        <w:rPr>
          <w:i/>
          <w:iCs/>
          <w:shd w:val="clear" w:color="auto" w:fill="FFFFFF"/>
        </w:rPr>
        <w:t>78</w:t>
      </w:r>
      <w:r w:rsidRPr="002C29D2">
        <w:rPr>
          <w:shd w:val="clear" w:color="auto" w:fill="FFFFFF"/>
        </w:rPr>
        <w:t>, 113-121.</w:t>
      </w:r>
    </w:p>
    <w:p w14:paraId="0D0DFF5A"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t xml:space="preserve">Yang, Z., Ng, B.-Y., Kankanhalli, A., &amp; Luen Yip, J. W. (2012). Workarounds in the use of IS in healthcare: A case study of an electronic medication administration system. </w:t>
      </w:r>
      <w:r w:rsidRPr="002C29D2">
        <w:rPr>
          <w:i/>
          <w:iCs/>
        </w:rPr>
        <w:t>International Journal of Human-Computer Studies, 70</w:t>
      </w:r>
      <w:r w:rsidRPr="002C29D2">
        <w:t xml:space="preserve">(1), 43–65. </w:t>
      </w:r>
    </w:p>
    <w:p w14:paraId="6D09DF28"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Yin, P., Ou, C.X., Davison, R.M., &amp; Wu, J. (2018). Coping with mobile technology overload in the workplace</w:t>
      </w:r>
      <w:r w:rsidRPr="002C29D2">
        <w:rPr>
          <w:i/>
          <w:iCs/>
          <w:shd w:val="clear" w:color="auto" w:fill="FFFFFF"/>
        </w:rPr>
        <w:t>. Internet Research</w:t>
      </w:r>
      <w:r w:rsidRPr="002C29D2">
        <w:rPr>
          <w:shd w:val="clear" w:color="auto" w:fill="FFFFFF"/>
        </w:rPr>
        <w:t xml:space="preserve">, </w:t>
      </w:r>
      <w:r w:rsidRPr="002C29D2">
        <w:rPr>
          <w:i/>
          <w:iCs/>
          <w:shd w:val="clear" w:color="auto" w:fill="FFFFFF"/>
        </w:rPr>
        <w:t>28</w:t>
      </w:r>
      <w:r w:rsidRPr="002C29D2">
        <w:rPr>
          <w:shd w:val="clear" w:color="auto" w:fill="FFFFFF"/>
        </w:rPr>
        <w:t>(5), 1189-1212.</w:t>
      </w:r>
    </w:p>
    <w:p w14:paraId="2EC2FBF7" w14:textId="77777777" w:rsidR="00932425" w:rsidRPr="002C29D2" w:rsidRDefault="00932425" w:rsidP="00932425">
      <w:pPr>
        <w:adjustRightInd w:val="0"/>
        <w:snapToGrid w:val="0"/>
        <w:spacing w:line="360" w:lineRule="auto"/>
        <w:ind w:left="480" w:hangingChars="200" w:hanging="480"/>
        <w:jc w:val="both"/>
      </w:pPr>
      <w:r w:rsidRPr="002C29D2">
        <w:t xml:space="preserve">Zhao, X., Lynch, J. G., Jr., &amp; Chen, Q. (2010). Reconsidering Baron and Kenny: Myths and truths about mediation analysis. </w:t>
      </w:r>
      <w:r w:rsidRPr="002C29D2">
        <w:rPr>
          <w:i/>
        </w:rPr>
        <w:t>Journal of Consumer Research, 37</w:t>
      </w:r>
      <w:r w:rsidRPr="002C29D2">
        <w:t>(2), 197-206. https://doi.org/10.1086/651257</w:t>
      </w:r>
    </w:p>
    <w:p w14:paraId="09490515" w14:textId="5C98EDC6"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Zhou, S. M., Fernandez-Gutierrez, F., Kennedy, J., Cooksey, R., Atkinson, M., Denaxas, S., et al. (2016). Defining disease phenotypes in primary care electronic health records by a machine learning approach: a case study in identifying rheumatoid arthritis. </w:t>
      </w:r>
      <w:r w:rsidRPr="002C29D2">
        <w:rPr>
          <w:i/>
          <w:iCs/>
          <w:shd w:val="clear" w:color="auto" w:fill="FFFFFF"/>
        </w:rPr>
        <w:t>Plo</w:t>
      </w:r>
      <w:r w:rsidR="00E66BFE" w:rsidRPr="002C29D2">
        <w:rPr>
          <w:i/>
          <w:iCs/>
          <w:shd w:val="clear" w:color="auto" w:fill="FFFFFF"/>
        </w:rPr>
        <w:t>s</w:t>
      </w:r>
      <w:r w:rsidRPr="002C29D2">
        <w:rPr>
          <w:i/>
          <w:iCs/>
          <w:shd w:val="clear" w:color="auto" w:fill="FFFFFF"/>
        </w:rPr>
        <w:t xml:space="preserve"> One</w:t>
      </w:r>
      <w:r w:rsidRPr="002C29D2">
        <w:rPr>
          <w:shd w:val="clear" w:color="auto" w:fill="FFFFFF"/>
        </w:rPr>
        <w:t>, </w:t>
      </w:r>
      <w:r w:rsidRPr="002C29D2">
        <w:rPr>
          <w:i/>
          <w:iCs/>
          <w:shd w:val="clear" w:color="auto" w:fill="FFFFFF"/>
        </w:rPr>
        <w:t>11</w:t>
      </w:r>
      <w:r w:rsidRPr="002C29D2">
        <w:rPr>
          <w:shd w:val="clear" w:color="auto" w:fill="FFFFFF"/>
        </w:rPr>
        <w:t>(5), 1-14.</w:t>
      </w:r>
    </w:p>
    <w:p w14:paraId="51549BA5" w14:textId="77777777" w:rsidR="00932425" w:rsidRPr="002C29D2" w:rsidRDefault="00932425" w:rsidP="00932425">
      <w:pPr>
        <w:adjustRightInd w:val="0"/>
        <w:snapToGrid w:val="0"/>
        <w:spacing w:line="360" w:lineRule="auto"/>
        <w:ind w:left="480" w:hangingChars="200" w:hanging="480"/>
        <w:jc w:val="both"/>
        <w:rPr>
          <w:shd w:val="clear" w:color="auto" w:fill="FFFFFF"/>
        </w:rPr>
      </w:pPr>
      <w:r w:rsidRPr="002C29D2">
        <w:rPr>
          <w:shd w:val="clear" w:color="auto" w:fill="FFFFFF"/>
        </w:rPr>
        <w:t xml:space="preserve">Zhou, Y., Xu, X., Song, L., Wang, C., Guo, J., Yi, Z., et al. (2020). The application of artificial intelligence and radiomics in lung cancer. </w:t>
      </w:r>
      <w:r w:rsidRPr="002C29D2">
        <w:rPr>
          <w:i/>
          <w:shd w:val="clear" w:color="auto" w:fill="FFFFFF"/>
        </w:rPr>
        <w:t>Precision Clinical Medicine, 3</w:t>
      </w:r>
      <w:r w:rsidRPr="002C29D2">
        <w:rPr>
          <w:shd w:val="clear" w:color="auto" w:fill="FFFFFF"/>
        </w:rPr>
        <w:t>(3), 214-227. https://doi.org/10.1093/pcmedi/pbaa028</w:t>
      </w:r>
    </w:p>
    <w:p w14:paraId="7DF2CAE3" w14:textId="77777777" w:rsidR="00932425" w:rsidRPr="002C29D2" w:rsidRDefault="00932425" w:rsidP="00932425">
      <w:pPr>
        <w:adjustRightInd w:val="0"/>
        <w:snapToGrid w:val="0"/>
        <w:spacing w:line="360" w:lineRule="auto"/>
        <w:jc w:val="both"/>
        <w:rPr>
          <w:shd w:val="clear" w:color="auto" w:fill="FFFFFF"/>
        </w:rPr>
      </w:pPr>
    </w:p>
    <w:p w14:paraId="4B56D0B5" w14:textId="77777777" w:rsidR="00932425" w:rsidRPr="002C29D2" w:rsidRDefault="00932425" w:rsidP="00932425">
      <w:pPr>
        <w:adjustRightInd w:val="0"/>
        <w:snapToGrid w:val="0"/>
        <w:spacing w:line="360" w:lineRule="auto"/>
        <w:jc w:val="both"/>
        <w:rPr>
          <w:shd w:val="clear" w:color="auto" w:fill="FFFFFF"/>
        </w:rPr>
      </w:pPr>
    </w:p>
    <w:p w14:paraId="5660FD80" w14:textId="77777777" w:rsidR="00932425" w:rsidRPr="002C29D2" w:rsidRDefault="00932425" w:rsidP="00932425">
      <w:pPr>
        <w:adjustRightInd w:val="0"/>
        <w:snapToGrid w:val="0"/>
        <w:spacing w:line="360" w:lineRule="auto"/>
        <w:jc w:val="both"/>
        <w:rPr>
          <w:shd w:val="clear" w:color="auto" w:fill="FFFFFF"/>
        </w:rPr>
      </w:pPr>
    </w:p>
    <w:p w14:paraId="6AB09C2D" w14:textId="77777777" w:rsidR="00932425" w:rsidRPr="002C29D2" w:rsidRDefault="00932425" w:rsidP="00932425">
      <w:pPr>
        <w:adjustRightInd w:val="0"/>
        <w:snapToGrid w:val="0"/>
        <w:spacing w:line="360" w:lineRule="auto"/>
        <w:jc w:val="both"/>
        <w:rPr>
          <w:shd w:val="clear" w:color="auto" w:fill="FFFFFF"/>
        </w:rPr>
      </w:pPr>
    </w:p>
    <w:p w14:paraId="67A6BF71" w14:textId="71E6B997" w:rsidR="00932425" w:rsidRPr="002C29D2" w:rsidRDefault="00932425" w:rsidP="00932425">
      <w:pPr>
        <w:adjustRightInd w:val="0"/>
        <w:snapToGrid w:val="0"/>
        <w:spacing w:line="360" w:lineRule="auto"/>
        <w:jc w:val="both"/>
        <w:rPr>
          <w:shd w:val="clear" w:color="auto" w:fill="FFFFFF"/>
        </w:rPr>
      </w:pPr>
    </w:p>
    <w:p w14:paraId="3B6ACEF1" w14:textId="0B91BB69" w:rsidR="00E66BFE" w:rsidRPr="002C29D2" w:rsidRDefault="00E66BFE" w:rsidP="00932425">
      <w:pPr>
        <w:adjustRightInd w:val="0"/>
        <w:snapToGrid w:val="0"/>
        <w:spacing w:line="360" w:lineRule="auto"/>
        <w:jc w:val="both"/>
        <w:rPr>
          <w:shd w:val="clear" w:color="auto" w:fill="FFFFFF"/>
        </w:rPr>
      </w:pPr>
    </w:p>
    <w:p w14:paraId="70CF6609" w14:textId="5F8A5EA1" w:rsidR="00E66BFE" w:rsidRPr="002C29D2" w:rsidRDefault="00E66BFE" w:rsidP="00932425">
      <w:pPr>
        <w:adjustRightInd w:val="0"/>
        <w:snapToGrid w:val="0"/>
        <w:spacing w:line="360" w:lineRule="auto"/>
        <w:jc w:val="both"/>
        <w:rPr>
          <w:shd w:val="clear" w:color="auto" w:fill="FFFFFF"/>
        </w:rPr>
      </w:pPr>
    </w:p>
    <w:p w14:paraId="5A5D2DF7" w14:textId="564B674C" w:rsidR="00E66BFE" w:rsidRDefault="00E66BFE" w:rsidP="00932425">
      <w:pPr>
        <w:adjustRightInd w:val="0"/>
        <w:snapToGrid w:val="0"/>
        <w:spacing w:line="360" w:lineRule="auto"/>
        <w:jc w:val="both"/>
        <w:rPr>
          <w:shd w:val="clear" w:color="auto" w:fill="FFFFFF"/>
        </w:rPr>
      </w:pPr>
    </w:p>
    <w:p w14:paraId="328C3AEE" w14:textId="48BD8225" w:rsidR="00E66BFE" w:rsidRPr="002C29D2" w:rsidRDefault="00E66BFE" w:rsidP="00932425">
      <w:pPr>
        <w:adjustRightInd w:val="0"/>
        <w:snapToGrid w:val="0"/>
        <w:spacing w:line="360" w:lineRule="auto"/>
        <w:jc w:val="both"/>
        <w:rPr>
          <w:shd w:val="clear" w:color="auto" w:fill="FFFFFF"/>
        </w:rPr>
      </w:pPr>
    </w:p>
    <w:p w14:paraId="39384133" w14:textId="4C69C23D" w:rsidR="00245505" w:rsidRPr="002C29D2" w:rsidRDefault="00245505">
      <w:pPr>
        <w:rPr>
          <w:shd w:val="clear" w:color="auto" w:fill="FFFFFF"/>
        </w:rPr>
      </w:pPr>
      <w:r w:rsidRPr="002C29D2">
        <w:rPr>
          <w:shd w:val="clear" w:color="auto" w:fill="FFFFFF"/>
        </w:rPr>
        <w:br w:type="page"/>
      </w:r>
    </w:p>
    <w:p w14:paraId="104D7288" w14:textId="77777777" w:rsidR="00932425" w:rsidRPr="002C29D2" w:rsidRDefault="00932425" w:rsidP="00932425">
      <w:pPr>
        <w:adjustRightInd w:val="0"/>
        <w:snapToGrid w:val="0"/>
        <w:spacing w:line="360" w:lineRule="auto"/>
        <w:jc w:val="both"/>
        <w:rPr>
          <w:shd w:val="clear" w:color="auto" w:fill="FFFFFF"/>
          <w:lang w:eastAsia="zh-TW"/>
        </w:rPr>
        <w:sectPr w:rsidR="00932425" w:rsidRPr="002C29D2" w:rsidSect="00932425">
          <w:footerReference w:type="even" r:id="rId19"/>
          <w:footerReference w:type="default" r:id="rId20"/>
          <w:pgSz w:w="11906" w:h="16838"/>
          <w:pgMar w:top="1440" w:right="1440" w:bottom="1440" w:left="1440" w:header="708" w:footer="708" w:gutter="0"/>
          <w:cols w:space="708"/>
          <w:docGrid w:linePitch="360"/>
        </w:sectPr>
      </w:pPr>
    </w:p>
    <w:p w14:paraId="091FAEF1" w14:textId="5AE8623A" w:rsidR="00626FF9" w:rsidRPr="002C29D2" w:rsidRDefault="00626FF9" w:rsidP="00245505">
      <w:pPr>
        <w:adjustRightInd w:val="0"/>
        <w:snapToGrid w:val="0"/>
        <w:spacing w:line="360" w:lineRule="auto"/>
        <w:jc w:val="both"/>
      </w:pPr>
      <w:r w:rsidRPr="002C29D2">
        <w:rPr>
          <w:b/>
          <w:bCs/>
          <w:iCs/>
        </w:rPr>
        <w:lastRenderedPageBreak/>
        <w:t xml:space="preserve">Appendix </w:t>
      </w:r>
      <w:r w:rsidRPr="002C29D2">
        <w:rPr>
          <w:b/>
          <w:bCs/>
          <w:iCs/>
          <w:lang w:eastAsia="zh-TW"/>
        </w:rPr>
        <w:t>A. Overview of theoretical constructs</w:t>
      </w:r>
    </w:p>
    <w:tbl>
      <w:tblPr>
        <w:tblStyle w:val="TableGrid"/>
        <w:tblW w:w="9634" w:type="dxa"/>
        <w:tblInd w:w="-314" w:type="dxa"/>
        <w:tblLook w:val="04A0" w:firstRow="1" w:lastRow="0" w:firstColumn="1" w:lastColumn="0" w:noHBand="0" w:noVBand="1"/>
      </w:tblPr>
      <w:tblGrid>
        <w:gridCol w:w="1871"/>
        <w:gridCol w:w="5921"/>
        <w:gridCol w:w="1842"/>
      </w:tblGrid>
      <w:tr w:rsidR="002C29D2" w:rsidRPr="002C29D2" w14:paraId="728F3D93" w14:textId="77777777" w:rsidTr="00B63C4D">
        <w:tc>
          <w:tcPr>
            <w:tcW w:w="1871" w:type="dxa"/>
            <w:vAlign w:val="center"/>
          </w:tcPr>
          <w:p w14:paraId="1F86F7D2" w14:textId="77777777" w:rsidR="00626FF9" w:rsidRPr="002C29D2" w:rsidRDefault="00626FF9" w:rsidP="00B63C4D">
            <w:pPr>
              <w:tabs>
                <w:tab w:val="left" w:pos="2720"/>
              </w:tabs>
              <w:jc w:val="center"/>
              <w:rPr>
                <w:b/>
                <w:bCs/>
                <w:lang w:val="en-GB"/>
              </w:rPr>
            </w:pPr>
            <w:r w:rsidRPr="002C29D2">
              <w:rPr>
                <w:b/>
                <w:bCs/>
                <w:lang w:val="en-GB"/>
              </w:rPr>
              <w:t>Theoretical constructs</w:t>
            </w:r>
          </w:p>
        </w:tc>
        <w:tc>
          <w:tcPr>
            <w:tcW w:w="5921" w:type="dxa"/>
            <w:vAlign w:val="center"/>
          </w:tcPr>
          <w:p w14:paraId="17DDE379" w14:textId="77777777" w:rsidR="00626FF9" w:rsidRPr="002C29D2" w:rsidRDefault="00626FF9" w:rsidP="00B63C4D">
            <w:pPr>
              <w:tabs>
                <w:tab w:val="left" w:pos="2720"/>
              </w:tabs>
              <w:jc w:val="center"/>
              <w:rPr>
                <w:b/>
                <w:bCs/>
                <w:lang w:val="en-GB"/>
              </w:rPr>
            </w:pPr>
            <w:r w:rsidRPr="002C29D2">
              <w:rPr>
                <w:b/>
                <w:bCs/>
                <w:lang w:val="en-GB"/>
              </w:rPr>
              <w:t>Definition</w:t>
            </w:r>
          </w:p>
        </w:tc>
        <w:tc>
          <w:tcPr>
            <w:tcW w:w="1842" w:type="dxa"/>
            <w:vAlign w:val="center"/>
          </w:tcPr>
          <w:p w14:paraId="366C4491" w14:textId="77777777" w:rsidR="00626FF9" w:rsidRPr="002C29D2" w:rsidRDefault="00626FF9" w:rsidP="00B63C4D">
            <w:pPr>
              <w:tabs>
                <w:tab w:val="left" w:pos="2720"/>
              </w:tabs>
              <w:jc w:val="center"/>
              <w:rPr>
                <w:b/>
                <w:bCs/>
                <w:lang w:val="en-GB"/>
              </w:rPr>
            </w:pPr>
            <w:r w:rsidRPr="002C29D2">
              <w:rPr>
                <w:b/>
                <w:bCs/>
                <w:lang w:val="en-GB"/>
              </w:rPr>
              <w:t>Key source</w:t>
            </w:r>
          </w:p>
        </w:tc>
      </w:tr>
      <w:tr w:rsidR="002C29D2" w:rsidRPr="002C29D2" w14:paraId="3843AA76" w14:textId="77777777" w:rsidTr="00B63C4D">
        <w:tc>
          <w:tcPr>
            <w:tcW w:w="1871" w:type="dxa"/>
            <w:vAlign w:val="center"/>
          </w:tcPr>
          <w:p w14:paraId="7C3A1481" w14:textId="77777777" w:rsidR="00626FF9" w:rsidRPr="002C29D2" w:rsidRDefault="00626FF9" w:rsidP="00B63C4D">
            <w:pPr>
              <w:tabs>
                <w:tab w:val="left" w:pos="2720"/>
              </w:tabs>
              <w:rPr>
                <w:lang w:val="en-GB"/>
              </w:rPr>
            </w:pPr>
            <w:r w:rsidRPr="002C29D2">
              <w:rPr>
                <w:lang w:val="en-GB"/>
              </w:rPr>
              <w:t>Autonomy</w:t>
            </w:r>
          </w:p>
        </w:tc>
        <w:tc>
          <w:tcPr>
            <w:tcW w:w="5921" w:type="dxa"/>
            <w:vAlign w:val="center"/>
          </w:tcPr>
          <w:p w14:paraId="5B318C7A" w14:textId="77777777" w:rsidR="00626FF9" w:rsidRPr="002C29D2" w:rsidRDefault="00626FF9" w:rsidP="00B63C4D">
            <w:pPr>
              <w:tabs>
                <w:tab w:val="left" w:pos="2720"/>
              </w:tabs>
              <w:rPr>
                <w:lang w:val="en-GB"/>
              </w:rPr>
            </w:pPr>
            <w:r w:rsidRPr="002C29D2">
              <w:rPr>
                <w:lang w:val="en-GB"/>
              </w:rPr>
              <w:t xml:space="preserve">Autonomy refers to the autonomy of all human beings that have been promoted and not impaired by autonomous systems. </w:t>
            </w:r>
          </w:p>
        </w:tc>
        <w:tc>
          <w:tcPr>
            <w:tcW w:w="1842" w:type="dxa"/>
            <w:vAlign w:val="center"/>
          </w:tcPr>
          <w:p w14:paraId="16E708A7" w14:textId="77777777" w:rsidR="00626FF9" w:rsidRPr="002C29D2" w:rsidRDefault="00626FF9" w:rsidP="00B63C4D">
            <w:pPr>
              <w:tabs>
                <w:tab w:val="left" w:pos="2720"/>
              </w:tabs>
              <w:rPr>
                <w:lang w:val="en-GB"/>
              </w:rPr>
            </w:pPr>
            <w:r w:rsidRPr="002C29D2">
              <w:rPr>
                <w:lang w:val="en-GB"/>
              </w:rPr>
              <w:t>Floridi et al. (2018)</w:t>
            </w:r>
          </w:p>
        </w:tc>
      </w:tr>
      <w:tr w:rsidR="002C29D2" w:rsidRPr="002C29D2" w14:paraId="74A5F3EF" w14:textId="77777777" w:rsidTr="00B63C4D">
        <w:tc>
          <w:tcPr>
            <w:tcW w:w="1871" w:type="dxa"/>
            <w:vAlign w:val="center"/>
          </w:tcPr>
          <w:p w14:paraId="16EF48C3" w14:textId="77777777" w:rsidR="00626FF9" w:rsidRPr="002C29D2" w:rsidRDefault="00626FF9" w:rsidP="00B63C4D">
            <w:pPr>
              <w:tabs>
                <w:tab w:val="left" w:pos="2720"/>
              </w:tabs>
              <w:rPr>
                <w:lang w:val="en-GB"/>
              </w:rPr>
            </w:pPr>
            <w:r w:rsidRPr="002C29D2">
              <w:rPr>
                <w:lang w:val="en-GB"/>
              </w:rPr>
              <w:t>Beneficence</w:t>
            </w:r>
          </w:p>
        </w:tc>
        <w:tc>
          <w:tcPr>
            <w:tcW w:w="5921" w:type="dxa"/>
            <w:vAlign w:val="center"/>
          </w:tcPr>
          <w:p w14:paraId="74C716C9" w14:textId="77777777" w:rsidR="00626FF9" w:rsidRPr="002C29D2" w:rsidRDefault="00626FF9" w:rsidP="00B63C4D">
            <w:pPr>
              <w:tabs>
                <w:tab w:val="left" w:pos="2720"/>
              </w:tabs>
              <w:rPr>
                <w:lang w:val="en-GB"/>
              </w:rPr>
            </w:pPr>
            <w:r w:rsidRPr="002C29D2">
              <w:rPr>
                <w:lang w:val="en-GB"/>
              </w:rPr>
              <w:t xml:space="preserve">Beneficence refers to the subjective sense of being able to exert positive pro-social impacts (i.e., voluntary actions of making benefits) on others and having wellness-relevant outcomes about oneself. </w:t>
            </w:r>
          </w:p>
        </w:tc>
        <w:tc>
          <w:tcPr>
            <w:tcW w:w="1842" w:type="dxa"/>
            <w:vAlign w:val="center"/>
          </w:tcPr>
          <w:p w14:paraId="14C214D5" w14:textId="77777777" w:rsidR="00626FF9" w:rsidRPr="002C29D2" w:rsidRDefault="00626FF9" w:rsidP="00B63C4D">
            <w:pPr>
              <w:tabs>
                <w:tab w:val="left" w:pos="2720"/>
              </w:tabs>
              <w:rPr>
                <w:lang w:val="en-GB"/>
              </w:rPr>
            </w:pPr>
            <w:r w:rsidRPr="002C29D2">
              <w:fldChar w:fldCharType="begin" w:fldLock="1"/>
            </w:r>
            <w:r w:rsidRPr="002C29D2">
              <w:rPr>
                <w:lang w:val="en-GB"/>
              </w:rPr>
              <w:instrText>ADDIN CSL_CITATION {"citationItems":[{"id":"ITEM-1","itemData":{"author":[{"dropping-particle":"","family":"Martela","given":"Frank","non-dropping-particle":"","parse-names":false,"suffix":""},{"dropping-particle":"","family":"Ryan","given":"Richard M.","non-dropping-particle":"","parse-names":false,"suffix":""}],"container-title":"Journal of Personality","id":"ITEM-1","issue":"6","issued":{"date-parts":[["2015"]]},"page":"750-764","title":"The benefits of benevolence: Basic psychological needs, beneficence, and the enhancement of well-being","type":"article-journal","volume":"84"},"uris":["http://www.mendeley.com/documents/?uuid=e69b8ae5-85b8-43df-8ac0-e20b3fac43df"]}],"mendeley":{"formattedCitation":"(Martela &amp; Ryan, 2015)","plainTextFormattedCitation":"(Martela &amp; Ryan, 2015)","previouslyFormattedCitation":"(Martela and Ryan, 2015)"},"properties":{"noteIndex":0},"schema":"https://github.com/citation-style-language/schema/raw/master/csl-citation.json"}</w:instrText>
            </w:r>
            <w:r w:rsidRPr="002C29D2">
              <w:fldChar w:fldCharType="separate"/>
            </w:r>
            <w:r w:rsidRPr="002C29D2">
              <w:rPr>
                <w:lang w:val="en-GB"/>
              </w:rPr>
              <w:t>Martela and Ryan (2016)</w:t>
            </w:r>
            <w:r w:rsidRPr="002C29D2">
              <w:fldChar w:fldCharType="end"/>
            </w:r>
          </w:p>
        </w:tc>
      </w:tr>
      <w:tr w:rsidR="002C29D2" w:rsidRPr="002C29D2" w14:paraId="2EB54468" w14:textId="77777777" w:rsidTr="00B63C4D">
        <w:tc>
          <w:tcPr>
            <w:tcW w:w="1871" w:type="dxa"/>
            <w:vAlign w:val="center"/>
          </w:tcPr>
          <w:p w14:paraId="1D8C1FBF" w14:textId="77777777" w:rsidR="00626FF9" w:rsidRPr="002C29D2" w:rsidRDefault="00626FF9" w:rsidP="00B63C4D">
            <w:pPr>
              <w:tabs>
                <w:tab w:val="left" w:pos="2720"/>
              </w:tabs>
              <w:rPr>
                <w:lang w:val="en-GB"/>
              </w:rPr>
            </w:pPr>
            <w:r w:rsidRPr="002C29D2">
              <w:rPr>
                <w:lang w:val="en-GB"/>
              </w:rPr>
              <w:t>Explainability</w:t>
            </w:r>
          </w:p>
        </w:tc>
        <w:tc>
          <w:tcPr>
            <w:tcW w:w="5921" w:type="dxa"/>
            <w:vAlign w:val="center"/>
          </w:tcPr>
          <w:p w14:paraId="23AAA90C" w14:textId="77777777" w:rsidR="00626FF9" w:rsidRPr="002C29D2" w:rsidRDefault="00626FF9" w:rsidP="00B63C4D">
            <w:pPr>
              <w:tabs>
                <w:tab w:val="left" w:pos="2720"/>
              </w:tabs>
              <w:rPr>
                <w:lang w:val="en-GB"/>
              </w:rPr>
            </w:pPr>
            <w:r w:rsidRPr="002C29D2">
              <w:rPr>
                <w:lang w:val="en-GB"/>
              </w:rPr>
              <w:t xml:space="preserve">Explainability emphasises the need to translate system actions and outputs into intelligible information and to communicate system processes regularly in an accessible way that allows individuals to interpret the complex automated decision-making processes. </w:t>
            </w:r>
          </w:p>
        </w:tc>
        <w:tc>
          <w:tcPr>
            <w:tcW w:w="1842" w:type="dxa"/>
            <w:vAlign w:val="center"/>
          </w:tcPr>
          <w:p w14:paraId="6523EFD9" w14:textId="77777777" w:rsidR="00626FF9" w:rsidRPr="002C29D2" w:rsidRDefault="00626FF9" w:rsidP="00B63C4D">
            <w:pPr>
              <w:tabs>
                <w:tab w:val="left" w:pos="2720"/>
              </w:tabs>
              <w:rPr>
                <w:lang w:val="en-GB"/>
              </w:rPr>
            </w:pPr>
            <w:r w:rsidRPr="002C29D2">
              <w:fldChar w:fldCharType="begin" w:fldLock="1"/>
            </w:r>
            <w:r w:rsidRPr="002C29D2">
              <w:rPr>
                <w:lang w:val="en-GB"/>
              </w:rPr>
              <w:instrText>ADDIN CSL_CITATION {"citationItems":[{"id":"ITEM-1","itemData":{"author":[{"dropping-particle":"","family":"Jobin","given":"A.","non-dropping-particle":"","parse-names":false,"suffix":""},{"dropping-particle":"","family":"Lenca","given":"M.","non-dropping-particle":"","parse-names":false,"suffix":""},{"dropping-particle":"","family":"Vayena","given":"E.","non-dropping-particle":"","parse-names":false,"suffix":""}],"container-title":"Nature Machine Intelligence","id":"ITEM-1","issued":{"date-parts":[["2019"]]},"page":"389-399","title":"The global landscape of AI ethics guidelines","type":"article-journal","volume":"1"},"uris":["http://www.mendeley.com/documents/?uuid=984b4763-1176-4955-b042-f2c5886e5bdf"]}],"mendeley":{"formattedCitation":"(Jobin et al., 2019)","plainTextFormattedCitation":"(Jobin et al., 2019)","previouslyFormattedCitation":"(Jobin &lt;i&gt;et al.&lt;/i&gt;, 2019)"},"properties":{"noteIndex":0},"schema":"https://github.com/citation-style-language/schema/raw/master/csl-citation.json"}</w:instrText>
            </w:r>
            <w:r w:rsidRPr="002C29D2">
              <w:fldChar w:fldCharType="separate"/>
            </w:r>
            <w:r w:rsidRPr="002C29D2">
              <w:rPr>
                <w:lang w:val="en-GB"/>
              </w:rPr>
              <w:t>Jobin et al. (2019)</w:t>
            </w:r>
            <w:r w:rsidRPr="002C29D2">
              <w:fldChar w:fldCharType="end"/>
            </w:r>
          </w:p>
        </w:tc>
      </w:tr>
      <w:tr w:rsidR="002C29D2" w:rsidRPr="002C29D2" w14:paraId="4DD3423D" w14:textId="77777777" w:rsidTr="00B63C4D">
        <w:trPr>
          <w:trHeight w:val="557"/>
        </w:trPr>
        <w:tc>
          <w:tcPr>
            <w:tcW w:w="1871" w:type="dxa"/>
            <w:vAlign w:val="center"/>
          </w:tcPr>
          <w:p w14:paraId="7B0E04D2" w14:textId="77777777" w:rsidR="00626FF9" w:rsidRPr="002C29D2" w:rsidRDefault="00626FF9" w:rsidP="00B63C4D">
            <w:pPr>
              <w:tabs>
                <w:tab w:val="left" w:pos="2720"/>
              </w:tabs>
              <w:rPr>
                <w:lang w:val="en-GB"/>
              </w:rPr>
            </w:pPr>
            <w:r w:rsidRPr="002C29D2">
              <w:rPr>
                <w:lang w:val="en-GB"/>
              </w:rPr>
              <w:t>Justice</w:t>
            </w:r>
          </w:p>
        </w:tc>
        <w:tc>
          <w:tcPr>
            <w:tcW w:w="5921" w:type="dxa"/>
            <w:vAlign w:val="center"/>
          </w:tcPr>
          <w:p w14:paraId="63DBF196" w14:textId="77777777" w:rsidR="00626FF9" w:rsidRPr="002C29D2" w:rsidRDefault="00626FF9" w:rsidP="00B63C4D">
            <w:pPr>
              <w:tabs>
                <w:tab w:val="left" w:pos="2720"/>
              </w:tabs>
              <w:rPr>
                <w:lang w:val="en-GB"/>
              </w:rPr>
            </w:pPr>
            <w:r w:rsidRPr="002C29D2">
              <w:rPr>
                <w:lang w:val="en-GB"/>
              </w:rPr>
              <w:t xml:space="preserve">The principle of justice holds the obligation of distributing benefits equitably and fairly to individuals. </w:t>
            </w:r>
          </w:p>
        </w:tc>
        <w:tc>
          <w:tcPr>
            <w:tcW w:w="1842" w:type="dxa"/>
            <w:vAlign w:val="center"/>
          </w:tcPr>
          <w:p w14:paraId="07CFE6BB" w14:textId="77777777" w:rsidR="00626FF9" w:rsidRPr="002C29D2" w:rsidRDefault="00626FF9" w:rsidP="00B63C4D">
            <w:pPr>
              <w:tabs>
                <w:tab w:val="left" w:pos="2720"/>
              </w:tabs>
              <w:rPr>
                <w:lang w:val="en-GB"/>
              </w:rPr>
            </w:pPr>
            <w:r w:rsidRPr="002C29D2">
              <w:rPr>
                <w:lang w:val="en-GB"/>
              </w:rPr>
              <w:t>Newman et al. (2020)</w:t>
            </w:r>
          </w:p>
        </w:tc>
      </w:tr>
      <w:tr w:rsidR="002C29D2" w:rsidRPr="002C29D2" w14:paraId="5BD2CDF5" w14:textId="77777777" w:rsidTr="00B63C4D">
        <w:tc>
          <w:tcPr>
            <w:tcW w:w="1871" w:type="dxa"/>
            <w:vAlign w:val="center"/>
          </w:tcPr>
          <w:p w14:paraId="3CA101BE" w14:textId="77777777" w:rsidR="00626FF9" w:rsidRPr="002C29D2" w:rsidRDefault="00626FF9" w:rsidP="00B63C4D">
            <w:pPr>
              <w:tabs>
                <w:tab w:val="left" w:pos="2720"/>
              </w:tabs>
              <w:rPr>
                <w:lang w:val="en-GB"/>
              </w:rPr>
            </w:pPr>
            <w:r w:rsidRPr="002C29D2">
              <w:rPr>
                <w:lang w:val="en-GB"/>
              </w:rPr>
              <w:t>Non-maleficence</w:t>
            </w:r>
          </w:p>
        </w:tc>
        <w:tc>
          <w:tcPr>
            <w:tcW w:w="5921" w:type="dxa"/>
            <w:vAlign w:val="center"/>
          </w:tcPr>
          <w:p w14:paraId="07CC98DD" w14:textId="77777777" w:rsidR="00626FF9" w:rsidRPr="002C29D2" w:rsidRDefault="00626FF9" w:rsidP="00B63C4D">
            <w:pPr>
              <w:tabs>
                <w:tab w:val="left" w:pos="2720"/>
              </w:tabs>
              <w:rPr>
                <w:lang w:val="en-GB"/>
              </w:rPr>
            </w:pPr>
            <w:r w:rsidRPr="002C29D2">
              <w:rPr>
                <w:lang w:val="en-GB"/>
              </w:rPr>
              <w:t xml:space="preserve">Non-maleficence refers to the obligation of no harm inflicted intentionally to others. </w:t>
            </w:r>
          </w:p>
        </w:tc>
        <w:tc>
          <w:tcPr>
            <w:tcW w:w="1842" w:type="dxa"/>
            <w:vAlign w:val="center"/>
          </w:tcPr>
          <w:p w14:paraId="4F110AA9" w14:textId="77777777" w:rsidR="00626FF9" w:rsidRPr="002C29D2" w:rsidRDefault="00626FF9" w:rsidP="00B63C4D">
            <w:pPr>
              <w:tabs>
                <w:tab w:val="left" w:pos="2720"/>
              </w:tabs>
              <w:rPr>
                <w:lang w:val="en-GB"/>
              </w:rPr>
            </w:pPr>
            <w:r w:rsidRPr="002C29D2">
              <w:rPr>
                <w:lang w:val="en-GB"/>
              </w:rPr>
              <w:t>Floridi et al. (2018)</w:t>
            </w:r>
          </w:p>
        </w:tc>
      </w:tr>
      <w:tr w:rsidR="002C29D2" w:rsidRPr="002C29D2" w14:paraId="1DA25569" w14:textId="77777777" w:rsidTr="00B63C4D">
        <w:tc>
          <w:tcPr>
            <w:tcW w:w="1871" w:type="dxa"/>
            <w:vAlign w:val="center"/>
          </w:tcPr>
          <w:p w14:paraId="413424AB" w14:textId="77777777" w:rsidR="00626FF9" w:rsidRPr="002C29D2" w:rsidRDefault="00626FF9" w:rsidP="00B63C4D">
            <w:pPr>
              <w:tabs>
                <w:tab w:val="left" w:pos="2720"/>
              </w:tabs>
              <w:rPr>
                <w:lang w:val="en-GB"/>
              </w:rPr>
            </w:pPr>
            <w:r w:rsidRPr="002C29D2">
              <w:rPr>
                <w:lang w:val="en-GB"/>
              </w:rPr>
              <w:t>Employee engagement</w:t>
            </w:r>
          </w:p>
        </w:tc>
        <w:tc>
          <w:tcPr>
            <w:tcW w:w="5921" w:type="dxa"/>
            <w:vAlign w:val="center"/>
          </w:tcPr>
          <w:p w14:paraId="086F86D8" w14:textId="77777777" w:rsidR="00626FF9" w:rsidRPr="002C29D2" w:rsidRDefault="00626FF9" w:rsidP="00B63C4D">
            <w:pPr>
              <w:tabs>
                <w:tab w:val="left" w:pos="2720"/>
              </w:tabs>
              <w:rPr>
                <w:lang w:val="en-GB"/>
              </w:rPr>
            </w:pPr>
            <w:r w:rsidRPr="002C29D2">
              <w:rPr>
                <w:iCs/>
                <w:lang w:val="en-GB" w:eastAsia="zh-TW"/>
              </w:rPr>
              <w:t xml:space="preserve">Employee engagement with AI refers to the degree to which practitioners </w:t>
            </w:r>
            <w:r w:rsidRPr="002C29D2">
              <w:rPr>
                <w:iCs/>
                <w:lang w:val="en-GB"/>
              </w:rPr>
              <w:t>are passionate about AI implementation in the healthcare systems.</w:t>
            </w:r>
          </w:p>
        </w:tc>
        <w:tc>
          <w:tcPr>
            <w:tcW w:w="1842" w:type="dxa"/>
            <w:vAlign w:val="center"/>
          </w:tcPr>
          <w:p w14:paraId="3994D453" w14:textId="77777777" w:rsidR="00626FF9" w:rsidRPr="002C29D2" w:rsidRDefault="00626FF9" w:rsidP="00B63C4D">
            <w:pPr>
              <w:tabs>
                <w:tab w:val="left" w:pos="2720"/>
              </w:tabs>
              <w:rPr>
                <w:iCs/>
                <w:lang w:val="en-GB" w:eastAsia="zh-TW"/>
              </w:rPr>
            </w:pPr>
            <w:r w:rsidRPr="002C29D2">
              <w:rPr>
                <w:iCs/>
                <w:lang w:val="en-GB" w:eastAsia="zh-TW"/>
              </w:rPr>
              <w:t>Our own definition</w:t>
            </w:r>
          </w:p>
        </w:tc>
      </w:tr>
    </w:tbl>
    <w:p w14:paraId="0774D668" w14:textId="77777777" w:rsidR="00AE3CCD" w:rsidRPr="002C29D2" w:rsidRDefault="00AE3CCD" w:rsidP="00626FF9">
      <w:pPr>
        <w:spacing w:after="100" w:afterAutospacing="1"/>
        <w:rPr>
          <w:b/>
          <w:bCs/>
          <w:iCs/>
        </w:rPr>
      </w:pPr>
    </w:p>
    <w:p w14:paraId="7E1490E3" w14:textId="02D805E4" w:rsidR="00626FF9" w:rsidRPr="002C29D2" w:rsidRDefault="00626FF9" w:rsidP="00626FF9">
      <w:pPr>
        <w:spacing w:after="100" w:afterAutospacing="1"/>
        <w:rPr>
          <w:b/>
          <w:bCs/>
          <w:iCs/>
        </w:rPr>
      </w:pPr>
      <w:r w:rsidRPr="002C29D2">
        <w:rPr>
          <w:b/>
          <w:bCs/>
          <w:iCs/>
        </w:rPr>
        <w:t xml:space="preserve">Appendix </w:t>
      </w:r>
      <w:r w:rsidRPr="002C29D2">
        <w:rPr>
          <w:b/>
          <w:bCs/>
          <w:iCs/>
          <w:lang w:eastAsia="zh-TW"/>
        </w:rPr>
        <w:t>B. Hospital classification in China</w:t>
      </w:r>
    </w:p>
    <w:p w14:paraId="76075557" w14:textId="77777777" w:rsidR="00626FF9" w:rsidRPr="002C29D2" w:rsidRDefault="00626FF9" w:rsidP="00626FF9">
      <w:r w:rsidRPr="002C29D2">
        <w:rPr>
          <w:b/>
          <w:bCs/>
        </w:rPr>
        <w:t>According to World Health Organization (2015), Chinese Hospitals</w:t>
      </w:r>
      <w:r w:rsidRPr="002C29D2">
        <w:t xml:space="preserve"> are generally classified into Primary, Secondary, and Tertiary hospitals according to their size, functions in providing medical care, medical education, and conducting medical research: </w:t>
      </w:r>
    </w:p>
    <w:p w14:paraId="1261D4A2" w14:textId="77777777" w:rsidR="00626FF9" w:rsidRPr="002C29D2" w:rsidRDefault="00626FF9" w:rsidP="00626FF9">
      <w:pPr>
        <w:ind w:firstLine="480"/>
      </w:pPr>
    </w:p>
    <w:p w14:paraId="4E26FF3A" w14:textId="77777777" w:rsidR="00626FF9" w:rsidRPr="002C29D2" w:rsidRDefault="00626FF9" w:rsidP="00626FF9">
      <w:pPr>
        <w:pStyle w:val="ListParagraph"/>
        <w:numPr>
          <w:ilvl w:val="0"/>
          <w:numId w:val="10"/>
        </w:numPr>
        <w:contextualSpacing w:val="0"/>
        <w:jc w:val="both"/>
      </w:pPr>
      <w:r w:rsidRPr="002C29D2">
        <w:t xml:space="preserve">Primary hospitals: A primary hospital has 20-99 ward beds and offers preventive care, clinical treatment, healthcare, and rehabilitation service in a community. A primary hospital is similar to community hospitals in the West. </w:t>
      </w:r>
    </w:p>
    <w:p w14:paraId="491A2CA3" w14:textId="77777777" w:rsidR="00626FF9" w:rsidRPr="002C29D2" w:rsidRDefault="00626FF9" w:rsidP="00626FF9">
      <w:pPr>
        <w:pStyle w:val="ListParagraph"/>
        <w:numPr>
          <w:ilvl w:val="0"/>
          <w:numId w:val="10"/>
        </w:numPr>
        <w:contextualSpacing w:val="0"/>
        <w:jc w:val="both"/>
      </w:pPr>
      <w:r w:rsidRPr="002C29D2">
        <w:t>Secondary hospitals: A secondary hospital has 100-499 ward beds. It offers comprehensive medical and health services to multiple communities and offers medical training and research. A secondary hospital is similar to a Regional hospital or District hospital in the West.</w:t>
      </w:r>
    </w:p>
    <w:p w14:paraId="0C2F3785" w14:textId="77777777" w:rsidR="00626FF9" w:rsidRPr="002C29D2" w:rsidRDefault="00626FF9" w:rsidP="00626FF9">
      <w:pPr>
        <w:pStyle w:val="ListParagraph"/>
        <w:numPr>
          <w:ilvl w:val="0"/>
          <w:numId w:val="10"/>
        </w:numPr>
        <w:contextualSpacing w:val="0"/>
        <w:jc w:val="both"/>
      </w:pPr>
      <w:r w:rsidRPr="002C29D2">
        <w:t>Tertiary hospitals: A tertiary hospital has more than 500 ward beds and serves multiple regions. It offers specialized medical services and treatment of severe and complicated cases, accepts referral cases from secondary hospitals, and trains healthcare professionals in lower-level institutions. It is also responsible for higher education and scientific research. A tertiary hospital is similar to a Tertiary referral hospital in the West.</w:t>
      </w:r>
    </w:p>
    <w:p w14:paraId="0A7195AD" w14:textId="77777777" w:rsidR="00626FF9" w:rsidRPr="002C29D2" w:rsidRDefault="00626FF9" w:rsidP="00626FF9">
      <w:pPr>
        <w:pStyle w:val="ListParagraph"/>
        <w:contextualSpacing w:val="0"/>
        <w:jc w:val="both"/>
      </w:pPr>
    </w:p>
    <w:p w14:paraId="6F8438D1" w14:textId="6A2B92DA" w:rsidR="00626FF9" w:rsidRPr="002C29D2" w:rsidRDefault="00626FF9" w:rsidP="00626FF9">
      <w:pPr>
        <w:ind w:firstLine="480"/>
      </w:pPr>
      <w:r w:rsidRPr="002C29D2">
        <w:t>Further, based on service provision, size, medical technology, medical equipment, management, and medical quality, the above hospitals are subdivided into three descending levels: Grade A (</w:t>
      </w:r>
      <w:r w:rsidRPr="002C29D2">
        <w:rPr>
          <w:rFonts w:ascii="SimSun" w:eastAsia="SimSun" w:hAnsi="SimSun" w:cs="SimSun"/>
        </w:rPr>
        <w:t>甲</w:t>
      </w:r>
      <w:r w:rsidRPr="002C29D2">
        <w:t>[jiǎ]), Grade B (</w:t>
      </w:r>
      <w:r w:rsidRPr="002C29D2">
        <w:rPr>
          <w:rFonts w:ascii="SimSun" w:eastAsia="SimSun" w:hAnsi="SimSun" w:cs="SimSun"/>
        </w:rPr>
        <w:t>乙</w:t>
      </w:r>
      <w:r w:rsidRPr="002C29D2">
        <w:t>[yǐ]), and Grade C [</w:t>
      </w:r>
      <w:r w:rsidRPr="002C29D2">
        <w:rPr>
          <w:rFonts w:ascii="SimSun" w:eastAsia="SimSun" w:hAnsi="SimSun" w:cs="SimSun"/>
        </w:rPr>
        <w:t>丙</w:t>
      </w:r>
      <w:r w:rsidRPr="002C29D2">
        <w:t>[bǐng]] (Ministry of Health of the People's Republic of China 2011).</w:t>
      </w:r>
    </w:p>
    <w:p w14:paraId="24ADB4CD" w14:textId="77777777" w:rsidR="00245505" w:rsidRPr="002C29D2" w:rsidRDefault="00245505" w:rsidP="00626FF9">
      <w:pPr>
        <w:ind w:firstLine="480"/>
      </w:pPr>
    </w:p>
    <w:p w14:paraId="3E848D48" w14:textId="77777777" w:rsidR="00626FF9" w:rsidRPr="002C29D2" w:rsidRDefault="00626FF9" w:rsidP="00626FF9">
      <w:pPr>
        <w:spacing w:after="100" w:afterAutospacing="1"/>
        <w:rPr>
          <w:b/>
          <w:bCs/>
          <w:iCs/>
        </w:rPr>
      </w:pPr>
      <w:r w:rsidRPr="002C29D2">
        <w:rPr>
          <w:b/>
          <w:bCs/>
          <w:iCs/>
        </w:rPr>
        <w:lastRenderedPageBreak/>
        <w:t xml:space="preserve">Appendix </w:t>
      </w:r>
      <w:r w:rsidRPr="002C29D2">
        <w:rPr>
          <w:b/>
          <w:bCs/>
          <w:iCs/>
          <w:lang w:eastAsia="zh-TW"/>
        </w:rPr>
        <w:t>C. A short summary of AI applications in the medical field</w:t>
      </w:r>
    </w:p>
    <w:p w14:paraId="7E2CD799" w14:textId="77777777" w:rsidR="00626FF9" w:rsidRPr="002C29D2" w:rsidRDefault="00626FF9" w:rsidP="00626FF9">
      <w:pPr>
        <w:ind w:firstLine="480"/>
        <w:jc w:val="both"/>
      </w:pPr>
      <w:r w:rsidRPr="002C29D2">
        <w:t>With the continuous development of artificial intelligence (AI) technology, its application scenarios are also expanding. The application of AI technology in the medical field has changed the current medical situation due to the continuous high-speed operations of computers, big data analysis, and deep learning. At present, AI technology applications appear in multiple medical fields and many aspects of medical equipment. Examples include, but not limited to</w:t>
      </w:r>
    </w:p>
    <w:p w14:paraId="1957FD9F" w14:textId="77777777" w:rsidR="00626FF9" w:rsidRPr="002C29D2" w:rsidRDefault="00626FF9" w:rsidP="00626FF9">
      <w:pPr>
        <w:pStyle w:val="ListParagraph"/>
        <w:numPr>
          <w:ilvl w:val="0"/>
          <w:numId w:val="11"/>
        </w:numPr>
        <w:contextualSpacing w:val="0"/>
        <w:jc w:val="both"/>
      </w:pPr>
      <w:r w:rsidRPr="002C29D2">
        <w:t>Telemedicine: The areas covered by AI technology include remote consultation, remote diagnosis, and remote surgery with the development of Internet technology.</w:t>
      </w:r>
    </w:p>
    <w:p w14:paraId="5FA98C1C" w14:textId="77777777" w:rsidR="00626FF9" w:rsidRPr="002C29D2" w:rsidRDefault="00626FF9" w:rsidP="00626FF9">
      <w:pPr>
        <w:pStyle w:val="ListParagraph"/>
        <w:numPr>
          <w:ilvl w:val="0"/>
          <w:numId w:val="11"/>
        </w:numPr>
        <w:contextualSpacing w:val="0"/>
        <w:jc w:val="both"/>
      </w:pPr>
      <w:r w:rsidRPr="002C29D2">
        <w:t>Intelligent registration, diagnosis, and treatment system: The system asks patients a series of questions based on the hospital database. Then, locates the diagnosis and achieves accurate registration through the shortest path algorithm.</w:t>
      </w:r>
    </w:p>
    <w:p w14:paraId="0670F5BA" w14:textId="77777777" w:rsidR="00626FF9" w:rsidRPr="002C29D2" w:rsidRDefault="00626FF9" w:rsidP="00626FF9">
      <w:pPr>
        <w:pStyle w:val="ListParagraph"/>
        <w:numPr>
          <w:ilvl w:val="0"/>
          <w:numId w:val="11"/>
        </w:numPr>
        <w:contextualSpacing w:val="0"/>
        <w:jc w:val="both"/>
      </w:pPr>
      <w:r w:rsidRPr="002C29D2">
        <w:t>Intelligent pathological diagnosis and medical image recognition: Rooted in the big data and in-depth mining technologies, AI technology uses medical data collected in traditional medical methods to analyze and mine the patient’s medical data, automatically identify patient’s clinical variables and indicators. In its auxiliary medical work in pathological diagnosis and medical image recognition, AI technology combines relevant medical knowledge to provide doctors with reference for diagnosis and treatment methods for patients.</w:t>
      </w:r>
    </w:p>
    <w:p w14:paraId="368F9519" w14:textId="77777777" w:rsidR="00626FF9" w:rsidRPr="002C29D2" w:rsidRDefault="00626FF9" w:rsidP="00626FF9">
      <w:pPr>
        <w:pStyle w:val="ListParagraph"/>
        <w:numPr>
          <w:ilvl w:val="0"/>
          <w:numId w:val="11"/>
        </w:numPr>
        <w:contextualSpacing w:val="0"/>
        <w:jc w:val="both"/>
      </w:pPr>
      <w:r w:rsidRPr="002C29D2">
        <w:t>Intelligent drug research and development: AI technology can perform finding drug candidate targets, accurate prediction using algorithms, rapid screening of active compounds, and virtual construction of drug molecules through deep learning of patient and healthy population databases.</w:t>
      </w:r>
    </w:p>
    <w:p w14:paraId="3D57A039" w14:textId="77777777" w:rsidR="00626FF9" w:rsidRPr="002C29D2" w:rsidRDefault="00626FF9" w:rsidP="00626FF9">
      <w:pPr>
        <w:pStyle w:val="ListParagraph"/>
        <w:numPr>
          <w:ilvl w:val="0"/>
          <w:numId w:val="11"/>
        </w:numPr>
        <w:contextualSpacing w:val="0"/>
        <w:jc w:val="both"/>
      </w:pPr>
      <w:r w:rsidRPr="002C29D2">
        <w:t>Medical robots: intelligent prostheses, communication robots (used for auxiliary treatment of children with autism), healthcare robots, surgical robots (e.g., Da Vinci Surgical System) etc.</w:t>
      </w:r>
    </w:p>
    <w:p w14:paraId="65AA70C3" w14:textId="77777777" w:rsidR="00626FF9" w:rsidRPr="002C29D2" w:rsidRDefault="00626FF9" w:rsidP="00626FF9">
      <w:pPr>
        <w:pStyle w:val="ListParagraph"/>
        <w:numPr>
          <w:ilvl w:val="0"/>
          <w:numId w:val="11"/>
        </w:numPr>
        <w:contextualSpacing w:val="0"/>
        <w:jc w:val="both"/>
      </w:pPr>
      <w:r w:rsidRPr="002C29D2">
        <w:t>Smart wearable devices: monitor the physical characteristics of the human body combined with the user's data, assess physical fitness, thereby provide automatized reports and health management plans.</w:t>
      </w:r>
    </w:p>
    <w:p w14:paraId="56B4E2AC" w14:textId="77777777" w:rsidR="00626FF9" w:rsidRPr="002C29D2" w:rsidRDefault="00626FF9" w:rsidP="00626FF9">
      <w:pPr>
        <w:ind w:firstLine="480"/>
        <w:jc w:val="both"/>
      </w:pPr>
      <w:r w:rsidRPr="002C29D2">
        <w:t xml:space="preserve">The applications of AI technology in the medical field are not limited to the above examples. The proliferation of AI technology applications ranges from the medical information targeting and consultation provided by medical social networking service (e.g., DXY.cn) to the intelligent medical image recognition technology. </w:t>
      </w:r>
    </w:p>
    <w:p w14:paraId="7468C7A8" w14:textId="77777777" w:rsidR="00626FF9" w:rsidRPr="002C29D2" w:rsidRDefault="00626FF9" w:rsidP="00626FF9">
      <w:pPr>
        <w:adjustRightInd w:val="0"/>
        <w:snapToGrid w:val="0"/>
        <w:spacing w:line="360" w:lineRule="auto"/>
        <w:jc w:val="both"/>
      </w:pPr>
    </w:p>
    <w:p w14:paraId="72C07CCD" w14:textId="77777777" w:rsidR="00626FF9" w:rsidRPr="002C29D2" w:rsidRDefault="00626FF9" w:rsidP="00626FF9">
      <w:pPr>
        <w:adjustRightInd w:val="0"/>
        <w:snapToGrid w:val="0"/>
        <w:spacing w:line="360" w:lineRule="auto"/>
        <w:jc w:val="both"/>
      </w:pPr>
    </w:p>
    <w:p w14:paraId="5C66CF16" w14:textId="77777777" w:rsidR="00776746" w:rsidRPr="002C29D2" w:rsidRDefault="00776746" w:rsidP="00060C48">
      <w:pPr>
        <w:adjustRightInd w:val="0"/>
        <w:snapToGrid w:val="0"/>
        <w:spacing w:line="360" w:lineRule="auto"/>
        <w:ind w:left="480" w:hangingChars="200" w:hanging="480"/>
        <w:jc w:val="both"/>
        <w:rPr>
          <w:shd w:val="clear" w:color="auto" w:fill="FFFFFF"/>
        </w:rPr>
      </w:pPr>
    </w:p>
    <w:p w14:paraId="425CA1C4" w14:textId="07F05716" w:rsidR="00620E94" w:rsidRPr="002C29D2" w:rsidRDefault="00620E94" w:rsidP="00620E94">
      <w:pPr>
        <w:adjustRightInd w:val="0"/>
        <w:snapToGrid w:val="0"/>
        <w:spacing w:line="360" w:lineRule="auto"/>
        <w:jc w:val="both"/>
      </w:pPr>
    </w:p>
    <w:p w14:paraId="2A49960C" w14:textId="640E26E5" w:rsidR="00626FF9" w:rsidRPr="002C29D2" w:rsidRDefault="00626FF9" w:rsidP="00620E94">
      <w:pPr>
        <w:adjustRightInd w:val="0"/>
        <w:snapToGrid w:val="0"/>
        <w:spacing w:line="360" w:lineRule="auto"/>
        <w:jc w:val="both"/>
      </w:pPr>
    </w:p>
    <w:p w14:paraId="0DF7058C" w14:textId="589C83FB" w:rsidR="00626FF9" w:rsidRPr="002C29D2" w:rsidRDefault="00626FF9" w:rsidP="00620E94">
      <w:pPr>
        <w:adjustRightInd w:val="0"/>
        <w:snapToGrid w:val="0"/>
        <w:spacing w:line="360" w:lineRule="auto"/>
        <w:jc w:val="both"/>
      </w:pPr>
    </w:p>
    <w:p w14:paraId="07800FE6" w14:textId="18EA0D0B" w:rsidR="00626FF9" w:rsidRPr="002C29D2" w:rsidRDefault="00626FF9" w:rsidP="00620E94">
      <w:pPr>
        <w:adjustRightInd w:val="0"/>
        <w:snapToGrid w:val="0"/>
        <w:spacing w:line="360" w:lineRule="auto"/>
        <w:jc w:val="both"/>
      </w:pPr>
    </w:p>
    <w:p w14:paraId="660326B4" w14:textId="21F0B1B7" w:rsidR="00042ACC" w:rsidRPr="002C29D2" w:rsidRDefault="00042ACC" w:rsidP="00620E94">
      <w:pPr>
        <w:adjustRightInd w:val="0"/>
        <w:snapToGrid w:val="0"/>
        <w:spacing w:line="360" w:lineRule="auto"/>
        <w:jc w:val="both"/>
      </w:pPr>
    </w:p>
    <w:p w14:paraId="29DE89A8" w14:textId="77777777" w:rsidR="00042ACC" w:rsidRPr="002C29D2" w:rsidRDefault="00042ACC" w:rsidP="00620E94">
      <w:pPr>
        <w:adjustRightInd w:val="0"/>
        <w:snapToGrid w:val="0"/>
        <w:spacing w:line="360" w:lineRule="auto"/>
        <w:jc w:val="both"/>
      </w:pPr>
    </w:p>
    <w:p w14:paraId="2C96D6E3" w14:textId="31BE8946" w:rsidR="00626FF9" w:rsidRPr="002C29D2" w:rsidRDefault="00626FF9" w:rsidP="00620E94">
      <w:pPr>
        <w:adjustRightInd w:val="0"/>
        <w:snapToGrid w:val="0"/>
        <w:spacing w:line="360" w:lineRule="auto"/>
        <w:jc w:val="both"/>
      </w:pPr>
    </w:p>
    <w:p w14:paraId="28828278" w14:textId="77777777" w:rsidR="00626FF9" w:rsidRPr="002C29D2" w:rsidRDefault="00626FF9" w:rsidP="00626FF9">
      <w:pPr>
        <w:adjustRightInd w:val="0"/>
        <w:snapToGrid w:val="0"/>
        <w:spacing w:line="360" w:lineRule="auto"/>
        <w:jc w:val="both"/>
        <w:rPr>
          <w:b/>
          <w:bCs/>
        </w:rPr>
      </w:pPr>
      <w:r w:rsidRPr="002C29D2">
        <w:rPr>
          <w:b/>
          <w:bCs/>
        </w:rPr>
        <w:lastRenderedPageBreak/>
        <w:t>Appendix D</w:t>
      </w:r>
      <w:r w:rsidRPr="002C29D2">
        <w:rPr>
          <w:b/>
          <w:bCs/>
          <w:lang w:eastAsia="zh-TW"/>
        </w:rPr>
        <w:t>.</w:t>
      </w:r>
      <w:r w:rsidRPr="002C29D2">
        <w:rPr>
          <w:b/>
          <w:bCs/>
        </w:rPr>
        <w:t xml:space="preserve"> </w:t>
      </w:r>
      <w:r w:rsidRPr="002C29D2">
        <w:rPr>
          <w:b/>
          <w:bCs/>
          <w:lang w:eastAsia="zh-TW"/>
        </w:rPr>
        <w:t>The results of m</w:t>
      </w:r>
      <w:r w:rsidRPr="002C29D2">
        <w:rPr>
          <w:b/>
          <w:bCs/>
        </w:rPr>
        <w:t>ulti-group analysis</w:t>
      </w:r>
      <w:r w:rsidRPr="002C29D2">
        <w:rPr>
          <w:rStyle w:val="FootnoteReference"/>
          <w:b/>
          <w:bCs/>
        </w:rPr>
        <w:footnoteReference w:id="1"/>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70"/>
        <w:gridCol w:w="1134"/>
        <w:gridCol w:w="992"/>
        <w:gridCol w:w="992"/>
        <w:gridCol w:w="1122"/>
        <w:gridCol w:w="863"/>
        <w:gridCol w:w="1201"/>
        <w:gridCol w:w="1067"/>
      </w:tblGrid>
      <w:tr w:rsidR="002C29D2" w:rsidRPr="002C29D2" w14:paraId="1E481331" w14:textId="77777777" w:rsidTr="00626FF9">
        <w:trPr>
          <w:trHeight w:val="412"/>
        </w:trPr>
        <w:tc>
          <w:tcPr>
            <w:tcW w:w="1435" w:type="dxa"/>
            <w:shd w:val="clear" w:color="auto" w:fill="auto"/>
            <w:noWrap/>
            <w:vAlign w:val="center"/>
            <w:hideMark/>
          </w:tcPr>
          <w:p w14:paraId="31D40C5D" w14:textId="77777777" w:rsidR="00626FF9" w:rsidRPr="002C29D2" w:rsidRDefault="00626FF9" w:rsidP="00626FF9">
            <w:pPr>
              <w:jc w:val="center"/>
              <w:rPr>
                <w:b/>
                <w:bCs/>
                <w:sz w:val="20"/>
                <w:szCs w:val="20"/>
              </w:rPr>
            </w:pPr>
            <w:r w:rsidRPr="002C29D2">
              <w:rPr>
                <w:b/>
                <w:bCs/>
                <w:sz w:val="20"/>
                <w:szCs w:val="20"/>
              </w:rPr>
              <w:t>Job title</w:t>
            </w:r>
          </w:p>
        </w:tc>
        <w:tc>
          <w:tcPr>
            <w:tcW w:w="3096" w:type="dxa"/>
            <w:gridSpan w:val="3"/>
            <w:shd w:val="clear" w:color="auto" w:fill="auto"/>
            <w:noWrap/>
            <w:vAlign w:val="center"/>
            <w:hideMark/>
          </w:tcPr>
          <w:p w14:paraId="2EEB0C4D" w14:textId="7A53B493" w:rsidR="00626FF9" w:rsidRPr="002C29D2" w:rsidRDefault="00E43272" w:rsidP="00626FF9">
            <w:pPr>
              <w:jc w:val="center"/>
              <w:rPr>
                <w:b/>
                <w:bCs/>
                <w:sz w:val="20"/>
                <w:szCs w:val="20"/>
              </w:rPr>
            </w:pPr>
            <w:r w:rsidRPr="002C29D2">
              <w:rPr>
                <w:b/>
                <w:bCs/>
                <w:sz w:val="20"/>
                <w:szCs w:val="20"/>
              </w:rPr>
              <w:t>Group</w:t>
            </w:r>
            <w:r w:rsidR="00626FF9" w:rsidRPr="002C29D2">
              <w:rPr>
                <w:b/>
                <w:bCs/>
                <w:sz w:val="20"/>
                <w:szCs w:val="20"/>
              </w:rPr>
              <w:t xml:space="preserve"> 1: intern, resident physician, and others (n = 233)</w:t>
            </w:r>
          </w:p>
        </w:tc>
        <w:tc>
          <w:tcPr>
            <w:tcW w:w="2977" w:type="dxa"/>
            <w:gridSpan w:val="3"/>
            <w:shd w:val="clear" w:color="auto" w:fill="auto"/>
            <w:noWrap/>
            <w:vAlign w:val="center"/>
            <w:hideMark/>
          </w:tcPr>
          <w:p w14:paraId="0A43A883" w14:textId="2A846FDF" w:rsidR="00626FF9" w:rsidRPr="002C29D2" w:rsidRDefault="00E43272" w:rsidP="00626FF9">
            <w:pPr>
              <w:jc w:val="center"/>
              <w:rPr>
                <w:b/>
                <w:bCs/>
                <w:sz w:val="20"/>
                <w:szCs w:val="20"/>
              </w:rPr>
            </w:pPr>
            <w:r w:rsidRPr="002C29D2">
              <w:rPr>
                <w:b/>
                <w:bCs/>
                <w:sz w:val="20"/>
                <w:szCs w:val="20"/>
              </w:rPr>
              <w:t xml:space="preserve">Group </w:t>
            </w:r>
            <w:r w:rsidR="00626FF9" w:rsidRPr="002C29D2">
              <w:rPr>
                <w:b/>
                <w:bCs/>
                <w:sz w:val="20"/>
                <w:szCs w:val="20"/>
              </w:rPr>
              <w:t>2: doctor in charge, associate senior doctor, and senior doctor (n = 171)</w:t>
            </w:r>
          </w:p>
        </w:tc>
        <w:tc>
          <w:tcPr>
            <w:tcW w:w="2268" w:type="dxa"/>
            <w:gridSpan w:val="2"/>
            <w:shd w:val="clear" w:color="auto" w:fill="auto"/>
            <w:noWrap/>
            <w:vAlign w:val="center"/>
            <w:hideMark/>
          </w:tcPr>
          <w:p w14:paraId="60A46874" w14:textId="59772D43" w:rsidR="00626FF9" w:rsidRPr="002C29D2" w:rsidRDefault="005E3B57" w:rsidP="00626FF9">
            <w:pPr>
              <w:jc w:val="center"/>
              <w:rPr>
                <w:b/>
                <w:bCs/>
                <w:sz w:val="20"/>
                <w:szCs w:val="20"/>
              </w:rPr>
            </w:pPr>
            <w:r w:rsidRPr="002C29D2">
              <w:rPr>
                <w:b/>
                <w:bCs/>
                <w:sz w:val="20"/>
                <w:szCs w:val="20"/>
              </w:rPr>
              <w:t>Group</w:t>
            </w:r>
            <w:r w:rsidR="00626FF9" w:rsidRPr="002C29D2">
              <w:rPr>
                <w:b/>
                <w:bCs/>
                <w:sz w:val="20"/>
                <w:szCs w:val="20"/>
              </w:rPr>
              <w:t xml:space="preserve"> 1 vs </w:t>
            </w:r>
            <w:r w:rsidRPr="002C29D2">
              <w:rPr>
                <w:b/>
                <w:bCs/>
                <w:sz w:val="20"/>
                <w:szCs w:val="20"/>
              </w:rPr>
              <w:t>Group</w:t>
            </w:r>
            <w:r w:rsidR="00626FF9" w:rsidRPr="002C29D2">
              <w:rPr>
                <w:b/>
                <w:bCs/>
                <w:sz w:val="20"/>
                <w:szCs w:val="20"/>
              </w:rPr>
              <w:t xml:space="preserve"> 2</w:t>
            </w:r>
          </w:p>
        </w:tc>
      </w:tr>
      <w:tr w:rsidR="002C29D2" w:rsidRPr="002C29D2" w14:paraId="03B3C209" w14:textId="77777777" w:rsidTr="00626FF9">
        <w:trPr>
          <w:trHeight w:val="320"/>
        </w:trPr>
        <w:tc>
          <w:tcPr>
            <w:tcW w:w="1435" w:type="dxa"/>
            <w:shd w:val="clear" w:color="auto" w:fill="auto"/>
            <w:noWrap/>
          </w:tcPr>
          <w:p w14:paraId="4E150B9A" w14:textId="77777777" w:rsidR="00626FF9" w:rsidRPr="002C29D2" w:rsidRDefault="00626FF9" w:rsidP="00626FF9">
            <w:pPr>
              <w:rPr>
                <w:sz w:val="20"/>
                <w:szCs w:val="20"/>
              </w:rPr>
            </w:pPr>
          </w:p>
        </w:tc>
        <w:tc>
          <w:tcPr>
            <w:tcW w:w="970" w:type="dxa"/>
            <w:shd w:val="clear" w:color="auto" w:fill="auto"/>
            <w:noWrap/>
            <w:vAlign w:val="center"/>
          </w:tcPr>
          <w:p w14:paraId="186AF3C1" w14:textId="77777777" w:rsidR="00626FF9" w:rsidRPr="002C29D2" w:rsidRDefault="00626FF9" w:rsidP="00626FF9">
            <w:pPr>
              <w:jc w:val="center"/>
              <w:rPr>
                <w:sz w:val="20"/>
                <w:szCs w:val="20"/>
              </w:rPr>
            </w:pPr>
            <w:r w:rsidRPr="002C29D2">
              <w:rPr>
                <w:sz w:val="20"/>
                <w:szCs w:val="20"/>
              </w:rPr>
              <w:t>β</w:t>
            </w:r>
          </w:p>
        </w:tc>
        <w:tc>
          <w:tcPr>
            <w:tcW w:w="1134" w:type="dxa"/>
            <w:shd w:val="clear" w:color="auto" w:fill="auto"/>
            <w:noWrap/>
            <w:vAlign w:val="center"/>
          </w:tcPr>
          <w:p w14:paraId="5A1600AA" w14:textId="77777777" w:rsidR="00626FF9" w:rsidRPr="002C29D2" w:rsidRDefault="00626FF9" w:rsidP="00626FF9">
            <w:pPr>
              <w:jc w:val="center"/>
              <w:rPr>
                <w:sz w:val="20"/>
                <w:szCs w:val="20"/>
              </w:rPr>
            </w:pPr>
            <w:r w:rsidRPr="002C29D2">
              <w:rPr>
                <w:sz w:val="20"/>
                <w:szCs w:val="20"/>
              </w:rPr>
              <w:t>T statistics</w:t>
            </w:r>
          </w:p>
        </w:tc>
        <w:tc>
          <w:tcPr>
            <w:tcW w:w="992" w:type="dxa"/>
            <w:vAlign w:val="center"/>
          </w:tcPr>
          <w:p w14:paraId="19245386" w14:textId="77777777" w:rsidR="00626FF9" w:rsidRPr="002C29D2" w:rsidRDefault="00626FF9" w:rsidP="00626FF9">
            <w:pPr>
              <w:jc w:val="center"/>
              <w:rPr>
                <w:sz w:val="20"/>
                <w:szCs w:val="20"/>
              </w:rPr>
            </w:pPr>
            <w:r w:rsidRPr="002C29D2">
              <w:rPr>
                <w:sz w:val="20"/>
                <w:szCs w:val="20"/>
              </w:rPr>
              <w:t>p</w:t>
            </w:r>
          </w:p>
        </w:tc>
        <w:tc>
          <w:tcPr>
            <w:tcW w:w="992" w:type="dxa"/>
            <w:shd w:val="clear" w:color="auto" w:fill="auto"/>
            <w:noWrap/>
            <w:vAlign w:val="center"/>
          </w:tcPr>
          <w:p w14:paraId="21A50663" w14:textId="77777777" w:rsidR="00626FF9" w:rsidRPr="002C29D2" w:rsidRDefault="00626FF9" w:rsidP="00626FF9">
            <w:pPr>
              <w:jc w:val="center"/>
              <w:rPr>
                <w:sz w:val="20"/>
                <w:szCs w:val="20"/>
              </w:rPr>
            </w:pPr>
            <w:r w:rsidRPr="002C29D2">
              <w:rPr>
                <w:sz w:val="20"/>
                <w:szCs w:val="20"/>
              </w:rPr>
              <w:t>β</w:t>
            </w:r>
          </w:p>
        </w:tc>
        <w:tc>
          <w:tcPr>
            <w:tcW w:w="1122" w:type="dxa"/>
            <w:shd w:val="clear" w:color="auto" w:fill="auto"/>
            <w:noWrap/>
            <w:vAlign w:val="center"/>
          </w:tcPr>
          <w:p w14:paraId="52F2BB1C" w14:textId="77777777" w:rsidR="00626FF9" w:rsidRPr="002C29D2" w:rsidRDefault="00626FF9" w:rsidP="00626FF9">
            <w:pPr>
              <w:jc w:val="center"/>
              <w:rPr>
                <w:sz w:val="20"/>
                <w:szCs w:val="20"/>
              </w:rPr>
            </w:pPr>
            <w:r w:rsidRPr="002C29D2">
              <w:rPr>
                <w:sz w:val="20"/>
                <w:szCs w:val="20"/>
              </w:rPr>
              <w:t>T statistics</w:t>
            </w:r>
          </w:p>
        </w:tc>
        <w:tc>
          <w:tcPr>
            <w:tcW w:w="863" w:type="dxa"/>
            <w:vAlign w:val="center"/>
          </w:tcPr>
          <w:p w14:paraId="45011563" w14:textId="77777777" w:rsidR="00626FF9" w:rsidRPr="002C29D2" w:rsidRDefault="00626FF9" w:rsidP="00626FF9">
            <w:pPr>
              <w:jc w:val="center"/>
              <w:rPr>
                <w:sz w:val="20"/>
                <w:szCs w:val="20"/>
              </w:rPr>
            </w:pPr>
            <w:r w:rsidRPr="002C29D2">
              <w:rPr>
                <w:sz w:val="20"/>
                <w:szCs w:val="20"/>
              </w:rPr>
              <w:t>p</w:t>
            </w:r>
          </w:p>
        </w:tc>
        <w:tc>
          <w:tcPr>
            <w:tcW w:w="1201" w:type="dxa"/>
            <w:shd w:val="clear" w:color="auto" w:fill="auto"/>
            <w:noWrap/>
            <w:vAlign w:val="center"/>
          </w:tcPr>
          <w:p w14:paraId="559E463D" w14:textId="77777777" w:rsidR="00626FF9" w:rsidRPr="002C29D2" w:rsidRDefault="00626FF9" w:rsidP="00626FF9">
            <w:pPr>
              <w:jc w:val="center"/>
              <w:rPr>
                <w:sz w:val="20"/>
                <w:szCs w:val="20"/>
              </w:rPr>
            </w:pPr>
            <w:r w:rsidRPr="002C29D2">
              <w:rPr>
                <w:sz w:val="20"/>
                <w:szCs w:val="20"/>
              </w:rPr>
              <w:t>T statistics</w:t>
            </w:r>
          </w:p>
        </w:tc>
        <w:tc>
          <w:tcPr>
            <w:tcW w:w="1067" w:type="dxa"/>
            <w:vAlign w:val="center"/>
          </w:tcPr>
          <w:p w14:paraId="33F972BE" w14:textId="77777777" w:rsidR="00626FF9" w:rsidRPr="002C29D2" w:rsidRDefault="00626FF9" w:rsidP="00626FF9">
            <w:pPr>
              <w:jc w:val="center"/>
              <w:rPr>
                <w:sz w:val="20"/>
                <w:szCs w:val="20"/>
              </w:rPr>
            </w:pPr>
            <w:r w:rsidRPr="002C29D2">
              <w:rPr>
                <w:sz w:val="20"/>
                <w:szCs w:val="20"/>
              </w:rPr>
              <w:t>p</w:t>
            </w:r>
          </w:p>
        </w:tc>
      </w:tr>
      <w:tr w:rsidR="002C29D2" w:rsidRPr="002C29D2" w14:paraId="2134B428" w14:textId="77777777" w:rsidTr="00626FF9">
        <w:trPr>
          <w:trHeight w:val="320"/>
        </w:trPr>
        <w:tc>
          <w:tcPr>
            <w:tcW w:w="1435" w:type="dxa"/>
            <w:shd w:val="clear" w:color="auto" w:fill="auto"/>
            <w:noWrap/>
            <w:vAlign w:val="center"/>
          </w:tcPr>
          <w:p w14:paraId="22279309" w14:textId="77777777" w:rsidR="00626FF9" w:rsidRPr="002C29D2" w:rsidRDefault="00626FF9" w:rsidP="00626FF9">
            <w:pPr>
              <w:rPr>
                <w:sz w:val="20"/>
                <w:szCs w:val="20"/>
              </w:rPr>
            </w:pPr>
            <w:r w:rsidRPr="002C29D2">
              <w:rPr>
                <w:sz w:val="20"/>
                <w:szCs w:val="20"/>
              </w:rPr>
              <w:t>AU -&gt; ATA</w:t>
            </w:r>
          </w:p>
        </w:tc>
        <w:tc>
          <w:tcPr>
            <w:tcW w:w="970" w:type="dxa"/>
            <w:shd w:val="clear" w:color="auto" w:fill="auto"/>
            <w:noWrap/>
            <w:vAlign w:val="bottom"/>
          </w:tcPr>
          <w:p w14:paraId="634089D9" w14:textId="77777777" w:rsidR="00626FF9" w:rsidRPr="002C29D2" w:rsidRDefault="00626FF9" w:rsidP="00B63C4D">
            <w:pPr>
              <w:jc w:val="center"/>
              <w:rPr>
                <w:sz w:val="20"/>
                <w:szCs w:val="20"/>
              </w:rPr>
            </w:pPr>
            <w:r w:rsidRPr="002C29D2">
              <w:rPr>
                <w:sz w:val="20"/>
                <w:szCs w:val="20"/>
              </w:rPr>
              <w:t>-0.133</w:t>
            </w:r>
          </w:p>
        </w:tc>
        <w:tc>
          <w:tcPr>
            <w:tcW w:w="1134" w:type="dxa"/>
            <w:shd w:val="clear" w:color="auto" w:fill="auto"/>
            <w:noWrap/>
            <w:vAlign w:val="bottom"/>
          </w:tcPr>
          <w:p w14:paraId="3DF531E8" w14:textId="77777777" w:rsidR="00626FF9" w:rsidRPr="002C29D2" w:rsidRDefault="00626FF9" w:rsidP="00B63C4D">
            <w:pPr>
              <w:jc w:val="center"/>
              <w:rPr>
                <w:sz w:val="20"/>
                <w:szCs w:val="20"/>
              </w:rPr>
            </w:pPr>
            <w:r w:rsidRPr="002C29D2">
              <w:rPr>
                <w:sz w:val="20"/>
                <w:szCs w:val="20"/>
              </w:rPr>
              <w:t>1.426</w:t>
            </w:r>
          </w:p>
        </w:tc>
        <w:tc>
          <w:tcPr>
            <w:tcW w:w="992" w:type="dxa"/>
            <w:vAlign w:val="bottom"/>
          </w:tcPr>
          <w:p w14:paraId="02887697" w14:textId="77777777" w:rsidR="00626FF9" w:rsidRPr="002C29D2" w:rsidRDefault="00626FF9" w:rsidP="00B63C4D">
            <w:pPr>
              <w:jc w:val="center"/>
              <w:rPr>
                <w:sz w:val="20"/>
                <w:szCs w:val="20"/>
              </w:rPr>
            </w:pPr>
            <w:r w:rsidRPr="002C29D2">
              <w:rPr>
                <w:sz w:val="20"/>
                <w:szCs w:val="20"/>
              </w:rPr>
              <w:t>0.154</w:t>
            </w:r>
          </w:p>
        </w:tc>
        <w:tc>
          <w:tcPr>
            <w:tcW w:w="992" w:type="dxa"/>
            <w:shd w:val="clear" w:color="auto" w:fill="auto"/>
            <w:noWrap/>
            <w:vAlign w:val="bottom"/>
          </w:tcPr>
          <w:p w14:paraId="483A2226" w14:textId="77777777" w:rsidR="00626FF9" w:rsidRPr="002C29D2" w:rsidRDefault="00626FF9" w:rsidP="00B63C4D">
            <w:pPr>
              <w:jc w:val="center"/>
              <w:rPr>
                <w:sz w:val="20"/>
                <w:szCs w:val="20"/>
              </w:rPr>
            </w:pPr>
            <w:r w:rsidRPr="002C29D2">
              <w:rPr>
                <w:sz w:val="20"/>
                <w:szCs w:val="20"/>
              </w:rPr>
              <w:t>0.014</w:t>
            </w:r>
          </w:p>
        </w:tc>
        <w:tc>
          <w:tcPr>
            <w:tcW w:w="1122" w:type="dxa"/>
            <w:shd w:val="clear" w:color="auto" w:fill="auto"/>
            <w:noWrap/>
            <w:vAlign w:val="bottom"/>
          </w:tcPr>
          <w:p w14:paraId="793CD47C" w14:textId="77777777" w:rsidR="00626FF9" w:rsidRPr="002C29D2" w:rsidRDefault="00626FF9" w:rsidP="00B63C4D">
            <w:pPr>
              <w:jc w:val="center"/>
              <w:rPr>
                <w:sz w:val="20"/>
                <w:szCs w:val="20"/>
              </w:rPr>
            </w:pPr>
            <w:r w:rsidRPr="002C29D2">
              <w:rPr>
                <w:sz w:val="20"/>
                <w:szCs w:val="20"/>
              </w:rPr>
              <w:t>0.155</w:t>
            </w:r>
          </w:p>
        </w:tc>
        <w:tc>
          <w:tcPr>
            <w:tcW w:w="863" w:type="dxa"/>
            <w:vAlign w:val="bottom"/>
          </w:tcPr>
          <w:p w14:paraId="2DB0913C" w14:textId="77777777" w:rsidR="00626FF9" w:rsidRPr="002C29D2" w:rsidRDefault="00626FF9" w:rsidP="00B63C4D">
            <w:pPr>
              <w:jc w:val="center"/>
              <w:rPr>
                <w:sz w:val="20"/>
                <w:szCs w:val="20"/>
              </w:rPr>
            </w:pPr>
            <w:r w:rsidRPr="002C29D2">
              <w:rPr>
                <w:sz w:val="20"/>
                <w:szCs w:val="20"/>
              </w:rPr>
              <w:t>0.877</w:t>
            </w:r>
          </w:p>
        </w:tc>
        <w:tc>
          <w:tcPr>
            <w:tcW w:w="1201" w:type="dxa"/>
            <w:shd w:val="clear" w:color="auto" w:fill="auto"/>
            <w:noWrap/>
            <w:vAlign w:val="bottom"/>
          </w:tcPr>
          <w:p w14:paraId="69C06BC2" w14:textId="77777777" w:rsidR="00626FF9" w:rsidRPr="002C29D2" w:rsidRDefault="00626FF9" w:rsidP="00B63C4D">
            <w:pPr>
              <w:jc w:val="center"/>
              <w:rPr>
                <w:sz w:val="20"/>
                <w:szCs w:val="20"/>
              </w:rPr>
            </w:pPr>
            <w:r w:rsidRPr="002C29D2">
              <w:rPr>
                <w:sz w:val="20"/>
                <w:szCs w:val="20"/>
              </w:rPr>
              <w:t>1.127</w:t>
            </w:r>
          </w:p>
        </w:tc>
        <w:tc>
          <w:tcPr>
            <w:tcW w:w="1067" w:type="dxa"/>
            <w:vAlign w:val="bottom"/>
          </w:tcPr>
          <w:p w14:paraId="15F2DDD3" w14:textId="77777777" w:rsidR="00626FF9" w:rsidRPr="002C29D2" w:rsidRDefault="00626FF9" w:rsidP="00B63C4D">
            <w:pPr>
              <w:jc w:val="center"/>
              <w:rPr>
                <w:sz w:val="20"/>
                <w:szCs w:val="20"/>
              </w:rPr>
            </w:pPr>
            <w:r w:rsidRPr="002C29D2">
              <w:rPr>
                <w:sz w:val="20"/>
                <w:szCs w:val="20"/>
              </w:rPr>
              <w:t>0.261</w:t>
            </w:r>
          </w:p>
        </w:tc>
      </w:tr>
      <w:tr w:rsidR="002C29D2" w:rsidRPr="002C29D2" w14:paraId="5587583C" w14:textId="77777777" w:rsidTr="00626FF9">
        <w:trPr>
          <w:trHeight w:val="320"/>
        </w:trPr>
        <w:tc>
          <w:tcPr>
            <w:tcW w:w="1435" w:type="dxa"/>
            <w:shd w:val="clear" w:color="auto" w:fill="auto"/>
            <w:noWrap/>
            <w:vAlign w:val="center"/>
          </w:tcPr>
          <w:p w14:paraId="7DF02776" w14:textId="77777777" w:rsidR="00626FF9" w:rsidRPr="002C29D2" w:rsidRDefault="00626FF9" w:rsidP="00626FF9">
            <w:pPr>
              <w:rPr>
                <w:sz w:val="20"/>
                <w:szCs w:val="20"/>
              </w:rPr>
            </w:pPr>
            <w:r w:rsidRPr="002C29D2">
              <w:rPr>
                <w:sz w:val="20"/>
                <w:szCs w:val="20"/>
              </w:rPr>
              <w:t>AU -&gt; ENG</w:t>
            </w:r>
          </w:p>
        </w:tc>
        <w:tc>
          <w:tcPr>
            <w:tcW w:w="970" w:type="dxa"/>
            <w:shd w:val="clear" w:color="auto" w:fill="auto"/>
            <w:noWrap/>
            <w:vAlign w:val="bottom"/>
          </w:tcPr>
          <w:p w14:paraId="0126DE45" w14:textId="77777777" w:rsidR="00626FF9" w:rsidRPr="002C29D2" w:rsidRDefault="00626FF9" w:rsidP="00B63C4D">
            <w:pPr>
              <w:jc w:val="center"/>
              <w:rPr>
                <w:sz w:val="20"/>
                <w:szCs w:val="20"/>
              </w:rPr>
            </w:pPr>
            <w:r w:rsidRPr="002C29D2">
              <w:rPr>
                <w:sz w:val="20"/>
                <w:szCs w:val="20"/>
              </w:rPr>
              <w:t>0.132</w:t>
            </w:r>
          </w:p>
        </w:tc>
        <w:tc>
          <w:tcPr>
            <w:tcW w:w="1134" w:type="dxa"/>
            <w:shd w:val="clear" w:color="auto" w:fill="auto"/>
            <w:noWrap/>
            <w:vAlign w:val="bottom"/>
          </w:tcPr>
          <w:p w14:paraId="4B29AF0B" w14:textId="77777777" w:rsidR="00626FF9" w:rsidRPr="002C29D2" w:rsidRDefault="00626FF9" w:rsidP="00B63C4D">
            <w:pPr>
              <w:jc w:val="center"/>
              <w:rPr>
                <w:sz w:val="20"/>
                <w:szCs w:val="20"/>
              </w:rPr>
            </w:pPr>
            <w:r w:rsidRPr="002C29D2">
              <w:rPr>
                <w:sz w:val="20"/>
                <w:szCs w:val="20"/>
              </w:rPr>
              <w:t>1.695</w:t>
            </w:r>
          </w:p>
        </w:tc>
        <w:tc>
          <w:tcPr>
            <w:tcW w:w="992" w:type="dxa"/>
            <w:vAlign w:val="bottom"/>
          </w:tcPr>
          <w:p w14:paraId="192D18C2" w14:textId="77777777" w:rsidR="00626FF9" w:rsidRPr="002C29D2" w:rsidRDefault="00626FF9" w:rsidP="00B63C4D">
            <w:pPr>
              <w:jc w:val="center"/>
              <w:rPr>
                <w:sz w:val="20"/>
                <w:szCs w:val="20"/>
              </w:rPr>
            </w:pPr>
            <w:r w:rsidRPr="002C29D2">
              <w:rPr>
                <w:sz w:val="20"/>
                <w:szCs w:val="20"/>
              </w:rPr>
              <w:t>0.090</w:t>
            </w:r>
          </w:p>
        </w:tc>
        <w:tc>
          <w:tcPr>
            <w:tcW w:w="992" w:type="dxa"/>
            <w:shd w:val="clear" w:color="auto" w:fill="auto"/>
            <w:noWrap/>
            <w:vAlign w:val="bottom"/>
          </w:tcPr>
          <w:p w14:paraId="721B8EA9" w14:textId="77777777" w:rsidR="00626FF9" w:rsidRPr="002C29D2" w:rsidRDefault="00626FF9" w:rsidP="00B63C4D">
            <w:pPr>
              <w:jc w:val="center"/>
              <w:rPr>
                <w:sz w:val="20"/>
                <w:szCs w:val="20"/>
              </w:rPr>
            </w:pPr>
            <w:r w:rsidRPr="002C29D2">
              <w:rPr>
                <w:sz w:val="20"/>
                <w:szCs w:val="20"/>
              </w:rPr>
              <w:t>0.246</w:t>
            </w:r>
          </w:p>
        </w:tc>
        <w:tc>
          <w:tcPr>
            <w:tcW w:w="1122" w:type="dxa"/>
            <w:shd w:val="clear" w:color="auto" w:fill="auto"/>
            <w:noWrap/>
            <w:vAlign w:val="bottom"/>
          </w:tcPr>
          <w:p w14:paraId="263CCE7A" w14:textId="77777777" w:rsidR="00626FF9" w:rsidRPr="002C29D2" w:rsidRDefault="00626FF9" w:rsidP="00B63C4D">
            <w:pPr>
              <w:jc w:val="center"/>
              <w:rPr>
                <w:sz w:val="20"/>
                <w:szCs w:val="20"/>
              </w:rPr>
            </w:pPr>
            <w:r w:rsidRPr="002C29D2">
              <w:rPr>
                <w:sz w:val="20"/>
                <w:szCs w:val="20"/>
              </w:rPr>
              <w:t>3.941</w:t>
            </w:r>
          </w:p>
        </w:tc>
        <w:tc>
          <w:tcPr>
            <w:tcW w:w="863" w:type="dxa"/>
            <w:vAlign w:val="bottom"/>
          </w:tcPr>
          <w:p w14:paraId="05C9D326"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tcPr>
          <w:p w14:paraId="2AB60E74" w14:textId="77777777" w:rsidR="00626FF9" w:rsidRPr="002C29D2" w:rsidRDefault="00626FF9" w:rsidP="00B63C4D">
            <w:pPr>
              <w:jc w:val="center"/>
              <w:rPr>
                <w:sz w:val="20"/>
                <w:szCs w:val="20"/>
              </w:rPr>
            </w:pPr>
            <w:r w:rsidRPr="002C29D2">
              <w:rPr>
                <w:sz w:val="20"/>
                <w:szCs w:val="20"/>
              </w:rPr>
              <w:t>1.138</w:t>
            </w:r>
          </w:p>
        </w:tc>
        <w:tc>
          <w:tcPr>
            <w:tcW w:w="1067" w:type="dxa"/>
            <w:vAlign w:val="bottom"/>
          </w:tcPr>
          <w:p w14:paraId="25555414" w14:textId="77777777" w:rsidR="00626FF9" w:rsidRPr="002C29D2" w:rsidRDefault="00626FF9" w:rsidP="00B63C4D">
            <w:pPr>
              <w:jc w:val="center"/>
              <w:rPr>
                <w:sz w:val="20"/>
                <w:szCs w:val="20"/>
              </w:rPr>
            </w:pPr>
            <w:r w:rsidRPr="002C29D2">
              <w:rPr>
                <w:sz w:val="20"/>
                <w:szCs w:val="20"/>
              </w:rPr>
              <w:t>0.256</w:t>
            </w:r>
          </w:p>
        </w:tc>
      </w:tr>
      <w:tr w:rsidR="002C29D2" w:rsidRPr="002C29D2" w14:paraId="59A35CF1" w14:textId="77777777" w:rsidTr="00626FF9">
        <w:trPr>
          <w:trHeight w:val="320"/>
        </w:trPr>
        <w:tc>
          <w:tcPr>
            <w:tcW w:w="1435" w:type="dxa"/>
            <w:shd w:val="clear" w:color="auto" w:fill="auto"/>
            <w:noWrap/>
            <w:vAlign w:val="center"/>
          </w:tcPr>
          <w:p w14:paraId="4450CEE3" w14:textId="77777777" w:rsidR="00626FF9" w:rsidRPr="002C29D2" w:rsidRDefault="00626FF9" w:rsidP="00626FF9">
            <w:pPr>
              <w:rPr>
                <w:sz w:val="20"/>
                <w:szCs w:val="20"/>
              </w:rPr>
            </w:pPr>
            <w:r w:rsidRPr="002C29D2">
              <w:rPr>
                <w:sz w:val="20"/>
                <w:szCs w:val="20"/>
              </w:rPr>
              <w:t>AU -&gt; SAT</w:t>
            </w:r>
          </w:p>
        </w:tc>
        <w:tc>
          <w:tcPr>
            <w:tcW w:w="970" w:type="dxa"/>
            <w:shd w:val="clear" w:color="auto" w:fill="auto"/>
            <w:noWrap/>
            <w:vAlign w:val="bottom"/>
          </w:tcPr>
          <w:p w14:paraId="6B1DB32D" w14:textId="77777777" w:rsidR="00626FF9" w:rsidRPr="002C29D2" w:rsidRDefault="00626FF9" w:rsidP="00B63C4D">
            <w:pPr>
              <w:jc w:val="center"/>
              <w:rPr>
                <w:sz w:val="20"/>
                <w:szCs w:val="20"/>
              </w:rPr>
            </w:pPr>
            <w:r w:rsidRPr="002C29D2">
              <w:rPr>
                <w:sz w:val="20"/>
                <w:szCs w:val="20"/>
              </w:rPr>
              <w:t>0.051</w:t>
            </w:r>
          </w:p>
        </w:tc>
        <w:tc>
          <w:tcPr>
            <w:tcW w:w="1134" w:type="dxa"/>
            <w:shd w:val="clear" w:color="auto" w:fill="auto"/>
            <w:noWrap/>
            <w:vAlign w:val="bottom"/>
          </w:tcPr>
          <w:p w14:paraId="6D6FC7F2" w14:textId="77777777" w:rsidR="00626FF9" w:rsidRPr="002C29D2" w:rsidRDefault="00626FF9" w:rsidP="00B63C4D">
            <w:pPr>
              <w:jc w:val="center"/>
              <w:rPr>
                <w:sz w:val="20"/>
                <w:szCs w:val="20"/>
              </w:rPr>
            </w:pPr>
            <w:r w:rsidRPr="002C29D2">
              <w:rPr>
                <w:sz w:val="20"/>
                <w:szCs w:val="20"/>
              </w:rPr>
              <w:t>0.722</w:t>
            </w:r>
          </w:p>
        </w:tc>
        <w:tc>
          <w:tcPr>
            <w:tcW w:w="992" w:type="dxa"/>
            <w:vAlign w:val="bottom"/>
          </w:tcPr>
          <w:p w14:paraId="74567FD4" w14:textId="77777777" w:rsidR="00626FF9" w:rsidRPr="002C29D2" w:rsidRDefault="00626FF9" w:rsidP="00B63C4D">
            <w:pPr>
              <w:jc w:val="center"/>
              <w:rPr>
                <w:sz w:val="20"/>
                <w:szCs w:val="20"/>
              </w:rPr>
            </w:pPr>
            <w:r w:rsidRPr="002C29D2">
              <w:rPr>
                <w:sz w:val="20"/>
                <w:szCs w:val="20"/>
              </w:rPr>
              <w:t>0.470</w:t>
            </w:r>
          </w:p>
        </w:tc>
        <w:tc>
          <w:tcPr>
            <w:tcW w:w="992" w:type="dxa"/>
            <w:shd w:val="clear" w:color="auto" w:fill="auto"/>
            <w:noWrap/>
            <w:vAlign w:val="bottom"/>
          </w:tcPr>
          <w:p w14:paraId="3572DE07" w14:textId="77777777" w:rsidR="00626FF9" w:rsidRPr="002C29D2" w:rsidRDefault="00626FF9" w:rsidP="00B63C4D">
            <w:pPr>
              <w:jc w:val="center"/>
              <w:rPr>
                <w:sz w:val="20"/>
                <w:szCs w:val="20"/>
              </w:rPr>
            </w:pPr>
            <w:r w:rsidRPr="002C29D2">
              <w:rPr>
                <w:sz w:val="20"/>
                <w:szCs w:val="20"/>
              </w:rPr>
              <w:t>0.056</w:t>
            </w:r>
          </w:p>
        </w:tc>
        <w:tc>
          <w:tcPr>
            <w:tcW w:w="1122" w:type="dxa"/>
            <w:shd w:val="clear" w:color="auto" w:fill="auto"/>
            <w:noWrap/>
            <w:vAlign w:val="bottom"/>
          </w:tcPr>
          <w:p w14:paraId="12BC8FAF" w14:textId="77777777" w:rsidR="00626FF9" w:rsidRPr="002C29D2" w:rsidRDefault="00626FF9" w:rsidP="00B63C4D">
            <w:pPr>
              <w:jc w:val="center"/>
              <w:rPr>
                <w:sz w:val="20"/>
                <w:szCs w:val="20"/>
              </w:rPr>
            </w:pPr>
            <w:r w:rsidRPr="002C29D2">
              <w:rPr>
                <w:sz w:val="20"/>
                <w:szCs w:val="20"/>
              </w:rPr>
              <w:t>0.775</w:t>
            </w:r>
          </w:p>
        </w:tc>
        <w:tc>
          <w:tcPr>
            <w:tcW w:w="863" w:type="dxa"/>
            <w:vAlign w:val="bottom"/>
          </w:tcPr>
          <w:p w14:paraId="66E0D795" w14:textId="77777777" w:rsidR="00626FF9" w:rsidRPr="002C29D2" w:rsidRDefault="00626FF9" w:rsidP="00B63C4D">
            <w:pPr>
              <w:jc w:val="center"/>
              <w:rPr>
                <w:sz w:val="20"/>
                <w:szCs w:val="20"/>
              </w:rPr>
            </w:pPr>
            <w:r w:rsidRPr="002C29D2">
              <w:rPr>
                <w:sz w:val="20"/>
                <w:szCs w:val="20"/>
              </w:rPr>
              <w:t>0.439</w:t>
            </w:r>
          </w:p>
        </w:tc>
        <w:tc>
          <w:tcPr>
            <w:tcW w:w="1201" w:type="dxa"/>
            <w:shd w:val="clear" w:color="auto" w:fill="auto"/>
            <w:noWrap/>
            <w:vAlign w:val="bottom"/>
          </w:tcPr>
          <w:p w14:paraId="5ABB5302" w14:textId="77777777" w:rsidR="00626FF9" w:rsidRPr="002C29D2" w:rsidRDefault="00626FF9" w:rsidP="00B63C4D">
            <w:pPr>
              <w:jc w:val="center"/>
              <w:rPr>
                <w:sz w:val="20"/>
                <w:szCs w:val="20"/>
              </w:rPr>
            </w:pPr>
            <w:r w:rsidRPr="002C29D2">
              <w:rPr>
                <w:sz w:val="20"/>
                <w:szCs w:val="20"/>
              </w:rPr>
              <w:t>0.056</w:t>
            </w:r>
          </w:p>
        </w:tc>
        <w:tc>
          <w:tcPr>
            <w:tcW w:w="1067" w:type="dxa"/>
            <w:vAlign w:val="bottom"/>
          </w:tcPr>
          <w:p w14:paraId="5F6C526F" w14:textId="77777777" w:rsidR="00626FF9" w:rsidRPr="002C29D2" w:rsidRDefault="00626FF9" w:rsidP="00B63C4D">
            <w:pPr>
              <w:jc w:val="center"/>
              <w:rPr>
                <w:sz w:val="20"/>
                <w:szCs w:val="20"/>
              </w:rPr>
            </w:pPr>
            <w:r w:rsidRPr="002C29D2">
              <w:rPr>
                <w:sz w:val="20"/>
                <w:szCs w:val="20"/>
              </w:rPr>
              <w:t>0.956</w:t>
            </w:r>
          </w:p>
        </w:tc>
      </w:tr>
      <w:tr w:rsidR="002C29D2" w:rsidRPr="002C29D2" w14:paraId="619F4B49" w14:textId="77777777" w:rsidTr="00626FF9">
        <w:trPr>
          <w:trHeight w:val="320"/>
        </w:trPr>
        <w:tc>
          <w:tcPr>
            <w:tcW w:w="1435" w:type="dxa"/>
            <w:shd w:val="clear" w:color="auto" w:fill="auto"/>
            <w:noWrap/>
            <w:vAlign w:val="center"/>
          </w:tcPr>
          <w:p w14:paraId="6B31639D" w14:textId="77777777" w:rsidR="00626FF9" w:rsidRPr="002C29D2" w:rsidRDefault="00626FF9" w:rsidP="00626FF9">
            <w:pPr>
              <w:rPr>
                <w:sz w:val="20"/>
                <w:szCs w:val="20"/>
              </w:rPr>
            </w:pPr>
            <w:r w:rsidRPr="002C29D2">
              <w:rPr>
                <w:sz w:val="20"/>
                <w:szCs w:val="20"/>
              </w:rPr>
              <w:t>AU -&gt; UI</w:t>
            </w:r>
          </w:p>
        </w:tc>
        <w:tc>
          <w:tcPr>
            <w:tcW w:w="970" w:type="dxa"/>
            <w:shd w:val="clear" w:color="auto" w:fill="auto"/>
            <w:noWrap/>
            <w:vAlign w:val="bottom"/>
          </w:tcPr>
          <w:p w14:paraId="60C7649C" w14:textId="77777777" w:rsidR="00626FF9" w:rsidRPr="002C29D2" w:rsidRDefault="00626FF9" w:rsidP="00B63C4D">
            <w:pPr>
              <w:jc w:val="center"/>
              <w:rPr>
                <w:sz w:val="20"/>
                <w:szCs w:val="20"/>
              </w:rPr>
            </w:pPr>
            <w:r w:rsidRPr="002C29D2">
              <w:rPr>
                <w:sz w:val="20"/>
                <w:szCs w:val="20"/>
              </w:rPr>
              <w:t>0.017</w:t>
            </w:r>
          </w:p>
        </w:tc>
        <w:tc>
          <w:tcPr>
            <w:tcW w:w="1134" w:type="dxa"/>
            <w:shd w:val="clear" w:color="auto" w:fill="auto"/>
            <w:noWrap/>
            <w:vAlign w:val="bottom"/>
          </w:tcPr>
          <w:p w14:paraId="5C6BA823" w14:textId="77777777" w:rsidR="00626FF9" w:rsidRPr="002C29D2" w:rsidRDefault="00626FF9" w:rsidP="00B63C4D">
            <w:pPr>
              <w:jc w:val="center"/>
              <w:rPr>
                <w:sz w:val="20"/>
                <w:szCs w:val="20"/>
              </w:rPr>
            </w:pPr>
            <w:r w:rsidRPr="002C29D2">
              <w:rPr>
                <w:sz w:val="20"/>
                <w:szCs w:val="20"/>
              </w:rPr>
              <w:t>0.248</w:t>
            </w:r>
          </w:p>
        </w:tc>
        <w:tc>
          <w:tcPr>
            <w:tcW w:w="992" w:type="dxa"/>
            <w:vAlign w:val="bottom"/>
          </w:tcPr>
          <w:p w14:paraId="291E1D09" w14:textId="77777777" w:rsidR="00626FF9" w:rsidRPr="002C29D2" w:rsidRDefault="00626FF9" w:rsidP="00B63C4D">
            <w:pPr>
              <w:jc w:val="center"/>
              <w:rPr>
                <w:sz w:val="20"/>
                <w:szCs w:val="20"/>
              </w:rPr>
            </w:pPr>
            <w:r w:rsidRPr="002C29D2">
              <w:rPr>
                <w:sz w:val="20"/>
                <w:szCs w:val="20"/>
              </w:rPr>
              <w:t>0.804</w:t>
            </w:r>
          </w:p>
        </w:tc>
        <w:tc>
          <w:tcPr>
            <w:tcW w:w="992" w:type="dxa"/>
            <w:shd w:val="clear" w:color="auto" w:fill="auto"/>
            <w:noWrap/>
            <w:vAlign w:val="bottom"/>
          </w:tcPr>
          <w:p w14:paraId="034C9F57" w14:textId="77777777" w:rsidR="00626FF9" w:rsidRPr="002C29D2" w:rsidRDefault="00626FF9" w:rsidP="00B63C4D">
            <w:pPr>
              <w:jc w:val="center"/>
              <w:rPr>
                <w:sz w:val="20"/>
                <w:szCs w:val="20"/>
              </w:rPr>
            </w:pPr>
            <w:r w:rsidRPr="002C29D2">
              <w:rPr>
                <w:sz w:val="20"/>
                <w:szCs w:val="20"/>
              </w:rPr>
              <w:t>0.062</w:t>
            </w:r>
          </w:p>
        </w:tc>
        <w:tc>
          <w:tcPr>
            <w:tcW w:w="1122" w:type="dxa"/>
            <w:shd w:val="clear" w:color="auto" w:fill="auto"/>
            <w:noWrap/>
            <w:vAlign w:val="bottom"/>
          </w:tcPr>
          <w:p w14:paraId="2D898182" w14:textId="77777777" w:rsidR="00626FF9" w:rsidRPr="002C29D2" w:rsidRDefault="00626FF9" w:rsidP="00B63C4D">
            <w:pPr>
              <w:jc w:val="center"/>
              <w:rPr>
                <w:sz w:val="20"/>
                <w:szCs w:val="20"/>
              </w:rPr>
            </w:pPr>
            <w:r w:rsidRPr="002C29D2">
              <w:rPr>
                <w:sz w:val="20"/>
                <w:szCs w:val="20"/>
              </w:rPr>
              <w:t>0.738</w:t>
            </w:r>
          </w:p>
        </w:tc>
        <w:tc>
          <w:tcPr>
            <w:tcW w:w="863" w:type="dxa"/>
            <w:vAlign w:val="bottom"/>
          </w:tcPr>
          <w:p w14:paraId="0F3A14D9" w14:textId="77777777" w:rsidR="00626FF9" w:rsidRPr="002C29D2" w:rsidRDefault="00626FF9" w:rsidP="00B63C4D">
            <w:pPr>
              <w:jc w:val="center"/>
              <w:rPr>
                <w:sz w:val="20"/>
                <w:szCs w:val="20"/>
              </w:rPr>
            </w:pPr>
            <w:r w:rsidRPr="002C29D2">
              <w:rPr>
                <w:sz w:val="20"/>
                <w:szCs w:val="20"/>
              </w:rPr>
              <w:t>0.460</w:t>
            </w:r>
          </w:p>
        </w:tc>
        <w:tc>
          <w:tcPr>
            <w:tcW w:w="1201" w:type="dxa"/>
            <w:shd w:val="clear" w:color="auto" w:fill="auto"/>
            <w:noWrap/>
            <w:vAlign w:val="bottom"/>
          </w:tcPr>
          <w:p w14:paraId="423E914A" w14:textId="77777777" w:rsidR="00626FF9" w:rsidRPr="002C29D2" w:rsidRDefault="00626FF9" w:rsidP="00B63C4D">
            <w:pPr>
              <w:jc w:val="center"/>
              <w:rPr>
                <w:sz w:val="20"/>
                <w:szCs w:val="20"/>
              </w:rPr>
            </w:pPr>
            <w:r w:rsidRPr="002C29D2">
              <w:rPr>
                <w:sz w:val="20"/>
                <w:szCs w:val="20"/>
              </w:rPr>
              <w:t>0.424</w:t>
            </w:r>
          </w:p>
        </w:tc>
        <w:tc>
          <w:tcPr>
            <w:tcW w:w="1067" w:type="dxa"/>
            <w:vAlign w:val="bottom"/>
          </w:tcPr>
          <w:p w14:paraId="75589028" w14:textId="77777777" w:rsidR="00626FF9" w:rsidRPr="002C29D2" w:rsidRDefault="00626FF9" w:rsidP="00B63C4D">
            <w:pPr>
              <w:jc w:val="center"/>
              <w:rPr>
                <w:sz w:val="20"/>
                <w:szCs w:val="20"/>
              </w:rPr>
            </w:pPr>
            <w:r w:rsidRPr="002C29D2">
              <w:rPr>
                <w:sz w:val="20"/>
                <w:szCs w:val="20"/>
              </w:rPr>
              <w:t>0.672</w:t>
            </w:r>
          </w:p>
        </w:tc>
      </w:tr>
      <w:tr w:rsidR="002C29D2" w:rsidRPr="002C29D2" w14:paraId="5AFE97E1" w14:textId="77777777" w:rsidTr="00626FF9">
        <w:trPr>
          <w:trHeight w:val="320"/>
        </w:trPr>
        <w:tc>
          <w:tcPr>
            <w:tcW w:w="1435" w:type="dxa"/>
            <w:shd w:val="clear" w:color="auto" w:fill="auto"/>
            <w:noWrap/>
            <w:vAlign w:val="center"/>
          </w:tcPr>
          <w:p w14:paraId="371819FE" w14:textId="77777777" w:rsidR="00626FF9" w:rsidRPr="002C29D2" w:rsidRDefault="00626FF9" w:rsidP="00626FF9">
            <w:pPr>
              <w:rPr>
                <w:sz w:val="20"/>
                <w:szCs w:val="20"/>
              </w:rPr>
            </w:pPr>
            <w:r w:rsidRPr="002C29D2">
              <w:rPr>
                <w:sz w:val="20"/>
                <w:szCs w:val="20"/>
              </w:rPr>
              <w:t>BE -&gt; ATA</w:t>
            </w:r>
          </w:p>
        </w:tc>
        <w:tc>
          <w:tcPr>
            <w:tcW w:w="970" w:type="dxa"/>
            <w:shd w:val="clear" w:color="auto" w:fill="auto"/>
            <w:noWrap/>
            <w:vAlign w:val="bottom"/>
          </w:tcPr>
          <w:p w14:paraId="32AA0362" w14:textId="77777777" w:rsidR="00626FF9" w:rsidRPr="002C29D2" w:rsidRDefault="00626FF9" w:rsidP="00B63C4D">
            <w:pPr>
              <w:jc w:val="center"/>
              <w:rPr>
                <w:sz w:val="20"/>
                <w:szCs w:val="20"/>
              </w:rPr>
            </w:pPr>
            <w:r w:rsidRPr="002C29D2">
              <w:rPr>
                <w:sz w:val="20"/>
                <w:szCs w:val="20"/>
              </w:rPr>
              <w:t>0.153</w:t>
            </w:r>
          </w:p>
        </w:tc>
        <w:tc>
          <w:tcPr>
            <w:tcW w:w="1134" w:type="dxa"/>
            <w:shd w:val="clear" w:color="auto" w:fill="auto"/>
            <w:noWrap/>
            <w:vAlign w:val="bottom"/>
          </w:tcPr>
          <w:p w14:paraId="3F50A5D6" w14:textId="77777777" w:rsidR="00626FF9" w:rsidRPr="002C29D2" w:rsidRDefault="00626FF9" w:rsidP="00B63C4D">
            <w:pPr>
              <w:jc w:val="center"/>
              <w:rPr>
                <w:sz w:val="20"/>
                <w:szCs w:val="20"/>
              </w:rPr>
            </w:pPr>
            <w:r w:rsidRPr="002C29D2">
              <w:rPr>
                <w:sz w:val="20"/>
                <w:szCs w:val="20"/>
              </w:rPr>
              <w:t>1.747</w:t>
            </w:r>
          </w:p>
        </w:tc>
        <w:tc>
          <w:tcPr>
            <w:tcW w:w="992" w:type="dxa"/>
            <w:vAlign w:val="bottom"/>
          </w:tcPr>
          <w:p w14:paraId="13F6D76A" w14:textId="77777777" w:rsidR="00626FF9" w:rsidRPr="002C29D2" w:rsidRDefault="00626FF9" w:rsidP="00B63C4D">
            <w:pPr>
              <w:jc w:val="center"/>
              <w:rPr>
                <w:sz w:val="20"/>
                <w:szCs w:val="20"/>
              </w:rPr>
            </w:pPr>
            <w:r w:rsidRPr="002C29D2">
              <w:rPr>
                <w:sz w:val="20"/>
                <w:szCs w:val="20"/>
              </w:rPr>
              <w:t>0.081</w:t>
            </w:r>
          </w:p>
        </w:tc>
        <w:tc>
          <w:tcPr>
            <w:tcW w:w="992" w:type="dxa"/>
            <w:shd w:val="clear" w:color="auto" w:fill="auto"/>
            <w:noWrap/>
            <w:vAlign w:val="bottom"/>
          </w:tcPr>
          <w:p w14:paraId="7FB2BAB8" w14:textId="77777777" w:rsidR="00626FF9" w:rsidRPr="002C29D2" w:rsidRDefault="00626FF9" w:rsidP="00B63C4D">
            <w:pPr>
              <w:jc w:val="center"/>
              <w:rPr>
                <w:sz w:val="20"/>
                <w:szCs w:val="20"/>
              </w:rPr>
            </w:pPr>
            <w:r w:rsidRPr="002C29D2">
              <w:rPr>
                <w:sz w:val="20"/>
                <w:szCs w:val="20"/>
              </w:rPr>
              <w:t>0.253</w:t>
            </w:r>
          </w:p>
        </w:tc>
        <w:tc>
          <w:tcPr>
            <w:tcW w:w="1122" w:type="dxa"/>
            <w:shd w:val="clear" w:color="auto" w:fill="auto"/>
            <w:noWrap/>
            <w:vAlign w:val="bottom"/>
          </w:tcPr>
          <w:p w14:paraId="06B23469" w14:textId="77777777" w:rsidR="00626FF9" w:rsidRPr="002C29D2" w:rsidRDefault="00626FF9" w:rsidP="00B63C4D">
            <w:pPr>
              <w:jc w:val="center"/>
              <w:rPr>
                <w:sz w:val="20"/>
                <w:szCs w:val="20"/>
              </w:rPr>
            </w:pPr>
            <w:r w:rsidRPr="002C29D2">
              <w:rPr>
                <w:sz w:val="20"/>
                <w:szCs w:val="20"/>
              </w:rPr>
              <w:t>2.185</w:t>
            </w:r>
          </w:p>
        </w:tc>
        <w:tc>
          <w:tcPr>
            <w:tcW w:w="863" w:type="dxa"/>
            <w:vAlign w:val="bottom"/>
          </w:tcPr>
          <w:p w14:paraId="7D915484" w14:textId="77777777" w:rsidR="00626FF9" w:rsidRPr="002C29D2" w:rsidRDefault="00626FF9" w:rsidP="00B63C4D">
            <w:pPr>
              <w:jc w:val="center"/>
              <w:rPr>
                <w:sz w:val="20"/>
                <w:szCs w:val="20"/>
              </w:rPr>
            </w:pPr>
            <w:r w:rsidRPr="002C29D2">
              <w:rPr>
                <w:sz w:val="20"/>
                <w:szCs w:val="20"/>
              </w:rPr>
              <w:t>0.029</w:t>
            </w:r>
          </w:p>
        </w:tc>
        <w:tc>
          <w:tcPr>
            <w:tcW w:w="1201" w:type="dxa"/>
            <w:shd w:val="clear" w:color="auto" w:fill="auto"/>
            <w:noWrap/>
            <w:vAlign w:val="bottom"/>
          </w:tcPr>
          <w:p w14:paraId="4B644AE2" w14:textId="77777777" w:rsidR="00626FF9" w:rsidRPr="002C29D2" w:rsidRDefault="00626FF9" w:rsidP="00B63C4D">
            <w:pPr>
              <w:jc w:val="center"/>
              <w:rPr>
                <w:sz w:val="20"/>
                <w:szCs w:val="20"/>
              </w:rPr>
            </w:pPr>
            <w:r w:rsidRPr="002C29D2">
              <w:rPr>
                <w:sz w:val="20"/>
                <w:szCs w:val="20"/>
              </w:rPr>
              <w:t>0.689</w:t>
            </w:r>
          </w:p>
        </w:tc>
        <w:tc>
          <w:tcPr>
            <w:tcW w:w="1067" w:type="dxa"/>
            <w:vAlign w:val="bottom"/>
          </w:tcPr>
          <w:p w14:paraId="61998E8D" w14:textId="77777777" w:rsidR="00626FF9" w:rsidRPr="002C29D2" w:rsidRDefault="00626FF9" w:rsidP="00B63C4D">
            <w:pPr>
              <w:jc w:val="center"/>
              <w:rPr>
                <w:sz w:val="20"/>
                <w:szCs w:val="20"/>
              </w:rPr>
            </w:pPr>
            <w:r w:rsidRPr="002C29D2">
              <w:rPr>
                <w:sz w:val="20"/>
                <w:szCs w:val="20"/>
              </w:rPr>
              <w:t>0.491</w:t>
            </w:r>
          </w:p>
        </w:tc>
      </w:tr>
      <w:tr w:rsidR="002C29D2" w:rsidRPr="002C29D2" w14:paraId="1D93416D" w14:textId="77777777" w:rsidTr="00626FF9">
        <w:trPr>
          <w:trHeight w:val="320"/>
        </w:trPr>
        <w:tc>
          <w:tcPr>
            <w:tcW w:w="1435" w:type="dxa"/>
            <w:shd w:val="clear" w:color="auto" w:fill="auto"/>
            <w:noWrap/>
            <w:vAlign w:val="center"/>
          </w:tcPr>
          <w:p w14:paraId="741578B6" w14:textId="77777777" w:rsidR="00626FF9" w:rsidRPr="002C29D2" w:rsidRDefault="00626FF9" w:rsidP="00626FF9">
            <w:pPr>
              <w:rPr>
                <w:sz w:val="20"/>
                <w:szCs w:val="20"/>
              </w:rPr>
            </w:pPr>
            <w:r w:rsidRPr="002C29D2">
              <w:rPr>
                <w:sz w:val="20"/>
                <w:szCs w:val="20"/>
              </w:rPr>
              <w:t>BE -&gt; ENG</w:t>
            </w:r>
          </w:p>
        </w:tc>
        <w:tc>
          <w:tcPr>
            <w:tcW w:w="970" w:type="dxa"/>
            <w:shd w:val="clear" w:color="auto" w:fill="auto"/>
            <w:noWrap/>
            <w:vAlign w:val="bottom"/>
          </w:tcPr>
          <w:p w14:paraId="76C4E67C" w14:textId="77777777" w:rsidR="00626FF9" w:rsidRPr="002C29D2" w:rsidRDefault="00626FF9" w:rsidP="00B63C4D">
            <w:pPr>
              <w:jc w:val="center"/>
              <w:rPr>
                <w:sz w:val="20"/>
                <w:szCs w:val="20"/>
              </w:rPr>
            </w:pPr>
            <w:r w:rsidRPr="002C29D2">
              <w:rPr>
                <w:sz w:val="20"/>
                <w:szCs w:val="20"/>
              </w:rPr>
              <w:t>0.315</w:t>
            </w:r>
          </w:p>
        </w:tc>
        <w:tc>
          <w:tcPr>
            <w:tcW w:w="1134" w:type="dxa"/>
            <w:shd w:val="clear" w:color="auto" w:fill="auto"/>
            <w:noWrap/>
            <w:vAlign w:val="bottom"/>
          </w:tcPr>
          <w:p w14:paraId="7ACB135C" w14:textId="77777777" w:rsidR="00626FF9" w:rsidRPr="002C29D2" w:rsidRDefault="00626FF9" w:rsidP="00B63C4D">
            <w:pPr>
              <w:jc w:val="center"/>
              <w:rPr>
                <w:sz w:val="20"/>
                <w:szCs w:val="20"/>
              </w:rPr>
            </w:pPr>
            <w:r w:rsidRPr="002C29D2">
              <w:rPr>
                <w:sz w:val="20"/>
                <w:szCs w:val="20"/>
              </w:rPr>
              <w:t>3.999</w:t>
            </w:r>
          </w:p>
        </w:tc>
        <w:tc>
          <w:tcPr>
            <w:tcW w:w="992" w:type="dxa"/>
            <w:vAlign w:val="bottom"/>
          </w:tcPr>
          <w:p w14:paraId="5BB2BB6A"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72CCA93F" w14:textId="77777777" w:rsidR="00626FF9" w:rsidRPr="002C29D2" w:rsidRDefault="00626FF9" w:rsidP="00B63C4D">
            <w:pPr>
              <w:jc w:val="center"/>
              <w:rPr>
                <w:sz w:val="20"/>
                <w:szCs w:val="20"/>
              </w:rPr>
            </w:pPr>
            <w:r w:rsidRPr="002C29D2">
              <w:rPr>
                <w:sz w:val="20"/>
                <w:szCs w:val="20"/>
              </w:rPr>
              <w:t>0.248</w:t>
            </w:r>
          </w:p>
        </w:tc>
        <w:tc>
          <w:tcPr>
            <w:tcW w:w="1122" w:type="dxa"/>
            <w:shd w:val="clear" w:color="auto" w:fill="auto"/>
            <w:noWrap/>
            <w:vAlign w:val="bottom"/>
          </w:tcPr>
          <w:p w14:paraId="3085CAA0" w14:textId="77777777" w:rsidR="00626FF9" w:rsidRPr="002C29D2" w:rsidRDefault="00626FF9" w:rsidP="00B63C4D">
            <w:pPr>
              <w:jc w:val="center"/>
              <w:rPr>
                <w:sz w:val="20"/>
                <w:szCs w:val="20"/>
              </w:rPr>
            </w:pPr>
            <w:r w:rsidRPr="002C29D2">
              <w:rPr>
                <w:sz w:val="20"/>
                <w:szCs w:val="20"/>
              </w:rPr>
              <w:t>3.302</w:t>
            </w:r>
          </w:p>
        </w:tc>
        <w:tc>
          <w:tcPr>
            <w:tcW w:w="863" w:type="dxa"/>
            <w:vAlign w:val="bottom"/>
          </w:tcPr>
          <w:p w14:paraId="17BB35F8" w14:textId="77777777" w:rsidR="00626FF9" w:rsidRPr="002C29D2" w:rsidRDefault="00626FF9" w:rsidP="00B63C4D">
            <w:pPr>
              <w:jc w:val="center"/>
              <w:rPr>
                <w:sz w:val="20"/>
                <w:szCs w:val="20"/>
              </w:rPr>
            </w:pPr>
            <w:r w:rsidRPr="002C29D2">
              <w:rPr>
                <w:sz w:val="20"/>
                <w:szCs w:val="20"/>
              </w:rPr>
              <w:t>0.001</w:t>
            </w:r>
          </w:p>
        </w:tc>
        <w:tc>
          <w:tcPr>
            <w:tcW w:w="1201" w:type="dxa"/>
            <w:shd w:val="clear" w:color="auto" w:fill="auto"/>
            <w:noWrap/>
            <w:vAlign w:val="bottom"/>
          </w:tcPr>
          <w:p w14:paraId="04121668" w14:textId="77777777" w:rsidR="00626FF9" w:rsidRPr="002C29D2" w:rsidRDefault="00626FF9" w:rsidP="00B63C4D">
            <w:pPr>
              <w:jc w:val="center"/>
              <w:rPr>
                <w:sz w:val="20"/>
                <w:szCs w:val="20"/>
              </w:rPr>
            </w:pPr>
            <w:r w:rsidRPr="002C29D2">
              <w:rPr>
                <w:sz w:val="20"/>
                <w:szCs w:val="20"/>
              </w:rPr>
              <w:t>0.614</w:t>
            </w:r>
          </w:p>
        </w:tc>
        <w:tc>
          <w:tcPr>
            <w:tcW w:w="1067" w:type="dxa"/>
            <w:vAlign w:val="bottom"/>
          </w:tcPr>
          <w:p w14:paraId="44F246CF" w14:textId="77777777" w:rsidR="00626FF9" w:rsidRPr="002C29D2" w:rsidRDefault="00626FF9" w:rsidP="00B63C4D">
            <w:pPr>
              <w:jc w:val="center"/>
              <w:rPr>
                <w:sz w:val="20"/>
                <w:szCs w:val="20"/>
              </w:rPr>
            </w:pPr>
            <w:r w:rsidRPr="002C29D2">
              <w:rPr>
                <w:sz w:val="20"/>
                <w:szCs w:val="20"/>
              </w:rPr>
              <w:t>0.540</w:t>
            </w:r>
          </w:p>
        </w:tc>
      </w:tr>
      <w:tr w:rsidR="002C29D2" w:rsidRPr="002C29D2" w14:paraId="7EA01E63" w14:textId="77777777" w:rsidTr="00626FF9">
        <w:trPr>
          <w:trHeight w:val="320"/>
        </w:trPr>
        <w:tc>
          <w:tcPr>
            <w:tcW w:w="1435" w:type="dxa"/>
            <w:shd w:val="clear" w:color="auto" w:fill="auto"/>
            <w:noWrap/>
            <w:vAlign w:val="center"/>
          </w:tcPr>
          <w:p w14:paraId="3541BE5A" w14:textId="77777777" w:rsidR="00626FF9" w:rsidRPr="002C29D2" w:rsidRDefault="00626FF9" w:rsidP="00626FF9">
            <w:pPr>
              <w:rPr>
                <w:sz w:val="20"/>
                <w:szCs w:val="20"/>
              </w:rPr>
            </w:pPr>
            <w:r w:rsidRPr="002C29D2">
              <w:rPr>
                <w:sz w:val="20"/>
                <w:szCs w:val="20"/>
              </w:rPr>
              <w:t>BE -&gt; SAT</w:t>
            </w:r>
          </w:p>
        </w:tc>
        <w:tc>
          <w:tcPr>
            <w:tcW w:w="970" w:type="dxa"/>
            <w:shd w:val="clear" w:color="auto" w:fill="auto"/>
            <w:noWrap/>
            <w:vAlign w:val="bottom"/>
          </w:tcPr>
          <w:p w14:paraId="36304EAC" w14:textId="77777777" w:rsidR="00626FF9" w:rsidRPr="002C29D2" w:rsidRDefault="00626FF9" w:rsidP="00B63C4D">
            <w:pPr>
              <w:jc w:val="center"/>
              <w:rPr>
                <w:sz w:val="20"/>
                <w:szCs w:val="20"/>
              </w:rPr>
            </w:pPr>
            <w:r w:rsidRPr="002C29D2">
              <w:rPr>
                <w:sz w:val="20"/>
                <w:szCs w:val="20"/>
              </w:rPr>
              <w:t>-0.056</w:t>
            </w:r>
          </w:p>
        </w:tc>
        <w:tc>
          <w:tcPr>
            <w:tcW w:w="1134" w:type="dxa"/>
            <w:shd w:val="clear" w:color="auto" w:fill="auto"/>
            <w:noWrap/>
            <w:vAlign w:val="bottom"/>
          </w:tcPr>
          <w:p w14:paraId="7646FD5D" w14:textId="77777777" w:rsidR="00626FF9" w:rsidRPr="002C29D2" w:rsidRDefault="00626FF9" w:rsidP="00B63C4D">
            <w:pPr>
              <w:jc w:val="center"/>
              <w:rPr>
                <w:sz w:val="20"/>
                <w:szCs w:val="20"/>
              </w:rPr>
            </w:pPr>
            <w:r w:rsidRPr="002C29D2">
              <w:rPr>
                <w:sz w:val="20"/>
                <w:szCs w:val="20"/>
              </w:rPr>
              <w:t>0.595</w:t>
            </w:r>
          </w:p>
        </w:tc>
        <w:tc>
          <w:tcPr>
            <w:tcW w:w="992" w:type="dxa"/>
            <w:vAlign w:val="bottom"/>
          </w:tcPr>
          <w:p w14:paraId="1C72D3AC" w14:textId="77777777" w:rsidR="00626FF9" w:rsidRPr="002C29D2" w:rsidRDefault="00626FF9" w:rsidP="00B63C4D">
            <w:pPr>
              <w:jc w:val="center"/>
              <w:rPr>
                <w:sz w:val="20"/>
                <w:szCs w:val="20"/>
              </w:rPr>
            </w:pPr>
            <w:r w:rsidRPr="002C29D2">
              <w:rPr>
                <w:sz w:val="20"/>
                <w:szCs w:val="20"/>
              </w:rPr>
              <w:t>0.552</w:t>
            </w:r>
          </w:p>
        </w:tc>
        <w:tc>
          <w:tcPr>
            <w:tcW w:w="992" w:type="dxa"/>
            <w:shd w:val="clear" w:color="auto" w:fill="auto"/>
            <w:noWrap/>
            <w:vAlign w:val="bottom"/>
          </w:tcPr>
          <w:p w14:paraId="7C2F1CC3" w14:textId="77777777" w:rsidR="00626FF9" w:rsidRPr="002C29D2" w:rsidRDefault="00626FF9" w:rsidP="00B63C4D">
            <w:pPr>
              <w:jc w:val="center"/>
              <w:rPr>
                <w:sz w:val="20"/>
                <w:szCs w:val="20"/>
              </w:rPr>
            </w:pPr>
            <w:r w:rsidRPr="002C29D2">
              <w:rPr>
                <w:sz w:val="20"/>
                <w:szCs w:val="20"/>
              </w:rPr>
              <w:t>0.032</w:t>
            </w:r>
          </w:p>
        </w:tc>
        <w:tc>
          <w:tcPr>
            <w:tcW w:w="1122" w:type="dxa"/>
            <w:shd w:val="clear" w:color="auto" w:fill="auto"/>
            <w:noWrap/>
            <w:vAlign w:val="bottom"/>
          </w:tcPr>
          <w:p w14:paraId="366F5648" w14:textId="77777777" w:rsidR="00626FF9" w:rsidRPr="002C29D2" w:rsidRDefault="00626FF9" w:rsidP="00B63C4D">
            <w:pPr>
              <w:jc w:val="center"/>
              <w:rPr>
                <w:sz w:val="20"/>
                <w:szCs w:val="20"/>
              </w:rPr>
            </w:pPr>
            <w:r w:rsidRPr="002C29D2">
              <w:rPr>
                <w:sz w:val="20"/>
                <w:szCs w:val="20"/>
              </w:rPr>
              <w:t>0.390</w:t>
            </w:r>
          </w:p>
        </w:tc>
        <w:tc>
          <w:tcPr>
            <w:tcW w:w="863" w:type="dxa"/>
            <w:vAlign w:val="bottom"/>
          </w:tcPr>
          <w:p w14:paraId="684DE24B" w14:textId="77777777" w:rsidR="00626FF9" w:rsidRPr="002C29D2" w:rsidRDefault="00626FF9" w:rsidP="00B63C4D">
            <w:pPr>
              <w:jc w:val="center"/>
              <w:rPr>
                <w:sz w:val="20"/>
                <w:szCs w:val="20"/>
              </w:rPr>
            </w:pPr>
            <w:r w:rsidRPr="002C29D2">
              <w:rPr>
                <w:sz w:val="20"/>
                <w:szCs w:val="20"/>
              </w:rPr>
              <w:t>0.697</w:t>
            </w:r>
          </w:p>
        </w:tc>
        <w:tc>
          <w:tcPr>
            <w:tcW w:w="1201" w:type="dxa"/>
            <w:shd w:val="clear" w:color="auto" w:fill="auto"/>
            <w:noWrap/>
            <w:vAlign w:val="bottom"/>
          </w:tcPr>
          <w:p w14:paraId="0EEF44CB" w14:textId="77777777" w:rsidR="00626FF9" w:rsidRPr="002C29D2" w:rsidRDefault="00626FF9" w:rsidP="00B63C4D">
            <w:pPr>
              <w:jc w:val="center"/>
              <w:rPr>
                <w:sz w:val="20"/>
                <w:szCs w:val="20"/>
              </w:rPr>
            </w:pPr>
            <w:r w:rsidRPr="002C29D2">
              <w:rPr>
                <w:sz w:val="20"/>
                <w:szCs w:val="20"/>
              </w:rPr>
              <w:t>0.707</w:t>
            </w:r>
          </w:p>
        </w:tc>
        <w:tc>
          <w:tcPr>
            <w:tcW w:w="1067" w:type="dxa"/>
            <w:vAlign w:val="bottom"/>
          </w:tcPr>
          <w:p w14:paraId="0C2EE8A8" w14:textId="77777777" w:rsidR="00626FF9" w:rsidRPr="002C29D2" w:rsidRDefault="00626FF9" w:rsidP="00B63C4D">
            <w:pPr>
              <w:jc w:val="center"/>
              <w:rPr>
                <w:sz w:val="20"/>
                <w:szCs w:val="20"/>
              </w:rPr>
            </w:pPr>
            <w:r w:rsidRPr="002C29D2">
              <w:rPr>
                <w:sz w:val="20"/>
                <w:szCs w:val="20"/>
              </w:rPr>
              <w:t>0.481</w:t>
            </w:r>
          </w:p>
        </w:tc>
      </w:tr>
      <w:tr w:rsidR="002C29D2" w:rsidRPr="002C29D2" w14:paraId="16CFF7C8" w14:textId="77777777" w:rsidTr="00626FF9">
        <w:trPr>
          <w:trHeight w:val="320"/>
        </w:trPr>
        <w:tc>
          <w:tcPr>
            <w:tcW w:w="1435" w:type="dxa"/>
            <w:shd w:val="clear" w:color="auto" w:fill="auto"/>
            <w:noWrap/>
            <w:vAlign w:val="center"/>
          </w:tcPr>
          <w:p w14:paraId="5FBAC65B" w14:textId="77777777" w:rsidR="00626FF9" w:rsidRPr="002C29D2" w:rsidRDefault="00626FF9" w:rsidP="00626FF9">
            <w:pPr>
              <w:rPr>
                <w:sz w:val="20"/>
                <w:szCs w:val="20"/>
              </w:rPr>
            </w:pPr>
            <w:r w:rsidRPr="002C29D2">
              <w:rPr>
                <w:sz w:val="20"/>
                <w:szCs w:val="20"/>
              </w:rPr>
              <w:t>BE -&gt; UI</w:t>
            </w:r>
          </w:p>
        </w:tc>
        <w:tc>
          <w:tcPr>
            <w:tcW w:w="970" w:type="dxa"/>
            <w:shd w:val="clear" w:color="auto" w:fill="auto"/>
            <w:noWrap/>
            <w:vAlign w:val="bottom"/>
          </w:tcPr>
          <w:p w14:paraId="1B587DC8" w14:textId="77777777" w:rsidR="00626FF9" w:rsidRPr="002C29D2" w:rsidRDefault="00626FF9" w:rsidP="00B63C4D">
            <w:pPr>
              <w:jc w:val="center"/>
              <w:rPr>
                <w:sz w:val="20"/>
                <w:szCs w:val="20"/>
              </w:rPr>
            </w:pPr>
            <w:r w:rsidRPr="002C29D2">
              <w:rPr>
                <w:sz w:val="20"/>
                <w:szCs w:val="20"/>
              </w:rPr>
              <w:t>0.280</w:t>
            </w:r>
          </w:p>
        </w:tc>
        <w:tc>
          <w:tcPr>
            <w:tcW w:w="1134" w:type="dxa"/>
            <w:shd w:val="clear" w:color="auto" w:fill="auto"/>
            <w:noWrap/>
            <w:vAlign w:val="bottom"/>
          </w:tcPr>
          <w:p w14:paraId="2CDE2AA3" w14:textId="77777777" w:rsidR="00626FF9" w:rsidRPr="002C29D2" w:rsidRDefault="00626FF9" w:rsidP="00B63C4D">
            <w:pPr>
              <w:jc w:val="center"/>
              <w:rPr>
                <w:sz w:val="20"/>
                <w:szCs w:val="20"/>
              </w:rPr>
            </w:pPr>
            <w:r w:rsidRPr="002C29D2">
              <w:rPr>
                <w:sz w:val="20"/>
                <w:szCs w:val="20"/>
              </w:rPr>
              <w:t>3.521</w:t>
            </w:r>
          </w:p>
        </w:tc>
        <w:tc>
          <w:tcPr>
            <w:tcW w:w="992" w:type="dxa"/>
            <w:vAlign w:val="bottom"/>
          </w:tcPr>
          <w:p w14:paraId="621685E8"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151BF531" w14:textId="77777777" w:rsidR="00626FF9" w:rsidRPr="002C29D2" w:rsidRDefault="00626FF9" w:rsidP="00B63C4D">
            <w:pPr>
              <w:jc w:val="center"/>
              <w:rPr>
                <w:sz w:val="20"/>
                <w:szCs w:val="20"/>
              </w:rPr>
            </w:pPr>
            <w:r w:rsidRPr="002C29D2">
              <w:rPr>
                <w:sz w:val="20"/>
                <w:szCs w:val="20"/>
              </w:rPr>
              <w:t>0.220</w:t>
            </w:r>
          </w:p>
        </w:tc>
        <w:tc>
          <w:tcPr>
            <w:tcW w:w="1122" w:type="dxa"/>
            <w:shd w:val="clear" w:color="auto" w:fill="auto"/>
            <w:noWrap/>
            <w:vAlign w:val="bottom"/>
          </w:tcPr>
          <w:p w14:paraId="6C9A1F75" w14:textId="77777777" w:rsidR="00626FF9" w:rsidRPr="002C29D2" w:rsidRDefault="00626FF9" w:rsidP="00B63C4D">
            <w:pPr>
              <w:jc w:val="center"/>
              <w:rPr>
                <w:sz w:val="20"/>
                <w:szCs w:val="20"/>
              </w:rPr>
            </w:pPr>
            <w:r w:rsidRPr="002C29D2">
              <w:rPr>
                <w:sz w:val="20"/>
                <w:szCs w:val="20"/>
              </w:rPr>
              <w:t>2.161</w:t>
            </w:r>
          </w:p>
        </w:tc>
        <w:tc>
          <w:tcPr>
            <w:tcW w:w="863" w:type="dxa"/>
            <w:vAlign w:val="bottom"/>
          </w:tcPr>
          <w:p w14:paraId="6FB5B05B" w14:textId="77777777" w:rsidR="00626FF9" w:rsidRPr="002C29D2" w:rsidRDefault="00626FF9" w:rsidP="00B63C4D">
            <w:pPr>
              <w:jc w:val="center"/>
              <w:rPr>
                <w:sz w:val="20"/>
                <w:szCs w:val="20"/>
              </w:rPr>
            </w:pPr>
            <w:r w:rsidRPr="002C29D2">
              <w:rPr>
                <w:sz w:val="20"/>
                <w:szCs w:val="20"/>
              </w:rPr>
              <w:t>0.031</w:t>
            </w:r>
          </w:p>
        </w:tc>
        <w:tc>
          <w:tcPr>
            <w:tcW w:w="1201" w:type="dxa"/>
            <w:shd w:val="clear" w:color="auto" w:fill="auto"/>
            <w:noWrap/>
            <w:vAlign w:val="bottom"/>
          </w:tcPr>
          <w:p w14:paraId="283B7FC8" w14:textId="77777777" w:rsidR="00626FF9" w:rsidRPr="002C29D2" w:rsidRDefault="00626FF9" w:rsidP="00B63C4D">
            <w:pPr>
              <w:jc w:val="center"/>
              <w:rPr>
                <w:sz w:val="20"/>
                <w:szCs w:val="20"/>
              </w:rPr>
            </w:pPr>
            <w:r w:rsidRPr="002C29D2">
              <w:rPr>
                <w:sz w:val="20"/>
                <w:szCs w:val="20"/>
              </w:rPr>
              <w:t>0.464</w:t>
            </w:r>
          </w:p>
        </w:tc>
        <w:tc>
          <w:tcPr>
            <w:tcW w:w="1067" w:type="dxa"/>
            <w:vAlign w:val="bottom"/>
          </w:tcPr>
          <w:p w14:paraId="0DA1E4B7" w14:textId="77777777" w:rsidR="00626FF9" w:rsidRPr="002C29D2" w:rsidRDefault="00626FF9" w:rsidP="00B63C4D">
            <w:pPr>
              <w:jc w:val="center"/>
              <w:rPr>
                <w:sz w:val="20"/>
                <w:szCs w:val="20"/>
              </w:rPr>
            </w:pPr>
            <w:r w:rsidRPr="002C29D2">
              <w:rPr>
                <w:sz w:val="20"/>
                <w:szCs w:val="20"/>
              </w:rPr>
              <w:t>0.643</w:t>
            </w:r>
          </w:p>
        </w:tc>
      </w:tr>
      <w:tr w:rsidR="002C29D2" w:rsidRPr="002C29D2" w14:paraId="78FF2A73" w14:textId="77777777" w:rsidTr="00626FF9">
        <w:trPr>
          <w:trHeight w:val="320"/>
        </w:trPr>
        <w:tc>
          <w:tcPr>
            <w:tcW w:w="1435" w:type="dxa"/>
            <w:shd w:val="clear" w:color="auto" w:fill="auto"/>
            <w:noWrap/>
            <w:vAlign w:val="center"/>
          </w:tcPr>
          <w:p w14:paraId="43616915" w14:textId="77777777" w:rsidR="00626FF9" w:rsidRPr="002C29D2" w:rsidRDefault="00626FF9" w:rsidP="00626FF9">
            <w:pPr>
              <w:rPr>
                <w:sz w:val="20"/>
                <w:szCs w:val="20"/>
              </w:rPr>
            </w:pPr>
            <w:r w:rsidRPr="002C29D2">
              <w:rPr>
                <w:sz w:val="20"/>
                <w:szCs w:val="20"/>
              </w:rPr>
              <w:t>ENG -&gt; ATA</w:t>
            </w:r>
          </w:p>
        </w:tc>
        <w:tc>
          <w:tcPr>
            <w:tcW w:w="970" w:type="dxa"/>
            <w:shd w:val="clear" w:color="auto" w:fill="auto"/>
            <w:noWrap/>
            <w:vAlign w:val="bottom"/>
          </w:tcPr>
          <w:p w14:paraId="0B0911AA" w14:textId="77777777" w:rsidR="00626FF9" w:rsidRPr="002C29D2" w:rsidRDefault="00626FF9" w:rsidP="00B63C4D">
            <w:pPr>
              <w:jc w:val="center"/>
              <w:rPr>
                <w:sz w:val="20"/>
                <w:szCs w:val="20"/>
              </w:rPr>
            </w:pPr>
            <w:r w:rsidRPr="002C29D2">
              <w:rPr>
                <w:sz w:val="20"/>
                <w:szCs w:val="20"/>
              </w:rPr>
              <w:t>0.368</w:t>
            </w:r>
          </w:p>
        </w:tc>
        <w:tc>
          <w:tcPr>
            <w:tcW w:w="1134" w:type="dxa"/>
            <w:shd w:val="clear" w:color="auto" w:fill="auto"/>
            <w:noWrap/>
            <w:vAlign w:val="bottom"/>
          </w:tcPr>
          <w:p w14:paraId="75F761B9" w14:textId="77777777" w:rsidR="00626FF9" w:rsidRPr="002C29D2" w:rsidRDefault="00626FF9" w:rsidP="00B63C4D">
            <w:pPr>
              <w:jc w:val="center"/>
              <w:rPr>
                <w:sz w:val="20"/>
                <w:szCs w:val="20"/>
              </w:rPr>
            </w:pPr>
            <w:r w:rsidRPr="002C29D2">
              <w:rPr>
                <w:sz w:val="20"/>
                <w:szCs w:val="20"/>
              </w:rPr>
              <w:t>3.951</w:t>
            </w:r>
          </w:p>
        </w:tc>
        <w:tc>
          <w:tcPr>
            <w:tcW w:w="992" w:type="dxa"/>
            <w:vAlign w:val="bottom"/>
          </w:tcPr>
          <w:p w14:paraId="2E6CF48A"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24EE0F34" w14:textId="77777777" w:rsidR="00626FF9" w:rsidRPr="002C29D2" w:rsidRDefault="00626FF9" w:rsidP="00B63C4D">
            <w:pPr>
              <w:jc w:val="center"/>
              <w:rPr>
                <w:sz w:val="20"/>
                <w:szCs w:val="20"/>
              </w:rPr>
            </w:pPr>
            <w:r w:rsidRPr="002C29D2">
              <w:rPr>
                <w:sz w:val="20"/>
                <w:szCs w:val="20"/>
              </w:rPr>
              <w:t>0.320</w:t>
            </w:r>
          </w:p>
        </w:tc>
        <w:tc>
          <w:tcPr>
            <w:tcW w:w="1122" w:type="dxa"/>
            <w:shd w:val="clear" w:color="auto" w:fill="auto"/>
            <w:noWrap/>
            <w:vAlign w:val="bottom"/>
          </w:tcPr>
          <w:p w14:paraId="5BC9F2CA" w14:textId="77777777" w:rsidR="00626FF9" w:rsidRPr="002C29D2" w:rsidRDefault="00626FF9" w:rsidP="00B63C4D">
            <w:pPr>
              <w:jc w:val="center"/>
              <w:rPr>
                <w:sz w:val="20"/>
                <w:szCs w:val="20"/>
              </w:rPr>
            </w:pPr>
            <w:r w:rsidRPr="002C29D2">
              <w:rPr>
                <w:sz w:val="20"/>
                <w:szCs w:val="20"/>
              </w:rPr>
              <w:t>2.373</w:t>
            </w:r>
          </w:p>
        </w:tc>
        <w:tc>
          <w:tcPr>
            <w:tcW w:w="863" w:type="dxa"/>
            <w:vAlign w:val="bottom"/>
          </w:tcPr>
          <w:p w14:paraId="6D74125C" w14:textId="77777777" w:rsidR="00626FF9" w:rsidRPr="002C29D2" w:rsidRDefault="00626FF9" w:rsidP="00B63C4D">
            <w:pPr>
              <w:jc w:val="center"/>
              <w:rPr>
                <w:sz w:val="20"/>
                <w:szCs w:val="20"/>
              </w:rPr>
            </w:pPr>
            <w:r w:rsidRPr="002C29D2">
              <w:rPr>
                <w:sz w:val="20"/>
                <w:szCs w:val="20"/>
              </w:rPr>
              <w:t>0.018</w:t>
            </w:r>
          </w:p>
        </w:tc>
        <w:tc>
          <w:tcPr>
            <w:tcW w:w="1201" w:type="dxa"/>
            <w:shd w:val="clear" w:color="auto" w:fill="auto"/>
            <w:noWrap/>
            <w:vAlign w:val="bottom"/>
          </w:tcPr>
          <w:p w14:paraId="18F1519B" w14:textId="77777777" w:rsidR="00626FF9" w:rsidRPr="002C29D2" w:rsidRDefault="00626FF9" w:rsidP="00B63C4D">
            <w:pPr>
              <w:jc w:val="center"/>
              <w:rPr>
                <w:sz w:val="20"/>
                <w:szCs w:val="20"/>
              </w:rPr>
            </w:pPr>
            <w:r w:rsidRPr="002C29D2">
              <w:rPr>
                <w:sz w:val="20"/>
                <w:szCs w:val="20"/>
              </w:rPr>
              <w:t>0.292</w:t>
            </w:r>
          </w:p>
        </w:tc>
        <w:tc>
          <w:tcPr>
            <w:tcW w:w="1067" w:type="dxa"/>
            <w:vAlign w:val="bottom"/>
          </w:tcPr>
          <w:p w14:paraId="7CD45649" w14:textId="77777777" w:rsidR="00626FF9" w:rsidRPr="002C29D2" w:rsidRDefault="00626FF9" w:rsidP="00B63C4D">
            <w:pPr>
              <w:jc w:val="center"/>
              <w:rPr>
                <w:sz w:val="20"/>
                <w:szCs w:val="20"/>
              </w:rPr>
            </w:pPr>
            <w:r w:rsidRPr="002C29D2">
              <w:rPr>
                <w:sz w:val="20"/>
                <w:szCs w:val="20"/>
              </w:rPr>
              <w:t>0.771</w:t>
            </w:r>
          </w:p>
        </w:tc>
      </w:tr>
      <w:tr w:rsidR="002C29D2" w:rsidRPr="002C29D2" w14:paraId="24346A0A" w14:textId="77777777" w:rsidTr="00626FF9">
        <w:trPr>
          <w:trHeight w:val="320"/>
        </w:trPr>
        <w:tc>
          <w:tcPr>
            <w:tcW w:w="1435" w:type="dxa"/>
            <w:shd w:val="clear" w:color="auto" w:fill="auto"/>
            <w:noWrap/>
            <w:vAlign w:val="center"/>
          </w:tcPr>
          <w:p w14:paraId="700C6866" w14:textId="77777777" w:rsidR="00626FF9" w:rsidRPr="002C29D2" w:rsidRDefault="00626FF9" w:rsidP="00626FF9">
            <w:pPr>
              <w:rPr>
                <w:sz w:val="20"/>
                <w:szCs w:val="20"/>
              </w:rPr>
            </w:pPr>
            <w:r w:rsidRPr="002C29D2">
              <w:rPr>
                <w:sz w:val="20"/>
                <w:szCs w:val="20"/>
              </w:rPr>
              <w:t>ENG -&gt; SAT</w:t>
            </w:r>
          </w:p>
        </w:tc>
        <w:tc>
          <w:tcPr>
            <w:tcW w:w="970" w:type="dxa"/>
            <w:shd w:val="clear" w:color="auto" w:fill="auto"/>
            <w:noWrap/>
            <w:vAlign w:val="bottom"/>
          </w:tcPr>
          <w:p w14:paraId="270DFD2E" w14:textId="77777777" w:rsidR="00626FF9" w:rsidRPr="002C29D2" w:rsidRDefault="00626FF9" w:rsidP="00B63C4D">
            <w:pPr>
              <w:jc w:val="center"/>
              <w:rPr>
                <w:sz w:val="20"/>
                <w:szCs w:val="20"/>
              </w:rPr>
            </w:pPr>
            <w:r w:rsidRPr="002C29D2">
              <w:rPr>
                <w:sz w:val="20"/>
                <w:szCs w:val="20"/>
              </w:rPr>
              <w:t>0.383</w:t>
            </w:r>
          </w:p>
        </w:tc>
        <w:tc>
          <w:tcPr>
            <w:tcW w:w="1134" w:type="dxa"/>
            <w:shd w:val="clear" w:color="auto" w:fill="auto"/>
            <w:noWrap/>
            <w:vAlign w:val="bottom"/>
          </w:tcPr>
          <w:p w14:paraId="5EB68562" w14:textId="77777777" w:rsidR="00626FF9" w:rsidRPr="002C29D2" w:rsidRDefault="00626FF9" w:rsidP="00B63C4D">
            <w:pPr>
              <w:jc w:val="center"/>
              <w:rPr>
                <w:sz w:val="20"/>
                <w:szCs w:val="20"/>
              </w:rPr>
            </w:pPr>
            <w:r w:rsidRPr="002C29D2">
              <w:rPr>
                <w:sz w:val="20"/>
                <w:szCs w:val="20"/>
              </w:rPr>
              <w:t>3.643</w:t>
            </w:r>
          </w:p>
        </w:tc>
        <w:tc>
          <w:tcPr>
            <w:tcW w:w="992" w:type="dxa"/>
            <w:vAlign w:val="bottom"/>
          </w:tcPr>
          <w:p w14:paraId="1B27D8DF"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62B79570" w14:textId="77777777" w:rsidR="00626FF9" w:rsidRPr="002C29D2" w:rsidRDefault="00626FF9" w:rsidP="00B63C4D">
            <w:pPr>
              <w:jc w:val="center"/>
              <w:rPr>
                <w:sz w:val="20"/>
                <w:szCs w:val="20"/>
              </w:rPr>
            </w:pPr>
            <w:r w:rsidRPr="002C29D2">
              <w:rPr>
                <w:sz w:val="20"/>
                <w:szCs w:val="20"/>
              </w:rPr>
              <w:t>0.238</w:t>
            </w:r>
          </w:p>
        </w:tc>
        <w:tc>
          <w:tcPr>
            <w:tcW w:w="1122" w:type="dxa"/>
            <w:shd w:val="clear" w:color="auto" w:fill="auto"/>
            <w:noWrap/>
            <w:vAlign w:val="bottom"/>
          </w:tcPr>
          <w:p w14:paraId="37ECCCE5" w14:textId="77777777" w:rsidR="00626FF9" w:rsidRPr="002C29D2" w:rsidRDefault="00626FF9" w:rsidP="00B63C4D">
            <w:pPr>
              <w:jc w:val="center"/>
              <w:rPr>
                <w:sz w:val="20"/>
                <w:szCs w:val="20"/>
              </w:rPr>
            </w:pPr>
            <w:r w:rsidRPr="002C29D2">
              <w:rPr>
                <w:sz w:val="20"/>
                <w:szCs w:val="20"/>
              </w:rPr>
              <w:t>2.268</w:t>
            </w:r>
          </w:p>
        </w:tc>
        <w:tc>
          <w:tcPr>
            <w:tcW w:w="863" w:type="dxa"/>
            <w:vAlign w:val="bottom"/>
          </w:tcPr>
          <w:p w14:paraId="127D338D" w14:textId="77777777" w:rsidR="00626FF9" w:rsidRPr="002C29D2" w:rsidRDefault="00626FF9" w:rsidP="00B63C4D">
            <w:pPr>
              <w:jc w:val="center"/>
              <w:rPr>
                <w:sz w:val="20"/>
                <w:szCs w:val="20"/>
              </w:rPr>
            </w:pPr>
            <w:r w:rsidRPr="002C29D2">
              <w:rPr>
                <w:sz w:val="20"/>
                <w:szCs w:val="20"/>
              </w:rPr>
              <w:t>0.023</w:t>
            </w:r>
          </w:p>
        </w:tc>
        <w:tc>
          <w:tcPr>
            <w:tcW w:w="1201" w:type="dxa"/>
            <w:shd w:val="clear" w:color="auto" w:fill="auto"/>
            <w:noWrap/>
            <w:vAlign w:val="bottom"/>
          </w:tcPr>
          <w:p w14:paraId="682F7133" w14:textId="77777777" w:rsidR="00626FF9" w:rsidRPr="002C29D2" w:rsidRDefault="00626FF9" w:rsidP="00B63C4D">
            <w:pPr>
              <w:jc w:val="center"/>
              <w:rPr>
                <w:sz w:val="20"/>
                <w:szCs w:val="20"/>
              </w:rPr>
            </w:pPr>
            <w:r w:rsidRPr="002C29D2">
              <w:rPr>
                <w:sz w:val="20"/>
                <w:szCs w:val="20"/>
              </w:rPr>
              <w:t>0.983</w:t>
            </w:r>
          </w:p>
        </w:tc>
        <w:tc>
          <w:tcPr>
            <w:tcW w:w="1067" w:type="dxa"/>
            <w:vAlign w:val="bottom"/>
          </w:tcPr>
          <w:p w14:paraId="7F16AE94" w14:textId="77777777" w:rsidR="00626FF9" w:rsidRPr="002C29D2" w:rsidRDefault="00626FF9" w:rsidP="00B63C4D">
            <w:pPr>
              <w:jc w:val="center"/>
              <w:rPr>
                <w:sz w:val="20"/>
                <w:szCs w:val="20"/>
              </w:rPr>
            </w:pPr>
            <w:r w:rsidRPr="002C29D2">
              <w:rPr>
                <w:sz w:val="20"/>
                <w:szCs w:val="20"/>
              </w:rPr>
              <w:t>0.327</w:t>
            </w:r>
          </w:p>
        </w:tc>
      </w:tr>
      <w:tr w:rsidR="002C29D2" w:rsidRPr="002C29D2" w14:paraId="7B83DD0D" w14:textId="77777777" w:rsidTr="00626FF9">
        <w:trPr>
          <w:trHeight w:val="320"/>
        </w:trPr>
        <w:tc>
          <w:tcPr>
            <w:tcW w:w="1435" w:type="dxa"/>
            <w:shd w:val="clear" w:color="auto" w:fill="auto"/>
            <w:noWrap/>
            <w:vAlign w:val="center"/>
          </w:tcPr>
          <w:p w14:paraId="09D4C84B" w14:textId="77777777" w:rsidR="00626FF9" w:rsidRPr="002C29D2" w:rsidRDefault="00626FF9" w:rsidP="00626FF9">
            <w:pPr>
              <w:rPr>
                <w:sz w:val="20"/>
                <w:szCs w:val="20"/>
              </w:rPr>
            </w:pPr>
            <w:r w:rsidRPr="002C29D2">
              <w:rPr>
                <w:sz w:val="20"/>
                <w:szCs w:val="20"/>
              </w:rPr>
              <w:t>ENG -&gt; UI</w:t>
            </w:r>
          </w:p>
        </w:tc>
        <w:tc>
          <w:tcPr>
            <w:tcW w:w="970" w:type="dxa"/>
            <w:shd w:val="clear" w:color="auto" w:fill="auto"/>
            <w:noWrap/>
            <w:vAlign w:val="bottom"/>
          </w:tcPr>
          <w:p w14:paraId="4314A3BD" w14:textId="77777777" w:rsidR="00626FF9" w:rsidRPr="002C29D2" w:rsidRDefault="00626FF9" w:rsidP="00B63C4D">
            <w:pPr>
              <w:jc w:val="center"/>
              <w:rPr>
                <w:sz w:val="20"/>
                <w:szCs w:val="20"/>
              </w:rPr>
            </w:pPr>
            <w:r w:rsidRPr="002C29D2">
              <w:rPr>
                <w:sz w:val="20"/>
                <w:szCs w:val="20"/>
              </w:rPr>
              <w:t>0.548</w:t>
            </w:r>
          </w:p>
        </w:tc>
        <w:tc>
          <w:tcPr>
            <w:tcW w:w="1134" w:type="dxa"/>
            <w:shd w:val="clear" w:color="auto" w:fill="auto"/>
            <w:noWrap/>
            <w:vAlign w:val="bottom"/>
          </w:tcPr>
          <w:p w14:paraId="09DA4FDF" w14:textId="77777777" w:rsidR="00626FF9" w:rsidRPr="002C29D2" w:rsidRDefault="00626FF9" w:rsidP="00B63C4D">
            <w:pPr>
              <w:jc w:val="center"/>
              <w:rPr>
                <w:sz w:val="20"/>
                <w:szCs w:val="20"/>
              </w:rPr>
            </w:pPr>
            <w:r w:rsidRPr="002C29D2">
              <w:rPr>
                <w:sz w:val="20"/>
                <w:szCs w:val="20"/>
              </w:rPr>
              <w:t>6.629</w:t>
            </w:r>
          </w:p>
        </w:tc>
        <w:tc>
          <w:tcPr>
            <w:tcW w:w="992" w:type="dxa"/>
            <w:vAlign w:val="bottom"/>
          </w:tcPr>
          <w:p w14:paraId="1736D90F"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2E31CD06" w14:textId="77777777" w:rsidR="00626FF9" w:rsidRPr="002C29D2" w:rsidRDefault="00626FF9" w:rsidP="00B63C4D">
            <w:pPr>
              <w:jc w:val="center"/>
              <w:rPr>
                <w:sz w:val="20"/>
                <w:szCs w:val="20"/>
              </w:rPr>
            </w:pPr>
            <w:r w:rsidRPr="002C29D2">
              <w:rPr>
                <w:sz w:val="20"/>
                <w:szCs w:val="20"/>
              </w:rPr>
              <w:t>0.362</w:t>
            </w:r>
          </w:p>
        </w:tc>
        <w:tc>
          <w:tcPr>
            <w:tcW w:w="1122" w:type="dxa"/>
            <w:shd w:val="clear" w:color="auto" w:fill="auto"/>
            <w:noWrap/>
            <w:vAlign w:val="bottom"/>
          </w:tcPr>
          <w:p w14:paraId="479317FA" w14:textId="77777777" w:rsidR="00626FF9" w:rsidRPr="002C29D2" w:rsidRDefault="00626FF9" w:rsidP="00B63C4D">
            <w:pPr>
              <w:jc w:val="center"/>
              <w:rPr>
                <w:sz w:val="20"/>
                <w:szCs w:val="20"/>
              </w:rPr>
            </w:pPr>
            <w:r w:rsidRPr="002C29D2">
              <w:rPr>
                <w:sz w:val="20"/>
                <w:szCs w:val="20"/>
              </w:rPr>
              <w:t>2.766</w:t>
            </w:r>
          </w:p>
        </w:tc>
        <w:tc>
          <w:tcPr>
            <w:tcW w:w="863" w:type="dxa"/>
            <w:vAlign w:val="bottom"/>
          </w:tcPr>
          <w:p w14:paraId="710B9F85" w14:textId="77777777" w:rsidR="00626FF9" w:rsidRPr="002C29D2" w:rsidRDefault="00626FF9" w:rsidP="00B63C4D">
            <w:pPr>
              <w:jc w:val="center"/>
              <w:rPr>
                <w:sz w:val="20"/>
                <w:szCs w:val="20"/>
              </w:rPr>
            </w:pPr>
            <w:r w:rsidRPr="002C29D2">
              <w:rPr>
                <w:sz w:val="20"/>
                <w:szCs w:val="20"/>
              </w:rPr>
              <w:t>0.006</w:t>
            </w:r>
          </w:p>
        </w:tc>
        <w:tc>
          <w:tcPr>
            <w:tcW w:w="1201" w:type="dxa"/>
            <w:shd w:val="clear" w:color="auto" w:fill="auto"/>
            <w:noWrap/>
            <w:vAlign w:val="bottom"/>
          </w:tcPr>
          <w:p w14:paraId="65F39904" w14:textId="77777777" w:rsidR="00626FF9" w:rsidRPr="002C29D2" w:rsidRDefault="00626FF9" w:rsidP="00B63C4D">
            <w:pPr>
              <w:jc w:val="center"/>
              <w:rPr>
                <w:sz w:val="20"/>
                <w:szCs w:val="20"/>
              </w:rPr>
            </w:pPr>
            <w:r w:rsidRPr="002C29D2">
              <w:rPr>
                <w:sz w:val="20"/>
                <w:szCs w:val="20"/>
              </w:rPr>
              <w:t>1.207</w:t>
            </w:r>
          </w:p>
        </w:tc>
        <w:tc>
          <w:tcPr>
            <w:tcW w:w="1067" w:type="dxa"/>
            <w:vAlign w:val="bottom"/>
          </w:tcPr>
          <w:p w14:paraId="4D421747" w14:textId="77777777" w:rsidR="00626FF9" w:rsidRPr="002C29D2" w:rsidRDefault="00626FF9" w:rsidP="00B63C4D">
            <w:pPr>
              <w:jc w:val="center"/>
              <w:rPr>
                <w:sz w:val="20"/>
                <w:szCs w:val="20"/>
              </w:rPr>
            </w:pPr>
            <w:r w:rsidRPr="002C29D2">
              <w:rPr>
                <w:sz w:val="20"/>
                <w:szCs w:val="20"/>
              </w:rPr>
              <w:t>0.229</w:t>
            </w:r>
          </w:p>
        </w:tc>
      </w:tr>
      <w:tr w:rsidR="002C29D2" w:rsidRPr="002C29D2" w14:paraId="3BBB5471" w14:textId="77777777" w:rsidTr="00626FF9">
        <w:trPr>
          <w:trHeight w:val="320"/>
        </w:trPr>
        <w:tc>
          <w:tcPr>
            <w:tcW w:w="1435" w:type="dxa"/>
            <w:shd w:val="clear" w:color="auto" w:fill="auto"/>
            <w:noWrap/>
            <w:vAlign w:val="center"/>
          </w:tcPr>
          <w:p w14:paraId="0CC428E6" w14:textId="77777777" w:rsidR="00626FF9" w:rsidRPr="002C29D2" w:rsidRDefault="00626FF9" w:rsidP="00626FF9">
            <w:pPr>
              <w:rPr>
                <w:sz w:val="20"/>
                <w:szCs w:val="20"/>
              </w:rPr>
            </w:pPr>
            <w:r w:rsidRPr="002C29D2">
              <w:rPr>
                <w:sz w:val="20"/>
                <w:szCs w:val="20"/>
              </w:rPr>
              <w:t>EXP -&gt; ATA</w:t>
            </w:r>
          </w:p>
        </w:tc>
        <w:tc>
          <w:tcPr>
            <w:tcW w:w="970" w:type="dxa"/>
            <w:shd w:val="clear" w:color="auto" w:fill="auto"/>
            <w:noWrap/>
            <w:vAlign w:val="bottom"/>
          </w:tcPr>
          <w:p w14:paraId="5C61A5B1" w14:textId="77777777" w:rsidR="00626FF9" w:rsidRPr="002C29D2" w:rsidRDefault="00626FF9" w:rsidP="00B63C4D">
            <w:pPr>
              <w:jc w:val="center"/>
              <w:rPr>
                <w:sz w:val="20"/>
                <w:szCs w:val="20"/>
              </w:rPr>
            </w:pPr>
            <w:r w:rsidRPr="002C29D2">
              <w:rPr>
                <w:sz w:val="20"/>
                <w:szCs w:val="20"/>
              </w:rPr>
              <w:t>-0.139</w:t>
            </w:r>
          </w:p>
        </w:tc>
        <w:tc>
          <w:tcPr>
            <w:tcW w:w="1134" w:type="dxa"/>
            <w:shd w:val="clear" w:color="auto" w:fill="auto"/>
            <w:noWrap/>
            <w:vAlign w:val="bottom"/>
          </w:tcPr>
          <w:p w14:paraId="291E629A" w14:textId="77777777" w:rsidR="00626FF9" w:rsidRPr="002C29D2" w:rsidRDefault="00626FF9" w:rsidP="00B63C4D">
            <w:pPr>
              <w:jc w:val="center"/>
              <w:rPr>
                <w:sz w:val="20"/>
                <w:szCs w:val="20"/>
              </w:rPr>
            </w:pPr>
            <w:r w:rsidRPr="002C29D2">
              <w:rPr>
                <w:sz w:val="20"/>
                <w:szCs w:val="20"/>
              </w:rPr>
              <w:t>1.669</w:t>
            </w:r>
          </w:p>
        </w:tc>
        <w:tc>
          <w:tcPr>
            <w:tcW w:w="992" w:type="dxa"/>
            <w:vAlign w:val="bottom"/>
          </w:tcPr>
          <w:p w14:paraId="0DB9659F" w14:textId="77777777" w:rsidR="00626FF9" w:rsidRPr="002C29D2" w:rsidRDefault="00626FF9" w:rsidP="00B63C4D">
            <w:pPr>
              <w:jc w:val="center"/>
              <w:rPr>
                <w:sz w:val="20"/>
                <w:szCs w:val="20"/>
              </w:rPr>
            </w:pPr>
            <w:r w:rsidRPr="002C29D2">
              <w:rPr>
                <w:sz w:val="20"/>
                <w:szCs w:val="20"/>
              </w:rPr>
              <w:t>0.095</w:t>
            </w:r>
          </w:p>
        </w:tc>
        <w:tc>
          <w:tcPr>
            <w:tcW w:w="992" w:type="dxa"/>
            <w:shd w:val="clear" w:color="auto" w:fill="auto"/>
            <w:noWrap/>
            <w:vAlign w:val="bottom"/>
          </w:tcPr>
          <w:p w14:paraId="1C7C36AB" w14:textId="77777777" w:rsidR="00626FF9" w:rsidRPr="002C29D2" w:rsidRDefault="00626FF9" w:rsidP="00B63C4D">
            <w:pPr>
              <w:jc w:val="center"/>
              <w:rPr>
                <w:sz w:val="20"/>
                <w:szCs w:val="20"/>
              </w:rPr>
            </w:pPr>
            <w:r w:rsidRPr="002C29D2">
              <w:rPr>
                <w:sz w:val="20"/>
                <w:szCs w:val="20"/>
              </w:rPr>
              <w:t>0.027</w:t>
            </w:r>
          </w:p>
        </w:tc>
        <w:tc>
          <w:tcPr>
            <w:tcW w:w="1122" w:type="dxa"/>
            <w:shd w:val="clear" w:color="auto" w:fill="auto"/>
            <w:noWrap/>
            <w:vAlign w:val="bottom"/>
          </w:tcPr>
          <w:p w14:paraId="6449F08C" w14:textId="77777777" w:rsidR="00626FF9" w:rsidRPr="002C29D2" w:rsidRDefault="00626FF9" w:rsidP="00B63C4D">
            <w:pPr>
              <w:jc w:val="center"/>
              <w:rPr>
                <w:sz w:val="20"/>
                <w:szCs w:val="20"/>
              </w:rPr>
            </w:pPr>
            <w:r w:rsidRPr="002C29D2">
              <w:rPr>
                <w:sz w:val="20"/>
                <w:szCs w:val="20"/>
              </w:rPr>
              <w:t>0.241</w:t>
            </w:r>
          </w:p>
        </w:tc>
        <w:tc>
          <w:tcPr>
            <w:tcW w:w="863" w:type="dxa"/>
            <w:vAlign w:val="bottom"/>
          </w:tcPr>
          <w:p w14:paraId="039E0E12" w14:textId="77777777" w:rsidR="00626FF9" w:rsidRPr="002C29D2" w:rsidRDefault="00626FF9" w:rsidP="00B63C4D">
            <w:pPr>
              <w:jc w:val="center"/>
              <w:rPr>
                <w:sz w:val="20"/>
                <w:szCs w:val="20"/>
              </w:rPr>
            </w:pPr>
            <w:r w:rsidRPr="002C29D2">
              <w:rPr>
                <w:sz w:val="20"/>
                <w:szCs w:val="20"/>
              </w:rPr>
              <w:t>0.809</w:t>
            </w:r>
          </w:p>
        </w:tc>
        <w:tc>
          <w:tcPr>
            <w:tcW w:w="1201" w:type="dxa"/>
            <w:shd w:val="clear" w:color="auto" w:fill="auto"/>
            <w:noWrap/>
            <w:vAlign w:val="bottom"/>
          </w:tcPr>
          <w:p w14:paraId="618E6888" w14:textId="77777777" w:rsidR="00626FF9" w:rsidRPr="002C29D2" w:rsidRDefault="00626FF9" w:rsidP="00B63C4D">
            <w:pPr>
              <w:jc w:val="center"/>
              <w:rPr>
                <w:sz w:val="20"/>
                <w:szCs w:val="20"/>
              </w:rPr>
            </w:pPr>
            <w:r w:rsidRPr="002C29D2">
              <w:rPr>
                <w:sz w:val="20"/>
                <w:szCs w:val="20"/>
              </w:rPr>
              <w:t>1.196</w:t>
            </w:r>
          </w:p>
        </w:tc>
        <w:tc>
          <w:tcPr>
            <w:tcW w:w="1067" w:type="dxa"/>
            <w:vAlign w:val="bottom"/>
          </w:tcPr>
          <w:p w14:paraId="2F4D18C0" w14:textId="77777777" w:rsidR="00626FF9" w:rsidRPr="002C29D2" w:rsidRDefault="00626FF9" w:rsidP="00B63C4D">
            <w:pPr>
              <w:jc w:val="center"/>
              <w:rPr>
                <w:sz w:val="20"/>
                <w:szCs w:val="20"/>
              </w:rPr>
            </w:pPr>
            <w:r w:rsidRPr="002C29D2">
              <w:rPr>
                <w:sz w:val="20"/>
                <w:szCs w:val="20"/>
              </w:rPr>
              <w:t>0.233</w:t>
            </w:r>
          </w:p>
        </w:tc>
      </w:tr>
      <w:tr w:rsidR="002C29D2" w:rsidRPr="002C29D2" w14:paraId="34D9F283" w14:textId="77777777" w:rsidTr="00626FF9">
        <w:trPr>
          <w:trHeight w:val="320"/>
        </w:trPr>
        <w:tc>
          <w:tcPr>
            <w:tcW w:w="1435" w:type="dxa"/>
            <w:shd w:val="clear" w:color="auto" w:fill="auto"/>
            <w:noWrap/>
            <w:vAlign w:val="center"/>
          </w:tcPr>
          <w:p w14:paraId="1CA352F6" w14:textId="77777777" w:rsidR="00626FF9" w:rsidRPr="002C29D2" w:rsidRDefault="00626FF9" w:rsidP="00626FF9">
            <w:pPr>
              <w:rPr>
                <w:sz w:val="20"/>
                <w:szCs w:val="20"/>
              </w:rPr>
            </w:pPr>
            <w:r w:rsidRPr="002C29D2">
              <w:rPr>
                <w:sz w:val="20"/>
                <w:szCs w:val="20"/>
              </w:rPr>
              <w:t>EXP -&gt; ENG</w:t>
            </w:r>
          </w:p>
        </w:tc>
        <w:tc>
          <w:tcPr>
            <w:tcW w:w="970" w:type="dxa"/>
            <w:shd w:val="clear" w:color="auto" w:fill="auto"/>
            <w:noWrap/>
            <w:vAlign w:val="bottom"/>
          </w:tcPr>
          <w:p w14:paraId="40B26E06" w14:textId="77777777" w:rsidR="00626FF9" w:rsidRPr="002C29D2" w:rsidRDefault="00626FF9" w:rsidP="00B63C4D">
            <w:pPr>
              <w:jc w:val="center"/>
              <w:rPr>
                <w:sz w:val="20"/>
                <w:szCs w:val="20"/>
              </w:rPr>
            </w:pPr>
            <w:r w:rsidRPr="002C29D2">
              <w:rPr>
                <w:sz w:val="20"/>
                <w:szCs w:val="20"/>
              </w:rPr>
              <w:t>0.052</w:t>
            </w:r>
          </w:p>
        </w:tc>
        <w:tc>
          <w:tcPr>
            <w:tcW w:w="1134" w:type="dxa"/>
            <w:shd w:val="clear" w:color="auto" w:fill="auto"/>
            <w:noWrap/>
            <w:vAlign w:val="bottom"/>
          </w:tcPr>
          <w:p w14:paraId="1833C109" w14:textId="77777777" w:rsidR="00626FF9" w:rsidRPr="002C29D2" w:rsidRDefault="00626FF9" w:rsidP="00B63C4D">
            <w:pPr>
              <w:jc w:val="center"/>
              <w:rPr>
                <w:sz w:val="20"/>
                <w:szCs w:val="20"/>
              </w:rPr>
            </w:pPr>
            <w:r w:rsidRPr="002C29D2">
              <w:rPr>
                <w:sz w:val="20"/>
                <w:szCs w:val="20"/>
              </w:rPr>
              <w:t>0.675</w:t>
            </w:r>
          </w:p>
        </w:tc>
        <w:tc>
          <w:tcPr>
            <w:tcW w:w="992" w:type="dxa"/>
            <w:vAlign w:val="bottom"/>
          </w:tcPr>
          <w:p w14:paraId="14813C7B" w14:textId="77777777" w:rsidR="00626FF9" w:rsidRPr="002C29D2" w:rsidRDefault="00626FF9" w:rsidP="00B63C4D">
            <w:pPr>
              <w:jc w:val="center"/>
              <w:rPr>
                <w:sz w:val="20"/>
                <w:szCs w:val="20"/>
              </w:rPr>
            </w:pPr>
            <w:r w:rsidRPr="002C29D2">
              <w:rPr>
                <w:sz w:val="20"/>
                <w:szCs w:val="20"/>
              </w:rPr>
              <w:t>0.500</w:t>
            </w:r>
          </w:p>
        </w:tc>
        <w:tc>
          <w:tcPr>
            <w:tcW w:w="992" w:type="dxa"/>
            <w:shd w:val="clear" w:color="auto" w:fill="auto"/>
            <w:noWrap/>
            <w:vAlign w:val="bottom"/>
          </w:tcPr>
          <w:p w14:paraId="3CF9F5BA" w14:textId="77777777" w:rsidR="00626FF9" w:rsidRPr="002C29D2" w:rsidRDefault="00626FF9" w:rsidP="00B63C4D">
            <w:pPr>
              <w:jc w:val="center"/>
              <w:rPr>
                <w:sz w:val="20"/>
                <w:szCs w:val="20"/>
              </w:rPr>
            </w:pPr>
            <w:r w:rsidRPr="002C29D2">
              <w:rPr>
                <w:sz w:val="20"/>
                <w:szCs w:val="20"/>
              </w:rPr>
              <w:t>0.207</w:t>
            </w:r>
          </w:p>
        </w:tc>
        <w:tc>
          <w:tcPr>
            <w:tcW w:w="1122" w:type="dxa"/>
            <w:shd w:val="clear" w:color="auto" w:fill="auto"/>
            <w:noWrap/>
            <w:vAlign w:val="bottom"/>
          </w:tcPr>
          <w:p w14:paraId="5C54BF81" w14:textId="77777777" w:rsidR="00626FF9" w:rsidRPr="002C29D2" w:rsidRDefault="00626FF9" w:rsidP="00B63C4D">
            <w:pPr>
              <w:jc w:val="center"/>
              <w:rPr>
                <w:sz w:val="20"/>
                <w:szCs w:val="20"/>
              </w:rPr>
            </w:pPr>
            <w:r w:rsidRPr="002C29D2">
              <w:rPr>
                <w:sz w:val="20"/>
                <w:szCs w:val="20"/>
              </w:rPr>
              <w:t>2.372</w:t>
            </w:r>
          </w:p>
        </w:tc>
        <w:tc>
          <w:tcPr>
            <w:tcW w:w="863" w:type="dxa"/>
            <w:vAlign w:val="bottom"/>
          </w:tcPr>
          <w:p w14:paraId="3A439706" w14:textId="77777777" w:rsidR="00626FF9" w:rsidRPr="002C29D2" w:rsidRDefault="00626FF9" w:rsidP="00B63C4D">
            <w:pPr>
              <w:jc w:val="center"/>
              <w:rPr>
                <w:sz w:val="20"/>
                <w:szCs w:val="20"/>
              </w:rPr>
            </w:pPr>
            <w:r w:rsidRPr="002C29D2">
              <w:rPr>
                <w:sz w:val="20"/>
                <w:szCs w:val="20"/>
              </w:rPr>
              <w:t>0.018</w:t>
            </w:r>
          </w:p>
        </w:tc>
        <w:tc>
          <w:tcPr>
            <w:tcW w:w="1201" w:type="dxa"/>
            <w:shd w:val="clear" w:color="auto" w:fill="auto"/>
            <w:noWrap/>
            <w:vAlign w:val="bottom"/>
          </w:tcPr>
          <w:p w14:paraId="4E058EE1" w14:textId="77777777" w:rsidR="00626FF9" w:rsidRPr="002C29D2" w:rsidRDefault="00626FF9" w:rsidP="00B63C4D">
            <w:pPr>
              <w:jc w:val="center"/>
              <w:rPr>
                <w:sz w:val="20"/>
                <w:szCs w:val="20"/>
              </w:rPr>
            </w:pPr>
            <w:r w:rsidRPr="002C29D2">
              <w:rPr>
                <w:sz w:val="20"/>
                <w:szCs w:val="20"/>
              </w:rPr>
              <w:t>1.332</w:t>
            </w:r>
          </w:p>
        </w:tc>
        <w:tc>
          <w:tcPr>
            <w:tcW w:w="1067" w:type="dxa"/>
            <w:vAlign w:val="bottom"/>
          </w:tcPr>
          <w:p w14:paraId="46473570" w14:textId="77777777" w:rsidR="00626FF9" w:rsidRPr="002C29D2" w:rsidRDefault="00626FF9" w:rsidP="00B63C4D">
            <w:pPr>
              <w:jc w:val="center"/>
              <w:rPr>
                <w:sz w:val="20"/>
                <w:szCs w:val="20"/>
              </w:rPr>
            </w:pPr>
            <w:r w:rsidRPr="002C29D2">
              <w:rPr>
                <w:sz w:val="20"/>
                <w:szCs w:val="20"/>
              </w:rPr>
              <w:t>0.184</w:t>
            </w:r>
          </w:p>
        </w:tc>
      </w:tr>
      <w:tr w:rsidR="002C29D2" w:rsidRPr="002C29D2" w14:paraId="2384DA0C" w14:textId="77777777" w:rsidTr="00626FF9">
        <w:trPr>
          <w:trHeight w:val="320"/>
        </w:trPr>
        <w:tc>
          <w:tcPr>
            <w:tcW w:w="1435" w:type="dxa"/>
            <w:shd w:val="clear" w:color="auto" w:fill="auto"/>
            <w:noWrap/>
            <w:vAlign w:val="center"/>
          </w:tcPr>
          <w:p w14:paraId="283969DA" w14:textId="77777777" w:rsidR="00626FF9" w:rsidRPr="002C29D2" w:rsidRDefault="00626FF9" w:rsidP="00626FF9">
            <w:pPr>
              <w:rPr>
                <w:b/>
                <w:bCs/>
                <w:sz w:val="20"/>
                <w:szCs w:val="20"/>
              </w:rPr>
            </w:pPr>
            <w:r w:rsidRPr="002C29D2">
              <w:rPr>
                <w:b/>
                <w:bCs/>
                <w:sz w:val="20"/>
                <w:szCs w:val="20"/>
              </w:rPr>
              <w:t>EXP -&gt; SAT</w:t>
            </w:r>
          </w:p>
        </w:tc>
        <w:tc>
          <w:tcPr>
            <w:tcW w:w="970" w:type="dxa"/>
            <w:shd w:val="clear" w:color="auto" w:fill="auto"/>
            <w:noWrap/>
            <w:vAlign w:val="bottom"/>
          </w:tcPr>
          <w:p w14:paraId="3D9E9701" w14:textId="77777777" w:rsidR="00626FF9" w:rsidRPr="002C29D2" w:rsidRDefault="00626FF9" w:rsidP="00B63C4D">
            <w:pPr>
              <w:jc w:val="center"/>
              <w:rPr>
                <w:b/>
                <w:bCs/>
                <w:sz w:val="20"/>
                <w:szCs w:val="20"/>
              </w:rPr>
            </w:pPr>
            <w:r w:rsidRPr="002C29D2">
              <w:rPr>
                <w:b/>
                <w:bCs/>
                <w:sz w:val="20"/>
                <w:szCs w:val="20"/>
              </w:rPr>
              <w:t>0.230</w:t>
            </w:r>
          </w:p>
        </w:tc>
        <w:tc>
          <w:tcPr>
            <w:tcW w:w="1134" w:type="dxa"/>
            <w:shd w:val="clear" w:color="auto" w:fill="auto"/>
            <w:noWrap/>
            <w:vAlign w:val="bottom"/>
          </w:tcPr>
          <w:p w14:paraId="0813CDCB" w14:textId="77777777" w:rsidR="00626FF9" w:rsidRPr="002C29D2" w:rsidRDefault="00626FF9" w:rsidP="00B63C4D">
            <w:pPr>
              <w:jc w:val="center"/>
              <w:rPr>
                <w:b/>
                <w:bCs/>
                <w:sz w:val="20"/>
                <w:szCs w:val="20"/>
              </w:rPr>
            </w:pPr>
            <w:r w:rsidRPr="002C29D2">
              <w:rPr>
                <w:b/>
                <w:bCs/>
                <w:sz w:val="20"/>
                <w:szCs w:val="20"/>
              </w:rPr>
              <w:t>2.919</w:t>
            </w:r>
          </w:p>
        </w:tc>
        <w:tc>
          <w:tcPr>
            <w:tcW w:w="992" w:type="dxa"/>
            <w:vAlign w:val="bottom"/>
          </w:tcPr>
          <w:p w14:paraId="7ACAA2B5" w14:textId="77777777" w:rsidR="00626FF9" w:rsidRPr="002C29D2" w:rsidRDefault="00626FF9" w:rsidP="00B63C4D">
            <w:pPr>
              <w:jc w:val="center"/>
              <w:rPr>
                <w:b/>
                <w:bCs/>
                <w:sz w:val="20"/>
                <w:szCs w:val="20"/>
              </w:rPr>
            </w:pPr>
            <w:r w:rsidRPr="002C29D2">
              <w:rPr>
                <w:b/>
                <w:bCs/>
                <w:sz w:val="20"/>
                <w:szCs w:val="20"/>
              </w:rPr>
              <w:t>0.004</w:t>
            </w:r>
          </w:p>
        </w:tc>
        <w:tc>
          <w:tcPr>
            <w:tcW w:w="992" w:type="dxa"/>
            <w:shd w:val="clear" w:color="auto" w:fill="auto"/>
            <w:noWrap/>
            <w:vAlign w:val="bottom"/>
          </w:tcPr>
          <w:p w14:paraId="4AD10246" w14:textId="77777777" w:rsidR="00626FF9" w:rsidRPr="002C29D2" w:rsidRDefault="00626FF9" w:rsidP="00B63C4D">
            <w:pPr>
              <w:jc w:val="center"/>
              <w:rPr>
                <w:b/>
                <w:bCs/>
                <w:sz w:val="20"/>
                <w:szCs w:val="20"/>
              </w:rPr>
            </w:pPr>
            <w:r w:rsidRPr="002C29D2">
              <w:rPr>
                <w:b/>
                <w:bCs/>
                <w:sz w:val="20"/>
                <w:szCs w:val="20"/>
              </w:rPr>
              <w:t>-0.000</w:t>
            </w:r>
          </w:p>
        </w:tc>
        <w:tc>
          <w:tcPr>
            <w:tcW w:w="1122" w:type="dxa"/>
            <w:shd w:val="clear" w:color="auto" w:fill="auto"/>
            <w:noWrap/>
            <w:vAlign w:val="bottom"/>
          </w:tcPr>
          <w:p w14:paraId="4F510F78" w14:textId="77777777" w:rsidR="00626FF9" w:rsidRPr="002C29D2" w:rsidRDefault="00626FF9" w:rsidP="00B63C4D">
            <w:pPr>
              <w:jc w:val="center"/>
              <w:rPr>
                <w:b/>
                <w:bCs/>
                <w:sz w:val="20"/>
                <w:szCs w:val="20"/>
              </w:rPr>
            </w:pPr>
            <w:r w:rsidRPr="002C29D2">
              <w:rPr>
                <w:b/>
                <w:bCs/>
                <w:sz w:val="20"/>
                <w:szCs w:val="20"/>
              </w:rPr>
              <w:t>0.001</w:t>
            </w:r>
          </w:p>
        </w:tc>
        <w:tc>
          <w:tcPr>
            <w:tcW w:w="863" w:type="dxa"/>
            <w:vAlign w:val="bottom"/>
          </w:tcPr>
          <w:p w14:paraId="73CB58D7" w14:textId="77777777" w:rsidR="00626FF9" w:rsidRPr="002C29D2" w:rsidRDefault="00626FF9" w:rsidP="00B63C4D">
            <w:pPr>
              <w:jc w:val="center"/>
              <w:rPr>
                <w:b/>
                <w:bCs/>
                <w:sz w:val="20"/>
                <w:szCs w:val="20"/>
              </w:rPr>
            </w:pPr>
            <w:r w:rsidRPr="002C29D2">
              <w:rPr>
                <w:b/>
                <w:bCs/>
                <w:sz w:val="20"/>
                <w:szCs w:val="20"/>
              </w:rPr>
              <w:t>0.999</w:t>
            </w:r>
          </w:p>
        </w:tc>
        <w:tc>
          <w:tcPr>
            <w:tcW w:w="1201" w:type="dxa"/>
            <w:shd w:val="clear" w:color="auto" w:fill="auto"/>
            <w:noWrap/>
            <w:vAlign w:val="bottom"/>
          </w:tcPr>
          <w:p w14:paraId="5B1C1FAC" w14:textId="77777777" w:rsidR="00626FF9" w:rsidRPr="002C29D2" w:rsidRDefault="00626FF9" w:rsidP="00B63C4D">
            <w:pPr>
              <w:jc w:val="center"/>
              <w:rPr>
                <w:b/>
                <w:bCs/>
                <w:sz w:val="20"/>
                <w:szCs w:val="20"/>
              </w:rPr>
            </w:pPr>
            <w:r w:rsidRPr="002C29D2">
              <w:rPr>
                <w:b/>
                <w:bCs/>
                <w:sz w:val="20"/>
                <w:szCs w:val="20"/>
              </w:rPr>
              <w:t>2.015</w:t>
            </w:r>
          </w:p>
        </w:tc>
        <w:tc>
          <w:tcPr>
            <w:tcW w:w="1067" w:type="dxa"/>
            <w:vAlign w:val="bottom"/>
          </w:tcPr>
          <w:p w14:paraId="60F7F528" w14:textId="77777777" w:rsidR="00626FF9" w:rsidRPr="002C29D2" w:rsidRDefault="00626FF9" w:rsidP="00B63C4D">
            <w:pPr>
              <w:jc w:val="center"/>
              <w:rPr>
                <w:b/>
                <w:bCs/>
                <w:sz w:val="20"/>
                <w:szCs w:val="20"/>
              </w:rPr>
            </w:pPr>
            <w:r w:rsidRPr="002C29D2">
              <w:rPr>
                <w:b/>
                <w:bCs/>
                <w:sz w:val="20"/>
                <w:szCs w:val="20"/>
              </w:rPr>
              <w:t>0.045</w:t>
            </w:r>
          </w:p>
        </w:tc>
      </w:tr>
      <w:tr w:rsidR="002C29D2" w:rsidRPr="002C29D2" w14:paraId="62ABC0DB" w14:textId="77777777" w:rsidTr="00626FF9">
        <w:trPr>
          <w:trHeight w:val="320"/>
        </w:trPr>
        <w:tc>
          <w:tcPr>
            <w:tcW w:w="1435" w:type="dxa"/>
            <w:shd w:val="clear" w:color="auto" w:fill="auto"/>
            <w:noWrap/>
            <w:vAlign w:val="center"/>
          </w:tcPr>
          <w:p w14:paraId="3AADC205" w14:textId="77777777" w:rsidR="00626FF9" w:rsidRPr="002C29D2" w:rsidRDefault="00626FF9" w:rsidP="00626FF9">
            <w:pPr>
              <w:rPr>
                <w:sz w:val="20"/>
                <w:szCs w:val="20"/>
              </w:rPr>
            </w:pPr>
            <w:r w:rsidRPr="002C29D2">
              <w:rPr>
                <w:sz w:val="20"/>
                <w:szCs w:val="20"/>
              </w:rPr>
              <w:t>EXP -&gt; UI</w:t>
            </w:r>
          </w:p>
        </w:tc>
        <w:tc>
          <w:tcPr>
            <w:tcW w:w="970" w:type="dxa"/>
            <w:shd w:val="clear" w:color="auto" w:fill="auto"/>
            <w:noWrap/>
            <w:vAlign w:val="bottom"/>
          </w:tcPr>
          <w:p w14:paraId="36F9147B" w14:textId="77777777" w:rsidR="00626FF9" w:rsidRPr="002C29D2" w:rsidRDefault="00626FF9" w:rsidP="00B63C4D">
            <w:pPr>
              <w:jc w:val="center"/>
              <w:rPr>
                <w:sz w:val="20"/>
                <w:szCs w:val="20"/>
              </w:rPr>
            </w:pPr>
            <w:r w:rsidRPr="002C29D2">
              <w:rPr>
                <w:sz w:val="20"/>
                <w:szCs w:val="20"/>
              </w:rPr>
              <w:t>0.066</w:t>
            </w:r>
          </w:p>
        </w:tc>
        <w:tc>
          <w:tcPr>
            <w:tcW w:w="1134" w:type="dxa"/>
            <w:shd w:val="clear" w:color="auto" w:fill="auto"/>
            <w:noWrap/>
            <w:vAlign w:val="bottom"/>
          </w:tcPr>
          <w:p w14:paraId="0C938449" w14:textId="77777777" w:rsidR="00626FF9" w:rsidRPr="002C29D2" w:rsidRDefault="00626FF9" w:rsidP="00B63C4D">
            <w:pPr>
              <w:jc w:val="center"/>
              <w:rPr>
                <w:sz w:val="20"/>
                <w:szCs w:val="20"/>
              </w:rPr>
            </w:pPr>
            <w:r w:rsidRPr="002C29D2">
              <w:rPr>
                <w:sz w:val="20"/>
                <w:szCs w:val="20"/>
              </w:rPr>
              <w:t>0.979</w:t>
            </w:r>
          </w:p>
        </w:tc>
        <w:tc>
          <w:tcPr>
            <w:tcW w:w="992" w:type="dxa"/>
            <w:vAlign w:val="bottom"/>
          </w:tcPr>
          <w:p w14:paraId="12469095" w14:textId="77777777" w:rsidR="00626FF9" w:rsidRPr="002C29D2" w:rsidRDefault="00626FF9" w:rsidP="00B63C4D">
            <w:pPr>
              <w:jc w:val="center"/>
              <w:rPr>
                <w:sz w:val="20"/>
                <w:szCs w:val="20"/>
              </w:rPr>
            </w:pPr>
            <w:r w:rsidRPr="002C29D2">
              <w:rPr>
                <w:sz w:val="20"/>
                <w:szCs w:val="20"/>
              </w:rPr>
              <w:t>0.328</w:t>
            </w:r>
          </w:p>
        </w:tc>
        <w:tc>
          <w:tcPr>
            <w:tcW w:w="992" w:type="dxa"/>
            <w:shd w:val="clear" w:color="auto" w:fill="auto"/>
            <w:noWrap/>
            <w:vAlign w:val="bottom"/>
          </w:tcPr>
          <w:p w14:paraId="3825501D" w14:textId="77777777" w:rsidR="00626FF9" w:rsidRPr="002C29D2" w:rsidRDefault="00626FF9" w:rsidP="00B63C4D">
            <w:pPr>
              <w:jc w:val="center"/>
              <w:rPr>
                <w:sz w:val="20"/>
                <w:szCs w:val="20"/>
              </w:rPr>
            </w:pPr>
            <w:r w:rsidRPr="002C29D2">
              <w:rPr>
                <w:sz w:val="20"/>
                <w:szCs w:val="20"/>
              </w:rPr>
              <w:t>-0.042</w:t>
            </w:r>
          </w:p>
        </w:tc>
        <w:tc>
          <w:tcPr>
            <w:tcW w:w="1122" w:type="dxa"/>
            <w:shd w:val="clear" w:color="auto" w:fill="auto"/>
            <w:noWrap/>
            <w:vAlign w:val="bottom"/>
          </w:tcPr>
          <w:p w14:paraId="0A7F33EB" w14:textId="77777777" w:rsidR="00626FF9" w:rsidRPr="002C29D2" w:rsidRDefault="00626FF9" w:rsidP="00B63C4D">
            <w:pPr>
              <w:jc w:val="center"/>
              <w:rPr>
                <w:sz w:val="20"/>
                <w:szCs w:val="20"/>
              </w:rPr>
            </w:pPr>
            <w:r w:rsidRPr="002C29D2">
              <w:rPr>
                <w:sz w:val="20"/>
                <w:szCs w:val="20"/>
              </w:rPr>
              <w:t>0.364</w:t>
            </w:r>
          </w:p>
        </w:tc>
        <w:tc>
          <w:tcPr>
            <w:tcW w:w="863" w:type="dxa"/>
            <w:vAlign w:val="bottom"/>
          </w:tcPr>
          <w:p w14:paraId="4CF76782" w14:textId="77777777" w:rsidR="00626FF9" w:rsidRPr="002C29D2" w:rsidRDefault="00626FF9" w:rsidP="00B63C4D">
            <w:pPr>
              <w:jc w:val="center"/>
              <w:rPr>
                <w:sz w:val="20"/>
                <w:szCs w:val="20"/>
              </w:rPr>
            </w:pPr>
            <w:r w:rsidRPr="002C29D2">
              <w:rPr>
                <w:sz w:val="20"/>
                <w:szCs w:val="20"/>
              </w:rPr>
              <w:t>0.716</w:t>
            </w:r>
          </w:p>
        </w:tc>
        <w:tc>
          <w:tcPr>
            <w:tcW w:w="1201" w:type="dxa"/>
            <w:shd w:val="clear" w:color="auto" w:fill="auto"/>
            <w:noWrap/>
            <w:vAlign w:val="bottom"/>
          </w:tcPr>
          <w:p w14:paraId="4A4AB55A" w14:textId="77777777" w:rsidR="00626FF9" w:rsidRPr="002C29D2" w:rsidRDefault="00626FF9" w:rsidP="00B63C4D">
            <w:pPr>
              <w:jc w:val="center"/>
              <w:rPr>
                <w:sz w:val="20"/>
                <w:szCs w:val="20"/>
              </w:rPr>
            </w:pPr>
            <w:r w:rsidRPr="002C29D2">
              <w:rPr>
                <w:sz w:val="20"/>
                <w:szCs w:val="20"/>
              </w:rPr>
              <w:t>0.810</w:t>
            </w:r>
          </w:p>
        </w:tc>
        <w:tc>
          <w:tcPr>
            <w:tcW w:w="1067" w:type="dxa"/>
            <w:vAlign w:val="bottom"/>
          </w:tcPr>
          <w:p w14:paraId="2F1C1058" w14:textId="77777777" w:rsidR="00626FF9" w:rsidRPr="002C29D2" w:rsidRDefault="00626FF9" w:rsidP="00B63C4D">
            <w:pPr>
              <w:jc w:val="center"/>
              <w:rPr>
                <w:sz w:val="20"/>
                <w:szCs w:val="20"/>
              </w:rPr>
            </w:pPr>
            <w:r w:rsidRPr="002C29D2">
              <w:rPr>
                <w:sz w:val="20"/>
                <w:szCs w:val="20"/>
              </w:rPr>
              <w:t>0.419</w:t>
            </w:r>
          </w:p>
        </w:tc>
      </w:tr>
      <w:tr w:rsidR="002C29D2" w:rsidRPr="002C29D2" w14:paraId="420F4666" w14:textId="77777777" w:rsidTr="00626FF9">
        <w:trPr>
          <w:trHeight w:val="320"/>
        </w:trPr>
        <w:tc>
          <w:tcPr>
            <w:tcW w:w="1435" w:type="dxa"/>
            <w:shd w:val="clear" w:color="auto" w:fill="auto"/>
            <w:noWrap/>
            <w:vAlign w:val="center"/>
          </w:tcPr>
          <w:p w14:paraId="721276EF" w14:textId="77777777" w:rsidR="00626FF9" w:rsidRPr="002C29D2" w:rsidRDefault="00626FF9" w:rsidP="00626FF9">
            <w:pPr>
              <w:rPr>
                <w:sz w:val="20"/>
                <w:szCs w:val="20"/>
              </w:rPr>
            </w:pPr>
            <w:r w:rsidRPr="002C29D2">
              <w:rPr>
                <w:sz w:val="20"/>
                <w:szCs w:val="20"/>
              </w:rPr>
              <w:t>JUS -&gt; ATA</w:t>
            </w:r>
          </w:p>
        </w:tc>
        <w:tc>
          <w:tcPr>
            <w:tcW w:w="970" w:type="dxa"/>
            <w:shd w:val="clear" w:color="auto" w:fill="auto"/>
            <w:noWrap/>
            <w:vAlign w:val="bottom"/>
          </w:tcPr>
          <w:p w14:paraId="4969A5CF" w14:textId="77777777" w:rsidR="00626FF9" w:rsidRPr="002C29D2" w:rsidRDefault="00626FF9" w:rsidP="00B63C4D">
            <w:pPr>
              <w:jc w:val="center"/>
              <w:rPr>
                <w:sz w:val="20"/>
                <w:szCs w:val="20"/>
              </w:rPr>
            </w:pPr>
            <w:r w:rsidRPr="002C29D2">
              <w:rPr>
                <w:sz w:val="20"/>
                <w:szCs w:val="20"/>
              </w:rPr>
              <w:t>0.148</w:t>
            </w:r>
          </w:p>
        </w:tc>
        <w:tc>
          <w:tcPr>
            <w:tcW w:w="1134" w:type="dxa"/>
            <w:shd w:val="clear" w:color="auto" w:fill="auto"/>
            <w:noWrap/>
            <w:vAlign w:val="bottom"/>
          </w:tcPr>
          <w:p w14:paraId="750AE11E" w14:textId="77777777" w:rsidR="00626FF9" w:rsidRPr="002C29D2" w:rsidRDefault="00626FF9" w:rsidP="00B63C4D">
            <w:pPr>
              <w:jc w:val="center"/>
              <w:rPr>
                <w:sz w:val="20"/>
                <w:szCs w:val="20"/>
              </w:rPr>
            </w:pPr>
            <w:r w:rsidRPr="002C29D2">
              <w:rPr>
                <w:sz w:val="20"/>
                <w:szCs w:val="20"/>
              </w:rPr>
              <w:t>1.491</w:t>
            </w:r>
          </w:p>
        </w:tc>
        <w:tc>
          <w:tcPr>
            <w:tcW w:w="992" w:type="dxa"/>
            <w:vAlign w:val="bottom"/>
          </w:tcPr>
          <w:p w14:paraId="3D6B43D2" w14:textId="77777777" w:rsidR="00626FF9" w:rsidRPr="002C29D2" w:rsidRDefault="00626FF9" w:rsidP="00B63C4D">
            <w:pPr>
              <w:jc w:val="center"/>
              <w:rPr>
                <w:sz w:val="20"/>
                <w:szCs w:val="20"/>
              </w:rPr>
            </w:pPr>
            <w:r w:rsidRPr="002C29D2">
              <w:rPr>
                <w:sz w:val="20"/>
                <w:szCs w:val="20"/>
              </w:rPr>
              <w:t>0.136</w:t>
            </w:r>
          </w:p>
        </w:tc>
        <w:tc>
          <w:tcPr>
            <w:tcW w:w="992" w:type="dxa"/>
            <w:shd w:val="clear" w:color="auto" w:fill="auto"/>
            <w:noWrap/>
            <w:vAlign w:val="bottom"/>
          </w:tcPr>
          <w:p w14:paraId="571595F2" w14:textId="77777777" w:rsidR="00626FF9" w:rsidRPr="002C29D2" w:rsidRDefault="00626FF9" w:rsidP="00B63C4D">
            <w:pPr>
              <w:jc w:val="center"/>
              <w:rPr>
                <w:sz w:val="20"/>
                <w:szCs w:val="20"/>
              </w:rPr>
            </w:pPr>
            <w:r w:rsidRPr="002C29D2">
              <w:rPr>
                <w:sz w:val="20"/>
                <w:szCs w:val="20"/>
              </w:rPr>
              <w:t>0.097</w:t>
            </w:r>
          </w:p>
        </w:tc>
        <w:tc>
          <w:tcPr>
            <w:tcW w:w="1122" w:type="dxa"/>
            <w:shd w:val="clear" w:color="auto" w:fill="auto"/>
            <w:noWrap/>
            <w:vAlign w:val="bottom"/>
          </w:tcPr>
          <w:p w14:paraId="722649C4" w14:textId="77777777" w:rsidR="00626FF9" w:rsidRPr="002C29D2" w:rsidRDefault="00626FF9" w:rsidP="00B63C4D">
            <w:pPr>
              <w:jc w:val="center"/>
              <w:rPr>
                <w:sz w:val="20"/>
                <w:szCs w:val="20"/>
              </w:rPr>
            </w:pPr>
            <w:r w:rsidRPr="002C29D2">
              <w:rPr>
                <w:sz w:val="20"/>
                <w:szCs w:val="20"/>
              </w:rPr>
              <w:t>0.845</w:t>
            </w:r>
          </w:p>
        </w:tc>
        <w:tc>
          <w:tcPr>
            <w:tcW w:w="863" w:type="dxa"/>
            <w:vAlign w:val="bottom"/>
          </w:tcPr>
          <w:p w14:paraId="41E8D0C6" w14:textId="77777777" w:rsidR="00626FF9" w:rsidRPr="002C29D2" w:rsidRDefault="00626FF9" w:rsidP="00B63C4D">
            <w:pPr>
              <w:jc w:val="center"/>
              <w:rPr>
                <w:sz w:val="20"/>
                <w:szCs w:val="20"/>
              </w:rPr>
            </w:pPr>
            <w:r w:rsidRPr="002C29D2">
              <w:rPr>
                <w:sz w:val="20"/>
                <w:szCs w:val="20"/>
              </w:rPr>
              <w:t>0.398</w:t>
            </w:r>
          </w:p>
        </w:tc>
        <w:tc>
          <w:tcPr>
            <w:tcW w:w="1201" w:type="dxa"/>
            <w:shd w:val="clear" w:color="auto" w:fill="auto"/>
            <w:noWrap/>
            <w:vAlign w:val="bottom"/>
          </w:tcPr>
          <w:p w14:paraId="1B9E1D6A" w14:textId="77777777" w:rsidR="00626FF9" w:rsidRPr="002C29D2" w:rsidRDefault="00626FF9" w:rsidP="00B63C4D">
            <w:pPr>
              <w:jc w:val="center"/>
              <w:rPr>
                <w:sz w:val="20"/>
                <w:szCs w:val="20"/>
              </w:rPr>
            </w:pPr>
            <w:r w:rsidRPr="002C29D2">
              <w:rPr>
                <w:sz w:val="20"/>
                <w:szCs w:val="20"/>
              </w:rPr>
              <w:t>0.338</w:t>
            </w:r>
          </w:p>
        </w:tc>
        <w:tc>
          <w:tcPr>
            <w:tcW w:w="1067" w:type="dxa"/>
            <w:vAlign w:val="bottom"/>
          </w:tcPr>
          <w:p w14:paraId="1BDB2B0D" w14:textId="77777777" w:rsidR="00626FF9" w:rsidRPr="002C29D2" w:rsidRDefault="00626FF9" w:rsidP="00B63C4D">
            <w:pPr>
              <w:jc w:val="center"/>
              <w:rPr>
                <w:sz w:val="20"/>
                <w:szCs w:val="20"/>
              </w:rPr>
            </w:pPr>
            <w:r w:rsidRPr="002C29D2">
              <w:rPr>
                <w:sz w:val="20"/>
                <w:szCs w:val="20"/>
              </w:rPr>
              <w:t>0.736</w:t>
            </w:r>
          </w:p>
        </w:tc>
      </w:tr>
      <w:tr w:rsidR="002C29D2" w:rsidRPr="002C29D2" w14:paraId="721685B9" w14:textId="77777777" w:rsidTr="00626FF9">
        <w:trPr>
          <w:trHeight w:val="320"/>
        </w:trPr>
        <w:tc>
          <w:tcPr>
            <w:tcW w:w="1435" w:type="dxa"/>
            <w:shd w:val="clear" w:color="auto" w:fill="auto"/>
            <w:noWrap/>
            <w:vAlign w:val="center"/>
          </w:tcPr>
          <w:p w14:paraId="5F0C8521" w14:textId="77777777" w:rsidR="00626FF9" w:rsidRPr="002C29D2" w:rsidRDefault="00626FF9" w:rsidP="00626FF9">
            <w:pPr>
              <w:rPr>
                <w:sz w:val="20"/>
                <w:szCs w:val="20"/>
              </w:rPr>
            </w:pPr>
            <w:r w:rsidRPr="002C29D2">
              <w:rPr>
                <w:sz w:val="20"/>
                <w:szCs w:val="20"/>
              </w:rPr>
              <w:t>JUS -&gt; ENG</w:t>
            </w:r>
          </w:p>
        </w:tc>
        <w:tc>
          <w:tcPr>
            <w:tcW w:w="970" w:type="dxa"/>
            <w:shd w:val="clear" w:color="auto" w:fill="auto"/>
            <w:noWrap/>
            <w:vAlign w:val="bottom"/>
          </w:tcPr>
          <w:p w14:paraId="7E5C272A" w14:textId="77777777" w:rsidR="00626FF9" w:rsidRPr="002C29D2" w:rsidRDefault="00626FF9" w:rsidP="00B63C4D">
            <w:pPr>
              <w:jc w:val="center"/>
              <w:rPr>
                <w:sz w:val="20"/>
                <w:szCs w:val="20"/>
              </w:rPr>
            </w:pPr>
            <w:r w:rsidRPr="002C29D2">
              <w:rPr>
                <w:sz w:val="20"/>
                <w:szCs w:val="20"/>
              </w:rPr>
              <w:t>0.279</w:t>
            </w:r>
          </w:p>
        </w:tc>
        <w:tc>
          <w:tcPr>
            <w:tcW w:w="1134" w:type="dxa"/>
            <w:shd w:val="clear" w:color="auto" w:fill="auto"/>
            <w:noWrap/>
            <w:vAlign w:val="bottom"/>
          </w:tcPr>
          <w:p w14:paraId="305770D7" w14:textId="77777777" w:rsidR="00626FF9" w:rsidRPr="002C29D2" w:rsidRDefault="00626FF9" w:rsidP="00B63C4D">
            <w:pPr>
              <w:jc w:val="center"/>
              <w:rPr>
                <w:sz w:val="20"/>
                <w:szCs w:val="20"/>
              </w:rPr>
            </w:pPr>
            <w:r w:rsidRPr="002C29D2">
              <w:rPr>
                <w:sz w:val="20"/>
                <w:szCs w:val="20"/>
              </w:rPr>
              <w:t>2.528</w:t>
            </w:r>
          </w:p>
        </w:tc>
        <w:tc>
          <w:tcPr>
            <w:tcW w:w="992" w:type="dxa"/>
            <w:vAlign w:val="bottom"/>
          </w:tcPr>
          <w:p w14:paraId="2590C83E" w14:textId="77777777" w:rsidR="00626FF9" w:rsidRPr="002C29D2" w:rsidRDefault="00626FF9" w:rsidP="00B63C4D">
            <w:pPr>
              <w:jc w:val="center"/>
              <w:rPr>
                <w:sz w:val="20"/>
                <w:szCs w:val="20"/>
              </w:rPr>
            </w:pPr>
            <w:r w:rsidRPr="002C29D2">
              <w:rPr>
                <w:sz w:val="20"/>
                <w:szCs w:val="20"/>
              </w:rPr>
              <w:t>0.011</w:t>
            </w:r>
          </w:p>
        </w:tc>
        <w:tc>
          <w:tcPr>
            <w:tcW w:w="992" w:type="dxa"/>
            <w:shd w:val="clear" w:color="auto" w:fill="auto"/>
            <w:noWrap/>
            <w:vAlign w:val="bottom"/>
          </w:tcPr>
          <w:p w14:paraId="3E5EA7B9" w14:textId="77777777" w:rsidR="00626FF9" w:rsidRPr="002C29D2" w:rsidRDefault="00626FF9" w:rsidP="00B63C4D">
            <w:pPr>
              <w:jc w:val="center"/>
              <w:rPr>
                <w:sz w:val="20"/>
                <w:szCs w:val="20"/>
              </w:rPr>
            </w:pPr>
            <w:r w:rsidRPr="002C29D2">
              <w:rPr>
                <w:sz w:val="20"/>
                <w:szCs w:val="20"/>
              </w:rPr>
              <w:t>0.195</w:t>
            </w:r>
          </w:p>
        </w:tc>
        <w:tc>
          <w:tcPr>
            <w:tcW w:w="1122" w:type="dxa"/>
            <w:shd w:val="clear" w:color="auto" w:fill="auto"/>
            <w:noWrap/>
            <w:vAlign w:val="bottom"/>
          </w:tcPr>
          <w:p w14:paraId="50553CB2" w14:textId="77777777" w:rsidR="00626FF9" w:rsidRPr="002C29D2" w:rsidRDefault="00626FF9" w:rsidP="00B63C4D">
            <w:pPr>
              <w:jc w:val="center"/>
              <w:rPr>
                <w:sz w:val="20"/>
                <w:szCs w:val="20"/>
              </w:rPr>
            </w:pPr>
            <w:r w:rsidRPr="002C29D2">
              <w:rPr>
                <w:sz w:val="20"/>
                <w:szCs w:val="20"/>
              </w:rPr>
              <w:t>2.234</w:t>
            </w:r>
          </w:p>
        </w:tc>
        <w:tc>
          <w:tcPr>
            <w:tcW w:w="863" w:type="dxa"/>
            <w:vAlign w:val="bottom"/>
          </w:tcPr>
          <w:p w14:paraId="7106665B" w14:textId="77777777" w:rsidR="00626FF9" w:rsidRPr="002C29D2" w:rsidRDefault="00626FF9" w:rsidP="00B63C4D">
            <w:pPr>
              <w:jc w:val="center"/>
              <w:rPr>
                <w:sz w:val="20"/>
                <w:szCs w:val="20"/>
              </w:rPr>
            </w:pPr>
            <w:r w:rsidRPr="002C29D2">
              <w:rPr>
                <w:sz w:val="20"/>
                <w:szCs w:val="20"/>
              </w:rPr>
              <w:t>0.026</w:t>
            </w:r>
          </w:p>
        </w:tc>
        <w:tc>
          <w:tcPr>
            <w:tcW w:w="1201" w:type="dxa"/>
            <w:shd w:val="clear" w:color="auto" w:fill="auto"/>
            <w:noWrap/>
            <w:vAlign w:val="bottom"/>
          </w:tcPr>
          <w:p w14:paraId="1D91AE44" w14:textId="77777777" w:rsidR="00626FF9" w:rsidRPr="002C29D2" w:rsidRDefault="00626FF9" w:rsidP="00B63C4D">
            <w:pPr>
              <w:jc w:val="center"/>
              <w:rPr>
                <w:sz w:val="20"/>
                <w:szCs w:val="20"/>
              </w:rPr>
            </w:pPr>
            <w:r w:rsidRPr="002C29D2">
              <w:rPr>
                <w:sz w:val="20"/>
                <w:szCs w:val="20"/>
              </w:rPr>
              <w:t>0.599</w:t>
            </w:r>
          </w:p>
        </w:tc>
        <w:tc>
          <w:tcPr>
            <w:tcW w:w="1067" w:type="dxa"/>
            <w:vAlign w:val="bottom"/>
          </w:tcPr>
          <w:p w14:paraId="78D72E42" w14:textId="77777777" w:rsidR="00626FF9" w:rsidRPr="002C29D2" w:rsidRDefault="00626FF9" w:rsidP="00B63C4D">
            <w:pPr>
              <w:jc w:val="center"/>
              <w:rPr>
                <w:sz w:val="20"/>
                <w:szCs w:val="20"/>
              </w:rPr>
            </w:pPr>
            <w:r w:rsidRPr="002C29D2">
              <w:rPr>
                <w:sz w:val="20"/>
                <w:szCs w:val="20"/>
              </w:rPr>
              <w:t>0.550</w:t>
            </w:r>
          </w:p>
        </w:tc>
      </w:tr>
      <w:tr w:rsidR="002C29D2" w:rsidRPr="002C29D2" w14:paraId="1F4FF4D3" w14:textId="77777777" w:rsidTr="00626FF9">
        <w:trPr>
          <w:trHeight w:val="320"/>
        </w:trPr>
        <w:tc>
          <w:tcPr>
            <w:tcW w:w="1435" w:type="dxa"/>
            <w:shd w:val="clear" w:color="auto" w:fill="auto"/>
            <w:noWrap/>
            <w:vAlign w:val="center"/>
          </w:tcPr>
          <w:p w14:paraId="6514EBD6" w14:textId="77777777" w:rsidR="00626FF9" w:rsidRPr="002C29D2" w:rsidRDefault="00626FF9" w:rsidP="00626FF9">
            <w:pPr>
              <w:rPr>
                <w:sz w:val="20"/>
                <w:szCs w:val="20"/>
              </w:rPr>
            </w:pPr>
            <w:r w:rsidRPr="002C29D2">
              <w:rPr>
                <w:sz w:val="20"/>
                <w:szCs w:val="20"/>
              </w:rPr>
              <w:t>JUS -&gt; SAT</w:t>
            </w:r>
          </w:p>
        </w:tc>
        <w:tc>
          <w:tcPr>
            <w:tcW w:w="970" w:type="dxa"/>
            <w:shd w:val="clear" w:color="auto" w:fill="auto"/>
            <w:noWrap/>
            <w:vAlign w:val="bottom"/>
          </w:tcPr>
          <w:p w14:paraId="6EA864A7" w14:textId="77777777" w:rsidR="00626FF9" w:rsidRPr="002C29D2" w:rsidRDefault="00626FF9" w:rsidP="00B63C4D">
            <w:pPr>
              <w:jc w:val="center"/>
              <w:rPr>
                <w:sz w:val="20"/>
                <w:szCs w:val="20"/>
              </w:rPr>
            </w:pPr>
            <w:r w:rsidRPr="002C29D2">
              <w:rPr>
                <w:sz w:val="20"/>
                <w:szCs w:val="20"/>
              </w:rPr>
              <w:t>0.176</w:t>
            </w:r>
          </w:p>
        </w:tc>
        <w:tc>
          <w:tcPr>
            <w:tcW w:w="1134" w:type="dxa"/>
            <w:shd w:val="clear" w:color="auto" w:fill="auto"/>
            <w:noWrap/>
            <w:vAlign w:val="bottom"/>
          </w:tcPr>
          <w:p w14:paraId="4D2A5ACB" w14:textId="77777777" w:rsidR="00626FF9" w:rsidRPr="002C29D2" w:rsidRDefault="00626FF9" w:rsidP="00B63C4D">
            <w:pPr>
              <w:jc w:val="center"/>
              <w:rPr>
                <w:sz w:val="20"/>
                <w:szCs w:val="20"/>
              </w:rPr>
            </w:pPr>
            <w:r w:rsidRPr="002C29D2">
              <w:rPr>
                <w:sz w:val="20"/>
                <w:szCs w:val="20"/>
              </w:rPr>
              <w:t>1.969</w:t>
            </w:r>
          </w:p>
        </w:tc>
        <w:tc>
          <w:tcPr>
            <w:tcW w:w="992" w:type="dxa"/>
            <w:vAlign w:val="bottom"/>
          </w:tcPr>
          <w:p w14:paraId="6CEA0EF6" w14:textId="77777777" w:rsidR="00626FF9" w:rsidRPr="002C29D2" w:rsidRDefault="00626FF9" w:rsidP="00B63C4D">
            <w:pPr>
              <w:jc w:val="center"/>
              <w:rPr>
                <w:sz w:val="20"/>
                <w:szCs w:val="20"/>
              </w:rPr>
            </w:pPr>
            <w:r w:rsidRPr="002C29D2">
              <w:rPr>
                <w:sz w:val="20"/>
                <w:szCs w:val="20"/>
              </w:rPr>
              <w:t>0.049</w:t>
            </w:r>
          </w:p>
        </w:tc>
        <w:tc>
          <w:tcPr>
            <w:tcW w:w="992" w:type="dxa"/>
            <w:shd w:val="clear" w:color="auto" w:fill="auto"/>
            <w:noWrap/>
            <w:vAlign w:val="bottom"/>
          </w:tcPr>
          <w:p w14:paraId="6A4CDED0" w14:textId="77777777" w:rsidR="00626FF9" w:rsidRPr="002C29D2" w:rsidRDefault="00626FF9" w:rsidP="00B63C4D">
            <w:pPr>
              <w:jc w:val="center"/>
              <w:rPr>
                <w:sz w:val="20"/>
                <w:szCs w:val="20"/>
              </w:rPr>
            </w:pPr>
            <w:r w:rsidRPr="002C29D2">
              <w:rPr>
                <w:sz w:val="20"/>
                <w:szCs w:val="20"/>
              </w:rPr>
              <w:t>0.291</w:t>
            </w:r>
          </w:p>
        </w:tc>
        <w:tc>
          <w:tcPr>
            <w:tcW w:w="1122" w:type="dxa"/>
            <w:shd w:val="clear" w:color="auto" w:fill="auto"/>
            <w:noWrap/>
            <w:vAlign w:val="bottom"/>
          </w:tcPr>
          <w:p w14:paraId="220CBDB0" w14:textId="77777777" w:rsidR="00626FF9" w:rsidRPr="002C29D2" w:rsidRDefault="00626FF9" w:rsidP="00B63C4D">
            <w:pPr>
              <w:jc w:val="center"/>
              <w:rPr>
                <w:sz w:val="20"/>
                <w:szCs w:val="20"/>
              </w:rPr>
            </w:pPr>
            <w:r w:rsidRPr="002C29D2">
              <w:rPr>
                <w:sz w:val="20"/>
                <w:szCs w:val="20"/>
              </w:rPr>
              <w:t>3.033</w:t>
            </w:r>
          </w:p>
        </w:tc>
        <w:tc>
          <w:tcPr>
            <w:tcW w:w="863" w:type="dxa"/>
            <w:vAlign w:val="bottom"/>
          </w:tcPr>
          <w:p w14:paraId="5DD5C088" w14:textId="77777777" w:rsidR="00626FF9" w:rsidRPr="002C29D2" w:rsidRDefault="00626FF9" w:rsidP="00B63C4D">
            <w:pPr>
              <w:jc w:val="center"/>
              <w:rPr>
                <w:sz w:val="20"/>
                <w:szCs w:val="20"/>
              </w:rPr>
            </w:pPr>
            <w:r w:rsidRPr="002C29D2">
              <w:rPr>
                <w:sz w:val="20"/>
                <w:szCs w:val="20"/>
              </w:rPr>
              <w:t>0.002</w:t>
            </w:r>
          </w:p>
        </w:tc>
        <w:tc>
          <w:tcPr>
            <w:tcW w:w="1201" w:type="dxa"/>
            <w:shd w:val="clear" w:color="auto" w:fill="auto"/>
            <w:noWrap/>
            <w:vAlign w:val="bottom"/>
          </w:tcPr>
          <w:p w14:paraId="6C481910" w14:textId="77777777" w:rsidR="00626FF9" w:rsidRPr="002C29D2" w:rsidRDefault="00626FF9" w:rsidP="00B63C4D">
            <w:pPr>
              <w:jc w:val="center"/>
              <w:rPr>
                <w:sz w:val="20"/>
                <w:szCs w:val="20"/>
              </w:rPr>
            </w:pPr>
            <w:r w:rsidRPr="002C29D2">
              <w:rPr>
                <w:sz w:val="20"/>
                <w:szCs w:val="20"/>
              </w:rPr>
              <w:t>0.877</w:t>
            </w:r>
          </w:p>
        </w:tc>
        <w:tc>
          <w:tcPr>
            <w:tcW w:w="1067" w:type="dxa"/>
            <w:vAlign w:val="bottom"/>
          </w:tcPr>
          <w:p w14:paraId="24F67E17" w14:textId="77777777" w:rsidR="00626FF9" w:rsidRPr="002C29D2" w:rsidRDefault="00626FF9" w:rsidP="00B63C4D">
            <w:pPr>
              <w:jc w:val="center"/>
              <w:rPr>
                <w:sz w:val="20"/>
                <w:szCs w:val="20"/>
              </w:rPr>
            </w:pPr>
            <w:r w:rsidRPr="002C29D2">
              <w:rPr>
                <w:sz w:val="20"/>
                <w:szCs w:val="20"/>
              </w:rPr>
              <w:t>0.381</w:t>
            </w:r>
          </w:p>
        </w:tc>
      </w:tr>
      <w:tr w:rsidR="002C29D2" w:rsidRPr="002C29D2" w14:paraId="3ACFECF0" w14:textId="77777777" w:rsidTr="00626FF9">
        <w:trPr>
          <w:trHeight w:val="320"/>
        </w:trPr>
        <w:tc>
          <w:tcPr>
            <w:tcW w:w="1435" w:type="dxa"/>
            <w:shd w:val="clear" w:color="auto" w:fill="auto"/>
            <w:noWrap/>
            <w:vAlign w:val="center"/>
          </w:tcPr>
          <w:p w14:paraId="59700C88" w14:textId="77777777" w:rsidR="00626FF9" w:rsidRPr="002C29D2" w:rsidRDefault="00626FF9" w:rsidP="00626FF9">
            <w:pPr>
              <w:rPr>
                <w:sz w:val="20"/>
                <w:szCs w:val="20"/>
              </w:rPr>
            </w:pPr>
            <w:r w:rsidRPr="002C29D2">
              <w:rPr>
                <w:sz w:val="20"/>
                <w:szCs w:val="20"/>
              </w:rPr>
              <w:t>JUS -&gt; UI</w:t>
            </w:r>
          </w:p>
        </w:tc>
        <w:tc>
          <w:tcPr>
            <w:tcW w:w="970" w:type="dxa"/>
            <w:shd w:val="clear" w:color="auto" w:fill="auto"/>
            <w:noWrap/>
            <w:vAlign w:val="bottom"/>
          </w:tcPr>
          <w:p w14:paraId="3A9D9AFE" w14:textId="77777777" w:rsidR="00626FF9" w:rsidRPr="002C29D2" w:rsidRDefault="00626FF9" w:rsidP="00B63C4D">
            <w:pPr>
              <w:jc w:val="center"/>
              <w:rPr>
                <w:sz w:val="20"/>
                <w:szCs w:val="20"/>
              </w:rPr>
            </w:pPr>
            <w:r w:rsidRPr="002C29D2">
              <w:rPr>
                <w:sz w:val="20"/>
                <w:szCs w:val="20"/>
              </w:rPr>
              <w:t>-0.042</w:t>
            </w:r>
          </w:p>
        </w:tc>
        <w:tc>
          <w:tcPr>
            <w:tcW w:w="1134" w:type="dxa"/>
            <w:shd w:val="clear" w:color="auto" w:fill="auto"/>
            <w:noWrap/>
            <w:vAlign w:val="bottom"/>
          </w:tcPr>
          <w:p w14:paraId="4B4FD718" w14:textId="77777777" w:rsidR="00626FF9" w:rsidRPr="002C29D2" w:rsidRDefault="00626FF9" w:rsidP="00B63C4D">
            <w:pPr>
              <w:jc w:val="center"/>
              <w:rPr>
                <w:sz w:val="20"/>
                <w:szCs w:val="20"/>
              </w:rPr>
            </w:pPr>
            <w:r w:rsidRPr="002C29D2">
              <w:rPr>
                <w:sz w:val="20"/>
                <w:szCs w:val="20"/>
              </w:rPr>
              <w:t>0.486</w:t>
            </w:r>
          </w:p>
        </w:tc>
        <w:tc>
          <w:tcPr>
            <w:tcW w:w="992" w:type="dxa"/>
            <w:vAlign w:val="bottom"/>
          </w:tcPr>
          <w:p w14:paraId="50FB7EDF" w14:textId="77777777" w:rsidR="00626FF9" w:rsidRPr="002C29D2" w:rsidRDefault="00626FF9" w:rsidP="00B63C4D">
            <w:pPr>
              <w:jc w:val="center"/>
              <w:rPr>
                <w:sz w:val="20"/>
                <w:szCs w:val="20"/>
              </w:rPr>
            </w:pPr>
            <w:r w:rsidRPr="002C29D2">
              <w:rPr>
                <w:sz w:val="20"/>
                <w:szCs w:val="20"/>
              </w:rPr>
              <w:t>0.627</w:t>
            </w:r>
          </w:p>
        </w:tc>
        <w:tc>
          <w:tcPr>
            <w:tcW w:w="992" w:type="dxa"/>
            <w:shd w:val="clear" w:color="auto" w:fill="auto"/>
            <w:noWrap/>
            <w:vAlign w:val="bottom"/>
          </w:tcPr>
          <w:p w14:paraId="5B3F11F8" w14:textId="77777777" w:rsidR="00626FF9" w:rsidRPr="002C29D2" w:rsidRDefault="00626FF9" w:rsidP="00B63C4D">
            <w:pPr>
              <w:jc w:val="center"/>
              <w:rPr>
                <w:sz w:val="20"/>
                <w:szCs w:val="20"/>
              </w:rPr>
            </w:pPr>
            <w:r w:rsidRPr="002C29D2">
              <w:rPr>
                <w:sz w:val="20"/>
                <w:szCs w:val="20"/>
              </w:rPr>
              <w:t>-0.060</w:t>
            </w:r>
          </w:p>
        </w:tc>
        <w:tc>
          <w:tcPr>
            <w:tcW w:w="1122" w:type="dxa"/>
            <w:shd w:val="clear" w:color="auto" w:fill="auto"/>
            <w:noWrap/>
            <w:vAlign w:val="bottom"/>
          </w:tcPr>
          <w:p w14:paraId="1DA13295" w14:textId="77777777" w:rsidR="00626FF9" w:rsidRPr="002C29D2" w:rsidRDefault="00626FF9" w:rsidP="00B63C4D">
            <w:pPr>
              <w:jc w:val="center"/>
              <w:rPr>
                <w:sz w:val="20"/>
                <w:szCs w:val="20"/>
              </w:rPr>
            </w:pPr>
            <w:r w:rsidRPr="002C29D2">
              <w:rPr>
                <w:sz w:val="20"/>
                <w:szCs w:val="20"/>
              </w:rPr>
              <w:t>0.475</w:t>
            </w:r>
          </w:p>
        </w:tc>
        <w:tc>
          <w:tcPr>
            <w:tcW w:w="863" w:type="dxa"/>
            <w:vAlign w:val="bottom"/>
          </w:tcPr>
          <w:p w14:paraId="4C1E4FA7" w14:textId="77777777" w:rsidR="00626FF9" w:rsidRPr="002C29D2" w:rsidRDefault="00626FF9" w:rsidP="00B63C4D">
            <w:pPr>
              <w:jc w:val="center"/>
              <w:rPr>
                <w:sz w:val="20"/>
                <w:szCs w:val="20"/>
              </w:rPr>
            </w:pPr>
            <w:r w:rsidRPr="002C29D2">
              <w:rPr>
                <w:sz w:val="20"/>
                <w:szCs w:val="20"/>
              </w:rPr>
              <w:t>0.635</w:t>
            </w:r>
          </w:p>
        </w:tc>
        <w:tc>
          <w:tcPr>
            <w:tcW w:w="1201" w:type="dxa"/>
            <w:shd w:val="clear" w:color="auto" w:fill="auto"/>
            <w:noWrap/>
            <w:vAlign w:val="bottom"/>
          </w:tcPr>
          <w:p w14:paraId="41E2851F" w14:textId="77777777" w:rsidR="00626FF9" w:rsidRPr="002C29D2" w:rsidRDefault="00626FF9" w:rsidP="00B63C4D">
            <w:pPr>
              <w:jc w:val="center"/>
              <w:rPr>
                <w:sz w:val="20"/>
                <w:szCs w:val="20"/>
              </w:rPr>
            </w:pPr>
            <w:r w:rsidRPr="002C29D2">
              <w:rPr>
                <w:sz w:val="20"/>
                <w:szCs w:val="20"/>
              </w:rPr>
              <w:t>0.115</w:t>
            </w:r>
          </w:p>
        </w:tc>
        <w:tc>
          <w:tcPr>
            <w:tcW w:w="1067" w:type="dxa"/>
            <w:vAlign w:val="bottom"/>
          </w:tcPr>
          <w:p w14:paraId="2A19CCBB" w14:textId="77777777" w:rsidR="00626FF9" w:rsidRPr="002C29D2" w:rsidRDefault="00626FF9" w:rsidP="00B63C4D">
            <w:pPr>
              <w:jc w:val="center"/>
              <w:rPr>
                <w:sz w:val="20"/>
                <w:szCs w:val="20"/>
              </w:rPr>
            </w:pPr>
            <w:r w:rsidRPr="002C29D2">
              <w:rPr>
                <w:sz w:val="20"/>
                <w:szCs w:val="20"/>
              </w:rPr>
              <w:t>0.909</w:t>
            </w:r>
          </w:p>
        </w:tc>
      </w:tr>
      <w:tr w:rsidR="002C29D2" w:rsidRPr="002C29D2" w14:paraId="173D7A59" w14:textId="77777777" w:rsidTr="00626FF9">
        <w:trPr>
          <w:trHeight w:val="320"/>
        </w:trPr>
        <w:tc>
          <w:tcPr>
            <w:tcW w:w="1435" w:type="dxa"/>
            <w:shd w:val="clear" w:color="auto" w:fill="auto"/>
            <w:noWrap/>
            <w:vAlign w:val="center"/>
          </w:tcPr>
          <w:p w14:paraId="55C18635" w14:textId="77777777" w:rsidR="00626FF9" w:rsidRPr="002C29D2" w:rsidRDefault="00626FF9" w:rsidP="00626FF9">
            <w:pPr>
              <w:rPr>
                <w:sz w:val="20"/>
                <w:szCs w:val="20"/>
              </w:rPr>
            </w:pPr>
            <w:r w:rsidRPr="002C29D2">
              <w:rPr>
                <w:sz w:val="20"/>
                <w:szCs w:val="20"/>
              </w:rPr>
              <w:t>NM -&gt; ATA</w:t>
            </w:r>
          </w:p>
        </w:tc>
        <w:tc>
          <w:tcPr>
            <w:tcW w:w="970" w:type="dxa"/>
            <w:shd w:val="clear" w:color="auto" w:fill="auto"/>
            <w:noWrap/>
            <w:vAlign w:val="bottom"/>
          </w:tcPr>
          <w:p w14:paraId="7C4682FB" w14:textId="77777777" w:rsidR="00626FF9" w:rsidRPr="002C29D2" w:rsidRDefault="00626FF9" w:rsidP="00B63C4D">
            <w:pPr>
              <w:jc w:val="center"/>
              <w:rPr>
                <w:sz w:val="20"/>
                <w:szCs w:val="20"/>
              </w:rPr>
            </w:pPr>
            <w:r w:rsidRPr="002C29D2">
              <w:rPr>
                <w:sz w:val="20"/>
                <w:szCs w:val="20"/>
              </w:rPr>
              <w:t>0.131</w:t>
            </w:r>
          </w:p>
        </w:tc>
        <w:tc>
          <w:tcPr>
            <w:tcW w:w="1134" w:type="dxa"/>
            <w:shd w:val="clear" w:color="auto" w:fill="auto"/>
            <w:noWrap/>
            <w:vAlign w:val="bottom"/>
          </w:tcPr>
          <w:p w14:paraId="381BCE52" w14:textId="77777777" w:rsidR="00626FF9" w:rsidRPr="002C29D2" w:rsidRDefault="00626FF9" w:rsidP="00B63C4D">
            <w:pPr>
              <w:jc w:val="center"/>
              <w:rPr>
                <w:sz w:val="20"/>
                <w:szCs w:val="20"/>
              </w:rPr>
            </w:pPr>
            <w:r w:rsidRPr="002C29D2">
              <w:rPr>
                <w:sz w:val="20"/>
                <w:szCs w:val="20"/>
              </w:rPr>
              <w:t>1.578</w:t>
            </w:r>
          </w:p>
        </w:tc>
        <w:tc>
          <w:tcPr>
            <w:tcW w:w="992" w:type="dxa"/>
            <w:vAlign w:val="bottom"/>
          </w:tcPr>
          <w:p w14:paraId="1DC6F270" w14:textId="77777777" w:rsidR="00626FF9" w:rsidRPr="002C29D2" w:rsidRDefault="00626FF9" w:rsidP="00B63C4D">
            <w:pPr>
              <w:jc w:val="center"/>
              <w:rPr>
                <w:sz w:val="20"/>
                <w:szCs w:val="20"/>
              </w:rPr>
            </w:pPr>
            <w:r w:rsidRPr="002C29D2">
              <w:rPr>
                <w:sz w:val="20"/>
                <w:szCs w:val="20"/>
              </w:rPr>
              <w:t>0.115</w:t>
            </w:r>
          </w:p>
        </w:tc>
        <w:tc>
          <w:tcPr>
            <w:tcW w:w="992" w:type="dxa"/>
            <w:shd w:val="clear" w:color="auto" w:fill="auto"/>
            <w:noWrap/>
            <w:vAlign w:val="bottom"/>
          </w:tcPr>
          <w:p w14:paraId="744F7393" w14:textId="77777777" w:rsidR="00626FF9" w:rsidRPr="002C29D2" w:rsidRDefault="00626FF9" w:rsidP="00B63C4D">
            <w:pPr>
              <w:jc w:val="center"/>
              <w:rPr>
                <w:sz w:val="20"/>
                <w:szCs w:val="20"/>
              </w:rPr>
            </w:pPr>
            <w:r w:rsidRPr="002C29D2">
              <w:rPr>
                <w:sz w:val="20"/>
                <w:szCs w:val="20"/>
              </w:rPr>
              <w:t>0.010</w:t>
            </w:r>
          </w:p>
        </w:tc>
        <w:tc>
          <w:tcPr>
            <w:tcW w:w="1122" w:type="dxa"/>
            <w:shd w:val="clear" w:color="auto" w:fill="auto"/>
            <w:noWrap/>
            <w:vAlign w:val="bottom"/>
          </w:tcPr>
          <w:p w14:paraId="2711B3C8" w14:textId="77777777" w:rsidR="00626FF9" w:rsidRPr="002C29D2" w:rsidRDefault="00626FF9" w:rsidP="00B63C4D">
            <w:pPr>
              <w:jc w:val="center"/>
              <w:rPr>
                <w:sz w:val="20"/>
                <w:szCs w:val="20"/>
              </w:rPr>
            </w:pPr>
            <w:r w:rsidRPr="002C29D2">
              <w:rPr>
                <w:sz w:val="20"/>
                <w:szCs w:val="20"/>
              </w:rPr>
              <w:t>0.111</w:t>
            </w:r>
          </w:p>
        </w:tc>
        <w:tc>
          <w:tcPr>
            <w:tcW w:w="863" w:type="dxa"/>
            <w:vAlign w:val="bottom"/>
          </w:tcPr>
          <w:p w14:paraId="6D2AD05A" w14:textId="77777777" w:rsidR="00626FF9" w:rsidRPr="002C29D2" w:rsidRDefault="00626FF9" w:rsidP="00B63C4D">
            <w:pPr>
              <w:jc w:val="center"/>
              <w:rPr>
                <w:sz w:val="20"/>
                <w:szCs w:val="20"/>
              </w:rPr>
            </w:pPr>
            <w:r w:rsidRPr="002C29D2">
              <w:rPr>
                <w:sz w:val="20"/>
                <w:szCs w:val="20"/>
              </w:rPr>
              <w:t>0.912</w:t>
            </w:r>
          </w:p>
        </w:tc>
        <w:tc>
          <w:tcPr>
            <w:tcW w:w="1201" w:type="dxa"/>
            <w:shd w:val="clear" w:color="auto" w:fill="auto"/>
            <w:noWrap/>
            <w:vAlign w:val="bottom"/>
          </w:tcPr>
          <w:p w14:paraId="1E87FE97" w14:textId="77777777" w:rsidR="00626FF9" w:rsidRPr="002C29D2" w:rsidRDefault="00626FF9" w:rsidP="00B63C4D">
            <w:pPr>
              <w:jc w:val="center"/>
              <w:rPr>
                <w:sz w:val="20"/>
                <w:szCs w:val="20"/>
              </w:rPr>
            </w:pPr>
            <w:r w:rsidRPr="002C29D2">
              <w:rPr>
                <w:sz w:val="20"/>
                <w:szCs w:val="20"/>
              </w:rPr>
              <w:t>0.981</w:t>
            </w:r>
          </w:p>
        </w:tc>
        <w:tc>
          <w:tcPr>
            <w:tcW w:w="1067" w:type="dxa"/>
            <w:vAlign w:val="bottom"/>
          </w:tcPr>
          <w:p w14:paraId="623E9DED" w14:textId="77777777" w:rsidR="00626FF9" w:rsidRPr="002C29D2" w:rsidRDefault="00626FF9" w:rsidP="00B63C4D">
            <w:pPr>
              <w:jc w:val="center"/>
              <w:rPr>
                <w:sz w:val="20"/>
                <w:szCs w:val="20"/>
              </w:rPr>
            </w:pPr>
            <w:r w:rsidRPr="002C29D2">
              <w:rPr>
                <w:sz w:val="20"/>
                <w:szCs w:val="20"/>
              </w:rPr>
              <w:t>0.328</w:t>
            </w:r>
          </w:p>
        </w:tc>
      </w:tr>
      <w:tr w:rsidR="002C29D2" w:rsidRPr="002C29D2" w14:paraId="00102006" w14:textId="77777777" w:rsidTr="00626FF9">
        <w:trPr>
          <w:trHeight w:val="320"/>
        </w:trPr>
        <w:tc>
          <w:tcPr>
            <w:tcW w:w="1435" w:type="dxa"/>
            <w:shd w:val="clear" w:color="auto" w:fill="auto"/>
            <w:noWrap/>
            <w:vAlign w:val="center"/>
          </w:tcPr>
          <w:p w14:paraId="2C8B555E" w14:textId="77777777" w:rsidR="00626FF9" w:rsidRPr="002C29D2" w:rsidRDefault="00626FF9" w:rsidP="00626FF9">
            <w:pPr>
              <w:rPr>
                <w:sz w:val="20"/>
                <w:szCs w:val="20"/>
              </w:rPr>
            </w:pPr>
            <w:r w:rsidRPr="002C29D2">
              <w:rPr>
                <w:sz w:val="20"/>
                <w:szCs w:val="20"/>
              </w:rPr>
              <w:t>NM -&gt; ENG</w:t>
            </w:r>
          </w:p>
        </w:tc>
        <w:tc>
          <w:tcPr>
            <w:tcW w:w="970" w:type="dxa"/>
            <w:shd w:val="clear" w:color="auto" w:fill="auto"/>
            <w:noWrap/>
            <w:vAlign w:val="bottom"/>
          </w:tcPr>
          <w:p w14:paraId="7856B0FD" w14:textId="77777777" w:rsidR="00626FF9" w:rsidRPr="002C29D2" w:rsidRDefault="00626FF9" w:rsidP="00B63C4D">
            <w:pPr>
              <w:jc w:val="center"/>
              <w:rPr>
                <w:sz w:val="20"/>
                <w:szCs w:val="20"/>
              </w:rPr>
            </w:pPr>
            <w:r w:rsidRPr="002C29D2">
              <w:rPr>
                <w:sz w:val="20"/>
                <w:szCs w:val="20"/>
              </w:rPr>
              <w:t>0.169</w:t>
            </w:r>
          </w:p>
        </w:tc>
        <w:tc>
          <w:tcPr>
            <w:tcW w:w="1134" w:type="dxa"/>
            <w:shd w:val="clear" w:color="auto" w:fill="auto"/>
            <w:noWrap/>
            <w:vAlign w:val="bottom"/>
          </w:tcPr>
          <w:p w14:paraId="30D0E2CE" w14:textId="77777777" w:rsidR="00626FF9" w:rsidRPr="002C29D2" w:rsidRDefault="00626FF9" w:rsidP="00B63C4D">
            <w:pPr>
              <w:jc w:val="center"/>
              <w:rPr>
                <w:sz w:val="20"/>
                <w:szCs w:val="20"/>
              </w:rPr>
            </w:pPr>
            <w:r w:rsidRPr="002C29D2">
              <w:rPr>
                <w:sz w:val="20"/>
                <w:szCs w:val="20"/>
              </w:rPr>
              <w:t>2.623</w:t>
            </w:r>
          </w:p>
        </w:tc>
        <w:tc>
          <w:tcPr>
            <w:tcW w:w="992" w:type="dxa"/>
            <w:vAlign w:val="bottom"/>
          </w:tcPr>
          <w:p w14:paraId="5899CD47" w14:textId="77777777" w:rsidR="00626FF9" w:rsidRPr="002C29D2" w:rsidRDefault="00626FF9" w:rsidP="00B63C4D">
            <w:pPr>
              <w:jc w:val="center"/>
              <w:rPr>
                <w:sz w:val="20"/>
                <w:szCs w:val="20"/>
              </w:rPr>
            </w:pPr>
            <w:r w:rsidRPr="002C29D2">
              <w:rPr>
                <w:sz w:val="20"/>
                <w:szCs w:val="20"/>
              </w:rPr>
              <w:t>0.009</w:t>
            </w:r>
          </w:p>
        </w:tc>
        <w:tc>
          <w:tcPr>
            <w:tcW w:w="992" w:type="dxa"/>
            <w:shd w:val="clear" w:color="auto" w:fill="auto"/>
            <w:noWrap/>
            <w:vAlign w:val="bottom"/>
          </w:tcPr>
          <w:p w14:paraId="1F6511D5" w14:textId="77777777" w:rsidR="00626FF9" w:rsidRPr="002C29D2" w:rsidRDefault="00626FF9" w:rsidP="00B63C4D">
            <w:pPr>
              <w:jc w:val="center"/>
              <w:rPr>
                <w:sz w:val="20"/>
                <w:szCs w:val="20"/>
              </w:rPr>
            </w:pPr>
            <w:r w:rsidRPr="002C29D2">
              <w:rPr>
                <w:sz w:val="20"/>
                <w:szCs w:val="20"/>
              </w:rPr>
              <w:t>0.153</w:t>
            </w:r>
          </w:p>
        </w:tc>
        <w:tc>
          <w:tcPr>
            <w:tcW w:w="1122" w:type="dxa"/>
            <w:shd w:val="clear" w:color="auto" w:fill="auto"/>
            <w:noWrap/>
            <w:vAlign w:val="bottom"/>
          </w:tcPr>
          <w:p w14:paraId="0369E795" w14:textId="77777777" w:rsidR="00626FF9" w:rsidRPr="002C29D2" w:rsidRDefault="00626FF9" w:rsidP="00B63C4D">
            <w:pPr>
              <w:jc w:val="center"/>
              <w:rPr>
                <w:sz w:val="20"/>
                <w:szCs w:val="20"/>
              </w:rPr>
            </w:pPr>
            <w:r w:rsidRPr="002C29D2">
              <w:rPr>
                <w:sz w:val="20"/>
                <w:szCs w:val="20"/>
              </w:rPr>
              <w:t>2.264</w:t>
            </w:r>
          </w:p>
        </w:tc>
        <w:tc>
          <w:tcPr>
            <w:tcW w:w="863" w:type="dxa"/>
            <w:vAlign w:val="bottom"/>
          </w:tcPr>
          <w:p w14:paraId="10E5F262" w14:textId="77777777" w:rsidR="00626FF9" w:rsidRPr="002C29D2" w:rsidRDefault="00626FF9" w:rsidP="00B63C4D">
            <w:pPr>
              <w:jc w:val="center"/>
              <w:rPr>
                <w:sz w:val="20"/>
                <w:szCs w:val="20"/>
              </w:rPr>
            </w:pPr>
            <w:r w:rsidRPr="002C29D2">
              <w:rPr>
                <w:sz w:val="20"/>
                <w:szCs w:val="20"/>
              </w:rPr>
              <w:t>0.024</w:t>
            </w:r>
          </w:p>
        </w:tc>
        <w:tc>
          <w:tcPr>
            <w:tcW w:w="1201" w:type="dxa"/>
            <w:shd w:val="clear" w:color="auto" w:fill="auto"/>
            <w:noWrap/>
            <w:vAlign w:val="bottom"/>
          </w:tcPr>
          <w:p w14:paraId="6090565E" w14:textId="77777777" w:rsidR="00626FF9" w:rsidRPr="002C29D2" w:rsidRDefault="00626FF9" w:rsidP="00B63C4D">
            <w:pPr>
              <w:jc w:val="center"/>
              <w:rPr>
                <w:sz w:val="20"/>
                <w:szCs w:val="20"/>
              </w:rPr>
            </w:pPr>
            <w:r w:rsidRPr="002C29D2">
              <w:rPr>
                <w:sz w:val="20"/>
                <w:szCs w:val="20"/>
              </w:rPr>
              <w:t>0.168</w:t>
            </w:r>
          </w:p>
        </w:tc>
        <w:tc>
          <w:tcPr>
            <w:tcW w:w="1067" w:type="dxa"/>
            <w:vAlign w:val="bottom"/>
          </w:tcPr>
          <w:p w14:paraId="1C4E39E7" w14:textId="77777777" w:rsidR="00626FF9" w:rsidRPr="002C29D2" w:rsidRDefault="00626FF9" w:rsidP="00B63C4D">
            <w:pPr>
              <w:jc w:val="center"/>
              <w:rPr>
                <w:sz w:val="20"/>
                <w:szCs w:val="20"/>
              </w:rPr>
            </w:pPr>
            <w:r w:rsidRPr="002C29D2">
              <w:rPr>
                <w:sz w:val="20"/>
                <w:szCs w:val="20"/>
              </w:rPr>
              <w:t>0.866</w:t>
            </w:r>
          </w:p>
        </w:tc>
      </w:tr>
      <w:tr w:rsidR="002C29D2" w:rsidRPr="002C29D2" w14:paraId="2E9D3414" w14:textId="77777777" w:rsidTr="00626FF9">
        <w:trPr>
          <w:trHeight w:val="320"/>
        </w:trPr>
        <w:tc>
          <w:tcPr>
            <w:tcW w:w="1435" w:type="dxa"/>
            <w:shd w:val="clear" w:color="auto" w:fill="auto"/>
            <w:noWrap/>
            <w:vAlign w:val="center"/>
          </w:tcPr>
          <w:p w14:paraId="05A93623" w14:textId="77777777" w:rsidR="00626FF9" w:rsidRPr="002C29D2" w:rsidRDefault="00626FF9" w:rsidP="00626FF9">
            <w:pPr>
              <w:rPr>
                <w:sz w:val="20"/>
                <w:szCs w:val="20"/>
              </w:rPr>
            </w:pPr>
            <w:r w:rsidRPr="002C29D2">
              <w:rPr>
                <w:sz w:val="20"/>
                <w:szCs w:val="20"/>
              </w:rPr>
              <w:t>NM -&gt; SAT</w:t>
            </w:r>
          </w:p>
        </w:tc>
        <w:tc>
          <w:tcPr>
            <w:tcW w:w="970" w:type="dxa"/>
            <w:shd w:val="clear" w:color="auto" w:fill="auto"/>
            <w:noWrap/>
            <w:vAlign w:val="bottom"/>
          </w:tcPr>
          <w:p w14:paraId="478E99C8" w14:textId="77777777" w:rsidR="00626FF9" w:rsidRPr="002C29D2" w:rsidRDefault="00626FF9" w:rsidP="00B63C4D">
            <w:pPr>
              <w:jc w:val="center"/>
              <w:rPr>
                <w:sz w:val="20"/>
                <w:szCs w:val="20"/>
              </w:rPr>
            </w:pPr>
            <w:r w:rsidRPr="002C29D2">
              <w:rPr>
                <w:sz w:val="20"/>
                <w:szCs w:val="20"/>
              </w:rPr>
              <w:t>0.042</w:t>
            </w:r>
          </w:p>
        </w:tc>
        <w:tc>
          <w:tcPr>
            <w:tcW w:w="1134" w:type="dxa"/>
            <w:shd w:val="clear" w:color="auto" w:fill="auto"/>
            <w:noWrap/>
            <w:vAlign w:val="bottom"/>
          </w:tcPr>
          <w:p w14:paraId="44AE7693" w14:textId="77777777" w:rsidR="00626FF9" w:rsidRPr="002C29D2" w:rsidRDefault="00626FF9" w:rsidP="00B63C4D">
            <w:pPr>
              <w:jc w:val="center"/>
              <w:rPr>
                <w:sz w:val="20"/>
                <w:szCs w:val="20"/>
              </w:rPr>
            </w:pPr>
            <w:r w:rsidRPr="002C29D2">
              <w:rPr>
                <w:sz w:val="20"/>
                <w:szCs w:val="20"/>
              </w:rPr>
              <w:t>0.608</w:t>
            </w:r>
          </w:p>
        </w:tc>
        <w:tc>
          <w:tcPr>
            <w:tcW w:w="992" w:type="dxa"/>
            <w:vAlign w:val="bottom"/>
          </w:tcPr>
          <w:p w14:paraId="7407C2C3" w14:textId="77777777" w:rsidR="00626FF9" w:rsidRPr="002C29D2" w:rsidRDefault="00626FF9" w:rsidP="00B63C4D">
            <w:pPr>
              <w:jc w:val="center"/>
              <w:rPr>
                <w:sz w:val="20"/>
                <w:szCs w:val="20"/>
              </w:rPr>
            </w:pPr>
            <w:r w:rsidRPr="002C29D2">
              <w:rPr>
                <w:sz w:val="20"/>
                <w:szCs w:val="20"/>
              </w:rPr>
              <w:t>0.543</w:t>
            </w:r>
          </w:p>
        </w:tc>
        <w:tc>
          <w:tcPr>
            <w:tcW w:w="992" w:type="dxa"/>
            <w:shd w:val="clear" w:color="auto" w:fill="auto"/>
            <w:noWrap/>
            <w:vAlign w:val="bottom"/>
          </w:tcPr>
          <w:p w14:paraId="68C7991D" w14:textId="77777777" w:rsidR="00626FF9" w:rsidRPr="002C29D2" w:rsidRDefault="00626FF9" w:rsidP="00B63C4D">
            <w:pPr>
              <w:jc w:val="center"/>
              <w:rPr>
                <w:sz w:val="20"/>
                <w:szCs w:val="20"/>
              </w:rPr>
            </w:pPr>
            <w:r w:rsidRPr="002C29D2">
              <w:rPr>
                <w:sz w:val="20"/>
                <w:szCs w:val="20"/>
              </w:rPr>
              <w:t>0.242</w:t>
            </w:r>
          </w:p>
        </w:tc>
        <w:tc>
          <w:tcPr>
            <w:tcW w:w="1122" w:type="dxa"/>
            <w:shd w:val="clear" w:color="auto" w:fill="auto"/>
            <w:noWrap/>
            <w:vAlign w:val="bottom"/>
          </w:tcPr>
          <w:p w14:paraId="4C49EB7D" w14:textId="77777777" w:rsidR="00626FF9" w:rsidRPr="002C29D2" w:rsidRDefault="00626FF9" w:rsidP="00B63C4D">
            <w:pPr>
              <w:jc w:val="center"/>
              <w:rPr>
                <w:sz w:val="20"/>
                <w:szCs w:val="20"/>
              </w:rPr>
            </w:pPr>
            <w:r w:rsidRPr="002C29D2">
              <w:rPr>
                <w:sz w:val="20"/>
                <w:szCs w:val="20"/>
              </w:rPr>
              <w:t>2.462</w:t>
            </w:r>
          </w:p>
        </w:tc>
        <w:tc>
          <w:tcPr>
            <w:tcW w:w="863" w:type="dxa"/>
            <w:vAlign w:val="bottom"/>
          </w:tcPr>
          <w:p w14:paraId="4ADC0136" w14:textId="77777777" w:rsidR="00626FF9" w:rsidRPr="002C29D2" w:rsidRDefault="00626FF9" w:rsidP="00B63C4D">
            <w:pPr>
              <w:jc w:val="center"/>
              <w:rPr>
                <w:sz w:val="20"/>
                <w:szCs w:val="20"/>
              </w:rPr>
            </w:pPr>
            <w:r w:rsidRPr="002C29D2">
              <w:rPr>
                <w:sz w:val="20"/>
                <w:szCs w:val="20"/>
              </w:rPr>
              <w:t>0.014</w:t>
            </w:r>
          </w:p>
        </w:tc>
        <w:tc>
          <w:tcPr>
            <w:tcW w:w="1201" w:type="dxa"/>
            <w:shd w:val="clear" w:color="auto" w:fill="auto"/>
            <w:noWrap/>
            <w:vAlign w:val="bottom"/>
          </w:tcPr>
          <w:p w14:paraId="7527568C" w14:textId="77777777" w:rsidR="00626FF9" w:rsidRPr="002C29D2" w:rsidRDefault="00626FF9" w:rsidP="00B63C4D">
            <w:pPr>
              <w:jc w:val="center"/>
              <w:rPr>
                <w:sz w:val="20"/>
                <w:szCs w:val="20"/>
              </w:rPr>
            </w:pPr>
            <w:r w:rsidRPr="002C29D2">
              <w:rPr>
                <w:sz w:val="20"/>
                <w:szCs w:val="20"/>
              </w:rPr>
              <w:t>1.664</w:t>
            </w:r>
          </w:p>
        </w:tc>
        <w:tc>
          <w:tcPr>
            <w:tcW w:w="1067" w:type="dxa"/>
            <w:vAlign w:val="bottom"/>
          </w:tcPr>
          <w:p w14:paraId="01302236" w14:textId="77777777" w:rsidR="00626FF9" w:rsidRPr="002C29D2" w:rsidRDefault="00626FF9" w:rsidP="00B63C4D">
            <w:pPr>
              <w:jc w:val="center"/>
              <w:rPr>
                <w:sz w:val="20"/>
                <w:szCs w:val="20"/>
              </w:rPr>
            </w:pPr>
            <w:r w:rsidRPr="002C29D2">
              <w:rPr>
                <w:sz w:val="20"/>
                <w:szCs w:val="20"/>
              </w:rPr>
              <w:t>0.098</w:t>
            </w:r>
          </w:p>
        </w:tc>
      </w:tr>
      <w:tr w:rsidR="002C29D2" w:rsidRPr="002C29D2" w14:paraId="74E67355" w14:textId="77777777" w:rsidTr="00626FF9">
        <w:trPr>
          <w:trHeight w:val="320"/>
        </w:trPr>
        <w:tc>
          <w:tcPr>
            <w:tcW w:w="1435" w:type="dxa"/>
            <w:shd w:val="clear" w:color="auto" w:fill="auto"/>
            <w:noWrap/>
            <w:vAlign w:val="center"/>
          </w:tcPr>
          <w:p w14:paraId="5FE3C186" w14:textId="77777777" w:rsidR="00626FF9" w:rsidRPr="002C29D2" w:rsidRDefault="00626FF9" w:rsidP="00626FF9">
            <w:pPr>
              <w:rPr>
                <w:sz w:val="20"/>
                <w:szCs w:val="20"/>
              </w:rPr>
            </w:pPr>
            <w:r w:rsidRPr="002C29D2">
              <w:rPr>
                <w:sz w:val="20"/>
                <w:szCs w:val="20"/>
              </w:rPr>
              <w:t>NM -&gt; UI</w:t>
            </w:r>
          </w:p>
        </w:tc>
        <w:tc>
          <w:tcPr>
            <w:tcW w:w="970" w:type="dxa"/>
            <w:shd w:val="clear" w:color="auto" w:fill="auto"/>
            <w:noWrap/>
            <w:vAlign w:val="bottom"/>
          </w:tcPr>
          <w:p w14:paraId="3F842A5A" w14:textId="77777777" w:rsidR="00626FF9" w:rsidRPr="002C29D2" w:rsidRDefault="00626FF9" w:rsidP="00B63C4D">
            <w:pPr>
              <w:jc w:val="center"/>
              <w:rPr>
                <w:sz w:val="20"/>
                <w:szCs w:val="20"/>
              </w:rPr>
            </w:pPr>
            <w:r w:rsidRPr="002C29D2">
              <w:rPr>
                <w:sz w:val="20"/>
                <w:szCs w:val="20"/>
              </w:rPr>
              <w:t>-0.120</w:t>
            </w:r>
          </w:p>
        </w:tc>
        <w:tc>
          <w:tcPr>
            <w:tcW w:w="1134" w:type="dxa"/>
            <w:shd w:val="clear" w:color="auto" w:fill="auto"/>
            <w:noWrap/>
            <w:vAlign w:val="bottom"/>
          </w:tcPr>
          <w:p w14:paraId="4C5999CF" w14:textId="77777777" w:rsidR="00626FF9" w:rsidRPr="002C29D2" w:rsidRDefault="00626FF9" w:rsidP="00B63C4D">
            <w:pPr>
              <w:jc w:val="center"/>
              <w:rPr>
                <w:sz w:val="20"/>
                <w:szCs w:val="20"/>
              </w:rPr>
            </w:pPr>
            <w:r w:rsidRPr="002C29D2">
              <w:rPr>
                <w:sz w:val="20"/>
                <w:szCs w:val="20"/>
              </w:rPr>
              <w:t>1.952</w:t>
            </w:r>
          </w:p>
        </w:tc>
        <w:tc>
          <w:tcPr>
            <w:tcW w:w="992" w:type="dxa"/>
            <w:vAlign w:val="bottom"/>
          </w:tcPr>
          <w:p w14:paraId="246E6F3F" w14:textId="77777777" w:rsidR="00626FF9" w:rsidRPr="002C29D2" w:rsidRDefault="00626FF9" w:rsidP="00B63C4D">
            <w:pPr>
              <w:jc w:val="center"/>
              <w:rPr>
                <w:sz w:val="20"/>
                <w:szCs w:val="20"/>
              </w:rPr>
            </w:pPr>
            <w:r w:rsidRPr="002C29D2">
              <w:rPr>
                <w:sz w:val="20"/>
                <w:szCs w:val="20"/>
              </w:rPr>
              <w:t>0.051</w:t>
            </w:r>
          </w:p>
        </w:tc>
        <w:tc>
          <w:tcPr>
            <w:tcW w:w="992" w:type="dxa"/>
            <w:shd w:val="clear" w:color="auto" w:fill="auto"/>
            <w:noWrap/>
            <w:vAlign w:val="bottom"/>
          </w:tcPr>
          <w:p w14:paraId="3BAE7D95" w14:textId="77777777" w:rsidR="00626FF9" w:rsidRPr="002C29D2" w:rsidRDefault="00626FF9" w:rsidP="00B63C4D">
            <w:pPr>
              <w:jc w:val="center"/>
              <w:rPr>
                <w:sz w:val="20"/>
                <w:szCs w:val="20"/>
              </w:rPr>
            </w:pPr>
            <w:r w:rsidRPr="002C29D2">
              <w:rPr>
                <w:sz w:val="20"/>
                <w:szCs w:val="20"/>
              </w:rPr>
              <w:t>0.042</w:t>
            </w:r>
          </w:p>
        </w:tc>
        <w:tc>
          <w:tcPr>
            <w:tcW w:w="1122" w:type="dxa"/>
            <w:shd w:val="clear" w:color="auto" w:fill="auto"/>
            <w:noWrap/>
            <w:vAlign w:val="bottom"/>
          </w:tcPr>
          <w:p w14:paraId="301491B9" w14:textId="77777777" w:rsidR="00626FF9" w:rsidRPr="002C29D2" w:rsidRDefault="00626FF9" w:rsidP="00B63C4D">
            <w:pPr>
              <w:jc w:val="center"/>
              <w:rPr>
                <w:sz w:val="20"/>
                <w:szCs w:val="20"/>
              </w:rPr>
            </w:pPr>
            <w:r w:rsidRPr="002C29D2">
              <w:rPr>
                <w:sz w:val="20"/>
                <w:szCs w:val="20"/>
              </w:rPr>
              <w:t>0.438</w:t>
            </w:r>
          </w:p>
        </w:tc>
        <w:tc>
          <w:tcPr>
            <w:tcW w:w="863" w:type="dxa"/>
            <w:vAlign w:val="bottom"/>
          </w:tcPr>
          <w:p w14:paraId="202742D2" w14:textId="77777777" w:rsidR="00626FF9" w:rsidRPr="002C29D2" w:rsidRDefault="00626FF9" w:rsidP="00B63C4D">
            <w:pPr>
              <w:jc w:val="center"/>
              <w:rPr>
                <w:sz w:val="20"/>
                <w:szCs w:val="20"/>
              </w:rPr>
            </w:pPr>
            <w:r w:rsidRPr="002C29D2">
              <w:rPr>
                <w:sz w:val="20"/>
                <w:szCs w:val="20"/>
              </w:rPr>
              <w:t>0.662</w:t>
            </w:r>
          </w:p>
        </w:tc>
        <w:tc>
          <w:tcPr>
            <w:tcW w:w="1201" w:type="dxa"/>
            <w:shd w:val="clear" w:color="auto" w:fill="auto"/>
            <w:noWrap/>
            <w:vAlign w:val="bottom"/>
          </w:tcPr>
          <w:p w14:paraId="1D3B3940" w14:textId="77777777" w:rsidR="00626FF9" w:rsidRPr="002C29D2" w:rsidRDefault="00626FF9" w:rsidP="00B63C4D">
            <w:pPr>
              <w:jc w:val="center"/>
              <w:rPr>
                <w:sz w:val="20"/>
                <w:szCs w:val="20"/>
              </w:rPr>
            </w:pPr>
            <w:r w:rsidRPr="002C29D2">
              <w:rPr>
                <w:sz w:val="20"/>
                <w:szCs w:val="20"/>
              </w:rPr>
              <w:t>1.423</w:t>
            </w:r>
          </w:p>
        </w:tc>
        <w:tc>
          <w:tcPr>
            <w:tcW w:w="1067" w:type="dxa"/>
            <w:vAlign w:val="bottom"/>
          </w:tcPr>
          <w:p w14:paraId="04100041" w14:textId="77777777" w:rsidR="00626FF9" w:rsidRPr="002C29D2" w:rsidRDefault="00626FF9" w:rsidP="00B63C4D">
            <w:pPr>
              <w:jc w:val="center"/>
              <w:rPr>
                <w:sz w:val="20"/>
                <w:szCs w:val="20"/>
              </w:rPr>
            </w:pPr>
            <w:r w:rsidRPr="002C29D2">
              <w:rPr>
                <w:sz w:val="20"/>
                <w:szCs w:val="20"/>
              </w:rPr>
              <w:t>0.156</w:t>
            </w:r>
          </w:p>
        </w:tc>
      </w:tr>
    </w:tbl>
    <w:p w14:paraId="47E38D26" w14:textId="77777777" w:rsidR="00626FF9" w:rsidRPr="002C29D2" w:rsidRDefault="00626FF9" w:rsidP="00626FF9">
      <w:pPr>
        <w:rPr>
          <w:lang w:eastAsia="zh-TW"/>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70"/>
        <w:gridCol w:w="1134"/>
        <w:gridCol w:w="992"/>
        <w:gridCol w:w="992"/>
        <w:gridCol w:w="1122"/>
        <w:gridCol w:w="863"/>
        <w:gridCol w:w="1201"/>
        <w:gridCol w:w="1067"/>
      </w:tblGrid>
      <w:tr w:rsidR="002C29D2" w:rsidRPr="002C29D2" w14:paraId="30251BE8" w14:textId="77777777" w:rsidTr="00626FF9">
        <w:trPr>
          <w:trHeight w:val="320"/>
        </w:trPr>
        <w:tc>
          <w:tcPr>
            <w:tcW w:w="1435" w:type="dxa"/>
            <w:shd w:val="clear" w:color="auto" w:fill="auto"/>
            <w:noWrap/>
            <w:vAlign w:val="center"/>
            <w:hideMark/>
          </w:tcPr>
          <w:p w14:paraId="7FAABBA6" w14:textId="77777777" w:rsidR="00626FF9" w:rsidRPr="002C29D2" w:rsidRDefault="00626FF9" w:rsidP="00626FF9">
            <w:pPr>
              <w:jc w:val="center"/>
              <w:rPr>
                <w:b/>
                <w:bCs/>
                <w:sz w:val="20"/>
                <w:szCs w:val="20"/>
              </w:rPr>
            </w:pPr>
            <w:r w:rsidRPr="002C29D2">
              <w:rPr>
                <w:b/>
                <w:bCs/>
                <w:sz w:val="20"/>
                <w:szCs w:val="20"/>
              </w:rPr>
              <w:t xml:space="preserve">Average </w:t>
            </w:r>
            <w:r w:rsidRPr="002C29D2">
              <w:rPr>
                <w:b/>
                <w:bCs/>
                <w:sz w:val="20"/>
                <w:szCs w:val="20"/>
                <w:lang w:eastAsia="zh-TW"/>
              </w:rPr>
              <w:t xml:space="preserve">AI </w:t>
            </w:r>
            <w:r w:rsidRPr="002C29D2">
              <w:rPr>
                <w:b/>
                <w:bCs/>
                <w:sz w:val="20"/>
                <w:szCs w:val="20"/>
              </w:rPr>
              <w:t>usage time per week</w:t>
            </w:r>
          </w:p>
        </w:tc>
        <w:tc>
          <w:tcPr>
            <w:tcW w:w="3096" w:type="dxa"/>
            <w:gridSpan w:val="3"/>
            <w:shd w:val="clear" w:color="auto" w:fill="auto"/>
            <w:noWrap/>
            <w:vAlign w:val="center"/>
            <w:hideMark/>
          </w:tcPr>
          <w:p w14:paraId="53EDCF22" w14:textId="21747071" w:rsidR="00626FF9" w:rsidRPr="002C29D2" w:rsidRDefault="009E0809" w:rsidP="00626FF9">
            <w:pPr>
              <w:jc w:val="center"/>
              <w:rPr>
                <w:b/>
                <w:bCs/>
                <w:sz w:val="20"/>
                <w:szCs w:val="20"/>
              </w:rPr>
            </w:pPr>
            <w:r w:rsidRPr="002C29D2">
              <w:rPr>
                <w:b/>
                <w:bCs/>
                <w:sz w:val="20"/>
                <w:szCs w:val="20"/>
              </w:rPr>
              <w:t>Group 1</w:t>
            </w:r>
            <w:r w:rsidR="00626FF9" w:rsidRPr="002C29D2">
              <w:rPr>
                <w:b/>
                <w:bCs/>
                <w:sz w:val="20"/>
                <w:szCs w:val="20"/>
              </w:rPr>
              <w:t>: 7 hour and less than 7 hours per week (n = 237)</w:t>
            </w:r>
          </w:p>
        </w:tc>
        <w:tc>
          <w:tcPr>
            <w:tcW w:w="2977" w:type="dxa"/>
            <w:gridSpan w:val="3"/>
            <w:shd w:val="clear" w:color="auto" w:fill="auto"/>
            <w:noWrap/>
            <w:vAlign w:val="center"/>
            <w:hideMark/>
          </w:tcPr>
          <w:p w14:paraId="653020B1" w14:textId="4A486553" w:rsidR="00626FF9" w:rsidRPr="002C29D2" w:rsidRDefault="009E0809" w:rsidP="00626FF9">
            <w:pPr>
              <w:jc w:val="center"/>
              <w:rPr>
                <w:b/>
                <w:bCs/>
                <w:sz w:val="20"/>
                <w:szCs w:val="20"/>
              </w:rPr>
            </w:pPr>
            <w:r w:rsidRPr="002C29D2">
              <w:rPr>
                <w:b/>
                <w:bCs/>
                <w:sz w:val="20"/>
                <w:szCs w:val="20"/>
              </w:rPr>
              <w:t>Group 2</w:t>
            </w:r>
            <w:r w:rsidR="00626FF9" w:rsidRPr="002C29D2">
              <w:rPr>
                <w:b/>
                <w:bCs/>
                <w:sz w:val="20"/>
                <w:szCs w:val="20"/>
              </w:rPr>
              <w:t>: more than 7 hours per week (n = 167)</w:t>
            </w:r>
          </w:p>
        </w:tc>
        <w:tc>
          <w:tcPr>
            <w:tcW w:w="2268" w:type="dxa"/>
            <w:gridSpan w:val="2"/>
            <w:shd w:val="clear" w:color="auto" w:fill="auto"/>
            <w:noWrap/>
            <w:vAlign w:val="center"/>
            <w:hideMark/>
          </w:tcPr>
          <w:p w14:paraId="0263223C" w14:textId="4209FB22" w:rsidR="00626FF9" w:rsidRPr="002C29D2" w:rsidRDefault="009E0809" w:rsidP="00626FF9">
            <w:pPr>
              <w:jc w:val="center"/>
              <w:rPr>
                <w:b/>
                <w:bCs/>
                <w:sz w:val="20"/>
                <w:szCs w:val="20"/>
              </w:rPr>
            </w:pPr>
            <w:r w:rsidRPr="002C29D2">
              <w:rPr>
                <w:b/>
                <w:bCs/>
                <w:sz w:val="20"/>
                <w:szCs w:val="20"/>
              </w:rPr>
              <w:t>Group 1</w:t>
            </w:r>
            <w:r w:rsidR="00626FF9" w:rsidRPr="002C29D2">
              <w:rPr>
                <w:b/>
                <w:bCs/>
                <w:sz w:val="20"/>
                <w:szCs w:val="20"/>
              </w:rPr>
              <w:t xml:space="preserve"> vs</w:t>
            </w:r>
            <w:r w:rsidR="002A65E1" w:rsidRPr="002C29D2">
              <w:rPr>
                <w:b/>
                <w:bCs/>
                <w:sz w:val="20"/>
                <w:szCs w:val="20"/>
              </w:rPr>
              <w:t xml:space="preserve"> Group</w:t>
            </w:r>
            <w:r w:rsidR="00626FF9" w:rsidRPr="002C29D2">
              <w:rPr>
                <w:b/>
                <w:bCs/>
                <w:sz w:val="20"/>
                <w:szCs w:val="20"/>
              </w:rPr>
              <w:t xml:space="preserve"> 2</w:t>
            </w:r>
          </w:p>
        </w:tc>
      </w:tr>
      <w:tr w:rsidR="002C29D2" w:rsidRPr="002C29D2" w14:paraId="3DAAD716" w14:textId="77777777" w:rsidTr="00626FF9">
        <w:trPr>
          <w:trHeight w:val="320"/>
        </w:trPr>
        <w:tc>
          <w:tcPr>
            <w:tcW w:w="1435" w:type="dxa"/>
            <w:shd w:val="clear" w:color="auto" w:fill="auto"/>
            <w:noWrap/>
            <w:vAlign w:val="center"/>
          </w:tcPr>
          <w:p w14:paraId="1AAC7165" w14:textId="77777777" w:rsidR="00626FF9" w:rsidRPr="002C29D2" w:rsidRDefault="00626FF9" w:rsidP="00626FF9">
            <w:pPr>
              <w:jc w:val="center"/>
              <w:rPr>
                <w:sz w:val="20"/>
                <w:szCs w:val="20"/>
              </w:rPr>
            </w:pPr>
          </w:p>
        </w:tc>
        <w:tc>
          <w:tcPr>
            <w:tcW w:w="970" w:type="dxa"/>
            <w:shd w:val="clear" w:color="auto" w:fill="auto"/>
            <w:noWrap/>
            <w:vAlign w:val="center"/>
          </w:tcPr>
          <w:p w14:paraId="6486FF90" w14:textId="77777777" w:rsidR="00626FF9" w:rsidRPr="002C29D2" w:rsidRDefault="00626FF9" w:rsidP="00626FF9">
            <w:pPr>
              <w:jc w:val="center"/>
              <w:rPr>
                <w:sz w:val="20"/>
                <w:szCs w:val="20"/>
              </w:rPr>
            </w:pPr>
            <w:r w:rsidRPr="002C29D2">
              <w:rPr>
                <w:sz w:val="20"/>
                <w:szCs w:val="20"/>
              </w:rPr>
              <w:t>β</w:t>
            </w:r>
          </w:p>
        </w:tc>
        <w:tc>
          <w:tcPr>
            <w:tcW w:w="1134" w:type="dxa"/>
            <w:shd w:val="clear" w:color="auto" w:fill="auto"/>
            <w:noWrap/>
            <w:vAlign w:val="center"/>
          </w:tcPr>
          <w:p w14:paraId="2A072948" w14:textId="77777777" w:rsidR="00626FF9" w:rsidRPr="002C29D2" w:rsidRDefault="00626FF9" w:rsidP="00626FF9">
            <w:pPr>
              <w:jc w:val="center"/>
              <w:rPr>
                <w:sz w:val="20"/>
                <w:szCs w:val="20"/>
              </w:rPr>
            </w:pPr>
            <w:r w:rsidRPr="002C29D2">
              <w:rPr>
                <w:sz w:val="20"/>
                <w:szCs w:val="20"/>
              </w:rPr>
              <w:t>T statistics</w:t>
            </w:r>
          </w:p>
        </w:tc>
        <w:tc>
          <w:tcPr>
            <w:tcW w:w="992" w:type="dxa"/>
            <w:vAlign w:val="center"/>
          </w:tcPr>
          <w:p w14:paraId="6FC76D32" w14:textId="77777777" w:rsidR="00626FF9" w:rsidRPr="002C29D2" w:rsidRDefault="00626FF9" w:rsidP="00626FF9">
            <w:pPr>
              <w:jc w:val="center"/>
              <w:rPr>
                <w:sz w:val="20"/>
                <w:szCs w:val="20"/>
              </w:rPr>
            </w:pPr>
            <w:r w:rsidRPr="002C29D2">
              <w:rPr>
                <w:sz w:val="20"/>
                <w:szCs w:val="20"/>
              </w:rPr>
              <w:t>p</w:t>
            </w:r>
          </w:p>
        </w:tc>
        <w:tc>
          <w:tcPr>
            <w:tcW w:w="992" w:type="dxa"/>
            <w:shd w:val="clear" w:color="auto" w:fill="auto"/>
            <w:noWrap/>
            <w:vAlign w:val="center"/>
          </w:tcPr>
          <w:p w14:paraId="50B5004A" w14:textId="77777777" w:rsidR="00626FF9" w:rsidRPr="002C29D2" w:rsidRDefault="00626FF9" w:rsidP="00626FF9">
            <w:pPr>
              <w:jc w:val="center"/>
              <w:rPr>
                <w:sz w:val="20"/>
                <w:szCs w:val="20"/>
              </w:rPr>
            </w:pPr>
            <w:r w:rsidRPr="002C29D2">
              <w:rPr>
                <w:sz w:val="20"/>
                <w:szCs w:val="20"/>
              </w:rPr>
              <w:t>β</w:t>
            </w:r>
          </w:p>
        </w:tc>
        <w:tc>
          <w:tcPr>
            <w:tcW w:w="1122" w:type="dxa"/>
            <w:shd w:val="clear" w:color="auto" w:fill="auto"/>
            <w:noWrap/>
            <w:vAlign w:val="center"/>
          </w:tcPr>
          <w:p w14:paraId="4AD8EABA" w14:textId="77777777" w:rsidR="00626FF9" w:rsidRPr="002C29D2" w:rsidRDefault="00626FF9" w:rsidP="00626FF9">
            <w:pPr>
              <w:jc w:val="center"/>
              <w:rPr>
                <w:sz w:val="20"/>
                <w:szCs w:val="20"/>
              </w:rPr>
            </w:pPr>
            <w:r w:rsidRPr="002C29D2">
              <w:rPr>
                <w:sz w:val="20"/>
                <w:szCs w:val="20"/>
              </w:rPr>
              <w:t>T statistics</w:t>
            </w:r>
          </w:p>
        </w:tc>
        <w:tc>
          <w:tcPr>
            <w:tcW w:w="863" w:type="dxa"/>
            <w:vAlign w:val="center"/>
          </w:tcPr>
          <w:p w14:paraId="7EB1C539" w14:textId="77777777" w:rsidR="00626FF9" w:rsidRPr="002C29D2" w:rsidRDefault="00626FF9" w:rsidP="00626FF9">
            <w:pPr>
              <w:jc w:val="center"/>
              <w:rPr>
                <w:sz w:val="20"/>
                <w:szCs w:val="20"/>
              </w:rPr>
            </w:pPr>
            <w:r w:rsidRPr="002C29D2">
              <w:rPr>
                <w:sz w:val="20"/>
                <w:szCs w:val="20"/>
              </w:rPr>
              <w:t>p</w:t>
            </w:r>
          </w:p>
        </w:tc>
        <w:tc>
          <w:tcPr>
            <w:tcW w:w="1201" w:type="dxa"/>
            <w:shd w:val="clear" w:color="auto" w:fill="auto"/>
            <w:noWrap/>
            <w:vAlign w:val="center"/>
          </w:tcPr>
          <w:p w14:paraId="04E80BE1" w14:textId="77777777" w:rsidR="00626FF9" w:rsidRPr="002C29D2" w:rsidRDefault="00626FF9" w:rsidP="00626FF9">
            <w:pPr>
              <w:jc w:val="center"/>
              <w:rPr>
                <w:sz w:val="20"/>
                <w:szCs w:val="20"/>
              </w:rPr>
            </w:pPr>
            <w:r w:rsidRPr="002C29D2">
              <w:rPr>
                <w:sz w:val="20"/>
                <w:szCs w:val="20"/>
              </w:rPr>
              <w:t>T statistics</w:t>
            </w:r>
          </w:p>
        </w:tc>
        <w:tc>
          <w:tcPr>
            <w:tcW w:w="1067" w:type="dxa"/>
            <w:vAlign w:val="center"/>
          </w:tcPr>
          <w:p w14:paraId="551C6711" w14:textId="77777777" w:rsidR="00626FF9" w:rsidRPr="002C29D2" w:rsidRDefault="00626FF9" w:rsidP="00626FF9">
            <w:pPr>
              <w:jc w:val="center"/>
              <w:rPr>
                <w:sz w:val="20"/>
                <w:szCs w:val="20"/>
              </w:rPr>
            </w:pPr>
            <w:r w:rsidRPr="002C29D2">
              <w:rPr>
                <w:sz w:val="20"/>
                <w:szCs w:val="20"/>
              </w:rPr>
              <w:t>p</w:t>
            </w:r>
          </w:p>
        </w:tc>
      </w:tr>
      <w:tr w:rsidR="002C29D2" w:rsidRPr="002C29D2" w14:paraId="29B8FAFA" w14:textId="77777777" w:rsidTr="00626FF9">
        <w:trPr>
          <w:trHeight w:val="320"/>
        </w:trPr>
        <w:tc>
          <w:tcPr>
            <w:tcW w:w="1435" w:type="dxa"/>
            <w:shd w:val="clear" w:color="auto" w:fill="auto"/>
            <w:noWrap/>
            <w:vAlign w:val="center"/>
            <w:hideMark/>
          </w:tcPr>
          <w:p w14:paraId="5E0A2DA6" w14:textId="77777777" w:rsidR="00626FF9" w:rsidRPr="002C29D2" w:rsidRDefault="00626FF9" w:rsidP="00626FF9">
            <w:pPr>
              <w:rPr>
                <w:sz w:val="20"/>
                <w:szCs w:val="20"/>
              </w:rPr>
            </w:pPr>
            <w:r w:rsidRPr="002C29D2">
              <w:rPr>
                <w:sz w:val="20"/>
                <w:szCs w:val="20"/>
              </w:rPr>
              <w:t>AU -&gt; ATA</w:t>
            </w:r>
          </w:p>
        </w:tc>
        <w:tc>
          <w:tcPr>
            <w:tcW w:w="970" w:type="dxa"/>
            <w:shd w:val="clear" w:color="auto" w:fill="auto"/>
            <w:noWrap/>
            <w:vAlign w:val="bottom"/>
            <w:hideMark/>
          </w:tcPr>
          <w:p w14:paraId="47861E28" w14:textId="77777777" w:rsidR="00626FF9" w:rsidRPr="002C29D2" w:rsidRDefault="00626FF9" w:rsidP="00B63C4D">
            <w:pPr>
              <w:jc w:val="center"/>
              <w:rPr>
                <w:sz w:val="20"/>
                <w:szCs w:val="20"/>
              </w:rPr>
            </w:pPr>
            <w:r w:rsidRPr="002C29D2">
              <w:rPr>
                <w:sz w:val="20"/>
                <w:szCs w:val="20"/>
              </w:rPr>
              <w:t>-0.104</w:t>
            </w:r>
          </w:p>
        </w:tc>
        <w:tc>
          <w:tcPr>
            <w:tcW w:w="1134" w:type="dxa"/>
            <w:shd w:val="clear" w:color="auto" w:fill="auto"/>
            <w:noWrap/>
            <w:vAlign w:val="bottom"/>
            <w:hideMark/>
          </w:tcPr>
          <w:p w14:paraId="7F3FD119" w14:textId="77777777" w:rsidR="00626FF9" w:rsidRPr="002C29D2" w:rsidRDefault="00626FF9" w:rsidP="00B63C4D">
            <w:pPr>
              <w:jc w:val="center"/>
              <w:rPr>
                <w:sz w:val="20"/>
                <w:szCs w:val="20"/>
              </w:rPr>
            </w:pPr>
            <w:r w:rsidRPr="002C29D2">
              <w:rPr>
                <w:sz w:val="20"/>
                <w:szCs w:val="20"/>
              </w:rPr>
              <w:t>1.168</w:t>
            </w:r>
          </w:p>
        </w:tc>
        <w:tc>
          <w:tcPr>
            <w:tcW w:w="992" w:type="dxa"/>
            <w:vAlign w:val="bottom"/>
          </w:tcPr>
          <w:p w14:paraId="4E45B3DA" w14:textId="77777777" w:rsidR="00626FF9" w:rsidRPr="002C29D2" w:rsidRDefault="00626FF9" w:rsidP="00B63C4D">
            <w:pPr>
              <w:jc w:val="center"/>
              <w:rPr>
                <w:sz w:val="20"/>
                <w:szCs w:val="20"/>
              </w:rPr>
            </w:pPr>
            <w:r w:rsidRPr="002C29D2">
              <w:rPr>
                <w:sz w:val="20"/>
                <w:szCs w:val="20"/>
              </w:rPr>
              <w:t>0.243</w:t>
            </w:r>
          </w:p>
        </w:tc>
        <w:tc>
          <w:tcPr>
            <w:tcW w:w="992" w:type="dxa"/>
            <w:shd w:val="clear" w:color="auto" w:fill="auto"/>
            <w:noWrap/>
            <w:vAlign w:val="bottom"/>
            <w:hideMark/>
          </w:tcPr>
          <w:p w14:paraId="63119121" w14:textId="77777777" w:rsidR="00626FF9" w:rsidRPr="002C29D2" w:rsidRDefault="00626FF9" w:rsidP="00B63C4D">
            <w:pPr>
              <w:jc w:val="center"/>
              <w:rPr>
                <w:sz w:val="20"/>
                <w:szCs w:val="20"/>
              </w:rPr>
            </w:pPr>
            <w:r w:rsidRPr="002C29D2">
              <w:rPr>
                <w:sz w:val="20"/>
                <w:szCs w:val="20"/>
              </w:rPr>
              <w:t>0.004</w:t>
            </w:r>
          </w:p>
        </w:tc>
        <w:tc>
          <w:tcPr>
            <w:tcW w:w="1122" w:type="dxa"/>
            <w:shd w:val="clear" w:color="auto" w:fill="auto"/>
            <w:noWrap/>
            <w:vAlign w:val="bottom"/>
            <w:hideMark/>
          </w:tcPr>
          <w:p w14:paraId="33F97E26" w14:textId="77777777" w:rsidR="00626FF9" w:rsidRPr="002C29D2" w:rsidRDefault="00626FF9" w:rsidP="00B63C4D">
            <w:pPr>
              <w:jc w:val="center"/>
              <w:rPr>
                <w:sz w:val="20"/>
                <w:szCs w:val="20"/>
              </w:rPr>
            </w:pPr>
            <w:r w:rsidRPr="002C29D2">
              <w:rPr>
                <w:sz w:val="20"/>
                <w:szCs w:val="20"/>
              </w:rPr>
              <w:t>0.038</w:t>
            </w:r>
          </w:p>
        </w:tc>
        <w:tc>
          <w:tcPr>
            <w:tcW w:w="863" w:type="dxa"/>
            <w:vAlign w:val="bottom"/>
          </w:tcPr>
          <w:p w14:paraId="05694582" w14:textId="77777777" w:rsidR="00626FF9" w:rsidRPr="002C29D2" w:rsidRDefault="00626FF9" w:rsidP="00B63C4D">
            <w:pPr>
              <w:jc w:val="center"/>
              <w:rPr>
                <w:sz w:val="20"/>
                <w:szCs w:val="20"/>
              </w:rPr>
            </w:pPr>
            <w:r w:rsidRPr="002C29D2">
              <w:rPr>
                <w:sz w:val="20"/>
                <w:szCs w:val="20"/>
              </w:rPr>
              <w:t>0.969</w:t>
            </w:r>
          </w:p>
        </w:tc>
        <w:tc>
          <w:tcPr>
            <w:tcW w:w="1201" w:type="dxa"/>
            <w:shd w:val="clear" w:color="auto" w:fill="auto"/>
            <w:noWrap/>
            <w:vAlign w:val="bottom"/>
            <w:hideMark/>
          </w:tcPr>
          <w:p w14:paraId="329C4D91" w14:textId="77777777" w:rsidR="00626FF9" w:rsidRPr="002C29D2" w:rsidRDefault="00626FF9" w:rsidP="00B63C4D">
            <w:pPr>
              <w:jc w:val="center"/>
              <w:rPr>
                <w:sz w:val="20"/>
                <w:szCs w:val="20"/>
              </w:rPr>
            </w:pPr>
            <w:r w:rsidRPr="002C29D2">
              <w:rPr>
                <w:sz w:val="20"/>
                <w:szCs w:val="20"/>
              </w:rPr>
              <w:t>0.833</w:t>
            </w:r>
          </w:p>
        </w:tc>
        <w:tc>
          <w:tcPr>
            <w:tcW w:w="1067" w:type="dxa"/>
            <w:vAlign w:val="bottom"/>
          </w:tcPr>
          <w:p w14:paraId="31587623" w14:textId="77777777" w:rsidR="00626FF9" w:rsidRPr="002C29D2" w:rsidRDefault="00626FF9" w:rsidP="00B63C4D">
            <w:pPr>
              <w:jc w:val="center"/>
              <w:rPr>
                <w:sz w:val="20"/>
                <w:szCs w:val="20"/>
              </w:rPr>
            </w:pPr>
            <w:r w:rsidRPr="002C29D2">
              <w:rPr>
                <w:sz w:val="20"/>
                <w:szCs w:val="20"/>
              </w:rPr>
              <w:t>0.406</w:t>
            </w:r>
          </w:p>
        </w:tc>
      </w:tr>
      <w:tr w:rsidR="002C29D2" w:rsidRPr="002C29D2" w14:paraId="7AAEB870" w14:textId="77777777" w:rsidTr="00626FF9">
        <w:trPr>
          <w:trHeight w:val="320"/>
        </w:trPr>
        <w:tc>
          <w:tcPr>
            <w:tcW w:w="1435" w:type="dxa"/>
            <w:shd w:val="clear" w:color="auto" w:fill="auto"/>
            <w:noWrap/>
            <w:vAlign w:val="center"/>
            <w:hideMark/>
          </w:tcPr>
          <w:p w14:paraId="38810FA1" w14:textId="77777777" w:rsidR="00626FF9" w:rsidRPr="002C29D2" w:rsidRDefault="00626FF9" w:rsidP="00626FF9">
            <w:pPr>
              <w:rPr>
                <w:sz w:val="20"/>
                <w:szCs w:val="20"/>
              </w:rPr>
            </w:pPr>
            <w:r w:rsidRPr="002C29D2">
              <w:rPr>
                <w:sz w:val="20"/>
                <w:szCs w:val="20"/>
              </w:rPr>
              <w:t>AU -&gt; ENG</w:t>
            </w:r>
          </w:p>
        </w:tc>
        <w:tc>
          <w:tcPr>
            <w:tcW w:w="970" w:type="dxa"/>
            <w:shd w:val="clear" w:color="auto" w:fill="auto"/>
            <w:noWrap/>
            <w:vAlign w:val="bottom"/>
            <w:hideMark/>
          </w:tcPr>
          <w:p w14:paraId="4A415FEA" w14:textId="77777777" w:rsidR="00626FF9" w:rsidRPr="002C29D2" w:rsidRDefault="00626FF9" w:rsidP="00B63C4D">
            <w:pPr>
              <w:jc w:val="center"/>
              <w:rPr>
                <w:sz w:val="20"/>
                <w:szCs w:val="20"/>
              </w:rPr>
            </w:pPr>
            <w:r w:rsidRPr="002C29D2">
              <w:rPr>
                <w:sz w:val="20"/>
                <w:szCs w:val="20"/>
              </w:rPr>
              <w:t>0.168</w:t>
            </w:r>
          </w:p>
        </w:tc>
        <w:tc>
          <w:tcPr>
            <w:tcW w:w="1134" w:type="dxa"/>
            <w:shd w:val="clear" w:color="auto" w:fill="auto"/>
            <w:noWrap/>
            <w:vAlign w:val="bottom"/>
            <w:hideMark/>
          </w:tcPr>
          <w:p w14:paraId="49097856" w14:textId="77777777" w:rsidR="00626FF9" w:rsidRPr="002C29D2" w:rsidRDefault="00626FF9" w:rsidP="00B63C4D">
            <w:pPr>
              <w:jc w:val="center"/>
              <w:rPr>
                <w:sz w:val="20"/>
                <w:szCs w:val="20"/>
              </w:rPr>
            </w:pPr>
            <w:r w:rsidRPr="002C29D2">
              <w:rPr>
                <w:sz w:val="20"/>
                <w:szCs w:val="20"/>
              </w:rPr>
              <w:t>2.131</w:t>
            </w:r>
          </w:p>
        </w:tc>
        <w:tc>
          <w:tcPr>
            <w:tcW w:w="992" w:type="dxa"/>
            <w:vAlign w:val="bottom"/>
          </w:tcPr>
          <w:p w14:paraId="0B5A5D67" w14:textId="77777777" w:rsidR="00626FF9" w:rsidRPr="002C29D2" w:rsidRDefault="00626FF9" w:rsidP="00B63C4D">
            <w:pPr>
              <w:jc w:val="center"/>
              <w:rPr>
                <w:sz w:val="20"/>
                <w:szCs w:val="20"/>
              </w:rPr>
            </w:pPr>
            <w:r w:rsidRPr="002C29D2">
              <w:rPr>
                <w:sz w:val="20"/>
                <w:szCs w:val="20"/>
              </w:rPr>
              <w:t>0.033</w:t>
            </w:r>
          </w:p>
        </w:tc>
        <w:tc>
          <w:tcPr>
            <w:tcW w:w="992" w:type="dxa"/>
            <w:shd w:val="clear" w:color="auto" w:fill="auto"/>
            <w:noWrap/>
            <w:vAlign w:val="bottom"/>
            <w:hideMark/>
          </w:tcPr>
          <w:p w14:paraId="24BDE9F3" w14:textId="77777777" w:rsidR="00626FF9" w:rsidRPr="002C29D2" w:rsidRDefault="00626FF9" w:rsidP="00B63C4D">
            <w:pPr>
              <w:jc w:val="center"/>
              <w:rPr>
                <w:sz w:val="20"/>
                <w:szCs w:val="20"/>
              </w:rPr>
            </w:pPr>
            <w:r w:rsidRPr="002C29D2">
              <w:rPr>
                <w:sz w:val="20"/>
                <w:szCs w:val="20"/>
              </w:rPr>
              <w:t>0.182</w:t>
            </w:r>
          </w:p>
        </w:tc>
        <w:tc>
          <w:tcPr>
            <w:tcW w:w="1122" w:type="dxa"/>
            <w:shd w:val="clear" w:color="auto" w:fill="auto"/>
            <w:noWrap/>
            <w:vAlign w:val="bottom"/>
            <w:hideMark/>
          </w:tcPr>
          <w:p w14:paraId="24C4C53A" w14:textId="77777777" w:rsidR="00626FF9" w:rsidRPr="002C29D2" w:rsidRDefault="00626FF9" w:rsidP="00B63C4D">
            <w:pPr>
              <w:jc w:val="center"/>
              <w:rPr>
                <w:sz w:val="20"/>
                <w:szCs w:val="20"/>
              </w:rPr>
            </w:pPr>
            <w:r w:rsidRPr="002C29D2">
              <w:rPr>
                <w:sz w:val="20"/>
                <w:szCs w:val="20"/>
              </w:rPr>
              <w:t>2.803</w:t>
            </w:r>
          </w:p>
        </w:tc>
        <w:tc>
          <w:tcPr>
            <w:tcW w:w="863" w:type="dxa"/>
            <w:vAlign w:val="bottom"/>
          </w:tcPr>
          <w:p w14:paraId="2BCF1385" w14:textId="77777777" w:rsidR="00626FF9" w:rsidRPr="002C29D2" w:rsidRDefault="00626FF9" w:rsidP="00B63C4D">
            <w:pPr>
              <w:jc w:val="center"/>
              <w:rPr>
                <w:sz w:val="20"/>
                <w:szCs w:val="20"/>
              </w:rPr>
            </w:pPr>
            <w:r w:rsidRPr="002C29D2">
              <w:rPr>
                <w:sz w:val="20"/>
                <w:szCs w:val="20"/>
              </w:rPr>
              <w:t>0.005</w:t>
            </w:r>
          </w:p>
        </w:tc>
        <w:tc>
          <w:tcPr>
            <w:tcW w:w="1201" w:type="dxa"/>
            <w:shd w:val="clear" w:color="auto" w:fill="auto"/>
            <w:noWrap/>
            <w:vAlign w:val="bottom"/>
            <w:hideMark/>
          </w:tcPr>
          <w:p w14:paraId="422C99CD" w14:textId="77777777" w:rsidR="00626FF9" w:rsidRPr="002C29D2" w:rsidRDefault="00626FF9" w:rsidP="00B63C4D">
            <w:pPr>
              <w:jc w:val="center"/>
              <w:rPr>
                <w:sz w:val="20"/>
                <w:szCs w:val="20"/>
              </w:rPr>
            </w:pPr>
            <w:r w:rsidRPr="002C29D2">
              <w:rPr>
                <w:sz w:val="20"/>
                <w:szCs w:val="20"/>
              </w:rPr>
              <w:t>0.139</w:t>
            </w:r>
          </w:p>
        </w:tc>
        <w:tc>
          <w:tcPr>
            <w:tcW w:w="1067" w:type="dxa"/>
            <w:vAlign w:val="bottom"/>
          </w:tcPr>
          <w:p w14:paraId="44152810" w14:textId="77777777" w:rsidR="00626FF9" w:rsidRPr="002C29D2" w:rsidRDefault="00626FF9" w:rsidP="00B63C4D">
            <w:pPr>
              <w:jc w:val="center"/>
              <w:rPr>
                <w:sz w:val="20"/>
                <w:szCs w:val="20"/>
              </w:rPr>
            </w:pPr>
            <w:r w:rsidRPr="002C29D2">
              <w:rPr>
                <w:sz w:val="20"/>
                <w:szCs w:val="20"/>
              </w:rPr>
              <w:t>0.890</w:t>
            </w:r>
          </w:p>
        </w:tc>
      </w:tr>
      <w:tr w:rsidR="002C29D2" w:rsidRPr="002C29D2" w14:paraId="62E2CE76" w14:textId="77777777" w:rsidTr="00626FF9">
        <w:trPr>
          <w:trHeight w:val="320"/>
        </w:trPr>
        <w:tc>
          <w:tcPr>
            <w:tcW w:w="1435" w:type="dxa"/>
            <w:shd w:val="clear" w:color="auto" w:fill="auto"/>
            <w:noWrap/>
            <w:vAlign w:val="center"/>
            <w:hideMark/>
          </w:tcPr>
          <w:p w14:paraId="1BE69D98" w14:textId="77777777" w:rsidR="00626FF9" w:rsidRPr="002C29D2" w:rsidRDefault="00626FF9" w:rsidP="00626FF9">
            <w:pPr>
              <w:rPr>
                <w:b/>
                <w:bCs/>
                <w:sz w:val="20"/>
                <w:szCs w:val="20"/>
              </w:rPr>
            </w:pPr>
            <w:r w:rsidRPr="002C29D2">
              <w:rPr>
                <w:b/>
                <w:bCs/>
                <w:sz w:val="20"/>
                <w:szCs w:val="20"/>
              </w:rPr>
              <w:t>AU -&gt; SAT</w:t>
            </w:r>
          </w:p>
        </w:tc>
        <w:tc>
          <w:tcPr>
            <w:tcW w:w="970" w:type="dxa"/>
            <w:shd w:val="clear" w:color="auto" w:fill="auto"/>
            <w:noWrap/>
            <w:vAlign w:val="bottom"/>
            <w:hideMark/>
          </w:tcPr>
          <w:p w14:paraId="7938A243" w14:textId="77777777" w:rsidR="00626FF9" w:rsidRPr="002C29D2" w:rsidRDefault="00626FF9" w:rsidP="00B63C4D">
            <w:pPr>
              <w:jc w:val="center"/>
              <w:rPr>
                <w:b/>
                <w:bCs/>
                <w:sz w:val="20"/>
                <w:szCs w:val="20"/>
              </w:rPr>
            </w:pPr>
            <w:r w:rsidRPr="002C29D2">
              <w:rPr>
                <w:b/>
                <w:bCs/>
                <w:sz w:val="20"/>
                <w:szCs w:val="20"/>
              </w:rPr>
              <w:t>-0.031</w:t>
            </w:r>
          </w:p>
        </w:tc>
        <w:tc>
          <w:tcPr>
            <w:tcW w:w="1134" w:type="dxa"/>
            <w:shd w:val="clear" w:color="auto" w:fill="auto"/>
            <w:noWrap/>
            <w:vAlign w:val="bottom"/>
            <w:hideMark/>
          </w:tcPr>
          <w:p w14:paraId="0CB5E093" w14:textId="77777777" w:rsidR="00626FF9" w:rsidRPr="002C29D2" w:rsidRDefault="00626FF9" w:rsidP="00B63C4D">
            <w:pPr>
              <w:jc w:val="center"/>
              <w:rPr>
                <w:b/>
                <w:bCs/>
                <w:sz w:val="20"/>
                <w:szCs w:val="20"/>
              </w:rPr>
            </w:pPr>
            <w:r w:rsidRPr="002C29D2">
              <w:rPr>
                <w:b/>
                <w:bCs/>
                <w:sz w:val="20"/>
                <w:szCs w:val="20"/>
              </w:rPr>
              <w:t>0.416</w:t>
            </w:r>
          </w:p>
        </w:tc>
        <w:tc>
          <w:tcPr>
            <w:tcW w:w="992" w:type="dxa"/>
            <w:vAlign w:val="bottom"/>
          </w:tcPr>
          <w:p w14:paraId="3875212C" w14:textId="77777777" w:rsidR="00626FF9" w:rsidRPr="002C29D2" w:rsidRDefault="00626FF9" w:rsidP="00B63C4D">
            <w:pPr>
              <w:jc w:val="center"/>
              <w:rPr>
                <w:b/>
                <w:bCs/>
                <w:sz w:val="20"/>
                <w:szCs w:val="20"/>
              </w:rPr>
            </w:pPr>
            <w:r w:rsidRPr="002C29D2">
              <w:rPr>
                <w:b/>
                <w:bCs/>
                <w:sz w:val="20"/>
                <w:szCs w:val="20"/>
              </w:rPr>
              <w:t>0.677</w:t>
            </w:r>
          </w:p>
        </w:tc>
        <w:tc>
          <w:tcPr>
            <w:tcW w:w="992" w:type="dxa"/>
            <w:shd w:val="clear" w:color="auto" w:fill="auto"/>
            <w:noWrap/>
            <w:vAlign w:val="bottom"/>
            <w:hideMark/>
          </w:tcPr>
          <w:p w14:paraId="0086708D" w14:textId="77777777" w:rsidR="00626FF9" w:rsidRPr="002C29D2" w:rsidRDefault="00626FF9" w:rsidP="00B63C4D">
            <w:pPr>
              <w:jc w:val="center"/>
              <w:rPr>
                <w:b/>
                <w:bCs/>
                <w:sz w:val="20"/>
                <w:szCs w:val="20"/>
              </w:rPr>
            </w:pPr>
            <w:r w:rsidRPr="002C29D2">
              <w:rPr>
                <w:b/>
                <w:bCs/>
                <w:sz w:val="20"/>
                <w:szCs w:val="20"/>
              </w:rPr>
              <w:t>0.186</w:t>
            </w:r>
          </w:p>
        </w:tc>
        <w:tc>
          <w:tcPr>
            <w:tcW w:w="1122" w:type="dxa"/>
            <w:shd w:val="clear" w:color="auto" w:fill="auto"/>
            <w:noWrap/>
            <w:vAlign w:val="bottom"/>
            <w:hideMark/>
          </w:tcPr>
          <w:p w14:paraId="4098835A" w14:textId="77777777" w:rsidR="00626FF9" w:rsidRPr="002C29D2" w:rsidRDefault="00626FF9" w:rsidP="00B63C4D">
            <w:pPr>
              <w:jc w:val="center"/>
              <w:rPr>
                <w:b/>
                <w:bCs/>
                <w:sz w:val="20"/>
                <w:szCs w:val="20"/>
              </w:rPr>
            </w:pPr>
            <w:r w:rsidRPr="002C29D2">
              <w:rPr>
                <w:b/>
                <w:bCs/>
                <w:sz w:val="20"/>
                <w:szCs w:val="20"/>
              </w:rPr>
              <w:t>2.851</w:t>
            </w:r>
          </w:p>
        </w:tc>
        <w:tc>
          <w:tcPr>
            <w:tcW w:w="863" w:type="dxa"/>
            <w:vAlign w:val="bottom"/>
          </w:tcPr>
          <w:p w14:paraId="35F3DB07" w14:textId="77777777" w:rsidR="00626FF9" w:rsidRPr="002C29D2" w:rsidRDefault="00626FF9" w:rsidP="00B63C4D">
            <w:pPr>
              <w:jc w:val="center"/>
              <w:rPr>
                <w:b/>
                <w:bCs/>
                <w:sz w:val="20"/>
                <w:szCs w:val="20"/>
              </w:rPr>
            </w:pPr>
            <w:r w:rsidRPr="002C29D2">
              <w:rPr>
                <w:b/>
                <w:bCs/>
                <w:sz w:val="20"/>
                <w:szCs w:val="20"/>
              </w:rPr>
              <w:t>0.004</w:t>
            </w:r>
          </w:p>
        </w:tc>
        <w:tc>
          <w:tcPr>
            <w:tcW w:w="1201" w:type="dxa"/>
            <w:shd w:val="clear" w:color="auto" w:fill="auto"/>
            <w:noWrap/>
            <w:vAlign w:val="bottom"/>
            <w:hideMark/>
          </w:tcPr>
          <w:p w14:paraId="67267DD9" w14:textId="77777777" w:rsidR="00626FF9" w:rsidRPr="002C29D2" w:rsidRDefault="00626FF9" w:rsidP="00B63C4D">
            <w:pPr>
              <w:jc w:val="center"/>
              <w:rPr>
                <w:b/>
                <w:bCs/>
                <w:sz w:val="20"/>
                <w:szCs w:val="20"/>
              </w:rPr>
            </w:pPr>
            <w:r w:rsidRPr="002C29D2">
              <w:rPr>
                <w:b/>
                <w:bCs/>
                <w:sz w:val="20"/>
                <w:szCs w:val="20"/>
              </w:rPr>
              <w:t>2.212</w:t>
            </w:r>
          </w:p>
        </w:tc>
        <w:tc>
          <w:tcPr>
            <w:tcW w:w="1067" w:type="dxa"/>
            <w:vAlign w:val="bottom"/>
          </w:tcPr>
          <w:p w14:paraId="4AB6D3A9" w14:textId="77777777" w:rsidR="00626FF9" w:rsidRPr="002C29D2" w:rsidRDefault="00626FF9" w:rsidP="00B63C4D">
            <w:pPr>
              <w:jc w:val="center"/>
              <w:rPr>
                <w:b/>
                <w:bCs/>
                <w:sz w:val="20"/>
                <w:szCs w:val="20"/>
              </w:rPr>
            </w:pPr>
            <w:r w:rsidRPr="002C29D2">
              <w:rPr>
                <w:b/>
                <w:bCs/>
                <w:sz w:val="20"/>
                <w:szCs w:val="20"/>
              </w:rPr>
              <w:t>0.028</w:t>
            </w:r>
          </w:p>
        </w:tc>
      </w:tr>
      <w:tr w:rsidR="002C29D2" w:rsidRPr="002C29D2" w14:paraId="584F85F9" w14:textId="77777777" w:rsidTr="00626FF9">
        <w:trPr>
          <w:trHeight w:val="320"/>
        </w:trPr>
        <w:tc>
          <w:tcPr>
            <w:tcW w:w="1435" w:type="dxa"/>
            <w:shd w:val="clear" w:color="auto" w:fill="auto"/>
            <w:noWrap/>
            <w:vAlign w:val="center"/>
            <w:hideMark/>
          </w:tcPr>
          <w:p w14:paraId="32177D6E" w14:textId="77777777" w:rsidR="00626FF9" w:rsidRPr="002C29D2" w:rsidRDefault="00626FF9" w:rsidP="00626FF9">
            <w:pPr>
              <w:rPr>
                <w:sz w:val="20"/>
                <w:szCs w:val="20"/>
              </w:rPr>
            </w:pPr>
            <w:r w:rsidRPr="002C29D2">
              <w:rPr>
                <w:sz w:val="20"/>
                <w:szCs w:val="20"/>
              </w:rPr>
              <w:t>AU -&gt; UI</w:t>
            </w:r>
          </w:p>
        </w:tc>
        <w:tc>
          <w:tcPr>
            <w:tcW w:w="970" w:type="dxa"/>
            <w:shd w:val="clear" w:color="auto" w:fill="auto"/>
            <w:noWrap/>
            <w:vAlign w:val="bottom"/>
            <w:hideMark/>
          </w:tcPr>
          <w:p w14:paraId="4A33A267" w14:textId="77777777" w:rsidR="00626FF9" w:rsidRPr="002C29D2" w:rsidRDefault="00626FF9" w:rsidP="00B63C4D">
            <w:pPr>
              <w:jc w:val="center"/>
              <w:rPr>
                <w:sz w:val="20"/>
                <w:szCs w:val="20"/>
              </w:rPr>
            </w:pPr>
            <w:r w:rsidRPr="002C29D2">
              <w:rPr>
                <w:sz w:val="20"/>
                <w:szCs w:val="20"/>
              </w:rPr>
              <w:t>0.070</w:t>
            </w:r>
          </w:p>
        </w:tc>
        <w:tc>
          <w:tcPr>
            <w:tcW w:w="1134" w:type="dxa"/>
            <w:shd w:val="clear" w:color="auto" w:fill="auto"/>
            <w:noWrap/>
            <w:vAlign w:val="bottom"/>
            <w:hideMark/>
          </w:tcPr>
          <w:p w14:paraId="39EA2129" w14:textId="77777777" w:rsidR="00626FF9" w:rsidRPr="002C29D2" w:rsidRDefault="00626FF9" w:rsidP="00B63C4D">
            <w:pPr>
              <w:jc w:val="center"/>
              <w:rPr>
                <w:sz w:val="20"/>
                <w:szCs w:val="20"/>
              </w:rPr>
            </w:pPr>
            <w:r w:rsidRPr="002C29D2">
              <w:rPr>
                <w:sz w:val="20"/>
                <w:szCs w:val="20"/>
              </w:rPr>
              <w:t>0.898</w:t>
            </w:r>
          </w:p>
        </w:tc>
        <w:tc>
          <w:tcPr>
            <w:tcW w:w="992" w:type="dxa"/>
            <w:vAlign w:val="bottom"/>
          </w:tcPr>
          <w:p w14:paraId="6606F044" w14:textId="77777777" w:rsidR="00626FF9" w:rsidRPr="002C29D2" w:rsidRDefault="00626FF9" w:rsidP="00B63C4D">
            <w:pPr>
              <w:jc w:val="center"/>
              <w:rPr>
                <w:sz w:val="20"/>
                <w:szCs w:val="20"/>
              </w:rPr>
            </w:pPr>
            <w:r w:rsidRPr="002C29D2">
              <w:rPr>
                <w:sz w:val="20"/>
                <w:szCs w:val="20"/>
              </w:rPr>
              <w:t>0.369</w:t>
            </w:r>
          </w:p>
        </w:tc>
        <w:tc>
          <w:tcPr>
            <w:tcW w:w="992" w:type="dxa"/>
            <w:shd w:val="clear" w:color="auto" w:fill="auto"/>
            <w:noWrap/>
            <w:vAlign w:val="bottom"/>
            <w:hideMark/>
          </w:tcPr>
          <w:p w14:paraId="333C60C2" w14:textId="77777777" w:rsidR="00626FF9" w:rsidRPr="002C29D2" w:rsidRDefault="00626FF9" w:rsidP="00B63C4D">
            <w:pPr>
              <w:jc w:val="center"/>
              <w:rPr>
                <w:sz w:val="20"/>
                <w:szCs w:val="20"/>
              </w:rPr>
            </w:pPr>
            <w:r w:rsidRPr="002C29D2">
              <w:rPr>
                <w:sz w:val="20"/>
                <w:szCs w:val="20"/>
              </w:rPr>
              <w:t>0.053</w:t>
            </w:r>
          </w:p>
        </w:tc>
        <w:tc>
          <w:tcPr>
            <w:tcW w:w="1122" w:type="dxa"/>
            <w:shd w:val="clear" w:color="auto" w:fill="auto"/>
            <w:noWrap/>
            <w:vAlign w:val="bottom"/>
            <w:hideMark/>
          </w:tcPr>
          <w:p w14:paraId="2E58B637" w14:textId="77777777" w:rsidR="00626FF9" w:rsidRPr="002C29D2" w:rsidRDefault="00626FF9" w:rsidP="00B63C4D">
            <w:pPr>
              <w:jc w:val="center"/>
              <w:rPr>
                <w:sz w:val="20"/>
                <w:szCs w:val="20"/>
              </w:rPr>
            </w:pPr>
            <w:r w:rsidRPr="002C29D2">
              <w:rPr>
                <w:sz w:val="20"/>
                <w:szCs w:val="20"/>
              </w:rPr>
              <w:t>0.661</w:t>
            </w:r>
          </w:p>
        </w:tc>
        <w:tc>
          <w:tcPr>
            <w:tcW w:w="863" w:type="dxa"/>
            <w:vAlign w:val="bottom"/>
          </w:tcPr>
          <w:p w14:paraId="1C531740" w14:textId="77777777" w:rsidR="00626FF9" w:rsidRPr="002C29D2" w:rsidRDefault="00626FF9" w:rsidP="00B63C4D">
            <w:pPr>
              <w:jc w:val="center"/>
              <w:rPr>
                <w:sz w:val="20"/>
                <w:szCs w:val="20"/>
              </w:rPr>
            </w:pPr>
            <w:r w:rsidRPr="002C29D2">
              <w:rPr>
                <w:sz w:val="20"/>
                <w:szCs w:val="20"/>
              </w:rPr>
              <w:t>0.509</w:t>
            </w:r>
          </w:p>
        </w:tc>
        <w:tc>
          <w:tcPr>
            <w:tcW w:w="1201" w:type="dxa"/>
            <w:shd w:val="clear" w:color="auto" w:fill="auto"/>
            <w:noWrap/>
            <w:vAlign w:val="bottom"/>
            <w:hideMark/>
          </w:tcPr>
          <w:p w14:paraId="3AAFBFBA" w14:textId="77777777" w:rsidR="00626FF9" w:rsidRPr="002C29D2" w:rsidRDefault="00626FF9" w:rsidP="00B63C4D">
            <w:pPr>
              <w:jc w:val="center"/>
              <w:rPr>
                <w:sz w:val="20"/>
                <w:szCs w:val="20"/>
              </w:rPr>
            </w:pPr>
            <w:r w:rsidRPr="002C29D2">
              <w:rPr>
                <w:sz w:val="20"/>
                <w:szCs w:val="20"/>
              </w:rPr>
              <w:t>0.149</w:t>
            </w:r>
          </w:p>
        </w:tc>
        <w:tc>
          <w:tcPr>
            <w:tcW w:w="1067" w:type="dxa"/>
            <w:vAlign w:val="bottom"/>
          </w:tcPr>
          <w:p w14:paraId="035B155F" w14:textId="77777777" w:rsidR="00626FF9" w:rsidRPr="002C29D2" w:rsidRDefault="00626FF9" w:rsidP="00B63C4D">
            <w:pPr>
              <w:jc w:val="center"/>
              <w:rPr>
                <w:sz w:val="20"/>
                <w:szCs w:val="20"/>
              </w:rPr>
            </w:pPr>
            <w:r w:rsidRPr="002C29D2">
              <w:rPr>
                <w:sz w:val="20"/>
                <w:szCs w:val="20"/>
              </w:rPr>
              <w:t>0.882</w:t>
            </w:r>
          </w:p>
        </w:tc>
      </w:tr>
      <w:tr w:rsidR="002C29D2" w:rsidRPr="002C29D2" w14:paraId="20C1278D" w14:textId="77777777" w:rsidTr="00626FF9">
        <w:trPr>
          <w:trHeight w:val="320"/>
        </w:trPr>
        <w:tc>
          <w:tcPr>
            <w:tcW w:w="1435" w:type="dxa"/>
            <w:shd w:val="clear" w:color="auto" w:fill="auto"/>
            <w:noWrap/>
            <w:vAlign w:val="center"/>
            <w:hideMark/>
          </w:tcPr>
          <w:p w14:paraId="7DD37E97" w14:textId="77777777" w:rsidR="00626FF9" w:rsidRPr="002C29D2" w:rsidRDefault="00626FF9" w:rsidP="00626FF9">
            <w:pPr>
              <w:rPr>
                <w:sz w:val="20"/>
                <w:szCs w:val="20"/>
              </w:rPr>
            </w:pPr>
            <w:r w:rsidRPr="002C29D2">
              <w:rPr>
                <w:sz w:val="20"/>
                <w:szCs w:val="20"/>
              </w:rPr>
              <w:t>BE -&gt; ATA</w:t>
            </w:r>
          </w:p>
        </w:tc>
        <w:tc>
          <w:tcPr>
            <w:tcW w:w="970" w:type="dxa"/>
            <w:shd w:val="clear" w:color="auto" w:fill="auto"/>
            <w:noWrap/>
            <w:vAlign w:val="bottom"/>
            <w:hideMark/>
          </w:tcPr>
          <w:p w14:paraId="35AC5E98" w14:textId="77777777" w:rsidR="00626FF9" w:rsidRPr="002C29D2" w:rsidRDefault="00626FF9" w:rsidP="00B63C4D">
            <w:pPr>
              <w:jc w:val="center"/>
              <w:rPr>
                <w:sz w:val="20"/>
                <w:szCs w:val="20"/>
              </w:rPr>
            </w:pPr>
            <w:r w:rsidRPr="002C29D2">
              <w:rPr>
                <w:sz w:val="20"/>
                <w:szCs w:val="20"/>
              </w:rPr>
              <w:t>0.153</w:t>
            </w:r>
          </w:p>
        </w:tc>
        <w:tc>
          <w:tcPr>
            <w:tcW w:w="1134" w:type="dxa"/>
            <w:shd w:val="clear" w:color="auto" w:fill="auto"/>
            <w:noWrap/>
            <w:vAlign w:val="bottom"/>
            <w:hideMark/>
          </w:tcPr>
          <w:p w14:paraId="30B5AAE3" w14:textId="77777777" w:rsidR="00626FF9" w:rsidRPr="002C29D2" w:rsidRDefault="00626FF9" w:rsidP="00B63C4D">
            <w:pPr>
              <w:jc w:val="center"/>
              <w:rPr>
                <w:sz w:val="20"/>
                <w:szCs w:val="20"/>
              </w:rPr>
            </w:pPr>
            <w:r w:rsidRPr="002C29D2">
              <w:rPr>
                <w:sz w:val="20"/>
                <w:szCs w:val="20"/>
              </w:rPr>
              <w:t>1.505</w:t>
            </w:r>
          </w:p>
        </w:tc>
        <w:tc>
          <w:tcPr>
            <w:tcW w:w="992" w:type="dxa"/>
            <w:vAlign w:val="bottom"/>
          </w:tcPr>
          <w:p w14:paraId="44698CBF" w14:textId="77777777" w:rsidR="00626FF9" w:rsidRPr="002C29D2" w:rsidRDefault="00626FF9" w:rsidP="00B63C4D">
            <w:pPr>
              <w:jc w:val="center"/>
              <w:rPr>
                <w:sz w:val="20"/>
                <w:szCs w:val="20"/>
              </w:rPr>
            </w:pPr>
            <w:r w:rsidRPr="002C29D2">
              <w:rPr>
                <w:sz w:val="20"/>
                <w:szCs w:val="20"/>
              </w:rPr>
              <w:t>0.132</w:t>
            </w:r>
          </w:p>
        </w:tc>
        <w:tc>
          <w:tcPr>
            <w:tcW w:w="992" w:type="dxa"/>
            <w:shd w:val="clear" w:color="auto" w:fill="auto"/>
            <w:noWrap/>
            <w:vAlign w:val="bottom"/>
            <w:hideMark/>
          </w:tcPr>
          <w:p w14:paraId="204963C4" w14:textId="77777777" w:rsidR="00626FF9" w:rsidRPr="002C29D2" w:rsidRDefault="00626FF9" w:rsidP="00B63C4D">
            <w:pPr>
              <w:jc w:val="center"/>
              <w:rPr>
                <w:sz w:val="20"/>
                <w:szCs w:val="20"/>
              </w:rPr>
            </w:pPr>
            <w:r w:rsidRPr="002C29D2">
              <w:rPr>
                <w:sz w:val="20"/>
                <w:szCs w:val="20"/>
              </w:rPr>
              <w:t>0.196</w:t>
            </w:r>
          </w:p>
        </w:tc>
        <w:tc>
          <w:tcPr>
            <w:tcW w:w="1122" w:type="dxa"/>
            <w:shd w:val="clear" w:color="auto" w:fill="auto"/>
            <w:noWrap/>
            <w:vAlign w:val="bottom"/>
            <w:hideMark/>
          </w:tcPr>
          <w:p w14:paraId="3A850AA7" w14:textId="77777777" w:rsidR="00626FF9" w:rsidRPr="002C29D2" w:rsidRDefault="00626FF9" w:rsidP="00B63C4D">
            <w:pPr>
              <w:jc w:val="center"/>
              <w:rPr>
                <w:sz w:val="20"/>
                <w:szCs w:val="20"/>
              </w:rPr>
            </w:pPr>
            <w:r w:rsidRPr="002C29D2">
              <w:rPr>
                <w:sz w:val="20"/>
                <w:szCs w:val="20"/>
              </w:rPr>
              <w:t>2.046</w:t>
            </w:r>
          </w:p>
        </w:tc>
        <w:tc>
          <w:tcPr>
            <w:tcW w:w="863" w:type="dxa"/>
            <w:vAlign w:val="bottom"/>
          </w:tcPr>
          <w:p w14:paraId="1CF68834" w14:textId="77777777" w:rsidR="00626FF9" w:rsidRPr="002C29D2" w:rsidRDefault="00626FF9" w:rsidP="00B63C4D">
            <w:pPr>
              <w:jc w:val="center"/>
              <w:rPr>
                <w:sz w:val="20"/>
                <w:szCs w:val="20"/>
              </w:rPr>
            </w:pPr>
            <w:r w:rsidRPr="002C29D2">
              <w:rPr>
                <w:sz w:val="20"/>
                <w:szCs w:val="20"/>
              </w:rPr>
              <w:t>0.041</w:t>
            </w:r>
          </w:p>
        </w:tc>
        <w:tc>
          <w:tcPr>
            <w:tcW w:w="1201" w:type="dxa"/>
            <w:shd w:val="clear" w:color="auto" w:fill="auto"/>
            <w:noWrap/>
            <w:vAlign w:val="bottom"/>
            <w:hideMark/>
          </w:tcPr>
          <w:p w14:paraId="38D3FD12" w14:textId="77777777" w:rsidR="00626FF9" w:rsidRPr="002C29D2" w:rsidRDefault="00626FF9" w:rsidP="00B63C4D">
            <w:pPr>
              <w:jc w:val="center"/>
              <w:rPr>
                <w:sz w:val="20"/>
                <w:szCs w:val="20"/>
              </w:rPr>
            </w:pPr>
            <w:r w:rsidRPr="002C29D2">
              <w:rPr>
                <w:sz w:val="20"/>
                <w:szCs w:val="20"/>
              </w:rPr>
              <w:t>0.307</w:t>
            </w:r>
          </w:p>
        </w:tc>
        <w:tc>
          <w:tcPr>
            <w:tcW w:w="1067" w:type="dxa"/>
            <w:vAlign w:val="bottom"/>
          </w:tcPr>
          <w:p w14:paraId="37A06EA3" w14:textId="77777777" w:rsidR="00626FF9" w:rsidRPr="002C29D2" w:rsidRDefault="00626FF9" w:rsidP="00B63C4D">
            <w:pPr>
              <w:jc w:val="center"/>
              <w:rPr>
                <w:sz w:val="20"/>
                <w:szCs w:val="20"/>
              </w:rPr>
            </w:pPr>
            <w:r w:rsidRPr="002C29D2">
              <w:rPr>
                <w:sz w:val="20"/>
                <w:szCs w:val="20"/>
              </w:rPr>
              <w:t>0.759</w:t>
            </w:r>
          </w:p>
        </w:tc>
      </w:tr>
      <w:tr w:rsidR="002C29D2" w:rsidRPr="002C29D2" w14:paraId="0F31773A" w14:textId="77777777" w:rsidTr="00626FF9">
        <w:trPr>
          <w:trHeight w:val="320"/>
        </w:trPr>
        <w:tc>
          <w:tcPr>
            <w:tcW w:w="1435" w:type="dxa"/>
            <w:shd w:val="clear" w:color="auto" w:fill="auto"/>
            <w:noWrap/>
            <w:vAlign w:val="center"/>
            <w:hideMark/>
          </w:tcPr>
          <w:p w14:paraId="2D1718E0" w14:textId="77777777" w:rsidR="00626FF9" w:rsidRPr="002C29D2" w:rsidRDefault="00626FF9" w:rsidP="00626FF9">
            <w:pPr>
              <w:rPr>
                <w:sz w:val="20"/>
                <w:szCs w:val="20"/>
              </w:rPr>
            </w:pPr>
            <w:r w:rsidRPr="002C29D2">
              <w:rPr>
                <w:sz w:val="20"/>
                <w:szCs w:val="20"/>
              </w:rPr>
              <w:t>BE -&gt; ENG</w:t>
            </w:r>
          </w:p>
        </w:tc>
        <w:tc>
          <w:tcPr>
            <w:tcW w:w="970" w:type="dxa"/>
            <w:shd w:val="clear" w:color="auto" w:fill="auto"/>
            <w:noWrap/>
            <w:vAlign w:val="bottom"/>
            <w:hideMark/>
          </w:tcPr>
          <w:p w14:paraId="6A221C3E" w14:textId="77777777" w:rsidR="00626FF9" w:rsidRPr="002C29D2" w:rsidRDefault="00626FF9" w:rsidP="00B63C4D">
            <w:pPr>
              <w:jc w:val="center"/>
              <w:rPr>
                <w:sz w:val="20"/>
                <w:szCs w:val="20"/>
              </w:rPr>
            </w:pPr>
            <w:r w:rsidRPr="002C29D2">
              <w:rPr>
                <w:sz w:val="20"/>
                <w:szCs w:val="20"/>
              </w:rPr>
              <w:t>0.255</w:t>
            </w:r>
          </w:p>
        </w:tc>
        <w:tc>
          <w:tcPr>
            <w:tcW w:w="1134" w:type="dxa"/>
            <w:shd w:val="clear" w:color="auto" w:fill="auto"/>
            <w:noWrap/>
            <w:vAlign w:val="bottom"/>
            <w:hideMark/>
          </w:tcPr>
          <w:p w14:paraId="39A272AE" w14:textId="77777777" w:rsidR="00626FF9" w:rsidRPr="002C29D2" w:rsidRDefault="00626FF9" w:rsidP="00B63C4D">
            <w:pPr>
              <w:jc w:val="center"/>
              <w:rPr>
                <w:sz w:val="20"/>
                <w:szCs w:val="20"/>
              </w:rPr>
            </w:pPr>
            <w:r w:rsidRPr="002C29D2">
              <w:rPr>
                <w:sz w:val="20"/>
                <w:szCs w:val="20"/>
              </w:rPr>
              <w:t>3.578</w:t>
            </w:r>
          </w:p>
        </w:tc>
        <w:tc>
          <w:tcPr>
            <w:tcW w:w="992" w:type="dxa"/>
            <w:vAlign w:val="bottom"/>
          </w:tcPr>
          <w:p w14:paraId="2816563A"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hideMark/>
          </w:tcPr>
          <w:p w14:paraId="7BF6C0D0" w14:textId="77777777" w:rsidR="00626FF9" w:rsidRPr="002C29D2" w:rsidRDefault="00626FF9" w:rsidP="00B63C4D">
            <w:pPr>
              <w:jc w:val="center"/>
              <w:rPr>
                <w:sz w:val="20"/>
                <w:szCs w:val="20"/>
              </w:rPr>
            </w:pPr>
            <w:r w:rsidRPr="002C29D2">
              <w:rPr>
                <w:sz w:val="20"/>
                <w:szCs w:val="20"/>
              </w:rPr>
              <w:t>0.332</w:t>
            </w:r>
          </w:p>
        </w:tc>
        <w:tc>
          <w:tcPr>
            <w:tcW w:w="1122" w:type="dxa"/>
            <w:shd w:val="clear" w:color="auto" w:fill="auto"/>
            <w:noWrap/>
            <w:vAlign w:val="bottom"/>
            <w:hideMark/>
          </w:tcPr>
          <w:p w14:paraId="444FF249" w14:textId="77777777" w:rsidR="00626FF9" w:rsidRPr="002C29D2" w:rsidRDefault="00626FF9" w:rsidP="00B63C4D">
            <w:pPr>
              <w:jc w:val="center"/>
              <w:rPr>
                <w:sz w:val="20"/>
                <w:szCs w:val="20"/>
              </w:rPr>
            </w:pPr>
            <w:r w:rsidRPr="002C29D2">
              <w:rPr>
                <w:sz w:val="20"/>
                <w:szCs w:val="20"/>
              </w:rPr>
              <w:t>4.176</w:t>
            </w:r>
          </w:p>
        </w:tc>
        <w:tc>
          <w:tcPr>
            <w:tcW w:w="863" w:type="dxa"/>
            <w:vAlign w:val="bottom"/>
          </w:tcPr>
          <w:p w14:paraId="4A0EA4C6"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2ED419FF" w14:textId="77777777" w:rsidR="00626FF9" w:rsidRPr="002C29D2" w:rsidRDefault="00626FF9" w:rsidP="00B63C4D">
            <w:pPr>
              <w:jc w:val="center"/>
              <w:rPr>
                <w:sz w:val="20"/>
                <w:szCs w:val="20"/>
              </w:rPr>
            </w:pPr>
            <w:r w:rsidRPr="002C29D2">
              <w:rPr>
                <w:sz w:val="20"/>
                <w:szCs w:val="20"/>
              </w:rPr>
              <w:t>0.727</w:t>
            </w:r>
          </w:p>
        </w:tc>
        <w:tc>
          <w:tcPr>
            <w:tcW w:w="1067" w:type="dxa"/>
            <w:vAlign w:val="bottom"/>
          </w:tcPr>
          <w:p w14:paraId="19F60BDA" w14:textId="77777777" w:rsidR="00626FF9" w:rsidRPr="002C29D2" w:rsidRDefault="00626FF9" w:rsidP="00B63C4D">
            <w:pPr>
              <w:jc w:val="center"/>
              <w:rPr>
                <w:sz w:val="20"/>
                <w:szCs w:val="20"/>
              </w:rPr>
            </w:pPr>
            <w:r w:rsidRPr="002C29D2">
              <w:rPr>
                <w:sz w:val="20"/>
                <w:szCs w:val="20"/>
              </w:rPr>
              <w:t>0.468</w:t>
            </w:r>
          </w:p>
        </w:tc>
      </w:tr>
      <w:tr w:rsidR="002C29D2" w:rsidRPr="002C29D2" w14:paraId="41B84D37" w14:textId="77777777" w:rsidTr="00626FF9">
        <w:trPr>
          <w:trHeight w:val="320"/>
        </w:trPr>
        <w:tc>
          <w:tcPr>
            <w:tcW w:w="1435" w:type="dxa"/>
            <w:shd w:val="clear" w:color="auto" w:fill="auto"/>
            <w:noWrap/>
            <w:vAlign w:val="center"/>
            <w:hideMark/>
          </w:tcPr>
          <w:p w14:paraId="77B7950E" w14:textId="77777777" w:rsidR="00626FF9" w:rsidRPr="002C29D2" w:rsidRDefault="00626FF9" w:rsidP="00626FF9">
            <w:pPr>
              <w:rPr>
                <w:b/>
                <w:bCs/>
                <w:sz w:val="20"/>
                <w:szCs w:val="20"/>
              </w:rPr>
            </w:pPr>
            <w:r w:rsidRPr="002C29D2">
              <w:rPr>
                <w:b/>
                <w:bCs/>
                <w:sz w:val="20"/>
                <w:szCs w:val="20"/>
              </w:rPr>
              <w:t>BE -&gt; SAT</w:t>
            </w:r>
          </w:p>
        </w:tc>
        <w:tc>
          <w:tcPr>
            <w:tcW w:w="970" w:type="dxa"/>
            <w:shd w:val="clear" w:color="auto" w:fill="auto"/>
            <w:noWrap/>
            <w:vAlign w:val="bottom"/>
            <w:hideMark/>
          </w:tcPr>
          <w:p w14:paraId="58DE21A3" w14:textId="77777777" w:rsidR="00626FF9" w:rsidRPr="002C29D2" w:rsidRDefault="00626FF9" w:rsidP="00B63C4D">
            <w:pPr>
              <w:jc w:val="center"/>
              <w:rPr>
                <w:b/>
                <w:bCs/>
                <w:sz w:val="20"/>
                <w:szCs w:val="20"/>
              </w:rPr>
            </w:pPr>
            <w:r w:rsidRPr="002C29D2">
              <w:rPr>
                <w:b/>
                <w:bCs/>
                <w:sz w:val="20"/>
                <w:szCs w:val="20"/>
              </w:rPr>
              <w:t>-0.110</w:t>
            </w:r>
          </w:p>
        </w:tc>
        <w:tc>
          <w:tcPr>
            <w:tcW w:w="1134" w:type="dxa"/>
            <w:shd w:val="clear" w:color="auto" w:fill="auto"/>
            <w:noWrap/>
            <w:vAlign w:val="bottom"/>
            <w:hideMark/>
          </w:tcPr>
          <w:p w14:paraId="5CBD4540" w14:textId="77777777" w:rsidR="00626FF9" w:rsidRPr="002C29D2" w:rsidRDefault="00626FF9" w:rsidP="00B63C4D">
            <w:pPr>
              <w:jc w:val="center"/>
              <w:rPr>
                <w:b/>
                <w:bCs/>
                <w:sz w:val="20"/>
                <w:szCs w:val="20"/>
              </w:rPr>
            </w:pPr>
            <w:r w:rsidRPr="002C29D2">
              <w:rPr>
                <w:b/>
                <w:bCs/>
                <w:sz w:val="20"/>
                <w:szCs w:val="20"/>
              </w:rPr>
              <w:t>1.558</w:t>
            </w:r>
          </w:p>
        </w:tc>
        <w:tc>
          <w:tcPr>
            <w:tcW w:w="992" w:type="dxa"/>
            <w:vAlign w:val="bottom"/>
          </w:tcPr>
          <w:p w14:paraId="64169CB0" w14:textId="77777777" w:rsidR="00626FF9" w:rsidRPr="002C29D2" w:rsidRDefault="00626FF9" w:rsidP="00B63C4D">
            <w:pPr>
              <w:jc w:val="center"/>
              <w:rPr>
                <w:b/>
                <w:bCs/>
                <w:sz w:val="20"/>
                <w:szCs w:val="20"/>
              </w:rPr>
            </w:pPr>
            <w:r w:rsidRPr="002C29D2">
              <w:rPr>
                <w:b/>
                <w:bCs/>
                <w:sz w:val="20"/>
                <w:szCs w:val="20"/>
              </w:rPr>
              <w:t>0.119</w:t>
            </w:r>
          </w:p>
        </w:tc>
        <w:tc>
          <w:tcPr>
            <w:tcW w:w="992" w:type="dxa"/>
            <w:shd w:val="clear" w:color="auto" w:fill="auto"/>
            <w:noWrap/>
            <w:vAlign w:val="bottom"/>
            <w:hideMark/>
          </w:tcPr>
          <w:p w14:paraId="5285F01E" w14:textId="77777777" w:rsidR="00626FF9" w:rsidRPr="002C29D2" w:rsidRDefault="00626FF9" w:rsidP="00B63C4D">
            <w:pPr>
              <w:jc w:val="center"/>
              <w:rPr>
                <w:b/>
                <w:bCs/>
                <w:sz w:val="20"/>
                <w:szCs w:val="20"/>
              </w:rPr>
            </w:pPr>
            <w:r w:rsidRPr="002C29D2">
              <w:rPr>
                <w:b/>
                <w:bCs/>
                <w:sz w:val="20"/>
                <w:szCs w:val="20"/>
              </w:rPr>
              <w:t>0.143</w:t>
            </w:r>
          </w:p>
        </w:tc>
        <w:tc>
          <w:tcPr>
            <w:tcW w:w="1122" w:type="dxa"/>
            <w:shd w:val="clear" w:color="auto" w:fill="auto"/>
            <w:noWrap/>
            <w:vAlign w:val="bottom"/>
            <w:hideMark/>
          </w:tcPr>
          <w:p w14:paraId="7759831D" w14:textId="77777777" w:rsidR="00626FF9" w:rsidRPr="002C29D2" w:rsidRDefault="00626FF9" w:rsidP="00B63C4D">
            <w:pPr>
              <w:jc w:val="center"/>
              <w:rPr>
                <w:b/>
                <w:bCs/>
                <w:sz w:val="20"/>
                <w:szCs w:val="20"/>
              </w:rPr>
            </w:pPr>
            <w:r w:rsidRPr="002C29D2">
              <w:rPr>
                <w:b/>
                <w:bCs/>
                <w:sz w:val="20"/>
                <w:szCs w:val="20"/>
              </w:rPr>
              <w:t>1.701</w:t>
            </w:r>
          </w:p>
        </w:tc>
        <w:tc>
          <w:tcPr>
            <w:tcW w:w="863" w:type="dxa"/>
            <w:vAlign w:val="bottom"/>
          </w:tcPr>
          <w:p w14:paraId="4007F608" w14:textId="77777777" w:rsidR="00626FF9" w:rsidRPr="002C29D2" w:rsidRDefault="00626FF9" w:rsidP="00B63C4D">
            <w:pPr>
              <w:jc w:val="center"/>
              <w:rPr>
                <w:b/>
                <w:bCs/>
                <w:sz w:val="20"/>
                <w:szCs w:val="20"/>
              </w:rPr>
            </w:pPr>
            <w:r w:rsidRPr="002C29D2">
              <w:rPr>
                <w:b/>
                <w:bCs/>
                <w:sz w:val="20"/>
                <w:szCs w:val="20"/>
              </w:rPr>
              <w:t>0.089</w:t>
            </w:r>
          </w:p>
        </w:tc>
        <w:tc>
          <w:tcPr>
            <w:tcW w:w="1201" w:type="dxa"/>
            <w:shd w:val="clear" w:color="auto" w:fill="auto"/>
            <w:noWrap/>
            <w:vAlign w:val="bottom"/>
            <w:hideMark/>
          </w:tcPr>
          <w:p w14:paraId="0C766C8C" w14:textId="77777777" w:rsidR="00626FF9" w:rsidRPr="002C29D2" w:rsidRDefault="00626FF9" w:rsidP="00B63C4D">
            <w:pPr>
              <w:jc w:val="center"/>
              <w:rPr>
                <w:b/>
                <w:bCs/>
                <w:sz w:val="20"/>
                <w:szCs w:val="20"/>
              </w:rPr>
            </w:pPr>
            <w:r w:rsidRPr="002C29D2">
              <w:rPr>
                <w:b/>
                <w:bCs/>
                <w:sz w:val="20"/>
                <w:szCs w:val="20"/>
              </w:rPr>
              <w:t>2.310</w:t>
            </w:r>
          </w:p>
        </w:tc>
        <w:tc>
          <w:tcPr>
            <w:tcW w:w="1067" w:type="dxa"/>
            <w:vAlign w:val="bottom"/>
          </w:tcPr>
          <w:p w14:paraId="362EEFF5" w14:textId="77777777" w:rsidR="00626FF9" w:rsidRPr="002C29D2" w:rsidRDefault="00626FF9" w:rsidP="00B63C4D">
            <w:pPr>
              <w:jc w:val="center"/>
              <w:rPr>
                <w:b/>
                <w:bCs/>
                <w:sz w:val="20"/>
                <w:szCs w:val="20"/>
              </w:rPr>
            </w:pPr>
            <w:r w:rsidRPr="002C29D2">
              <w:rPr>
                <w:b/>
                <w:bCs/>
                <w:sz w:val="20"/>
                <w:szCs w:val="20"/>
              </w:rPr>
              <w:t>0.022</w:t>
            </w:r>
          </w:p>
        </w:tc>
      </w:tr>
      <w:tr w:rsidR="002C29D2" w:rsidRPr="002C29D2" w14:paraId="49B74693" w14:textId="77777777" w:rsidTr="00626FF9">
        <w:trPr>
          <w:trHeight w:val="320"/>
        </w:trPr>
        <w:tc>
          <w:tcPr>
            <w:tcW w:w="1435" w:type="dxa"/>
            <w:shd w:val="clear" w:color="auto" w:fill="auto"/>
            <w:noWrap/>
            <w:vAlign w:val="center"/>
            <w:hideMark/>
          </w:tcPr>
          <w:p w14:paraId="56770E32" w14:textId="77777777" w:rsidR="00626FF9" w:rsidRPr="002C29D2" w:rsidRDefault="00626FF9" w:rsidP="00626FF9">
            <w:pPr>
              <w:rPr>
                <w:sz w:val="20"/>
                <w:szCs w:val="20"/>
              </w:rPr>
            </w:pPr>
            <w:r w:rsidRPr="002C29D2">
              <w:rPr>
                <w:sz w:val="20"/>
                <w:szCs w:val="20"/>
              </w:rPr>
              <w:lastRenderedPageBreak/>
              <w:t>BE -&gt; UI</w:t>
            </w:r>
          </w:p>
        </w:tc>
        <w:tc>
          <w:tcPr>
            <w:tcW w:w="970" w:type="dxa"/>
            <w:shd w:val="clear" w:color="auto" w:fill="auto"/>
            <w:noWrap/>
            <w:vAlign w:val="bottom"/>
            <w:hideMark/>
          </w:tcPr>
          <w:p w14:paraId="30687E7D" w14:textId="77777777" w:rsidR="00626FF9" w:rsidRPr="002C29D2" w:rsidRDefault="00626FF9" w:rsidP="00B63C4D">
            <w:pPr>
              <w:jc w:val="center"/>
              <w:rPr>
                <w:sz w:val="20"/>
                <w:szCs w:val="20"/>
              </w:rPr>
            </w:pPr>
            <w:r w:rsidRPr="002C29D2">
              <w:rPr>
                <w:sz w:val="20"/>
                <w:szCs w:val="20"/>
              </w:rPr>
              <w:t>0.164</w:t>
            </w:r>
          </w:p>
        </w:tc>
        <w:tc>
          <w:tcPr>
            <w:tcW w:w="1134" w:type="dxa"/>
            <w:shd w:val="clear" w:color="auto" w:fill="auto"/>
            <w:noWrap/>
            <w:vAlign w:val="bottom"/>
            <w:hideMark/>
          </w:tcPr>
          <w:p w14:paraId="33C95196" w14:textId="77777777" w:rsidR="00626FF9" w:rsidRPr="002C29D2" w:rsidRDefault="00626FF9" w:rsidP="00B63C4D">
            <w:pPr>
              <w:jc w:val="center"/>
              <w:rPr>
                <w:sz w:val="20"/>
                <w:szCs w:val="20"/>
              </w:rPr>
            </w:pPr>
            <w:r w:rsidRPr="002C29D2">
              <w:rPr>
                <w:sz w:val="20"/>
                <w:szCs w:val="20"/>
              </w:rPr>
              <w:t>1.933</w:t>
            </w:r>
          </w:p>
        </w:tc>
        <w:tc>
          <w:tcPr>
            <w:tcW w:w="992" w:type="dxa"/>
            <w:vAlign w:val="bottom"/>
          </w:tcPr>
          <w:p w14:paraId="4D4BA89B" w14:textId="77777777" w:rsidR="00626FF9" w:rsidRPr="002C29D2" w:rsidRDefault="00626FF9" w:rsidP="00B63C4D">
            <w:pPr>
              <w:jc w:val="center"/>
              <w:rPr>
                <w:sz w:val="20"/>
                <w:szCs w:val="20"/>
              </w:rPr>
            </w:pPr>
            <w:r w:rsidRPr="002C29D2">
              <w:rPr>
                <w:sz w:val="20"/>
                <w:szCs w:val="20"/>
              </w:rPr>
              <w:t>0.053</w:t>
            </w:r>
          </w:p>
        </w:tc>
        <w:tc>
          <w:tcPr>
            <w:tcW w:w="992" w:type="dxa"/>
            <w:shd w:val="clear" w:color="auto" w:fill="auto"/>
            <w:noWrap/>
            <w:vAlign w:val="bottom"/>
            <w:hideMark/>
          </w:tcPr>
          <w:p w14:paraId="6A90163A" w14:textId="77777777" w:rsidR="00626FF9" w:rsidRPr="002C29D2" w:rsidRDefault="00626FF9" w:rsidP="00B63C4D">
            <w:pPr>
              <w:jc w:val="center"/>
              <w:rPr>
                <w:sz w:val="20"/>
                <w:szCs w:val="20"/>
              </w:rPr>
            </w:pPr>
            <w:r w:rsidRPr="002C29D2">
              <w:rPr>
                <w:sz w:val="20"/>
                <w:szCs w:val="20"/>
              </w:rPr>
              <w:t>0.322</w:t>
            </w:r>
          </w:p>
        </w:tc>
        <w:tc>
          <w:tcPr>
            <w:tcW w:w="1122" w:type="dxa"/>
            <w:shd w:val="clear" w:color="auto" w:fill="auto"/>
            <w:noWrap/>
            <w:vAlign w:val="bottom"/>
            <w:hideMark/>
          </w:tcPr>
          <w:p w14:paraId="34B199B2" w14:textId="77777777" w:rsidR="00626FF9" w:rsidRPr="002C29D2" w:rsidRDefault="00626FF9" w:rsidP="00B63C4D">
            <w:pPr>
              <w:jc w:val="center"/>
              <w:rPr>
                <w:sz w:val="20"/>
                <w:szCs w:val="20"/>
              </w:rPr>
            </w:pPr>
            <w:r w:rsidRPr="002C29D2">
              <w:rPr>
                <w:sz w:val="20"/>
                <w:szCs w:val="20"/>
              </w:rPr>
              <w:t>3.170</w:t>
            </w:r>
          </w:p>
        </w:tc>
        <w:tc>
          <w:tcPr>
            <w:tcW w:w="863" w:type="dxa"/>
            <w:vAlign w:val="bottom"/>
          </w:tcPr>
          <w:p w14:paraId="1C62075A" w14:textId="77777777" w:rsidR="00626FF9" w:rsidRPr="002C29D2" w:rsidRDefault="00626FF9" w:rsidP="00B63C4D">
            <w:pPr>
              <w:jc w:val="center"/>
              <w:rPr>
                <w:sz w:val="20"/>
                <w:szCs w:val="20"/>
              </w:rPr>
            </w:pPr>
            <w:r w:rsidRPr="002C29D2">
              <w:rPr>
                <w:sz w:val="20"/>
                <w:szCs w:val="20"/>
              </w:rPr>
              <w:t>0.002</w:t>
            </w:r>
          </w:p>
        </w:tc>
        <w:tc>
          <w:tcPr>
            <w:tcW w:w="1201" w:type="dxa"/>
            <w:shd w:val="clear" w:color="auto" w:fill="auto"/>
            <w:noWrap/>
            <w:vAlign w:val="bottom"/>
            <w:hideMark/>
          </w:tcPr>
          <w:p w14:paraId="77C0B852" w14:textId="77777777" w:rsidR="00626FF9" w:rsidRPr="002C29D2" w:rsidRDefault="00626FF9" w:rsidP="00B63C4D">
            <w:pPr>
              <w:jc w:val="center"/>
              <w:rPr>
                <w:sz w:val="20"/>
                <w:szCs w:val="20"/>
              </w:rPr>
            </w:pPr>
            <w:r w:rsidRPr="002C29D2">
              <w:rPr>
                <w:sz w:val="20"/>
                <w:szCs w:val="20"/>
              </w:rPr>
              <w:t>1.194</w:t>
            </w:r>
          </w:p>
        </w:tc>
        <w:tc>
          <w:tcPr>
            <w:tcW w:w="1067" w:type="dxa"/>
            <w:vAlign w:val="bottom"/>
          </w:tcPr>
          <w:p w14:paraId="376C1D92" w14:textId="77777777" w:rsidR="00626FF9" w:rsidRPr="002C29D2" w:rsidRDefault="00626FF9" w:rsidP="00B63C4D">
            <w:pPr>
              <w:jc w:val="center"/>
              <w:rPr>
                <w:sz w:val="20"/>
                <w:szCs w:val="20"/>
              </w:rPr>
            </w:pPr>
            <w:r w:rsidRPr="002C29D2">
              <w:rPr>
                <w:sz w:val="20"/>
                <w:szCs w:val="20"/>
              </w:rPr>
              <w:t>0.234</w:t>
            </w:r>
          </w:p>
        </w:tc>
      </w:tr>
      <w:tr w:rsidR="002C29D2" w:rsidRPr="002C29D2" w14:paraId="4351C7F4" w14:textId="77777777" w:rsidTr="00626FF9">
        <w:trPr>
          <w:trHeight w:val="320"/>
        </w:trPr>
        <w:tc>
          <w:tcPr>
            <w:tcW w:w="1435" w:type="dxa"/>
            <w:shd w:val="clear" w:color="auto" w:fill="auto"/>
            <w:noWrap/>
            <w:vAlign w:val="center"/>
            <w:hideMark/>
          </w:tcPr>
          <w:p w14:paraId="171B5BC2" w14:textId="77777777" w:rsidR="00626FF9" w:rsidRPr="002C29D2" w:rsidRDefault="00626FF9" w:rsidP="00626FF9">
            <w:pPr>
              <w:rPr>
                <w:sz w:val="20"/>
                <w:szCs w:val="20"/>
              </w:rPr>
            </w:pPr>
            <w:r w:rsidRPr="002C29D2">
              <w:rPr>
                <w:sz w:val="20"/>
                <w:szCs w:val="20"/>
              </w:rPr>
              <w:t>ENG -&gt; ATA</w:t>
            </w:r>
          </w:p>
        </w:tc>
        <w:tc>
          <w:tcPr>
            <w:tcW w:w="970" w:type="dxa"/>
            <w:shd w:val="clear" w:color="auto" w:fill="auto"/>
            <w:noWrap/>
            <w:vAlign w:val="bottom"/>
            <w:hideMark/>
          </w:tcPr>
          <w:p w14:paraId="0F9BD99A" w14:textId="77777777" w:rsidR="00626FF9" w:rsidRPr="002C29D2" w:rsidRDefault="00626FF9" w:rsidP="00B63C4D">
            <w:pPr>
              <w:jc w:val="center"/>
              <w:rPr>
                <w:sz w:val="20"/>
                <w:szCs w:val="20"/>
              </w:rPr>
            </w:pPr>
            <w:r w:rsidRPr="002C29D2">
              <w:rPr>
                <w:sz w:val="20"/>
                <w:szCs w:val="20"/>
              </w:rPr>
              <w:t>0.226</w:t>
            </w:r>
          </w:p>
        </w:tc>
        <w:tc>
          <w:tcPr>
            <w:tcW w:w="1134" w:type="dxa"/>
            <w:shd w:val="clear" w:color="auto" w:fill="auto"/>
            <w:noWrap/>
            <w:vAlign w:val="bottom"/>
            <w:hideMark/>
          </w:tcPr>
          <w:p w14:paraId="68F79E4B" w14:textId="77777777" w:rsidR="00626FF9" w:rsidRPr="002C29D2" w:rsidRDefault="00626FF9" w:rsidP="00B63C4D">
            <w:pPr>
              <w:jc w:val="center"/>
              <w:rPr>
                <w:sz w:val="20"/>
                <w:szCs w:val="20"/>
              </w:rPr>
            </w:pPr>
            <w:r w:rsidRPr="002C29D2">
              <w:rPr>
                <w:sz w:val="20"/>
                <w:szCs w:val="20"/>
              </w:rPr>
              <w:t>2.002</w:t>
            </w:r>
          </w:p>
        </w:tc>
        <w:tc>
          <w:tcPr>
            <w:tcW w:w="992" w:type="dxa"/>
            <w:vAlign w:val="bottom"/>
          </w:tcPr>
          <w:p w14:paraId="7E8089AB" w14:textId="77777777" w:rsidR="00626FF9" w:rsidRPr="002C29D2" w:rsidRDefault="00626FF9" w:rsidP="00B63C4D">
            <w:pPr>
              <w:jc w:val="center"/>
              <w:rPr>
                <w:sz w:val="20"/>
                <w:szCs w:val="20"/>
              </w:rPr>
            </w:pPr>
            <w:r w:rsidRPr="002C29D2">
              <w:rPr>
                <w:sz w:val="20"/>
                <w:szCs w:val="20"/>
              </w:rPr>
              <w:t>0.045</w:t>
            </w:r>
          </w:p>
        </w:tc>
        <w:tc>
          <w:tcPr>
            <w:tcW w:w="992" w:type="dxa"/>
            <w:shd w:val="clear" w:color="auto" w:fill="auto"/>
            <w:noWrap/>
            <w:vAlign w:val="bottom"/>
            <w:hideMark/>
          </w:tcPr>
          <w:p w14:paraId="242E70F0" w14:textId="77777777" w:rsidR="00626FF9" w:rsidRPr="002C29D2" w:rsidRDefault="00626FF9" w:rsidP="00B63C4D">
            <w:pPr>
              <w:jc w:val="center"/>
              <w:rPr>
                <w:sz w:val="20"/>
                <w:szCs w:val="20"/>
              </w:rPr>
            </w:pPr>
            <w:r w:rsidRPr="002C29D2">
              <w:rPr>
                <w:sz w:val="20"/>
                <w:szCs w:val="20"/>
              </w:rPr>
              <w:t>0.483</w:t>
            </w:r>
          </w:p>
        </w:tc>
        <w:tc>
          <w:tcPr>
            <w:tcW w:w="1122" w:type="dxa"/>
            <w:shd w:val="clear" w:color="auto" w:fill="auto"/>
            <w:noWrap/>
            <w:vAlign w:val="bottom"/>
            <w:hideMark/>
          </w:tcPr>
          <w:p w14:paraId="24AF7EEE" w14:textId="77777777" w:rsidR="00626FF9" w:rsidRPr="002C29D2" w:rsidRDefault="00626FF9" w:rsidP="00B63C4D">
            <w:pPr>
              <w:jc w:val="center"/>
              <w:rPr>
                <w:sz w:val="20"/>
                <w:szCs w:val="20"/>
              </w:rPr>
            </w:pPr>
            <w:r w:rsidRPr="002C29D2">
              <w:rPr>
                <w:sz w:val="20"/>
                <w:szCs w:val="20"/>
              </w:rPr>
              <w:t>4.263</w:t>
            </w:r>
          </w:p>
        </w:tc>
        <w:tc>
          <w:tcPr>
            <w:tcW w:w="863" w:type="dxa"/>
            <w:vAlign w:val="bottom"/>
          </w:tcPr>
          <w:p w14:paraId="7BA53ED5"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0D68716F" w14:textId="77777777" w:rsidR="00626FF9" w:rsidRPr="002C29D2" w:rsidRDefault="00626FF9" w:rsidP="00B63C4D">
            <w:pPr>
              <w:jc w:val="center"/>
              <w:rPr>
                <w:sz w:val="20"/>
                <w:szCs w:val="20"/>
              </w:rPr>
            </w:pPr>
            <w:r w:rsidRPr="002C29D2">
              <w:rPr>
                <w:sz w:val="20"/>
                <w:szCs w:val="20"/>
              </w:rPr>
              <w:t>1.604</w:t>
            </w:r>
          </w:p>
        </w:tc>
        <w:tc>
          <w:tcPr>
            <w:tcW w:w="1067" w:type="dxa"/>
            <w:vAlign w:val="bottom"/>
          </w:tcPr>
          <w:p w14:paraId="7AD47322" w14:textId="77777777" w:rsidR="00626FF9" w:rsidRPr="002C29D2" w:rsidRDefault="00626FF9" w:rsidP="00B63C4D">
            <w:pPr>
              <w:jc w:val="center"/>
              <w:rPr>
                <w:sz w:val="20"/>
                <w:szCs w:val="20"/>
              </w:rPr>
            </w:pPr>
            <w:r w:rsidRPr="002C29D2">
              <w:rPr>
                <w:sz w:val="20"/>
                <w:szCs w:val="20"/>
              </w:rPr>
              <w:t>0.110</w:t>
            </w:r>
          </w:p>
        </w:tc>
      </w:tr>
      <w:tr w:rsidR="002C29D2" w:rsidRPr="002C29D2" w14:paraId="328D4125" w14:textId="77777777" w:rsidTr="00626FF9">
        <w:trPr>
          <w:trHeight w:val="320"/>
        </w:trPr>
        <w:tc>
          <w:tcPr>
            <w:tcW w:w="1435" w:type="dxa"/>
            <w:shd w:val="clear" w:color="auto" w:fill="auto"/>
            <w:noWrap/>
            <w:vAlign w:val="center"/>
            <w:hideMark/>
          </w:tcPr>
          <w:p w14:paraId="3370A4FF" w14:textId="77777777" w:rsidR="00626FF9" w:rsidRPr="002C29D2" w:rsidRDefault="00626FF9" w:rsidP="00626FF9">
            <w:pPr>
              <w:rPr>
                <w:sz w:val="20"/>
                <w:szCs w:val="20"/>
              </w:rPr>
            </w:pPr>
            <w:r w:rsidRPr="002C29D2">
              <w:rPr>
                <w:sz w:val="20"/>
                <w:szCs w:val="20"/>
              </w:rPr>
              <w:t>ENG -&gt; SAT</w:t>
            </w:r>
          </w:p>
        </w:tc>
        <w:tc>
          <w:tcPr>
            <w:tcW w:w="970" w:type="dxa"/>
            <w:shd w:val="clear" w:color="auto" w:fill="auto"/>
            <w:noWrap/>
            <w:vAlign w:val="bottom"/>
            <w:hideMark/>
          </w:tcPr>
          <w:p w14:paraId="03769DD0" w14:textId="77777777" w:rsidR="00626FF9" w:rsidRPr="002C29D2" w:rsidRDefault="00626FF9" w:rsidP="00B63C4D">
            <w:pPr>
              <w:jc w:val="center"/>
              <w:rPr>
                <w:sz w:val="20"/>
                <w:szCs w:val="20"/>
              </w:rPr>
            </w:pPr>
            <w:r w:rsidRPr="002C29D2">
              <w:rPr>
                <w:sz w:val="20"/>
                <w:szCs w:val="20"/>
              </w:rPr>
              <w:t>0.369</w:t>
            </w:r>
          </w:p>
        </w:tc>
        <w:tc>
          <w:tcPr>
            <w:tcW w:w="1134" w:type="dxa"/>
            <w:shd w:val="clear" w:color="auto" w:fill="auto"/>
            <w:noWrap/>
            <w:vAlign w:val="bottom"/>
            <w:hideMark/>
          </w:tcPr>
          <w:p w14:paraId="7890D980" w14:textId="77777777" w:rsidR="00626FF9" w:rsidRPr="002C29D2" w:rsidRDefault="00626FF9" w:rsidP="00B63C4D">
            <w:pPr>
              <w:jc w:val="center"/>
              <w:rPr>
                <w:sz w:val="20"/>
                <w:szCs w:val="20"/>
              </w:rPr>
            </w:pPr>
            <w:r w:rsidRPr="002C29D2">
              <w:rPr>
                <w:sz w:val="20"/>
                <w:szCs w:val="20"/>
              </w:rPr>
              <w:t>4.219</w:t>
            </w:r>
          </w:p>
        </w:tc>
        <w:tc>
          <w:tcPr>
            <w:tcW w:w="992" w:type="dxa"/>
            <w:vAlign w:val="bottom"/>
          </w:tcPr>
          <w:p w14:paraId="67F4F264"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hideMark/>
          </w:tcPr>
          <w:p w14:paraId="3B03DFF0" w14:textId="77777777" w:rsidR="00626FF9" w:rsidRPr="002C29D2" w:rsidRDefault="00626FF9" w:rsidP="00B63C4D">
            <w:pPr>
              <w:jc w:val="center"/>
              <w:rPr>
                <w:sz w:val="20"/>
                <w:szCs w:val="20"/>
              </w:rPr>
            </w:pPr>
            <w:r w:rsidRPr="002C29D2">
              <w:rPr>
                <w:sz w:val="20"/>
                <w:szCs w:val="20"/>
              </w:rPr>
              <w:t>0.186</w:t>
            </w:r>
          </w:p>
        </w:tc>
        <w:tc>
          <w:tcPr>
            <w:tcW w:w="1122" w:type="dxa"/>
            <w:shd w:val="clear" w:color="auto" w:fill="auto"/>
            <w:noWrap/>
            <w:vAlign w:val="bottom"/>
            <w:hideMark/>
          </w:tcPr>
          <w:p w14:paraId="1EB2CC76" w14:textId="77777777" w:rsidR="00626FF9" w:rsidRPr="002C29D2" w:rsidRDefault="00626FF9" w:rsidP="00B63C4D">
            <w:pPr>
              <w:jc w:val="center"/>
              <w:rPr>
                <w:sz w:val="20"/>
                <w:szCs w:val="20"/>
              </w:rPr>
            </w:pPr>
            <w:r w:rsidRPr="002C29D2">
              <w:rPr>
                <w:sz w:val="20"/>
                <w:szCs w:val="20"/>
              </w:rPr>
              <w:t>1.810</w:t>
            </w:r>
          </w:p>
        </w:tc>
        <w:tc>
          <w:tcPr>
            <w:tcW w:w="863" w:type="dxa"/>
            <w:vAlign w:val="bottom"/>
          </w:tcPr>
          <w:p w14:paraId="4C5A8F47" w14:textId="77777777" w:rsidR="00626FF9" w:rsidRPr="002C29D2" w:rsidRDefault="00626FF9" w:rsidP="00B63C4D">
            <w:pPr>
              <w:jc w:val="center"/>
              <w:rPr>
                <w:sz w:val="20"/>
                <w:szCs w:val="20"/>
              </w:rPr>
            </w:pPr>
            <w:r w:rsidRPr="002C29D2">
              <w:rPr>
                <w:sz w:val="20"/>
                <w:szCs w:val="20"/>
              </w:rPr>
              <w:t>0.070</w:t>
            </w:r>
          </w:p>
        </w:tc>
        <w:tc>
          <w:tcPr>
            <w:tcW w:w="1201" w:type="dxa"/>
            <w:shd w:val="clear" w:color="auto" w:fill="auto"/>
            <w:noWrap/>
            <w:vAlign w:val="bottom"/>
            <w:hideMark/>
          </w:tcPr>
          <w:p w14:paraId="49376A6A" w14:textId="77777777" w:rsidR="00626FF9" w:rsidRPr="002C29D2" w:rsidRDefault="00626FF9" w:rsidP="00B63C4D">
            <w:pPr>
              <w:jc w:val="center"/>
              <w:rPr>
                <w:sz w:val="20"/>
                <w:szCs w:val="20"/>
              </w:rPr>
            </w:pPr>
            <w:r w:rsidRPr="002C29D2">
              <w:rPr>
                <w:sz w:val="20"/>
                <w:szCs w:val="20"/>
              </w:rPr>
              <w:t>1.358</w:t>
            </w:r>
          </w:p>
        </w:tc>
        <w:tc>
          <w:tcPr>
            <w:tcW w:w="1067" w:type="dxa"/>
            <w:vAlign w:val="bottom"/>
          </w:tcPr>
          <w:p w14:paraId="6DFA3341" w14:textId="77777777" w:rsidR="00626FF9" w:rsidRPr="002C29D2" w:rsidRDefault="00626FF9" w:rsidP="00B63C4D">
            <w:pPr>
              <w:jc w:val="center"/>
              <w:rPr>
                <w:sz w:val="20"/>
                <w:szCs w:val="20"/>
              </w:rPr>
            </w:pPr>
            <w:r w:rsidRPr="002C29D2">
              <w:rPr>
                <w:sz w:val="20"/>
                <w:szCs w:val="20"/>
              </w:rPr>
              <w:t>0.176</w:t>
            </w:r>
          </w:p>
        </w:tc>
      </w:tr>
      <w:tr w:rsidR="002C29D2" w:rsidRPr="002C29D2" w14:paraId="61CE56DE" w14:textId="77777777" w:rsidTr="00626FF9">
        <w:trPr>
          <w:trHeight w:val="320"/>
        </w:trPr>
        <w:tc>
          <w:tcPr>
            <w:tcW w:w="1435" w:type="dxa"/>
            <w:shd w:val="clear" w:color="auto" w:fill="auto"/>
            <w:noWrap/>
            <w:vAlign w:val="center"/>
            <w:hideMark/>
          </w:tcPr>
          <w:p w14:paraId="7008FE15" w14:textId="77777777" w:rsidR="00626FF9" w:rsidRPr="002C29D2" w:rsidRDefault="00626FF9" w:rsidP="00626FF9">
            <w:pPr>
              <w:rPr>
                <w:sz w:val="20"/>
                <w:szCs w:val="20"/>
              </w:rPr>
            </w:pPr>
            <w:r w:rsidRPr="002C29D2">
              <w:rPr>
                <w:sz w:val="20"/>
                <w:szCs w:val="20"/>
              </w:rPr>
              <w:t>ENG -&gt; UI</w:t>
            </w:r>
          </w:p>
        </w:tc>
        <w:tc>
          <w:tcPr>
            <w:tcW w:w="970" w:type="dxa"/>
            <w:shd w:val="clear" w:color="auto" w:fill="auto"/>
            <w:noWrap/>
            <w:vAlign w:val="bottom"/>
            <w:hideMark/>
          </w:tcPr>
          <w:p w14:paraId="24085D13" w14:textId="77777777" w:rsidR="00626FF9" w:rsidRPr="002C29D2" w:rsidRDefault="00626FF9" w:rsidP="00B63C4D">
            <w:pPr>
              <w:jc w:val="center"/>
              <w:rPr>
                <w:sz w:val="20"/>
                <w:szCs w:val="20"/>
              </w:rPr>
            </w:pPr>
            <w:r w:rsidRPr="002C29D2">
              <w:rPr>
                <w:sz w:val="20"/>
                <w:szCs w:val="20"/>
              </w:rPr>
              <w:t>0.512</w:t>
            </w:r>
          </w:p>
        </w:tc>
        <w:tc>
          <w:tcPr>
            <w:tcW w:w="1134" w:type="dxa"/>
            <w:shd w:val="clear" w:color="auto" w:fill="auto"/>
            <w:noWrap/>
            <w:vAlign w:val="bottom"/>
            <w:hideMark/>
          </w:tcPr>
          <w:p w14:paraId="6FE755AD" w14:textId="77777777" w:rsidR="00626FF9" w:rsidRPr="002C29D2" w:rsidRDefault="00626FF9" w:rsidP="00B63C4D">
            <w:pPr>
              <w:jc w:val="center"/>
              <w:rPr>
                <w:sz w:val="20"/>
                <w:szCs w:val="20"/>
              </w:rPr>
            </w:pPr>
            <w:r w:rsidRPr="002C29D2">
              <w:rPr>
                <w:sz w:val="20"/>
                <w:szCs w:val="20"/>
              </w:rPr>
              <w:t>6.005</w:t>
            </w:r>
          </w:p>
        </w:tc>
        <w:tc>
          <w:tcPr>
            <w:tcW w:w="992" w:type="dxa"/>
            <w:vAlign w:val="bottom"/>
          </w:tcPr>
          <w:p w14:paraId="18CEBB65"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hideMark/>
          </w:tcPr>
          <w:p w14:paraId="4DF7DABF" w14:textId="77777777" w:rsidR="00626FF9" w:rsidRPr="002C29D2" w:rsidRDefault="00626FF9" w:rsidP="00B63C4D">
            <w:pPr>
              <w:jc w:val="center"/>
              <w:rPr>
                <w:sz w:val="20"/>
                <w:szCs w:val="20"/>
              </w:rPr>
            </w:pPr>
            <w:r w:rsidRPr="002C29D2">
              <w:rPr>
                <w:sz w:val="20"/>
                <w:szCs w:val="20"/>
              </w:rPr>
              <w:t>0.431</w:t>
            </w:r>
          </w:p>
        </w:tc>
        <w:tc>
          <w:tcPr>
            <w:tcW w:w="1122" w:type="dxa"/>
            <w:shd w:val="clear" w:color="auto" w:fill="auto"/>
            <w:noWrap/>
            <w:vAlign w:val="bottom"/>
            <w:hideMark/>
          </w:tcPr>
          <w:p w14:paraId="388FAF0C" w14:textId="77777777" w:rsidR="00626FF9" w:rsidRPr="002C29D2" w:rsidRDefault="00626FF9" w:rsidP="00B63C4D">
            <w:pPr>
              <w:jc w:val="center"/>
              <w:rPr>
                <w:sz w:val="20"/>
                <w:szCs w:val="20"/>
              </w:rPr>
            </w:pPr>
            <w:r w:rsidRPr="002C29D2">
              <w:rPr>
                <w:sz w:val="20"/>
                <w:szCs w:val="20"/>
              </w:rPr>
              <w:t>3.384</w:t>
            </w:r>
          </w:p>
        </w:tc>
        <w:tc>
          <w:tcPr>
            <w:tcW w:w="863" w:type="dxa"/>
            <w:vAlign w:val="bottom"/>
          </w:tcPr>
          <w:p w14:paraId="7B3B3B25" w14:textId="77777777" w:rsidR="00626FF9" w:rsidRPr="002C29D2" w:rsidRDefault="00626FF9" w:rsidP="00B63C4D">
            <w:pPr>
              <w:jc w:val="center"/>
              <w:rPr>
                <w:sz w:val="20"/>
                <w:szCs w:val="20"/>
              </w:rPr>
            </w:pPr>
            <w:r w:rsidRPr="002C29D2">
              <w:rPr>
                <w:sz w:val="20"/>
                <w:szCs w:val="20"/>
              </w:rPr>
              <w:t>0.001</w:t>
            </w:r>
          </w:p>
        </w:tc>
        <w:tc>
          <w:tcPr>
            <w:tcW w:w="1201" w:type="dxa"/>
            <w:shd w:val="clear" w:color="auto" w:fill="auto"/>
            <w:noWrap/>
            <w:vAlign w:val="bottom"/>
            <w:hideMark/>
          </w:tcPr>
          <w:p w14:paraId="2A58E7D7" w14:textId="77777777" w:rsidR="00626FF9" w:rsidRPr="002C29D2" w:rsidRDefault="00626FF9" w:rsidP="00B63C4D">
            <w:pPr>
              <w:jc w:val="center"/>
              <w:rPr>
                <w:sz w:val="20"/>
                <w:szCs w:val="20"/>
              </w:rPr>
            </w:pPr>
            <w:r w:rsidRPr="002C29D2">
              <w:rPr>
                <w:sz w:val="20"/>
                <w:szCs w:val="20"/>
              </w:rPr>
              <w:t>0.529</w:t>
            </w:r>
          </w:p>
        </w:tc>
        <w:tc>
          <w:tcPr>
            <w:tcW w:w="1067" w:type="dxa"/>
            <w:vAlign w:val="bottom"/>
          </w:tcPr>
          <w:p w14:paraId="2FC2DE13" w14:textId="77777777" w:rsidR="00626FF9" w:rsidRPr="002C29D2" w:rsidRDefault="00626FF9" w:rsidP="00B63C4D">
            <w:pPr>
              <w:jc w:val="center"/>
              <w:rPr>
                <w:sz w:val="20"/>
                <w:szCs w:val="20"/>
              </w:rPr>
            </w:pPr>
            <w:r w:rsidRPr="002C29D2">
              <w:rPr>
                <w:sz w:val="20"/>
                <w:szCs w:val="20"/>
              </w:rPr>
              <w:t>0.597</w:t>
            </w:r>
          </w:p>
        </w:tc>
      </w:tr>
      <w:tr w:rsidR="002C29D2" w:rsidRPr="002C29D2" w14:paraId="074E599E" w14:textId="77777777" w:rsidTr="00626FF9">
        <w:trPr>
          <w:trHeight w:val="320"/>
        </w:trPr>
        <w:tc>
          <w:tcPr>
            <w:tcW w:w="1435" w:type="dxa"/>
            <w:shd w:val="clear" w:color="auto" w:fill="auto"/>
            <w:noWrap/>
            <w:vAlign w:val="center"/>
            <w:hideMark/>
          </w:tcPr>
          <w:p w14:paraId="43E765EE" w14:textId="77777777" w:rsidR="00626FF9" w:rsidRPr="002C29D2" w:rsidRDefault="00626FF9" w:rsidP="00626FF9">
            <w:pPr>
              <w:rPr>
                <w:sz w:val="20"/>
                <w:szCs w:val="20"/>
              </w:rPr>
            </w:pPr>
            <w:r w:rsidRPr="002C29D2">
              <w:rPr>
                <w:sz w:val="20"/>
                <w:szCs w:val="20"/>
              </w:rPr>
              <w:t>EXP -&gt; ATA</w:t>
            </w:r>
          </w:p>
        </w:tc>
        <w:tc>
          <w:tcPr>
            <w:tcW w:w="970" w:type="dxa"/>
            <w:shd w:val="clear" w:color="auto" w:fill="auto"/>
            <w:noWrap/>
            <w:vAlign w:val="bottom"/>
            <w:hideMark/>
          </w:tcPr>
          <w:p w14:paraId="1F3E28CA" w14:textId="77777777" w:rsidR="00626FF9" w:rsidRPr="002C29D2" w:rsidRDefault="00626FF9" w:rsidP="00B63C4D">
            <w:pPr>
              <w:jc w:val="center"/>
              <w:rPr>
                <w:sz w:val="20"/>
                <w:szCs w:val="20"/>
              </w:rPr>
            </w:pPr>
            <w:r w:rsidRPr="002C29D2">
              <w:rPr>
                <w:sz w:val="20"/>
                <w:szCs w:val="20"/>
              </w:rPr>
              <w:t>-0.035</w:t>
            </w:r>
          </w:p>
        </w:tc>
        <w:tc>
          <w:tcPr>
            <w:tcW w:w="1134" w:type="dxa"/>
            <w:shd w:val="clear" w:color="auto" w:fill="auto"/>
            <w:noWrap/>
            <w:vAlign w:val="bottom"/>
            <w:hideMark/>
          </w:tcPr>
          <w:p w14:paraId="2EAF923E" w14:textId="77777777" w:rsidR="00626FF9" w:rsidRPr="002C29D2" w:rsidRDefault="00626FF9" w:rsidP="00B63C4D">
            <w:pPr>
              <w:jc w:val="center"/>
              <w:rPr>
                <w:sz w:val="20"/>
                <w:szCs w:val="20"/>
              </w:rPr>
            </w:pPr>
            <w:r w:rsidRPr="002C29D2">
              <w:rPr>
                <w:sz w:val="20"/>
                <w:szCs w:val="20"/>
              </w:rPr>
              <w:t>0.429</w:t>
            </w:r>
          </w:p>
        </w:tc>
        <w:tc>
          <w:tcPr>
            <w:tcW w:w="992" w:type="dxa"/>
            <w:vAlign w:val="bottom"/>
          </w:tcPr>
          <w:p w14:paraId="208A2B98" w14:textId="77777777" w:rsidR="00626FF9" w:rsidRPr="002C29D2" w:rsidRDefault="00626FF9" w:rsidP="00B63C4D">
            <w:pPr>
              <w:jc w:val="center"/>
              <w:rPr>
                <w:sz w:val="20"/>
                <w:szCs w:val="20"/>
              </w:rPr>
            </w:pPr>
            <w:r w:rsidRPr="002C29D2">
              <w:rPr>
                <w:sz w:val="20"/>
                <w:szCs w:val="20"/>
              </w:rPr>
              <w:t>0.668</w:t>
            </w:r>
          </w:p>
        </w:tc>
        <w:tc>
          <w:tcPr>
            <w:tcW w:w="992" w:type="dxa"/>
            <w:shd w:val="clear" w:color="auto" w:fill="auto"/>
            <w:noWrap/>
            <w:vAlign w:val="bottom"/>
            <w:hideMark/>
          </w:tcPr>
          <w:p w14:paraId="6FB71C3D" w14:textId="77777777" w:rsidR="00626FF9" w:rsidRPr="002C29D2" w:rsidRDefault="00626FF9" w:rsidP="00B63C4D">
            <w:pPr>
              <w:jc w:val="center"/>
              <w:rPr>
                <w:sz w:val="20"/>
                <w:szCs w:val="20"/>
              </w:rPr>
            </w:pPr>
            <w:r w:rsidRPr="002C29D2">
              <w:rPr>
                <w:sz w:val="20"/>
                <w:szCs w:val="20"/>
              </w:rPr>
              <w:t>-0.146</w:t>
            </w:r>
          </w:p>
        </w:tc>
        <w:tc>
          <w:tcPr>
            <w:tcW w:w="1122" w:type="dxa"/>
            <w:shd w:val="clear" w:color="auto" w:fill="auto"/>
            <w:noWrap/>
            <w:vAlign w:val="bottom"/>
            <w:hideMark/>
          </w:tcPr>
          <w:p w14:paraId="5EC34EF0" w14:textId="77777777" w:rsidR="00626FF9" w:rsidRPr="002C29D2" w:rsidRDefault="00626FF9" w:rsidP="00B63C4D">
            <w:pPr>
              <w:jc w:val="center"/>
              <w:rPr>
                <w:sz w:val="20"/>
                <w:szCs w:val="20"/>
              </w:rPr>
            </w:pPr>
            <w:r w:rsidRPr="002C29D2">
              <w:rPr>
                <w:sz w:val="20"/>
                <w:szCs w:val="20"/>
              </w:rPr>
              <w:t>1.151</w:t>
            </w:r>
          </w:p>
        </w:tc>
        <w:tc>
          <w:tcPr>
            <w:tcW w:w="863" w:type="dxa"/>
            <w:vAlign w:val="bottom"/>
          </w:tcPr>
          <w:p w14:paraId="05B833EB" w14:textId="77777777" w:rsidR="00626FF9" w:rsidRPr="002C29D2" w:rsidRDefault="00626FF9" w:rsidP="00B63C4D">
            <w:pPr>
              <w:jc w:val="center"/>
              <w:rPr>
                <w:sz w:val="20"/>
                <w:szCs w:val="20"/>
              </w:rPr>
            </w:pPr>
            <w:r w:rsidRPr="002C29D2">
              <w:rPr>
                <w:sz w:val="20"/>
                <w:szCs w:val="20"/>
              </w:rPr>
              <w:t>0.250</w:t>
            </w:r>
          </w:p>
        </w:tc>
        <w:tc>
          <w:tcPr>
            <w:tcW w:w="1201" w:type="dxa"/>
            <w:shd w:val="clear" w:color="auto" w:fill="auto"/>
            <w:noWrap/>
            <w:vAlign w:val="bottom"/>
            <w:hideMark/>
          </w:tcPr>
          <w:p w14:paraId="06AC72F9" w14:textId="77777777" w:rsidR="00626FF9" w:rsidRPr="002C29D2" w:rsidRDefault="00626FF9" w:rsidP="00B63C4D">
            <w:pPr>
              <w:jc w:val="center"/>
              <w:rPr>
                <w:sz w:val="20"/>
                <w:szCs w:val="20"/>
              </w:rPr>
            </w:pPr>
            <w:r w:rsidRPr="002C29D2">
              <w:rPr>
                <w:sz w:val="20"/>
                <w:szCs w:val="20"/>
              </w:rPr>
              <w:t>0.743</w:t>
            </w:r>
          </w:p>
        </w:tc>
        <w:tc>
          <w:tcPr>
            <w:tcW w:w="1067" w:type="dxa"/>
            <w:vAlign w:val="bottom"/>
          </w:tcPr>
          <w:p w14:paraId="20C38191" w14:textId="77777777" w:rsidR="00626FF9" w:rsidRPr="002C29D2" w:rsidRDefault="00626FF9" w:rsidP="00B63C4D">
            <w:pPr>
              <w:jc w:val="center"/>
              <w:rPr>
                <w:sz w:val="20"/>
                <w:szCs w:val="20"/>
              </w:rPr>
            </w:pPr>
            <w:r w:rsidRPr="002C29D2">
              <w:rPr>
                <w:sz w:val="20"/>
                <w:szCs w:val="20"/>
              </w:rPr>
              <w:t>0.459</w:t>
            </w:r>
          </w:p>
        </w:tc>
      </w:tr>
      <w:tr w:rsidR="002C29D2" w:rsidRPr="002C29D2" w14:paraId="3AF43D05" w14:textId="77777777" w:rsidTr="00626FF9">
        <w:trPr>
          <w:trHeight w:val="320"/>
        </w:trPr>
        <w:tc>
          <w:tcPr>
            <w:tcW w:w="1435" w:type="dxa"/>
            <w:shd w:val="clear" w:color="auto" w:fill="auto"/>
            <w:noWrap/>
            <w:vAlign w:val="center"/>
            <w:hideMark/>
          </w:tcPr>
          <w:p w14:paraId="63D0AFE1" w14:textId="77777777" w:rsidR="00626FF9" w:rsidRPr="002C29D2" w:rsidRDefault="00626FF9" w:rsidP="00626FF9">
            <w:pPr>
              <w:rPr>
                <w:sz w:val="20"/>
                <w:szCs w:val="20"/>
              </w:rPr>
            </w:pPr>
            <w:r w:rsidRPr="002C29D2">
              <w:rPr>
                <w:sz w:val="20"/>
                <w:szCs w:val="20"/>
              </w:rPr>
              <w:t>EXP -&gt; ENG</w:t>
            </w:r>
          </w:p>
        </w:tc>
        <w:tc>
          <w:tcPr>
            <w:tcW w:w="970" w:type="dxa"/>
            <w:shd w:val="clear" w:color="auto" w:fill="auto"/>
            <w:noWrap/>
            <w:vAlign w:val="bottom"/>
            <w:hideMark/>
          </w:tcPr>
          <w:p w14:paraId="57F82E64" w14:textId="77777777" w:rsidR="00626FF9" w:rsidRPr="002C29D2" w:rsidRDefault="00626FF9" w:rsidP="00B63C4D">
            <w:pPr>
              <w:jc w:val="center"/>
              <w:rPr>
                <w:sz w:val="20"/>
                <w:szCs w:val="20"/>
              </w:rPr>
            </w:pPr>
            <w:r w:rsidRPr="002C29D2">
              <w:rPr>
                <w:sz w:val="20"/>
                <w:szCs w:val="20"/>
              </w:rPr>
              <w:t>0.089</w:t>
            </w:r>
          </w:p>
        </w:tc>
        <w:tc>
          <w:tcPr>
            <w:tcW w:w="1134" w:type="dxa"/>
            <w:shd w:val="clear" w:color="auto" w:fill="auto"/>
            <w:noWrap/>
            <w:vAlign w:val="bottom"/>
            <w:hideMark/>
          </w:tcPr>
          <w:p w14:paraId="6718A27E" w14:textId="77777777" w:rsidR="00626FF9" w:rsidRPr="002C29D2" w:rsidRDefault="00626FF9" w:rsidP="00B63C4D">
            <w:pPr>
              <w:jc w:val="center"/>
              <w:rPr>
                <w:sz w:val="20"/>
                <w:szCs w:val="20"/>
              </w:rPr>
            </w:pPr>
            <w:r w:rsidRPr="002C29D2">
              <w:rPr>
                <w:sz w:val="20"/>
                <w:szCs w:val="20"/>
              </w:rPr>
              <w:t>1.265</w:t>
            </w:r>
          </w:p>
        </w:tc>
        <w:tc>
          <w:tcPr>
            <w:tcW w:w="992" w:type="dxa"/>
            <w:vAlign w:val="bottom"/>
          </w:tcPr>
          <w:p w14:paraId="371EB8C1" w14:textId="77777777" w:rsidR="00626FF9" w:rsidRPr="002C29D2" w:rsidRDefault="00626FF9" w:rsidP="00B63C4D">
            <w:pPr>
              <w:jc w:val="center"/>
              <w:rPr>
                <w:sz w:val="20"/>
                <w:szCs w:val="20"/>
              </w:rPr>
            </w:pPr>
            <w:r w:rsidRPr="002C29D2">
              <w:rPr>
                <w:sz w:val="20"/>
                <w:szCs w:val="20"/>
              </w:rPr>
              <w:t>0.206</w:t>
            </w:r>
          </w:p>
        </w:tc>
        <w:tc>
          <w:tcPr>
            <w:tcW w:w="992" w:type="dxa"/>
            <w:shd w:val="clear" w:color="auto" w:fill="auto"/>
            <w:noWrap/>
            <w:vAlign w:val="bottom"/>
            <w:hideMark/>
          </w:tcPr>
          <w:p w14:paraId="30A29D0E" w14:textId="77777777" w:rsidR="00626FF9" w:rsidRPr="002C29D2" w:rsidRDefault="00626FF9" w:rsidP="00B63C4D">
            <w:pPr>
              <w:jc w:val="center"/>
              <w:rPr>
                <w:sz w:val="20"/>
                <w:szCs w:val="20"/>
              </w:rPr>
            </w:pPr>
            <w:r w:rsidRPr="002C29D2">
              <w:rPr>
                <w:sz w:val="20"/>
                <w:szCs w:val="20"/>
              </w:rPr>
              <w:t>0.112</w:t>
            </w:r>
          </w:p>
        </w:tc>
        <w:tc>
          <w:tcPr>
            <w:tcW w:w="1122" w:type="dxa"/>
            <w:shd w:val="clear" w:color="auto" w:fill="auto"/>
            <w:noWrap/>
            <w:vAlign w:val="bottom"/>
            <w:hideMark/>
          </w:tcPr>
          <w:p w14:paraId="696FECDD" w14:textId="77777777" w:rsidR="00626FF9" w:rsidRPr="002C29D2" w:rsidRDefault="00626FF9" w:rsidP="00B63C4D">
            <w:pPr>
              <w:jc w:val="center"/>
              <w:rPr>
                <w:sz w:val="20"/>
                <w:szCs w:val="20"/>
              </w:rPr>
            </w:pPr>
            <w:r w:rsidRPr="002C29D2">
              <w:rPr>
                <w:sz w:val="20"/>
                <w:szCs w:val="20"/>
              </w:rPr>
              <w:t>1.227</w:t>
            </w:r>
          </w:p>
        </w:tc>
        <w:tc>
          <w:tcPr>
            <w:tcW w:w="863" w:type="dxa"/>
            <w:vAlign w:val="bottom"/>
          </w:tcPr>
          <w:p w14:paraId="05DEBEC5" w14:textId="77777777" w:rsidR="00626FF9" w:rsidRPr="002C29D2" w:rsidRDefault="00626FF9" w:rsidP="00B63C4D">
            <w:pPr>
              <w:jc w:val="center"/>
              <w:rPr>
                <w:sz w:val="20"/>
                <w:szCs w:val="20"/>
              </w:rPr>
            </w:pPr>
            <w:r w:rsidRPr="002C29D2">
              <w:rPr>
                <w:sz w:val="20"/>
                <w:szCs w:val="20"/>
              </w:rPr>
              <w:t>0.220</w:t>
            </w:r>
          </w:p>
        </w:tc>
        <w:tc>
          <w:tcPr>
            <w:tcW w:w="1201" w:type="dxa"/>
            <w:shd w:val="clear" w:color="auto" w:fill="auto"/>
            <w:noWrap/>
            <w:vAlign w:val="bottom"/>
            <w:hideMark/>
          </w:tcPr>
          <w:p w14:paraId="4D492EEF" w14:textId="77777777" w:rsidR="00626FF9" w:rsidRPr="002C29D2" w:rsidRDefault="00626FF9" w:rsidP="00B63C4D">
            <w:pPr>
              <w:jc w:val="center"/>
              <w:rPr>
                <w:sz w:val="20"/>
                <w:szCs w:val="20"/>
              </w:rPr>
            </w:pPr>
            <w:r w:rsidRPr="002C29D2">
              <w:rPr>
                <w:sz w:val="20"/>
                <w:szCs w:val="20"/>
              </w:rPr>
              <w:t>0.204</w:t>
            </w:r>
          </w:p>
        </w:tc>
        <w:tc>
          <w:tcPr>
            <w:tcW w:w="1067" w:type="dxa"/>
            <w:vAlign w:val="bottom"/>
          </w:tcPr>
          <w:p w14:paraId="0B9A567A" w14:textId="77777777" w:rsidR="00626FF9" w:rsidRPr="002C29D2" w:rsidRDefault="00626FF9" w:rsidP="00B63C4D">
            <w:pPr>
              <w:jc w:val="center"/>
              <w:rPr>
                <w:sz w:val="20"/>
                <w:szCs w:val="20"/>
              </w:rPr>
            </w:pPr>
            <w:r w:rsidRPr="002C29D2">
              <w:rPr>
                <w:sz w:val="20"/>
                <w:szCs w:val="20"/>
              </w:rPr>
              <w:t>0.838</w:t>
            </w:r>
          </w:p>
        </w:tc>
      </w:tr>
      <w:tr w:rsidR="002C29D2" w:rsidRPr="002C29D2" w14:paraId="186B96DA" w14:textId="77777777" w:rsidTr="00626FF9">
        <w:trPr>
          <w:trHeight w:val="320"/>
        </w:trPr>
        <w:tc>
          <w:tcPr>
            <w:tcW w:w="1435" w:type="dxa"/>
            <w:shd w:val="clear" w:color="auto" w:fill="auto"/>
            <w:noWrap/>
            <w:vAlign w:val="center"/>
            <w:hideMark/>
          </w:tcPr>
          <w:p w14:paraId="46D5B338" w14:textId="77777777" w:rsidR="00626FF9" w:rsidRPr="002C29D2" w:rsidRDefault="00626FF9" w:rsidP="00626FF9">
            <w:pPr>
              <w:rPr>
                <w:sz w:val="20"/>
                <w:szCs w:val="20"/>
              </w:rPr>
            </w:pPr>
            <w:r w:rsidRPr="002C29D2">
              <w:rPr>
                <w:sz w:val="20"/>
                <w:szCs w:val="20"/>
              </w:rPr>
              <w:t>EXP -&gt; SAT</w:t>
            </w:r>
          </w:p>
        </w:tc>
        <w:tc>
          <w:tcPr>
            <w:tcW w:w="970" w:type="dxa"/>
            <w:shd w:val="clear" w:color="auto" w:fill="auto"/>
            <w:noWrap/>
            <w:vAlign w:val="bottom"/>
            <w:hideMark/>
          </w:tcPr>
          <w:p w14:paraId="0F495359" w14:textId="77777777" w:rsidR="00626FF9" w:rsidRPr="002C29D2" w:rsidRDefault="00626FF9" w:rsidP="00B63C4D">
            <w:pPr>
              <w:jc w:val="center"/>
              <w:rPr>
                <w:sz w:val="20"/>
                <w:szCs w:val="20"/>
              </w:rPr>
            </w:pPr>
            <w:r w:rsidRPr="002C29D2">
              <w:rPr>
                <w:sz w:val="20"/>
                <w:szCs w:val="20"/>
              </w:rPr>
              <w:t>0.105</w:t>
            </w:r>
          </w:p>
        </w:tc>
        <w:tc>
          <w:tcPr>
            <w:tcW w:w="1134" w:type="dxa"/>
            <w:shd w:val="clear" w:color="auto" w:fill="auto"/>
            <w:noWrap/>
            <w:vAlign w:val="bottom"/>
            <w:hideMark/>
          </w:tcPr>
          <w:p w14:paraId="0B0F354F" w14:textId="77777777" w:rsidR="00626FF9" w:rsidRPr="002C29D2" w:rsidRDefault="00626FF9" w:rsidP="00B63C4D">
            <w:pPr>
              <w:jc w:val="center"/>
              <w:rPr>
                <w:sz w:val="20"/>
                <w:szCs w:val="20"/>
              </w:rPr>
            </w:pPr>
            <w:r w:rsidRPr="002C29D2">
              <w:rPr>
                <w:sz w:val="20"/>
                <w:szCs w:val="20"/>
              </w:rPr>
              <w:t>1.372</w:t>
            </w:r>
          </w:p>
        </w:tc>
        <w:tc>
          <w:tcPr>
            <w:tcW w:w="992" w:type="dxa"/>
            <w:vAlign w:val="bottom"/>
          </w:tcPr>
          <w:p w14:paraId="617CBF1C" w14:textId="77777777" w:rsidR="00626FF9" w:rsidRPr="002C29D2" w:rsidRDefault="00626FF9" w:rsidP="00B63C4D">
            <w:pPr>
              <w:jc w:val="center"/>
              <w:rPr>
                <w:sz w:val="20"/>
                <w:szCs w:val="20"/>
              </w:rPr>
            </w:pPr>
            <w:r w:rsidRPr="002C29D2">
              <w:rPr>
                <w:sz w:val="20"/>
                <w:szCs w:val="20"/>
              </w:rPr>
              <w:t>0.170</w:t>
            </w:r>
          </w:p>
        </w:tc>
        <w:tc>
          <w:tcPr>
            <w:tcW w:w="992" w:type="dxa"/>
            <w:shd w:val="clear" w:color="auto" w:fill="auto"/>
            <w:noWrap/>
            <w:vAlign w:val="bottom"/>
            <w:hideMark/>
          </w:tcPr>
          <w:p w14:paraId="09BC83D8" w14:textId="77777777" w:rsidR="00626FF9" w:rsidRPr="002C29D2" w:rsidRDefault="00626FF9" w:rsidP="00B63C4D">
            <w:pPr>
              <w:jc w:val="center"/>
              <w:rPr>
                <w:sz w:val="20"/>
                <w:szCs w:val="20"/>
              </w:rPr>
            </w:pPr>
            <w:r w:rsidRPr="002C29D2">
              <w:rPr>
                <w:sz w:val="20"/>
                <w:szCs w:val="20"/>
              </w:rPr>
              <w:t>0.067</w:t>
            </w:r>
          </w:p>
        </w:tc>
        <w:tc>
          <w:tcPr>
            <w:tcW w:w="1122" w:type="dxa"/>
            <w:shd w:val="clear" w:color="auto" w:fill="auto"/>
            <w:noWrap/>
            <w:vAlign w:val="bottom"/>
            <w:hideMark/>
          </w:tcPr>
          <w:p w14:paraId="201AB3D0" w14:textId="77777777" w:rsidR="00626FF9" w:rsidRPr="002C29D2" w:rsidRDefault="00626FF9" w:rsidP="00B63C4D">
            <w:pPr>
              <w:jc w:val="center"/>
              <w:rPr>
                <w:sz w:val="20"/>
                <w:szCs w:val="20"/>
              </w:rPr>
            </w:pPr>
            <w:r w:rsidRPr="002C29D2">
              <w:rPr>
                <w:sz w:val="20"/>
                <w:szCs w:val="20"/>
              </w:rPr>
              <w:t>0.811</w:t>
            </w:r>
          </w:p>
        </w:tc>
        <w:tc>
          <w:tcPr>
            <w:tcW w:w="863" w:type="dxa"/>
            <w:vAlign w:val="bottom"/>
          </w:tcPr>
          <w:p w14:paraId="3B70EAD6" w14:textId="77777777" w:rsidR="00626FF9" w:rsidRPr="002C29D2" w:rsidRDefault="00626FF9" w:rsidP="00B63C4D">
            <w:pPr>
              <w:jc w:val="center"/>
              <w:rPr>
                <w:sz w:val="20"/>
                <w:szCs w:val="20"/>
              </w:rPr>
            </w:pPr>
            <w:r w:rsidRPr="002C29D2">
              <w:rPr>
                <w:sz w:val="20"/>
                <w:szCs w:val="20"/>
              </w:rPr>
              <w:t>0.418</w:t>
            </w:r>
          </w:p>
        </w:tc>
        <w:tc>
          <w:tcPr>
            <w:tcW w:w="1201" w:type="dxa"/>
            <w:shd w:val="clear" w:color="auto" w:fill="auto"/>
            <w:noWrap/>
            <w:vAlign w:val="bottom"/>
            <w:hideMark/>
          </w:tcPr>
          <w:p w14:paraId="75EDD706" w14:textId="77777777" w:rsidR="00626FF9" w:rsidRPr="002C29D2" w:rsidRDefault="00626FF9" w:rsidP="00B63C4D">
            <w:pPr>
              <w:jc w:val="center"/>
              <w:rPr>
                <w:sz w:val="20"/>
                <w:szCs w:val="20"/>
              </w:rPr>
            </w:pPr>
            <w:r w:rsidRPr="002C29D2">
              <w:rPr>
                <w:sz w:val="20"/>
                <w:szCs w:val="20"/>
              </w:rPr>
              <w:t>0.334</w:t>
            </w:r>
          </w:p>
        </w:tc>
        <w:tc>
          <w:tcPr>
            <w:tcW w:w="1067" w:type="dxa"/>
            <w:vAlign w:val="bottom"/>
          </w:tcPr>
          <w:p w14:paraId="405F05BA" w14:textId="77777777" w:rsidR="00626FF9" w:rsidRPr="002C29D2" w:rsidRDefault="00626FF9" w:rsidP="00B63C4D">
            <w:pPr>
              <w:jc w:val="center"/>
              <w:rPr>
                <w:sz w:val="20"/>
                <w:szCs w:val="20"/>
              </w:rPr>
            </w:pPr>
            <w:r w:rsidRPr="002C29D2">
              <w:rPr>
                <w:sz w:val="20"/>
                <w:szCs w:val="20"/>
              </w:rPr>
              <w:t>0.739</w:t>
            </w:r>
          </w:p>
        </w:tc>
      </w:tr>
      <w:tr w:rsidR="002C29D2" w:rsidRPr="002C29D2" w14:paraId="00417C08" w14:textId="77777777" w:rsidTr="00626FF9">
        <w:trPr>
          <w:trHeight w:val="320"/>
        </w:trPr>
        <w:tc>
          <w:tcPr>
            <w:tcW w:w="1435" w:type="dxa"/>
            <w:shd w:val="clear" w:color="auto" w:fill="auto"/>
            <w:noWrap/>
            <w:vAlign w:val="center"/>
            <w:hideMark/>
          </w:tcPr>
          <w:p w14:paraId="7286DA58" w14:textId="77777777" w:rsidR="00626FF9" w:rsidRPr="002C29D2" w:rsidRDefault="00626FF9" w:rsidP="00626FF9">
            <w:pPr>
              <w:rPr>
                <w:sz w:val="20"/>
                <w:szCs w:val="20"/>
              </w:rPr>
            </w:pPr>
            <w:r w:rsidRPr="002C29D2">
              <w:rPr>
                <w:sz w:val="20"/>
                <w:szCs w:val="20"/>
              </w:rPr>
              <w:t>EXP -&gt; UI</w:t>
            </w:r>
          </w:p>
        </w:tc>
        <w:tc>
          <w:tcPr>
            <w:tcW w:w="970" w:type="dxa"/>
            <w:shd w:val="clear" w:color="auto" w:fill="auto"/>
            <w:noWrap/>
            <w:vAlign w:val="bottom"/>
            <w:hideMark/>
          </w:tcPr>
          <w:p w14:paraId="3A73682A" w14:textId="77777777" w:rsidR="00626FF9" w:rsidRPr="002C29D2" w:rsidRDefault="00626FF9" w:rsidP="00B63C4D">
            <w:pPr>
              <w:jc w:val="center"/>
              <w:rPr>
                <w:sz w:val="20"/>
                <w:szCs w:val="20"/>
              </w:rPr>
            </w:pPr>
            <w:r w:rsidRPr="002C29D2">
              <w:rPr>
                <w:sz w:val="20"/>
                <w:szCs w:val="20"/>
              </w:rPr>
              <w:t>0.071</w:t>
            </w:r>
          </w:p>
        </w:tc>
        <w:tc>
          <w:tcPr>
            <w:tcW w:w="1134" w:type="dxa"/>
            <w:shd w:val="clear" w:color="auto" w:fill="auto"/>
            <w:noWrap/>
            <w:vAlign w:val="bottom"/>
            <w:hideMark/>
          </w:tcPr>
          <w:p w14:paraId="786FF962" w14:textId="77777777" w:rsidR="00626FF9" w:rsidRPr="002C29D2" w:rsidRDefault="00626FF9" w:rsidP="00B63C4D">
            <w:pPr>
              <w:jc w:val="center"/>
              <w:rPr>
                <w:sz w:val="20"/>
                <w:szCs w:val="20"/>
              </w:rPr>
            </w:pPr>
            <w:r w:rsidRPr="002C29D2">
              <w:rPr>
                <w:sz w:val="20"/>
                <w:szCs w:val="20"/>
              </w:rPr>
              <w:t>0.881</w:t>
            </w:r>
          </w:p>
        </w:tc>
        <w:tc>
          <w:tcPr>
            <w:tcW w:w="992" w:type="dxa"/>
            <w:vAlign w:val="bottom"/>
          </w:tcPr>
          <w:p w14:paraId="7ABF148B" w14:textId="77777777" w:rsidR="00626FF9" w:rsidRPr="002C29D2" w:rsidRDefault="00626FF9" w:rsidP="00B63C4D">
            <w:pPr>
              <w:jc w:val="center"/>
              <w:rPr>
                <w:sz w:val="20"/>
                <w:szCs w:val="20"/>
              </w:rPr>
            </w:pPr>
            <w:r w:rsidRPr="002C29D2">
              <w:rPr>
                <w:sz w:val="20"/>
                <w:szCs w:val="20"/>
              </w:rPr>
              <w:t>0.378</w:t>
            </w:r>
          </w:p>
        </w:tc>
        <w:tc>
          <w:tcPr>
            <w:tcW w:w="992" w:type="dxa"/>
            <w:shd w:val="clear" w:color="auto" w:fill="auto"/>
            <w:noWrap/>
            <w:vAlign w:val="bottom"/>
            <w:hideMark/>
          </w:tcPr>
          <w:p w14:paraId="0F8400BA" w14:textId="77777777" w:rsidR="00626FF9" w:rsidRPr="002C29D2" w:rsidRDefault="00626FF9" w:rsidP="00B63C4D">
            <w:pPr>
              <w:jc w:val="center"/>
              <w:rPr>
                <w:sz w:val="20"/>
                <w:szCs w:val="20"/>
              </w:rPr>
            </w:pPr>
            <w:r w:rsidRPr="002C29D2">
              <w:rPr>
                <w:sz w:val="20"/>
                <w:szCs w:val="20"/>
              </w:rPr>
              <w:t>-0.066</w:t>
            </w:r>
          </w:p>
        </w:tc>
        <w:tc>
          <w:tcPr>
            <w:tcW w:w="1122" w:type="dxa"/>
            <w:shd w:val="clear" w:color="auto" w:fill="auto"/>
            <w:noWrap/>
            <w:vAlign w:val="bottom"/>
            <w:hideMark/>
          </w:tcPr>
          <w:p w14:paraId="561C8628" w14:textId="77777777" w:rsidR="00626FF9" w:rsidRPr="002C29D2" w:rsidRDefault="00626FF9" w:rsidP="00B63C4D">
            <w:pPr>
              <w:jc w:val="center"/>
              <w:rPr>
                <w:sz w:val="20"/>
                <w:szCs w:val="20"/>
              </w:rPr>
            </w:pPr>
            <w:r w:rsidRPr="002C29D2">
              <w:rPr>
                <w:sz w:val="20"/>
                <w:szCs w:val="20"/>
              </w:rPr>
              <w:t>0.628</w:t>
            </w:r>
          </w:p>
        </w:tc>
        <w:tc>
          <w:tcPr>
            <w:tcW w:w="863" w:type="dxa"/>
            <w:vAlign w:val="bottom"/>
          </w:tcPr>
          <w:p w14:paraId="1F539B47" w14:textId="77777777" w:rsidR="00626FF9" w:rsidRPr="002C29D2" w:rsidRDefault="00626FF9" w:rsidP="00B63C4D">
            <w:pPr>
              <w:jc w:val="center"/>
              <w:rPr>
                <w:sz w:val="20"/>
                <w:szCs w:val="20"/>
              </w:rPr>
            </w:pPr>
            <w:r w:rsidRPr="002C29D2">
              <w:rPr>
                <w:sz w:val="20"/>
                <w:szCs w:val="20"/>
              </w:rPr>
              <w:t>0.530</w:t>
            </w:r>
          </w:p>
        </w:tc>
        <w:tc>
          <w:tcPr>
            <w:tcW w:w="1201" w:type="dxa"/>
            <w:shd w:val="clear" w:color="auto" w:fill="auto"/>
            <w:noWrap/>
            <w:vAlign w:val="bottom"/>
            <w:hideMark/>
          </w:tcPr>
          <w:p w14:paraId="6578B81A" w14:textId="77777777" w:rsidR="00626FF9" w:rsidRPr="002C29D2" w:rsidRDefault="00626FF9" w:rsidP="00B63C4D">
            <w:pPr>
              <w:jc w:val="center"/>
              <w:rPr>
                <w:sz w:val="20"/>
                <w:szCs w:val="20"/>
              </w:rPr>
            </w:pPr>
            <w:r w:rsidRPr="002C29D2">
              <w:rPr>
                <w:sz w:val="20"/>
                <w:szCs w:val="20"/>
              </w:rPr>
              <w:t>1.036</w:t>
            </w:r>
          </w:p>
        </w:tc>
        <w:tc>
          <w:tcPr>
            <w:tcW w:w="1067" w:type="dxa"/>
            <w:vAlign w:val="bottom"/>
          </w:tcPr>
          <w:p w14:paraId="633B97F5" w14:textId="77777777" w:rsidR="00626FF9" w:rsidRPr="002C29D2" w:rsidRDefault="00626FF9" w:rsidP="00B63C4D">
            <w:pPr>
              <w:jc w:val="center"/>
              <w:rPr>
                <w:sz w:val="20"/>
                <w:szCs w:val="20"/>
              </w:rPr>
            </w:pPr>
            <w:r w:rsidRPr="002C29D2">
              <w:rPr>
                <w:sz w:val="20"/>
                <w:szCs w:val="20"/>
              </w:rPr>
              <w:t>0.301</w:t>
            </w:r>
          </w:p>
        </w:tc>
      </w:tr>
      <w:tr w:rsidR="002C29D2" w:rsidRPr="002C29D2" w14:paraId="69AC0259" w14:textId="77777777" w:rsidTr="00626FF9">
        <w:trPr>
          <w:trHeight w:val="320"/>
        </w:trPr>
        <w:tc>
          <w:tcPr>
            <w:tcW w:w="1435" w:type="dxa"/>
            <w:shd w:val="clear" w:color="auto" w:fill="auto"/>
            <w:noWrap/>
            <w:vAlign w:val="center"/>
            <w:hideMark/>
          </w:tcPr>
          <w:p w14:paraId="6B3FF334" w14:textId="77777777" w:rsidR="00626FF9" w:rsidRPr="002C29D2" w:rsidRDefault="00626FF9" w:rsidP="00626FF9">
            <w:pPr>
              <w:rPr>
                <w:sz w:val="20"/>
                <w:szCs w:val="20"/>
              </w:rPr>
            </w:pPr>
            <w:r w:rsidRPr="002C29D2">
              <w:rPr>
                <w:sz w:val="20"/>
                <w:szCs w:val="20"/>
              </w:rPr>
              <w:t>JUS -&gt; ATA</w:t>
            </w:r>
          </w:p>
        </w:tc>
        <w:tc>
          <w:tcPr>
            <w:tcW w:w="970" w:type="dxa"/>
            <w:shd w:val="clear" w:color="auto" w:fill="auto"/>
            <w:noWrap/>
            <w:vAlign w:val="bottom"/>
            <w:hideMark/>
          </w:tcPr>
          <w:p w14:paraId="0F6209DB" w14:textId="77777777" w:rsidR="00626FF9" w:rsidRPr="002C29D2" w:rsidRDefault="00626FF9" w:rsidP="00B63C4D">
            <w:pPr>
              <w:jc w:val="center"/>
              <w:rPr>
                <w:sz w:val="20"/>
                <w:szCs w:val="20"/>
              </w:rPr>
            </w:pPr>
            <w:r w:rsidRPr="002C29D2">
              <w:rPr>
                <w:sz w:val="20"/>
                <w:szCs w:val="20"/>
              </w:rPr>
              <w:t>0.218</w:t>
            </w:r>
          </w:p>
        </w:tc>
        <w:tc>
          <w:tcPr>
            <w:tcW w:w="1134" w:type="dxa"/>
            <w:shd w:val="clear" w:color="auto" w:fill="auto"/>
            <w:noWrap/>
            <w:vAlign w:val="bottom"/>
            <w:hideMark/>
          </w:tcPr>
          <w:p w14:paraId="3F20D114" w14:textId="77777777" w:rsidR="00626FF9" w:rsidRPr="002C29D2" w:rsidRDefault="00626FF9" w:rsidP="00B63C4D">
            <w:pPr>
              <w:jc w:val="center"/>
              <w:rPr>
                <w:sz w:val="20"/>
                <w:szCs w:val="20"/>
              </w:rPr>
            </w:pPr>
            <w:r w:rsidRPr="002C29D2">
              <w:rPr>
                <w:sz w:val="20"/>
                <w:szCs w:val="20"/>
              </w:rPr>
              <w:t>2.075</w:t>
            </w:r>
          </w:p>
        </w:tc>
        <w:tc>
          <w:tcPr>
            <w:tcW w:w="992" w:type="dxa"/>
            <w:vAlign w:val="bottom"/>
          </w:tcPr>
          <w:p w14:paraId="6901C0C8" w14:textId="77777777" w:rsidR="00626FF9" w:rsidRPr="002C29D2" w:rsidRDefault="00626FF9" w:rsidP="00B63C4D">
            <w:pPr>
              <w:jc w:val="center"/>
              <w:rPr>
                <w:sz w:val="20"/>
                <w:szCs w:val="20"/>
              </w:rPr>
            </w:pPr>
            <w:r w:rsidRPr="002C29D2">
              <w:rPr>
                <w:sz w:val="20"/>
                <w:szCs w:val="20"/>
              </w:rPr>
              <w:t>0.038</w:t>
            </w:r>
          </w:p>
        </w:tc>
        <w:tc>
          <w:tcPr>
            <w:tcW w:w="992" w:type="dxa"/>
            <w:shd w:val="clear" w:color="auto" w:fill="auto"/>
            <w:noWrap/>
            <w:vAlign w:val="bottom"/>
            <w:hideMark/>
          </w:tcPr>
          <w:p w14:paraId="034DB4AB" w14:textId="77777777" w:rsidR="00626FF9" w:rsidRPr="002C29D2" w:rsidRDefault="00626FF9" w:rsidP="00B63C4D">
            <w:pPr>
              <w:jc w:val="center"/>
              <w:rPr>
                <w:sz w:val="20"/>
                <w:szCs w:val="20"/>
              </w:rPr>
            </w:pPr>
            <w:r w:rsidRPr="002C29D2">
              <w:rPr>
                <w:sz w:val="20"/>
                <w:szCs w:val="20"/>
              </w:rPr>
              <w:t>0.047</w:t>
            </w:r>
          </w:p>
        </w:tc>
        <w:tc>
          <w:tcPr>
            <w:tcW w:w="1122" w:type="dxa"/>
            <w:shd w:val="clear" w:color="auto" w:fill="auto"/>
            <w:noWrap/>
            <w:vAlign w:val="bottom"/>
            <w:hideMark/>
          </w:tcPr>
          <w:p w14:paraId="5718A8D6" w14:textId="77777777" w:rsidR="00626FF9" w:rsidRPr="002C29D2" w:rsidRDefault="00626FF9" w:rsidP="00B63C4D">
            <w:pPr>
              <w:jc w:val="center"/>
              <w:rPr>
                <w:sz w:val="20"/>
                <w:szCs w:val="20"/>
              </w:rPr>
            </w:pPr>
            <w:r w:rsidRPr="002C29D2">
              <w:rPr>
                <w:sz w:val="20"/>
                <w:szCs w:val="20"/>
              </w:rPr>
              <w:t>0.412</w:t>
            </w:r>
          </w:p>
        </w:tc>
        <w:tc>
          <w:tcPr>
            <w:tcW w:w="863" w:type="dxa"/>
            <w:vAlign w:val="bottom"/>
          </w:tcPr>
          <w:p w14:paraId="6811F3BB" w14:textId="77777777" w:rsidR="00626FF9" w:rsidRPr="002C29D2" w:rsidRDefault="00626FF9" w:rsidP="00B63C4D">
            <w:pPr>
              <w:jc w:val="center"/>
              <w:rPr>
                <w:sz w:val="20"/>
                <w:szCs w:val="20"/>
              </w:rPr>
            </w:pPr>
            <w:r w:rsidRPr="002C29D2">
              <w:rPr>
                <w:sz w:val="20"/>
                <w:szCs w:val="20"/>
              </w:rPr>
              <w:t>0.680</w:t>
            </w:r>
          </w:p>
        </w:tc>
        <w:tc>
          <w:tcPr>
            <w:tcW w:w="1201" w:type="dxa"/>
            <w:shd w:val="clear" w:color="auto" w:fill="auto"/>
            <w:noWrap/>
            <w:vAlign w:val="bottom"/>
            <w:hideMark/>
          </w:tcPr>
          <w:p w14:paraId="13C0438C" w14:textId="77777777" w:rsidR="00626FF9" w:rsidRPr="002C29D2" w:rsidRDefault="00626FF9" w:rsidP="00B63C4D">
            <w:pPr>
              <w:jc w:val="center"/>
              <w:rPr>
                <w:sz w:val="20"/>
                <w:szCs w:val="20"/>
              </w:rPr>
            </w:pPr>
            <w:r w:rsidRPr="002C29D2">
              <w:rPr>
                <w:sz w:val="20"/>
                <w:szCs w:val="20"/>
              </w:rPr>
              <w:t>1.100</w:t>
            </w:r>
          </w:p>
        </w:tc>
        <w:tc>
          <w:tcPr>
            <w:tcW w:w="1067" w:type="dxa"/>
            <w:vAlign w:val="bottom"/>
          </w:tcPr>
          <w:p w14:paraId="51EC19F1" w14:textId="77777777" w:rsidR="00626FF9" w:rsidRPr="002C29D2" w:rsidRDefault="00626FF9" w:rsidP="00B63C4D">
            <w:pPr>
              <w:jc w:val="center"/>
              <w:rPr>
                <w:sz w:val="20"/>
                <w:szCs w:val="20"/>
              </w:rPr>
            </w:pPr>
            <w:r w:rsidRPr="002C29D2">
              <w:rPr>
                <w:sz w:val="20"/>
                <w:szCs w:val="20"/>
              </w:rPr>
              <w:t>0.273</w:t>
            </w:r>
          </w:p>
        </w:tc>
      </w:tr>
      <w:tr w:rsidR="002C29D2" w:rsidRPr="002C29D2" w14:paraId="0D2641B3" w14:textId="77777777" w:rsidTr="00626FF9">
        <w:trPr>
          <w:trHeight w:val="320"/>
        </w:trPr>
        <w:tc>
          <w:tcPr>
            <w:tcW w:w="1435" w:type="dxa"/>
            <w:shd w:val="clear" w:color="auto" w:fill="auto"/>
            <w:noWrap/>
            <w:vAlign w:val="center"/>
            <w:hideMark/>
          </w:tcPr>
          <w:p w14:paraId="06E2FB55" w14:textId="77777777" w:rsidR="00626FF9" w:rsidRPr="002C29D2" w:rsidRDefault="00626FF9" w:rsidP="00626FF9">
            <w:pPr>
              <w:rPr>
                <w:sz w:val="20"/>
                <w:szCs w:val="20"/>
              </w:rPr>
            </w:pPr>
            <w:r w:rsidRPr="002C29D2">
              <w:rPr>
                <w:sz w:val="20"/>
                <w:szCs w:val="20"/>
              </w:rPr>
              <w:t>JUS -&gt; ENG</w:t>
            </w:r>
          </w:p>
        </w:tc>
        <w:tc>
          <w:tcPr>
            <w:tcW w:w="970" w:type="dxa"/>
            <w:shd w:val="clear" w:color="auto" w:fill="auto"/>
            <w:noWrap/>
            <w:vAlign w:val="bottom"/>
            <w:hideMark/>
          </w:tcPr>
          <w:p w14:paraId="4CD0AE0A" w14:textId="77777777" w:rsidR="00626FF9" w:rsidRPr="002C29D2" w:rsidRDefault="00626FF9" w:rsidP="00B63C4D">
            <w:pPr>
              <w:jc w:val="center"/>
              <w:rPr>
                <w:sz w:val="20"/>
                <w:szCs w:val="20"/>
              </w:rPr>
            </w:pPr>
            <w:r w:rsidRPr="002C29D2">
              <w:rPr>
                <w:sz w:val="20"/>
                <w:szCs w:val="20"/>
              </w:rPr>
              <w:t>0.225</w:t>
            </w:r>
          </w:p>
        </w:tc>
        <w:tc>
          <w:tcPr>
            <w:tcW w:w="1134" w:type="dxa"/>
            <w:shd w:val="clear" w:color="auto" w:fill="auto"/>
            <w:noWrap/>
            <w:vAlign w:val="bottom"/>
            <w:hideMark/>
          </w:tcPr>
          <w:p w14:paraId="7CB19E61" w14:textId="77777777" w:rsidR="00626FF9" w:rsidRPr="002C29D2" w:rsidRDefault="00626FF9" w:rsidP="00B63C4D">
            <w:pPr>
              <w:jc w:val="center"/>
              <w:rPr>
                <w:sz w:val="20"/>
                <w:szCs w:val="20"/>
              </w:rPr>
            </w:pPr>
            <w:r w:rsidRPr="002C29D2">
              <w:rPr>
                <w:sz w:val="20"/>
                <w:szCs w:val="20"/>
              </w:rPr>
              <w:t>2.741</w:t>
            </w:r>
          </w:p>
        </w:tc>
        <w:tc>
          <w:tcPr>
            <w:tcW w:w="992" w:type="dxa"/>
            <w:vAlign w:val="bottom"/>
          </w:tcPr>
          <w:p w14:paraId="4515ECE5" w14:textId="77777777" w:rsidR="00626FF9" w:rsidRPr="002C29D2" w:rsidRDefault="00626FF9" w:rsidP="00B63C4D">
            <w:pPr>
              <w:jc w:val="center"/>
              <w:rPr>
                <w:sz w:val="20"/>
                <w:szCs w:val="20"/>
              </w:rPr>
            </w:pPr>
            <w:r w:rsidRPr="002C29D2">
              <w:rPr>
                <w:sz w:val="20"/>
                <w:szCs w:val="20"/>
              </w:rPr>
              <w:t>0.006</w:t>
            </w:r>
          </w:p>
        </w:tc>
        <w:tc>
          <w:tcPr>
            <w:tcW w:w="992" w:type="dxa"/>
            <w:shd w:val="clear" w:color="auto" w:fill="auto"/>
            <w:noWrap/>
            <w:vAlign w:val="bottom"/>
            <w:hideMark/>
          </w:tcPr>
          <w:p w14:paraId="752DD831" w14:textId="77777777" w:rsidR="00626FF9" w:rsidRPr="002C29D2" w:rsidRDefault="00626FF9" w:rsidP="00B63C4D">
            <w:pPr>
              <w:jc w:val="center"/>
              <w:rPr>
                <w:sz w:val="20"/>
                <w:szCs w:val="20"/>
              </w:rPr>
            </w:pPr>
            <w:r w:rsidRPr="002C29D2">
              <w:rPr>
                <w:sz w:val="20"/>
                <w:szCs w:val="20"/>
              </w:rPr>
              <w:t>0.247</w:t>
            </w:r>
          </w:p>
        </w:tc>
        <w:tc>
          <w:tcPr>
            <w:tcW w:w="1122" w:type="dxa"/>
            <w:shd w:val="clear" w:color="auto" w:fill="auto"/>
            <w:noWrap/>
            <w:vAlign w:val="bottom"/>
            <w:hideMark/>
          </w:tcPr>
          <w:p w14:paraId="7ACBC92E" w14:textId="77777777" w:rsidR="00626FF9" w:rsidRPr="002C29D2" w:rsidRDefault="00626FF9" w:rsidP="00B63C4D">
            <w:pPr>
              <w:jc w:val="center"/>
              <w:rPr>
                <w:sz w:val="20"/>
                <w:szCs w:val="20"/>
              </w:rPr>
            </w:pPr>
            <w:r w:rsidRPr="002C29D2">
              <w:rPr>
                <w:sz w:val="20"/>
                <w:szCs w:val="20"/>
              </w:rPr>
              <w:t>2.151</w:t>
            </w:r>
          </w:p>
        </w:tc>
        <w:tc>
          <w:tcPr>
            <w:tcW w:w="863" w:type="dxa"/>
            <w:vAlign w:val="bottom"/>
          </w:tcPr>
          <w:p w14:paraId="76F1F3CD" w14:textId="77777777" w:rsidR="00626FF9" w:rsidRPr="002C29D2" w:rsidRDefault="00626FF9" w:rsidP="00B63C4D">
            <w:pPr>
              <w:jc w:val="center"/>
              <w:rPr>
                <w:sz w:val="20"/>
                <w:szCs w:val="20"/>
              </w:rPr>
            </w:pPr>
            <w:r w:rsidRPr="002C29D2">
              <w:rPr>
                <w:sz w:val="20"/>
                <w:szCs w:val="20"/>
              </w:rPr>
              <w:t>0.032</w:t>
            </w:r>
          </w:p>
        </w:tc>
        <w:tc>
          <w:tcPr>
            <w:tcW w:w="1201" w:type="dxa"/>
            <w:shd w:val="clear" w:color="auto" w:fill="auto"/>
            <w:noWrap/>
            <w:vAlign w:val="bottom"/>
            <w:hideMark/>
          </w:tcPr>
          <w:p w14:paraId="3B22F6AF" w14:textId="77777777" w:rsidR="00626FF9" w:rsidRPr="002C29D2" w:rsidRDefault="00626FF9" w:rsidP="00B63C4D">
            <w:pPr>
              <w:jc w:val="center"/>
              <w:rPr>
                <w:sz w:val="20"/>
                <w:szCs w:val="20"/>
              </w:rPr>
            </w:pPr>
            <w:r w:rsidRPr="002C29D2">
              <w:rPr>
                <w:sz w:val="20"/>
                <w:szCs w:val="20"/>
              </w:rPr>
              <w:t>0.151</w:t>
            </w:r>
          </w:p>
        </w:tc>
        <w:tc>
          <w:tcPr>
            <w:tcW w:w="1067" w:type="dxa"/>
            <w:vAlign w:val="bottom"/>
          </w:tcPr>
          <w:p w14:paraId="475E711D" w14:textId="77777777" w:rsidR="00626FF9" w:rsidRPr="002C29D2" w:rsidRDefault="00626FF9" w:rsidP="00B63C4D">
            <w:pPr>
              <w:jc w:val="center"/>
              <w:rPr>
                <w:sz w:val="20"/>
                <w:szCs w:val="20"/>
              </w:rPr>
            </w:pPr>
            <w:r w:rsidRPr="002C29D2">
              <w:rPr>
                <w:sz w:val="20"/>
                <w:szCs w:val="20"/>
              </w:rPr>
              <w:t>0.880</w:t>
            </w:r>
          </w:p>
        </w:tc>
      </w:tr>
      <w:tr w:rsidR="002C29D2" w:rsidRPr="002C29D2" w14:paraId="0FB33068" w14:textId="77777777" w:rsidTr="00626FF9">
        <w:trPr>
          <w:trHeight w:val="320"/>
        </w:trPr>
        <w:tc>
          <w:tcPr>
            <w:tcW w:w="1435" w:type="dxa"/>
            <w:shd w:val="clear" w:color="auto" w:fill="auto"/>
            <w:noWrap/>
            <w:vAlign w:val="center"/>
            <w:hideMark/>
          </w:tcPr>
          <w:p w14:paraId="0FB3338A" w14:textId="77777777" w:rsidR="00626FF9" w:rsidRPr="002C29D2" w:rsidRDefault="00626FF9" w:rsidP="00626FF9">
            <w:pPr>
              <w:rPr>
                <w:sz w:val="20"/>
                <w:szCs w:val="20"/>
              </w:rPr>
            </w:pPr>
            <w:r w:rsidRPr="002C29D2">
              <w:rPr>
                <w:sz w:val="20"/>
                <w:szCs w:val="20"/>
              </w:rPr>
              <w:t>JUS -&gt; SAT</w:t>
            </w:r>
          </w:p>
        </w:tc>
        <w:tc>
          <w:tcPr>
            <w:tcW w:w="970" w:type="dxa"/>
            <w:shd w:val="clear" w:color="auto" w:fill="auto"/>
            <w:noWrap/>
            <w:vAlign w:val="bottom"/>
            <w:hideMark/>
          </w:tcPr>
          <w:p w14:paraId="68CD01DB" w14:textId="77777777" w:rsidR="00626FF9" w:rsidRPr="002C29D2" w:rsidRDefault="00626FF9" w:rsidP="00B63C4D">
            <w:pPr>
              <w:jc w:val="center"/>
              <w:rPr>
                <w:sz w:val="20"/>
                <w:szCs w:val="20"/>
              </w:rPr>
            </w:pPr>
            <w:r w:rsidRPr="002C29D2">
              <w:rPr>
                <w:sz w:val="20"/>
                <w:szCs w:val="20"/>
              </w:rPr>
              <w:t>0.260</w:t>
            </w:r>
          </w:p>
        </w:tc>
        <w:tc>
          <w:tcPr>
            <w:tcW w:w="1134" w:type="dxa"/>
            <w:shd w:val="clear" w:color="auto" w:fill="auto"/>
            <w:noWrap/>
            <w:vAlign w:val="bottom"/>
            <w:hideMark/>
          </w:tcPr>
          <w:p w14:paraId="1BCD2EC3" w14:textId="77777777" w:rsidR="00626FF9" w:rsidRPr="002C29D2" w:rsidRDefault="00626FF9" w:rsidP="00B63C4D">
            <w:pPr>
              <w:jc w:val="center"/>
              <w:rPr>
                <w:sz w:val="20"/>
                <w:szCs w:val="20"/>
              </w:rPr>
            </w:pPr>
            <w:r w:rsidRPr="002C29D2">
              <w:rPr>
                <w:sz w:val="20"/>
                <w:szCs w:val="20"/>
              </w:rPr>
              <w:t>2.687</w:t>
            </w:r>
          </w:p>
        </w:tc>
        <w:tc>
          <w:tcPr>
            <w:tcW w:w="992" w:type="dxa"/>
            <w:vAlign w:val="bottom"/>
          </w:tcPr>
          <w:p w14:paraId="2987C083" w14:textId="77777777" w:rsidR="00626FF9" w:rsidRPr="002C29D2" w:rsidRDefault="00626FF9" w:rsidP="00B63C4D">
            <w:pPr>
              <w:jc w:val="center"/>
              <w:rPr>
                <w:sz w:val="20"/>
                <w:szCs w:val="20"/>
              </w:rPr>
            </w:pPr>
            <w:r w:rsidRPr="002C29D2">
              <w:rPr>
                <w:sz w:val="20"/>
                <w:szCs w:val="20"/>
              </w:rPr>
              <w:t>0.007</w:t>
            </w:r>
          </w:p>
        </w:tc>
        <w:tc>
          <w:tcPr>
            <w:tcW w:w="992" w:type="dxa"/>
            <w:shd w:val="clear" w:color="auto" w:fill="auto"/>
            <w:noWrap/>
            <w:vAlign w:val="bottom"/>
            <w:hideMark/>
          </w:tcPr>
          <w:p w14:paraId="57F13AFA" w14:textId="77777777" w:rsidR="00626FF9" w:rsidRPr="002C29D2" w:rsidRDefault="00626FF9" w:rsidP="00B63C4D">
            <w:pPr>
              <w:jc w:val="center"/>
              <w:rPr>
                <w:sz w:val="20"/>
                <w:szCs w:val="20"/>
              </w:rPr>
            </w:pPr>
            <w:r w:rsidRPr="002C29D2">
              <w:rPr>
                <w:sz w:val="20"/>
                <w:szCs w:val="20"/>
              </w:rPr>
              <w:t>0.294</w:t>
            </w:r>
          </w:p>
        </w:tc>
        <w:tc>
          <w:tcPr>
            <w:tcW w:w="1122" w:type="dxa"/>
            <w:shd w:val="clear" w:color="auto" w:fill="auto"/>
            <w:noWrap/>
            <w:vAlign w:val="bottom"/>
            <w:hideMark/>
          </w:tcPr>
          <w:p w14:paraId="5C707D68" w14:textId="77777777" w:rsidR="00626FF9" w:rsidRPr="002C29D2" w:rsidRDefault="00626FF9" w:rsidP="00B63C4D">
            <w:pPr>
              <w:jc w:val="center"/>
              <w:rPr>
                <w:sz w:val="20"/>
                <w:szCs w:val="20"/>
              </w:rPr>
            </w:pPr>
            <w:r w:rsidRPr="002C29D2">
              <w:rPr>
                <w:sz w:val="20"/>
                <w:szCs w:val="20"/>
              </w:rPr>
              <w:t>3.301</w:t>
            </w:r>
          </w:p>
        </w:tc>
        <w:tc>
          <w:tcPr>
            <w:tcW w:w="863" w:type="dxa"/>
            <w:vAlign w:val="bottom"/>
          </w:tcPr>
          <w:p w14:paraId="6287F0E5" w14:textId="77777777" w:rsidR="00626FF9" w:rsidRPr="002C29D2" w:rsidRDefault="00626FF9" w:rsidP="00B63C4D">
            <w:pPr>
              <w:jc w:val="center"/>
              <w:rPr>
                <w:sz w:val="20"/>
                <w:szCs w:val="20"/>
              </w:rPr>
            </w:pPr>
            <w:r w:rsidRPr="002C29D2">
              <w:rPr>
                <w:sz w:val="20"/>
                <w:szCs w:val="20"/>
              </w:rPr>
              <w:t>0.001</w:t>
            </w:r>
          </w:p>
        </w:tc>
        <w:tc>
          <w:tcPr>
            <w:tcW w:w="1201" w:type="dxa"/>
            <w:shd w:val="clear" w:color="auto" w:fill="auto"/>
            <w:noWrap/>
            <w:vAlign w:val="bottom"/>
            <w:hideMark/>
          </w:tcPr>
          <w:p w14:paraId="14317389" w14:textId="77777777" w:rsidR="00626FF9" w:rsidRPr="002C29D2" w:rsidRDefault="00626FF9" w:rsidP="00B63C4D">
            <w:pPr>
              <w:jc w:val="center"/>
              <w:rPr>
                <w:sz w:val="20"/>
                <w:szCs w:val="20"/>
              </w:rPr>
            </w:pPr>
            <w:r w:rsidRPr="002C29D2">
              <w:rPr>
                <w:sz w:val="20"/>
                <w:szCs w:val="20"/>
              </w:rPr>
              <w:t>0.262</w:t>
            </w:r>
          </w:p>
        </w:tc>
        <w:tc>
          <w:tcPr>
            <w:tcW w:w="1067" w:type="dxa"/>
            <w:vAlign w:val="bottom"/>
          </w:tcPr>
          <w:p w14:paraId="482A094A" w14:textId="77777777" w:rsidR="00626FF9" w:rsidRPr="002C29D2" w:rsidRDefault="00626FF9" w:rsidP="00B63C4D">
            <w:pPr>
              <w:jc w:val="center"/>
              <w:rPr>
                <w:sz w:val="20"/>
                <w:szCs w:val="20"/>
              </w:rPr>
            </w:pPr>
            <w:r w:rsidRPr="002C29D2">
              <w:rPr>
                <w:sz w:val="20"/>
                <w:szCs w:val="20"/>
              </w:rPr>
              <w:t>0.793</w:t>
            </w:r>
          </w:p>
        </w:tc>
      </w:tr>
      <w:tr w:rsidR="002C29D2" w:rsidRPr="002C29D2" w14:paraId="322FB794" w14:textId="77777777" w:rsidTr="00626FF9">
        <w:trPr>
          <w:trHeight w:val="320"/>
        </w:trPr>
        <w:tc>
          <w:tcPr>
            <w:tcW w:w="1435" w:type="dxa"/>
            <w:shd w:val="clear" w:color="auto" w:fill="auto"/>
            <w:noWrap/>
            <w:vAlign w:val="center"/>
            <w:hideMark/>
          </w:tcPr>
          <w:p w14:paraId="6854B50F" w14:textId="77777777" w:rsidR="00626FF9" w:rsidRPr="002C29D2" w:rsidRDefault="00626FF9" w:rsidP="00626FF9">
            <w:pPr>
              <w:rPr>
                <w:sz w:val="20"/>
                <w:szCs w:val="20"/>
              </w:rPr>
            </w:pPr>
            <w:r w:rsidRPr="002C29D2">
              <w:rPr>
                <w:sz w:val="20"/>
                <w:szCs w:val="20"/>
              </w:rPr>
              <w:t>JUS -&gt; UI</w:t>
            </w:r>
          </w:p>
        </w:tc>
        <w:tc>
          <w:tcPr>
            <w:tcW w:w="970" w:type="dxa"/>
            <w:shd w:val="clear" w:color="auto" w:fill="auto"/>
            <w:noWrap/>
            <w:vAlign w:val="bottom"/>
            <w:hideMark/>
          </w:tcPr>
          <w:p w14:paraId="14B2F1E5" w14:textId="77777777" w:rsidR="00626FF9" w:rsidRPr="002C29D2" w:rsidRDefault="00626FF9" w:rsidP="00B63C4D">
            <w:pPr>
              <w:jc w:val="center"/>
              <w:rPr>
                <w:sz w:val="20"/>
                <w:szCs w:val="20"/>
              </w:rPr>
            </w:pPr>
            <w:r w:rsidRPr="002C29D2">
              <w:rPr>
                <w:sz w:val="20"/>
                <w:szCs w:val="20"/>
              </w:rPr>
              <w:t>-0.004</w:t>
            </w:r>
          </w:p>
        </w:tc>
        <w:tc>
          <w:tcPr>
            <w:tcW w:w="1134" w:type="dxa"/>
            <w:shd w:val="clear" w:color="auto" w:fill="auto"/>
            <w:noWrap/>
            <w:vAlign w:val="bottom"/>
            <w:hideMark/>
          </w:tcPr>
          <w:p w14:paraId="2FF691D1" w14:textId="77777777" w:rsidR="00626FF9" w:rsidRPr="002C29D2" w:rsidRDefault="00626FF9" w:rsidP="00B63C4D">
            <w:pPr>
              <w:jc w:val="center"/>
              <w:rPr>
                <w:sz w:val="20"/>
                <w:szCs w:val="20"/>
              </w:rPr>
            </w:pPr>
            <w:r w:rsidRPr="002C29D2">
              <w:rPr>
                <w:sz w:val="20"/>
                <w:szCs w:val="20"/>
              </w:rPr>
              <w:t>0.044</w:t>
            </w:r>
          </w:p>
        </w:tc>
        <w:tc>
          <w:tcPr>
            <w:tcW w:w="992" w:type="dxa"/>
            <w:vAlign w:val="bottom"/>
          </w:tcPr>
          <w:p w14:paraId="2144DE89" w14:textId="77777777" w:rsidR="00626FF9" w:rsidRPr="002C29D2" w:rsidRDefault="00626FF9" w:rsidP="00B63C4D">
            <w:pPr>
              <w:jc w:val="center"/>
              <w:rPr>
                <w:sz w:val="20"/>
                <w:szCs w:val="20"/>
              </w:rPr>
            </w:pPr>
            <w:r w:rsidRPr="002C29D2">
              <w:rPr>
                <w:sz w:val="20"/>
                <w:szCs w:val="20"/>
              </w:rPr>
              <w:t>0.965</w:t>
            </w:r>
          </w:p>
        </w:tc>
        <w:tc>
          <w:tcPr>
            <w:tcW w:w="992" w:type="dxa"/>
            <w:shd w:val="clear" w:color="auto" w:fill="auto"/>
            <w:noWrap/>
            <w:vAlign w:val="bottom"/>
            <w:hideMark/>
          </w:tcPr>
          <w:p w14:paraId="6A19FEEA" w14:textId="77777777" w:rsidR="00626FF9" w:rsidRPr="002C29D2" w:rsidRDefault="00626FF9" w:rsidP="00B63C4D">
            <w:pPr>
              <w:jc w:val="center"/>
              <w:rPr>
                <w:sz w:val="20"/>
                <w:szCs w:val="20"/>
              </w:rPr>
            </w:pPr>
            <w:r w:rsidRPr="002C29D2">
              <w:rPr>
                <w:sz w:val="20"/>
                <w:szCs w:val="20"/>
              </w:rPr>
              <w:t>-0.074</w:t>
            </w:r>
          </w:p>
        </w:tc>
        <w:tc>
          <w:tcPr>
            <w:tcW w:w="1122" w:type="dxa"/>
            <w:shd w:val="clear" w:color="auto" w:fill="auto"/>
            <w:noWrap/>
            <w:vAlign w:val="bottom"/>
            <w:hideMark/>
          </w:tcPr>
          <w:p w14:paraId="02554C59" w14:textId="77777777" w:rsidR="00626FF9" w:rsidRPr="002C29D2" w:rsidRDefault="00626FF9" w:rsidP="00B63C4D">
            <w:pPr>
              <w:jc w:val="center"/>
              <w:rPr>
                <w:sz w:val="20"/>
                <w:szCs w:val="20"/>
              </w:rPr>
            </w:pPr>
            <w:r w:rsidRPr="002C29D2">
              <w:rPr>
                <w:sz w:val="20"/>
                <w:szCs w:val="20"/>
              </w:rPr>
              <w:t>0.584</w:t>
            </w:r>
          </w:p>
        </w:tc>
        <w:tc>
          <w:tcPr>
            <w:tcW w:w="863" w:type="dxa"/>
            <w:vAlign w:val="bottom"/>
          </w:tcPr>
          <w:p w14:paraId="1D5EB70B" w14:textId="77777777" w:rsidR="00626FF9" w:rsidRPr="002C29D2" w:rsidRDefault="00626FF9" w:rsidP="00B63C4D">
            <w:pPr>
              <w:jc w:val="center"/>
              <w:rPr>
                <w:sz w:val="20"/>
                <w:szCs w:val="20"/>
              </w:rPr>
            </w:pPr>
            <w:r w:rsidRPr="002C29D2">
              <w:rPr>
                <w:sz w:val="20"/>
                <w:szCs w:val="20"/>
              </w:rPr>
              <w:t>0.559</w:t>
            </w:r>
          </w:p>
        </w:tc>
        <w:tc>
          <w:tcPr>
            <w:tcW w:w="1201" w:type="dxa"/>
            <w:shd w:val="clear" w:color="auto" w:fill="auto"/>
            <w:noWrap/>
            <w:vAlign w:val="bottom"/>
            <w:hideMark/>
          </w:tcPr>
          <w:p w14:paraId="55A0EA21" w14:textId="77777777" w:rsidR="00626FF9" w:rsidRPr="002C29D2" w:rsidRDefault="00626FF9" w:rsidP="00B63C4D">
            <w:pPr>
              <w:jc w:val="center"/>
              <w:rPr>
                <w:sz w:val="20"/>
                <w:szCs w:val="20"/>
              </w:rPr>
            </w:pPr>
            <w:r w:rsidRPr="002C29D2">
              <w:rPr>
                <w:sz w:val="20"/>
                <w:szCs w:val="20"/>
              </w:rPr>
              <w:t>0.443</w:t>
            </w:r>
          </w:p>
        </w:tc>
        <w:tc>
          <w:tcPr>
            <w:tcW w:w="1067" w:type="dxa"/>
            <w:vAlign w:val="bottom"/>
          </w:tcPr>
          <w:p w14:paraId="1942C942" w14:textId="77777777" w:rsidR="00626FF9" w:rsidRPr="002C29D2" w:rsidRDefault="00626FF9" w:rsidP="00B63C4D">
            <w:pPr>
              <w:jc w:val="center"/>
              <w:rPr>
                <w:sz w:val="20"/>
                <w:szCs w:val="20"/>
              </w:rPr>
            </w:pPr>
            <w:r w:rsidRPr="002C29D2">
              <w:rPr>
                <w:sz w:val="20"/>
                <w:szCs w:val="20"/>
              </w:rPr>
              <w:t>0.658</w:t>
            </w:r>
          </w:p>
        </w:tc>
      </w:tr>
      <w:tr w:rsidR="002C29D2" w:rsidRPr="002C29D2" w14:paraId="2E381B90" w14:textId="77777777" w:rsidTr="00626FF9">
        <w:trPr>
          <w:trHeight w:val="320"/>
        </w:trPr>
        <w:tc>
          <w:tcPr>
            <w:tcW w:w="1435" w:type="dxa"/>
            <w:shd w:val="clear" w:color="auto" w:fill="auto"/>
            <w:noWrap/>
            <w:vAlign w:val="center"/>
            <w:hideMark/>
          </w:tcPr>
          <w:p w14:paraId="6BA270FF" w14:textId="77777777" w:rsidR="00626FF9" w:rsidRPr="002C29D2" w:rsidRDefault="00626FF9" w:rsidP="00626FF9">
            <w:pPr>
              <w:rPr>
                <w:sz w:val="20"/>
                <w:szCs w:val="20"/>
              </w:rPr>
            </w:pPr>
            <w:r w:rsidRPr="002C29D2">
              <w:rPr>
                <w:sz w:val="20"/>
                <w:szCs w:val="20"/>
              </w:rPr>
              <w:t>NM -&gt; ATA</w:t>
            </w:r>
          </w:p>
        </w:tc>
        <w:tc>
          <w:tcPr>
            <w:tcW w:w="970" w:type="dxa"/>
            <w:shd w:val="clear" w:color="auto" w:fill="auto"/>
            <w:noWrap/>
            <w:vAlign w:val="bottom"/>
            <w:hideMark/>
          </w:tcPr>
          <w:p w14:paraId="51D5C45F" w14:textId="77777777" w:rsidR="00626FF9" w:rsidRPr="002C29D2" w:rsidRDefault="00626FF9" w:rsidP="00B63C4D">
            <w:pPr>
              <w:jc w:val="center"/>
              <w:rPr>
                <w:sz w:val="20"/>
                <w:szCs w:val="20"/>
              </w:rPr>
            </w:pPr>
            <w:r w:rsidRPr="002C29D2">
              <w:rPr>
                <w:sz w:val="20"/>
                <w:szCs w:val="20"/>
              </w:rPr>
              <w:t>0.080</w:t>
            </w:r>
          </w:p>
        </w:tc>
        <w:tc>
          <w:tcPr>
            <w:tcW w:w="1134" w:type="dxa"/>
            <w:shd w:val="clear" w:color="auto" w:fill="auto"/>
            <w:noWrap/>
            <w:vAlign w:val="bottom"/>
            <w:hideMark/>
          </w:tcPr>
          <w:p w14:paraId="10DB5358" w14:textId="77777777" w:rsidR="00626FF9" w:rsidRPr="002C29D2" w:rsidRDefault="00626FF9" w:rsidP="00B63C4D">
            <w:pPr>
              <w:jc w:val="center"/>
              <w:rPr>
                <w:sz w:val="20"/>
                <w:szCs w:val="20"/>
              </w:rPr>
            </w:pPr>
            <w:r w:rsidRPr="002C29D2">
              <w:rPr>
                <w:sz w:val="20"/>
                <w:szCs w:val="20"/>
              </w:rPr>
              <w:t>0.876</w:t>
            </w:r>
          </w:p>
        </w:tc>
        <w:tc>
          <w:tcPr>
            <w:tcW w:w="992" w:type="dxa"/>
            <w:vAlign w:val="bottom"/>
          </w:tcPr>
          <w:p w14:paraId="491920D9" w14:textId="77777777" w:rsidR="00626FF9" w:rsidRPr="002C29D2" w:rsidRDefault="00626FF9" w:rsidP="00B63C4D">
            <w:pPr>
              <w:jc w:val="center"/>
              <w:rPr>
                <w:sz w:val="20"/>
                <w:szCs w:val="20"/>
              </w:rPr>
            </w:pPr>
            <w:r w:rsidRPr="002C29D2">
              <w:rPr>
                <w:sz w:val="20"/>
                <w:szCs w:val="20"/>
              </w:rPr>
              <w:t>0.381</w:t>
            </w:r>
          </w:p>
        </w:tc>
        <w:tc>
          <w:tcPr>
            <w:tcW w:w="992" w:type="dxa"/>
            <w:shd w:val="clear" w:color="auto" w:fill="auto"/>
            <w:noWrap/>
            <w:vAlign w:val="bottom"/>
            <w:hideMark/>
          </w:tcPr>
          <w:p w14:paraId="640E026A" w14:textId="77777777" w:rsidR="00626FF9" w:rsidRPr="002C29D2" w:rsidRDefault="00626FF9" w:rsidP="00B63C4D">
            <w:pPr>
              <w:jc w:val="center"/>
              <w:rPr>
                <w:sz w:val="20"/>
                <w:szCs w:val="20"/>
              </w:rPr>
            </w:pPr>
            <w:r w:rsidRPr="002C29D2">
              <w:rPr>
                <w:sz w:val="20"/>
                <w:szCs w:val="20"/>
              </w:rPr>
              <w:t>0.054</w:t>
            </w:r>
          </w:p>
        </w:tc>
        <w:tc>
          <w:tcPr>
            <w:tcW w:w="1122" w:type="dxa"/>
            <w:shd w:val="clear" w:color="auto" w:fill="auto"/>
            <w:noWrap/>
            <w:vAlign w:val="bottom"/>
            <w:hideMark/>
          </w:tcPr>
          <w:p w14:paraId="087F97B2" w14:textId="77777777" w:rsidR="00626FF9" w:rsidRPr="002C29D2" w:rsidRDefault="00626FF9" w:rsidP="00B63C4D">
            <w:pPr>
              <w:jc w:val="center"/>
              <w:rPr>
                <w:sz w:val="20"/>
                <w:szCs w:val="20"/>
              </w:rPr>
            </w:pPr>
            <w:r w:rsidRPr="002C29D2">
              <w:rPr>
                <w:sz w:val="20"/>
                <w:szCs w:val="20"/>
              </w:rPr>
              <w:t>0.475</w:t>
            </w:r>
          </w:p>
        </w:tc>
        <w:tc>
          <w:tcPr>
            <w:tcW w:w="863" w:type="dxa"/>
            <w:vAlign w:val="bottom"/>
          </w:tcPr>
          <w:p w14:paraId="21EB2C75" w14:textId="77777777" w:rsidR="00626FF9" w:rsidRPr="002C29D2" w:rsidRDefault="00626FF9" w:rsidP="00B63C4D">
            <w:pPr>
              <w:jc w:val="center"/>
              <w:rPr>
                <w:sz w:val="20"/>
                <w:szCs w:val="20"/>
              </w:rPr>
            </w:pPr>
            <w:r w:rsidRPr="002C29D2">
              <w:rPr>
                <w:sz w:val="20"/>
                <w:szCs w:val="20"/>
              </w:rPr>
              <w:t>0.635</w:t>
            </w:r>
          </w:p>
        </w:tc>
        <w:tc>
          <w:tcPr>
            <w:tcW w:w="1201" w:type="dxa"/>
            <w:shd w:val="clear" w:color="auto" w:fill="auto"/>
            <w:noWrap/>
            <w:vAlign w:val="bottom"/>
            <w:hideMark/>
          </w:tcPr>
          <w:p w14:paraId="56153F19" w14:textId="77777777" w:rsidR="00626FF9" w:rsidRPr="002C29D2" w:rsidRDefault="00626FF9" w:rsidP="00B63C4D">
            <w:pPr>
              <w:jc w:val="center"/>
              <w:rPr>
                <w:sz w:val="20"/>
                <w:szCs w:val="20"/>
              </w:rPr>
            </w:pPr>
            <w:r w:rsidRPr="002C29D2">
              <w:rPr>
                <w:sz w:val="20"/>
                <w:szCs w:val="20"/>
              </w:rPr>
              <w:t>0.177</w:t>
            </w:r>
          </w:p>
        </w:tc>
        <w:tc>
          <w:tcPr>
            <w:tcW w:w="1067" w:type="dxa"/>
            <w:vAlign w:val="bottom"/>
          </w:tcPr>
          <w:p w14:paraId="08227D93" w14:textId="77777777" w:rsidR="00626FF9" w:rsidRPr="002C29D2" w:rsidRDefault="00626FF9" w:rsidP="00B63C4D">
            <w:pPr>
              <w:jc w:val="center"/>
              <w:rPr>
                <w:sz w:val="20"/>
                <w:szCs w:val="20"/>
              </w:rPr>
            </w:pPr>
            <w:r w:rsidRPr="002C29D2">
              <w:rPr>
                <w:sz w:val="20"/>
                <w:szCs w:val="20"/>
              </w:rPr>
              <w:t>0.859</w:t>
            </w:r>
          </w:p>
        </w:tc>
      </w:tr>
      <w:tr w:rsidR="002C29D2" w:rsidRPr="002C29D2" w14:paraId="243706DE" w14:textId="77777777" w:rsidTr="00626FF9">
        <w:trPr>
          <w:trHeight w:val="320"/>
        </w:trPr>
        <w:tc>
          <w:tcPr>
            <w:tcW w:w="1435" w:type="dxa"/>
            <w:shd w:val="clear" w:color="auto" w:fill="auto"/>
            <w:noWrap/>
            <w:vAlign w:val="center"/>
            <w:hideMark/>
          </w:tcPr>
          <w:p w14:paraId="39862EC4" w14:textId="77777777" w:rsidR="00626FF9" w:rsidRPr="002C29D2" w:rsidRDefault="00626FF9" w:rsidP="00626FF9">
            <w:pPr>
              <w:rPr>
                <w:sz w:val="20"/>
                <w:szCs w:val="20"/>
              </w:rPr>
            </w:pPr>
            <w:r w:rsidRPr="002C29D2">
              <w:rPr>
                <w:sz w:val="20"/>
                <w:szCs w:val="20"/>
              </w:rPr>
              <w:t>NM -&gt; ENG</w:t>
            </w:r>
          </w:p>
        </w:tc>
        <w:tc>
          <w:tcPr>
            <w:tcW w:w="970" w:type="dxa"/>
            <w:shd w:val="clear" w:color="auto" w:fill="auto"/>
            <w:noWrap/>
            <w:vAlign w:val="bottom"/>
            <w:hideMark/>
          </w:tcPr>
          <w:p w14:paraId="6BBCEBAB" w14:textId="77777777" w:rsidR="00626FF9" w:rsidRPr="002C29D2" w:rsidRDefault="00626FF9" w:rsidP="00B63C4D">
            <w:pPr>
              <w:jc w:val="center"/>
              <w:rPr>
                <w:sz w:val="20"/>
                <w:szCs w:val="20"/>
              </w:rPr>
            </w:pPr>
            <w:r w:rsidRPr="002C29D2">
              <w:rPr>
                <w:sz w:val="20"/>
                <w:szCs w:val="20"/>
              </w:rPr>
              <w:t>0.199</w:t>
            </w:r>
          </w:p>
        </w:tc>
        <w:tc>
          <w:tcPr>
            <w:tcW w:w="1134" w:type="dxa"/>
            <w:shd w:val="clear" w:color="auto" w:fill="auto"/>
            <w:noWrap/>
            <w:vAlign w:val="bottom"/>
            <w:hideMark/>
          </w:tcPr>
          <w:p w14:paraId="49A9F07D" w14:textId="77777777" w:rsidR="00626FF9" w:rsidRPr="002C29D2" w:rsidRDefault="00626FF9" w:rsidP="00B63C4D">
            <w:pPr>
              <w:jc w:val="center"/>
              <w:rPr>
                <w:sz w:val="20"/>
                <w:szCs w:val="20"/>
              </w:rPr>
            </w:pPr>
            <w:r w:rsidRPr="002C29D2">
              <w:rPr>
                <w:sz w:val="20"/>
                <w:szCs w:val="20"/>
              </w:rPr>
              <w:t>2.929</w:t>
            </w:r>
          </w:p>
        </w:tc>
        <w:tc>
          <w:tcPr>
            <w:tcW w:w="992" w:type="dxa"/>
            <w:vAlign w:val="bottom"/>
          </w:tcPr>
          <w:p w14:paraId="177BBE82" w14:textId="77777777" w:rsidR="00626FF9" w:rsidRPr="002C29D2" w:rsidRDefault="00626FF9" w:rsidP="00B63C4D">
            <w:pPr>
              <w:jc w:val="center"/>
              <w:rPr>
                <w:sz w:val="20"/>
                <w:szCs w:val="20"/>
              </w:rPr>
            </w:pPr>
            <w:r w:rsidRPr="002C29D2">
              <w:rPr>
                <w:sz w:val="20"/>
                <w:szCs w:val="20"/>
              </w:rPr>
              <w:t>0.003</w:t>
            </w:r>
          </w:p>
        </w:tc>
        <w:tc>
          <w:tcPr>
            <w:tcW w:w="992" w:type="dxa"/>
            <w:shd w:val="clear" w:color="auto" w:fill="auto"/>
            <w:noWrap/>
            <w:vAlign w:val="bottom"/>
            <w:hideMark/>
          </w:tcPr>
          <w:p w14:paraId="01484591" w14:textId="77777777" w:rsidR="00626FF9" w:rsidRPr="002C29D2" w:rsidRDefault="00626FF9" w:rsidP="00B63C4D">
            <w:pPr>
              <w:jc w:val="center"/>
              <w:rPr>
                <w:sz w:val="20"/>
                <w:szCs w:val="20"/>
              </w:rPr>
            </w:pPr>
            <w:r w:rsidRPr="002C29D2">
              <w:rPr>
                <w:sz w:val="20"/>
                <w:szCs w:val="20"/>
              </w:rPr>
              <w:t>0.171</w:t>
            </w:r>
          </w:p>
        </w:tc>
        <w:tc>
          <w:tcPr>
            <w:tcW w:w="1122" w:type="dxa"/>
            <w:shd w:val="clear" w:color="auto" w:fill="auto"/>
            <w:noWrap/>
            <w:vAlign w:val="bottom"/>
            <w:hideMark/>
          </w:tcPr>
          <w:p w14:paraId="4CA171F7" w14:textId="77777777" w:rsidR="00626FF9" w:rsidRPr="002C29D2" w:rsidRDefault="00626FF9" w:rsidP="00B63C4D">
            <w:pPr>
              <w:jc w:val="center"/>
              <w:rPr>
                <w:sz w:val="20"/>
                <w:szCs w:val="20"/>
              </w:rPr>
            </w:pPr>
            <w:r w:rsidRPr="002C29D2">
              <w:rPr>
                <w:sz w:val="20"/>
                <w:szCs w:val="20"/>
              </w:rPr>
              <w:t>2.642</w:t>
            </w:r>
          </w:p>
        </w:tc>
        <w:tc>
          <w:tcPr>
            <w:tcW w:w="863" w:type="dxa"/>
            <w:vAlign w:val="bottom"/>
          </w:tcPr>
          <w:p w14:paraId="689DE39A" w14:textId="77777777" w:rsidR="00626FF9" w:rsidRPr="002C29D2" w:rsidRDefault="00626FF9" w:rsidP="00B63C4D">
            <w:pPr>
              <w:jc w:val="center"/>
              <w:rPr>
                <w:sz w:val="20"/>
                <w:szCs w:val="20"/>
              </w:rPr>
            </w:pPr>
            <w:r w:rsidRPr="002C29D2">
              <w:rPr>
                <w:sz w:val="20"/>
                <w:szCs w:val="20"/>
              </w:rPr>
              <w:t>0.008</w:t>
            </w:r>
          </w:p>
        </w:tc>
        <w:tc>
          <w:tcPr>
            <w:tcW w:w="1201" w:type="dxa"/>
            <w:shd w:val="clear" w:color="auto" w:fill="auto"/>
            <w:noWrap/>
            <w:vAlign w:val="bottom"/>
            <w:hideMark/>
          </w:tcPr>
          <w:p w14:paraId="0C316C35" w14:textId="77777777" w:rsidR="00626FF9" w:rsidRPr="002C29D2" w:rsidRDefault="00626FF9" w:rsidP="00B63C4D">
            <w:pPr>
              <w:jc w:val="center"/>
              <w:rPr>
                <w:sz w:val="20"/>
                <w:szCs w:val="20"/>
              </w:rPr>
            </w:pPr>
            <w:r w:rsidRPr="002C29D2">
              <w:rPr>
                <w:sz w:val="20"/>
                <w:szCs w:val="20"/>
              </w:rPr>
              <w:t>0.304</w:t>
            </w:r>
          </w:p>
        </w:tc>
        <w:tc>
          <w:tcPr>
            <w:tcW w:w="1067" w:type="dxa"/>
            <w:vAlign w:val="bottom"/>
          </w:tcPr>
          <w:p w14:paraId="5F10D7E3" w14:textId="77777777" w:rsidR="00626FF9" w:rsidRPr="002C29D2" w:rsidRDefault="00626FF9" w:rsidP="00B63C4D">
            <w:pPr>
              <w:jc w:val="center"/>
              <w:rPr>
                <w:sz w:val="20"/>
                <w:szCs w:val="20"/>
              </w:rPr>
            </w:pPr>
            <w:r w:rsidRPr="002C29D2">
              <w:rPr>
                <w:sz w:val="20"/>
                <w:szCs w:val="20"/>
              </w:rPr>
              <w:t>0.762</w:t>
            </w:r>
          </w:p>
        </w:tc>
      </w:tr>
      <w:tr w:rsidR="002C29D2" w:rsidRPr="002C29D2" w14:paraId="0C5E639A" w14:textId="77777777" w:rsidTr="00626FF9">
        <w:trPr>
          <w:trHeight w:val="320"/>
        </w:trPr>
        <w:tc>
          <w:tcPr>
            <w:tcW w:w="1435" w:type="dxa"/>
            <w:shd w:val="clear" w:color="auto" w:fill="auto"/>
            <w:noWrap/>
            <w:vAlign w:val="center"/>
            <w:hideMark/>
          </w:tcPr>
          <w:p w14:paraId="6E0F3F99" w14:textId="77777777" w:rsidR="00626FF9" w:rsidRPr="002C29D2" w:rsidRDefault="00626FF9" w:rsidP="00626FF9">
            <w:pPr>
              <w:rPr>
                <w:sz w:val="20"/>
                <w:szCs w:val="20"/>
              </w:rPr>
            </w:pPr>
            <w:r w:rsidRPr="002C29D2">
              <w:rPr>
                <w:sz w:val="20"/>
                <w:szCs w:val="20"/>
              </w:rPr>
              <w:t>NM -&gt; SAT</w:t>
            </w:r>
          </w:p>
        </w:tc>
        <w:tc>
          <w:tcPr>
            <w:tcW w:w="970" w:type="dxa"/>
            <w:shd w:val="clear" w:color="auto" w:fill="auto"/>
            <w:noWrap/>
            <w:vAlign w:val="bottom"/>
            <w:hideMark/>
          </w:tcPr>
          <w:p w14:paraId="5A07BF53" w14:textId="77777777" w:rsidR="00626FF9" w:rsidRPr="002C29D2" w:rsidRDefault="00626FF9" w:rsidP="00B63C4D">
            <w:pPr>
              <w:jc w:val="center"/>
              <w:rPr>
                <w:sz w:val="20"/>
                <w:szCs w:val="20"/>
              </w:rPr>
            </w:pPr>
            <w:r w:rsidRPr="002C29D2">
              <w:rPr>
                <w:sz w:val="20"/>
                <w:szCs w:val="20"/>
              </w:rPr>
              <w:t>0.198</w:t>
            </w:r>
          </w:p>
        </w:tc>
        <w:tc>
          <w:tcPr>
            <w:tcW w:w="1134" w:type="dxa"/>
            <w:shd w:val="clear" w:color="auto" w:fill="auto"/>
            <w:noWrap/>
            <w:vAlign w:val="bottom"/>
            <w:hideMark/>
          </w:tcPr>
          <w:p w14:paraId="7643BEF9" w14:textId="77777777" w:rsidR="00626FF9" w:rsidRPr="002C29D2" w:rsidRDefault="00626FF9" w:rsidP="00B63C4D">
            <w:pPr>
              <w:jc w:val="center"/>
              <w:rPr>
                <w:sz w:val="20"/>
                <w:szCs w:val="20"/>
              </w:rPr>
            </w:pPr>
            <w:r w:rsidRPr="002C29D2">
              <w:rPr>
                <w:sz w:val="20"/>
                <w:szCs w:val="20"/>
              </w:rPr>
              <w:t>2.310</w:t>
            </w:r>
          </w:p>
        </w:tc>
        <w:tc>
          <w:tcPr>
            <w:tcW w:w="992" w:type="dxa"/>
            <w:vAlign w:val="bottom"/>
          </w:tcPr>
          <w:p w14:paraId="20023EE9" w14:textId="77777777" w:rsidR="00626FF9" w:rsidRPr="002C29D2" w:rsidRDefault="00626FF9" w:rsidP="00B63C4D">
            <w:pPr>
              <w:jc w:val="center"/>
              <w:rPr>
                <w:sz w:val="20"/>
                <w:szCs w:val="20"/>
              </w:rPr>
            </w:pPr>
            <w:r w:rsidRPr="002C29D2">
              <w:rPr>
                <w:sz w:val="20"/>
                <w:szCs w:val="20"/>
              </w:rPr>
              <w:t>0.021</w:t>
            </w:r>
          </w:p>
        </w:tc>
        <w:tc>
          <w:tcPr>
            <w:tcW w:w="992" w:type="dxa"/>
            <w:shd w:val="clear" w:color="auto" w:fill="auto"/>
            <w:noWrap/>
            <w:vAlign w:val="bottom"/>
            <w:hideMark/>
          </w:tcPr>
          <w:p w14:paraId="11342C37" w14:textId="77777777" w:rsidR="00626FF9" w:rsidRPr="002C29D2" w:rsidRDefault="00626FF9" w:rsidP="00B63C4D">
            <w:pPr>
              <w:jc w:val="center"/>
              <w:rPr>
                <w:sz w:val="20"/>
                <w:szCs w:val="20"/>
              </w:rPr>
            </w:pPr>
            <w:r w:rsidRPr="002C29D2">
              <w:rPr>
                <w:sz w:val="20"/>
                <w:szCs w:val="20"/>
              </w:rPr>
              <w:t>0.063</w:t>
            </w:r>
          </w:p>
        </w:tc>
        <w:tc>
          <w:tcPr>
            <w:tcW w:w="1122" w:type="dxa"/>
            <w:shd w:val="clear" w:color="auto" w:fill="auto"/>
            <w:noWrap/>
            <w:vAlign w:val="bottom"/>
            <w:hideMark/>
          </w:tcPr>
          <w:p w14:paraId="1990FCF8" w14:textId="77777777" w:rsidR="00626FF9" w:rsidRPr="002C29D2" w:rsidRDefault="00626FF9" w:rsidP="00B63C4D">
            <w:pPr>
              <w:jc w:val="center"/>
              <w:rPr>
                <w:sz w:val="20"/>
                <w:szCs w:val="20"/>
              </w:rPr>
            </w:pPr>
            <w:r w:rsidRPr="002C29D2">
              <w:rPr>
                <w:sz w:val="20"/>
                <w:szCs w:val="20"/>
              </w:rPr>
              <w:t>0.871</w:t>
            </w:r>
          </w:p>
        </w:tc>
        <w:tc>
          <w:tcPr>
            <w:tcW w:w="863" w:type="dxa"/>
            <w:vAlign w:val="bottom"/>
          </w:tcPr>
          <w:p w14:paraId="6A457867" w14:textId="77777777" w:rsidR="00626FF9" w:rsidRPr="002C29D2" w:rsidRDefault="00626FF9" w:rsidP="00B63C4D">
            <w:pPr>
              <w:jc w:val="center"/>
              <w:rPr>
                <w:sz w:val="20"/>
                <w:szCs w:val="20"/>
              </w:rPr>
            </w:pPr>
            <w:r w:rsidRPr="002C29D2">
              <w:rPr>
                <w:sz w:val="20"/>
                <w:szCs w:val="20"/>
              </w:rPr>
              <w:t>0.384</w:t>
            </w:r>
          </w:p>
        </w:tc>
        <w:tc>
          <w:tcPr>
            <w:tcW w:w="1201" w:type="dxa"/>
            <w:shd w:val="clear" w:color="auto" w:fill="auto"/>
            <w:noWrap/>
            <w:vAlign w:val="bottom"/>
            <w:hideMark/>
          </w:tcPr>
          <w:p w14:paraId="0628FE1C" w14:textId="77777777" w:rsidR="00626FF9" w:rsidRPr="002C29D2" w:rsidRDefault="00626FF9" w:rsidP="00B63C4D">
            <w:pPr>
              <w:jc w:val="center"/>
              <w:rPr>
                <w:sz w:val="20"/>
                <w:szCs w:val="20"/>
              </w:rPr>
            </w:pPr>
            <w:r w:rsidRPr="002C29D2">
              <w:rPr>
                <w:sz w:val="20"/>
                <w:szCs w:val="20"/>
              </w:rPr>
              <w:t>1.209</w:t>
            </w:r>
          </w:p>
        </w:tc>
        <w:tc>
          <w:tcPr>
            <w:tcW w:w="1067" w:type="dxa"/>
            <w:vAlign w:val="bottom"/>
          </w:tcPr>
          <w:p w14:paraId="6DA920DB" w14:textId="77777777" w:rsidR="00626FF9" w:rsidRPr="002C29D2" w:rsidRDefault="00626FF9" w:rsidP="00B63C4D">
            <w:pPr>
              <w:jc w:val="center"/>
              <w:rPr>
                <w:sz w:val="20"/>
                <w:szCs w:val="20"/>
              </w:rPr>
            </w:pPr>
            <w:r w:rsidRPr="002C29D2">
              <w:rPr>
                <w:sz w:val="20"/>
                <w:szCs w:val="20"/>
              </w:rPr>
              <w:t>0.228</w:t>
            </w:r>
          </w:p>
        </w:tc>
      </w:tr>
      <w:tr w:rsidR="002C29D2" w:rsidRPr="002C29D2" w14:paraId="5CF2EF9B" w14:textId="77777777" w:rsidTr="00626FF9">
        <w:trPr>
          <w:trHeight w:val="320"/>
        </w:trPr>
        <w:tc>
          <w:tcPr>
            <w:tcW w:w="1435" w:type="dxa"/>
            <w:shd w:val="clear" w:color="auto" w:fill="auto"/>
            <w:noWrap/>
            <w:vAlign w:val="center"/>
            <w:hideMark/>
          </w:tcPr>
          <w:p w14:paraId="1C1FD01B" w14:textId="77777777" w:rsidR="00626FF9" w:rsidRPr="002C29D2" w:rsidRDefault="00626FF9" w:rsidP="00626FF9">
            <w:pPr>
              <w:rPr>
                <w:sz w:val="20"/>
                <w:szCs w:val="20"/>
              </w:rPr>
            </w:pPr>
            <w:r w:rsidRPr="002C29D2">
              <w:rPr>
                <w:sz w:val="20"/>
                <w:szCs w:val="20"/>
              </w:rPr>
              <w:t>NM -&gt; UI</w:t>
            </w:r>
          </w:p>
        </w:tc>
        <w:tc>
          <w:tcPr>
            <w:tcW w:w="970" w:type="dxa"/>
            <w:shd w:val="clear" w:color="auto" w:fill="auto"/>
            <w:noWrap/>
            <w:vAlign w:val="bottom"/>
            <w:hideMark/>
          </w:tcPr>
          <w:p w14:paraId="0B7F6864" w14:textId="77777777" w:rsidR="00626FF9" w:rsidRPr="002C29D2" w:rsidRDefault="00626FF9" w:rsidP="00B63C4D">
            <w:pPr>
              <w:jc w:val="center"/>
              <w:rPr>
                <w:sz w:val="20"/>
                <w:szCs w:val="20"/>
              </w:rPr>
            </w:pPr>
            <w:r w:rsidRPr="002C29D2">
              <w:rPr>
                <w:sz w:val="20"/>
                <w:szCs w:val="20"/>
              </w:rPr>
              <w:t>-0.116</w:t>
            </w:r>
          </w:p>
        </w:tc>
        <w:tc>
          <w:tcPr>
            <w:tcW w:w="1134" w:type="dxa"/>
            <w:shd w:val="clear" w:color="auto" w:fill="auto"/>
            <w:noWrap/>
            <w:vAlign w:val="bottom"/>
            <w:hideMark/>
          </w:tcPr>
          <w:p w14:paraId="31D469DE" w14:textId="77777777" w:rsidR="00626FF9" w:rsidRPr="002C29D2" w:rsidRDefault="00626FF9" w:rsidP="00B63C4D">
            <w:pPr>
              <w:jc w:val="center"/>
              <w:rPr>
                <w:sz w:val="20"/>
                <w:szCs w:val="20"/>
              </w:rPr>
            </w:pPr>
            <w:r w:rsidRPr="002C29D2">
              <w:rPr>
                <w:sz w:val="20"/>
                <w:szCs w:val="20"/>
              </w:rPr>
              <w:t>1.533</w:t>
            </w:r>
          </w:p>
        </w:tc>
        <w:tc>
          <w:tcPr>
            <w:tcW w:w="992" w:type="dxa"/>
            <w:vAlign w:val="bottom"/>
          </w:tcPr>
          <w:p w14:paraId="3CEE4390" w14:textId="77777777" w:rsidR="00626FF9" w:rsidRPr="002C29D2" w:rsidRDefault="00626FF9" w:rsidP="00B63C4D">
            <w:pPr>
              <w:jc w:val="center"/>
              <w:rPr>
                <w:sz w:val="20"/>
                <w:szCs w:val="20"/>
              </w:rPr>
            </w:pPr>
            <w:r w:rsidRPr="002C29D2">
              <w:rPr>
                <w:sz w:val="20"/>
                <w:szCs w:val="20"/>
              </w:rPr>
              <w:t>0.125</w:t>
            </w:r>
          </w:p>
        </w:tc>
        <w:tc>
          <w:tcPr>
            <w:tcW w:w="992" w:type="dxa"/>
            <w:shd w:val="clear" w:color="auto" w:fill="auto"/>
            <w:noWrap/>
            <w:vAlign w:val="bottom"/>
            <w:hideMark/>
          </w:tcPr>
          <w:p w14:paraId="1BA2C3F5" w14:textId="77777777" w:rsidR="00626FF9" w:rsidRPr="002C29D2" w:rsidRDefault="00626FF9" w:rsidP="00B63C4D">
            <w:pPr>
              <w:jc w:val="center"/>
              <w:rPr>
                <w:sz w:val="20"/>
                <w:szCs w:val="20"/>
              </w:rPr>
            </w:pPr>
            <w:r w:rsidRPr="002C29D2">
              <w:rPr>
                <w:sz w:val="20"/>
                <w:szCs w:val="20"/>
              </w:rPr>
              <w:t>0.013</w:t>
            </w:r>
          </w:p>
        </w:tc>
        <w:tc>
          <w:tcPr>
            <w:tcW w:w="1122" w:type="dxa"/>
            <w:shd w:val="clear" w:color="auto" w:fill="auto"/>
            <w:noWrap/>
            <w:vAlign w:val="bottom"/>
            <w:hideMark/>
          </w:tcPr>
          <w:p w14:paraId="4E443CE9" w14:textId="77777777" w:rsidR="00626FF9" w:rsidRPr="002C29D2" w:rsidRDefault="00626FF9" w:rsidP="00B63C4D">
            <w:pPr>
              <w:jc w:val="center"/>
              <w:rPr>
                <w:sz w:val="20"/>
                <w:szCs w:val="20"/>
              </w:rPr>
            </w:pPr>
            <w:r w:rsidRPr="002C29D2">
              <w:rPr>
                <w:sz w:val="20"/>
                <w:szCs w:val="20"/>
              </w:rPr>
              <w:t>0.130</w:t>
            </w:r>
          </w:p>
        </w:tc>
        <w:tc>
          <w:tcPr>
            <w:tcW w:w="863" w:type="dxa"/>
            <w:vAlign w:val="bottom"/>
          </w:tcPr>
          <w:p w14:paraId="2AE1853F" w14:textId="77777777" w:rsidR="00626FF9" w:rsidRPr="002C29D2" w:rsidRDefault="00626FF9" w:rsidP="00B63C4D">
            <w:pPr>
              <w:jc w:val="center"/>
              <w:rPr>
                <w:sz w:val="20"/>
                <w:szCs w:val="20"/>
              </w:rPr>
            </w:pPr>
            <w:r w:rsidRPr="002C29D2">
              <w:rPr>
                <w:sz w:val="20"/>
                <w:szCs w:val="20"/>
              </w:rPr>
              <w:t>0.897</w:t>
            </w:r>
          </w:p>
        </w:tc>
        <w:tc>
          <w:tcPr>
            <w:tcW w:w="1201" w:type="dxa"/>
            <w:shd w:val="clear" w:color="auto" w:fill="auto"/>
            <w:noWrap/>
            <w:vAlign w:val="bottom"/>
            <w:hideMark/>
          </w:tcPr>
          <w:p w14:paraId="28C18A1F" w14:textId="77777777" w:rsidR="00626FF9" w:rsidRPr="002C29D2" w:rsidRDefault="00626FF9" w:rsidP="00B63C4D">
            <w:pPr>
              <w:jc w:val="center"/>
              <w:rPr>
                <w:sz w:val="20"/>
                <w:szCs w:val="20"/>
              </w:rPr>
            </w:pPr>
            <w:r w:rsidRPr="002C29D2">
              <w:rPr>
                <w:sz w:val="20"/>
                <w:szCs w:val="20"/>
              </w:rPr>
              <w:t>1.043</w:t>
            </w:r>
          </w:p>
        </w:tc>
        <w:tc>
          <w:tcPr>
            <w:tcW w:w="1067" w:type="dxa"/>
            <w:vAlign w:val="bottom"/>
          </w:tcPr>
          <w:p w14:paraId="23DC7EA3" w14:textId="77777777" w:rsidR="00626FF9" w:rsidRPr="002C29D2" w:rsidRDefault="00626FF9" w:rsidP="00B63C4D">
            <w:pPr>
              <w:jc w:val="center"/>
              <w:rPr>
                <w:sz w:val="20"/>
                <w:szCs w:val="20"/>
              </w:rPr>
            </w:pPr>
            <w:r w:rsidRPr="002C29D2">
              <w:rPr>
                <w:sz w:val="20"/>
                <w:szCs w:val="20"/>
              </w:rPr>
              <w:t>0.298</w:t>
            </w:r>
          </w:p>
        </w:tc>
      </w:tr>
    </w:tbl>
    <w:p w14:paraId="6EDEF695" w14:textId="77777777" w:rsidR="00626FF9" w:rsidRPr="002C29D2" w:rsidRDefault="00626FF9" w:rsidP="00626FF9">
      <w:pPr>
        <w:rPr>
          <w:lang w:eastAsia="zh-TW"/>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70"/>
        <w:gridCol w:w="1134"/>
        <w:gridCol w:w="992"/>
        <w:gridCol w:w="992"/>
        <w:gridCol w:w="1122"/>
        <w:gridCol w:w="863"/>
        <w:gridCol w:w="1201"/>
        <w:gridCol w:w="1067"/>
      </w:tblGrid>
      <w:tr w:rsidR="002C29D2" w:rsidRPr="002C29D2" w14:paraId="25DC1BCE" w14:textId="77777777" w:rsidTr="00626FF9">
        <w:trPr>
          <w:trHeight w:val="320"/>
        </w:trPr>
        <w:tc>
          <w:tcPr>
            <w:tcW w:w="1435" w:type="dxa"/>
            <w:shd w:val="clear" w:color="auto" w:fill="auto"/>
            <w:noWrap/>
            <w:vAlign w:val="center"/>
            <w:hideMark/>
          </w:tcPr>
          <w:p w14:paraId="7AA693D5" w14:textId="77777777" w:rsidR="00626FF9" w:rsidRPr="002C29D2" w:rsidRDefault="00626FF9" w:rsidP="00626FF9">
            <w:pPr>
              <w:jc w:val="center"/>
              <w:rPr>
                <w:b/>
                <w:bCs/>
                <w:sz w:val="20"/>
                <w:szCs w:val="20"/>
              </w:rPr>
            </w:pPr>
            <w:r w:rsidRPr="002C29D2">
              <w:rPr>
                <w:b/>
                <w:bCs/>
                <w:sz w:val="20"/>
                <w:szCs w:val="20"/>
              </w:rPr>
              <w:t>Frequency</w:t>
            </w:r>
            <w:r w:rsidRPr="002C29D2">
              <w:rPr>
                <w:b/>
                <w:bCs/>
                <w:sz w:val="20"/>
                <w:szCs w:val="20"/>
                <w:lang w:eastAsia="zh-TW"/>
              </w:rPr>
              <w:t xml:space="preserve"> of AI usage</w:t>
            </w:r>
          </w:p>
        </w:tc>
        <w:tc>
          <w:tcPr>
            <w:tcW w:w="3096" w:type="dxa"/>
            <w:gridSpan w:val="3"/>
            <w:shd w:val="clear" w:color="auto" w:fill="auto"/>
            <w:noWrap/>
            <w:vAlign w:val="center"/>
            <w:hideMark/>
          </w:tcPr>
          <w:p w14:paraId="63824D2F" w14:textId="2BB36700" w:rsidR="00626FF9" w:rsidRPr="002C29D2" w:rsidRDefault="00026999" w:rsidP="00626FF9">
            <w:pPr>
              <w:jc w:val="center"/>
              <w:rPr>
                <w:b/>
                <w:bCs/>
                <w:sz w:val="20"/>
                <w:szCs w:val="20"/>
              </w:rPr>
            </w:pPr>
            <w:r w:rsidRPr="002C29D2">
              <w:rPr>
                <w:b/>
                <w:bCs/>
                <w:sz w:val="20"/>
                <w:szCs w:val="20"/>
              </w:rPr>
              <w:t>Group</w:t>
            </w:r>
            <w:r w:rsidR="00626FF9" w:rsidRPr="002C29D2">
              <w:rPr>
                <w:b/>
                <w:bCs/>
                <w:sz w:val="20"/>
                <w:szCs w:val="20"/>
              </w:rPr>
              <w:t xml:space="preserve"> 1: less than 4 times per week (n = 191)</w:t>
            </w:r>
          </w:p>
        </w:tc>
        <w:tc>
          <w:tcPr>
            <w:tcW w:w="2977" w:type="dxa"/>
            <w:gridSpan w:val="3"/>
            <w:shd w:val="clear" w:color="auto" w:fill="auto"/>
            <w:noWrap/>
            <w:vAlign w:val="center"/>
            <w:hideMark/>
          </w:tcPr>
          <w:p w14:paraId="18D7F931" w14:textId="15F1F534" w:rsidR="00626FF9" w:rsidRPr="002C29D2" w:rsidRDefault="00026999" w:rsidP="00626FF9">
            <w:pPr>
              <w:jc w:val="center"/>
              <w:rPr>
                <w:b/>
                <w:bCs/>
                <w:sz w:val="20"/>
                <w:szCs w:val="20"/>
              </w:rPr>
            </w:pPr>
            <w:r w:rsidRPr="002C29D2">
              <w:rPr>
                <w:b/>
                <w:bCs/>
                <w:sz w:val="20"/>
                <w:szCs w:val="20"/>
              </w:rPr>
              <w:t>Group</w:t>
            </w:r>
            <w:r w:rsidR="00626FF9" w:rsidRPr="002C29D2">
              <w:rPr>
                <w:b/>
                <w:bCs/>
                <w:sz w:val="20"/>
                <w:szCs w:val="20"/>
              </w:rPr>
              <w:t xml:space="preserve"> 2: 4 times and above per week (n = 213)</w:t>
            </w:r>
          </w:p>
        </w:tc>
        <w:tc>
          <w:tcPr>
            <w:tcW w:w="2268" w:type="dxa"/>
            <w:gridSpan w:val="2"/>
            <w:shd w:val="clear" w:color="auto" w:fill="auto"/>
            <w:noWrap/>
            <w:vAlign w:val="center"/>
            <w:hideMark/>
          </w:tcPr>
          <w:p w14:paraId="307F7C9B" w14:textId="4352FF25" w:rsidR="00626FF9" w:rsidRPr="002C29D2" w:rsidRDefault="00026999" w:rsidP="00626FF9">
            <w:pPr>
              <w:jc w:val="center"/>
              <w:rPr>
                <w:b/>
                <w:bCs/>
                <w:sz w:val="20"/>
                <w:szCs w:val="20"/>
              </w:rPr>
            </w:pPr>
            <w:r w:rsidRPr="002C29D2">
              <w:rPr>
                <w:b/>
                <w:bCs/>
                <w:sz w:val="20"/>
                <w:szCs w:val="20"/>
              </w:rPr>
              <w:t>Group</w:t>
            </w:r>
            <w:r w:rsidR="00626FF9" w:rsidRPr="002C29D2">
              <w:rPr>
                <w:b/>
                <w:bCs/>
                <w:sz w:val="20"/>
                <w:szCs w:val="20"/>
              </w:rPr>
              <w:t xml:space="preserve"> 1 vs </w:t>
            </w:r>
            <w:r w:rsidRPr="002C29D2">
              <w:rPr>
                <w:b/>
                <w:bCs/>
                <w:sz w:val="20"/>
                <w:szCs w:val="20"/>
              </w:rPr>
              <w:t>Group</w:t>
            </w:r>
            <w:r w:rsidR="00626FF9" w:rsidRPr="002C29D2">
              <w:rPr>
                <w:b/>
                <w:bCs/>
                <w:sz w:val="20"/>
                <w:szCs w:val="20"/>
              </w:rPr>
              <w:t xml:space="preserve"> 2</w:t>
            </w:r>
          </w:p>
        </w:tc>
      </w:tr>
      <w:tr w:rsidR="002C29D2" w:rsidRPr="002C29D2" w14:paraId="355E6211" w14:textId="77777777" w:rsidTr="00626FF9">
        <w:trPr>
          <w:trHeight w:val="320"/>
        </w:trPr>
        <w:tc>
          <w:tcPr>
            <w:tcW w:w="1435" w:type="dxa"/>
            <w:shd w:val="clear" w:color="auto" w:fill="auto"/>
            <w:noWrap/>
            <w:vAlign w:val="center"/>
          </w:tcPr>
          <w:p w14:paraId="08236AFB" w14:textId="77777777" w:rsidR="00626FF9" w:rsidRPr="002C29D2" w:rsidRDefault="00626FF9" w:rsidP="00626FF9">
            <w:pPr>
              <w:jc w:val="center"/>
              <w:rPr>
                <w:sz w:val="20"/>
                <w:szCs w:val="20"/>
              </w:rPr>
            </w:pPr>
          </w:p>
        </w:tc>
        <w:tc>
          <w:tcPr>
            <w:tcW w:w="970" w:type="dxa"/>
            <w:shd w:val="clear" w:color="auto" w:fill="auto"/>
            <w:noWrap/>
            <w:vAlign w:val="center"/>
          </w:tcPr>
          <w:p w14:paraId="51CBDB0D" w14:textId="77777777" w:rsidR="00626FF9" w:rsidRPr="002C29D2" w:rsidRDefault="00626FF9" w:rsidP="00626FF9">
            <w:pPr>
              <w:jc w:val="center"/>
              <w:rPr>
                <w:sz w:val="20"/>
                <w:szCs w:val="20"/>
              </w:rPr>
            </w:pPr>
            <w:r w:rsidRPr="002C29D2">
              <w:rPr>
                <w:sz w:val="20"/>
                <w:szCs w:val="20"/>
              </w:rPr>
              <w:t>β</w:t>
            </w:r>
          </w:p>
        </w:tc>
        <w:tc>
          <w:tcPr>
            <w:tcW w:w="1134" w:type="dxa"/>
            <w:shd w:val="clear" w:color="auto" w:fill="auto"/>
            <w:noWrap/>
            <w:vAlign w:val="center"/>
          </w:tcPr>
          <w:p w14:paraId="149F6096" w14:textId="77777777" w:rsidR="00626FF9" w:rsidRPr="002C29D2" w:rsidRDefault="00626FF9" w:rsidP="00626FF9">
            <w:pPr>
              <w:jc w:val="center"/>
              <w:rPr>
                <w:sz w:val="20"/>
                <w:szCs w:val="20"/>
              </w:rPr>
            </w:pPr>
            <w:r w:rsidRPr="002C29D2">
              <w:rPr>
                <w:sz w:val="20"/>
                <w:szCs w:val="20"/>
              </w:rPr>
              <w:t>T statistics</w:t>
            </w:r>
          </w:p>
        </w:tc>
        <w:tc>
          <w:tcPr>
            <w:tcW w:w="992" w:type="dxa"/>
            <w:vAlign w:val="center"/>
          </w:tcPr>
          <w:p w14:paraId="41490C52" w14:textId="77777777" w:rsidR="00626FF9" w:rsidRPr="002C29D2" w:rsidRDefault="00626FF9" w:rsidP="00626FF9">
            <w:pPr>
              <w:jc w:val="center"/>
              <w:rPr>
                <w:sz w:val="20"/>
                <w:szCs w:val="20"/>
              </w:rPr>
            </w:pPr>
            <w:r w:rsidRPr="002C29D2">
              <w:rPr>
                <w:sz w:val="20"/>
                <w:szCs w:val="20"/>
              </w:rPr>
              <w:t>p</w:t>
            </w:r>
          </w:p>
        </w:tc>
        <w:tc>
          <w:tcPr>
            <w:tcW w:w="992" w:type="dxa"/>
            <w:shd w:val="clear" w:color="auto" w:fill="auto"/>
            <w:noWrap/>
            <w:vAlign w:val="center"/>
          </w:tcPr>
          <w:p w14:paraId="2A6A779D" w14:textId="77777777" w:rsidR="00626FF9" w:rsidRPr="002C29D2" w:rsidRDefault="00626FF9" w:rsidP="00626FF9">
            <w:pPr>
              <w:jc w:val="center"/>
              <w:rPr>
                <w:sz w:val="20"/>
                <w:szCs w:val="20"/>
              </w:rPr>
            </w:pPr>
            <w:r w:rsidRPr="002C29D2">
              <w:rPr>
                <w:sz w:val="20"/>
                <w:szCs w:val="20"/>
              </w:rPr>
              <w:t>β</w:t>
            </w:r>
          </w:p>
        </w:tc>
        <w:tc>
          <w:tcPr>
            <w:tcW w:w="1122" w:type="dxa"/>
            <w:shd w:val="clear" w:color="auto" w:fill="auto"/>
            <w:noWrap/>
            <w:vAlign w:val="center"/>
          </w:tcPr>
          <w:p w14:paraId="517B82FF" w14:textId="77777777" w:rsidR="00626FF9" w:rsidRPr="002C29D2" w:rsidRDefault="00626FF9" w:rsidP="00626FF9">
            <w:pPr>
              <w:jc w:val="center"/>
              <w:rPr>
                <w:sz w:val="20"/>
                <w:szCs w:val="20"/>
              </w:rPr>
            </w:pPr>
            <w:r w:rsidRPr="002C29D2">
              <w:rPr>
                <w:sz w:val="20"/>
                <w:szCs w:val="20"/>
              </w:rPr>
              <w:t>T statistics</w:t>
            </w:r>
          </w:p>
        </w:tc>
        <w:tc>
          <w:tcPr>
            <w:tcW w:w="863" w:type="dxa"/>
            <w:vAlign w:val="center"/>
          </w:tcPr>
          <w:p w14:paraId="0A5D5CFD" w14:textId="77777777" w:rsidR="00626FF9" w:rsidRPr="002C29D2" w:rsidRDefault="00626FF9" w:rsidP="00626FF9">
            <w:pPr>
              <w:jc w:val="center"/>
              <w:rPr>
                <w:sz w:val="20"/>
                <w:szCs w:val="20"/>
              </w:rPr>
            </w:pPr>
            <w:r w:rsidRPr="002C29D2">
              <w:rPr>
                <w:sz w:val="20"/>
                <w:szCs w:val="20"/>
              </w:rPr>
              <w:t>p</w:t>
            </w:r>
          </w:p>
        </w:tc>
        <w:tc>
          <w:tcPr>
            <w:tcW w:w="1201" w:type="dxa"/>
            <w:shd w:val="clear" w:color="auto" w:fill="auto"/>
            <w:noWrap/>
            <w:vAlign w:val="center"/>
          </w:tcPr>
          <w:p w14:paraId="3AC4FC0D" w14:textId="77777777" w:rsidR="00626FF9" w:rsidRPr="002C29D2" w:rsidRDefault="00626FF9" w:rsidP="00626FF9">
            <w:pPr>
              <w:jc w:val="center"/>
              <w:rPr>
                <w:sz w:val="20"/>
                <w:szCs w:val="20"/>
              </w:rPr>
            </w:pPr>
            <w:r w:rsidRPr="002C29D2">
              <w:rPr>
                <w:sz w:val="20"/>
                <w:szCs w:val="20"/>
              </w:rPr>
              <w:t>T statistics</w:t>
            </w:r>
          </w:p>
        </w:tc>
        <w:tc>
          <w:tcPr>
            <w:tcW w:w="1067" w:type="dxa"/>
            <w:vAlign w:val="center"/>
          </w:tcPr>
          <w:p w14:paraId="320643A8" w14:textId="77777777" w:rsidR="00626FF9" w:rsidRPr="002C29D2" w:rsidRDefault="00626FF9" w:rsidP="00626FF9">
            <w:pPr>
              <w:jc w:val="center"/>
              <w:rPr>
                <w:sz w:val="20"/>
                <w:szCs w:val="20"/>
              </w:rPr>
            </w:pPr>
            <w:r w:rsidRPr="002C29D2">
              <w:rPr>
                <w:sz w:val="20"/>
                <w:szCs w:val="20"/>
              </w:rPr>
              <w:t>p</w:t>
            </w:r>
          </w:p>
        </w:tc>
      </w:tr>
      <w:tr w:rsidR="002C29D2" w:rsidRPr="002C29D2" w14:paraId="1691886F" w14:textId="77777777" w:rsidTr="00626FF9">
        <w:trPr>
          <w:trHeight w:val="320"/>
        </w:trPr>
        <w:tc>
          <w:tcPr>
            <w:tcW w:w="1435" w:type="dxa"/>
            <w:shd w:val="clear" w:color="auto" w:fill="auto"/>
            <w:noWrap/>
            <w:vAlign w:val="center"/>
            <w:hideMark/>
          </w:tcPr>
          <w:p w14:paraId="00E4FE72" w14:textId="77777777" w:rsidR="00626FF9" w:rsidRPr="002C29D2" w:rsidRDefault="00626FF9" w:rsidP="00626FF9">
            <w:pPr>
              <w:rPr>
                <w:sz w:val="20"/>
                <w:szCs w:val="20"/>
              </w:rPr>
            </w:pPr>
            <w:r w:rsidRPr="002C29D2">
              <w:rPr>
                <w:sz w:val="20"/>
                <w:szCs w:val="20"/>
              </w:rPr>
              <w:t>AU -&gt; ATA</w:t>
            </w:r>
          </w:p>
        </w:tc>
        <w:tc>
          <w:tcPr>
            <w:tcW w:w="970" w:type="dxa"/>
            <w:shd w:val="clear" w:color="auto" w:fill="auto"/>
            <w:noWrap/>
            <w:vAlign w:val="bottom"/>
            <w:hideMark/>
          </w:tcPr>
          <w:p w14:paraId="6C020DD7" w14:textId="77777777" w:rsidR="00626FF9" w:rsidRPr="002C29D2" w:rsidRDefault="00626FF9" w:rsidP="00B63C4D">
            <w:pPr>
              <w:jc w:val="center"/>
              <w:rPr>
                <w:sz w:val="20"/>
                <w:szCs w:val="20"/>
              </w:rPr>
            </w:pPr>
            <w:r w:rsidRPr="002C29D2">
              <w:rPr>
                <w:sz w:val="20"/>
                <w:szCs w:val="20"/>
              </w:rPr>
              <w:t>-0.148</w:t>
            </w:r>
          </w:p>
        </w:tc>
        <w:tc>
          <w:tcPr>
            <w:tcW w:w="1134" w:type="dxa"/>
            <w:shd w:val="clear" w:color="auto" w:fill="auto"/>
            <w:noWrap/>
            <w:vAlign w:val="bottom"/>
            <w:hideMark/>
          </w:tcPr>
          <w:p w14:paraId="25D9D450" w14:textId="77777777" w:rsidR="00626FF9" w:rsidRPr="002C29D2" w:rsidRDefault="00626FF9" w:rsidP="00B63C4D">
            <w:pPr>
              <w:jc w:val="center"/>
              <w:rPr>
                <w:sz w:val="20"/>
                <w:szCs w:val="20"/>
              </w:rPr>
            </w:pPr>
            <w:r w:rsidRPr="002C29D2">
              <w:rPr>
                <w:sz w:val="20"/>
                <w:szCs w:val="20"/>
              </w:rPr>
              <w:t>1.705</w:t>
            </w:r>
          </w:p>
        </w:tc>
        <w:tc>
          <w:tcPr>
            <w:tcW w:w="992" w:type="dxa"/>
            <w:vAlign w:val="bottom"/>
          </w:tcPr>
          <w:p w14:paraId="30B2D2F6" w14:textId="77777777" w:rsidR="00626FF9" w:rsidRPr="002C29D2" w:rsidRDefault="00626FF9" w:rsidP="00B63C4D">
            <w:pPr>
              <w:jc w:val="center"/>
              <w:rPr>
                <w:sz w:val="20"/>
                <w:szCs w:val="20"/>
              </w:rPr>
            </w:pPr>
            <w:r w:rsidRPr="002C29D2">
              <w:rPr>
                <w:sz w:val="20"/>
                <w:szCs w:val="20"/>
              </w:rPr>
              <w:t>0.088</w:t>
            </w:r>
          </w:p>
        </w:tc>
        <w:tc>
          <w:tcPr>
            <w:tcW w:w="992" w:type="dxa"/>
            <w:shd w:val="clear" w:color="auto" w:fill="auto"/>
            <w:noWrap/>
            <w:vAlign w:val="bottom"/>
            <w:hideMark/>
          </w:tcPr>
          <w:p w14:paraId="5753EF4C" w14:textId="77777777" w:rsidR="00626FF9" w:rsidRPr="002C29D2" w:rsidRDefault="00626FF9" w:rsidP="00B63C4D">
            <w:pPr>
              <w:jc w:val="center"/>
              <w:rPr>
                <w:sz w:val="20"/>
                <w:szCs w:val="20"/>
              </w:rPr>
            </w:pPr>
            <w:r w:rsidRPr="002C29D2">
              <w:rPr>
                <w:sz w:val="20"/>
                <w:szCs w:val="20"/>
              </w:rPr>
              <w:t>0.025</w:t>
            </w:r>
          </w:p>
        </w:tc>
        <w:tc>
          <w:tcPr>
            <w:tcW w:w="1122" w:type="dxa"/>
            <w:shd w:val="clear" w:color="auto" w:fill="auto"/>
            <w:noWrap/>
            <w:vAlign w:val="bottom"/>
            <w:hideMark/>
          </w:tcPr>
          <w:p w14:paraId="4A101ED6" w14:textId="77777777" w:rsidR="00626FF9" w:rsidRPr="002C29D2" w:rsidRDefault="00626FF9" w:rsidP="00B63C4D">
            <w:pPr>
              <w:jc w:val="center"/>
              <w:rPr>
                <w:sz w:val="20"/>
                <w:szCs w:val="20"/>
              </w:rPr>
            </w:pPr>
            <w:r w:rsidRPr="002C29D2">
              <w:rPr>
                <w:sz w:val="20"/>
                <w:szCs w:val="20"/>
              </w:rPr>
              <w:t>0.320</w:t>
            </w:r>
          </w:p>
        </w:tc>
        <w:tc>
          <w:tcPr>
            <w:tcW w:w="863" w:type="dxa"/>
            <w:vAlign w:val="bottom"/>
          </w:tcPr>
          <w:p w14:paraId="677BC49E" w14:textId="77777777" w:rsidR="00626FF9" w:rsidRPr="002C29D2" w:rsidRDefault="00626FF9" w:rsidP="00B63C4D">
            <w:pPr>
              <w:jc w:val="center"/>
              <w:rPr>
                <w:sz w:val="20"/>
                <w:szCs w:val="20"/>
              </w:rPr>
            </w:pPr>
            <w:r w:rsidRPr="002C29D2">
              <w:rPr>
                <w:sz w:val="20"/>
                <w:szCs w:val="20"/>
              </w:rPr>
              <w:t>0.749</w:t>
            </w:r>
          </w:p>
        </w:tc>
        <w:tc>
          <w:tcPr>
            <w:tcW w:w="1201" w:type="dxa"/>
            <w:shd w:val="clear" w:color="auto" w:fill="auto"/>
            <w:noWrap/>
            <w:vAlign w:val="bottom"/>
            <w:hideMark/>
          </w:tcPr>
          <w:p w14:paraId="1232C92D" w14:textId="77777777" w:rsidR="00626FF9" w:rsidRPr="002C29D2" w:rsidRDefault="00626FF9" w:rsidP="00B63C4D">
            <w:pPr>
              <w:jc w:val="center"/>
              <w:rPr>
                <w:sz w:val="20"/>
                <w:szCs w:val="20"/>
              </w:rPr>
            </w:pPr>
            <w:r w:rsidRPr="002C29D2">
              <w:rPr>
                <w:sz w:val="20"/>
                <w:szCs w:val="20"/>
              </w:rPr>
              <w:t>1.476</w:t>
            </w:r>
          </w:p>
        </w:tc>
        <w:tc>
          <w:tcPr>
            <w:tcW w:w="1067" w:type="dxa"/>
            <w:vAlign w:val="bottom"/>
          </w:tcPr>
          <w:p w14:paraId="415C8CC7" w14:textId="77777777" w:rsidR="00626FF9" w:rsidRPr="002C29D2" w:rsidRDefault="00626FF9" w:rsidP="00B63C4D">
            <w:pPr>
              <w:jc w:val="center"/>
              <w:rPr>
                <w:sz w:val="20"/>
                <w:szCs w:val="20"/>
              </w:rPr>
            </w:pPr>
            <w:r w:rsidRPr="002C29D2">
              <w:rPr>
                <w:sz w:val="20"/>
                <w:szCs w:val="20"/>
              </w:rPr>
              <w:t>0.141</w:t>
            </w:r>
          </w:p>
        </w:tc>
      </w:tr>
      <w:tr w:rsidR="002C29D2" w:rsidRPr="002C29D2" w14:paraId="1217C9C0" w14:textId="77777777" w:rsidTr="00626FF9">
        <w:trPr>
          <w:trHeight w:val="320"/>
        </w:trPr>
        <w:tc>
          <w:tcPr>
            <w:tcW w:w="1435" w:type="dxa"/>
            <w:shd w:val="clear" w:color="auto" w:fill="auto"/>
            <w:noWrap/>
            <w:vAlign w:val="center"/>
            <w:hideMark/>
          </w:tcPr>
          <w:p w14:paraId="682BD181" w14:textId="77777777" w:rsidR="00626FF9" w:rsidRPr="002C29D2" w:rsidRDefault="00626FF9" w:rsidP="00626FF9">
            <w:pPr>
              <w:rPr>
                <w:b/>
                <w:bCs/>
                <w:sz w:val="20"/>
                <w:szCs w:val="20"/>
              </w:rPr>
            </w:pPr>
            <w:r w:rsidRPr="002C29D2">
              <w:rPr>
                <w:b/>
                <w:bCs/>
                <w:sz w:val="20"/>
                <w:szCs w:val="20"/>
              </w:rPr>
              <w:t>AU -&gt; ENG</w:t>
            </w:r>
          </w:p>
        </w:tc>
        <w:tc>
          <w:tcPr>
            <w:tcW w:w="970" w:type="dxa"/>
            <w:shd w:val="clear" w:color="auto" w:fill="auto"/>
            <w:noWrap/>
            <w:vAlign w:val="bottom"/>
            <w:hideMark/>
          </w:tcPr>
          <w:p w14:paraId="74113121" w14:textId="77777777" w:rsidR="00626FF9" w:rsidRPr="002C29D2" w:rsidRDefault="00626FF9" w:rsidP="00B63C4D">
            <w:pPr>
              <w:jc w:val="center"/>
              <w:rPr>
                <w:b/>
                <w:bCs/>
                <w:sz w:val="20"/>
                <w:szCs w:val="20"/>
              </w:rPr>
            </w:pPr>
            <w:r w:rsidRPr="002C29D2">
              <w:rPr>
                <w:b/>
                <w:bCs/>
                <w:sz w:val="20"/>
                <w:szCs w:val="20"/>
              </w:rPr>
              <w:t>0.285</w:t>
            </w:r>
          </w:p>
        </w:tc>
        <w:tc>
          <w:tcPr>
            <w:tcW w:w="1134" w:type="dxa"/>
            <w:shd w:val="clear" w:color="auto" w:fill="auto"/>
            <w:noWrap/>
            <w:vAlign w:val="bottom"/>
            <w:hideMark/>
          </w:tcPr>
          <w:p w14:paraId="5296B513" w14:textId="77777777" w:rsidR="00626FF9" w:rsidRPr="002C29D2" w:rsidRDefault="00626FF9" w:rsidP="00B63C4D">
            <w:pPr>
              <w:jc w:val="center"/>
              <w:rPr>
                <w:b/>
                <w:bCs/>
                <w:sz w:val="20"/>
                <w:szCs w:val="20"/>
              </w:rPr>
            </w:pPr>
            <w:r w:rsidRPr="002C29D2">
              <w:rPr>
                <w:b/>
                <w:bCs/>
                <w:sz w:val="20"/>
                <w:szCs w:val="20"/>
              </w:rPr>
              <w:t>4.128</w:t>
            </w:r>
          </w:p>
        </w:tc>
        <w:tc>
          <w:tcPr>
            <w:tcW w:w="992" w:type="dxa"/>
            <w:vAlign w:val="bottom"/>
          </w:tcPr>
          <w:p w14:paraId="7AAD7DEE" w14:textId="77777777" w:rsidR="00626FF9" w:rsidRPr="002C29D2" w:rsidRDefault="00626FF9" w:rsidP="00B63C4D">
            <w:pPr>
              <w:jc w:val="center"/>
              <w:rPr>
                <w:b/>
                <w:bCs/>
                <w:sz w:val="20"/>
                <w:szCs w:val="20"/>
              </w:rPr>
            </w:pPr>
            <w:r w:rsidRPr="002C29D2">
              <w:rPr>
                <w:b/>
                <w:bCs/>
                <w:sz w:val="20"/>
                <w:szCs w:val="20"/>
              </w:rPr>
              <w:t>0.000</w:t>
            </w:r>
          </w:p>
        </w:tc>
        <w:tc>
          <w:tcPr>
            <w:tcW w:w="992" w:type="dxa"/>
            <w:shd w:val="clear" w:color="auto" w:fill="auto"/>
            <w:noWrap/>
            <w:vAlign w:val="bottom"/>
            <w:hideMark/>
          </w:tcPr>
          <w:p w14:paraId="6CC5001B" w14:textId="77777777" w:rsidR="00626FF9" w:rsidRPr="002C29D2" w:rsidRDefault="00626FF9" w:rsidP="00B63C4D">
            <w:pPr>
              <w:jc w:val="center"/>
              <w:rPr>
                <w:b/>
                <w:bCs/>
                <w:sz w:val="20"/>
                <w:szCs w:val="20"/>
              </w:rPr>
            </w:pPr>
            <w:r w:rsidRPr="002C29D2">
              <w:rPr>
                <w:b/>
                <w:bCs/>
                <w:sz w:val="20"/>
                <w:szCs w:val="20"/>
              </w:rPr>
              <w:t>0.088</w:t>
            </w:r>
          </w:p>
        </w:tc>
        <w:tc>
          <w:tcPr>
            <w:tcW w:w="1122" w:type="dxa"/>
            <w:shd w:val="clear" w:color="auto" w:fill="auto"/>
            <w:noWrap/>
            <w:vAlign w:val="bottom"/>
            <w:hideMark/>
          </w:tcPr>
          <w:p w14:paraId="5CA1F455" w14:textId="77777777" w:rsidR="00626FF9" w:rsidRPr="002C29D2" w:rsidRDefault="00626FF9" w:rsidP="00B63C4D">
            <w:pPr>
              <w:jc w:val="center"/>
              <w:rPr>
                <w:b/>
                <w:bCs/>
                <w:sz w:val="20"/>
                <w:szCs w:val="20"/>
              </w:rPr>
            </w:pPr>
            <w:r w:rsidRPr="002C29D2">
              <w:rPr>
                <w:b/>
                <w:bCs/>
                <w:sz w:val="20"/>
                <w:szCs w:val="20"/>
              </w:rPr>
              <w:t>1.498</w:t>
            </w:r>
          </w:p>
        </w:tc>
        <w:tc>
          <w:tcPr>
            <w:tcW w:w="863" w:type="dxa"/>
            <w:vAlign w:val="bottom"/>
          </w:tcPr>
          <w:p w14:paraId="4C2749B4" w14:textId="77777777" w:rsidR="00626FF9" w:rsidRPr="002C29D2" w:rsidRDefault="00626FF9" w:rsidP="00B63C4D">
            <w:pPr>
              <w:jc w:val="center"/>
              <w:rPr>
                <w:b/>
                <w:bCs/>
                <w:sz w:val="20"/>
                <w:szCs w:val="20"/>
              </w:rPr>
            </w:pPr>
            <w:r w:rsidRPr="002C29D2">
              <w:rPr>
                <w:b/>
                <w:bCs/>
                <w:sz w:val="20"/>
                <w:szCs w:val="20"/>
              </w:rPr>
              <w:t>0.134</w:t>
            </w:r>
          </w:p>
        </w:tc>
        <w:tc>
          <w:tcPr>
            <w:tcW w:w="1201" w:type="dxa"/>
            <w:shd w:val="clear" w:color="auto" w:fill="auto"/>
            <w:noWrap/>
            <w:vAlign w:val="bottom"/>
            <w:hideMark/>
          </w:tcPr>
          <w:p w14:paraId="1A435CA7" w14:textId="77777777" w:rsidR="00626FF9" w:rsidRPr="002C29D2" w:rsidRDefault="00626FF9" w:rsidP="00B63C4D">
            <w:pPr>
              <w:jc w:val="center"/>
              <w:rPr>
                <w:b/>
                <w:bCs/>
                <w:sz w:val="20"/>
                <w:szCs w:val="20"/>
              </w:rPr>
            </w:pPr>
            <w:r w:rsidRPr="002C29D2">
              <w:rPr>
                <w:b/>
                <w:bCs/>
                <w:sz w:val="20"/>
                <w:szCs w:val="20"/>
              </w:rPr>
              <w:t>2.183</w:t>
            </w:r>
          </w:p>
        </w:tc>
        <w:tc>
          <w:tcPr>
            <w:tcW w:w="1067" w:type="dxa"/>
            <w:vAlign w:val="bottom"/>
          </w:tcPr>
          <w:p w14:paraId="2546397A" w14:textId="77777777" w:rsidR="00626FF9" w:rsidRPr="002C29D2" w:rsidRDefault="00626FF9" w:rsidP="00B63C4D">
            <w:pPr>
              <w:jc w:val="center"/>
              <w:rPr>
                <w:b/>
                <w:bCs/>
                <w:sz w:val="20"/>
                <w:szCs w:val="20"/>
              </w:rPr>
            </w:pPr>
            <w:r w:rsidRPr="002C29D2">
              <w:rPr>
                <w:b/>
                <w:bCs/>
                <w:sz w:val="20"/>
                <w:szCs w:val="20"/>
              </w:rPr>
              <w:t>0.030</w:t>
            </w:r>
          </w:p>
        </w:tc>
      </w:tr>
      <w:tr w:rsidR="002C29D2" w:rsidRPr="002C29D2" w14:paraId="1017398F" w14:textId="77777777" w:rsidTr="00626FF9">
        <w:trPr>
          <w:trHeight w:val="320"/>
        </w:trPr>
        <w:tc>
          <w:tcPr>
            <w:tcW w:w="1435" w:type="dxa"/>
            <w:shd w:val="clear" w:color="auto" w:fill="auto"/>
            <w:noWrap/>
            <w:vAlign w:val="center"/>
            <w:hideMark/>
          </w:tcPr>
          <w:p w14:paraId="35A388B7" w14:textId="77777777" w:rsidR="00626FF9" w:rsidRPr="002C29D2" w:rsidRDefault="00626FF9" w:rsidP="00626FF9">
            <w:pPr>
              <w:rPr>
                <w:sz w:val="20"/>
                <w:szCs w:val="20"/>
              </w:rPr>
            </w:pPr>
            <w:r w:rsidRPr="002C29D2">
              <w:rPr>
                <w:sz w:val="20"/>
                <w:szCs w:val="20"/>
              </w:rPr>
              <w:t>AU -&gt; SAT</w:t>
            </w:r>
          </w:p>
        </w:tc>
        <w:tc>
          <w:tcPr>
            <w:tcW w:w="970" w:type="dxa"/>
            <w:shd w:val="clear" w:color="auto" w:fill="auto"/>
            <w:noWrap/>
            <w:vAlign w:val="bottom"/>
            <w:hideMark/>
          </w:tcPr>
          <w:p w14:paraId="5DC0B6A3" w14:textId="77777777" w:rsidR="00626FF9" w:rsidRPr="002C29D2" w:rsidRDefault="00626FF9" w:rsidP="00B63C4D">
            <w:pPr>
              <w:jc w:val="center"/>
              <w:rPr>
                <w:sz w:val="20"/>
                <w:szCs w:val="20"/>
              </w:rPr>
            </w:pPr>
            <w:r w:rsidRPr="002C29D2">
              <w:rPr>
                <w:sz w:val="20"/>
                <w:szCs w:val="20"/>
              </w:rPr>
              <w:t>0.052</w:t>
            </w:r>
          </w:p>
        </w:tc>
        <w:tc>
          <w:tcPr>
            <w:tcW w:w="1134" w:type="dxa"/>
            <w:shd w:val="clear" w:color="auto" w:fill="auto"/>
            <w:noWrap/>
            <w:vAlign w:val="bottom"/>
            <w:hideMark/>
          </w:tcPr>
          <w:p w14:paraId="452B631B" w14:textId="77777777" w:rsidR="00626FF9" w:rsidRPr="002C29D2" w:rsidRDefault="00626FF9" w:rsidP="00B63C4D">
            <w:pPr>
              <w:jc w:val="center"/>
              <w:rPr>
                <w:sz w:val="20"/>
                <w:szCs w:val="20"/>
              </w:rPr>
            </w:pPr>
            <w:r w:rsidRPr="002C29D2">
              <w:rPr>
                <w:sz w:val="20"/>
                <w:szCs w:val="20"/>
              </w:rPr>
              <w:t>0.612</w:t>
            </w:r>
          </w:p>
        </w:tc>
        <w:tc>
          <w:tcPr>
            <w:tcW w:w="992" w:type="dxa"/>
            <w:vAlign w:val="bottom"/>
          </w:tcPr>
          <w:p w14:paraId="2C85DF1F" w14:textId="77777777" w:rsidR="00626FF9" w:rsidRPr="002C29D2" w:rsidRDefault="00626FF9" w:rsidP="00B63C4D">
            <w:pPr>
              <w:jc w:val="center"/>
              <w:rPr>
                <w:sz w:val="20"/>
                <w:szCs w:val="20"/>
              </w:rPr>
            </w:pPr>
            <w:r w:rsidRPr="002C29D2">
              <w:rPr>
                <w:sz w:val="20"/>
                <w:szCs w:val="20"/>
              </w:rPr>
              <w:t>0.540</w:t>
            </w:r>
          </w:p>
        </w:tc>
        <w:tc>
          <w:tcPr>
            <w:tcW w:w="992" w:type="dxa"/>
            <w:shd w:val="clear" w:color="auto" w:fill="auto"/>
            <w:noWrap/>
            <w:vAlign w:val="bottom"/>
            <w:hideMark/>
          </w:tcPr>
          <w:p w14:paraId="26CD79B6" w14:textId="77777777" w:rsidR="00626FF9" w:rsidRPr="002C29D2" w:rsidRDefault="00626FF9" w:rsidP="00B63C4D">
            <w:pPr>
              <w:jc w:val="center"/>
              <w:rPr>
                <w:sz w:val="20"/>
                <w:szCs w:val="20"/>
              </w:rPr>
            </w:pPr>
            <w:r w:rsidRPr="002C29D2">
              <w:rPr>
                <w:sz w:val="20"/>
                <w:szCs w:val="20"/>
              </w:rPr>
              <w:t>0.042</w:t>
            </w:r>
          </w:p>
        </w:tc>
        <w:tc>
          <w:tcPr>
            <w:tcW w:w="1122" w:type="dxa"/>
            <w:shd w:val="clear" w:color="auto" w:fill="auto"/>
            <w:noWrap/>
            <w:vAlign w:val="bottom"/>
            <w:hideMark/>
          </w:tcPr>
          <w:p w14:paraId="33C2FF9A" w14:textId="77777777" w:rsidR="00626FF9" w:rsidRPr="002C29D2" w:rsidRDefault="00626FF9" w:rsidP="00B63C4D">
            <w:pPr>
              <w:jc w:val="center"/>
              <w:rPr>
                <w:sz w:val="20"/>
                <w:szCs w:val="20"/>
              </w:rPr>
            </w:pPr>
            <w:r w:rsidRPr="002C29D2">
              <w:rPr>
                <w:sz w:val="20"/>
                <w:szCs w:val="20"/>
              </w:rPr>
              <w:t>0.653</w:t>
            </w:r>
          </w:p>
        </w:tc>
        <w:tc>
          <w:tcPr>
            <w:tcW w:w="863" w:type="dxa"/>
            <w:vAlign w:val="bottom"/>
          </w:tcPr>
          <w:p w14:paraId="5AD49188" w14:textId="77777777" w:rsidR="00626FF9" w:rsidRPr="002C29D2" w:rsidRDefault="00626FF9" w:rsidP="00B63C4D">
            <w:pPr>
              <w:jc w:val="center"/>
              <w:rPr>
                <w:sz w:val="20"/>
                <w:szCs w:val="20"/>
              </w:rPr>
            </w:pPr>
            <w:r w:rsidRPr="002C29D2">
              <w:rPr>
                <w:sz w:val="20"/>
                <w:szCs w:val="20"/>
              </w:rPr>
              <w:t>0.514</w:t>
            </w:r>
          </w:p>
        </w:tc>
        <w:tc>
          <w:tcPr>
            <w:tcW w:w="1201" w:type="dxa"/>
            <w:shd w:val="clear" w:color="auto" w:fill="auto"/>
            <w:noWrap/>
            <w:vAlign w:val="bottom"/>
            <w:hideMark/>
          </w:tcPr>
          <w:p w14:paraId="27DFFF66" w14:textId="77777777" w:rsidR="00626FF9" w:rsidRPr="002C29D2" w:rsidRDefault="00626FF9" w:rsidP="00B63C4D">
            <w:pPr>
              <w:jc w:val="center"/>
              <w:rPr>
                <w:sz w:val="20"/>
                <w:szCs w:val="20"/>
              </w:rPr>
            </w:pPr>
            <w:r w:rsidRPr="002C29D2">
              <w:rPr>
                <w:sz w:val="20"/>
                <w:szCs w:val="20"/>
              </w:rPr>
              <w:t>0.094</w:t>
            </w:r>
          </w:p>
        </w:tc>
        <w:tc>
          <w:tcPr>
            <w:tcW w:w="1067" w:type="dxa"/>
            <w:vAlign w:val="bottom"/>
          </w:tcPr>
          <w:p w14:paraId="5755C299" w14:textId="77777777" w:rsidR="00626FF9" w:rsidRPr="002C29D2" w:rsidRDefault="00626FF9" w:rsidP="00B63C4D">
            <w:pPr>
              <w:jc w:val="center"/>
              <w:rPr>
                <w:sz w:val="20"/>
                <w:szCs w:val="20"/>
              </w:rPr>
            </w:pPr>
            <w:r w:rsidRPr="002C29D2">
              <w:rPr>
                <w:sz w:val="20"/>
                <w:szCs w:val="20"/>
              </w:rPr>
              <w:t>0.925</w:t>
            </w:r>
          </w:p>
        </w:tc>
      </w:tr>
      <w:tr w:rsidR="002C29D2" w:rsidRPr="002C29D2" w14:paraId="1223A84E" w14:textId="77777777" w:rsidTr="00626FF9">
        <w:trPr>
          <w:trHeight w:val="320"/>
        </w:trPr>
        <w:tc>
          <w:tcPr>
            <w:tcW w:w="1435" w:type="dxa"/>
            <w:shd w:val="clear" w:color="auto" w:fill="auto"/>
            <w:noWrap/>
            <w:vAlign w:val="center"/>
            <w:hideMark/>
          </w:tcPr>
          <w:p w14:paraId="6607CB7C" w14:textId="77777777" w:rsidR="00626FF9" w:rsidRPr="002C29D2" w:rsidRDefault="00626FF9" w:rsidP="00626FF9">
            <w:pPr>
              <w:rPr>
                <w:sz w:val="20"/>
                <w:szCs w:val="20"/>
              </w:rPr>
            </w:pPr>
            <w:r w:rsidRPr="002C29D2">
              <w:rPr>
                <w:sz w:val="20"/>
                <w:szCs w:val="20"/>
              </w:rPr>
              <w:t>AU -&gt; UI</w:t>
            </w:r>
          </w:p>
        </w:tc>
        <w:tc>
          <w:tcPr>
            <w:tcW w:w="970" w:type="dxa"/>
            <w:shd w:val="clear" w:color="auto" w:fill="auto"/>
            <w:noWrap/>
            <w:vAlign w:val="bottom"/>
            <w:hideMark/>
          </w:tcPr>
          <w:p w14:paraId="54163826" w14:textId="77777777" w:rsidR="00626FF9" w:rsidRPr="002C29D2" w:rsidRDefault="00626FF9" w:rsidP="00B63C4D">
            <w:pPr>
              <w:jc w:val="center"/>
              <w:rPr>
                <w:sz w:val="20"/>
                <w:szCs w:val="20"/>
              </w:rPr>
            </w:pPr>
            <w:r w:rsidRPr="002C29D2">
              <w:rPr>
                <w:sz w:val="20"/>
                <w:szCs w:val="20"/>
              </w:rPr>
              <w:t>0.051</w:t>
            </w:r>
          </w:p>
        </w:tc>
        <w:tc>
          <w:tcPr>
            <w:tcW w:w="1134" w:type="dxa"/>
            <w:shd w:val="clear" w:color="auto" w:fill="auto"/>
            <w:noWrap/>
            <w:vAlign w:val="bottom"/>
            <w:hideMark/>
          </w:tcPr>
          <w:p w14:paraId="7374FD6B" w14:textId="77777777" w:rsidR="00626FF9" w:rsidRPr="002C29D2" w:rsidRDefault="00626FF9" w:rsidP="00B63C4D">
            <w:pPr>
              <w:jc w:val="center"/>
              <w:rPr>
                <w:sz w:val="20"/>
                <w:szCs w:val="20"/>
              </w:rPr>
            </w:pPr>
            <w:r w:rsidRPr="002C29D2">
              <w:rPr>
                <w:sz w:val="20"/>
                <w:szCs w:val="20"/>
              </w:rPr>
              <w:t>0.590</w:t>
            </w:r>
          </w:p>
        </w:tc>
        <w:tc>
          <w:tcPr>
            <w:tcW w:w="992" w:type="dxa"/>
            <w:vAlign w:val="bottom"/>
          </w:tcPr>
          <w:p w14:paraId="6A2AD61F" w14:textId="77777777" w:rsidR="00626FF9" w:rsidRPr="002C29D2" w:rsidRDefault="00626FF9" w:rsidP="00B63C4D">
            <w:pPr>
              <w:jc w:val="center"/>
              <w:rPr>
                <w:sz w:val="20"/>
                <w:szCs w:val="20"/>
              </w:rPr>
            </w:pPr>
            <w:r w:rsidRPr="002C29D2">
              <w:rPr>
                <w:sz w:val="20"/>
                <w:szCs w:val="20"/>
              </w:rPr>
              <w:t>0.555</w:t>
            </w:r>
          </w:p>
        </w:tc>
        <w:tc>
          <w:tcPr>
            <w:tcW w:w="992" w:type="dxa"/>
            <w:shd w:val="clear" w:color="auto" w:fill="auto"/>
            <w:noWrap/>
            <w:vAlign w:val="bottom"/>
            <w:hideMark/>
          </w:tcPr>
          <w:p w14:paraId="086564F7" w14:textId="77777777" w:rsidR="00626FF9" w:rsidRPr="002C29D2" w:rsidRDefault="00626FF9" w:rsidP="00B63C4D">
            <w:pPr>
              <w:jc w:val="center"/>
              <w:rPr>
                <w:sz w:val="20"/>
                <w:szCs w:val="20"/>
              </w:rPr>
            </w:pPr>
            <w:r w:rsidRPr="002C29D2">
              <w:rPr>
                <w:sz w:val="20"/>
                <w:szCs w:val="20"/>
              </w:rPr>
              <w:t>0.051</w:t>
            </w:r>
          </w:p>
        </w:tc>
        <w:tc>
          <w:tcPr>
            <w:tcW w:w="1122" w:type="dxa"/>
            <w:shd w:val="clear" w:color="auto" w:fill="auto"/>
            <w:noWrap/>
            <w:vAlign w:val="bottom"/>
            <w:hideMark/>
          </w:tcPr>
          <w:p w14:paraId="34DF1B51" w14:textId="77777777" w:rsidR="00626FF9" w:rsidRPr="002C29D2" w:rsidRDefault="00626FF9" w:rsidP="00B63C4D">
            <w:pPr>
              <w:jc w:val="center"/>
              <w:rPr>
                <w:sz w:val="20"/>
                <w:szCs w:val="20"/>
              </w:rPr>
            </w:pPr>
            <w:r w:rsidRPr="002C29D2">
              <w:rPr>
                <w:sz w:val="20"/>
                <w:szCs w:val="20"/>
              </w:rPr>
              <w:t>0.721</w:t>
            </w:r>
          </w:p>
        </w:tc>
        <w:tc>
          <w:tcPr>
            <w:tcW w:w="863" w:type="dxa"/>
            <w:vAlign w:val="bottom"/>
          </w:tcPr>
          <w:p w14:paraId="6E27C61E" w14:textId="77777777" w:rsidR="00626FF9" w:rsidRPr="002C29D2" w:rsidRDefault="00626FF9" w:rsidP="00B63C4D">
            <w:pPr>
              <w:jc w:val="center"/>
              <w:rPr>
                <w:sz w:val="20"/>
                <w:szCs w:val="20"/>
              </w:rPr>
            </w:pPr>
            <w:r w:rsidRPr="002C29D2">
              <w:rPr>
                <w:sz w:val="20"/>
                <w:szCs w:val="20"/>
              </w:rPr>
              <w:t>0.471</w:t>
            </w:r>
          </w:p>
        </w:tc>
        <w:tc>
          <w:tcPr>
            <w:tcW w:w="1201" w:type="dxa"/>
            <w:shd w:val="clear" w:color="auto" w:fill="auto"/>
            <w:noWrap/>
            <w:vAlign w:val="bottom"/>
            <w:hideMark/>
          </w:tcPr>
          <w:p w14:paraId="06E868FC" w14:textId="77777777" w:rsidR="00626FF9" w:rsidRPr="002C29D2" w:rsidRDefault="00626FF9" w:rsidP="00B63C4D">
            <w:pPr>
              <w:jc w:val="center"/>
              <w:rPr>
                <w:sz w:val="20"/>
                <w:szCs w:val="20"/>
              </w:rPr>
            </w:pPr>
            <w:r w:rsidRPr="002C29D2">
              <w:rPr>
                <w:sz w:val="20"/>
                <w:szCs w:val="20"/>
              </w:rPr>
              <w:t>0.004</w:t>
            </w:r>
          </w:p>
        </w:tc>
        <w:tc>
          <w:tcPr>
            <w:tcW w:w="1067" w:type="dxa"/>
            <w:vAlign w:val="bottom"/>
          </w:tcPr>
          <w:p w14:paraId="1D10373C" w14:textId="77777777" w:rsidR="00626FF9" w:rsidRPr="002C29D2" w:rsidRDefault="00626FF9" w:rsidP="00B63C4D">
            <w:pPr>
              <w:jc w:val="center"/>
              <w:rPr>
                <w:sz w:val="20"/>
                <w:szCs w:val="20"/>
              </w:rPr>
            </w:pPr>
            <w:r w:rsidRPr="002C29D2">
              <w:rPr>
                <w:sz w:val="20"/>
                <w:szCs w:val="20"/>
              </w:rPr>
              <w:t>0.996</w:t>
            </w:r>
          </w:p>
        </w:tc>
      </w:tr>
      <w:tr w:rsidR="002C29D2" w:rsidRPr="002C29D2" w14:paraId="5ACEB860" w14:textId="77777777" w:rsidTr="00626FF9">
        <w:trPr>
          <w:trHeight w:val="320"/>
        </w:trPr>
        <w:tc>
          <w:tcPr>
            <w:tcW w:w="1435" w:type="dxa"/>
            <w:shd w:val="clear" w:color="auto" w:fill="auto"/>
            <w:noWrap/>
            <w:vAlign w:val="center"/>
            <w:hideMark/>
          </w:tcPr>
          <w:p w14:paraId="7CFC71F4" w14:textId="77777777" w:rsidR="00626FF9" w:rsidRPr="002C29D2" w:rsidRDefault="00626FF9" w:rsidP="00626FF9">
            <w:pPr>
              <w:rPr>
                <w:sz w:val="20"/>
                <w:szCs w:val="20"/>
              </w:rPr>
            </w:pPr>
            <w:r w:rsidRPr="002C29D2">
              <w:rPr>
                <w:sz w:val="20"/>
                <w:szCs w:val="20"/>
              </w:rPr>
              <w:t>BE -&gt; ATA</w:t>
            </w:r>
          </w:p>
        </w:tc>
        <w:tc>
          <w:tcPr>
            <w:tcW w:w="970" w:type="dxa"/>
            <w:shd w:val="clear" w:color="auto" w:fill="auto"/>
            <w:noWrap/>
            <w:vAlign w:val="bottom"/>
            <w:hideMark/>
          </w:tcPr>
          <w:p w14:paraId="7BAC91A0" w14:textId="77777777" w:rsidR="00626FF9" w:rsidRPr="002C29D2" w:rsidRDefault="00626FF9" w:rsidP="00B63C4D">
            <w:pPr>
              <w:jc w:val="center"/>
              <w:rPr>
                <w:sz w:val="20"/>
                <w:szCs w:val="20"/>
              </w:rPr>
            </w:pPr>
            <w:r w:rsidRPr="002C29D2">
              <w:rPr>
                <w:sz w:val="20"/>
                <w:szCs w:val="20"/>
              </w:rPr>
              <w:t>0.064</w:t>
            </w:r>
          </w:p>
        </w:tc>
        <w:tc>
          <w:tcPr>
            <w:tcW w:w="1134" w:type="dxa"/>
            <w:shd w:val="clear" w:color="auto" w:fill="auto"/>
            <w:noWrap/>
            <w:vAlign w:val="bottom"/>
            <w:hideMark/>
          </w:tcPr>
          <w:p w14:paraId="265BAE39" w14:textId="77777777" w:rsidR="00626FF9" w:rsidRPr="002C29D2" w:rsidRDefault="00626FF9" w:rsidP="00B63C4D">
            <w:pPr>
              <w:jc w:val="center"/>
              <w:rPr>
                <w:sz w:val="20"/>
                <w:szCs w:val="20"/>
              </w:rPr>
            </w:pPr>
            <w:r w:rsidRPr="002C29D2">
              <w:rPr>
                <w:sz w:val="20"/>
                <w:szCs w:val="20"/>
              </w:rPr>
              <w:t>0.574</w:t>
            </w:r>
          </w:p>
        </w:tc>
        <w:tc>
          <w:tcPr>
            <w:tcW w:w="992" w:type="dxa"/>
            <w:vAlign w:val="bottom"/>
          </w:tcPr>
          <w:p w14:paraId="2637875E" w14:textId="77777777" w:rsidR="00626FF9" w:rsidRPr="002C29D2" w:rsidRDefault="00626FF9" w:rsidP="00B63C4D">
            <w:pPr>
              <w:jc w:val="center"/>
              <w:rPr>
                <w:sz w:val="20"/>
                <w:szCs w:val="20"/>
              </w:rPr>
            </w:pPr>
            <w:r w:rsidRPr="002C29D2">
              <w:rPr>
                <w:sz w:val="20"/>
                <w:szCs w:val="20"/>
              </w:rPr>
              <w:t>0.566</w:t>
            </w:r>
          </w:p>
        </w:tc>
        <w:tc>
          <w:tcPr>
            <w:tcW w:w="992" w:type="dxa"/>
            <w:shd w:val="clear" w:color="auto" w:fill="auto"/>
            <w:noWrap/>
            <w:vAlign w:val="bottom"/>
            <w:hideMark/>
          </w:tcPr>
          <w:p w14:paraId="3B50DFA4" w14:textId="77777777" w:rsidR="00626FF9" w:rsidRPr="002C29D2" w:rsidRDefault="00626FF9" w:rsidP="00B63C4D">
            <w:pPr>
              <w:jc w:val="center"/>
              <w:rPr>
                <w:sz w:val="20"/>
                <w:szCs w:val="20"/>
              </w:rPr>
            </w:pPr>
            <w:r w:rsidRPr="002C29D2">
              <w:rPr>
                <w:sz w:val="20"/>
                <w:szCs w:val="20"/>
              </w:rPr>
              <w:t>0.316</w:t>
            </w:r>
          </w:p>
        </w:tc>
        <w:tc>
          <w:tcPr>
            <w:tcW w:w="1122" w:type="dxa"/>
            <w:shd w:val="clear" w:color="auto" w:fill="auto"/>
            <w:noWrap/>
            <w:vAlign w:val="bottom"/>
            <w:hideMark/>
          </w:tcPr>
          <w:p w14:paraId="28A05CCA" w14:textId="77777777" w:rsidR="00626FF9" w:rsidRPr="002C29D2" w:rsidRDefault="00626FF9" w:rsidP="00B63C4D">
            <w:pPr>
              <w:jc w:val="center"/>
              <w:rPr>
                <w:sz w:val="20"/>
                <w:szCs w:val="20"/>
              </w:rPr>
            </w:pPr>
            <w:r w:rsidRPr="002C29D2">
              <w:rPr>
                <w:sz w:val="20"/>
                <w:szCs w:val="20"/>
              </w:rPr>
              <w:t>3.673</w:t>
            </w:r>
          </w:p>
        </w:tc>
        <w:tc>
          <w:tcPr>
            <w:tcW w:w="863" w:type="dxa"/>
            <w:vAlign w:val="bottom"/>
          </w:tcPr>
          <w:p w14:paraId="2B146C6E"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49907088" w14:textId="77777777" w:rsidR="00626FF9" w:rsidRPr="002C29D2" w:rsidRDefault="00626FF9" w:rsidP="00B63C4D">
            <w:pPr>
              <w:jc w:val="center"/>
              <w:rPr>
                <w:sz w:val="20"/>
                <w:szCs w:val="20"/>
              </w:rPr>
            </w:pPr>
            <w:r w:rsidRPr="002C29D2">
              <w:rPr>
                <w:sz w:val="20"/>
                <w:szCs w:val="20"/>
              </w:rPr>
              <w:t>1.795</w:t>
            </w:r>
          </w:p>
        </w:tc>
        <w:tc>
          <w:tcPr>
            <w:tcW w:w="1067" w:type="dxa"/>
            <w:vAlign w:val="bottom"/>
          </w:tcPr>
          <w:p w14:paraId="4539F091" w14:textId="77777777" w:rsidR="00626FF9" w:rsidRPr="002C29D2" w:rsidRDefault="00626FF9" w:rsidP="00B63C4D">
            <w:pPr>
              <w:jc w:val="center"/>
              <w:rPr>
                <w:sz w:val="20"/>
                <w:szCs w:val="20"/>
              </w:rPr>
            </w:pPr>
            <w:r w:rsidRPr="002C29D2">
              <w:rPr>
                <w:sz w:val="20"/>
                <w:szCs w:val="20"/>
              </w:rPr>
              <w:t>0.074</w:t>
            </w:r>
          </w:p>
        </w:tc>
      </w:tr>
      <w:tr w:rsidR="002C29D2" w:rsidRPr="002C29D2" w14:paraId="7869BD39" w14:textId="77777777" w:rsidTr="00626FF9">
        <w:trPr>
          <w:trHeight w:val="320"/>
        </w:trPr>
        <w:tc>
          <w:tcPr>
            <w:tcW w:w="1435" w:type="dxa"/>
            <w:shd w:val="clear" w:color="auto" w:fill="auto"/>
            <w:noWrap/>
            <w:vAlign w:val="center"/>
            <w:hideMark/>
          </w:tcPr>
          <w:p w14:paraId="47842293" w14:textId="77777777" w:rsidR="00626FF9" w:rsidRPr="002C29D2" w:rsidRDefault="00626FF9" w:rsidP="00626FF9">
            <w:pPr>
              <w:rPr>
                <w:sz w:val="20"/>
                <w:szCs w:val="20"/>
              </w:rPr>
            </w:pPr>
            <w:r w:rsidRPr="002C29D2">
              <w:rPr>
                <w:sz w:val="20"/>
                <w:szCs w:val="20"/>
              </w:rPr>
              <w:t>BE -&gt; ENG</w:t>
            </w:r>
          </w:p>
        </w:tc>
        <w:tc>
          <w:tcPr>
            <w:tcW w:w="970" w:type="dxa"/>
            <w:shd w:val="clear" w:color="auto" w:fill="auto"/>
            <w:noWrap/>
            <w:vAlign w:val="bottom"/>
            <w:hideMark/>
          </w:tcPr>
          <w:p w14:paraId="332F4A3A" w14:textId="77777777" w:rsidR="00626FF9" w:rsidRPr="002C29D2" w:rsidRDefault="00626FF9" w:rsidP="00B63C4D">
            <w:pPr>
              <w:jc w:val="center"/>
              <w:rPr>
                <w:sz w:val="20"/>
                <w:szCs w:val="20"/>
              </w:rPr>
            </w:pPr>
            <w:r w:rsidRPr="002C29D2">
              <w:rPr>
                <w:sz w:val="20"/>
                <w:szCs w:val="20"/>
              </w:rPr>
              <w:t>0.194</w:t>
            </w:r>
          </w:p>
        </w:tc>
        <w:tc>
          <w:tcPr>
            <w:tcW w:w="1134" w:type="dxa"/>
            <w:shd w:val="clear" w:color="auto" w:fill="auto"/>
            <w:noWrap/>
            <w:vAlign w:val="bottom"/>
            <w:hideMark/>
          </w:tcPr>
          <w:p w14:paraId="383F7155" w14:textId="77777777" w:rsidR="00626FF9" w:rsidRPr="002C29D2" w:rsidRDefault="00626FF9" w:rsidP="00B63C4D">
            <w:pPr>
              <w:jc w:val="center"/>
              <w:rPr>
                <w:sz w:val="20"/>
                <w:szCs w:val="20"/>
              </w:rPr>
            </w:pPr>
            <w:r w:rsidRPr="002C29D2">
              <w:rPr>
                <w:sz w:val="20"/>
                <w:szCs w:val="20"/>
              </w:rPr>
              <w:t>2.317</w:t>
            </w:r>
          </w:p>
        </w:tc>
        <w:tc>
          <w:tcPr>
            <w:tcW w:w="992" w:type="dxa"/>
            <w:vAlign w:val="bottom"/>
          </w:tcPr>
          <w:p w14:paraId="74EB90AF" w14:textId="77777777" w:rsidR="00626FF9" w:rsidRPr="002C29D2" w:rsidRDefault="00626FF9" w:rsidP="00B63C4D">
            <w:pPr>
              <w:jc w:val="center"/>
              <w:rPr>
                <w:sz w:val="20"/>
                <w:szCs w:val="20"/>
              </w:rPr>
            </w:pPr>
            <w:r w:rsidRPr="002C29D2">
              <w:rPr>
                <w:sz w:val="20"/>
                <w:szCs w:val="20"/>
              </w:rPr>
              <w:t>0.021</w:t>
            </w:r>
          </w:p>
        </w:tc>
        <w:tc>
          <w:tcPr>
            <w:tcW w:w="992" w:type="dxa"/>
            <w:shd w:val="clear" w:color="auto" w:fill="auto"/>
            <w:noWrap/>
            <w:vAlign w:val="bottom"/>
            <w:hideMark/>
          </w:tcPr>
          <w:p w14:paraId="0C1A7C5E" w14:textId="77777777" w:rsidR="00626FF9" w:rsidRPr="002C29D2" w:rsidRDefault="00626FF9" w:rsidP="00B63C4D">
            <w:pPr>
              <w:jc w:val="center"/>
              <w:rPr>
                <w:sz w:val="20"/>
                <w:szCs w:val="20"/>
              </w:rPr>
            </w:pPr>
            <w:r w:rsidRPr="002C29D2">
              <w:rPr>
                <w:sz w:val="20"/>
                <w:szCs w:val="20"/>
              </w:rPr>
              <w:t>0.330</w:t>
            </w:r>
          </w:p>
        </w:tc>
        <w:tc>
          <w:tcPr>
            <w:tcW w:w="1122" w:type="dxa"/>
            <w:shd w:val="clear" w:color="auto" w:fill="auto"/>
            <w:noWrap/>
            <w:vAlign w:val="bottom"/>
            <w:hideMark/>
          </w:tcPr>
          <w:p w14:paraId="6F21E01D" w14:textId="77777777" w:rsidR="00626FF9" w:rsidRPr="002C29D2" w:rsidRDefault="00626FF9" w:rsidP="00B63C4D">
            <w:pPr>
              <w:jc w:val="center"/>
              <w:rPr>
                <w:sz w:val="20"/>
                <w:szCs w:val="20"/>
              </w:rPr>
            </w:pPr>
            <w:r w:rsidRPr="002C29D2">
              <w:rPr>
                <w:sz w:val="20"/>
                <w:szCs w:val="20"/>
              </w:rPr>
              <w:t>4.385</w:t>
            </w:r>
          </w:p>
        </w:tc>
        <w:tc>
          <w:tcPr>
            <w:tcW w:w="863" w:type="dxa"/>
            <w:vAlign w:val="bottom"/>
          </w:tcPr>
          <w:p w14:paraId="019F9AB2"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62FE5057" w14:textId="77777777" w:rsidR="00626FF9" w:rsidRPr="002C29D2" w:rsidRDefault="00626FF9" w:rsidP="00B63C4D">
            <w:pPr>
              <w:jc w:val="center"/>
              <w:rPr>
                <w:sz w:val="20"/>
                <w:szCs w:val="20"/>
              </w:rPr>
            </w:pPr>
            <w:r w:rsidRPr="002C29D2">
              <w:rPr>
                <w:sz w:val="20"/>
                <w:szCs w:val="20"/>
              </w:rPr>
              <w:t>1.208</w:t>
            </w:r>
          </w:p>
        </w:tc>
        <w:tc>
          <w:tcPr>
            <w:tcW w:w="1067" w:type="dxa"/>
            <w:vAlign w:val="bottom"/>
          </w:tcPr>
          <w:p w14:paraId="515D03DB" w14:textId="77777777" w:rsidR="00626FF9" w:rsidRPr="002C29D2" w:rsidRDefault="00626FF9" w:rsidP="00B63C4D">
            <w:pPr>
              <w:jc w:val="center"/>
              <w:rPr>
                <w:sz w:val="20"/>
                <w:szCs w:val="20"/>
              </w:rPr>
            </w:pPr>
            <w:r w:rsidRPr="002C29D2">
              <w:rPr>
                <w:sz w:val="20"/>
                <w:szCs w:val="20"/>
              </w:rPr>
              <w:t>0.229</w:t>
            </w:r>
          </w:p>
        </w:tc>
      </w:tr>
      <w:tr w:rsidR="002C29D2" w:rsidRPr="002C29D2" w14:paraId="384D6DD8" w14:textId="77777777" w:rsidTr="00626FF9">
        <w:trPr>
          <w:trHeight w:val="320"/>
        </w:trPr>
        <w:tc>
          <w:tcPr>
            <w:tcW w:w="1435" w:type="dxa"/>
            <w:shd w:val="clear" w:color="auto" w:fill="auto"/>
            <w:noWrap/>
            <w:vAlign w:val="center"/>
            <w:hideMark/>
          </w:tcPr>
          <w:p w14:paraId="0B8D3DA7" w14:textId="77777777" w:rsidR="00626FF9" w:rsidRPr="002C29D2" w:rsidRDefault="00626FF9" w:rsidP="00626FF9">
            <w:pPr>
              <w:rPr>
                <w:sz w:val="20"/>
                <w:szCs w:val="20"/>
              </w:rPr>
            </w:pPr>
            <w:r w:rsidRPr="002C29D2">
              <w:rPr>
                <w:sz w:val="20"/>
                <w:szCs w:val="20"/>
              </w:rPr>
              <w:t>BE -&gt; SAT</w:t>
            </w:r>
          </w:p>
        </w:tc>
        <w:tc>
          <w:tcPr>
            <w:tcW w:w="970" w:type="dxa"/>
            <w:shd w:val="clear" w:color="auto" w:fill="auto"/>
            <w:noWrap/>
            <w:vAlign w:val="bottom"/>
            <w:hideMark/>
          </w:tcPr>
          <w:p w14:paraId="4482F294" w14:textId="77777777" w:rsidR="00626FF9" w:rsidRPr="002C29D2" w:rsidRDefault="00626FF9" w:rsidP="00B63C4D">
            <w:pPr>
              <w:jc w:val="center"/>
              <w:rPr>
                <w:sz w:val="20"/>
                <w:szCs w:val="20"/>
              </w:rPr>
            </w:pPr>
            <w:r w:rsidRPr="002C29D2">
              <w:rPr>
                <w:sz w:val="20"/>
                <w:szCs w:val="20"/>
              </w:rPr>
              <w:t>-0.131</w:t>
            </w:r>
          </w:p>
        </w:tc>
        <w:tc>
          <w:tcPr>
            <w:tcW w:w="1134" w:type="dxa"/>
            <w:shd w:val="clear" w:color="auto" w:fill="auto"/>
            <w:noWrap/>
            <w:vAlign w:val="bottom"/>
            <w:hideMark/>
          </w:tcPr>
          <w:p w14:paraId="6EA0F978" w14:textId="77777777" w:rsidR="00626FF9" w:rsidRPr="002C29D2" w:rsidRDefault="00626FF9" w:rsidP="00B63C4D">
            <w:pPr>
              <w:jc w:val="center"/>
              <w:rPr>
                <w:sz w:val="20"/>
                <w:szCs w:val="20"/>
              </w:rPr>
            </w:pPr>
            <w:r w:rsidRPr="002C29D2">
              <w:rPr>
                <w:sz w:val="20"/>
                <w:szCs w:val="20"/>
              </w:rPr>
              <w:t>1.556</w:t>
            </w:r>
          </w:p>
        </w:tc>
        <w:tc>
          <w:tcPr>
            <w:tcW w:w="992" w:type="dxa"/>
            <w:vAlign w:val="bottom"/>
          </w:tcPr>
          <w:p w14:paraId="308F6B67" w14:textId="77777777" w:rsidR="00626FF9" w:rsidRPr="002C29D2" w:rsidRDefault="00626FF9" w:rsidP="00B63C4D">
            <w:pPr>
              <w:jc w:val="center"/>
              <w:rPr>
                <w:sz w:val="20"/>
                <w:szCs w:val="20"/>
              </w:rPr>
            </w:pPr>
            <w:r w:rsidRPr="002C29D2">
              <w:rPr>
                <w:sz w:val="20"/>
                <w:szCs w:val="20"/>
              </w:rPr>
              <w:t>0.120</w:t>
            </w:r>
          </w:p>
        </w:tc>
        <w:tc>
          <w:tcPr>
            <w:tcW w:w="992" w:type="dxa"/>
            <w:shd w:val="clear" w:color="auto" w:fill="auto"/>
            <w:noWrap/>
            <w:vAlign w:val="bottom"/>
            <w:hideMark/>
          </w:tcPr>
          <w:p w14:paraId="09181D2C" w14:textId="77777777" w:rsidR="00626FF9" w:rsidRPr="002C29D2" w:rsidRDefault="00626FF9" w:rsidP="00B63C4D">
            <w:pPr>
              <w:jc w:val="center"/>
              <w:rPr>
                <w:sz w:val="20"/>
                <w:szCs w:val="20"/>
              </w:rPr>
            </w:pPr>
            <w:r w:rsidRPr="002C29D2">
              <w:rPr>
                <w:sz w:val="20"/>
                <w:szCs w:val="20"/>
              </w:rPr>
              <w:t>0.077</w:t>
            </w:r>
          </w:p>
        </w:tc>
        <w:tc>
          <w:tcPr>
            <w:tcW w:w="1122" w:type="dxa"/>
            <w:shd w:val="clear" w:color="auto" w:fill="auto"/>
            <w:noWrap/>
            <w:vAlign w:val="bottom"/>
            <w:hideMark/>
          </w:tcPr>
          <w:p w14:paraId="7D23D0C9" w14:textId="77777777" w:rsidR="00626FF9" w:rsidRPr="002C29D2" w:rsidRDefault="00626FF9" w:rsidP="00B63C4D">
            <w:pPr>
              <w:jc w:val="center"/>
              <w:rPr>
                <w:sz w:val="20"/>
                <w:szCs w:val="20"/>
              </w:rPr>
            </w:pPr>
            <w:r w:rsidRPr="002C29D2">
              <w:rPr>
                <w:sz w:val="20"/>
                <w:szCs w:val="20"/>
              </w:rPr>
              <w:t>0.943</w:t>
            </w:r>
          </w:p>
        </w:tc>
        <w:tc>
          <w:tcPr>
            <w:tcW w:w="863" w:type="dxa"/>
            <w:vAlign w:val="bottom"/>
          </w:tcPr>
          <w:p w14:paraId="620DAAE0" w14:textId="77777777" w:rsidR="00626FF9" w:rsidRPr="002C29D2" w:rsidRDefault="00626FF9" w:rsidP="00B63C4D">
            <w:pPr>
              <w:jc w:val="center"/>
              <w:rPr>
                <w:sz w:val="20"/>
                <w:szCs w:val="20"/>
              </w:rPr>
            </w:pPr>
            <w:r w:rsidRPr="002C29D2">
              <w:rPr>
                <w:sz w:val="20"/>
                <w:szCs w:val="20"/>
              </w:rPr>
              <w:t>0.346</w:t>
            </w:r>
          </w:p>
        </w:tc>
        <w:tc>
          <w:tcPr>
            <w:tcW w:w="1201" w:type="dxa"/>
            <w:shd w:val="clear" w:color="auto" w:fill="auto"/>
            <w:noWrap/>
            <w:vAlign w:val="bottom"/>
            <w:hideMark/>
          </w:tcPr>
          <w:p w14:paraId="416136F4" w14:textId="77777777" w:rsidR="00626FF9" w:rsidRPr="002C29D2" w:rsidRDefault="00626FF9" w:rsidP="00B63C4D">
            <w:pPr>
              <w:jc w:val="center"/>
              <w:rPr>
                <w:sz w:val="20"/>
                <w:szCs w:val="20"/>
              </w:rPr>
            </w:pPr>
            <w:r w:rsidRPr="002C29D2">
              <w:rPr>
                <w:sz w:val="20"/>
                <w:szCs w:val="20"/>
              </w:rPr>
              <w:t>1.779</w:t>
            </w:r>
          </w:p>
        </w:tc>
        <w:tc>
          <w:tcPr>
            <w:tcW w:w="1067" w:type="dxa"/>
            <w:vAlign w:val="bottom"/>
          </w:tcPr>
          <w:p w14:paraId="498617D7" w14:textId="77777777" w:rsidR="00626FF9" w:rsidRPr="002C29D2" w:rsidRDefault="00626FF9" w:rsidP="00B63C4D">
            <w:pPr>
              <w:jc w:val="center"/>
              <w:rPr>
                <w:sz w:val="20"/>
                <w:szCs w:val="20"/>
              </w:rPr>
            </w:pPr>
            <w:r w:rsidRPr="002C29D2">
              <w:rPr>
                <w:sz w:val="20"/>
                <w:szCs w:val="20"/>
              </w:rPr>
              <w:t>0.077</w:t>
            </w:r>
          </w:p>
        </w:tc>
      </w:tr>
      <w:tr w:rsidR="002C29D2" w:rsidRPr="002C29D2" w14:paraId="76E6DC51" w14:textId="77777777" w:rsidTr="00626FF9">
        <w:trPr>
          <w:trHeight w:val="320"/>
        </w:trPr>
        <w:tc>
          <w:tcPr>
            <w:tcW w:w="1435" w:type="dxa"/>
            <w:shd w:val="clear" w:color="auto" w:fill="auto"/>
            <w:noWrap/>
            <w:vAlign w:val="center"/>
            <w:hideMark/>
          </w:tcPr>
          <w:p w14:paraId="0D7BD00A" w14:textId="77777777" w:rsidR="00626FF9" w:rsidRPr="002C29D2" w:rsidRDefault="00626FF9" w:rsidP="00626FF9">
            <w:pPr>
              <w:rPr>
                <w:sz w:val="20"/>
                <w:szCs w:val="20"/>
              </w:rPr>
            </w:pPr>
            <w:r w:rsidRPr="002C29D2">
              <w:rPr>
                <w:sz w:val="20"/>
                <w:szCs w:val="20"/>
              </w:rPr>
              <w:t>BE -&gt; UI</w:t>
            </w:r>
          </w:p>
        </w:tc>
        <w:tc>
          <w:tcPr>
            <w:tcW w:w="970" w:type="dxa"/>
            <w:shd w:val="clear" w:color="auto" w:fill="auto"/>
            <w:noWrap/>
            <w:vAlign w:val="bottom"/>
            <w:hideMark/>
          </w:tcPr>
          <w:p w14:paraId="61E8B791" w14:textId="77777777" w:rsidR="00626FF9" w:rsidRPr="002C29D2" w:rsidRDefault="00626FF9" w:rsidP="00B63C4D">
            <w:pPr>
              <w:jc w:val="center"/>
              <w:rPr>
                <w:sz w:val="20"/>
                <w:szCs w:val="20"/>
              </w:rPr>
            </w:pPr>
            <w:r w:rsidRPr="002C29D2">
              <w:rPr>
                <w:sz w:val="20"/>
                <w:szCs w:val="20"/>
              </w:rPr>
              <w:t>0.157</w:t>
            </w:r>
          </w:p>
        </w:tc>
        <w:tc>
          <w:tcPr>
            <w:tcW w:w="1134" w:type="dxa"/>
            <w:shd w:val="clear" w:color="auto" w:fill="auto"/>
            <w:noWrap/>
            <w:vAlign w:val="bottom"/>
            <w:hideMark/>
          </w:tcPr>
          <w:p w14:paraId="37D72EC3" w14:textId="77777777" w:rsidR="00626FF9" w:rsidRPr="002C29D2" w:rsidRDefault="00626FF9" w:rsidP="00B63C4D">
            <w:pPr>
              <w:jc w:val="center"/>
              <w:rPr>
                <w:sz w:val="20"/>
                <w:szCs w:val="20"/>
              </w:rPr>
            </w:pPr>
            <w:r w:rsidRPr="002C29D2">
              <w:rPr>
                <w:sz w:val="20"/>
                <w:szCs w:val="20"/>
              </w:rPr>
              <w:t>1.645</w:t>
            </w:r>
          </w:p>
        </w:tc>
        <w:tc>
          <w:tcPr>
            <w:tcW w:w="992" w:type="dxa"/>
            <w:vAlign w:val="bottom"/>
          </w:tcPr>
          <w:p w14:paraId="5529B6B2" w14:textId="77777777" w:rsidR="00626FF9" w:rsidRPr="002C29D2" w:rsidRDefault="00626FF9" w:rsidP="00B63C4D">
            <w:pPr>
              <w:jc w:val="center"/>
              <w:rPr>
                <w:sz w:val="20"/>
                <w:szCs w:val="20"/>
              </w:rPr>
            </w:pPr>
            <w:r w:rsidRPr="002C29D2">
              <w:rPr>
                <w:sz w:val="20"/>
                <w:szCs w:val="20"/>
              </w:rPr>
              <w:t>0.100</w:t>
            </w:r>
          </w:p>
        </w:tc>
        <w:tc>
          <w:tcPr>
            <w:tcW w:w="992" w:type="dxa"/>
            <w:shd w:val="clear" w:color="auto" w:fill="auto"/>
            <w:noWrap/>
            <w:vAlign w:val="bottom"/>
            <w:hideMark/>
          </w:tcPr>
          <w:p w14:paraId="3C52ABEC" w14:textId="77777777" w:rsidR="00626FF9" w:rsidRPr="002C29D2" w:rsidRDefault="00626FF9" w:rsidP="00B63C4D">
            <w:pPr>
              <w:jc w:val="center"/>
              <w:rPr>
                <w:sz w:val="20"/>
                <w:szCs w:val="20"/>
              </w:rPr>
            </w:pPr>
            <w:r w:rsidRPr="002C29D2">
              <w:rPr>
                <w:sz w:val="20"/>
                <w:szCs w:val="20"/>
              </w:rPr>
              <w:t>0.261</w:t>
            </w:r>
          </w:p>
        </w:tc>
        <w:tc>
          <w:tcPr>
            <w:tcW w:w="1122" w:type="dxa"/>
            <w:shd w:val="clear" w:color="auto" w:fill="auto"/>
            <w:noWrap/>
            <w:vAlign w:val="bottom"/>
            <w:hideMark/>
          </w:tcPr>
          <w:p w14:paraId="4A9A4DBB" w14:textId="77777777" w:rsidR="00626FF9" w:rsidRPr="002C29D2" w:rsidRDefault="00626FF9" w:rsidP="00B63C4D">
            <w:pPr>
              <w:jc w:val="center"/>
              <w:rPr>
                <w:sz w:val="20"/>
                <w:szCs w:val="20"/>
              </w:rPr>
            </w:pPr>
            <w:r w:rsidRPr="002C29D2">
              <w:rPr>
                <w:sz w:val="20"/>
                <w:szCs w:val="20"/>
              </w:rPr>
              <w:t>3.106</w:t>
            </w:r>
          </w:p>
        </w:tc>
        <w:tc>
          <w:tcPr>
            <w:tcW w:w="863" w:type="dxa"/>
            <w:vAlign w:val="bottom"/>
          </w:tcPr>
          <w:p w14:paraId="1CA4E656" w14:textId="77777777" w:rsidR="00626FF9" w:rsidRPr="002C29D2" w:rsidRDefault="00626FF9" w:rsidP="00B63C4D">
            <w:pPr>
              <w:jc w:val="center"/>
              <w:rPr>
                <w:sz w:val="20"/>
                <w:szCs w:val="20"/>
              </w:rPr>
            </w:pPr>
            <w:r w:rsidRPr="002C29D2">
              <w:rPr>
                <w:sz w:val="20"/>
                <w:szCs w:val="20"/>
              </w:rPr>
              <w:t>0.002</w:t>
            </w:r>
          </w:p>
        </w:tc>
        <w:tc>
          <w:tcPr>
            <w:tcW w:w="1201" w:type="dxa"/>
            <w:shd w:val="clear" w:color="auto" w:fill="auto"/>
            <w:noWrap/>
            <w:vAlign w:val="bottom"/>
            <w:hideMark/>
          </w:tcPr>
          <w:p w14:paraId="7D253E31" w14:textId="77777777" w:rsidR="00626FF9" w:rsidRPr="002C29D2" w:rsidRDefault="00626FF9" w:rsidP="00B63C4D">
            <w:pPr>
              <w:jc w:val="center"/>
              <w:rPr>
                <w:sz w:val="20"/>
                <w:szCs w:val="20"/>
              </w:rPr>
            </w:pPr>
            <w:r w:rsidRPr="002C29D2">
              <w:rPr>
                <w:sz w:val="20"/>
                <w:szCs w:val="20"/>
              </w:rPr>
              <w:t>0.815</w:t>
            </w:r>
          </w:p>
        </w:tc>
        <w:tc>
          <w:tcPr>
            <w:tcW w:w="1067" w:type="dxa"/>
            <w:vAlign w:val="bottom"/>
          </w:tcPr>
          <w:p w14:paraId="18CFCC8C" w14:textId="77777777" w:rsidR="00626FF9" w:rsidRPr="002C29D2" w:rsidRDefault="00626FF9" w:rsidP="00B63C4D">
            <w:pPr>
              <w:jc w:val="center"/>
              <w:rPr>
                <w:sz w:val="20"/>
                <w:szCs w:val="20"/>
              </w:rPr>
            </w:pPr>
            <w:r w:rsidRPr="002C29D2">
              <w:rPr>
                <w:sz w:val="20"/>
                <w:szCs w:val="20"/>
              </w:rPr>
              <w:t>0.416</w:t>
            </w:r>
          </w:p>
        </w:tc>
      </w:tr>
      <w:tr w:rsidR="002C29D2" w:rsidRPr="002C29D2" w14:paraId="4149272E" w14:textId="77777777" w:rsidTr="00626FF9">
        <w:trPr>
          <w:trHeight w:val="320"/>
        </w:trPr>
        <w:tc>
          <w:tcPr>
            <w:tcW w:w="1435" w:type="dxa"/>
            <w:shd w:val="clear" w:color="auto" w:fill="auto"/>
            <w:noWrap/>
            <w:vAlign w:val="center"/>
            <w:hideMark/>
          </w:tcPr>
          <w:p w14:paraId="119EF7E1" w14:textId="77777777" w:rsidR="00626FF9" w:rsidRPr="002C29D2" w:rsidRDefault="00626FF9" w:rsidP="00626FF9">
            <w:pPr>
              <w:rPr>
                <w:sz w:val="20"/>
                <w:szCs w:val="20"/>
              </w:rPr>
            </w:pPr>
            <w:r w:rsidRPr="002C29D2">
              <w:rPr>
                <w:sz w:val="20"/>
                <w:szCs w:val="20"/>
              </w:rPr>
              <w:t>ENG -&gt; ATA</w:t>
            </w:r>
          </w:p>
        </w:tc>
        <w:tc>
          <w:tcPr>
            <w:tcW w:w="970" w:type="dxa"/>
            <w:shd w:val="clear" w:color="auto" w:fill="auto"/>
            <w:noWrap/>
            <w:vAlign w:val="bottom"/>
            <w:hideMark/>
          </w:tcPr>
          <w:p w14:paraId="1A982E4F" w14:textId="77777777" w:rsidR="00626FF9" w:rsidRPr="002C29D2" w:rsidRDefault="00626FF9" w:rsidP="00B63C4D">
            <w:pPr>
              <w:jc w:val="center"/>
              <w:rPr>
                <w:sz w:val="20"/>
                <w:szCs w:val="20"/>
              </w:rPr>
            </w:pPr>
            <w:r w:rsidRPr="002C29D2">
              <w:rPr>
                <w:sz w:val="20"/>
                <w:szCs w:val="20"/>
              </w:rPr>
              <w:t>0.388</w:t>
            </w:r>
          </w:p>
        </w:tc>
        <w:tc>
          <w:tcPr>
            <w:tcW w:w="1134" w:type="dxa"/>
            <w:shd w:val="clear" w:color="auto" w:fill="auto"/>
            <w:noWrap/>
            <w:vAlign w:val="bottom"/>
            <w:hideMark/>
          </w:tcPr>
          <w:p w14:paraId="5B354FAF" w14:textId="77777777" w:rsidR="00626FF9" w:rsidRPr="002C29D2" w:rsidRDefault="00626FF9" w:rsidP="00B63C4D">
            <w:pPr>
              <w:jc w:val="center"/>
              <w:rPr>
                <w:sz w:val="20"/>
                <w:szCs w:val="20"/>
              </w:rPr>
            </w:pPr>
            <w:r w:rsidRPr="002C29D2">
              <w:rPr>
                <w:sz w:val="20"/>
                <w:szCs w:val="20"/>
              </w:rPr>
              <w:t>3.358</w:t>
            </w:r>
          </w:p>
        </w:tc>
        <w:tc>
          <w:tcPr>
            <w:tcW w:w="992" w:type="dxa"/>
            <w:vAlign w:val="bottom"/>
          </w:tcPr>
          <w:p w14:paraId="273ED540" w14:textId="77777777" w:rsidR="00626FF9" w:rsidRPr="002C29D2" w:rsidRDefault="00626FF9" w:rsidP="00B63C4D">
            <w:pPr>
              <w:jc w:val="center"/>
              <w:rPr>
                <w:sz w:val="20"/>
                <w:szCs w:val="20"/>
              </w:rPr>
            </w:pPr>
            <w:r w:rsidRPr="002C29D2">
              <w:rPr>
                <w:sz w:val="20"/>
                <w:szCs w:val="20"/>
              </w:rPr>
              <w:t>0.001</w:t>
            </w:r>
          </w:p>
        </w:tc>
        <w:tc>
          <w:tcPr>
            <w:tcW w:w="992" w:type="dxa"/>
            <w:shd w:val="clear" w:color="auto" w:fill="auto"/>
            <w:noWrap/>
            <w:vAlign w:val="bottom"/>
            <w:hideMark/>
          </w:tcPr>
          <w:p w14:paraId="3087C893" w14:textId="77777777" w:rsidR="00626FF9" w:rsidRPr="002C29D2" w:rsidRDefault="00626FF9" w:rsidP="00B63C4D">
            <w:pPr>
              <w:jc w:val="center"/>
              <w:rPr>
                <w:sz w:val="20"/>
                <w:szCs w:val="20"/>
              </w:rPr>
            </w:pPr>
            <w:r w:rsidRPr="002C29D2">
              <w:rPr>
                <w:sz w:val="20"/>
                <w:szCs w:val="20"/>
              </w:rPr>
              <w:t>0.323</w:t>
            </w:r>
          </w:p>
        </w:tc>
        <w:tc>
          <w:tcPr>
            <w:tcW w:w="1122" w:type="dxa"/>
            <w:shd w:val="clear" w:color="auto" w:fill="auto"/>
            <w:noWrap/>
            <w:vAlign w:val="bottom"/>
            <w:hideMark/>
          </w:tcPr>
          <w:p w14:paraId="64267E73" w14:textId="77777777" w:rsidR="00626FF9" w:rsidRPr="002C29D2" w:rsidRDefault="00626FF9" w:rsidP="00B63C4D">
            <w:pPr>
              <w:jc w:val="center"/>
              <w:rPr>
                <w:sz w:val="20"/>
                <w:szCs w:val="20"/>
              </w:rPr>
            </w:pPr>
            <w:r w:rsidRPr="002C29D2">
              <w:rPr>
                <w:sz w:val="20"/>
                <w:szCs w:val="20"/>
              </w:rPr>
              <w:t>2.923</w:t>
            </w:r>
          </w:p>
        </w:tc>
        <w:tc>
          <w:tcPr>
            <w:tcW w:w="863" w:type="dxa"/>
            <w:vAlign w:val="bottom"/>
          </w:tcPr>
          <w:p w14:paraId="33CDF3D2" w14:textId="77777777" w:rsidR="00626FF9" w:rsidRPr="002C29D2" w:rsidRDefault="00626FF9" w:rsidP="00B63C4D">
            <w:pPr>
              <w:jc w:val="center"/>
              <w:rPr>
                <w:sz w:val="20"/>
                <w:szCs w:val="20"/>
              </w:rPr>
            </w:pPr>
            <w:r w:rsidRPr="002C29D2">
              <w:rPr>
                <w:sz w:val="20"/>
                <w:szCs w:val="20"/>
              </w:rPr>
              <w:t>0.003</w:t>
            </w:r>
          </w:p>
        </w:tc>
        <w:tc>
          <w:tcPr>
            <w:tcW w:w="1201" w:type="dxa"/>
            <w:shd w:val="clear" w:color="auto" w:fill="auto"/>
            <w:noWrap/>
            <w:vAlign w:val="bottom"/>
            <w:hideMark/>
          </w:tcPr>
          <w:p w14:paraId="7F0F844B" w14:textId="77777777" w:rsidR="00626FF9" w:rsidRPr="002C29D2" w:rsidRDefault="00626FF9" w:rsidP="00B63C4D">
            <w:pPr>
              <w:jc w:val="center"/>
              <w:rPr>
                <w:sz w:val="20"/>
                <w:szCs w:val="20"/>
              </w:rPr>
            </w:pPr>
            <w:r w:rsidRPr="002C29D2">
              <w:rPr>
                <w:sz w:val="20"/>
                <w:szCs w:val="20"/>
              </w:rPr>
              <w:t>0.405</w:t>
            </w:r>
          </w:p>
        </w:tc>
        <w:tc>
          <w:tcPr>
            <w:tcW w:w="1067" w:type="dxa"/>
            <w:vAlign w:val="bottom"/>
          </w:tcPr>
          <w:p w14:paraId="11533C9E" w14:textId="77777777" w:rsidR="00626FF9" w:rsidRPr="002C29D2" w:rsidRDefault="00626FF9" w:rsidP="00B63C4D">
            <w:pPr>
              <w:jc w:val="center"/>
              <w:rPr>
                <w:sz w:val="20"/>
                <w:szCs w:val="20"/>
              </w:rPr>
            </w:pPr>
            <w:r w:rsidRPr="002C29D2">
              <w:rPr>
                <w:sz w:val="20"/>
                <w:szCs w:val="20"/>
              </w:rPr>
              <w:t>0.686</w:t>
            </w:r>
          </w:p>
        </w:tc>
      </w:tr>
      <w:tr w:rsidR="002C29D2" w:rsidRPr="002C29D2" w14:paraId="4B8EE52F" w14:textId="77777777" w:rsidTr="00626FF9">
        <w:trPr>
          <w:trHeight w:val="320"/>
        </w:trPr>
        <w:tc>
          <w:tcPr>
            <w:tcW w:w="1435" w:type="dxa"/>
            <w:shd w:val="clear" w:color="auto" w:fill="auto"/>
            <w:noWrap/>
            <w:vAlign w:val="center"/>
            <w:hideMark/>
          </w:tcPr>
          <w:p w14:paraId="2E70E8E1" w14:textId="77777777" w:rsidR="00626FF9" w:rsidRPr="002C29D2" w:rsidRDefault="00626FF9" w:rsidP="00626FF9">
            <w:pPr>
              <w:rPr>
                <w:sz w:val="20"/>
                <w:szCs w:val="20"/>
              </w:rPr>
            </w:pPr>
            <w:r w:rsidRPr="002C29D2">
              <w:rPr>
                <w:sz w:val="20"/>
                <w:szCs w:val="20"/>
              </w:rPr>
              <w:t>ENG -&gt; SAT</w:t>
            </w:r>
          </w:p>
        </w:tc>
        <w:tc>
          <w:tcPr>
            <w:tcW w:w="970" w:type="dxa"/>
            <w:shd w:val="clear" w:color="auto" w:fill="auto"/>
            <w:noWrap/>
            <w:vAlign w:val="bottom"/>
            <w:hideMark/>
          </w:tcPr>
          <w:p w14:paraId="3CA2B90F" w14:textId="77777777" w:rsidR="00626FF9" w:rsidRPr="002C29D2" w:rsidRDefault="00626FF9" w:rsidP="00B63C4D">
            <w:pPr>
              <w:jc w:val="center"/>
              <w:rPr>
                <w:sz w:val="20"/>
                <w:szCs w:val="20"/>
              </w:rPr>
            </w:pPr>
            <w:r w:rsidRPr="002C29D2">
              <w:rPr>
                <w:sz w:val="20"/>
                <w:szCs w:val="20"/>
              </w:rPr>
              <w:t>0.325</w:t>
            </w:r>
          </w:p>
        </w:tc>
        <w:tc>
          <w:tcPr>
            <w:tcW w:w="1134" w:type="dxa"/>
            <w:shd w:val="clear" w:color="auto" w:fill="auto"/>
            <w:noWrap/>
            <w:vAlign w:val="bottom"/>
            <w:hideMark/>
          </w:tcPr>
          <w:p w14:paraId="49A24C91" w14:textId="77777777" w:rsidR="00626FF9" w:rsidRPr="002C29D2" w:rsidRDefault="00626FF9" w:rsidP="00B63C4D">
            <w:pPr>
              <w:jc w:val="center"/>
              <w:rPr>
                <w:sz w:val="20"/>
                <w:szCs w:val="20"/>
              </w:rPr>
            </w:pPr>
            <w:r w:rsidRPr="002C29D2">
              <w:rPr>
                <w:sz w:val="20"/>
                <w:szCs w:val="20"/>
              </w:rPr>
              <w:t>2.743</w:t>
            </w:r>
          </w:p>
        </w:tc>
        <w:tc>
          <w:tcPr>
            <w:tcW w:w="992" w:type="dxa"/>
            <w:vAlign w:val="bottom"/>
          </w:tcPr>
          <w:p w14:paraId="72602187" w14:textId="77777777" w:rsidR="00626FF9" w:rsidRPr="002C29D2" w:rsidRDefault="00626FF9" w:rsidP="00B63C4D">
            <w:pPr>
              <w:jc w:val="center"/>
              <w:rPr>
                <w:sz w:val="20"/>
                <w:szCs w:val="20"/>
              </w:rPr>
            </w:pPr>
            <w:r w:rsidRPr="002C29D2">
              <w:rPr>
                <w:sz w:val="20"/>
                <w:szCs w:val="20"/>
              </w:rPr>
              <w:t>0.006</w:t>
            </w:r>
          </w:p>
        </w:tc>
        <w:tc>
          <w:tcPr>
            <w:tcW w:w="992" w:type="dxa"/>
            <w:shd w:val="clear" w:color="auto" w:fill="auto"/>
            <w:noWrap/>
            <w:vAlign w:val="bottom"/>
            <w:hideMark/>
          </w:tcPr>
          <w:p w14:paraId="6CF3237D" w14:textId="77777777" w:rsidR="00626FF9" w:rsidRPr="002C29D2" w:rsidRDefault="00626FF9" w:rsidP="00B63C4D">
            <w:pPr>
              <w:jc w:val="center"/>
              <w:rPr>
                <w:sz w:val="20"/>
                <w:szCs w:val="20"/>
              </w:rPr>
            </w:pPr>
            <w:r w:rsidRPr="002C29D2">
              <w:rPr>
                <w:sz w:val="20"/>
                <w:szCs w:val="20"/>
              </w:rPr>
              <w:t>0.226</w:t>
            </w:r>
          </w:p>
        </w:tc>
        <w:tc>
          <w:tcPr>
            <w:tcW w:w="1122" w:type="dxa"/>
            <w:shd w:val="clear" w:color="auto" w:fill="auto"/>
            <w:noWrap/>
            <w:vAlign w:val="bottom"/>
            <w:hideMark/>
          </w:tcPr>
          <w:p w14:paraId="46A55E88" w14:textId="77777777" w:rsidR="00626FF9" w:rsidRPr="002C29D2" w:rsidRDefault="00626FF9" w:rsidP="00B63C4D">
            <w:pPr>
              <w:jc w:val="center"/>
              <w:rPr>
                <w:sz w:val="20"/>
                <w:szCs w:val="20"/>
              </w:rPr>
            </w:pPr>
            <w:r w:rsidRPr="002C29D2">
              <w:rPr>
                <w:sz w:val="20"/>
                <w:szCs w:val="20"/>
              </w:rPr>
              <w:t>2.642</w:t>
            </w:r>
          </w:p>
        </w:tc>
        <w:tc>
          <w:tcPr>
            <w:tcW w:w="863" w:type="dxa"/>
            <w:vAlign w:val="bottom"/>
          </w:tcPr>
          <w:p w14:paraId="51286571" w14:textId="77777777" w:rsidR="00626FF9" w:rsidRPr="002C29D2" w:rsidRDefault="00626FF9" w:rsidP="00B63C4D">
            <w:pPr>
              <w:jc w:val="center"/>
              <w:rPr>
                <w:sz w:val="20"/>
                <w:szCs w:val="20"/>
              </w:rPr>
            </w:pPr>
            <w:r w:rsidRPr="002C29D2">
              <w:rPr>
                <w:sz w:val="20"/>
                <w:szCs w:val="20"/>
              </w:rPr>
              <w:t>0.008</w:t>
            </w:r>
          </w:p>
        </w:tc>
        <w:tc>
          <w:tcPr>
            <w:tcW w:w="1201" w:type="dxa"/>
            <w:shd w:val="clear" w:color="auto" w:fill="auto"/>
            <w:noWrap/>
            <w:vAlign w:val="bottom"/>
            <w:hideMark/>
          </w:tcPr>
          <w:p w14:paraId="15C87852" w14:textId="77777777" w:rsidR="00626FF9" w:rsidRPr="002C29D2" w:rsidRDefault="00626FF9" w:rsidP="00B63C4D">
            <w:pPr>
              <w:jc w:val="center"/>
              <w:rPr>
                <w:sz w:val="20"/>
                <w:szCs w:val="20"/>
              </w:rPr>
            </w:pPr>
            <w:r w:rsidRPr="002C29D2">
              <w:rPr>
                <w:sz w:val="20"/>
                <w:szCs w:val="20"/>
              </w:rPr>
              <w:t>0.678</w:t>
            </w:r>
          </w:p>
        </w:tc>
        <w:tc>
          <w:tcPr>
            <w:tcW w:w="1067" w:type="dxa"/>
            <w:vAlign w:val="bottom"/>
          </w:tcPr>
          <w:p w14:paraId="46BC9437" w14:textId="77777777" w:rsidR="00626FF9" w:rsidRPr="002C29D2" w:rsidRDefault="00626FF9" w:rsidP="00B63C4D">
            <w:pPr>
              <w:jc w:val="center"/>
              <w:rPr>
                <w:sz w:val="20"/>
                <w:szCs w:val="20"/>
              </w:rPr>
            </w:pPr>
            <w:r w:rsidRPr="002C29D2">
              <w:rPr>
                <w:sz w:val="20"/>
                <w:szCs w:val="20"/>
              </w:rPr>
              <w:t>0.498</w:t>
            </w:r>
          </w:p>
        </w:tc>
      </w:tr>
      <w:tr w:rsidR="002C29D2" w:rsidRPr="002C29D2" w14:paraId="3BA63FBD" w14:textId="77777777" w:rsidTr="00626FF9">
        <w:trPr>
          <w:trHeight w:val="320"/>
        </w:trPr>
        <w:tc>
          <w:tcPr>
            <w:tcW w:w="1435" w:type="dxa"/>
            <w:shd w:val="clear" w:color="auto" w:fill="auto"/>
            <w:noWrap/>
            <w:vAlign w:val="center"/>
            <w:hideMark/>
          </w:tcPr>
          <w:p w14:paraId="43FB28CC" w14:textId="77777777" w:rsidR="00626FF9" w:rsidRPr="002C29D2" w:rsidRDefault="00626FF9" w:rsidP="00626FF9">
            <w:pPr>
              <w:rPr>
                <w:sz w:val="20"/>
                <w:szCs w:val="20"/>
              </w:rPr>
            </w:pPr>
            <w:r w:rsidRPr="002C29D2">
              <w:rPr>
                <w:sz w:val="20"/>
                <w:szCs w:val="20"/>
              </w:rPr>
              <w:t>ENG -&gt; UI</w:t>
            </w:r>
          </w:p>
        </w:tc>
        <w:tc>
          <w:tcPr>
            <w:tcW w:w="970" w:type="dxa"/>
            <w:shd w:val="clear" w:color="auto" w:fill="auto"/>
            <w:noWrap/>
            <w:vAlign w:val="bottom"/>
            <w:hideMark/>
          </w:tcPr>
          <w:p w14:paraId="1558E318" w14:textId="77777777" w:rsidR="00626FF9" w:rsidRPr="002C29D2" w:rsidRDefault="00626FF9" w:rsidP="00B63C4D">
            <w:pPr>
              <w:jc w:val="center"/>
              <w:rPr>
                <w:sz w:val="20"/>
                <w:szCs w:val="20"/>
              </w:rPr>
            </w:pPr>
            <w:r w:rsidRPr="002C29D2">
              <w:rPr>
                <w:sz w:val="20"/>
                <w:szCs w:val="20"/>
              </w:rPr>
              <w:t>0.458</w:t>
            </w:r>
          </w:p>
        </w:tc>
        <w:tc>
          <w:tcPr>
            <w:tcW w:w="1134" w:type="dxa"/>
            <w:shd w:val="clear" w:color="auto" w:fill="auto"/>
            <w:noWrap/>
            <w:vAlign w:val="bottom"/>
            <w:hideMark/>
          </w:tcPr>
          <w:p w14:paraId="0E0CC00D" w14:textId="77777777" w:rsidR="00626FF9" w:rsidRPr="002C29D2" w:rsidRDefault="00626FF9" w:rsidP="00B63C4D">
            <w:pPr>
              <w:jc w:val="center"/>
              <w:rPr>
                <w:sz w:val="20"/>
                <w:szCs w:val="20"/>
              </w:rPr>
            </w:pPr>
            <w:r w:rsidRPr="002C29D2">
              <w:rPr>
                <w:sz w:val="20"/>
                <w:szCs w:val="20"/>
              </w:rPr>
              <w:t>4.353</w:t>
            </w:r>
          </w:p>
        </w:tc>
        <w:tc>
          <w:tcPr>
            <w:tcW w:w="992" w:type="dxa"/>
            <w:vAlign w:val="bottom"/>
          </w:tcPr>
          <w:p w14:paraId="1A306C45"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hideMark/>
          </w:tcPr>
          <w:p w14:paraId="4EB659B9" w14:textId="77777777" w:rsidR="00626FF9" w:rsidRPr="002C29D2" w:rsidRDefault="00626FF9" w:rsidP="00B63C4D">
            <w:pPr>
              <w:jc w:val="center"/>
              <w:rPr>
                <w:sz w:val="20"/>
                <w:szCs w:val="20"/>
              </w:rPr>
            </w:pPr>
            <w:r w:rsidRPr="002C29D2">
              <w:rPr>
                <w:sz w:val="20"/>
                <w:szCs w:val="20"/>
              </w:rPr>
              <w:t>0.453</w:t>
            </w:r>
          </w:p>
        </w:tc>
        <w:tc>
          <w:tcPr>
            <w:tcW w:w="1122" w:type="dxa"/>
            <w:shd w:val="clear" w:color="auto" w:fill="auto"/>
            <w:noWrap/>
            <w:vAlign w:val="bottom"/>
            <w:hideMark/>
          </w:tcPr>
          <w:p w14:paraId="449CF310" w14:textId="77777777" w:rsidR="00626FF9" w:rsidRPr="002C29D2" w:rsidRDefault="00626FF9" w:rsidP="00B63C4D">
            <w:pPr>
              <w:jc w:val="center"/>
              <w:rPr>
                <w:sz w:val="20"/>
                <w:szCs w:val="20"/>
              </w:rPr>
            </w:pPr>
            <w:r w:rsidRPr="002C29D2">
              <w:rPr>
                <w:sz w:val="20"/>
                <w:szCs w:val="20"/>
              </w:rPr>
              <w:t>4.441</w:t>
            </w:r>
          </w:p>
        </w:tc>
        <w:tc>
          <w:tcPr>
            <w:tcW w:w="863" w:type="dxa"/>
            <w:vAlign w:val="bottom"/>
          </w:tcPr>
          <w:p w14:paraId="54257305"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3BBA6839" w14:textId="77777777" w:rsidR="00626FF9" w:rsidRPr="002C29D2" w:rsidRDefault="00626FF9" w:rsidP="00B63C4D">
            <w:pPr>
              <w:jc w:val="center"/>
              <w:rPr>
                <w:sz w:val="20"/>
                <w:szCs w:val="20"/>
              </w:rPr>
            </w:pPr>
            <w:r w:rsidRPr="002C29D2">
              <w:rPr>
                <w:sz w:val="20"/>
                <w:szCs w:val="20"/>
              </w:rPr>
              <w:t>0.033</w:t>
            </w:r>
          </w:p>
        </w:tc>
        <w:tc>
          <w:tcPr>
            <w:tcW w:w="1067" w:type="dxa"/>
            <w:vAlign w:val="bottom"/>
          </w:tcPr>
          <w:p w14:paraId="793D31A3" w14:textId="77777777" w:rsidR="00626FF9" w:rsidRPr="002C29D2" w:rsidRDefault="00626FF9" w:rsidP="00B63C4D">
            <w:pPr>
              <w:jc w:val="center"/>
              <w:rPr>
                <w:sz w:val="20"/>
                <w:szCs w:val="20"/>
              </w:rPr>
            </w:pPr>
            <w:r w:rsidRPr="002C29D2">
              <w:rPr>
                <w:sz w:val="20"/>
                <w:szCs w:val="20"/>
              </w:rPr>
              <w:t>0.974</w:t>
            </w:r>
          </w:p>
        </w:tc>
      </w:tr>
      <w:tr w:rsidR="002C29D2" w:rsidRPr="002C29D2" w14:paraId="06E173F6" w14:textId="77777777" w:rsidTr="00626FF9">
        <w:trPr>
          <w:trHeight w:val="320"/>
        </w:trPr>
        <w:tc>
          <w:tcPr>
            <w:tcW w:w="1435" w:type="dxa"/>
            <w:shd w:val="clear" w:color="auto" w:fill="auto"/>
            <w:noWrap/>
            <w:vAlign w:val="center"/>
            <w:hideMark/>
          </w:tcPr>
          <w:p w14:paraId="73E80382" w14:textId="77777777" w:rsidR="00626FF9" w:rsidRPr="002C29D2" w:rsidRDefault="00626FF9" w:rsidP="00626FF9">
            <w:pPr>
              <w:rPr>
                <w:sz w:val="20"/>
                <w:szCs w:val="20"/>
              </w:rPr>
            </w:pPr>
            <w:r w:rsidRPr="002C29D2">
              <w:rPr>
                <w:sz w:val="20"/>
                <w:szCs w:val="20"/>
              </w:rPr>
              <w:t>EXP -&gt; ATA</w:t>
            </w:r>
          </w:p>
        </w:tc>
        <w:tc>
          <w:tcPr>
            <w:tcW w:w="970" w:type="dxa"/>
            <w:shd w:val="clear" w:color="auto" w:fill="auto"/>
            <w:noWrap/>
            <w:vAlign w:val="bottom"/>
            <w:hideMark/>
          </w:tcPr>
          <w:p w14:paraId="26DB87DE" w14:textId="77777777" w:rsidR="00626FF9" w:rsidRPr="002C29D2" w:rsidRDefault="00626FF9" w:rsidP="00B63C4D">
            <w:pPr>
              <w:jc w:val="center"/>
              <w:rPr>
                <w:sz w:val="20"/>
                <w:szCs w:val="20"/>
              </w:rPr>
            </w:pPr>
            <w:r w:rsidRPr="002C29D2">
              <w:rPr>
                <w:sz w:val="20"/>
                <w:szCs w:val="20"/>
              </w:rPr>
              <w:t>-0.098</w:t>
            </w:r>
          </w:p>
        </w:tc>
        <w:tc>
          <w:tcPr>
            <w:tcW w:w="1134" w:type="dxa"/>
            <w:shd w:val="clear" w:color="auto" w:fill="auto"/>
            <w:noWrap/>
            <w:vAlign w:val="bottom"/>
            <w:hideMark/>
          </w:tcPr>
          <w:p w14:paraId="4EF80A04" w14:textId="77777777" w:rsidR="00626FF9" w:rsidRPr="002C29D2" w:rsidRDefault="00626FF9" w:rsidP="00B63C4D">
            <w:pPr>
              <w:jc w:val="center"/>
              <w:rPr>
                <w:sz w:val="20"/>
                <w:szCs w:val="20"/>
              </w:rPr>
            </w:pPr>
            <w:r w:rsidRPr="002C29D2">
              <w:rPr>
                <w:sz w:val="20"/>
                <w:szCs w:val="20"/>
              </w:rPr>
              <w:t>0.986</w:t>
            </w:r>
          </w:p>
        </w:tc>
        <w:tc>
          <w:tcPr>
            <w:tcW w:w="992" w:type="dxa"/>
            <w:vAlign w:val="bottom"/>
          </w:tcPr>
          <w:p w14:paraId="1CA52867" w14:textId="77777777" w:rsidR="00626FF9" w:rsidRPr="002C29D2" w:rsidRDefault="00626FF9" w:rsidP="00B63C4D">
            <w:pPr>
              <w:jc w:val="center"/>
              <w:rPr>
                <w:sz w:val="20"/>
                <w:szCs w:val="20"/>
              </w:rPr>
            </w:pPr>
            <w:r w:rsidRPr="002C29D2">
              <w:rPr>
                <w:sz w:val="20"/>
                <w:szCs w:val="20"/>
              </w:rPr>
              <w:t>0.324</w:t>
            </w:r>
          </w:p>
        </w:tc>
        <w:tc>
          <w:tcPr>
            <w:tcW w:w="992" w:type="dxa"/>
            <w:shd w:val="clear" w:color="auto" w:fill="auto"/>
            <w:noWrap/>
            <w:vAlign w:val="bottom"/>
            <w:hideMark/>
          </w:tcPr>
          <w:p w14:paraId="070BAEF2" w14:textId="77777777" w:rsidR="00626FF9" w:rsidRPr="002C29D2" w:rsidRDefault="00626FF9" w:rsidP="00B63C4D">
            <w:pPr>
              <w:jc w:val="center"/>
              <w:rPr>
                <w:sz w:val="20"/>
                <w:szCs w:val="20"/>
              </w:rPr>
            </w:pPr>
            <w:r w:rsidRPr="002C29D2">
              <w:rPr>
                <w:sz w:val="20"/>
                <w:szCs w:val="20"/>
              </w:rPr>
              <w:t>-0.045</w:t>
            </w:r>
          </w:p>
        </w:tc>
        <w:tc>
          <w:tcPr>
            <w:tcW w:w="1122" w:type="dxa"/>
            <w:shd w:val="clear" w:color="auto" w:fill="auto"/>
            <w:noWrap/>
            <w:vAlign w:val="bottom"/>
            <w:hideMark/>
          </w:tcPr>
          <w:p w14:paraId="66431DE1" w14:textId="77777777" w:rsidR="00626FF9" w:rsidRPr="002C29D2" w:rsidRDefault="00626FF9" w:rsidP="00B63C4D">
            <w:pPr>
              <w:jc w:val="center"/>
              <w:rPr>
                <w:sz w:val="20"/>
                <w:szCs w:val="20"/>
              </w:rPr>
            </w:pPr>
            <w:r w:rsidRPr="002C29D2">
              <w:rPr>
                <w:sz w:val="20"/>
                <w:szCs w:val="20"/>
              </w:rPr>
              <w:t>0.449</w:t>
            </w:r>
          </w:p>
        </w:tc>
        <w:tc>
          <w:tcPr>
            <w:tcW w:w="863" w:type="dxa"/>
            <w:vAlign w:val="bottom"/>
          </w:tcPr>
          <w:p w14:paraId="37DE21C5" w14:textId="77777777" w:rsidR="00626FF9" w:rsidRPr="002C29D2" w:rsidRDefault="00626FF9" w:rsidP="00B63C4D">
            <w:pPr>
              <w:jc w:val="center"/>
              <w:rPr>
                <w:sz w:val="20"/>
                <w:szCs w:val="20"/>
              </w:rPr>
            </w:pPr>
            <w:r w:rsidRPr="002C29D2">
              <w:rPr>
                <w:sz w:val="20"/>
                <w:szCs w:val="20"/>
              </w:rPr>
              <w:t>0.654</w:t>
            </w:r>
          </w:p>
        </w:tc>
        <w:tc>
          <w:tcPr>
            <w:tcW w:w="1201" w:type="dxa"/>
            <w:shd w:val="clear" w:color="auto" w:fill="auto"/>
            <w:noWrap/>
            <w:vAlign w:val="bottom"/>
            <w:hideMark/>
          </w:tcPr>
          <w:p w14:paraId="5FC26505" w14:textId="77777777" w:rsidR="00626FF9" w:rsidRPr="002C29D2" w:rsidRDefault="00626FF9" w:rsidP="00B63C4D">
            <w:pPr>
              <w:jc w:val="center"/>
              <w:rPr>
                <w:sz w:val="20"/>
                <w:szCs w:val="20"/>
              </w:rPr>
            </w:pPr>
            <w:r w:rsidRPr="002C29D2">
              <w:rPr>
                <w:sz w:val="20"/>
                <w:szCs w:val="20"/>
              </w:rPr>
              <w:t>0.379</w:t>
            </w:r>
          </w:p>
        </w:tc>
        <w:tc>
          <w:tcPr>
            <w:tcW w:w="1067" w:type="dxa"/>
            <w:vAlign w:val="bottom"/>
          </w:tcPr>
          <w:p w14:paraId="3FAA6495" w14:textId="77777777" w:rsidR="00626FF9" w:rsidRPr="002C29D2" w:rsidRDefault="00626FF9" w:rsidP="00B63C4D">
            <w:pPr>
              <w:jc w:val="center"/>
              <w:rPr>
                <w:sz w:val="20"/>
                <w:szCs w:val="20"/>
              </w:rPr>
            </w:pPr>
            <w:r w:rsidRPr="002C29D2">
              <w:rPr>
                <w:sz w:val="20"/>
                <w:szCs w:val="20"/>
              </w:rPr>
              <w:t>0.705</w:t>
            </w:r>
          </w:p>
        </w:tc>
      </w:tr>
      <w:tr w:rsidR="002C29D2" w:rsidRPr="002C29D2" w14:paraId="51B9008B" w14:textId="77777777" w:rsidTr="00626FF9">
        <w:trPr>
          <w:trHeight w:val="320"/>
        </w:trPr>
        <w:tc>
          <w:tcPr>
            <w:tcW w:w="1435" w:type="dxa"/>
            <w:shd w:val="clear" w:color="auto" w:fill="auto"/>
            <w:noWrap/>
            <w:vAlign w:val="center"/>
            <w:hideMark/>
          </w:tcPr>
          <w:p w14:paraId="122A50F4" w14:textId="77777777" w:rsidR="00626FF9" w:rsidRPr="002C29D2" w:rsidRDefault="00626FF9" w:rsidP="00626FF9">
            <w:pPr>
              <w:rPr>
                <w:sz w:val="20"/>
                <w:szCs w:val="20"/>
              </w:rPr>
            </w:pPr>
            <w:r w:rsidRPr="002C29D2">
              <w:rPr>
                <w:sz w:val="20"/>
                <w:szCs w:val="20"/>
              </w:rPr>
              <w:t>EXP -&gt; ENG</w:t>
            </w:r>
          </w:p>
        </w:tc>
        <w:tc>
          <w:tcPr>
            <w:tcW w:w="970" w:type="dxa"/>
            <w:shd w:val="clear" w:color="auto" w:fill="auto"/>
            <w:noWrap/>
            <w:vAlign w:val="bottom"/>
            <w:hideMark/>
          </w:tcPr>
          <w:p w14:paraId="7C705709" w14:textId="77777777" w:rsidR="00626FF9" w:rsidRPr="002C29D2" w:rsidRDefault="00626FF9" w:rsidP="00B63C4D">
            <w:pPr>
              <w:jc w:val="center"/>
              <w:rPr>
                <w:sz w:val="20"/>
                <w:szCs w:val="20"/>
              </w:rPr>
            </w:pPr>
            <w:r w:rsidRPr="002C29D2">
              <w:rPr>
                <w:sz w:val="20"/>
                <w:szCs w:val="20"/>
              </w:rPr>
              <w:t>0.169</w:t>
            </w:r>
          </w:p>
        </w:tc>
        <w:tc>
          <w:tcPr>
            <w:tcW w:w="1134" w:type="dxa"/>
            <w:shd w:val="clear" w:color="auto" w:fill="auto"/>
            <w:noWrap/>
            <w:vAlign w:val="bottom"/>
            <w:hideMark/>
          </w:tcPr>
          <w:p w14:paraId="7CC7EF86" w14:textId="77777777" w:rsidR="00626FF9" w:rsidRPr="002C29D2" w:rsidRDefault="00626FF9" w:rsidP="00B63C4D">
            <w:pPr>
              <w:jc w:val="center"/>
              <w:rPr>
                <w:sz w:val="20"/>
                <w:szCs w:val="20"/>
              </w:rPr>
            </w:pPr>
            <w:r w:rsidRPr="002C29D2">
              <w:rPr>
                <w:sz w:val="20"/>
                <w:szCs w:val="20"/>
              </w:rPr>
              <w:t>2.148</w:t>
            </w:r>
          </w:p>
        </w:tc>
        <w:tc>
          <w:tcPr>
            <w:tcW w:w="992" w:type="dxa"/>
            <w:vAlign w:val="bottom"/>
          </w:tcPr>
          <w:p w14:paraId="1D3CE03E" w14:textId="77777777" w:rsidR="00626FF9" w:rsidRPr="002C29D2" w:rsidRDefault="00626FF9" w:rsidP="00B63C4D">
            <w:pPr>
              <w:jc w:val="center"/>
              <w:rPr>
                <w:sz w:val="20"/>
                <w:szCs w:val="20"/>
              </w:rPr>
            </w:pPr>
            <w:r w:rsidRPr="002C29D2">
              <w:rPr>
                <w:sz w:val="20"/>
                <w:szCs w:val="20"/>
              </w:rPr>
              <w:t>0.032</w:t>
            </w:r>
          </w:p>
        </w:tc>
        <w:tc>
          <w:tcPr>
            <w:tcW w:w="992" w:type="dxa"/>
            <w:shd w:val="clear" w:color="auto" w:fill="auto"/>
            <w:noWrap/>
            <w:vAlign w:val="bottom"/>
            <w:hideMark/>
          </w:tcPr>
          <w:p w14:paraId="4373680A" w14:textId="77777777" w:rsidR="00626FF9" w:rsidRPr="002C29D2" w:rsidRDefault="00626FF9" w:rsidP="00B63C4D">
            <w:pPr>
              <w:jc w:val="center"/>
              <w:rPr>
                <w:sz w:val="20"/>
                <w:szCs w:val="20"/>
              </w:rPr>
            </w:pPr>
            <w:r w:rsidRPr="002C29D2">
              <w:rPr>
                <w:sz w:val="20"/>
                <w:szCs w:val="20"/>
              </w:rPr>
              <w:t>0.058</w:t>
            </w:r>
          </w:p>
        </w:tc>
        <w:tc>
          <w:tcPr>
            <w:tcW w:w="1122" w:type="dxa"/>
            <w:shd w:val="clear" w:color="auto" w:fill="auto"/>
            <w:noWrap/>
            <w:vAlign w:val="bottom"/>
            <w:hideMark/>
          </w:tcPr>
          <w:p w14:paraId="3D6B2658" w14:textId="77777777" w:rsidR="00626FF9" w:rsidRPr="002C29D2" w:rsidRDefault="00626FF9" w:rsidP="00B63C4D">
            <w:pPr>
              <w:jc w:val="center"/>
              <w:rPr>
                <w:sz w:val="20"/>
                <w:szCs w:val="20"/>
              </w:rPr>
            </w:pPr>
            <w:r w:rsidRPr="002C29D2">
              <w:rPr>
                <w:sz w:val="20"/>
                <w:szCs w:val="20"/>
              </w:rPr>
              <w:t>0.690</w:t>
            </w:r>
          </w:p>
        </w:tc>
        <w:tc>
          <w:tcPr>
            <w:tcW w:w="863" w:type="dxa"/>
            <w:vAlign w:val="bottom"/>
          </w:tcPr>
          <w:p w14:paraId="52AAC839" w14:textId="77777777" w:rsidR="00626FF9" w:rsidRPr="002C29D2" w:rsidRDefault="00626FF9" w:rsidP="00B63C4D">
            <w:pPr>
              <w:jc w:val="center"/>
              <w:rPr>
                <w:sz w:val="20"/>
                <w:szCs w:val="20"/>
              </w:rPr>
            </w:pPr>
            <w:r w:rsidRPr="002C29D2">
              <w:rPr>
                <w:sz w:val="20"/>
                <w:szCs w:val="20"/>
              </w:rPr>
              <w:t>0.490</w:t>
            </w:r>
          </w:p>
        </w:tc>
        <w:tc>
          <w:tcPr>
            <w:tcW w:w="1201" w:type="dxa"/>
            <w:shd w:val="clear" w:color="auto" w:fill="auto"/>
            <w:noWrap/>
            <w:vAlign w:val="bottom"/>
            <w:hideMark/>
          </w:tcPr>
          <w:p w14:paraId="7CD00CC4" w14:textId="77777777" w:rsidR="00626FF9" w:rsidRPr="002C29D2" w:rsidRDefault="00626FF9" w:rsidP="00B63C4D">
            <w:pPr>
              <w:jc w:val="center"/>
              <w:rPr>
                <w:sz w:val="20"/>
                <w:szCs w:val="20"/>
              </w:rPr>
            </w:pPr>
            <w:r w:rsidRPr="002C29D2">
              <w:rPr>
                <w:sz w:val="20"/>
                <w:szCs w:val="20"/>
              </w:rPr>
              <w:t>0.958</w:t>
            </w:r>
          </w:p>
        </w:tc>
        <w:tc>
          <w:tcPr>
            <w:tcW w:w="1067" w:type="dxa"/>
            <w:vAlign w:val="bottom"/>
          </w:tcPr>
          <w:p w14:paraId="5486C824" w14:textId="77777777" w:rsidR="00626FF9" w:rsidRPr="002C29D2" w:rsidRDefault="00626FF9" w:rsidP="00B63C4D">
            <w:pPr>
              <w:jc w:val="center"/>
              <w:rPr>
                <w:sz w:val="20"/>
                <w:szCs w:val="20"/>
              </w:rPr>
            </w:pPr>
            <w:r w:rsidRPr="002C29D2">
              <w:rPr>
                <w:sz w:val="20"/>
                <w:szCs w:val="20"/>
              </w:rPr>
              <w:t>0.339</w:t>
            </w:r>
          </w:p>
        </w:tc>
      </w:tr>
      <w:tr w:rsidR="002C29D2" w:rsidRPr="002C29D2" w14:paraId="5BCEDA31" w14:textId="77777777" w:rsidTr="00626FF9">
        <w:trPr>
          <w:trHeight w:val="320"/>
        </w:trPr>
        <w:tc>
          <w:tcPr>
            <w:tcW w:w="1435" w:type="dxa"/>
            <w:shd w:val="clear" w:color="auto" w:fill="auto"/>
            <w:noWrap/>
            <w:vAlign w:val="center"/>
            <w:hideMark/>
          </w:tcPr>
          <w:p w14:paraId="4156AAD0" w14:textId="77777777" w:rsidR="00626FF9" w:rsidRPr="002C29D2" w:rsidRDefault="00626FF9" w:rsidP="00626FF9">
            <w:pPr>
              <w:rPr>
                <w:sz w:val="20"/>
                <w:szCs w:val="20"/>
              </w:rPr>
            </w:pPr>
            <w:r w:rsidRPr="002C29D2">
              <w:rPr>
                <w:sz w:val="20"/>
                <w:szCs w:val="20"/>
              </w:rPr>
              <w:t>EXP -&gt; SAT</w:t>
            </w:r>
          </w:p>
        </w:tc>
        <w:tc>
          <w:tcPr>
            <w:tcW w:w="970" w:type="dxa"/>
            <w:shd w:val="clear" w:color="auto" w:fill="auto"/>
            <w:noWrap/>
            <w:vAlign w:val="bottom"/>
            <w:hideMark/>
          </w:tcPr>
          <w:p w14:paraId="34E3D0FE" w14:textId="77777777" w:rsidR="00626FF9" w:rsidRPr="002C29D2" w:rsidRDefault="00626FF9" w:rsidP="00B63C4D">
            <w:pPr>
              <w:jc w:val="center"/>
              <w:rPr>
                <w:sz w:val="20"/>
                <w:szCs w:val="20"/>
              </w:rPr>
            </w:pPr>
            <w:r w:rsidRPr="002C29D2">
              <w:rPr>
                <w:sz w:val="20"/>
                <w:szCs w:val="20"/>
              </w:rPr>
              <w:t>0.158</w:t>
            </w:r>
          </w:p>
        </w:tc>
        <w:tc>
          <w:tcPr>
            <w:tcW w:w="1134" w:type="dxa"/>
            <w:shd w:val="clear" w:color="auto" w:fill="auto"/>
            <w:noWrap/>
            <w:vAlign w:val="bottom"/>
            <w:hideMark/>
          </w:tcPr>
          <w:p w14:paraId="22D57B8A" w14:textId="77777777" w:rsidR="00626FF9" w:rsidRPr="002C29D2" w:rsidRDefault="00626FF9" w:rsidP="00B63C4D">
            <w:pPr>
              <w:jc w:val="center"/>
              <w:rPr>
                <w:sz w:val="20"/>
                <w:szCs w:val="20"/>
              </w:rPr>
            </w:pPr>
            <w:r w:rsidRPr="002C29D2">
              <w:rPr>
                <w:sz w:val="20"/>
                <w:szCs w:val="20"/>
              </w:rPr>
              <w:t>1.712</w:t>
            </w:r>
          </w:p>
        </w:tc>
        <w:tc>
          <w:tcPr>
            <w:tcW w:w="992" w:type="dxa"/>
            <w:vAlign w:val="bottom"/>
          </w:tcPr>
          <w:p w14:paraId="72F119BF" w14:textId="77777777" w:rsidR="00626FF9" w:rsidRPr="002C29D2" w:rsidRDefault="00626FF9" w:rsidP="00B63C4D">
            <w:pPr>
              <w:jc w:val="center"/>
              <w:rPr>
                <w:sz w:val="20"/>
                <w:szCs w:val="20"/>
              </w:rPr>
            </w:pPr>
            <w:r w:rsidRPr="002C29D2">
              <w:rPr>
                <w:sz w:val="20"/>
                <w:szCs w:val="20"/>
              </w:rPr>
              <w:t>0.087</w:t>
            </w:r>
          </w:p>
        </w:tc>
        <w:tc>
          <w:tcPr>
            <w:tcW w:w="992" w:type="dxa"/>
            <w:shd w:val="clear" w:color="auto" w:fill="auto"/>
            <w:noWrap/>
            <w:vAlign w:val="bottom"/>
            <w:hideMark/>
          </w:tcPr>
          <w:p w14:paraId="2675B291" w14:textId="77777777" w:rsidR="00626FF9" w:rsidRPr="002C29D2" w:rsidRDefault="00626FF9" w:rsidP="00B63C4D">
            <w:pPr>
              <w:jc w:val="center"/>
              <w:rPr>
                <w:sz w:val="20"/>
                <w:szCs w:val="20"/>
              </w:rPr>
            </w:pPr>
            <w:r w:rsidRPr="002C29D2">
              <w:rPr>
                <w:sz w:val="20"/>
                <w:szCs w:val="20"/>
              </w:rPr>
              <w:t>0.092</w:t>
            </w:r>
          </w:p>
        </w:tc>
        <w:tc>
          <w:tcPr>
            <w:tcW w:w="1122" w:type="dxa"/>
            <w:shd w:val="clear" w:color="auto" w:fill="auto"/>
            <w:noWrap/>
            <w:vAlign w:val="bottom"/>
            <w:hideMark/>
          </w:tcPr>
          <w:p w14:paraId="0C503A06" w14:textId="77777777" w:rsidR="00626FF9" w:rsidRPr="002C29D2" w:rsidRDefault="00626FF9" w:rsidP="00B63C4D">
            <w:pPr>
              <w:jc w:val="center"/>
              <w:rPr>
                <w:sz w:val="20"/>
                <w:szCs w:val="20"/>
              </w:rPr>
            </w:pPr>
            <w:r w:rsidRPr="002C29D2">
              <w:rPr>
                <w:sz w:val="20"/>
                <w:szCs w:val="20"/>
              </w:rPr>
              <w:t>1.148</w:t>
            </w:r>
          </w:p>
        </w:tc>
        <w:tc>
          <w:tcPr>
            <w:tcW w:w="863" w:type="dxa"/>
            <w:vAlign w:val="bottom"/>
          </w:tcPr>
          <w:p w14:paraId="7CCEA762" w14:textId="77777777" w:rsidR="00626FF9" w:rsidRPr="002C29D2" w:rsidRDefault="00626FF9" w:rsidP="00B63C4D">
            <w:pPr>
              <w:jc w:val="center"/>
              <w:rPr>
                <w:sz w:val="20"/>
                <w:szCs w:val="20"/>
              </w:rPr>
            </w:pPr>
            <w:r w:rsidRPr="002C29D2">
              <w:rPr>
                <w:sz w:val="20"/>
                <w:szCs w:val="20"/>
              </w:rPr>
              <w:t>0.251</w:t>
            </w:r>
          </w:p>
        </w:tc>
        <w:tc>
          <w:tcPr>
            <w:tcW w:w="1201" w:type="dxa"/>
            <w:shd w:val="clear" w:color="auto" w:fill="auto"/>
            <w:noWrap/>
            <w:vAlign w:val="bottom"/>
            <w:hideMark/>
          </w:tcPr>
          <w:p w14:paraId="1EF84514" w14:textId="77777777" w:rsidR="00626FF9" w:rsidRPr="002C29D2" w:rsidRDefault="00626FF9" w:rsidP="00B63C4D">
            <w:pPr>
              <w:jc w:val="center"/>
              <w:rPr>
                <w:sz w:val="20"/>
                <w:szCs w:val="20"/>
              </w:rPr>
            </w:pPr>
            <w:r w:rsidRPr="002C29D2">
              <w:rPr>
                <w:sz w:val="20"/>
                <w:szCs w:val="20"/>
              </w:rPr>
              <w:t>0.539</w:t>
            </w:r>
          </w:p>
        </w:tc>
        <w:tc>
          <w:tcPr>
            <w:tcW w:w="1067" w:type="dxa"/>
            <w:vAlign w:val="bottom"/>
          </w:tcPr>
          <w:p w14:paraId="357EC817" w14:textId="77777777" w:rsidR="00626FF9" w:rsidRPr="002C29D2" w:rsidRDefault="00626FF9" w:rsidP="00B63C4D">
            <w:pPr>
              <w:jc w:val="center"/>
              <w:rPr>
                <w:sz w:val="20"/>
                <w:szCs w:val="20"/>
              </w:rPr>
            </w:pPr>
            <w:r w:rsidRPr="002C29D2">
              <w:rPr>
                <w:sz w:val="20"/>
                <w:szCs w:val="20"/>
              </w:rPr>
              <w:t>0.590</w:t>
            </w:r>
          </w:p>
        </w:tc>
      </w:tr>
      <w:tr w:rsidR="002C29D2" w:rsidRPr="002C29D2" w14:paraId="0F674437" w14:textId="77777777" w:rsidTr="00626FF9">
        <w:trPr>
          <w:trHeight w:val="320"/>
        </w:trPr>
        <w:tc>
          <w:tcPr>
            <w:tcW w:w="1435" w:type="dxa"/>
            <w:shd w:val="clear" w:color="auto" w:fill="auto"/>
            <w:noWrap/>
            <w:vAlign w:val="center"/>
            <w:hideMark/>
          </w:tcPr>
          <w:p w14:paraId="299580B7" w14:textId="77777777" w:rsidR="00626FF9" w:rsidRPr="002C29D2" w:rsidRDefault="00626FF9" w:rsidP="00626FF9">
            <w:pPr>
              <w:rPr>
                <w:sz w:val="20"/>
                <w:szCs w:val="20"/>
              </w:rPr>
            </w:pPr>
            <w:r w:rsidRPr="002C29D2">
              <w:rPr>
                <w:sz w:val="20"/>
                <w:szCs w:val="20"/>
              </w:rPr>
              <w:t>EXP -&gt; UI</w:t>
            </w:r>
          </w:p>
        </w:tc>
        <w:tc>
          <w:tcPr>
            <w:tcW w:w="970" w:type="dxa"/>
            <w:shd w:val="clear" w:color="auto" w:fill="auto"/>
            <w:noWrap/>
            <w:vAlign w:val="bottom"/>
            <w:hideMark/>
          </w:tcPr>
          <w:p w14:paraId="6777AA12" w14:textId="77777777" w:rsidR="00626FF9" w:rsidRPr="002C29D2" w:rsidRDefault="00626FF9" w:rsidP="00B63C4D">
            <w:pPr>
              <w:jc w:val="center"/>
              <w:rPr>
                <w:sz w:val="20"/>
                <w:szCs w:val="20"/>
              </w:rPr>
            </w:pPr>
            <w:r w:rsidRPr="002C29D2">
              <w:rPr>
                <w:sz w:val="20"/>
                <w:szCs w:val="20"/>
              </w:rPr>
              <w:t>0.112</w:t>
            </w:r>
          </w:p>
        </w:tc>
        <w:tc>
          <w:tcPr>
            <w:tcW w:w="1134" w:type="dxa"/>
            <w:shd w:val="clear" w:color="auto" w:fill="auto"/>
            <w:noWrap/>
            <w:vAlign w:val="bottom"/>
            <w:hideMark/>
          </w:tcPr>
          <w:p w14:paraId="74C45A37" w14:textId="77777777" w:rsidR="00626FF9" w:rsidRPr="002C29D2" w:rsidRDefault="00626FF9" w:rsidP="00B63C4D">
            <w:pPr>
              <w:jc w:val="center"/>
              <w:rPr>
                <w:sz w:val="20"/>
                <w:szCs w:val="20"/>
              </w:rPr>
            </w:pPr>
            <w:r w:rsidRPr="002C29D2">
              <w:rPr>
                <w:sz w:val="20"/>
                <w:szCs w:val="20"/>
              </w:rPr>
              <w:t>1.281</w:t>
            </w:r>
          </w:p>
        </w:tc>
        <w:tc>
          <w:tcPr>
            <w:tcW w:w="992" w:type="dxa"/>
            <w:vAlign w:val="bottom"/>
          </w:tcPr>
          <w:p w14:paraId="2BC5DC7A" w14:textId="77777777" w:rsidR="00626FF9" w:rsidRPr="002C29D2" w:rsidRDefault="00626FF9" w:rsidP="00B63C4D">
            <w:pPr>
              <w:jc w:val="center"/>
              <w:rPr>
                <w:sz w:val="20"/>
                <w:szCs w:val="20"/>
              </w:rPr>
            </w:pPr>
            <w:r w:rsidRPr="002C29D2">
              <w:rPr>
                <w:sz w:val="20"/>
                <w:szCs w:val="20"/>
              </w:rPr>
              <w:t>0.200</w:t>
            </w:r>
          </w:p>
        </w:tc>
        <w:tc>
          <w:tcPr>
            <w:tcW w:w="992" w:type="dxa"/>
            <w:shd w:val="clear" w:color="auto" w:fill="auto"/>
            <w:noWrap/>
            <w:vAlign w:val="bottom"/>
            <w:hideMark/>
          </w:tcPr>
          <w:p w14:paraId="60A80EC2" w14:textId="77777777" w:rsidR="00626FF9" w:rsidRPr="002C29D2" w:rsidRDefault="00626FF9" w:rsidP="00B63C4D">
            <w:pPr>
              <w:jc w:val="center"/>
              <w:rPr>
                <w:sz w:val="20"/>
                <w:szCs w:val="20"/>
              </w:rPr>
            </w:pPr>
            <w:r w:rsidRPr="002C29D2">
              <w:rPr>
                <w:sz w:val="20"/>
                <w:szCs w:val="20"/>
              </w:rPr>
              <w:t>-0.096</w:t>
            </w:r>
          </w:p>
        </w:tc>
        <w:tc>
          <w:tcPr>
            <w:tcW w:w="1122" w:type="dxa"/>
            <w:shd w:val="clear" w:color="auto" w:fill="auto"/>
            <w:noWrap/>
            <w:vAlign w:val="bottom"/>
            <w:hideMark/>
          </w:tcPr>
          <w:p w14:paraId="2A4B0B89" w14:textId="77777777" w:rsidR="00626FF9" w:rsidRPr="002C29D2" w:rsidRDefault="00626FF9" w:rsidP="00B63C4D">
            <w:pPr>
              <w:jc w:val="center"/>
              <w:rPr>
                <w:sz w:val="20"/>
                <w:szCs w:val="20"/>
              </w:rPr>
            </w:pPr>
            <w:r w:rsidRPr="002C29D2">
              <w:rPr>
                <w:sz w:val="20"/>
                <w:szCs w:val="20"/>
              </w:rPr>
              <w:t>1.036</w:t>
            </w:r>
          </w:p>
        </w:tc>
        <w:tc>
          <w:tcPr>
            <w:tcW w:w="863" w:type="dxa"/>
            <w:vAlign w:val="bottom"/>
          </w:tcPr>
          <w:p w14:paraId="1C063F31" w14:textId="77777777" w:rsidR="00626FF9" w:rsidRPr="002C29D2" w:rsidRDefault="00626FF9" w:rsidP="00B63C4D">
            <w:pPr>
              <w:jc w:val="center"/>
              <w:rPr>
                <w:sz w:val="20"/>
                <w:szCs w:val="20"/>
              </w:rPr>
            </w:pPr>
            <w:r w:rsidRPr="002C29D2">
              <w:rPr>
                <w:sz w:val="20"/>
                <w:szCs w:val="20"/>
              </w:rPr>
              <w:t>0.300</w:t>
            </w:r>
          </w:p>
        </w:tc>
        <w:tc>
          <w:tcPr>
            <w:tcW w:w="1201" w:type="dxa"/>
            <w:shd w:val="clear" w:color="auto" w:fill="auto"/>
            <w:noWrap/>
            <w:vAlign w:val="bottom"/>
            <w:hideMark/>
          </w:tcPr>
          <w:p w14:paraId="36B30C06" w14:textId="77777777" w:rsidR="00626FF9" w:rsidRPr="002C29D2" w:rsidRDefault="00626FF9" w:rsidP="00B63C4D">
            <w:pPr>
              <w:jc w:val="center"/>
              <w:rPr>
                <w:sz w:val="20"/>
                <w:szCs w:val="20"/>
              </w:rPr>
            </w:pPr>
            <w:r w:rsidRPr="002C29D2">
              <w:rPr>
                <w:sz w:val="20"/>
                <w:szCs w:val="20"/>
              </w:rPr>
              <w:t>1.636</w:t>
            </w:r>
          </w:p>
        </w:tc>
        <w:tc>
          <w:tcPr>
            <w:tcW w:w="1067" w:type="dxa"/>
            <w:vAlign w:val="bottom"/>
          </w:tcPr>
          <w:p w14:paraId="0DE11820" w14:textId="77777777" w:rsidR="00626FF9" w:rsidRPr="002C29D2" w:rsidRDefault="00626FF9" w:rsidP="00B63C4D">
            <w:pPr>
              <w:jc w:val="center"/>
              <w:rPr>
                <w:sz w:val="20"/>
                <w:szCs w:val="20"/>
              </w:rPr>
            </w:pPr>
            <w:r w:rsidRPr="002C29D2">
              <w:rPr>
                <w:sz w:val="20"/>
                <w:szCs w:val="20"/>
              </w:rPr>
              <w:t>0.103</w:t>
            </w:r>
          </w:p>
        </w:tc>
      </w:tr>
      <w:tr w:rsidR="002C29D2" w:rsidRPr="002C29D2" w14:paraId="40D62A51" w14:textId="77777777" w:rsidTr="00626FF9">
        <w:trPr>
          <w:trHeight w:val="320"/>
        </w:trPr>
        <w:tc>
          <w:tcPr>
            <w:tcW w:w="1435" w:type="dxa"/>
            <w:shd w:val="clear" w:color="auto" w:fill="auto"/>
            <w:noWrap/>
            <w:vAlign w:val="center"/>
            <w:hideMark/>
          </w:tcPr>
          <w:p w14:paraId="07B0BB7D" w14:textId="77777777" w:rsidR="00626FF9" w:rsidRPr="002C29D2" w:rsidRDefault="00626FF9" w:rsidP="00626FF9">
            <w:pPr>
              <w:rPr>
                <w:sz w:val="20"/>
                <w:szCs w:val="20"/>
              </w:rPr>
            </w:pPr>
            <w:r w:rsidRPr="002C29D2">
              <w:rPr>
                <w:sz w:val="20"/>
                <w:szCs w:val="20"/>
              </w:rPr>
              <w:t>JUS -&gt; ATA</w:t>
            </w:r>
          </w:p>
        </w:tc>
        <w:tc>
          <w:tcPr>
            <w:tcW w:w="970" w:type="dxa"/>
            <w:shd w:val="clear" w:color="auto" w:fill="auto"/>
            <w:noWrap/>
            <w:vAlign w:val="bottom"/>
            <w:hideMark/>
          </w:tcPr>
          <w:p w14:paraId="22156528" w14:textId="77777777" w:rsidR="00626FF9" w:rsidRPr="002C29D2" w:rsidRDefault="00626FF9" w:rsidP="00B63C4D">
            <w:pPr>
              <w:jc w:val="center"/>
              <w:rPr>
                <w:sz w:val="20"/>
                <w:szCs w:val="20"/>
              </w:rPr>
            </w:pPr>
            <w:r w:rsidRPr="002C29D2">
              <w:rPr>
                <w:sz w:val="20"/>
                <w:szCs w:val="20"/>
              </w:rPr>
              <w:t>0.223</w:t>
            </w:r>
          </w:p>
        </w:tc>
        <w:tc>
          <w:tcPr>
            <w:tcW w:w="1134" w:type="dxa"/>
            <w:shd w:val="clear" w:color="auto" w:fill="auto"/>
            <w:noWrap/>
            <w:vAlign w:val="bottom"/>
            <w:hideMark/>
          </w:tcPr>
          <w:p w14:paraId="29D67298" w14:textId="77777777" w:rsidR="00626FF9" w:rsidRPr="002C29D2" w:rsidRDefault="00626FF9" w:rsidP="00B63C4D">
            <w:pPr>
              <w:jc w:val="center"/>
              <w:rPr>
                <w:sz w:val="20"/>
                <w:szCs w:val="20"/>
              </w:rPr>
            </w:pPr>
            <w:r w:rsidRPr="002C29D2">
              <w:rPr>
                <w:sz w:val="20"/>
                <w:szCs w:val="20"/>
              </w:rPr>
              <w:t>2.114</w:t>
            </w:r>
          </w:p>
        </w:tc>
        <w:tc>
          <w:tcPr>
            <w:tcW w:w="992" w:type="dxa"/>
            <w:vAlign w:val="bottom"/>
          </w:tcPr>
          <w:p w14:paraId="22F6FA80" w14:textId="77777777" w:rsidR="00626FF9" w:rsidRPr="002C29D2" w:rsidRDefault="00626FF9" w:rsidP="00B63C4D">
            <w:pPr>
              <w:jc w:val="center"/>
              <w:rPr>
                <w:sz w:val="20"/>
                <w:szCs w:val="20"/>
              </w:rPr>
            </w:pPr>
            <w:r w:rsidRPr="002C29D2">
              <w:rPr>
                <w:sz w:val="20"/>
                <w:szCs w:val="20"/>
              </w:rPr>
              <w:t>0.035</w:t>
            </w:r>
          </w:p>
        </w:tc>
        <w:tc>
          <w:tcPr>
            <w:tcW w:w="992" w:type="dxa"/>
            <w:shd w:val="clear" w:color="auto" w:fill="auto"/>
            <w:noWrap/>
            <w:vAlign w:val="bottom"/>
            <w:hideMark/>
          </w:tcPr>
          <w:p w14:paraId="77F4CCB3" w14:textId="77777777" w:rsidR="00626FF9" w:rsidRPr="002C29D2" w:rsidRDefault="00626FF9" w:rsidP="00B63C4D">
            <w:pPr>
              <w:jc w:val="center"/>
              <w:rPr>
                <w:sz w:val="20"/>
                <w:szCs w:val="20"/>
              </w:rPr>
            </w:pPr>
            <w:r w:rsidRPr="002C29D2">
              <w:rPr>
                <w:sz w:val="20"/>
                <w:szCs w:val="20"/>
              </w:rPr>
              <w:t>0.017</w:t>
            </w:r>
          </w:p>
        </w:tc>
        <w:tc>
          <w:tcPr>
            <w:tcW w:w="1122" w:type="dxa"/>
            <w:shd w:val="clear" w:color="auto" w:fill="auto"/>
            <w:noWrap/>
            <w:vAlign w:val="bottom"/>
            <w:hideMark/>
          </w:tcPr>
          <w:p w14:paraId="055DE4D2" w14:textId="77777777" w:rsidR="00626FF9" w:rsidRPr="002C29D2" w:rsidRDefault="00626FF9" w:rsidP="00B63C4D">
            <w:pPr>
              <w:jc w:val="center"/>
              <w:rPr>
                <w:sz w:val="20"/>
                <w:szCs w:val="20"/>
              </w:rPr>
            </w:pPr>
            <w:r w:rsidRPr="002C29D2">
              <w:rPr>
                <w:sz w:val="20"/>
                <w:szCs w:val="20"/>
              </w:rPr>
              <w:t>0.164</w:t>
            </w:r>
          </w:p>
        </w:tc>
        <w:tc>
          <w:tcPr>
            <w:tcW w:w="863" w:type="dxa"/>
            <w:vAlign w:val="bottom"/>
          </w:tcPr>
          <w:p w14:paraId="7E1FEE14" w14:textId="77777777" w:rsidR="00626FF9" w:rsidRPr="002C29D2" w:rsidRDefault="00626FF9" w:rsidP="00B63C4D">
            <w:pPr>
              <w:jc w:val="center"/>
              <w:rPr>
                <w:sz w:val="20"/>
                <w:szCs w:val="20"/>
              </w:rPr>
            </w:pPr>
            <w:r w:rsidRPr="002C29D2">
              <w:rPr>
                <w:sz w:val="20"/>
                <w:szCs w:val="20"/>
              </w:rPr>
              <w:t>0.870</w:t>
            </w:r>
          </w:p>
        </w:tc>
        <w:tc>
          <w:tcPr>
            <w:tcW w:w="1201" w:type="dxa"/>
            <w:shd w:val="clear" w:color="auto" w:fill="auto"/>
            <w:noWrap/>
            <w:vAlign w:val="bottom"/>
            <w:hideMark/>
          </w:tcPr>
          <w:p w14:paraId="29FD7266" w14:textId="77777777" w:rsidR="00626FF9" w:rsidRPr="002C29D2" w:rsidRDefault="00626FF9" w:rsidP="00B63C4D">
            <w:pPr>
              <w:jc w:val="center"/>
              <w:rPr>
                <w:sz w:val="20"/>
                <w:szCs w:val="20"/>
              </w:rPr>
            </w:pPr>
            <w:r w:rsidRPr="002C29D2">
              <w:rPr>
                <w:sz w:val="20"/>
                <w:szCs w:val="20"/>
              </w:rPr>
              <w:t>1.406</w:t>
            </w:r>
          </w:p>
        </w:tc>
        <w:tc>
          <w:tcPr>
            <w:tcW w:w="1067" w:type="dxa"/>
            <w:vAlign w:val="bottom"/>
          </w:tcPr>
          <w:p w14:paraId="7B1A73B7" w14:textId="77777777" w:rsidR="00626FF9" w:rsidRPr="002C29D2" w:rsidRDefault="00626FF9" w:rsidP="00B63C4D">
            <w:pPr>
              <w:jc w:val="center"/>
              <w:rPr>
                <w:sz w:val="20"/>
                <w:szCs w:val="20"/>
              </w:rPr>
            </w:pPr>
            <w:r w:rsidRPr="002C29D2">
              <w:rPr>
                <w:sz w:val="20"/>
                <w:szCs w:val="20"/>
              </w:rPr>
              <w:t>0.161</w:t>
            </w:r>
          </w:p>
        </w:tc>
      </w:tr>
      <w:tr w:rsidR="002C29D2" w:rsidRPr="002C29D2" w14:paraId="42DBB57E" w14:textId="77777777" w:rsidTr="00626FF9">
        <w:trPr>
          <w:trHeight w:val="320"/>
        </w:trPr>
        <w:tc>
          <w:tcPr>
            <w:tcW w:w="1435" w:type="dxa"/>
            <w:shd w:val="clear" w:color="auto" w:fill="auto"/>
            <w:noWrap/>
            <w:vAlign w:val="center"/>
            <w:hideMark/>
          </w:tcPr>
          <w:p w14:paraId="7322428F" w14:textId="77777777" w:rsidR="00626FF9" w:rsidRPr="002C29D2" w:rsidRDefault="00626FF9" w:rsidP="00626FF9">
            <w:pPr>
              <w:rPr>
                <w:sz w:val="20"/>
                <w:szCs w:val="20"/>
              </w:rPr>
            </w:pPr>
            <w:r w:rsidRPr="002C29D2">
              <w:rPr>
                <w:sz w:val="20"/>
                <w:szCs w:val="20"/>
              </w:rPr>
              <w:t>JUS -&gt; ENG</w:t>
            </w:r>
          </w:p>
        </w:tc>
        <w:tc>
          <w:tcPr>
            <w:tcW w:w="970" w:type="dxa"/>
            <w:shd w:val="clear" w:color="auto" w:fill="auto"/>
            <w:noWrap/>
            <w:vAlign w:val="bottom"/>
            <w:hideMark/>
          </w:tcPr>
          <w:p w14:paraId="04605FB0" w14:textId="77777777" w:rsidR="00626FF9" w:rsidRPr="002C29D2" w:rsidRDefault="00626FF9" w:rsidP="00B63C4D">
            <w:pPr>
              <w:jc w:val="center"/>
              <w:rPr>
                <w:sz w:val="20"/>
                <w:szCs w:val="20"/>
              </w:rPr>
            </w:pPr>
            <w:r w:rsidRPr="002C29D2">
              <w:rPr>
                <w:sz w:val="20"/>
                <w:szCs w:val="20"/>
              </w:rPr>
              <w:t>0.234</w:t>
            </w:r>
          </w:p>
        </w:tc>
        <w:tc>
          <w:tcPr>
            <w:tcW w:w="1134" w:type="dxa"/>
            <w:shd w:val="clear" w:color="auto" w:fill="auto"/>
            <w:noWrap/>
            <w:vAlign w:val="bottom"/>
            <w:hideMark/>
          </w:tcPr>
          <w:p w14:paraId="0043A09C" w14:textId="77777777" w:rsidR="00626FF9" w:rsidRPr="002C29D2" w:rsidRDefault="00626FF9" w:rsidP="00B63C4D">
            <w:pPr>
              <w:jc w:val="center"/>
              <w:rPr>
                <w:sz w:val="20"/>
                <w:szCs w:val="20"/>
              </w:rPr>
            </w:pPr>
            <w:r w:rsidRPr="002C29D2">
              <w:rPr>
                <w:sz w:val="20"/>
                <w:szCs w:val="20"/>
              </w:rPr>
              <w:t>2.707</w:t>
            </w:r>
          </w:p>
        </w:tc>
        <w:tc>
          <w:tcPr>
            <w:tcW w:w="992" w:type="dxa"/>
            <w:vAlign w:val="bottom"/>
          </w:tcPr>
          <w:p w14:paraId="3D752098" w14:textId="77777777" w:rsidR="00626FF9" w:rsidRPr="002C29D2" w:rsidRDefault="00626FF9" w:rsidP="00B63C4D">
            <w:pPr>
              <w:jc w:val="center"/>
              <w:rPr>
                <w:sz w:val="20"/>
                <w:szCs w:val="20"/>
              </w:rPr>
            </w:pPr>
            <w:r w:rsidRPr="002C29D2">
              <w:rPr>
                <w:sz w:val="20"/>
                <w:szCs w:val="20"/>
              </w:rPr>
              <w:t>0.007</w:t>
            </w:r>
          </w:p>
        </w:tc>
        <w:tc>
          <w:tcPr>
            <w:tcW w:w="992" w:type="dxa"/>
            <w:shd w:val="clear" w:color="auto" w:fill="auto"/>
            <w:noWrap/>
            <w:vAlign w:val="bottom"/>
            <w:hideMark/>
          </w:tcPr>
          <w:p w14:paraId="5170293B" w14:textId="77777777" w:rsidR="00626FF9" w:rsidRPr="002C29D2" w:rsidRDefault="00626FF9" w:rsidP="00B63C4D">
            <w:pPr>
              <w:jc w:val="center"/>
              <w:rPr>
                <w:sz w:val="20"/>
                <w:szCs w:val="20"/>
              </w:rPr>
            </w:pPr>
            <w:r w:rsidRPr="002C29D2">
              <w:rPr>
                <w:sz w:val="20"/>
                <w:szCs w:val="20"/>
              </w:rPr>
              <w:t>0.260</w:t>
            </w:r>
          </w:p>
        </w:tc>
        <w:tc>
          <w:tcPr>
            <w:tcW w:w="1122" w:type="dxa"/>
            <w:shd w:val="clear" w:color="auto" w:fill="auto"/>
            <w:noWrap/>
            <w:vAlign w:val="bottom"/>
            <w:hideMark/>
          </w:tcPr>
          <w:p w14:paraId="56EAA5A2" w14:textId="77777777" w:rsidR="00626FF9" w:rsidRPr="002C29D2" w:rsidRDefault="00626FF9" w:rsidP="00B63C4D">
            <w:pPr>
              <w:jc w:val="center"/>
              <w:rPr>
                <w:sz w:val="20"/>
                <w:szCs w:val="20"/>
              </w:rPr>
            </w:pPr>
            <w:r w:rsidRPr="002C29D2">
              <w:rPr>
                <w:sz w:val="20"/>
                <w:szCs w:val="20"/>
              </w:rPr>
              <w:t>2.396</w:t>
            </w:r>
          </w:p>
        </w:tc>
        <w:tc>
          <w:tcPr>
            <w:tcW w:w="863" w:type="dxa"/>
            <w:vAlign w:val="bottom"/>
          </w:tcPr>
          <w:p w14:paraId="02E11298" w14:textId="77777777" w:rsidR="00626FF9" w:rsidRPr="002C29D2" w:rsidRDefault="00626FF9" w:rsidP="00B63C4D">
            <w:pPr>
              <w:jc w:val="center"/>
              <w:rPr>
                <w:sz w:val="20"/>
                <w:szCs w:val="20"/>
              </w:rPr>
            </w:pPr>
            <w:r w:rsidRPr="002C29D2">
              <w:rPr>
                <w:sz w:val="20"/>
                <w:szCs w:val="20"/>
              </w:rPr>
              <w:t>0.017</w:t>
            </w:r>
          </w:p>
        </w:tc>
        <w:tc>
          <w:tcPr>
            <w:tcW w:w="1201" w:type="dxa"/>
            <w:shd w:val="clear" w:color="auto" w:fill="auto"/>
            <w:noWrap/>
            <w:vAlign w:val="bottom"/>
            <w:hideMark/>
          </w:tcPr>
          <w:p w14:paraId="0F93036D" w14:textId="77777777" w:rsidR="00626FF9" w:rsidRPr="002C29D2" w:rsidRDefault="00626FF9" w:rsidP="00B63C4D">
            <w:pPr>
              <w:jc w:val="center"/>
              <w:rPr>
                <w:sz w:val="20"/>
                <w:szCs w:val="20"/>
              </w:rPr>
            </w:pPr>
            <w:r w:rsidRPr="002C29D2">
              <w:rPr>
                <w:sz w:val="20"/>
                <w:szCs w:val="20"/>
              </w:rPr>
              <w:t>0.188</w:t>
            </w:r>
          </w:p>
        </w:tc>
        <w:tc>
          <w:tcPr>
            <w:tcW w:w="1067" w:type="dxa"/>
            <w:vAlign w:val="bottom"/>
          </w:tcPr>
          <w:p w14:paraId="15F7148A" w14:textId="77777777" w:rsidR="00626FF9" w:rsidRPr="002C29D2" w:rsidRDefault="00626FF9" w:rsidP="00B63C4D">
            <w:pPr>
              <w:jc w:val="center"/>
              <w:rPr>
                <w:sz w:val="20"/>
                <w:szCs w:val="20"/>
              </w:rPr>
            </w:pPr>
            <w:r w:rsidRPr="002C29D2">
              <w:rPr>
                <w:sz w:val="20"/>
                <w:szCs w:val="20"/>
              </w:rPr>
              <w:t>0.851</w:t>
            </w:r>
          </w:p>
        </w:tc>
      </w:tr>
      <w:tr w:rsidR="002C29D2" w:rsidRPr="002C29D2" w14:paraId="2B0A30D9" w14:textId="77777777" w:rsidTr="00626FF9">
        <w:trPr>
          <w:trHeight w:val="320"/>
        </w:trPr>
        <w:tc>
          <w:tcPr>
            <w:tcW w:w="1435" w:type="dxa"/>
            <w:shd w:val="clear" w:color="auto" w:fill="auto"/>
            <w:noWrap/>
            <w:vAlign w:val="center"/>
            <w:hideMark/>
          </w:tcPr>
          <w:p w14:paraId="01CE87EE" w14:textId="77777777" w:rsidR="00626FF9" w:rsidRPr="002C29D2" w:rsidRDefault="00626FF9" w:rsidP="00626FF9">
            <w:pPr>
              <w:rPr>
                <w:sz w:val="20"/>
                <w:szCs w:val="20"/>
              </w:rPr>
            </w:pPr>
            <w:r w:rsidRPr="002C29D2">
              <w:rPr>
                <w:sz w:val="20"/>
                <w:szCs w:val="20"/>
              </w:rPr>
              <w:t>JUS -&gt; SAT</w:t>
            </w:r>
          </w:p>
        </w:tc>
        <w:tc>
          <w:tcPr>
            <w:tcW w:w="970" w:type="dxa"/>
            <w:shd w:val="clear" w:color="auto" w:fill="auto"/>
            <w:noWrap/>
            <w:vAlign w:val="bottom"/>
            <w:hideMark/>
          </w:tcPr>
          <w:p w14:paraId="6B41712D" w14:textId="77777777" w:rsidR="00626FF9" w:rsidRPr="002C29D2" w:rsidRDefault="00626FF9" w:rsidP="00B63C4D">
            <w:pPr>
              <w:jc w:val="center"/>
              <w:rPr>
                <w:sz w:val="20"/>
                <w:szCs w:val="20"/>
              </w:rPr>
            </w:pPr>
            <w:r w:rsidRPr="002C29D2">
              <w:rPr>
                <w:sz w:val="20"/>
                <w:szCs w:val="20"/>
              </w:rPr>
              <w:t>0.335</w:t>
            </w:r>
          </w:p>
        </w:tc>
        <w:tc>
          <w:tcPr>
            <w:tcW w:w="1134" w:type="dxa"/>
            <w:shd w:val="clear" w:color="auto" w:fill="auto"/>
            <w:noWrap/>
            <w:vAlign w:val="bottom"/>
            <w:hideMark/>
          </w:tcPr>
          <w:p w14:paraId="489FC2A3" w14:textId="77777777" w:rsidR="00626FF9" w:rsidRPr="002C29D2" w:rsidRDefault="00626FF9" w:rsidP="00B63C4D">
            <w:pPr>
              <w:jc w:val="center"/>
              <w:rPr>
                <w:sz w:val="20"/>
                <w:szCs w:val="20"/>
              </w:rPr>
            </w:pPr>
            <w:r w:rsidRPr="002C29D2">
              <w:rPr>
                <w:sz w:val="20"/>
                <w:szCs w:val="20"/>
              </w:rPr>
              <w:t>3.263</w:t>
            </w:r>
          </w:p>
        </w:tc>
        <w:tc>
          <w:tcPr>
            <w:tcW w:w="992" w:type="dxa"/>
            <w:vAlign w:val="bottom"/>
          </w:tcPr>
          <w:p w14:paraId="33FAB85D" w14:textId="77777777" w:rsidR="00626FF9" w:rsidRPr="002C29D2" w:rsidRDefault="00626FF9" w:rsidP="00B63C4D">
            <w:pPr>
              <w:jc w:val="center"/>
              <w:rPr>
                <w:sz w:val="20"/>
                <w:szCs w:val="20"/>
              </w:rPr>
            </w:pPr>
            <w:r w:rsidRPr="002C29D2">
              <w:rPr>
                <w:sz w:val="20"/>
                <w:szCs w:val="20"/>
              </w:rPr>
              <w:t>0.001</w:t>
            </w:r>
          </w:p>
        </w:tc>
        <w:tc>
          <w:tcPr>
            <w:tcW w:w="992" w:type="dxa"/>
            <w:shd w:val="clear" w:color="auto" w:fill="auto"/>
            <w:noWrap/>
            <w:vAlign w:val="bottom"/>
            <w:hideMark/>
          </w:tcPr>
          <w:p w14:paraId="347F96C3" w14:textId="77777777" w:rsidR="00626FF9" w:rsidRPr="002C29D2" w:rsidRDefault="00626FF9" w:rsidP="00B63C4D">
            <w:pPr>
              <w:jc w:val="center"/>
              <w:rPr>
                <w:sz w:val="20"/>
                <w:szCs w:val="20"/>
              </w:rPr>
            </w:pPr>
            <w:r w:rsidRPr="002C29D2">
              <w:rPr>
                <w:sz w:val="20"/>
                <w:szCs w:val="20"/>
              </w:rPr>
              <w:t>0.206</w:t>
            </w:r>
          </w:p>
        </w:tc>
        <w:tc>
          <w:tcPr>
            <w:tcW w:w="1122" w:type="dxa"/>
            <w:shd w:val="clear" w:color="auto" w:fill="auto"/>
            <w:noWrap/>
            <w:vAlign w:val="bottom"/>
            <w:hideMark/>
          </w:tcPr>
          <w:p w14:paraId="1DC77B8D" w14:textId="77777777" w:rsidR="00626FF9" w:rsidRPr="002C29D2" w:rsidRDefault="00626FF9" w:rsidP="00B63C4D">
            <w:pPr>
              <w:jc w:val="center"/>
              <w:rPr>
                <w:sz w:val="20"/>
                <w:szCs w:val="20"/>
              </w:rPr>
            </w:pPr>
            <w:r w:rsidRPr="002C29D2">
              <w:rPr>
                <w:sz w:val="20"/>
                <w:szCs w:val="20"/>
              </w:rPr>
              <w:t>2.290</w:t>
            </w:r>
          </w:p>
        </w:tc>
        <w:tc>
          <w:tcPr>
            <w:tcW w:w="863" w:type="dxa"/>
            <w:vAlign w:val="bottom"/>
          </w:tcPr>
          <w:p w14:paraId="08DB995B" w14:textId="77777777" w:rsidR="00626FF9" w:rsidRPr="002C29D2" w:rsidRDefault="00626FF9" w:rsidP="00B63C4D">
            <w:pPr>
              <w:jc w:val="center"/>
              <w:rPr>
                <w:sz w:val="20"/>
                <w:szCs w:val="20"/>
              </w:rPr>
            </w:pPr>
            <w:r w:rsidRPr="002C29D2">
              <w:rPr>
                <w:sz w:val="20"/>
                <w:szCs w:val="20"/>
              </w:rPr>
              <w:t>0.022</w:t>
            </w:r>
          </w:p>
        </w:tc>
        <w:tc>
          <w:tcPr>
            <w:tcW w:w="1201" w:type="dxa"/>
            <w:shd w:val="clear" w:color="auto" w:fill="auto"/>
            <w:noWrap/>
            <w:vAlign w:val="bottom"/>
            <w:hideMark/>
          </w:tcPr>
          <w:p w14:paraId="6B96F652" w14:textId="77777777" w:rsidR="00626FF9" w:rsidRPr="002C29D2" w:rsidRDefault="00626FF9" w:rsidP="00B63C4D">
            <w:pPr>
              <w:jc w:val="center"/>
              <w:rPr>
                <w:sz w:val="20"/>
                <w:szCs w:val="20"/>
              </w:rPr>
            </w:pPr>
            <w:r w:rsidRPr="002C29D2">
              <w:rPr>
                <w:sz w:val="20"/>
                <w:szCs w:val="20"/>
              </w:rPr>
              <w:t>0.948</w:t>
            </w:r>
          </w:p>
        </w:tc>
        <w:tc>
          <w:tcPr>
            <w:tcW w:w="1067" w:type="dxa"/>
            <w:vAlign w:val="bottom"/>
          </w:tcPr>
          <w:p w14:paraId="1974A5D2" w14:textId="77777777" w:rsidR="00626FF9" w:rsidRPr="002C29D2" w:rsidRDefault="00626FF9" w:rsidP="00B63C4D">
            <w:pPr>
              <w:jc w:val="center"/>
              <w:rPr>
                <w:sz w:val="20"/>
                <w:szCs w:val="20"/>
              </w:rPr>
            </w:pPr>
            <w:r w:rsidRPr="002C29D2">
              <w:rPr>
                <w:sz w:val="20"/>
                <w:szCs w:val="20"/>
              </w:rPr>
              <w:t>0.344</w:t>
            </w:r>
          </w:p>
        </w:tc>
      </w:tr>
      <w:tr w:rsidR="002C29D2" w:rsidRPr="002C29D2" w14:paraId="1F9E93C8" w14:textId="77777777" w:rsidTr="00626FF9">
        <w:trPr>
          <w:trHeight w:val="320"/>
        </w:trPr>
        <w:tc>
          <w:tcPr>
            <w:tcW w:w="1435" w:type="dxa"/>
            <w:shd w:val="clear" w:color="auto" w:fill="auto"/>
            <w:noWrap/>
            <w:vAlign w:val="center"/>
            <w:hideMark/>
          </w:tcPr>
          <w:p w14:paraId="4100BA37" w14:textId="77777777" w:rsidR="00626FF9" w:rsidRPr="002C29D2" w:rsidRDefault="00626FF9" w:rsidP="00626FF9">
            <w:pPr>
              <w:rPr>
                <w:sz w:val="20"/>
                <w:szCs w:val="20"/>
              </w:rPr>
            </w:pPr>
            <w:r w:rsidRPr="002C29D2">
              <w:rPr>
                <w:sz w:val="20"/>
                <w:szCs w:val="20"/>
              </w:rPr>
              <w:t>JUS -&gt; UI</w:t>
            </w:r>
          </w:p>
        </w:tc>
        <w:tc>
          <w:tcPr>
            <w:tcW w:w="970" w:type="dxa"/>
            <w:shd w:val="clear" w:color="auto" w:fill="auto"/>
            <w:noWrap/>
            <w:vAlign w:val="bottom"/>
            <w:hideMark/>
          </w:tcPr>
          <w:p w14:paraId="53F4B176" w14:textId="77777777" w:rsidR="00626FF9" w:rsidRPr="002C29D2" w:rsidRDefault="00626FF9" w:rsidP="00B63C4D">
            <w:pPr>
              <w:jc w:val="center"/>
              <w:rPr>
                <w:sz w:val="20"/>
                <w:szCs w:val="20"/>
              </w:rPr>
            </w:pPr>
            <w:r w:rsidRPr="002C29D2">
              <w:rPr>
                <w:sz w:val="20"/>
                <w:szCs w:val="20"/>
              </w:rPr>
              <w:t>0.093</w:t>
            </w:r>
          </w:p>
        </w:tc>
        <w:tc>
          <w:tcPr>
            <w:tcW w:w="1134" w:type="dxa"/>
            <w:shd w:val="clear" w:color="auto" w:fill="auto"/>
            <w:noWrap/>
            <w:vAlign w:val="bottom"/>
            <w:hideMark/>
          </w:tcPr>
          <w:p w14:paraId="6D48E1C4" w14:textId="77777777" w:rsidR="00626FF9" w:rsidRPr="002C29D2" w:rsidRDefault="00626FF9" w:rsidP="00B63C4D">
            <w:pPr>
              <w:jc w:val="center"/>
              <w:rPr>
                <w:sz w:val="20"/>
                <w:szCs w:val="20"/>
              </w:rPr>
            </w:pPr>
            <w:r w:rsidRPr="002C29D2">
              <w:rPr>
                <w:sz w:val="20"/>
                <w:szCs w:val="20"/>
              </w:rPr>
              <w:t>0.878</w:t>
            </w:r>
          </w:p>
        </w:tc>
        <w:tc>
          <w:tcPr>
            <w:tcW w:w="992" w:type="dxa"/>
            <w:vAlign w:val="bottom"/>
          </w:tcPr>
          <w:p w14:paraId="200A1D9B" w14:textId="77777777" w:rsidR="00626FF9" w:rsidRPr="002C29D2" w:rsidRDefault="00626FF9" w:rsidP="00B63C4D">
            <w:pPr>
              <w:jc w:val="center"/>
              <w:rPr>
                <w:sz w:val="20"/>
                <w:szCs w:val="20"/>
              </w:rPr>
            </w:pPr>
            <w:r w:rsidRPr="002C29D2">
              <w:rPr>
                <w:sz w:val="20"/>
                <w:szCs w:val="20"/>
              </w:rPr>
              <w:t>0.380</w:t>
            </w:r>
          </w:p>
        </w:tc>
        <w:tc>
          <w:tcPr>
            <w:tcW w:w="992" w:type="dxa"/>
            <w:shd w:val="clear" w:color="auto" w:fill="auto"/>
            <w:noWrap/>
            <w:vAlign w:val="bottom"/>
            <w:hideMark/>
          </w:tcPr>
          <w:p w14:paraId="3F1E9176" w14:textId="77777777" w:rsidR="00626FF9" w:rsidRPr="002C29D2" w:rsidRDefault="00626FF9" w:rsidP="00B63C4D">
            <w:pPr>
              <w:jc w:val="center"/>
              <w:rPr>
                <w:sz w:val="20"/>
                <w:szCs w:val="20"/>
              </w:rPr>
            </w:pPr>
            <w:r w:rsidRPr="002C29D2">
              <w:rPr>
                <w:sz w:val="20"/>
                <w:szCs w:val="20"/>
              </w:rPr>
              <w:t>-0.109</w:t>
            </w:r>
          </w:p>
        </w:tc>
        <w:tc>
          <w:tcPr>
            <w:tcW w:w="1122" w:type="dxa"/>
            <w:shd w:val="clear" w:color="auto" w:fill="auto"/>
            <w:noWrap/>
            <w:vAlign w:val="bottom"/>
            <w:hideMark/>
          </w:tcPr>
          <w:p w14:paraId="12BF20A8" w14:textId="77777777" w:rsidR="00626FF9" w:rsidRPr="002C29D2" w:rsidRDefault="00626FF9" w:rsidP="00B63C4D">
            <w:pPr>
              <w:jc w:val="center"/>
              <w:rPr>
                <w:sz w:val="20"/>
                <w:szCs w:val="20"/>
              </w:rPr>
            </w:pPr>
            <w:r w:rsidRPr="002C29D2">
              <w:rPr>
                <w:sz w:val="20"/>
                <w:szCs w:val="20"/>
              </w:rPr>
              <w:t>0.982</w:t>
            </w:r>
          </w:p>
        </w:tc>
        <w:tc>
          <w:tcPr>
            <w:tcW w:w="863" w:type="dxa"/>
            <w:vAlign w:val="bottom"/>
          </w:tcPr>
          <w:p w14:paraId="495476C4" w14:textId="77777777" w:rsidR="00626FF9" w:rsidRPr="002C29D2" w:rsidRDefault="00626FF9" w:rsidP="00B63C4D">
            <w:pPr>
              <w:jc w:val="center"/>
              <w:rPr>
                <w:sz w:val="20"/>
                <w:szCs w:val="20"/>
              </w:rPr>
            </w:pPr>
            <w:r w:rsidRPr="002C29D2">
              <w:rPr>
                <w:sz w:val="20"/>
                <w:szCs w:val="20"/>
              </w:rPr>
              <w:t>0.326</w:t>
            </w:r>
          </w:p>
        </w:tc>
        <w:tc>
          <w:tcPr>
            <w:tcW w:w="1201" w:type="dxa"/>
            <w:shd w:val="clear" w:color="auto" w:fill="auto"/>
            <w:noWrap/>
            <w:vAlign w:val="bottom"/>
            <w:hideMark/>
          </w:tcPr>
          <w:p w14:paraId="485D1DB6" w14:textId="77777777" w:rsidR="00626FF9" w:rsidRPr="002C29D2" w:rsidRDefault="00626FF9" w:rsidP="00B63C4D">
            <w:pPr>
              <w:jc w:val="center"/>
              <w:rPr>
                <w:sz w:val="20"/>
                <w:szCs w:val="20"/>
              </w:rPr>
            </w:pPr>
            <w:r w:rsidRPr="002C29D2">
              <w:rPr>
                <w:sz w:val="20"/>
                <w:szCs w:val="20"/>
              </w:rPr>
              <w:t>1.319</w:t>
            </w:r>
          </w:p>
        </w:tc>
        <w:tc>
          <w:tcPr>
            <w:tcW w:w="1067" w:type="dxa"/>
            <w:vAlign w:val="bottom"/>
          </w:tcPr>
          <w:p w14:paraId="3749A729" w14:textId="77777777" w:rsidR="00626FF9" w:rsidRPr="002C29D2" w:rsidRDefault="00626FF9" w:rsidP="00B63C4D">
            <w:pPr>
              <w:jc w:val="center"/>
              <w:rPr>
                <w:sz w:val="20"/>
                <w:szCs w:val="20"/>
              </w:rPr>
            </w:pPr>
            <w:r w:rsidRPr="002C29D2">
              <w:rPr>
                <w:sz w:val="20"/>
                <w:szCs w:val="20"/>
              </w:rPr>
              <w:t>0.189</w:t>
            </w:r>
          </w:p>
        </w:tc>
      </w:tr>
      <w:tr w:rsidR="002C29D2" w:rsidRPr="002C29D2" w14:paraId="3DB53DE3" w14:textId="77777777" w:rsidTr="00626FF9">
        <w:trPr>
          <w:trHeight w:val="320"/>
        </w:trPr>
        <w:tc>
          <w:tcPr>
            <w:tcW w:w="1435" w:type="dxa"/>
            <w:shd w:val="clear" w:color="auto" w:fill="auto"/>
            <w:noWrap/>
            <w:vAlign w:val="center"/>
            <w:hideMark/>
          </w:tcPr>
          <w:p w14:paraId="219828DD" w14:textId="77777777" w:rsidR="00626FF9" w:rsidRPr="002C29D2" w:rsidRDefault="00626FF9" w:rsidP="00626FF9">
            <w:pPr>
              <w:rPr>
                <w:sz w:val="20"/>
                <w:szCs w:val="20"/>
              </w:rPr>
            </w:pPr>
            <w:r w:rsidRPr="002C29D2">
              <w:rPr>
                <w:sz w:val="20"/>
                <w:szCs w:val="20"/>
              </w:rPr>
              <w:t>NM -&gt; ATA</w:t>
            </w:r>
          </w:p>
        </w:tc>
        <w:tc>
          <w:tcPr>
            <w:tcW w:w="970" w:type="dxa"/>
            <w:shd w:val="clear" w:color="auto" w:fill="auto"/>
            <w:noWrap/>
            <w:vAlign w:val="bottom"/>
            <w:hideMark/>
          </w:tcPr>
          <w:p w14:paraId="65646B84" w14:textId="77777777" w:rsidR="00626FF9" w:rsidRPr="002C29D2" w:rsidRDefault="00626FF9" w:rsidP="00B63C4D">
            <w:pPr>
              <w:jc w:val="center"/>
              <w:rPr>
                <w:sz w:val="20"/>
                <w:szCs w:val="20"/>
              </w:rPr>
            </w:pPr>
            <w:r w:rsidRPr="002C29D2">
              <w:rPr>
                <w:sz w:val="20"/>
                <w:szCs w:val="20"/>
              </w:rPr>
              <w:t>0.068</w:t>
            </w:r>
          </w:p>
        </w:tc>
        <w:tc>
          <w:tcPr>
            <w:tcW w:w="1134" w:type="dxa"/>
            <w:shd w:val="clear" w:color="auto" w:fill="auto"/>
            <w:noWrap/>
            <w:vAlign w:val="bottom"/>
            <w:hideMark/>
          </w:tcPr>
          <w:p w14:paraId="587DA0DC" w14:textId="77777777" w:rsidR="00626FF9" w:rsidRPr="002C29D2" w:rsidRDefault="00626FF9" w:rsidP="00B63C4D">
            <w:pPr>
              <w:jc w:val="center"/>
              <w:rPr>
                <w:sz w:val="20"/>
                <w:szCs w:val="20"/>
              </w:rPr>
            </w:pPr>
            <w:r w:rsidRPr="002C29D2">
              <w:rPr>
                <w:sz w:val="20"/>
                <w:szCs w:val="20"/>
              </w:rPr>
              <w:t>0.644</w:t>
            </w:r>
          </w:p>
        </w:tc>
        <w:tc>
          <w:tcPr>
            <w:tcW w:w="992" w:type="dxa"/>
            <w:vAlign w:val="bottom"/>
          </w:tcPr>
          <w:p w14:paraId="66910610" w14:textId="77777777" w:rsidR="00626FF9" w:rsidRPr="002C29D2" w:rsidRDefault="00626FF9" w:rsidP="00B63C4D">
            <w:pPr>
              <w:jc w:val="center"/>
              <w:rPr>
                <w:sz w:val="20"/>
                <w:szCs w:val="20"/>
              </w:rPr>
            </w:pPr>
            <w:r w:rsidRPr="002C29D2">
              <w:rPr>
                <w:sz w:val="20"/>
                <w:szCs w:val="20"/>
              </w:rPr>
              <w:t>0.519</w:t>
            </w:r>
          </w:p>
        </w:tc>
        <w:tc>
          <w:tcPr>
            <w:tcW w:w="992" w:type="dxa"/>
            <w:shd w:val="clear" w:color="auto" w:fill="auto"/>
            <w:noWrap/>
            <w:vAlign w:val="bottom"/>
            <w:hideMark/>
          </w:tcPr>
          <w:p w14:paraId="64A29476" w14:textId="77777777" w:rsidR="00626FF9" w:rsidRPr="002C29D2" w:rsidRDefault="00626FF9" w:rsidP="00B63C4D">
            <w:pPr>
              <w:jc w:val="center"/>
              <w:rPr>
                <w:sz w:val="20"/>
                <w:szCs w:val="20"/>
              </w:rPr>
            </w:pPr>
            <w:r w:rsidRPr="002C29D2">
              <w:rPr>
                <w:sz w:val="20"/>
                <w:szCs w:val="20"/>
              </w:rPr>
              <w:t>0.054</w:t>
            </w:r>
          </w:p>
        </w:tc>
        <w:tc>
          <w:tcPr>
            <w:tcW w:w="1122" w:type="dxa"/>
            <w:shd w:val="clear" w:color="auto" w:fill="auto"/>
            <w:noWrap/>
            <w:vAlign w:val="bottom"/>
            <w:hideMark/>
          </w:tcPr>
          <w:p w14:paraId="4C266E59" w14:textId="77777777" w:rsidR="00626FF9" w:rsidRPr="002C29D2" w:rsidRDefault="00626FF9" w:rsidP="00B63C4D">
            <w:pPr>
              <w:jc w:val="center"/>
              <w:rPr>
                <w:sz w:val="20"/>
                <w:szCs w:val="20"/>
              </w:rPr>
            </w:pPr>
            <w:r w:rsidRPr="002C29D2">
              <w:rPr>
                <w:sz w:val="20"/>
                <w:szCs w:val="20"/>
              </w:rPr>
              <w:t>0.664</w:t>
            </w:r>
          </w:p>
        </w:tc>
        <w:tc>
          <w:tcPr>
            <w:tcW w:w="863" w:type="dxa"/>
            <w:vAlign w:val="bottom"/>
          </w:tcPr>
          <w:p w14:paraId="7964335B" w14:textId="77777777" w:rsidR="00626FF9" w:rsidRPr="002C29D2" w:rsidRDefault="00626FF9" w:rsidP="00B63C4D">
            <w:pPr>
              <w:jc w:val="center"/>
              <w:rPr>
                <w:sz w:val="20"/>
                <w:szCs w:val="20"/>
              </w:rPr>
            </w:pPr>
            <w:r w:rsidRPr="002C29D2">
              <w:rPr>
                <w:sz w:val="20"/>
                <w:szCs w:val="20"/>
              </w:rPr>
              <w:t>0.507</w:t>
            </w:r>
          </w:p>
        </w:tc>
        <w:tc>
          <w:tcPr>
            <w:tcW w:w="1201" w:type="dxa"/>
            <w:shd w:val="clear" w:color="auto" w:fill="auto"/>
            <w:noWrap/>
            <w:vAlign w:val="bottom"/>
            <w:hideMark/>
          </w:tcPr>
          <w:p w14:paraId="141320E6" w14:textId="77777777" w:rsidR="00626FF9" w:rsidRPr="002C29D2" w:rsidRDefault="00626FF9" w:rsidP="00B63C4D">
            <w:pPr>
              <w:jc w:val="center"/>
              <w:rPr>
                <w:sz w:val="20"/>
                <w:szCs w:val="20"/>
              </w:rPr>
            </w:pPr>
            <w:r w:rsidRPr="002C29D2">
              <w:rPr>
                <w:sz w:val="20"/>
                <w:szCs w:val="20"/>
              </w:rPr>
              <w:t>0.099</w:t>
            </w:r>
          </w:p>
        </w:tc>
        <w:tc>
          <w:tcPr>
            <w:tcW w:w="1067" w:type="dxa"/>
            <w:vAlign w:val="bottom"/>
          </w:tcPr>
          <w:p w14:paraId="3CE1CE54" w14:textId="77777777" w:rsidR="00626FF9" w:rsidRPr="002C29D2" w:rsidRDefault="00626FF9" w:rsidP="00B63C4D">
            <w:pPr>
              <w:jc w:val="center"/>
              <w:rPr>
                <w:sz w:val="20"/>
                <w:szCs w:val="20"/>
              </w:rPr>
            </w:pPr>
            <w:r w:rsidRPr="002C29D2">
              <w:rPr>
                <w:sz w:val="20"/>
                <w:szCs w:val="20"/>
              </w:rPr>
              <w:t>0.921</w:t>
            </w:r>
          </w:p>
        </w:tc>
      </w:tr>
      <w:tr w:rsidR="002C29D2" w:rsidRPr="002C29D2" w14:paraId="53EFC35B" w14:textId="77777777" w:rsidTr="00626FF9">
        <w:trPr>
          <w:trHeight w:val="320"/>
        </w:trPr>
        <w:tc>
          <w:tcPr>
            <w:tcW w:w="1435" w:type="dxa"/>
            <w:shd w:val="clear" w:color="auto" w:fill="auto"/>
            <w:noWrap/>
            <w:vAlign w:val="center"/>
            <w:hideMark/>
          </w:tcPr>
          <w:p w14:paraId="6D141158" w14:textId="77777777" w:rsidR="00626FF9" w:rsidRPr="002C29D2" w:rsidRDefault="00626FF9" w:rsidP="00626FF9">
            <w:pPr>
              <w:rPr>
                <w:sz w:val="20"/>
                <w:szCs w:val="20"/>
              </w:rPr>
            </w:pPr>
            <w:r w:rsidRPr="002C29D2">
              <w:rPr>
                <w:sz w:val="20"/>
                <w:szCs w:val="20"/>
              </w:rPr>
              <w:t>NM -&gt; ENG</w:t>
            </w:r>
          </w:p>
        </w:tc>
        <w:tc>
          <w:tcPr>
            <w:tcW w:w="970" w:type="dxa"/>
            <w:shd w:val="clear" w:color="auto" w:fill="auto"/>
            <w:noWrap/>
            <w:vAlign w:val="bottom"/>
            <w:hideMark/>
          </w:tcPr>
          <w:p w14:paraId="35EA3BAE" w14:textId="77777777" w:rsidR="00626FF9" w:rsidRPr="002C29D2" w:rsidRDefault="00626FF9" w:rsidP="00B63C4D">
            <w:pPr>
              <w:jc w:val="center"/>
              <w:rPr>
                <w:sz w:val="20"/>
                <w:szCs w:val="20"/>
              </w:rPr>
            </w:pPr>
            <w:r w:rsidRPr="002C29D2">
              <w:rPr>
                <w:sz w:val="20"/>
                <w:szCs w:val="20"/>
              </w:rPr>
              <w:t>0.149</w:t>
            </w:r>
          </w:p>
        </w:tc>
        <w:tc>
          <w:tcPr>
            <w:tcW w:w="1134" w:type="dxa"/>
            <w:shd w:val="clear" w:color="auto" w:fill="auto"/>
            <w:noWrap/>
            <w:vAlign w:val="bottom"/>
            <w:hideMark/>
          </w:tcPr>
          <w:p w14:paraId="76004C76" w14:textId="77777777" w:rsidR="00626FF9" w:rsidRPr="002C29D2" w:rsidRDefault="00626FF9" w:rsidP="00B63C4D">
            <w:pPr>
              <w:jc w:val="center"/>
              <w:rPr>
                <w:sz w:val="20"/>
                <w:szCs w:val="20"/>
              </w:rPr>
            </w:pPr>
            <w:r w:rsidRPr="002C29D2">
              <w:rPr>
                <w:sz w:val="20"/>
                <w:szCs w:val="20"/>
              </w:rPr>
              <w:t>2.268</w:t>
            </w:r>
          </w:p>
        </w:tc>
        <w:tc>
          <w:tcPr>
            <w:tcW w:w="992" w:type="dxa"/>
            <w:vAlign w:val="bottom"/>
          </w:tcPr>
          <w:p w14:paraId="04824B4C" w14:textId="77777777" w:rsidR="00626FF9" w:rsidRPr="002C29D2" w:rsidRDefault="00626FF9" w:rsidP="00B63C4D">
            <w:pPr>
              <w:jc w:val="center"/>
              <w:rPr>
                <w:sz w:val="20"/>
                <w:szCs w:val="20"/>
              </w:rPr>
            </w:pPr>
            <w:r w:rsidRPr="002C29D2">
              <w:rPr>
                <w:sz w:val="20"/>
                <w:szCs w:val="20"/>
              </w:rPr>
              <w:t>0.023</w:t>
            </w:r>
          </w:p>
        </w:tc>
        <w:tc>
          <w:tcPr>
            <w:tcW w:w="992" w:type="dxa"/>
            <w:shd w:val="clear" w:color="auto" w:fill="auto"/>
            <w:noWrap/>
            <w:vAlign w:val="bottom"/>
            <w:hideMark/>
          </w:tcPr>
          <w:p w14:paraId="158F62FA" w14:textId="77777777" w:rsidR="00626FF9" w:rsidRPr="002C29D2" w:rsidRDefault="00626FF9" w:rsidP="00B63C4D">
            <w:pPr>
              <w:jc w:val="center"/>
              <w:rPr>
                <w:sz w:val="20"/>
                <w:szCs w:val="20"/>
              </w:rPr>
            </w:pPr>
            <w:r w:rsidRPr="002C29D2">
              <w:rPr>
                <w:sz w:val="20"/>
                <w:szCs w:val="20"/>
              </w:rPr>
              <w:t>0.211</w:t>
            </w:r>
          </w:p>
        </w:tc>
        <w:tc>
          <w:tcPr>
            <w:tcW w:w="1122" w:type="dxa"/>
            <w:shd w:val="clear" w:color="auto" w:fill="auto"/>
            <w:noWrap/>
            <w:vAlign w:val="bottom"/>
            <w:hideMark/>
          </w:tcPr>
          <w:p w14:paraId="38D4C56C" w14:textId="77777777" w:rsidR="00626FF9" w:rsidRPr="002C29D2" w:rsidRDefault="00626FF9" w:rsidP="00B63C4D">
            <w:pPr>
              <w:jc w:val="center"/>
              <w:rPr>
                <w:sz w:val="20"/>
                <w:szCs w:val="20"/>
              </w:rPr>
            </w:pPr>
            <w:r w:rsidRPr="002C29D2">
              <w:rPr>
                <w:sz w:val="20"/>
                <w:szCs w:val="20"/>
              </w:rPr>
              <w:t>3.116</w:t>
            </w:r>
          </w:p>
        </w:tc>
        <w:tc>
          <w:tcPr>
            <w:tcW w:w="863" w:type="dxa"/>
            <w:vAlign w:val="bottom"/>
          </w:tcPr>
          <w:p w14:paraId="55A68757" w14:textId="77777777" w:rsidR="00626FF9" w:rsidRPr="002C29D2" w:rsidRDefault="00626FF9" w:rsidP="00B63C4D">
            <w:pPr>
              <w:jc w:val="center"/>
              <w:rPr>
                <w:sz w:val="20"/>
                <w:szCs w:val="20"/>
              </w:rPr>
            </w:pPr>
            <w:r w:rsidRPr="002C29D2">
              <w:rPr>
                <w:sz w:val="20"/>
                <w:szCs w:val="20"/>
              </w:rPr>
              <w:t>0.002</w:t>
            </w:r>
          </w:p>
        </w:tc>
        <w:tc>
          <w:tcPr>
            <w:tcW w:w="1201" w:type="dxa"/>
            <w:shd w:val="clear" w:color="auto" w:fill="auto"/>
            <w:noWrap/>
            <w:vAlign w:val="bottom"/>
            <w:hideMark/>
          </w:tcPr>
          <w:p w14:paraId="70A2FCE7" w14:textId="77777777" w:rsidR="00626FF9" w:rsidRPr="002C29D2" w:rsidRDefault="00626FF9" w:rsidP="00B63C4D">
            <w:pPr>
              <w:jc w:val="center"/>
              <w:rPr>
                <w:sz w:val="20"/>
                <w:szCs w:val="20"/>
              </w:rPr>
            </w:pPr>
            <w:r w:rsidRPr="002C29D2">
              <w:rPr>
                <w:sz w:val="20"/>
                <w:szCs w:val="20"/>
              </w:rPr>
              <w:t>0.655</w:t>
            </w:r>
          </w:p>
        </w:tc>
        <w:tc>
          <w:tcPr>
            <w:tcW w:w="1067" w:type="dxa"/>
            <w:vAlign w:val="bottom"/>
          </w:tcPr>
          <w:p w14:paraId="37CD2420" w14:textId="77777777" w:rsidR="00626FF9" w:rsidRPr="002C29D2" w:rsidRDefault="00626FF9" w:rsidP="00B63C4D">
            <w:pPr>
              <w:jc w:val="center"/>
              <w:rPr>
                <w:sz w:val="20"/>
                <w:szCs w:val="20"/>
              </w:rPr>
            </w:pPr>
            <w:r w:rsidRPr="002C29D2">
              <w:rPr>
                <w:sz w:val="20"/>
                <w:szCs w:val="20"/>
              </w:rPr>
              <w:t>0.513</w:t>
            </w:r>
          </w:p>
        </w:tc>
      </w:tr>
      <w:tr w:rsidR="002C29D2" w:rsidRPr="002C29D2" w14:paraId="3D24369B" w14:textId="77777777" w:rsidTr="00626FF9">
        <w:trPr>
          <w:trHeight w:val="320"/>
        </w:trPr>
        <w:tc>
          <w:tcPr>
            <w:tcW w:w="1435" w:type="dxa"/>
            <w:shd w:val="clear" w:color="auto" w:fill="auto"/>
            <w:noWrap/>
            <w:vAlign w:val="center"/>
            <w:hideMark/>
          </w:tcPr>
          <w:p w14:paraId="30264AD5" w14:textId="77777777" w:rsidR="00626FF9" w:rsidRPr="002C29D2" w:rsidRDefault="00626FF9" w:rsidP="00626FF9">
            <w:pPr>
              <w:rPr>
                <w:sz w:val="20"/>
                <w:szCs w:val="20"/>
              </w:rPr>
            </w:pPr>
            <w:r w:rsidRPr="002C29D2">
              <w:rPr>
                <w:sz w:val="20"/>
                <w:szCs w:val="20"/>
              </w:rPr>
              <w:t>NM -&gt; SAT</w:t>
            </w:r>
          </w:p>
        </w:tc>
        <w:tc>
          <w:tcPr>
            <w:tcW w:w="970" w:type="dxa"/>
            <w:shd w:val="clear" w:color="auto" w:fill="auto"/>
            <w:noWrap/>
            <w:vAlign w:val="bottom"/>
            <w:hideMark/>
          </w:tcPr>
          <w:p w14:paraId="48119FE0" w14:textId="77777777" w:rsidR="00626FF9" w:rsidRPr="002C29D2" w:rsidRDefault="00626FF9" w:rsidP="00B63C4D">
            <w:pPr>
              <w:jc w:val="center"/>
              <w:rPr>
                <w:sz w:val="20"/>
                <w:szCs w:val="20"/>
              </w:rPr>
            </w:pPr>
            <w:r w:rsidRPr="002C29D2">
              <w:rPr>
                <w:sz w:val="20"/>
                <w:szCs w:val="20"/>
              </w:rPr>
              <w:t>0.073</w:t>
            </w:r>
          </w:p>
        </w:tc>
        <w:tc>
          <w:tcPr>
            <w:tcW w:w="1134" w:type="dxa"/>
            <w:shd w:val="clear" w:color="auto" w:fill="auto"/>
            <w:noWrap/>
            <w:vAlign w:val="bottom"/>
            <w:hideMark/>
          </w:tcPr>
          <w:p w14:paraId="672F2DB0" w14:textId="77777777" w:rsidR="00626FF9" w:rsidRPr="002C29D2" w:rsidRDefault="00626FF9" w:rsidP="00B63C4D">
            <w:pPr>
              <w:jc w:val="center"/>
              <w:rPr>
                <w:sz w:val="20"/>
                <w:szCs w:val="20"/>
              </w:rPr>
            </w:pPr>
            <w:r w:rsidRPr="002C29D2">
              <w:rPr>
                <w:sz w:val="20"/>
                <w:szCs w:val="20"/>
              </w:rPr>
              <w:t>0.881</w:t>
            </w:r>
          </w:p>
        </w:tc>
        <w:tc>
          <w:tcPr>
            <w:tcW w:w="992" w:type="dxa"/>
            <w:vAlign w:val="bottom"/>
          </w:tcPr>
          <w:p w14:paraId="17F8A68F" w14:textId="77777777" w:rsidR="00626FF9" w:rsidRPr="002C29D2" w:rsidRDefault="00626FF9" w:rsidP="00B63C4D">
            <w:pPr>
              <w:jc w:val="center"/>
              <w:rPr>
                <w:sz w:val="20"/>
                <w:szCs w:val="20"/>
              </w:rPr>
            </w:pPr>
            <w:r w:rsidRPr="002C29D2">
              <w:rPr>
                <w:sz w:val="20"/>
                <w:szCs w:val="20"/>
              </w:rPr>
              <w:t>0.379</w:t>
            </w:r>
          </w:p>
        </w:tc>
        <w:tc>
          <w:tcPr>
            <w:tcW w:w="992" w:type="dxa"/>
            <w:shd w:val="clear" w:color="auto" w:fill="auto"/>
            <w:noWrap/>
            <w:vAlign w:val="bottom"/>
            <w:hideMark/>
          </w:tcPr>
          <w:p w14:paraId="391A8BD3" w14:textId="77777777" w:rsidR="00626FF9" w:rsidRPr="002C29D2" w:rsidRDefault="00626FF9" w:rsidP="00B63C4D">
            <w:pPr>
              <w:jc w:val="center"/>
              <w:rPr>
                <w:sz w:val="20"/>
                <w:szCs w:val="20"/>
              </w:rPr>
            </w:pPr>
            <w:r w:rsidRPr="002C29D2">
              <w:rPr>
                <w:sz w:val="20"/>
                <w:szCs w:val="20"/>
              </w:rPr>
              <w:t>0.206</w:t>
            </w:r>
          </w:p>
        </w:tc>
        <w:tc>
          <w:tcPr>
            <w:tcW w:w="1122" w:type="dxa"/>
            <w:shd w:val="clear" w:color="auto" w:fill="auto"/>
            <w:noWrap/>
            <w:vAlign w:val="bottom"/>
            <w:hideMark/>
          </w:tcPr>
          <w:p w14:paraId="4A72E941" w14:textId="77777777" w:rsidR="00626FF9" w:rsidRPr="002C29D2" w:rsidRDefault="00626FF9" w:rsidP="00B63C4D">
            <w:pPr>
              <w:jc w:val="center"/>
              <w:rPr>
                <w:sz w:val="20"/>
                <w:szCs w:val="20"/>
              </w:rPr>
            </w:pPr>
            <w:r w:rsidRPr="002C29D2">
              <w:rPr>
                <w:sz w:val="20"/>
                <w:szCs w:val="20"/>
              </w:rPr>
              <w:t>2.674</w:t>
            </w:r>
          </w:p>
        </w:tc>
        <w:tc>
          <w:tcPr>
            <w:tcW w:w="863" w:type="dxa"/>
            <w:vAlign w:val="bottom"/>
          </w:tcPr>
          <w:p w14:paraId="356B4705" w14:textId="77777777" w:rsidR="00626FF9" w:rsidRPr="002C29D2" w:rsidRDefault="00626FF9" w:rsidP="00B63C4D">
            <w:pPr>
              <w:jc w:val="center"/>
              <w:rPr>
                <w:sz w:val="20"/>
                <w:szCs w:val="20"/>
              </w:rPr>
            </w:pPr>
            <w:r w:rsidRPr="002C29D2">
              <w:rPr>
                <w:sz w:val="20"/>
                <w:szCs w:val="20"/>
              </w:rPr>
              <w:t>0.008</w:t>
            </w:r>
          </w:p>
        </w:tc>
        <w:tc>
          <w:tcPr>
            <w:tcW w:w="1201" w:type="dxa"/>
            <w:shd w:val="clear" w:color="auto" w:fill="auto"/>
            <w:noWrap/>
            <w:vAlign w:val="bottom"/>
            <w:hideMark/>
          </w:tcPr>
          <w:p w14:paraId="6F904D93" w14:textId="77777777" w:rsidR="00626FF9" w:rsidRPr="002C29D2" w:rsidRDefault="00626FF9" w:rsidP="00B63C4D">
            <w:pPr>
              <w:jc w:val="center"/>
              <w:rPr>
                <w:sz w:val="20"/>
                <w:szCs w:val="20"/>
              </w:rPr>
            </w:pPr>
            <w:r w:rsidRPr="002C29D2">
              <w:rPr>
                <w:sz w:val="20"/>
                <w:szCs w:val="20"/>
              </w:rPr>
              <w:t>1.174</w:t>
            </w:r>
          </w:p>
        </w:tc>
        <w:tc>
          <w:tcPr>
            <w:tcW w:w="1067" w:type="dxa"/>
            <w:vAlign w:val="bottom"/>
          </w:tcPr>
          <w:p w14:paraId="0DFCFA8A" w14:textId="77777777" w:rsidR="00626FF9" w:rsidRPr="002C29D2" w:rsidRDefault="00626FF9" w:rsidP="00B63C4D">
            <w:pPr>
              <w:jc w:val="center"/>
              <w:rPr>
                <w:sz w:val="20"/>
                <w:szCs w:val="20"/>
              </w:rPr>
            </w:pPr>
            <w:r w:rsidRPr="002C29D2">
              <w:rPr>
                <w:sz w:val="20"/>
                <w:szCs w:val="20"/>
              </w:rPr>
              <w:t>0.242</w:t>
            </w:r>
          </w:p>
        </w:tc>
      </w:tr>
      <w:tr w:rsidR="002C29D2" w:rsidRPr="002C29D2" w14:paraId="161F7212" w14:textId="77777777" w:rsidTr="00626FF9">
        <w:trPr>
          <w:trHeight w:val="320"/>
        </w:trPr>
        <w:tc>
          <w:tcPr>
            <w:tcW w:w="1435" w:type="dxa"/>
            <w:shd w:val="clear" w:color="auto" w:fill="auto"/>
            <w:noWrap/>
            <w:vAlign w:val="center"/>
            <w:hideMark/>
          </w:tcPr>
          <w:p w14:paraId="314FB42C" w14:textId="77777777" w:rsidR="00626FF9" w:rsidRPr="002C29D2" w:rsidRDefault="00626FF9" w:rsidP="00626FF9">
            <w:pPr>
              <w:rPr>
                <w:b/>
                <w:bCs/>
                <w:sz w:val="20"/>
                <w:szCs w:val="20"/>
              </w:rPr>
            </w:pPr>
            <w:r w:rsidRPr="002C29D2">
              <w:rPr>
                <w:b/>
                <w:bCs/>
                <w:sz w:val="20"/>
                <w:szCs w:val="20"/>
              </w:rPr>
              <w:lastRenderedPageBreak/>
              <w:t>NM -&gt; UI</w:t>
            </w:r>
          </w:p>
        </w:tc>
        <w:tc>
          <w:tcPr>
            <w:tcW w:w="970" w:type="dxa"/>
            <w:shd w:val="clear" w:color="auto" w:fill="auto"/>
            <w:noWrap/>
            <w:vAlign w:val="bottom"/>
            <w:hideMark/>
          </w:tcPr>
          <w:p w14:paraId="59BFC9FC" w14:textId="77777777" w:rsidR="00626FF9" w:rsidRPr="002C29D2" w:rsidRDefault="00626FF9" w:rsidP="00B63C4D">
            <w:pPr>
              <w:jc w:val="center"/>
              <w:rPr>
                <w:b/>
                <w:bCs/>
                <w:sz w:val="20"/>
                <w:szCs w:val="20"/>
              </w:rPr>
            </w:pPr>
            <w:r w:rsidRPr="002C29D2">
              <w:rPr>
                <w:b/>
                <w:bCs/>
                <w:sz w:val="20"/>
                <w:szCs w:val="20"/>
              </w:rPr>
              <w:t>-0.199</w:t>
            </w:r>
          </w:p>
        </w:tc>
        <w:tc>
          <w:tcPr>
            <w:tcW w:w="1134" w:type="dxa"/>
            <w:shd w:val="clear" w:color="auto" w:fill="auto"/>
            <w:noWrap/>
            <w:vAlign w:val="bottom"/>
            <w:hideMark/>
          </w:tcPr>
          <w:p w14:paraId="2DB4A5C2" w14:textId="77777777" w:rsidR="00626FF9" w:rsidRPr="002C29D2" w:rsidRDefault="00626FF9" w:rsidP="00B63C4D">
            <w:pPr>
              <w:jc w:val="center"/>
              <w:rPr>
                <w:b/>
                <w:bCs/>
                <w:sz w:val="20"/>
                <w:szCs w:val="20"/>
              </w:rPr>
            </w:pPr>
            <w:r w:rsidRPr="002C29D2">
              <w:rPr>
                <w:b/>
                <w:bCs/>
                <w:sz w:val="20"/>
                <w:szCs w:val="20"/>
              </w:rPr>
              <w:t>2.829</w:t>
            </w:r>
          </w:p>
        </w:tc>
        <w:tc>
          <w:tcPr>
            <w:tcW w:w="992" w:type="dxa"/>
            <w:vAlign w:val="bottom"/>
          </w:tcPr>
          <w:p w14:paraId="0647DBD2" w14:textId="77777777" w:rsidR="00626FF9" w:rsidRPr="002C29D2" w:rsidRDefault="00626FF9" w:rsidP="00B63C4D">
            <w:pPr>
              <w:jc w:val="center"/>
              <w:rPr>
                <w:b/>
                <w:bCs/>
                <w:sz w:val="20"/>
                <w:szCs w:val="20"/>
              </w:rPr>
            </w:pPr>
            <w:r w:rsidRPr="002C29D2">
              <w:rPr>
                <w:b/>
                <w:bCs/>
                <w:sz w:val="20"/>
                <w:szCs w:val="20"/>
              </w:rPr>
              <w:t>0.005</w:t>
            </w:r>
          </w:p>
        </w:tc>
        <w:tc>
          <w:tcPr>
            <w:tcW w:w="992" w:type="dxa"/>
            <w:shd w:val="clear" w:color="auto" w:fill="auto"/>
            <w:noWrap/>
            <w:vAlign w:val="bottom"/>
            <w:hideMark/>
          </w:tcPr>
          <w:p w14:paraId="0DC8C0B0" w14:textId="77777777" w:rsidR="00626FF9" w:rsidRPr="002C29D2" w:rsidRDefault="00626FF9" w:rsidP="00B63C4D">
            <w:pPr>
              <w:jc w:val="center"/>
              <w:rPr>
                <w:b/>
                <w:bCs/>
                <w:sz w:val="20"/>
                <w:szCs w:val="20"/>
              </w:rPr>
            </w:pPr>
            <w:r w:rsidRPr="002C29D2">
              <w:rPr>
                <w:b/>
                <w:bCs/>
                <w:sz w:val="20"/>
                <w:szCs w:val="20"/>
              </w:rPr>
              <w:t>0.079</w:t>
            </w:r>
          </w:p>
        </w:tc>
        <w:tc>
          <w:tcPr>
            <w:tcW w:w="1122" w:type="dxa"/>
            <w:shd w:val="clear" w:color="auto" w:fill="auto"/>
            <w:noWrap/>
            <w:vAlign w:val="bottom"/>
            <w:hideMark/>
          </w:tcPr>
          <w:p w14:paraId="6994D8A8" w14:textId="77777777" w:rsidR="00626FF9" w:rsidRPr="002C29D2" w:rsidRDefault="00626FF9" w:rsidP="00B63C4D">
            <w:pPr>
              <w:jc w:val="center"/>
              <w:rPr>
                <w:b/>
                <w:bCs/>
                <w:sz w:val="20"/>
                <w:szCs w:val="20"/>
              </w:rPr>
            </w:pPr>
            <w:r w:rsidRPr="002C29D2">
              <w:rPr>
                <w:b/>
                <w:bCs/>
                <w:sz w:val="20"/>
                <w:szCs w:val="20"/>
              </w:rPr>
              <w:t>0.953</w:t>
            </w:r>
          </w:p>
        </w:tc>
        <w:tc>
          <w:tcPr>
            <w:tcW w:w="863" w:type="dxa"/>
            <w:vAlign w:val="bottom"/>
          </w:tcPr>
          <w:p w14:paraId="0E489221" w14:textId="77777777" w:rsidR="00626FF9" w:rsidRPr="002C29D2" w:rsidRDefault="00626FF9" w:rsidP="00B63C4D">
            <w:pPr>
              <w:jc w:val="center"/>
              <w:rPr>
                <w:b/>
                <w:bCs/>
                <w:sz w:val="20"/>
                <w:szCs w:val="20"/>
              </w:rPr>
            </w:pPr>
            <w:r w:rsidRPr="002C29D2">
              <w:rPr>
                <w:b/>
                <w:bCs/>
                <w:sz w:val="20"/>
                <w:szCs w:val="20"/>
              </w:rPr>
              <w:t>0.341</w:t>
            </w:r>
          </w:p>
        </w:tc>
        <w:tc>
          <w:tcPr>
            <w:tcW w:w="1201" w:type="dxa"/>
            <w:shd w:val="clear" w:color="auto" w:fill="auto"/>
            <w:noWrap/>
            <w:vAlign w:val="bottom"/>
            <w:hideMark/>
          </w:tcPr>
          <w:p w14:paraId="111AC173" w14:textId="77777777" w:rsidR="00626FF9" w:rsidRPr="002C29D2" w:rsidRDefault="00626FF9" w:rsidP="00B63C4D">
            <w:pPr>
              <w:jc w:val="center"/>
              <w:rPr>
                <w:b/>
                <w:bCs/>
                <w:sz w:val="20"/>
                <w:szCs w:val="20"/>
              </w:rPr>
            </w:pPr>
            <w:r w:rsidRPr="002C29D2">
              <w:rPr>
                <w:b/>
                <w:bCs/>
                <w:sz w:val="20"/>
                <w:szCs w:val="20"/>
              </w:rPr>
              <w:t>2.561</w:t>
            </w:r>
          </w:p>
        </w:tc>
        <w:tc>
          <w:tcPr>
            <w:tcW w:w="1067" w:type="dxa"/>
            <w:vAlign w:val="bottom"/>
          </w:tcPr>
          <w:p w14:paraId="4A7C1ADD" w14:textId="77777777" w:rsidR="00626FF9" w:rsidRPr="002C29D2" w:rsidRDefault="00626FF9" w:rsidP="00B63C4D">
            <w:pPr>
              <w:jc w:val="center"/>
              <w:rPr>
                <w:b/>
                <w:bCs/>
                <w:sz w:val="20"/>
                <w:szCs w:val="20"/>
              </w:rPr>
            </w:pPr>
            <w:r w:rsidRPr="002C29D2">
              <w:rPr>
                <w:b/>
                <w:bCs/>
                <w:sz w:val="20"/>
                <w:szCs w:val="20"/>
              </w:rPr>
              <w:t>0.011</w:t>
            </w:r>
          </w:p>
        </w:tc>
      </w:tr>
    </w:tbl>
    <w:p w14:paraId="4F67D196" w14:textId="77777777" w:rsidR="00626FF9" w:rsidRPr="002C29D2" w:rsidRDefault="00626FF9" w:rsidP="00626FF9">
      <w:pPr>
        <w:rPr>
          <w:lang w:eastAsia="zh-TW"/>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70"/>
        <w:gridCol w:w="1134"/>
        <w:gridCol w:w="992"/>
        <w:gridCol w:w="992"/>
        <w:gridCol w:w="1122"/>
        <w:gridCol w:w="863"/>
        <w:gridCol w:w="1201"/>
        <w:gridCol w:w="1067"/>
      </w:tblGrid>
      <w:tr w:rsidR="002C29D2" w:rsidRPr="002C29D2" w14:paraId="7455F5BD" w14:textId="77777777" w:rsidTr="00626FF9">
        <w:trPr>
          <w:trHeight w:val="320"/>
        </w:trPr>
        <w:tc>
          <w:tcPr>
            <w:tcW w:w="1435" w:type="dxa"/>
            <w:shd w:val="clear" w:color="auto" w:fill="auto"/>
            <w:noWrap/>
            <w:vAlign w:val="center"/>
            <w:hideMark/>
          </w:tcPr>
          <w:p w14:paraId="5CE05868" w14:textId="77777777" w:rsidR="00626FF9" w:rsidRPr="002C29D2" w:rsidRDefault="00626FF9" w:rsidP="00626FF9">
            <w:pPr>
              <w:jc w:val="center"/>
              <w:rPr>
                <w:b/>
                <w:bCs/>
                <w:sz w:val="20"/>
                <w:szCs w:val="20"/>
              </w:rPr>
            </w:pPr>
            <w:r w:rsidRPr="002C29D2">
              <w:rPr>
                <w:b/>
                <w:bCs/>
                <w:sz w:val="20"/>
                <w:szCs w:val="20"/>
              </w:rPr>
              <w:t>Experience of working in healthcare (years)</w:t>
            </w:r>
          </w:p>
        </w:tc>
        <w:tc>
          <w:tcPr>
            <w:tcW w:w="3096" w:type="dxa"/>
            <w:gridSpan w:val="3"/>
            <w:shd w:val="clear" w:color="auto" w:fill="auto"/>
            <w:noWrap/>
            <w:vAlign w:val="center"/>
            <w:hideMark/>
          </w:tcPr>
          <w:p w14:paraId="25AC83B8" w14:textId="04E838CD" w:rsidR="00626FF9" w:rsidRPr="002C29D2" w:rsidRDefault="00026999" w:rsidP="00626FF9">
            <w:pPr>
              <w:jc w:val="center"/>
              <w:rPr>
                <w:b/>
                <w:bCs/>
                <w:sz w:val="20"/>
                <w:szCs w:val="20"/>
              </w:rPr>
            </w:pPr>
            <w:r w:rsidRPr="002C29D2">
              <w:rPr>
                <w:b/>
                <w:bCs/>
                <w:sz w:val="20"/>
                <w:szCs w:val="20"/>
              </w:rPr>
              <w:t>Group 1</w:t>
            </w:r>
            <w:r w:rsidR="00626FF9" w:rsidRPr="002C29D2">
              <w:rPr>
                <w:b/>
                <w:bCs/>
                <w:sz w:val="20"/>
                <w:szCs w:val="20"/>
              </w:rPr>
              <w:t>: 5 years and below (n = 227)</w:t>
            </w:r>
          </w:p>
        </w:tc>
        <w:tc>
          <w:tcPr>
            <w:tcW w:w="2977" w:type="dxa"/>
            <w:gridSpan w:val="3"/>
            <w:shd w:val="clear" w:color="auto" w:fill="auto"/>
            <w:noWrap/>
            <w:vAlign w:val="center"/>
            <w:hideMark/>
          </w:tcPr>
          <w:p w14:paraId="6645FFEF" w14:textId="236AC3E7" w:rsidR="00626FF9" w:rsidRPr="002C29D2" w:rsidRDefault="00B31E3E" w:rsidP="00626FF9">
            <w:pPr>
              <w:jc w:val="center"/>
              <w:rPr>
                <w:b/>
                <w:bCs/>
                <w:sz w:val="20"/>
                <w:szCs w:val="20"/>
              </w:rPr>
            </w:pPr>
            <w:r w:rsidRPr="002C29D2">
              <w:rPr>
                <w:b/>
                <w:bCs/>
                <w:sz w:val="20"/>
                <w:szCs w:val="20"/>
              </w:rPr>
              <w:t xml:space="preserve">Group </w:t>
            </w:r>
            <w:r w:rsidR="00626FF9" w:rsidRPr="002C29D2">
              <w:rPr>
                <w:b/>
                <w:bCs/>
                <w:sz w:val="20"/>
                <w:szCs w:val="20"/>
              </w:rPr>
              <w:t>2: above 5 year (n = 177)</w:t>
            </w:r>
          </w:p>
        </w:tc>
        <w:tc>
          <w:tcPr>
            <w:tcW w:w="2268" w:type="dxa"/>
            <w:gridSpan w:val="2"/>
            <w:shd w:val="clear" w:color="auto" w:fill="auto"/>
            <w:noWrap/>
            <w:vAlign w:val="center"/>
            <w:hideMark/>
          </w:tcPr>
          <w:p w14:paraId="267868B7" w14:textId="3977DB4B" w:rsidR="00626FF9" w:rsidRPr="002C29D2" w:rsidRDefault="00B31E3E" w:rsidP="00626FF9">
            <w:pPr>
              <w:jc w:val="center"/>
              <w:rPr>
                <w:b/>
                <w:bCs/>
                <w:sz w:val="20"/>
                <w:szCs w:val="20"/>
              </w:rPr>
            </w:pPr>
            <w:r w:rsidRPr="002C29D2">
              <w:rPr>
                <w:b/>
                <w:bCs/>
                <w:sz w:val="20"/>
                <w:szCs w:val="20"/>
              </w:rPr>
              <w:t>Group</w:t>
            </w:r>
            <w:r w:rsidR="00626FF9" w:rsidRPr="002C29D2">
              <w:rPr>
                <w:b/>
                <w:bCs/>
                <w:sz w:val="20"/>
                <w:szCs w:val="20"/>
              </w:rPr>
              <w:t xml:space="preserve"> 1 vs</w:t>
            </w:r>
            <w:r w:rsidRPr="002C29D2">
              <w:rPr>
                <w:b/>
                <w:bCs/>
                <w:sz w:val="20"/>
                <w:szCs w:val="20"/>
              </w:rPr>
              <w:t xml:space="preserve"> Group </w:t>
            </w:r>
            <w:r w:rsidR="00626FF9" w:rsidRPr="002C29D2">
              <w:rPr>
                <w:b/>
                <w:bCs/>
                <w:sz w:val="20"/>
                <w:szCs w:val="20"/>
              </w:rPr>
              <w:t>2</w:t>
            </w:r>
          </w:p>
        </w:tc>
      </w:tr>
      <w:tr w:rsidR="002C29D2" w:rsidRPr="002C29D2" w14:paraId="5926C20D" w14:textId="77777777" w:rsidTr="00626FF9">
        <w:trPr>
          <w:trHeight w:val="320"/>
        </w:trPr>
        <w:tc>
          <w:tcPr>
            <w:tcW w:w="1435" w:type="dxa"/>
            <w:shd w:val="clear" w:color="auto" w:fill="auto"/>
            <w:noWrap/>
            <w:vAlign w:val="center"/>
          </w:tcPr>
          <w:p w14:paraId="20C15BE2" w14:textId="77777777" w:rsidR="00626FF9" w:rsidRPr="002C29D2" w:rsidRDefault="00626FF9" w:rsidP="00626FF9">
            <w:pPr>
              <w:rPr>
                <w:sz w:val="20"/>
                <w:szCs w:val="20"/>
              </w:rPr>
            </w:pPr>
          </w:p>
        </w:tc>
        <w:tc>
          <w:tcPr>
            <w:tcW w:w="970" w:type="dxa"/>
            <w:shd w:val="clear" w:color="auto" w:fill="auto"/>
            <w:noWrap/>
            <w:vAlign w:val="center"/>
          </w:tcPr>
          <w:p w14:paraId="34EEA945" w14:textId="77777777" w:rsidR="00626FF9" w:rsidRPr="002C29D2" w:rsidRDefault="00626FF9" w:rsidP="00626FF9">
            <w:pPr>
              <w:jc w:val="center"/>
              <w:rPr>
                <w:sz w:val="20"/>
                <w:szCs w:val="20"/>
              </w:rPr>
            </w:pPr>
            <w:r w:rsidRPr="002C29D2">
              <w:rPr>
                <w:sz w:val="20"/>
                <w:szCs w:val="20"/>
              </w:rPr>
              <w:t>β</w:t>
            </w:r>
          </w:p>
        </w:tc>
        <w:tc>
          <w:tcPr>
            <w:tcW w:w="1134" w:type="dxa"/>
            <w:shd w:val="clear" w:color="auto" w:fill="auto"/>
            <w:noWrap/>
            <w:vAlign w:val="center"/>
          </w:tcPr>
          <w:p w14:paraId="42E09070" w14:textId="77777777" w:rsidR="00626FF9" w:rsidRPr="002C29D2" w:rsidRDefault="00626FF9" w:rsidP="00626FF9">
            <w:pPr>
              <w:jc w:val="center"/>
              <w:rPr>
                <w:sz w:val="20"/>
                <w:szCs w:val="20"/>
              </w:rPr>
            </w:pPr>
            <w:r w:rsidRPr="002C29D2">
              <w:rPr>
                <w:sz w:val="20"/>
                <w:szCs w:val="20"/>
              </w:rPr>
              <w:t>T statistics</w:t>
            </w:r>
          </w:p>
        </w:tc>
        <w:tc>
          <w:tcPr>
            <w:tcW w:w="992" w:type="dxa"/>
            <w:vAlign w:val="center"/>
          </w:tcPr>
          <w:p w14:paraId="3C11E065" w14:textId="77777777" w:rsidR="00626FF9" w:rsidRPr="002C29D2" w:rsidRDefault="00626FF9" w:rsidP="00626FF9">
            <w:pPr>
              <w:jc w:val="center"/>
              <w:rPr>
                <w:sz w:val="20"/>
                <w:szCs w:val="20"/>
              </w:rPr>
            </w:pPr>
            <w:r w:rsidRPr="002C29D2">
              <w:rPr>
                <w:sz w:val="20"/>
                <w:szCs w:val="20"/>
              </w:rPr>
              <w:t>p</w:t>
            </w:r>
          </w:p>
        </w:tc>
        <w:tc>
          <w:tcPr>
            <w:tcW w:w="992" w:type="dxa"/>
            <w:shd w:val="clear" w:color="auto" w:fill="auto"/>
            <w:noWrap/>
            <w:vAlign w:val="center"/>
          </w:tcPr>
          <w:p w14:paraId="14DA5604" w14:textId="77777777" w:rsidR="00626FF9" w:rsidRPr="002C29D2" w:rsidRDefault="00626FF9" w:rsidP="00626FF9">
            <w:pPr>
              <w:jc w:val="center"/>
              <w:rPr>
                <w:sz w:val="20"/>
                <w:szCs w:val="20"/>
              </w:rPr>
            </w:pPr>
            <w:r w:rsidRPr="002C29D2">
              <w:rPr>
                <w:sz w:val="20"/>
                <w:szCs w:val="20"/>
              </w:rPr>
              <w:t>β</w:t>
            </w:r>
          </w:p>
        </w:tc>
        <w:tc>
          <w:tcPr>
            <w:tcW w:w="1122" w:type="dxa"/>
            <w:shd w:val="clear" w:color="auto" w:fill="auto"/>
            <w:noWrap/>
            <w:vAlign w:val="center"/>
          </w:tcPr>
          <w:p w14:paraId="17228A55" w14:textId="77777777" w:rsidR="00626FF9" w:rsidRPr="002C29D2" w:rsidRDefault="00626FF9" w:rsidP="00626FF9">
            <w:pPr>
              <w:jc w:val="center"/>
              <w:rPr>
                <w:sz w:val="20"/>
                <w:szCs w:val="20"/>
              </w:rPr>
            </w:pPr>
            <w:r w:rsidRPr="002C29D2">
              <w:rPr>
                <w:sz w:val="20"/>
                <w:szCs w:val="20"/>
              </w:rPr>
              <w:t>T statistics</w:t>
            </w:r>
          </w:p>
        </w:tc>
        <w:tc>
          <w:tcPr>
            <w:tcW w:w="863" w:type="dxa"/>
            <w:vAlign w:val="center"/>
          </w:tcPr>
          <w:p w14:paraId="23219F2B" w14:textId="77777777" w:rsidR="00626FF9" w:rsidRPr="002C29D2" w:rsidRDefault="00626FF9" w:rsidP="00626FF9">
            <w:pPr>
              <w:jc w:val="center"/>
              <w:rPr>
                <w:sz w:val="20"/>
                <w:szCs w:val="20"/>
              </w:rPr>
            </w:pPr>
            <w:r w:rsidRPr="002C29D2">
              <w:rPr>
                <w:sz w:val="20"/>
                <w:szCs w:val="20"/>
              </w:rPr>
              <w:t>p</w:t>
            </w:r>
          </w:p>
        </w:tc>
        <w:tc>
          <w:tcPr>
            <w:tcW w:w="1201" w:type="dxa"/>
            <w:shd w:val="clear" w:color="auto" w:fill="auto"/>
            <w:noWrap/>
            <w:vAlign w:val="center"/>
          </w:tcPr>
          <w:p w14:paraId="5BE4089D" w14:textId="77777777" w:rsidR="00626FF9" w:rsidRPr="002C29D2" w:rsidRDefault="00626FF9" w:rsidP="00626FF9">
            <w:pPr>
              <w:jc w:val="center"/>
              <w:rPr>
                <w:sz w:val="20"/>
                <w:szCs w:val="20"/>
              </w:rPr>
            </w:pPr>
            <w:r w:rsidRPr="002C29D2">
              <w:rPr>
                <w:sz w:val="20"/>
                <w:szCs w:val="20"/>
              </w:rPr>
              <w:t>T statistics</w:t>
            </w:r>
          </w:p>
        </w:tc>
        <w:tc>
          <w:tcPr>
            <w:tcW w:w="1067" w:type="dxa"/>
            <w:vAlign w:val="center"/>
          </w:tcPr>
          <w:p w14:paraId="562B60A0" w14:textId="77777777" w:rsidR="00626FF9" w:rsidRPr="002C29D2" w:rsidRDefault="00626FF9" w:rsidP="00626FF9">
            <w:pPr>
              <w:jc w:val="center"/>
              <w:rPr>
                <w:sz w:val="20"/>
                <w:szCs w:val="20"/>
              </w:rPr>
            </w:pPr>
            <w:r w:rsidRPr="002C29D2">
              <w:rPr>
                <w:sz w:val="20"/>
                <w:szCs w:val="20"/>
              </w:rPr>
              <w:t>p</w:t>
            </w:r>
          </w:p>
        </w:tc>
      </w:tr>
      <w:tr w:rsidR="002C29D2" w:rsidRPr="002C29D2" w14:paraId="6CF59C09" w14:textId="77777777" w:rsidTr="00626FF9">
        <w:trPr>
          <w:trHeight w:val="320"/>
        </w:trPr>
        <w:tc>
          <w:tcPr>
            <w:tcW w:w="1435" w:type="dxa"/>
            <w:shd w:val="clear" w:color="auto" w:fill="auto"/>
            <w:noWrap/>
            <w:vAlign w:val="center"/>
            <w:hideMark/>
          </w:tcPr>
          <w:p w14:paraId="3EEF4417" w14:textId="77777777" w:rsidR="00626FF9" w:rsidRPr="002C29D2" w:rsidRDefault="00626FF9" w:rsidP="00626FF9">
            <w:pPr>
              <w:rPr>
                <w:b/>
                <w:bCs/>
                <w:sz w:val="20"/>
                <w:szCs w:val="20"/>
              </w:rPr>
            </w:pPr>
            <w:r w:rsidRPr="002C29D2">
              <w:rPr>
                <w:b/>
                <w:bCs/>
                <w:sz w:val="20"/>
                <w:szCs w:val="20"/>
              </w:rPr>
              <w:t>AU -&gt; ATA</w:t>
            </w:r>
          </w:p>
        </w:tc>
        <w:tc>
          <w:tcPr>
            <w:tcW w:w="970" w:type="dxa"/>
            <w:shd w:val="clear" w:color="auto" w:fill="auto"/>
            <w:noWrap/>
            <w:vAlign w:val="bottom"/>
            <w:hideMark/>
          </w:tcPr>
          <w:p w14:paraId="7C13F840" w14:textId="77777777" w:rsidR="00626FF9" w:rsidRPr="002C29D2" w:rsidRDefault="00626FF9" w:rsidP="00B63C4D">
            <w:pPr>
              <w:jc w:val="center"/>
              <w:rPr>
                <w:b/>
                <w:bCs/>
                <w:sz w:val="20"/>
                <w:szCs w:val="20"/>
              </w:rPr>
            </w:pPr>
            <w:r w:rsidRPr="002C29D2">
              <w:rPr>
                <w:b/>
                <w:bCs/>
                <w:sz w:val="20"/>
                <w:szCs w:val="20"/>
              </w:rPr>
              <w:t>-0.223</w:t>
            </w:r>
          </w:p>
        </w:tc>
        <w:tc>
          <w:tcPr>
            <w:tcW w:w="1134" w:type="dxa"/>
            <w:shd w:val="clear" w:color="auto" w:fill="auto"/>
            <w:noWrap/>
            <w:vAlign w:val="bottom"/>
            <w:hideMark/>
          </w:tcPr>
          <w:p w14:paraId="25279D8C" w14:textId="77777777" w:rsidR="00626FF9" w:rsidRPr="002C29D2" w:rsidRDefault="00626FF9" w:rsidP="00B63C4D">
            <w:pPr>
              <w:jc w:val="center"/>
              <w:rPr>
                <w:b/>
                <w:bCs/>
                <w:sz w:val="20"/>
                <w:szCs w:val="20"/>
              </w:rPr>
            </w:pPr>
            <w:r w:rsidRPr="002C29D2">
              <w:rPr>
                <w:b/>
                <w:bCs/>
                <w:sz w:val="20"/>
                <w:szCs w:val="20"/>
              </w:rPr>
              <w:t>2.881</w:t>
            </w:r>
          </w:p>
        </w:tc>
        <w:tc>
          <w:tcPr>
            <w:tcW w:w="992" w:type="dxa"/>
            <w:vAlign w:val="bottom"/>
          </w:tcPr>
          <w:p w14:paraId="7BD3C5B8" w14:textId="77777777" w:rsidR="00626FF9" w:rsidRPr="002C29D2" w:rsidRDefault="00626FF9" w:rsidP="00B63C4D">
            <w:pPr>
              <w:jc w:val="center"/>
              <w:rPr>
                <w:b/>
                <w:bCs/>
                <w:sz w:val="20"/>
                <w:szCs w:val="20"/>
              </w:rPr>
            </w:pPr>
            <w:r w:rsidRPr="002C29D2">
              <w:rPr>
                <w:b/>
                <w:bCs/>
                <w:sz w:val="20"/>
                <w:szCs w:val="20"/>
              </w:rPr>
              <w:t>0.004</w:t>
            </w:r>
          </w:p>
        </w:tc>
        <w:tc>
          <w:tcPr>
            <w:tcW w:w="992" w:type="dxa"/>
            <w:shd w:val="clear" w:color="auto" w:fill="auto"/>
            <w:noWrap/>
            <w:vAlign w:val="bottom"/>
            <w:hideMark/>
          </w:tcPr>
          <w:p w14:paraId="06551716" w14:textId="77777777" w:rsidR="00626FF9" w:rsidRPr="002C29D2" w:rsidRDefault="00626FF9" w:rsidP="00B63C4D">
            <w:pPr>
              <w:jc w:val="center"/>
              <w:rPr>
                <w:b/>
                <w:bCs/>
                <w:sz w:val="20"/>
                <w:szCs w:val="20"/>
              </w:rPr>
            </w:pPr>
            <w:r w:rsidRPr="002C29D2">
              <w:rPr>
                <w:b/>
                <w:bCs/>
                <w:sz w:val="20"/>
                <w:szCs w:val="20"/>
              </w:rPr>
              <w:t>0.024</w:t>
            </w:r>
          </w:p>
        </w:tc>
        <w:tc>
          <w:tcPr>
            <w:tcW w:w="1122" w:type="dxa"/>
            <w:shd w:val="clear" w:color="auto" w:fill="auto"/>
            <w:noWrap/>
            <w:vAlign w:val="bottom"/>
            <w:hideMark/>
          </w:tcPr>
          <w:p w14:paraId="0963688F" w14:textId="77777777" w:rsidR="00626FF9" w:rsidRPr="002C29D2" w:rsidRDefault="00626FF9" w:rsidP="00B63C4D">
            <w:pPr>
              <w:jc w:val="center"/>
              <w:rPr>
                <w:b/>
                <w:bCs/>
                <w:sz w:val="20"/>
                <w:szCs w:val="20"/>
              </w:rPr>
            </w:pPr>
            <w:r w:rsidRPr="002C29D2">
              <w:rPr>
                <w:b/>
                <w:bCs/>
                <w:sz w:val="20"/>
                <w:szCs w:val="20"/>
              </w:rPr>
              <w:t>0.285</w:t>
            </w:r>
          </w:p>
        </w:tc>
        <w:tc>
          <w:tcPr>
            <w:tcW w:w="863" w:type="dxa"/>
            <w:vAlign w:val="bottom"/>
          </w:tcPr>
          <w:p w14:paraId="45AEE6F4" w14:textId="77777777" w:rsidR="00626FF9" w:rsidRPr="002C29D2" w:rsidRDefault="00626FF9" w:rsidP="00B63C4D">
            <w:pPr>
              <w:jc w:val="center"/>
              <w:rPr>
                <w:b/>
                <w:bCs/>
                <w:sz w:val="20"/>
                <w:szCs w:val="20"/>
              </w:rPr>
            </w:pPr>
            <w:r w:rsidRPr="002C29D2">
              <w:rPr>
                <w:b/>
                <w:bCs/>
                <w:sz w:val="20"/>
                <w:szCs w:val="20"/>
              </w:rPr>
              <w:t>0.776</w:t>
            </w:r>
          </w:p>
        </w:tc>
        <w:tc>
          <w:tcPr>
            <w:tcW w:w="1201" w:type="dxa"/>
            <w:shd w:val="clear" w:color="auto" w:fill="auto"/>
            <w:noWrap/>
            <w:vAlign w:val="bottom"/>
            <w:hideMark/>
          </w:tcPr>
          <w:p w14:paraId="61DEF089" w14:textId="77777777" w:rsidR="00626FF9" w:rsidRPr="002C29D2" w:rsidRDefault="00626FF9" w:rsidP="00B63C4D">
            <w:pPr>
              <w:jc w:val="center"/>
              <w:rPr>
                <w:b/>
                <w:bCs/>
                <w:sz w:val="20"/>
                <w:szCs w:val="20"/>
              </w:rPr>
            </w:pPr>
            <w:r w:rsidRPr="002C29D2">
              <w:rPr>
                <w:b/>
                <w:bCs/>
                <w:sz w:val="20"/>
                <w:szCs w:val="20"/>
              </w:rPr>
              <w:t>2.147</w:t>
            </w:r>
          </w:p>
        </w:tc>
        <w:tc>
          <w:tcPr>
            <w:tcW w:w="1067" w:type="dxa"/>
            <w:vAlign w:val="bottom"/>
          </w:tcPr>
          <w:p w14:paraId="40BEA610" w14:textId="77777777" w:rsidR="00626FF9" w:rsidRPr="002C29D2" w:rsidRDefault="00626FF9" w:rsidP="00B63C4D">
            <w:pPr>
              <w:jc w:val="center"/>
              <w:rPr>
                <w:b/>
                <w:bCs/>
                <w:sz w:val="20"/>
                <w:szCs w:val="20"/>
              </w:rPr>
            </w:pPr>
            <w:r w:rsidRPr="002C29D2">
              <w:rPr>
                <w:b/>
                <w:bCs/>
                <w:sz w:val="20"/>
                <w:szCs w:val="20"/>
              </w:rPr>
              <w:t>0.033</w:t>
            </w:r>
          </w:p>
        </w:tc>
      </w:tr>
      <w:tr w:rsidR="002C29D2" w:rsidRPr="002C29D2" w14:paraId="363755FB" w14:textId="77777777" w:rsidTr="00626FF9">
        <w:trPr>
          <w:trHeight w:val="320"/>
        </w:trPr>
        <w:tc>
          <w:tcPr>
            <w:tcW w:w="1435" w:type="dxa"/>
            <w:shd w:val="clear" w:color="auto" w:fill="auto"/>
            <w:noWrap/>
            <w:vAlign w:val="center"/>
            <w:hideMark/>
          </w:tcPr>
          <w:p w14:paraId="256FF883" w14:textId="77777777" w:rsidR="00626FF9" w:rsidRPr="002C29D2" w:rsidRDefault="00626FF9" w:rsidP="00626FF9">
            <w:pPr>
              <w:rPr>
                <w:sz w:val="20"/>
                <w:szCs w:val="20"/>
              </w:rPr>
            </w:pPr>
            <w:r w:rsidRPr="002C29D2">
              <w:rPr>
                <w:sz w:val="20"/>
                <w:szCs w:val="20"/>
              </w:rPr>
              <w:t>AU -&gt; ENG</w:t>
            </w:r>
          </w:p>
        </w:tc>
        <w:tc>
          <w:tcPr>
            <w:tcW w:w="970" w:type="dxa"/>
            <w:shd w:val="clear" w:color="auto" w:fill="auto"/>
            <w:noWrap/>
            <w:vAlign w:val="bottom"/>
            <w:hideMark/>
          </w:tcPr>
          <w:p w14:paraId="539D7B27" w14:textId="77777777" w:rsidR="00626FF9" w:rsidRPr="002C29D2" w:rsidRDefault="00626FF9" w:rsidP="00B63C4D">
            <w:pPr>
              <w:jc w:val="center"/>
              <w:rPr>
                <w:sz w:val="20"/>
                <w:szCs w:val="20"/>
              </w:rPr>
            </w:pPr>
            <w:r w:rsidRPr="002C29D2">
              <w:rPr>
                <w:sz w:val="20"/>
                <w:szCs w:val="20"/>
              </w:rPr>
              <w:t>0.103</w:t>
            </w:r>
          </w:p>
        </w:tc>
        <w:tc>
          <w:tcPr>
            <w:tcW w:w="1134" w:type="dxa"/>
            <w:shd w:val="clear" w:color="auto" w:fill="auto"/>
            <w:noWrap/>
            <w:vAlign w:val="bottom"/>
            <w:hideMark/>
          </w:tcPr>
          <w:p w14:paraId="5B8A5E88" w14:textId="77777777" w:rsidR="00626FF9" w:rsidRPr="002C29D2" w:rsidRDefault="00626FF9" w:rsidP="00B63C4D">
            <w:pPr>
              <w:jc w:val="center"/>
              <w:rPr>
                <w:sz w:val="20"/>
                <w:szCs w:val="20"/>
              </w:rPr>
            </w:pPr>
            <w:r w:rsidRPr="002C29D2">
              <w:rPr>
                <w:sz w:val="20"/>
                <w:szCs w:val="20"/>
              </w:rPr>
              <w:t>1.543</w:t>
            </w:r>
          </w:p>
        </w:tc>
        <w:tc>
          <w:tcPr>
            <w:tcW w:w="992" w:type="dxa"/>
            <w:vAlign w:val="bottom"/>
          </w:tcPr>
          <w:p w14:paraId="66597FAA" w14:textId="77777777" w:rsidR="00626FF9" w:rsidRPr="002C29D2" w:rsidRDefault="00626FF9" w:rsidP="00B63C4D">
            <w:pPr>
              <w:jc w:val="center"/>
              <w:rPr>
                <w:sz w:val="20"/>
                <w:szCs w:val="20"/>
              </w:rPr>
            </w:pPr>
            <w:r w:rsidRPr="002C29D2">
              <w:rPr>
                <w:sz w:val="20"/>
                <w:szCs w:val="20"/>
              </w:rPr>
              <w:t>0.123</w:t>
            </w:r>
          </w:p>
        </w:tc>
        <w:tc>
          <w:tcPr>
            <w:tcW w:w="992" w:type="dxa"/>
            <w:shd w:val="clear" w:color="auto" w:fill="auto"/>
            <w:noWrap/>
            <w:vAlign w:val="bottom"/>
            <w:hideMark/>
          </w:tcPr>
          <w:p w14:paraId="12838B0E" w14:textId="77777777" w:rsidR="00626FF9" w:rsidRPr="002C29D2" w:rsidRDefault="00626FF9" w:rsidP="00B63C4D">
            <w:pPr>
              <w:jc w:val="center"/>
              <w:rPr>
                <w:sz w:val="20"/>
                <w:szCs w:val="20"/>
              </w:rPr>
            </w:pPr>
            <w:r w:rsidRPr="002C29D2">
              <w:rPr>
                <w:sz w:val="20"/>
                <w:szCs w:val="20"/>
              </w:rPr>
              <w:t>0.256</w:t>
            </w:r>
          </w:p>
        </w:tc>
        <w:tc>
          <w:tcPr>
            <w:tcW w:w="1122" w:type="dxa"/>
            <w:shd w:val="clear" w:color="auto" w:fill="auto"/>
            <w:noWrap/>
            <w:vAlign w:val="bottom"/>
            <w:hideMark/>
          </w:tcPr>
          <w:p w14:paraId="5B7A59F2" w14:textId="77777777" w:rsidR="00626FF9" w:rsidRPr="002C29D2" w:rsidRDefault="00626FF9" w:rsidP="00B63C4D">
            <w:pPr>
              <w:jc w:val="center"/>
              <w:rPr>
                <w:sz w:val="20"/>
                <w:szCs w:val="20"/>
              </w:rPr>
            </w:pPr>
            <w:r w:rsidRPr="002C29D2">
              <w:rPr>
                <w:sz w:val="20"/>
                <w:szCs w:val="20"/>
              </w:rPr>
              <w:t>4.302</w:t>
            </w:r>
          </w:p>
        </w:tc>
        <w:tc>
          <w:tcPr>
            <w:tcW w:w="863" w:type="dxa"/>
            <w:vAlign w:val="bottom"/>
          </w:tcPr>
          <w:p w14:paraId="7FD98C26"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57E29BF1" w14:textId="77777777" w:rsidR="00626FF9" w:rsidRPr="002C29D2" w:rsidRDefault="00626FF9" w:rsidP="00B63C4D">
            <w:pPr>
              <w:jc w:val="center"/>
              <w:rPr>
                <w:sz w:val="20"/>
                <w:szCs w:val="20"/>
              </w:rPr>
            </w:pPr>
            <w:r w:rsidRPr="002C29D2">
              <w:rPr>
                <w:sz w:val="20"/>
                <w:szCs w:val="20"/>
              </w:rPr>
              <w:t>1.710</w:t>
            </w:r>
          </w:p>
        </w:tc>
        <w:tc>
          <w:tcPr>
            <w:tcW w:w="1067" w:type="dxa"/>
            <w:vAlign w:val="bottom"/>
          </w:tcPr>
          <w:p w14:paraId="2B855C6C" w14:textId="77777777" w:rsidR="00626FF9" w:rsidRPr="002C29D2" w:rsidRDefault="00626FF9" w:rsidP="00B63C4D">
            <w:pPr>
              <w:jc w:val="center"/>
              <w:rPr>
                <w:sz w:val="20"/>
                <w:szCs w:val="20"/>
              </w:rPr>
            </w:pPr>
            <w:r w:rsidRPr="002C29D2">
              <w:rPr>
                <w:sz w:val="20"/>
                <w:szCs w:val="20"/>
              </w:rPr>
              <w:t>0.089</w:t>
            </w:r>
          </w:p>
        </w:tc>
      </w:tr>
      <w:tr w:rsidR="002C29D2" w:rsidRPr="002C29D2" w14:paraId="37D478F9" w14:textId="77777777" w:rsidTr="00626FF9">
        <w:trPr>
          <w:trHeight w:val="320"/>
        </w:trPr>
        <w:tc>
          <w:tcPr>
            <w:tcW w:w="1435" w:type="dxa"/>
            <w:shd w:val="clear" w:color="auto" w:fill="auto"/>
            <w:noWrap/>
            <w:vAlign w:val="center"/>
            <w:hideMark/>
          </w:tcPr>
          <w:p w14:paraId="03EA4140" w14:textId="77777777" w:rsidR="00626FF9" w:rsidRPr="002C29D2" w:rsidRDefault="00626FF9" w:rsidP="00626FF9">
            <w:pPr>
              <w:rPr>
                <w:sz w:val="20"/>
                <w:szCs w:val="20"/>
              </w:rPr>
            </w:pPr>
            <w:r w:rsidRPr="002C29D2">
              <w:rPr>
                <w:sz w:val="20"/>
                <w:szCs w:val="20"/>
              </w:rPr>
              <w:t>AU -&gt; SAT</w:t>
            </w:r>
          </w:p>
        </w:tc>
        <w:tc>
          <w:tcPr>
            <w:tcW w:w="970" w:type="dxa"/>
            <w:shd w:val="clear" w:color="auto" w:fill="auto"/>
            <w:noWrap/>
            <w:vAlign w:val="bottom"/>
            <w:hideMark/>
          </w:tcPr>
          <w:p w14:paraId="4CD5D72B" w14:textId="77777777" w:rsidR="00626FF9" w:rsidRPr="002C29D2" w:rsidRDefault="00626FF9" w:rsidP="00B63C4D">
            <w:pPr>
              <w:jc w:val="center"/>
              <w:rPr>
                <w:sz w:val="20"/>
                <w:szCs w:val="20"/>
              </w:rPr>
            </w:pPr>
            <w:r w:rsidRPr="002C29D2">
              <w:rPr>
                <w:sz w:val="20"/>
                <w:szCs w:val="20"/>
              </w:rPr>
              <w:t>0.040</w:t>
            </w:r>
          </w:p>
        </w:tc>
        <w:tc>
          <w:tcPr>
            <w:tcW w:w="1134" w:type="dxa"/>
            <w:shd w:val="clear" w:color="auto" w:fill="auto"/>
            <w:noWrap/>
            <w:vAlign w:val="bottom"/>
            <w:hideMark/>
          </w:tcPr>
          <w:p w14:paraId="42AC58D3" w14:textId="77777777" w:rsidR="00626FF9" w:rsidRPr="002C29D2" w:rsidRDefault="00626FF9" w:rsidP="00B63C4D">
            <w:pPr>
              <w:jc w:val="center"/>
              <w:rPr>
                <w:sz w:val="20"/>
                <w:szCs w:val="20"/>
              </w:rPr>
            </w:pPr>
            <w:r w:rsidRPr="002C29D2">
              <w:rPr>
                <w:sz w:val="20"/>
                <w:szCs w:val="20"/>
              </w:rPr>
              <w:t>0.532</w:t>
            </w:r>
          </w:p>
        </w:tc>
        <w:tc>
          <w:tcPr>
            <w:tcW w:w="992" w:type="dxa"/>
            <w:vAlign w:val="bottom"/>
          </w:tcPr>
          <w:p w14:paraId="68D86613" w14:textId="77777777" w:rsidR="00626FF9" w:rsidRPr="002C29D2" w:rsidRDefault="00626FF9" w:rsidP="00B63C4D">
            <w:pPr>
              <w:jc w:val="center"/>
              <w:rPr>
                <w:sz w:val="20"/>
                <w:szCs w:val="20"/>
              </w:rPr>
            </w:pPr>
            <w:r w:rsidRPr="002C29D2">
              <w:rPr>
                <w:sz w:val="20"/>
                <w:szCs w:val="20"/>
              </w:rPr>
              <w:t>0.594</w:t>
            </w:r>
          </w:p>
        </w:tc>
        <w:tc>
          <w:tcPr>
            <w:tcW w:w="992" w:type="dxa"/>
            <w:shd w:val="clear" w:color="auto" w:fill="auto"/>
            <w:noWrap/>
            <w:vAlign w:val="bottom"/>
            <w:hideMark/>
          </w:tcPr>
          <w:p w14:paraId="50D0D56C" w14:textId="77777777" w:rsidR="00626FF9" w:rsidRPr="002C29D2" w:rsidRDefault="00626FF9" w:rsidP="00B63C4D">
            <w:pPr>
              <w:jc w:val="center"/>
              <w:rPr>
                <w:sz w:val="20"/>
                <w:szCs w:val="20"/>
              </w:rPr>
            </w:pPr>
            <w:r w:rsidRPr="002C29D2">
              <w:rPr>
                <w:sz w:val="20"/>
                <w:szCs w:val="20"/>
              </w:rPr>
              <w:t>0.072</w:t>
            </w:r>
          </w:p>
        </w:tc>
        <w:tc>
          <w:tcPr>
            <w:tcW w:w="1122" w:type="dxa"/>
            <w:shd w:val="clear" w:color="auto" w:fill="auto"/>
            <w:noWrap/>
            <w:vAlign w:val="bottom"/>
            <w:hideMark/>
          </w:tcPr>
          <w:p w14:paraId="76986700" w14:textId="77777777" w:rsidR="00626FF9" w:rsidRPr="002C29D2" w:rsidRDefault="00626FF9" w:rsidP="00B63C4D">
            <w:pPr>
              <w:jc w:val="center"/>
              <w:rPr>
                <w:sz w:val="20"/>
                <w:szCs w:val="20"/>
              </w:rPr>
            </w:pPr>
            <w:r w:rsidRPr="002C29D2">
              <w:rPr>
                <w:sz w:val="20"/>
                <w:szCs w:val="20"/>
              </w:rPr>
              <w:t>0.992</w:t>
            </w:r>
          </w:p>
        </w:tc>
        <w:tc>
          <w:tcPr>
            <w:tcW w:w="863" w:type="dxa"/>
            <w:vAlign w:val="bottom"/>
          </w:tcPr>
          <w:p w14:paraId="4FB451E0" w14:textId="77777777" w:rsidR="00626FF9" w:rsidRPr="002C29D2" w:rsidRDefault="00626FF9" w:rsidP="00B63C4D">
            <w:pPr>
              <w:jc w:val="center"/>
              <w:rPr>
                <w:sz w:val="20"/>
                <w:szCs w:val="20"/>
              </w:rPr>
            </w:pPr>
            <w:r w:rsidRPr="002C29D2">
              <w:rPr>
                <w:sz w:val="20"/>
                <w:szCs w:val="20"/>
              </w:rPr>
              <w:t>0.321</w:t>
            </w:r>
          </w:p>
        </w:tc>
        <w:tc>
          <w:tcPr>
            <w:tcW w:w="1201" w:type="dxa"/>
            <w:shd w:val="clear" w:color="auto" w:fill="auto"/>
            <w:noWrap/>
            <w:vAlign w:val="bottom"/>
            <w:hideMark/>
          </w:tcPr>
          <w:p w14:paraId="53B5E759" w14:textId="77777777" w:rsidR="00626FF9" w:rsidRPr="002C29D2" w:rsidRDefault="00626FF9" w:rsidP="00B63C4D">
            <w:pPr>
              <w:jc w:val="center"/>
              <w:rPr>
                <w:sz w:val="20"/>
                <w:szCs w:val="20"/>
              </w:rPr>
            </w:pPr>
            <w:r w:rsidRPr="002C29D2">
              <w:rPr>
                <w:sz w:val="20"/>
                <w:szCs w:val="20"/>
              </w:rPr>
              <w:t>0.308</w:t>
            </w:r>
          </w:p>
        </w:tc>
        <w:tc>
          <w:tcPr>
            <w:tcW w:w="1067" w:type="dxa"/>
            <w:vAlign w:val="bottom"/>
          </w:tcPr>
          <w:p w14:paraId="04792D88" w14:textId="77777777" w:rsidR="00626FF9" w:rsidRPr="002C29D2" w:rsidRDefault="00626FF9" w:rsidP="00B63C4D">
            <w:pPr>
              <w:jc w:val="center"/>
              <w:rPr>
                <w:sz w:val="20"/>
                <w:szCs w:val="20"/>
              </w:rPr>
            </w:pPr>
            <w:r w:rsidRPr="002C29D2">
              <w:rPr>
                <w:sz w:val="20"/>
                <w:szCs w:val="20"/>
              </w:rPr>
              <w:t>0.759</w:t>
            </w:r>
          </w:p>
        </w:tc>
      </w:tr>
      <w:tr w:rsidR="002C29D2" w:rsidRPr="002C29D2" w14:paraId="2801045E" w14:textId="77777777" w:rsidTr="00626FF9">
        <w:trPr>
          <w:trHeight w:val="320"/>
        </w:trPr>
        <w:tc>
          <w:tcPr>
            <w:tcW w:w="1435" w:type="dxa"/>
            <w:shd w:val="clear" w:color="auto" w:fill="auto"/>
            <w:noWrap/>
            <w:vAlign w:val="center"/>
            <w:hideMark/>
          </w:tcPr>
          <w:p w14:paraId="6D31B5A1" w14:textId="77777777" w:rsidR="00626FF9" w:rsidRPr="002C29D2" w:rsidRDefault="00626FF9" w:rsidP="00626FF9">
            <w:pPr>
              <w:rPr>
                <w:sz w:val="20"/>
                <w:szCs w:val="20"/>
              </w:rPr>
            </w:pPr>
            <w:r w:rsidRPr="002C29D2">
              <w:rPr>
                <w:sz w:val="20"/>
                <w:szCs w:val="20"/>
              </w:rPr>
              <w:t>AU -&gt; UI</w:t>
            </w:r>
          </w:p>
        </w:tc>
        <w:tc>
          <w:tcPr>
            <w:tcW w:w="970" w:type="dxa"/>
            <w:shd w:val="clear" w:color="auto" w:fill="auto"/>
            <w:noWrap/>
            <w:vAlign w:val="bottom"/>
            <w:hideMark/>
          </w:tcPr>
          <w:p w14:paraId="2711E524" w14:textId="77777777" w:rsidR="00626FF9" w:rsidRPr="002C29D2" w:rsidRDefault="00626FF9" w:rsidP="00B63C4D">
            <w:pPr>
              <w:jc w:val="center"/>
              <w:rPr>
                <w:sz w:val="20"/>
                <w:szCs w:val="20"/>
              </w:rPr>
            </w:pPr>
            <w:r w:rsidRPr="002C29D2">
              <w:rPr>
                <w:sz w:val="20"/>
                <w:szCs w:val="20"/>
              </w:rPr>
              <w:t>0.005</w:t>
            </w:r>
          </w:p>
        </w:tc>
        <w:tc>
          <w:tcPr>
            <w:tcW w:w="1134" w:type="dxa"/>
            <w:shd w:val="clear" w:color="auto" w:fill="auto"/>
            <w:noWrap/>
            <w:vAlign w:val="bottom"/>
            <w:hideMark/>
          </w:tcPr>
          <w:p w14:paraId="74904F18" w14:textId="77777777" w:rsidR="00626FF9" w:rsidRPr="002C29D2" w:rsidRDefault="00626FF9" w:rsidP="00B63C4D">
            <w:pPr>
              <w:jc w:val="center"/>
              <w:rPr>
                <w:sz w:val="20"/>
                <w:szCs w:val="20"/>
              </w:rPr>
            </w:pPr>
            <w:r w:rsidRPr="002C29D2">
              <w:rPr>
                <w:sz w:val="20"/>
                <w:szCs w:val="20"/>
              </w:rPr>
              <w:t>0.067</w:t>
            </w:r>
          </w:p>
        </w:tc>
        <w:tc>
          <w:tcPr>
            <w:tcW w:w="992" w:type="dxa"/>
            <w:vAlign w:val="bottom"/>
          </w:tcPr>
          <w:p w14:paraId="5F3754B0" w14:textId="77777777" w:rsidR="00626FF9" w:rsidRPr="002C29D2" w:rsidRDefault="00626FF9" w:rsidP="00B63C4D">
            <w:pPr>
              <w:jc w:val="center"/>
              <w:rPr>
                <w:sz w:val="20"/>
                <w:szCs w:val="20"/>
              </w:rPr>
            </w:pPr>
            <w:r w:rsidRPr="002C29D2">
              <w:rPr>
                <w:sz w:val="20"/>
                <w:szCs w:val="20"/>
              </w:rPr>
              <w:t>0.947</w:t>
            </w:r>
          </w:p>
        </w:tc>
        <w:tc>
          <w:tcPr>
            <w:tcW w:w="992" w:type="dxa"/>
            <w:shd w:val="clear" w:color="auto" w:fill="auto"/>
            <w:noWrap/>
            <w:vAlign w:val="bottom"/>
            <w:hideMark/>
          </w:tcPr>
          <w:p w14:paraId="68B8BF46" w14:textId="77777777" w:rsidR="00626FF9" w:rsidRPr="002C29D2" w:rsidRDefault="00626FF9" w:rsidP="00B63C4D">
            <w:pPr>
              <w:jc w:val="center"/>
              <w:rPr>
                <w:sz w:val="20"/>
                <w:szCs w:val="20"/>
              </w:rPr>
            </w:pPr>
            <w:r w:rsidRPr="002C29D2">
              <w:rPr>
                <w:sz w:val="20"/>
                <w:szCs w:val="20"/>
              </w:rPr>
              <w:t>0.082</w:t>
            </w:r>
          </w:p>
        </w:tc>
        <w:tc>
          <w:tcPr>
            <w:tcW w:w="1122" w:type="dxa"/>
            <w:shd w:val="clear" w:color="auto" w:fill="auto"/>
            <w:noWrap/>
            <w:vAlign w:val="bottom"/>
            <w:hideMark/>
          </w:tcPr>
          <w:p w14:paraId="128ECA62" w14:textId="77777777" w:rsidR="00626FF9" w:rsidRPr="002C29D2" w:rsidRDefault="00626FF9" w:rsidP="00B63C4D">
            <w:pPr>
              <w:jc w:val="center"/>
              <w:rPr>
                <w:sz w:val="20"/>
                <w:szCs w:val="20"/>
              </w:rPr>
            </w:pPr>
            <w:r w:rsidRPr="002C29D2">
              <w:rPr>
                <w:sz w:val="20"/>
                <w:szCs w:val="20"/>
              </w:rPr>
              <w:t>1.074</w:t>
            </w:r>
          </w:p>
        </w:tc>
        <w:tc>
          <w:tcPr>
            <w:tcW w:w="863" w:type="dxa"/>
            <w:vAlign w:val="bottom"/>
          </w:tcPr>
          <w:p w14:paraId="0AF6BEF0" w14:textId="77777777" w:rsidR="00626FF9" w:rsidRPr="002C29D2" w:rsidRDefault="00626FF9" w:rsidP="00B63C4D">
            <w:pPr>
              <w:jc w:val="center"/>
              <w:rPr>
                <w:sz w:val="20"/>
                <w:szCs w:val="20"/>
              </w:rPr>
            </w:pPr>
            <w:r w:rsidRPr="002C29D2">
              <w:rPr>
                <w:sz w:val="20"/>
                <w:szCs w:val="20"/>
              </w:rPr>
              <w:t>0.283</w:t>
            </w:r>
          </w:p>
        </w:tc>
        <w:tc>
          <w:tcPr>
            <w:tcW w:w="1201" w:type="dxa"/>
            <w:shd w:val="clear" w:color="auto" w:fill="auto"/>
            <w:noWrap/>
            <w:vAlign w:val="bottom"/>
            <w:hideMark/>
          </w:tcPr>
          <w:p w14:paraId="3707AC8B" w14:textId="77777777" w:rsidR="00626FF9" w:rsidRPr="002C29D2" w:rsidRDefault="00626FF9" w:rsidP="00B63C4D">
            <w:pPr>
              <w:jc w:val="center"/>
              <w:rPr>
                <w:sz w:val="20"/>
                <w:szCs w:val="20"/>
              </w:rPr>
            </w:pPr>
            <w:r w:rsidRPr="002C29D2">
              <w:rPr>
                <w:sz w:val="20"/>
                <w:szCs w:val="20"/>
              </w:rPr>
              <w:t>0.691</w:t>
            </w:r>
          </w:p>
        </w:tc>
        <w:tc>
          <w:tcPr>
            <w:tcW w:w="1067" w:type="dxa"/>
            <w:vAlign w:val="bottom"/>
          </w:tcPr>
          <w:p w14:paraId="3C73228B" w14:textId="77777777" w:rsidR="00626FF9" w:rsidRPr="002C29D2" w:rsidRDefault="00626FF9" w:rsidP="00B63C4D">
            <w:pPr>
              <w:jc w:val="center"/>
              <w:rPr>
                <w:sz w:val="20"/>
                <w:szCs w:val="20"/>
              </w:rPr>
            </w:pPr>
            <w:r w:rsidRPr="002C29D2">
              <w:rPr>
                <w:sz w:val="20"/>
                <w:szCs w:val="20"/>
              </w:rPr>
              <w:t>0.490</w:t>
            </w:r>
          </w:p>
        </w:tc>
      </w:tr>
      <w:tr w:rsidR="002C29D2" w:rsidRPr="002C29D2" w14:paraId="0F67EACA" w14:textId="77777777" w:rsidTr="00626FF9">
        <w:trPr>
          <w:trHeight w:val="320"/>
        </w:trPr>
        <w:tc>
          <w:tcPr>
            <w:tcW w:w="1435" w:type="dxa"/>
            <w:shd w:val="clear" w:color="auto" w:fill="auto"/>
            <w:noWrap/>
            <w:vAlign w:val="center"/>
            <w:hideMark/>
          </w:tcPr>
          <w:p w14:paraId="4A1143C5" w14:textId="77777777" w:rsidR="00626FF9" w:rsidRPr="002C29D2" w:rsidRDefault="00626FF9" w:rsidP="00626FF9">
            <w:pPr>
              <w:rPr>
                <w:sz w:val="20"/>
                <w:szCs w:val="20"/>
              </w:rPr>
            </w:pPr>
            <w:r w:rsidRPr="002C29D2">
              <w:rPr>
                <w:sz w:val="20"/>
                <w:szCs w:val="20"/>
              </w:rPr>
              <w:t>BE -&gt; ATA</w:t>
            </w:r>
          </w:p>
        </w:tc>
        <w:tc>
          <w:tcPr>
            <w:tcW w:w="970" w:type="dxa"/>
            <w:shd w:val="clear" w:color="auto" w:fill="auto"/>
            <w:noWrap/>
            <w:vAlign w:val="bottom"/>
            <w:hideMark/>
          </w:tcPr>
          <w:p w14:paraId="1361AA32" w14:textId="77777777" w:rsidR="00626FF9" w:rsidRPr="002C29D2" w:rsidRDefault="00626FF9" w:rsidP="00B63C4D">
            <w:pPr>
              <w:jc w:val="center"/>
              <w:rPr>
                <w:sz w:val="20"/>
                <w:szCs w:val="20"/>
              </w:rPr>
            </w:pPr>
            <w:r w:rsidRPr="002C29D2">
              <w:rPr>
                <w:sz w:val="20"/>
                <w:szCs w:val="20"/>
              </w:rPr>
              <w:t>0.186</w:t>
            </w:r>
          </w:p>
        </w:tc>
        <w:tc>
          <w:tcPr>
            <w:tcW w:w="1134" w:type="dxa"/>
            <w:shd w:val="clear" w:color="auto" w:fill="auto"/>
            <w:noWrap/>
            <w:vAlign w:val="bottom"/>
            <w:hideMark/>
          </w:tcPr>
          <w:p w14:paraId="24CAFA89" w14:textId="77777777" w:rsidR="00626FF9" w:rsidRPr="002C29D2" w:rsidRDefault="00626FF9" w:rsidP="00B63C4D">
            <w:pPr>
              <w:jc w:val="center"/>
              <w:rPr>
                <w:sz w:val="20"/>
                <w:szCs w:val="20"/>
              </w:rPr>
            </w:pPr>
            <w:r w:rsidRPr="002C29D2">
              <w:rPr>
                <w:sz w:val="20"/>
                <w:szCs w:val="20"/>
              </w:rPr>
              <w:t>1.992</w:t>
            </w:r>
          </w:p>
        </w:tc>
        <w:tc>
          <w:tcPr>
            <w:tcW w:w="992" w:type="dxa"/>
            <w:vAlign w:val="bottom"/>
          </w:tcPr>
          <w:p w14:paraId="19FA205B" w14:textId="77777777" w:rsidR="00626FF9" w:rsidRPr="002C29D2" w:rsidRDefault="00626FF9" w:rsidP="00B63C4D">
            <w:pPr>
              <w:jc w:val="center"/>
              <w:rPr>
                <w:sz w:val="20"/>
                <w:szCs w:val="20"/>
              </w:rPr>
            </w:pPr>
            <w:r w:rsidRPr="002C29D2">
              <w:rPr>
                <w:sz w:val="20"/>
                <w:szCs w:val="20"/>
              </w:rPr>
              <w:t>0.046</w:t>
            </w:r>
          </w:p>
        </w:tc>
        <w:tc>
          <w:tcPr>
            <w:tcW w:w="992" w:type="dxa"/>
            <w:shd w:val="clear" w:color="auto" w:fill="auto"/>
            <w:noWrap/>
            <w:vAlign w:val="bottom"/>
            <w:hideMark/>
          </w:tcPr>
          <w:p w14:paraId="2BB7FA95" w14:textId="77777777" w:rsidR="00626FF9" w:rsidRPr="002C29D2" w:rsidRDefault="00626FF9" w:rsidP="00B63C4D">
            <w:pPr>
              <w:jc w:val="center"/>
              <w:rPr>
                <w:sz w:val="20"/>
                <w:szCs w:val="20"/>
              </w:rPr>
            </w:pPr>
            <w:r w:rsidRPr="002C29D2">
              <w:rPr>
                <w:sz w:val="20"/>
                <w:szCs w:val="20"/>
              </w:rPr>
              <w:t>0.178</w:t>
            </w:r>
          </w:p>
        </w:tc>
        <w:tc>
          <w:tcPr>
            <w:tcW w:w="1122" w:type="dxa"/>
            <w:shd w:val="clear" w:color="auto" w:fill="auto"/>
            <w:noWrap/>
            <w:vAlign w:val="bottom"/>
            <w:hideMark/>
          </w:tcPr>
          <w:p w14:paraId="4C14F075" w14:textId="77777777" w:rsidR="00626FF9" w:rsidRPr="002C29D2" w:rsidRDefault="00626FF9" w:rsidP="00B63C4D">
            <w:pPr>
              <w:jc w:val="center"/>
              <w:rPr>
                <w:sz w:val="20"/>
                <w:szCs w:val="20"/>
              </w:rPr>
            </w:pPr>
            <w:r w:rsidRPr="002C29D2">
              <w:rPr>
                <w:sz w:val="20"/>
                <w:szCs w:val="20"/>
              </w:rPr>
              <w:t>1.732</w:t>
            </w:r>
          </w:p>
        </w:tc>
        <w:tc>
          <w:tcPr>
            <w:tcW w:w="863" w:type="dxa"/>
            <w:vAlign w:val="bottom"/>
          </w:tcPr>
          <w:p w14:paraId="5A599989" w14:textId="77777777" w:rsidR="00626FF9" w:rsidRPr="002C29D2" w:rsidRDefault="00626FF9" w:rsidP="00B63C4D">
            <w:pPr>
              <w:jc w:val="center"/>
              <w:rPr>
                <w:sz w:val="20"/>
                <w:szCs w:val="20"/>
              </w:rPr>
            </w:pPr>
            <w:r w:rsidRPr="002C29D2">
              <w:rPr>
                <w:sz w:val="20"/>
                <w:szCs w:val="20"/>
              </w:rPr>
              <w:t>0.083</w:t>
            </w:r>
          </w:p>
        </w:tc>
        <w:tc>
          <w:tcPr>
            <w:tcW w:w="1201" w:type="dxa"/>
            <w:shd w:val="clear" w:color="auto" w:fill="auto"/>
            <w:noWrap/>
            <w:vAlign w:val="bottom"/>
            <w:hideMark/>
          </w:tcPr>
          <w:p w14:paraId="3A63FF3A" w14:textId="77777777" w:rsidR="00626FF9" w:rsidRPr="002C29D2" w:rsidRDefault="00626FF9" w:rsidP="00B63C4D">
            <w:pPr>
              <w:jc w:val="center"/>
              <w:rPr>
                <w:sz w:val="20"/>
                <w:szCs w:val="20"/>
              </w:rPr>
            </w:pPr>
            <w:r w:rsidRPr="002C29D2">
              <w:rPr>
                <w:sz w:val="20"/>
                <w:szCs w:val="20"/>
              </w:rPr>
              <w:t>0.057</w:t>
            </w:r>
          </w:p>
        </w:tc>
        <w:tc>
          <w:tcPr>
            <w:tcW w:w="1067" w:type="dxa"/>
            <w:vAlign w:val="bottom"/>
          </w:tcPr>
          <w:p w14:paraId="29432179" w14:textId="77777777" w:rsidR="00626FF9" w:rsidRPr="002C29D2" w:rsidRDefault="00626FF9" w:rsidP="00B63C4D">
            <w:pPr>
              <w:jc w:val="center"/>
              <w:rPr>
                <w:sz w:val="20"/>
                <w:szCs w:val="20"/>
              </w:rPr>
            </w:pPr>
            <w:r w:rsidRPr="002C29D2">
              <w:rPr>
                <w:sz w:val="20"/>
                <w:szCs w:val="20"/>
              </w:rPr>
              <w:t>0.955</w:t>
            </w:r>
          </w:p>
        </w:tc>
      </w:tr>
      <w:tr w:rsidR="002C29D2" w:rsidRPr="002C29D2" w14:paraId="50AE5682" w14:textId="77777777" w:rsidTr="00626FF9">
        <w:trPr>
          <w:trHeight w:val="320"/>
        </w:trPr>
        <w:tc>
          <w:tcPr>
            <w:tcW w:w="1435" w:type="dxa"/>
            <w:shd w:val="clear" w:color="auto" w:fill="auto"/>
            <w:noWrap/>
            <w:vAlign w:val="center"/>
            <w:hideMark/>
          </w:tcPr>
          <w:p w14:paraId="20A6F3F8" w14:textId="77777777" w:rsidR="00626FF9" w:rsidRPr="002C29D2" w:rsidRDefault="00626FF9" w:rsidP="00626FF9">
            <w:pPr>
              <w:rPr>
                <w:sz w:val="20"/>
                <w:szCs w:val="20"/>
              </w:rPr>
            </w:pPr>
            <w:r w:rsidRPr="002C29D2">
              <w:rPr>
                <w:sz w:val="20"/>
                <w:szCs w:val="20"/>
              </w:rPr>
              <w:t>BE -&gt; ENG</w:t>
            </w:r>
          </w:p>
        </w:tc>
        <w:tc>
          <w:tcPr>
            <w:tcW w:w="970" w:type="dxa"/>
            <w:shd w:val="clear" w:color="auto" w:fill="auto"/>
            <w:noWrap/>
            <w:vAlign w:val="bottom"/>
            <w:hideMark/>
          </w:tcPr>
          <w:p w14:paraId="3FEA277E" w14:textId="77777777" w:rsidR="00626FF9" w:rsidRPr="002C29D2" w:rsidRDefault="00626FF9" w:rsidP="00B63C4D">
            <w:pPr>
              <w:jc w:val="center"/>
              <w:rPr>
                <w:sz w:val="20"/>
                <w:szCs w:val="20"/>
              </w:rPr>
            </w:pPr>
            <w:r w:rsidRPr="002C29D2">
              <w:rPr>
                <w:sz w:val="20"/>
                <w:szCs w:val="20"/>
              </w:rPr>
              <w:t>0.327</w:t>
            </w:r>
          </w:p>
        </w:tc>
        <w:tc>
          <w:tcPr>
            <w:tcW w:w="1134" w:type="dxa"/>
            <w:shd w:val="clear" w:color="auto" w:fill="auto"/>
            <w:noWrap/>
            <w:vAlign w:val="bottom"/>
            <w:hideMark/>
          </w:tcPr>
          <w:p w14:paraId="14F9E1AC" w14:textId="77777777" w:rsidR="00626FF9" w:rsidRPr="002C29D2" w:rsidRDefault="00626FF9" w:rsidP="00B63C4D">
            <w:pPr>
              <w:jc w:val="center"/>
              <w:rPr>
                <w:sz w:val="20"/>
                <w:szCs w:val="20"/>
              </w:rPr>
            </w:pPr>
            <w:r w:rsidRPr="002C29D2">
              <w:rPr>
                <w:sz w:val="20"/>
                <w:szCs w:val="20"/>
              </w:rPr>
              <w:t>3.967</w:t>
            </w:r>
          </w:p>
        </w:tc>
        <w:tc>
          <w:tcPr>
            <w:tcW w:w="992" w:type="dxa"/>
            <w:vAlign w:val="bottom"/>
          </w:tcPr>
          <w:p w14:paraId="51532F3E"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hideMark/>
          </w:tcPr>
          <w:p w14:paraId="7F483A5B" w14:textId="77777777" w:rsidR="00626FF9" w:rsidRPr="002C29D2" w:rsidRDefault="00626FF9" w:rsidP="00B63C4D">
            <w:pPr>
              <w:jc w:val="center"/>
              <w:rPr>
                <w:sz w:val="20"/>
                <w:szCs w:val="20"/>
              </w:rPr>
            </w:pPr>
            <w:r w:rsidRPr="002C29D2">
              <w:rPr>
                <w:sz w:val="20"/>
                <w:szCs w:val="20"/>
              </w:rPr>
              <w:t>0.271</w:t>
            </w:r>
          </w:p>
        </w:tc>
        <w:tc>
          <w:tcPr>
            <w:tcW w:w="1122" w:type="dxa"/>
            <w:shd w:val="clear" w:color="auto" w:fill="auto"/>
            <w:noWrap/>
            <w:vAlign w:val="bottom"/>
            <w:hideMark/>
          </w:tcPr>
          <w:p w14:paraId="10F3B74A" w14:textId="77777777" w:rsidR="00626FF9" w:rsidRPr="002C29D2" w:rsidRDefault="00626FF9" w:rsidP="00B63C4D">
            <w:pPr>
              <w:jc w:val="center"/>
              <w:rPr>
                <w:sz w:val="20"/>
                <w:szCs w:val="20"/>
              </w:rPr>
            </w:pPr>
            <w:r w:rsidRPr="002C29D2">
              <w:rPr>
                <w:sz w:val="20"/>
                <w:szCs w:val="20"/>
              </w:rPr>
              <w:t>3.822</w:t>
            </w:r>
          </w:p>
        </w:tc>
        <w:tc>
          <w:tcPr>
            <w:tcW w:w="863" w:type="dxa"/>
            <w:vAlign w:val="bottom"/>
          </w:tcPr>
          <w:p w14:paraId="70CB39AB"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3F704045" w14:textId="77777777" w:rsidR="00626FF9" w:rsidRPr="002C29D2" w:rsidRDefault="00626FF9" w:rsidP="00B63C4D">
            <w:pPr>
              <w:jc w:val="center"/>
              <w:rPr>
                <w:sz w:val="20"/>
                <w:szCs w:val="20"/>
              </w:rPr>
            </w:pPr>
            <w:r w:rsidRPr="002C29D2">
              <w:rPr>
                <w:sz w:val="20"/>
                <w:szCs w:val="20"/>
              </w:rPr>
              <w:t>0.518</w:t>
            </w:r>
          </w:p>
        </w:tc>
        <w:tc>
          <w:tcPr>
            <w:tcW w:w="1067" w:type="dxa"/>
            <w:vAlign w:val="bottom"/>
          </w:tcPr>
          <w:p w14:paraId="505E6750" w14:textId="77777777" w:rsidR="00626FF9" w:rsidRPr="002C29D2" w:rsidRDefault="00626FF9" w:rsidP="00B63C4D">
            <w:pPr>
              <w:jc w:val="center"/>
              <w:rPr>
                <w:sz w:val="20"/>
                <w:szCs w:val="20"/>
              </w:rPr>
            </w:pPr>
            <w:r w:rsidRPr="002C29D2">
              <w:rPr>
                <w:sz w:val="20"/>
                <w:szCs w:val="20"/>
              </w:rPr>
              <w:t>0.605</w:t>
            </w:r>
          </w:p>
        </w:tc>
      </w:tr>
      <w:tr w:rsidR="002C29D2" w:rsidRPr="002C29D2" w14:paraId="360FF46D" w14:textId="77777777" w:rsidTr="00626FF9">
        <w:trPr>
          <w:trHeight w:val="320"/>
        </w:trPr>
        <w:tc>
          <w:tcPr>
            <w:tcW w:w="1435" w:type="dxa"/>
            <w:shd w:val="clear" w:color="auto" w:fill="auto"/>
            <w:noWrap/>
            <w:vAlign w:val="center"/>
            <w:hideMark/>
          </w:tcPr>
          <w:p w14:paraId="4B398906" w14:textId="77777777" w:rsidR="00626FF9" w:rsidRPr="002C29D2" w:rsidRDefault="00626FF9" w:rsidP="00626FF9">
            <w:pPr>
              <w:rPr>
                <w:sz w:val="20"/>
                <w:szCs w:val="20"/>
              </w:rPr>
            </w:pPr>
            <w:r w:rsidRPr="002C29D2">
              <w:rPr>
                <w:sz w:val="20"/>
                <w:szCs w:val="20"/>
              </w:rPr>
              <w:t>BE -&gt; SAT</w:t>
            </w:r>
          </w:p>
        </w:tc>
        <w:tc>
          <w:tcPr>
            <w:tcW w:w="970" w:type="dxa"/>
            <w:shd w:val="clear" w:color="auto" w:fill="auto"/>
            <w:noWrap/>
            <w:vAlign w:val="bottom"/>
            <w:hideMark/>
          </w:tcPr>
          <w:p w14:paraId="794A962D" w14:textId="77777777" w:rsidR="00626FF9" w:rsidRPr="002C29D2" w:rsidRDefault="00626FF9" w:rsidP="00B63C4D">
            <w:pPr>
              <w:jc w:val="center"/>
              <w:rPr>
                <w:sz w:val="20"/>
                <w:szCs w:val="20"/>
              </w:rPr>
            </w:pPr>
            <w:r w:rsidRPr="002C29D2">
              <w:rPr>
                <w:sz w:val="20"/>
                <w:szCs w:val="20"/>
              </w:rPr>
              <w:t>0.025</w:t>
            </w:r>
          </w:p>
        </w:tc>
        <w:tc>
          <w:tcPr>
            <w:tcW w:w="1134" w:type="dxa"/>
            <w:shd w:val="clear" w:color="auto" w:fill="auto"/>
            <w:noWrap/>
            <w:vAlign w:val="bottom"/>
            <w:hideMark/>
          </w:tcPr>
          <w:p w14:paraId="3D7024E0" w14:textId="77777777" w:rsidR="00626FF9" w:rsidRPr="002C29D2" w:rsidRDefault="00626FF9" w:rsidP="00B63C4D">
            <w:pPr>
              <w:jc w:val="center"/>
              <w:rPr>
                <w:sz w:val="20"/>
                <w:szCs w:val="20"/>
              </w:rPr>
            </w:pPr>
            <w:r w:rsidRPr="002C29D2">
              <w:rPr>
                <w:sz w:val="20"/>
                <w:szCs w:val="20"/>
              </w:rPr>
              <w:t>0.272</w:t>
            </w:r>
          </w:p>
        </w:tc>
        <w:tc>
          <w:tcPr>
            <w:tcW w:w="992" w:type="dxa"/>
            <w:vAlign w:val="bottom"/>
          </w:tcPr>
          <w:p w14:paraId="124367D7" w14:textId="77777777" w:rsidR="00626FF9" w:rsidRPr="002C29D2" w:rsidRDefault="00626FF9" w:rsidP="00B63C4D">
            <w:pPr>
              <w:jc w:val="center"/>
              <w:rPr>
                <w:sz w:val="20"/>
                <w:szCs w:val="20"/>
              </w:rPr>
            </w:pPr>
            <w:r w:rsidRPr="002C29D2">
              <w:rPr>
                <w:sz w:val="20"/>
                <w:szCs w:val="20"/>
              </w:rPr>
              <w:t>0.786</w:t>
            </w:r>
          </w:p>
        </w:tc>
        <w:tc>
          <w:tcPr>
            <w:tcW w:w="992" w:type="dxa"/>
            <w:shd w:val="clear" w:color="auto" w:fill="auto"/>
            <w:noWrap/>
            <w:vAlign w:val="bottom"/>
            <w:hideMark/>
          </w:tcPr>
          <w:p w14:paraId="3EF35B01" w14:textId="77777777" w:rsidR="00626FF9" w:rsidRPr="002C29D2" w:rsidRDefault="00626FF9" w:rsidP="00B63C4D">
            <w:pPr>
              <w:jc w:val="center"/>
              <w:rPr>
                <w:sz w:val="20"/>
                <w:szCs w:val="20"/>
              </w:rPr>
            </w:pPr>
            <w:r w:rsidRPr="002C29D2">
              <w:rPr>
                <w:sz w:val="20"/>
                <w:szCs w:val="20"/>
              </w:rPr>
              <w:t>-0.025</w:t>
            </w:r>
          </w:p>
        </w:tc>
        <w:tc>
          <w:tcPr>
            <w:tcW w:w="1122" w:type="dxa"/>
            <w:shd w:val="clear" w:color="auto" w:fill="auto"/>
            <w:noWrap/>
            <w:vAlign w:val="bottom"/>
            <w:hideMark/>
          </w:tcPr>
          <w:p w14:paraId="18F6FC2C" w14:textId="77777777" w:rsidR="00626FF9" w:rsidRPr="002C29D2" w:rsidRDefault="00626FF9" w:rsidP="00B63C4D">
            <w:pPr>
              <w:jc w:val="center"/>
              <w:rPr>
                <w:sz w:val="20"/>
                <w:szCs w:val="20"/>
              </w:rPr>
            </w:pPr>
            <w:r w:rsidRPr="002C29D2">
              <w:rPr>
                <w:sz w:val="20"/>
                <w:szCs w:val="20"/>
              </w:rPr>
              <w:t>0.292</w:t>
            </w:r>
          </w:p>
        </w:tc>
        <w:tc>
          <w:tcPr>
            <w:tcW w:w="863" w:type="dxa"/>
            <w:vAlign w:val="bottom"/>
          </w:tcPr>
          <w:p w14:paraId="5634F069" w14:textId="77777777" w:rsidR="00626FF9" w:rsidRPr="002C29D2" w:rsidRDefault="00626FF9" w:rsidP="00B63C4D">
            <w:pPr>
              <w:jc w:val="center"/>
              <w:rPr>
                <w:sz w:val="20"/>
                <w:szCs w:val="20"/>
              </w:rPr>
            </w:pPr>
            <w:r w:rsidRPr="002C29D2">
              <w:rPr>
                <w:sz w:val="20"/>
                <w:szCs w:val="20"/>
              </w:rPr>
              <w:t>0.771</w:t>
            </w:r>
          </w:p>
        </w:tc>
        <w:tc>
          <w:tcPr>
            <w:tcW w:w="1201" w:type="dxa"/>
            <w:shd w:val="clear" w:color="auto" w:fill="auto"/>
            <w:noWrap/>
            <w:vAlign w:val="bottom"/>
            <w:hideMark/>
          </w:tcPr>
          <w:p w14:paraId="47F7D079" w14:textId="77777777" w:rsidR="00626FF9" w:rsidRPr="002C29D2" w:rsidRDefault="00626FF9" w:rsidP="00B63C4D">
            <w:pPr>
              <w:jc w:val="center"/>
              <w:rPr>
                <w:sz w:val="20"/>
                <w:szCs w:val="20"/>
              </w:rPr>
            </w:pPr>
            <w:r w:rsidRPr="002C29D2">
              <w:rPr>
                <w:sz w:val="20"/>
                <w:szCs w:val="20"/>
              </w:rPr>
              <w:t>0.398</w:t>
            </w:r>
          </w:p>
        </w:tc>
        <w:tc>
          <w:tcPr>
            <w:tcW w:w="1067" w:type="dxa"/>
            <w:vAlign w:val="bottom"/>
          </w:tcPr>
          <w:p w14:paraId="0905941E" w14:textId="77777777" w:rsidR="00626FF9" w:rsidRPr="002C29D2" w:rsidRDefault="00626FF9" w:rsidP="00B63C4D">
            <w:pPr>
              <w:jc w:val="center"/>
              <w:rPr>
                <w:sz w:val="20"/>
                <w:szCs w:val="20"/>
              </w:rPr>
            </w:pPr>
            <w:r w:rsidRPr="002C29D2">
              <w:rPr>
                <w:sz w:val="20"/>
                <w:szCs w:val="20"/>
              </w:rPr>
              <w:t>0.691</w:t>
            </w:r>
          </w:p>
        </w:tc>
      </w:tr>
      <w:tr w:rsidR="002C29D2" w:rsidRPr="002C29D2" w14:paraId="7A6241D4" w14:textId="77777777" w:rsidTr="00626FF9">
        <w:trPr>
          <w:trHeight w:val="320"/>
        </w:trPr>
        <w:tc>
          <w:tcPr>
            <w:tcW w:w="1435" w:type="dxa"/>
            <w:shd w:val="clear" w:color="auto" w:fill="auto"/>
            <w:noWrap/>
            <w:vAlign w:val="center"/>
            <w:hideMark/>
          </w:tcPr>
          <w:p w14:paraId="1D20D5E9" w14:textId="77777777" w:rsidR="00626FF9" w:rsidRPr="002C29D2" w:rsidRDefault="00626FF9" w:rsidP="00626FF9">
            <w:pPr>
              <w:rPr>
                <w:sz w:val="20"/>
                <w:szCs w:val="20"/>
              </w:rPr>
            </w:pPr>
            <w:r w:rsidRPr="002C29D2">
              <w:rPr>
                <w:sz w:val="20"/>
                <w:szCs w:val="20"/>
              </w:rPr>
              <w:t>BE -&gt; UI</w:t>
            </w:r>
          </w:p>
        </w:tc>
        <w:tc>
          <w:tcPr>
            <w:tcW w:w="970" w:type="dxa"/>
            <w:shd w:val="clear" w:color="auto" w:fill="auto"/>
            <w:noWrap/>
            <w:vAlign w:val="bottom"/>
            <w:hideMark/>
          </w:tcPr>
          <w:p w14:paraId="0FBB1D18" w14:textId="77777777" w:rsidR="00626FF9" w:rsidRPr="002C29D2" w:rsidRDefault="00626FF9" w:rsidP="00B63C4D">
            <w:pPr>
              <w:jc w:val="center"/>
              <w:rPr>
                <w:sz w:val="20"/>
                <w:szCs w:val="20"/>
              </w:rPr>
            </w:pPr>
            <w:r w:rsidRPr="002C29D2">
              <w:rPr>
                <w:sz w:val="20"/>
                <w:szCs w:val="20"/>
              </w:rPr>
              <w:t>0.259</w:t>
            </w:r>
          </w:p>
        </w:tc>
        <w:tc>
          <w:tcPr>
            <w:tcW w:w="1134" w:type="dxa"/>
            <w:shd w:val="clear" w:color="auto" w:fill="auto"/>
            <w:noWrap/>
            <w:vAlign w:val="bottom"/>
            <w:hideMark/>
          </w:tcPr>
          <w:p w14:paraId="1857E635" w14:textId="77777777" w:rsidR="00626FF9" w:rsidRPr="002C29D2" w:rsidRDefault="00626FF9" w:rsidP="00B63C4D">
            <w:pPr>
              <w:jc w:val="center"/>
              <w:rPr>
                <w:sz w:val="20"/>
                <w:szCs w:val="20"/>
              </w:rPr>
            </w:pPr>
            <w:r w:rsidRPr="002C29D2">
              <w:rPr>
                <w:sz w:val="20"/>
                <w:szCs w:val="20"/>
              </w:rPr>
              <w:t>3.218</w:t>
            </w:r>
          </w:p>
        </w:tc>
        <w:tc>
          <w:tcPr>
            <w:tcW w:w="992" w:type="dxa"/>
            <w:vAlign w:val="bottom"/>
          </w:tcPr>
          <w:p w14:paraId="7F27337A" w14:textId="77777777" w:rsidR="00626FF9" w:rsidRPr="002C29D2" w:rsidRDefault="00626FF9" w:rsidP="00B63C4D">
            <w:pPr>
              <w:jc w:val="center"/>
              <w:rPr>
                <w:sz w:val="20"/>
                <w:szCs w:val="20"/>
              </w:rPr>
            </w:pPr>
            <w:r w:rsidRPr="002C29D2">
              <w:rPr>
                <w:sz w:val="20"/>
                <w:szCs w:val="20"/>
              </w:rPr>
              <w:t>0.001</w:t>
            </w:r>
          </w:p>
        </w:tc>
        <w:tc>
          <w:tcPr>
            <w:tcW w:w="992" w:type="dxa"/>
            <w:shd w:val="clear" w:color="auto" w:fill="auto"/>
            <w:noWrap/>
            <w:vAlign w:val="bottom"/>
            <w:hideMark/>
          </w:tcPr>
          <w:p w14:paraId="1DEEC051" w14:textId="77777777" w:rsidR="00626FF9" w:rsidRPr="002C29D2" w:rsidRDefault="00626FF9" w:rsidP="00B63C4D">
            <w:pPr>
              <w:jc w:val="center"/>
              <w:rPr>
                <w:sz w:val="20"/>
                <w:szCs w:val="20"/>
              </w:rPr>
            </w:pPr>
            <w:r w:rsidRPr="002C29D2">
              <w:rPr>
                <w:sz w:val="20"/>
                <w:szCs w:val="20"/>
              </w:rPr>
              <w:t>0.245</w:t>
            </w:r>
          </w:p>
        </w:tc>
        <w:tc>
          <w:tcPr>
            <w:tcW w:w="1122" w:type="dxa"/>
            <w:shd w:val="clear" w:color="auto" w:fill="auto"/>
            <w:noWrap/>
            <w:vAlign w:val="bottom"/>
            <w:hideMark/>
          </w:tcPr>
          <w:p w14:paraId="6B54939A" w14:textId="77777777" w:rsidR="00626FF9" w:rsidRPr="002C29D2" w:rsidRDefault="00626FF9" w:rsidP="00B63C4D">
            <w:pPr>
              <w:jc w:val="center"/>
              <w:rPr>
                <w:sz w:val="20"/>
                <w:szCs w:val="20"/>
              </w:rPr>
            </w:pPr>
            <w:r w:rsidRPr="002C29D2">
              <w:rPr>
                <w:sz w:val="20"/>
                <w:szCs w:val="20"/>
              </w:rPr>
              <w:t>2.485</w:t>
            </w:r>
          </w:p>
        </w:tc>
        <w:tc>
          <w:tcPr>
            <w:tcW w:w="863" w:type="dxa"/>
            <w:vAlign w:val="bottom"/>
          </w:tcPr>
          <w:p w14:paraId="26AF7348" w14:textId="77777777" w:rsidR="00626FF9" w:rsidRPr="002C29D2" w:rsidRDefault="00626FF9" w:rsidP="00B63C4D">
            <w:pPr>
              <w:jc w:val="center"/>
              <w:rPr>
                <w:sz w:val="20"/>
                <w:szCs w:val="20"/>
              </w:rPr>
            </w:pPr>
            <w:r w:rsidRPr="002C29D2">
              <w:rPr>
                <w:sz w:val="20"/>
                <w:szCs w:val="20"/>
              </w:rPr>
              <w:t>0.013</w:t>
            </w:r>
          </w:p>
        </w:tc>
        <w:tc>
          <w:tcPr>
            <w:tcW w:w="1201" w:type="dxa"/>
            <w:shd w:val="clear" w:color="auto" w:fill="auto"/>
            <w:noWrap/>
            <w:vAlign w:val="bottom"/>
            <w:hideMark/>
          </w:tcPr>
          <w:p w14:paraId="33E66035" w14:textId="77777777" w:rsidR="00626FF9" w:rsidRPr="002C29D2" w:rsidRDefault="00626FF9" w:rsidP="00B63C4D">
            <w:pPr>
              <w:jc w:val="center"/>
              <w:rPr>
                <w:sz w:val="20"/>
                <w:szCs w:val="20"/>
              </w:rPr>
            </w:pPr>
            <w:r w:rsidRPr="002C29D2">
              <w:rPr>
                <w:sz w:val="20"/>
                <w:szCs w:val="20"/>
              </w:rPr>
              <w:t>0.116</w:t>
            </w:r>
          </w:p>
        </w:tc>
        <w:tc>
          <w:tcPr>
            <w:tcW w:w="1067" w:type="dxa"/>
            <w:vAlign w:val="bottom"/>
          </w:tcPr>
          <w:p w14:paraId="28059CEF" w14:textId="77777777" w:rsidR="00626FF9" w:rsidRPr="002C29D2" w:rsidRDefault="00626FF9" w:rsidP="00B63C4D">
            <w:pPr>
              <w:jc w:val="center"/>
              <w:rPr>
                <w:sz w:val="20"/>
                <w:szCs w:val="20"/>
              </w:rPr>
            </w:pPr>
            <w:r w:rsidRPr="002C29D2">
              <w:rPr>
                <w:sz w:val="20"/>
                <w:szCs w:val="20"/>
              </w:rPr>
              <w:t>0.908</w:t>
            </w:r>
          </w:p>
        </w:tc>
      </w:tr>
      <w:tr w:rsidR="002C29D2" w:rsidRPr="002C29D2" w14:paraId="44EDBB1B" w14:textId="77777777" w:rsidTr="00626FF9">
        <w:trPr>
          <w:trHeight w:val="320"/>
        </w:trPr>
        <w:tc>
          <w:tcPr>
            <w:tcW w:w="1435" w:type="dxa"/>
            <w:shd w:val="clear" w:color="auto" w:fill="auto"/>
            <w:noWrap/>
            <w:vAlign w:val="center"/>
            <w:hideMark/>
          </w:tcPr>
          <w:p w14:paraId="26846D62" w14:textId="77777777" w:rsidR="00626FF9" w:rsidRPr="002C29D2" w:rsidRDefault="00626FF9" w:rsidP="00626FF9">
            <w:pPr>
              <w:rPr>
                <w:sz w:val="20"/>
                <w:szCs w:val="20"/>
              </w:rPr>
            </w:pPr>
            <w:r w:rsidRPr="002C29D2">
              <w:rPr>
                <w:sz w:val="20"/>
                <w:szCs w:val="20"/>
              </w:rPr>
              <w:t>ENG -&gt; ATA</w:t>
            </w:r>
          </w:p>
        </w:tc>
        <w:tc>
          <w:tcPr>
            <w:tcW w:w="970" w:type="dxa"/>
            <w:shd w:val="clear" w:color="auto" w:fill="auto"/>
            <w:noWrap/>
            <w:vAlign w:val="bottom"/>
            <w:hideMark/>
          </w:tcPr>
          <w:p w14:paraId="41651CBF" w14:textId="77777777" w:rsidR="00626FF9" w:rsidRPr="002C29D2" w:rsidRDefault="00626FF9" w:rsidP="00B63C4D">
            <w:pPr>
              <w:jc w:val="center"/>
              <w:rPr>
                <w:sz w:val="20"/>
                <w:szCs w:val="20"/>
              </w:rPr>
            </w:pPr>
            <w:r w:rsidRPr="002C29D2">
              <w:rPr>
                <w:sz w:val="20"/>
                <w:szCs w:val="20"/>
              </w:rPr>
              <w:t>0.336</w:t>
            </w:r>
          </w:p>
        </w:tc>
        <w:tc>
          <w:tcPr>
            <w:tcW w:w="1134" w:type="dxa"/>
            <w:shd w:val="clear" w:color="auto" w:fill="auto"/>
            <w:noWrap/>
            <w:vAlign w:val="bottom"/>
            <w:hideMark/>
          </w:tcPr>
          <w:p w14:paraId="5F0CA48D" w14:textId="77777777" w:rsidR="00626FF9" w:rsidRPr="002C29D2" w:rsidRDefault="00626FF9" w:rsidP="00B63C4D">
            <w:pPr>
              <w:jc w:val="center"/>
              <w:rPr>
                <w:sz w:val="20"/>
                <w:szCs w:val="20"/>
              </w:rPr>
            </w:pPr>
            <w:r w:rsidRPr="002C29D2">
              <w:rPr>
                <w:sz w:val="20"/>
                <w:szCs w:val="20"/>
              </w:rPr>
              <w:t>3.234</w:t>
            </w:r>
          </w:p>
        </w:tc>
        <w:tc>
          <w:tcPr>
            <w:tcW w:w="992" w:type="dxa"/>
            <w:vAlign w:val="bottom"/>
          </w:tcPr>
          <w:p w14:paraId="031194E9" w14:textId="77777777" w:rsidR="00626FF9" w:rsidRPr="002C29D2" w:rsidRDefault="00626FF9" w:rsidP="00B63C4D">
            <w:pPr>
              <w:jc w:val="center"/>
              <w:rPr>
                <w:sz w:val="20"/>
                <w:szCs w:val="20"/>
              </w:rPr>
            </w:pPr>
            <w:r w:rsidRPr="002C29D2">
              <w:rPr>
                <w:sz w:val="20"/>
                <w:szCs w:val="20"/>
              </w:rPr>
              <w:t>0.001</w:t>
            </w:r>
          </w:p>
        </w:tc>
        <w:tc>
          <w:tcPr>
            <w:tcW w:w="992" w:type="dxa"/>
            <w:shd w:val="clear" w:color="auto" w:fill="auto"/>
            <w:noWrap/>
            <w:vAlign w:val="bottom"/>
            <w:hideMark/>
          </w:tcPr>
          <w:p w14:paraId="548A6065" w14:textId="77777777" w:rsidR="00626FF9" w:rsidRPr="002C29D2" w:rsidRDefault="00626FF9" w:rsidP="00B63C4D">
            <w:pPr>
              <w:jc w:val="center"/>
              <w:rPr>
                <w:sz w:val="20"/>
                <w:szCs w:val="20"/>
              </w:rPr>
            </w:pPr>
            <w:r w:rsidRPr="002C29D2">
              <w:rPr>
                <w:sz w:val="20"/>
                <w:szCs w:val="20"/>
              </w:rPr>
              <w:t>0.353</w:t>
            </w:r>
          </w:p>
        </w:tc>
        <w:tc>
          <w:tcPr>
            <w:tcW w:w="1122" w:type="dxa"/>
            <w:shd w:val="clear" w:color="auto" w:fill="auto"/>
            <w:noWrap/>
            <w:vAlign w:val="bottom"/>
            <w:hideMark/>
          </w:tcPr>
          <w:p w14:paraId="5BA0F3E9" w14:textId="77777777" w:rsidR="00626FF9" w:rsidRPr="002C29D2" w:rsidRDefault="00626FF9" w:rsidP="00B63C4D">
            <w:pPr>
              <w:jc w:val="center"/>
              <w:rPr>
                <w:sz w:val="20"/>
                <w:szCs w:val="20"/>
              </w:rPr>
            </w:pPr>
            <w:r w:rsidRPr="002C29D2">
              <w:rPr>
                <w:sz w:val="20"/>
                <w:szCs w:val="20"/>
              </w:rPr>
              <w:t>2.983</w:t>
            </w:r>
          </w:p>
        </w:tc>
        <w:tc>
          <w:tcPr>
            <w:tcW w:w="863" w:type="dxa"/>
            <w:vAlign w:val="bottom"/>
          </w:tcPr>
          <w:p w14:paraId="48BA0DBB" w14:textId="77777777" w:rsidR="00626FF9" w:rsidRPr="002C29D2" w:rsidRDefault="00626FF9" w:rsidP="00B63C4D">
            <w:pPr>
              <w:jc w:val="center"/>
              <w:rPr>
                <w:sz w:val="20"/>
                <w:szCs w:val="20"/>
              </w:rPr>
            </w:pPr>
            <w:r w:rsidRPr="002C29D2">
              <w:rPr>
                <w:sz w:val="20"/>
                <w:szCs w:val="20"/>
              </w:rPr>
              <w:t>0.003</w:t>
            </w:r>
          </w:p>
        </w:tc>
        <w:tc>
          <w:tcPr>
            <w:tcW w:w="1201" w:type="dxa"/>
            <w:shd w:val="clear" w:color="auto" w:fill="auto"/>
            <w:noWrap/>
            <w:vAlign w:val="bottom"/>
            <w:hideMark/>
          </w:tcPr>
          <w:p w14:paraId="24ADA1D7" w14:textId="77777777" w:rsidR="00626FF9" w:rsidRPr="002C29D2" w:rsidRDefault="00626FF9" w:rsidP="00B63C4D">
            <w:pPr>
              <w:jc w:val="center"/>
              <w:rPr>
                <w:sz w:val="20"/>
                <w:szCs w:val="20"/>
              </w:rPr>
            </w:pPr>
            <w:r w:rsidRPr="002C29D2">
              <w:rPr>
                <w:sz w:val="20"/>
                <w:szCs w:val="20"/>
              </w:rPr>
              <w:t>0.112</w:t>
            </w:r>
          </w:p>
        </w:tc>
        <w:tc>
          <w:tcPr>
            <w:tcW w:w="1067" w:type="dxa"/>
            <w:vAlign w:val="bottom"/>
          </w:tcPr>
          <w:p w14:paraId="342685F4" w14:textId="77777777" w:rsidR="00626FF9" w:rsidRPr="002C29D2" w:rsidRDefault="00626FF9" w:rsidP="00B63C4D">
            <w:pPr>
              <w:jc w:val="center"/>
              <w:rPr>
                <w:sz w:val="20"/>
                <w:szCs w:val="20"/>
              </w:rPr>
            </w:pPr>
            <w:r w:rsidRPr="002C29D2">
              <w:rPr>
                <w:sz w:val="20"/>
                <w:szCs w:val="20"/>
              </w:rPr>
              <w:t>0.911</w:t>
            </w:r>
          </w:p>
        </w:tc>
      </w:tr>
      <w:tr w:rsidR="002C29D2" w:rsidRPr="002C29D2" w14:paraId="039330B1" w14:textId="77777777" w:rsidTr="00626FF9">
        <w:trPr>
          <w:trHeight w:val="320"/>
        </w:trPr>
        <w:tc>
          <w:tcPr>
            <w:tcW w:w="1435" w:type="dxa"/>
            <w:shd w:val="clear" w:color="auto" w:fill="auto"/>
            <w:noWrap/>
            <w:vAlign w:val="center"/>
            <w:hideMark/>
          </w:tcPr>
          <w:p w14:paraId="6F2FD000" w14:textId="77777777" w:rsidR="00626FF9" w:rsidRPr="002C29D2" w:rsidRDefault="00626FF9" w:rsidP="00626FF9">
            <w:pPr>
              <w:rPr>
                <w:sz w:val="20"/>
                <w:szCs w:val="20"/>
              </w:rPr>
            </w:pPr>
            <w:r w:rsidRPr="002C29D2">
              <w:rPr>
                <w:sz w:val="20"/>
                <w:szCs w:val="20"/>
              </w:rPr>
              <w:t>ENG -&gt; SAT</w:t>
            </w:r>
          </w:p>
        </w:tc>
        <w:tc>
          <w:tcPr>
            <w:tcW w:w="970" w:type="dxa"/>
            <w:shd w:val="clear" w:color="auto" w:fill="auto"/>
            <w:noWrap/>
            <w:vAlign w:val="bottom"/>
            <w:hideMark/>
          </w:tcPr>
          <w:p w14:paraId="184B7DFF" w14:textId="77777777" w:rsidR="00626FF9" w:rsidRPr="002C29D2" w:rsidRDefault="00626FF9" w:rsidP="00B63C4D">
            <w:pPr>
              <w:jc w:val="center"/>
              <w:rPr>
                <w:sz w:val="20"/>
                <w:szCs w:val="20"/>
              </w:rPr>
            </w:pPr>
            <w:r w:rsidRPr="002C29D2">
              <w:rPr>
                <w:sz w:val="20"/>
                <w:szCs w:val="20"/>
              </w:rPr>
              <w:t>0.304</w:t>
            </w:r>
          </w:p>
        </w:tc>
        <w:tc>
          <w:tcPr>
            <w:tcW w:w="1134" w:type="dxa"/>
            <w:shd w:val="clear" w:color="auto" w:fill="auto"/>
            <w:noWrap/>
            <w:vAlign w:val="bottom"/>
            <w:hideMark/>
          </w:tcPr>
          <w:p w14:paraId="232D6BFE" w14:textId="77777777" w:rsidR="00626FF9" w:rsidRPr="002C29D2" w:rsidRDefault="00626FF9" w:rsidP="00B63C4D">
            <w:pPr>
              <w:jc w:val="center"/>
              <w:rPr>
                <w:sz w:val="20"/>
                <w:szCs w:val="20"/>
              </w:rPr>
            </w:pPr>
            <w:r w:rsidRPr="002C29D2">
              <w:rPr>
                <w:sz w:val="20"/>
                <w:szCs w:val="20"/>
              </w:rPr>
              <w:t>2.663</w:t>
            </w:r>
          </w:p>
        </w:tc>
        <w:tc>
          <w:tcPr>
            <w:tcW w:w="992" w:type="dxa"/>
            <w:vAlign w:val="bottom"/>
          </w:tcPr>
          <w:p w14:paraId="2094A646" w14:textId="77777777" w:rsidR="00626FF9" w:rsidRPr="002C29D2" w:rsidRDefault="00626FF9" w:rsidP="00B63C4D">
            <w:pPr>
              <w:jc w:val="center"/>
              <w:rPr>
                <w:sz w:val="20"/>
                <w:szCs w:val="20"/>
              </w:rPr>
            </w:pPr>
            <w:r w:rsidRPr="002C29D2">
              <w:rPr>
                <w:sz w:val="20"/>
                <w:szCs w:val="20"/>
              </w:rPr>
              <w:t>0.008</w:t>
            </w:r>
          </w:p>
        </w:tc>
        <w:tc>
          <w:tcPr>
            <w:tcW w:w="992" w:type="dxa"/>
            <w:shd w:val="clear" w:color="auto" w:fill="auto"/>
            <w:noWrap/>
            <w:vAlign w:val="bottom"/>
            <w:hideMark/>
          </w:tcPr>
          <w:p w14:paraId="01BB8B59" w14:textId="77777777" w:rsidR="00626FF9" w:rsidRPr="002C29D2" w:rsidRDefault="00626FF9" w:rsidP="00B63C4D">
            <w:pPr>
              <w:jc w:val="center"/>
              <w:rPr>
                <w:sz w:val="20"/>
                <w:szCs w:val="20"/>
              </w:rPr>
            </w:pPr>
            <w:r w:rsidRPr="002C29D2">
              <w:rPr>
                <w:sz w:val="20"/>
                <w:szCs w:val="20"/>
              </w:rPr>
              <w:t>0.300</w:t>
            </w:r>
          </w:p>
        </w:tc>
        <w:tc>
          <w:tcPr>
            <w:tcW w:w="1122" w:type="dxa"/>
            <w:shd w:val="clear" w:color="auto" w:fill="auto"/>
            <w:noWrap/>
            <w:vAlign w:val="bottom"/>
            <w:hideMark/>
          </w:tcPr>
          <w:p w14:paraId="12DD867D" w14:textId="77777777" w:rsidR="00626FF9" w:rsidRPr="002C29D2" w:rsidRDefault="00626FF9" w:rsidP="00B63C4D">
            <w:pPr>
              <w:jc w:val="center"/>
              <w:rPr>
                <w:sz w:val="20"/>
                <w:szCs w:val="20"/>
              </w:rPr>
            </w:pPr>
            <w:r w:rsidRPr="002C29D2">
              <w:rPr>
                <w:sz w:val="20"/>
                <w:szCs w:val="20"/>
              </w:rPr>
              <w:t>2.909</w:t>
            </w:r>
          </w:p>
        </w:tc>
        <w:tc>
          <w:tcPr>
            <w:tcW w:w="863" w:type="dxa"/>
            <w:vAlign w:val="bottom"/>
          </w:tcPr>
          <w:p w14:paraId="577D22E2" w14:textId="77777777" w:rsidR="00626FF9" w:rsidRPr="002C29D2" w:rsidRDefault="00626FF9" w:rsidP="00B63C4D">
            <w:pPr>
              <w:jc w:val="center"/>
              <w:rPr>
                <w:sz w:val="20"/>
                <w:szCs w:val="20"/>
              </w:rPr>
            </w:pPr>
            <w:r w:rsidRPr="002C29D2">
              <w:rPr>
                <w:sz w:val="20"/>
                <w:szCs w:val="20"/>
              </w:rPr>
              <w:t>0.004</w:t>
            </w:r>
          </w:p>
        </w:tc>
        <w:tc>
          <w:tcPr>
            <w:tcW w:w="1201" w:type="dxa"/>
            <w:shd w:val="clear" w:color="auto" w:fill="auto"/>
            <w:noWrap/>
            <w:vAlign w:val="bottom"/>
            <w:hideMark/>
          </w:tcPr>
          <w:p w14:paraId="76B00ECA" w14:textId="77777777" w:rsidR="00626FF9" w:rsidRPr="002C29D2" w:rsidRDefault="00626FF9" w:rsidP="00B63C4D">
            <w:pPr>
              <w:jc w:val="center"/>
              <w:rPr>
                <w:sz w:val="20"/>
                <w:szCs w:val="20"/>
              </w:rPr>
            </w:pPr>
            <w:r w:rsidRPr="002C29D2">
              <w:rPr>
                <w:sz w:val="20"/>
                <w:szCs w:val="20"/>
              </w:rPr>
              <w:t>0.020</w:t>
            </w:r>
          </w:p>
        </w:tc>
        <w:tc>
          <w:tcPr>
            <w:tcW w:w="1067" w:type="dxa"/>
            <w:vAlign w:val="bottom"/>
          </w:tcPr>
          <w:p w14:paraId="5B3461A7" w14:textId="77777777" w:rsidR="00626FF9" w:rsidRPr="002C29D2" w:rsidRDefault="00626FF9" w:rsidP="00B63C4D">
            <w:pPr>
              <w:jc w:val="center"/>
              <w:rPr>
                <w:sz w:val="20"/>
                <w:szCs w:val="20"/>
              </w:rPr>
            </w:pPr>
            <w:r w:rsidRPr="002C29D2">
              <w:rPr>
                <w:sz w:val="20"/>
                <w:szCs w:val="20"/>
              </w:rPr>
              <w:t>0.984</w:t>
            </w:r>
          </w:p>
        </w:tc>
      </w:tr>
      <w:tr w:rsidR="002C29D2" w:rsidRPr="002C29D2" w14:paraId="2CC77B78" w14:textId="77777777" w:rsidTr="00626FF9">
        <w:trPr>
          <w:trHeight w:val="320"/>
        </w:trPr>
        <w:tc>
          <w:tcPr>
            <w:tcW w:w="1435" w:type="dxa"/>
            <w:shd w:val="clear" w:color="auto" w:fill="auto"/>
            <w:noWrap/>
            <w:vAlign w:val="center"/>
            <w:hideMark/>
          </w:tcPr>
          <w:p w14:paraId="40BFB4CB" w14:textId="77777777" w:rsidR="00626FF9" w:rsidRPr="002C29D2" w:rsidRDefault="00626FF9" w:rsidP="00626FF9">
            <w:pPr>
              <w:rPr>
                <w:sz w:val="20"/>
                <w:szCs w:val="20"/>
              </w:rPr>
            </w:pPr>
            <w:r w:rsidRPr="002C29D2">
              <w:rPr>
                <w:sz w:val="20"/>
                <w:szCs w:val="20"/>
              </w:rPr>
              <w:t>ENG -&gt; UI</w:t>
            </w:r>
          </w:p>
        </w:tc>
        <w:tc>
          <w:tcPr>
            <w:tcW w:w="970" w:type="dxa"/>
            <w:shd w:val="clear" w:color="auto" w:fill="auto"/>
            <w:noWrap/>
            <w:vAlign w:val="bottom"/>
            <w:hideMark/>
          </w:tcPr>
          <w:p w14:paraId="158795F5" w14:textId="77777777" w:rsidR="00626FF9" w:rsidRPr="002C29D2" w:rsidRDefault="00626FF9" w:rsidP="00B63C4D">
            <w:pPr>
              <w:jc w:val="center"/>
              <w:rPr>
                <w:sz w:val="20"/>
                <w:szCs w:val="20"/>
              </w:rPr>
            </w:pPr>
            <w:r w:rsidRPr="002C29D2">
              <w:rPr>
                <w:sz w:val="20"/>
                <w:szCs w:val="20"/>
              </w:rPr>
              <w:t>0.518</w:t>
            </w:r>
          </w:p>
        </w:tc>
        <w:tc>
          <w:tcPr>
            <w:tcW w:w="1134" w:type="dxa"/>
            <w:shd w:val="clear" w:color="auto" w:fill="auto"/>
            <w:noWrap/>
            <w:vAlign w:val="bottom"/>
            <w:hideMark/>
          </w:tcPr>
          <w:p w14:paraId="0D90930D" w14:textId="77777777" w:rsidR="00626FF9" w:rsidRPr="002C29D2" w:rsidRDefault="00626FF9" w:rsidP="00B63C4D">
            <w:pPr>
              <w:jc w:val="center"/>
              <w:rPr>
                <w:sz w:val="20"/>
                <w:szCs w:val="20"/>
              </w:rPr>
            </w:pPr>
            <w:r w:rsidRPr="002C29D2">
              <w:rPr>
                <w:sz w:val="20"/>
                <w:szCs w:val="20"/>
              </w:rPr>
              <w:t>5.873</w:t>
            </w:r>
          </w:p>
        </w:tc>
        <w:tc>
          <w:tcPr>
            <w:tcW w:w="992" w:type="dxa"/>
            <w:vAlign w:val="bottom"/>
          </w:tcPr>
          <w:p w14:paraId="7E66124A"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hideMark/>
          </w:tcPr>
          <w:p w14:paraId="2CD8A668" w14:textId="77777777" w:rsidR="00626FF9" w:rsidRPr="002C29D2" w:rsidRDefault="00626FF9" w:rsidP="00B63C4D">
            <w:pPr>
              <w:jc w:val="center"/>
              <w:rPr>
                <w:sz w:val="20"/>
                <w:szCs w:val="20"/>
              </w:rPr>
            </w:pPr>
            <w:r w:rsidRPr="002C29D2">
              <w:rPr>
                <w:sz w:val="20"/>
                <w:szCs w:val="20"/>
              </w:rPr>
              <w:t>0.444</w:t>
            </w:r>
          </w:p>
        </w:tc>
        <w:tc>
          <w:tcPr>
            <w:tcW w:w="1122" w:type="dxa"/>
            <w:shd w:val="clear" w:color="auto" w:fill="auto"/>
            <w:noWrap/>
            <w:vAlign w:val="bottom"/>
            <w:hideMark/>
          </w:tcPr>
          <w:p w14:paraId="0E74B1A3" w14:textId="77777777" w:rsidR="00626FF9" w:rsidRPr="002C29D2" w:rsidRDefault="00626FF9" w:rsidP="00B63C4D">
            <w:pPr>
              <w:jc w:val="center"/>
              <w:rPr>
                <w:sz w:val="20"/>
                <w:szCs w:val="20"/>
              </w:rPr>
            </w:pPr>
            <w:r w:rsidRPr="002C29D2">
              <w:rPr>
                <w:sz w:val="20"/>
                <w:szCs w:val="20"/>
              </w:rPr>
              <w:t>3.822</w:t>
            </w:r>
          </w:p>
        </w:tc>
        <w:tc>
          <w:tcPr>
            <w:tcW w:w="863" w:type="dxa"/>
            <w:vAlign w:val="bottom"/>
          </w:tcPr>
          <w:p w14:paraId="2DCF6321"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081AA336" w14:textId="77777777" w:rsidR="00626FF9" w:rsidRPr="002C29D2" w:rsidRDefault="00626FF9" w:rsidP="00B63C4D">
            <w:pPr>
              <w:jc w:val="center"/>
              <w:rPr>
                <w:sz w:val="20"/>
                <w:szCs w:val="20"/>
              </w:rPr>
            </w:pPr>
            <w:r w:rsidRPr="002C29D2">
              <w:rPr>
                <w:sz w:val="20"/>
                <w:szCs w:val="20"/>
              </w:rPr>
              <w:t>0.506</w:t>
            </w:r>
          </w:p>
        </w:tc>
        <w:tc>
          <w:tcPr>
            <w:tcW w:w="1067" w:type="dxa"/>
            <w:vAlign w:val="bottom"/>
          </w:tcPr>
          <w:p w14:paraId="00F40744" w14:textId="77777777" w:rsidR="00626FF9" w:rsidRPr="002C29D2" w:rsidRDefault="00626FF9" w:rsidP="00B63C4D">
            <w:pPr>
              <w:jc w:val="center"/>
              <w:rPr>
                <w:sz w:val="20"/>
                <w:szCs w:val="20"/>
              </w:rPr>
            </w:pPr>
            <w:r w:rsidRPr="002C29D2">
              <w:rPr>
                <w:sz w:val="20"/>
                <w:szCs w:val="20"/>
              </w:rPr>
              <w:t>0.613</w:t>
            </w:r>
          </w:p>
        </w:tc>
      </w:tr>
      <w:tr w:rsidR="002C29D2" w:rsidRPr="002C29D2" w14:paraId="5778E123" w14:textId="77777777" w:rsidTr="00626FF9">
        <w:trPr>
          <w:trHeight w:val="320"/>
        </w:trPr>
        <w:tc>
          <w:tcPr>
            <w:tcW w:w="1435" w:type="dxa"/>
            <w:shd w:val="clear" w:color="auto" w:fill="auto"/>
            <w:noWrap/>
            <w:vAlign w:val="center"/>
            <w:hideMark/>
          </w:tcPr>
          <w:p w14:paraId="7BD8742C" w14:textId="77777777" w:rsidR="00626FF9" w:rsidRPr="002C29D2" w:rsidRDefault="00626FF9" w:rsidP="00626FF9">
            <w:pPr>
              <w:rPr>
                <w:b/>
                <w:bCs/>
                <w:sz w:val="20"/>
                <w:szCs w:val="20"/>
              </w:rPr>
            </w:pPr>
            <w:r w:rsidRPr="002C29D2">
              <w:rPr>
                <w:b/>
                <w:bCs/>
                <w:sz w:val="20"/>
                <w:szCs w:val="20"/>
              </w:rPr>
              <w:t>EXP -&gt; ATA</w:t>
            </w:r>
          </w:p>
        </w:tc>
        <w:tc>
          <w:tcPr>
            <w:tcW w:w="970" w:type="dxa"/>
            <w:shd w:val="clear" w:color="auto" w:fill="auto"/>
            <w:noWrap/>
            <w:vAlign w:val="bottom"/>
            <w:hideMark/>
          </w:tcPr>
          <w:p w14:paraId="39EDAF90" w14:textId="77777777" w:rsidR="00626FF9" w:rsidRPr="002C29D2" w:rsidRDefault="00626FF9" w:rsidP="00B63C4D">
            <w:pPr>
              <w:jc w:val="center"/>
              <w:rPr>
                <w:b/>
                <w:bCs/>
                <w:sz w:val="20"/>
                <w:szCs w:val="20"/>
              </w:rPr>
            </w:pPr>
            <w:r w:rsidRPr="002C29D2">
              <w:rPr>
                <w:b/>
                <w:bCs/>
                <w:sz w:val="20"/>
                <w:szCs w:val="20"/>
              </w:rPr>
              <w:t>-0.226</w:t>
            </w:r>
          </w:p>
        </w:tc>
        <w:tc>
          <w:tcPr>
            <w:tcW w:w="1134" w:type="dxa"/>
            <w:shd w:val="clear" w:color="auto" w:fill="auto"/>
            <w:noWrap/>
            <w:vAlign w:val="bottom"/>
            <w:hideMark/>
          </w:tcPr>
          <w:p w14:paraId="6E74F503" w14:textId="77777777" w:rsidR="00626FF9" w:rsidRPr="002C29D2" w:rsidRDefault="00626FF9" w:rsidP="00B63C4D">
            <w:pPr>
              <w:jc w:val="center"/>
              <w:rPr>
                <w:b/>
                <w:bCs/>
                <w:sz w:val="20"/>
                <w:szCs w:val="20"/>
              </w:rPr>
            </w:pPr>
            <w:r w:rsidRPr="002C29D2">
              <w:rPr>
                <w:b/>
                <w:bCs/>
                <w:sz w:val="20"/>
                <w:szCs w:val="20"/>
              </w:rPr>
              <w:t>2.508</w:t>
            </w:r>
          </w:p>
        </w:tc>
        <w:tc>
          <w:tcPr>
            <w:tcW w:w="992" w:type="dxa"/>
            <w:vAlign w:val="bottom"/>
          </w:tcPr>
          <w:p w14:paraId="17E85BCB" w14:textId="77777777" w:rsidR="00626FF9" w:rsidRPr="002C29D2" w:rsidRDefault="00626FF9" w:rsidP="00B63C4D">
            <w:pPr>
              <w:jc w:val="center"/>
              <w:rPr>
                <w:b/>
                <w:bCs/>
                <w:sz w:val="20"/>
                <w:szCs w:val="20"/>
              </w:rPr>
            </w:pPr>
            <w:r w:rsidRPr="002C29D2">
              <w:rPr>
                <w:b/>
                <w:bCs/>
                <w:sz w:val="20"/>
                <w:szCs w:val="20"/>
              </w:rPr>
              <w:t>0.012</w:t>
            </w:r>
          </w:p>
        </w:tc>
        <w:tc>
          <w:tcPr>
            <w:tcW w:w="992" w:type="dxa"/>
            <w:shd w:val="clear" w:color="auto" w:fill="auto"/>
            <w:noWrap/>
            <w:vAlign w:val="bottom"/>
            <w:hideMark/>
          </w:tcPr>
          <w:p w14:paraId="48163D35" w14:textId="77777777" w:rsidR="00626FF9" w:rsidRPr="002C29D2" w:rsidRDefault="00626FF9" w:rsidP="00B63C4D">
            <w:pPr>
              <w:jc w:val="center"/>
              <w:rPr>
                <w:b/>
                <w:bCs/>
                <w:sz w:val="20"/>
                <w:szCs w:val="20"/>
              </w:rPr>
            </w:pPr>
            <w:r w:rsidRPr="002C29D2">
              <w:rPr>
                <w:b/>
                <w:bCs/>
                <w:sz w:val="20"/>
                <w:szCs w:val="20"/>
              </w:rPr>
              <w:t>0.084</w:t>
            </w:r>
          </w:p>
        </w:tc>
        <w:tc>
          <w:tcPr>
            <w:tcW w:w="1122" w:type="dxa"/>
            <w:shd w:val="clear" w:color="auto" w:fill="auto"/>
            <w:noWrap/>
            <w:vAlign w:val="bottom"/>
            <w:hideMark/>
          </w:tcPr>
          <w:p w14:paraId="1836F884" w14:textId="77777777" w:rsidR="00626FF9" w:rsidRPr="002C29D2" w:rsidRDefault="00626FF9" w:rsidP="00B63C4D">
            <w:pPr>
              <w:jc w:val="center"/>
              <w:rPr>
                <w:b/>
                <w:bCs/>
                <w:sz w:val="20"/>
                <w:szCs w:val="20"/>
              </w:rPr>
            </w:pPr>
            <w:r w:rsidRPr="002C29D2">
              <w:rPr>
                <w:b/>
                <w:bCs/>
                <w:sz w:val="20"/>
                <w:szCs w:val="20"/>
              </w:rPr>
              <w:t>0.889</w:t>
            </w:r>
          </w:p>
        </w:tc>
        <w:tc>
          <w:tcPr>
            <w:tcW w:w="863" w:type="dxa"/>
            <w:vAlign w:val="bottom"/>
          </w:tcPr>
          <w:p w14:paraId="0FE8A6C3" w14:textId="77777777" w:rsidR="00626FF9" w:rsidRPr="002C29D2" w:rsidRDefault="00626FF9" w:rsidP="00B63C4D">
            <w:pPr>
              <w:jc w:val="center"/>
              <w:rPr>
                <w:b/>
                <w:bCs/>
                <w:sz w:val="20"/>
                <w:szCs w:val="20"/>
              </w:rPr>
            </w:pPr>
            <w:r w:rsidRPr="002C29D2">
              <w:rPr>
                <w:b/>
                <w:bCs/>
                <w:sz w:val="20"/>
                <w:szCs w:val="20"/>
              </w:rPr>
              <w:t>0.374</w:t>
            </w:r>
          </w:p>
        </w:tc>
        <w:tc>
          <w:tcPr>
            <w:tcW w:w="1201" w:type="dxa"/>
            <w:shd w:val="clear" w:color="auto" w:fill="auto"/>
            <w:noWrap/>
            <w:vAlign w:val="bottom"/>
            <w:hideMark/>
          </w:tcPr>
          <w:p w14:paraId="6B525344" w14:textId="77777777" w:rsidR="00626FF9" w:rsidRPr="002C29D2" w:rsidRDefault="00626FF9" w:rsidP="00B63C4D">
            <w:pPr>
              <w:jc w:val="center"/>
              <w:rPr>
                <w:b/>
                <w:bCs/>
                <w:sz w:val="20"/>
                <w:szCs w:val="20"/>
              </w:rPr>
            </w:pPr>
            <w:r w:rsidRPr="002C29D2">
              <w:rPr>
                <w:b/>
                <w:bCs/>
                <w:sz w:val="20"/>
                <w:szCs w:val="20"/>
              </w:rPr>
              <w:t>2.383</w:t>
            </w:r>
          </w:p>
        </w:tc>
        <w:tc>
          <w:tcPr>
            <w:tcW w:w="1067" w:type="dxa"/>
            <w:vAlign w:val="bottom"/>
          </w:tcPr>
          <w:p w14:paraId="50513C08" w14:textId="77777777" w:rsidR="00626FF9" w:rsidRPr="002C29D2" w:rsidRDefault="00626FF9" w:rsidP="00B63C4D">
            <w:pPr>
              <w:jc w:val="center"/>
              <w:rPr>
                <w:b/>
                <w:bCs/>
                <w:sz w:val="20"/>
                <w:szCs w:val="20"/>
              </w:rPr>
            </w:pPr>
            <w:r w:rsidRPr="002C29D2">
              <w:rPr>
                <w:b/>
                <w:bCs/>
                <w:sz w:val="20"/>
                <w:szCs w:val="20"/>
              </w:rPr>
              <w:t>0.018</w:t>
            </w:r>
          </w:p>
        </w:tc>
      </w:tr>
      <w:tr w:rsidR="002C29D2" w:rsidRPr="002C29D2" w14:paraId="22D78924" w14:textId="77777777" w:rsidTr="00626FF9">
        <w:trPr>
          <w:trHeight w:val="320"/>
        </w:trPr>
        <w:tc>
          <w:tcPr>
            <w:tcW w:w="1435" w:type="dxa"/>
            <w:shd w:val="clear" w:color="auto" w:fill="auto"/>
            <w:noWrap/>
            <w:vAlign w:val="center"/>
            <w:hideMark/>
          </w:tcPr>
          <w:p w14:paraId="5361DA93" w14:textId="77777777" w:rsidR="00626FF9" w:rsidRPr="002C29D2" w:rsidRDefault="00626FF9" w:rsidP="00626FF9">
            <w:pPr>
              <w:rPr>
                <w:sz w:val="20"/>
                <w:szCs w:val="20"/>
              </w:rPr>
            </w:pPr>
            <w:r w:rsidRPr="002C29D2">
              <w:rPr>
                <w:sz w:val="20"/>
                <w:szCs w:val="20"/>
              </w:rPr>
              <w:t>EXP -&gt; ENG</w:t>
            </w:r>
          </w:p>
        </w:tc>
        <w:tc>
          <w:tcPr>
            <w:tcW w:w="970" w:type="dxa"/>
            <w:shd w:val="clear" w:color="auto" w:fill="auto"/>
            <w:noWrap/>
            <w:vAlign w:val="bottom"/>
            <w:hideMark/>
          </w:tcPr>
          <w:p w14:paraId="6C0B1197" w14:textId="77777777" w:rsidR="00626FF9" w:rsidRPr="002C29D2" w:rsidRDefault="00626FF9" w:rsidP="00B63C4D">
            <w:pPr>
              <w:jc w:val="center"/>
              <w:rPr>
                <w:sz w:val="20"/>
                <w:szCs w:val="20"/>
              </w:rPr>
            </w:pPr>
            <w:r w:rsidRPr="002C29D2">
              <w:rPr>
                <w:sz w:val="20"/>
                <w:szCs w:val="20"/>
              </w:rPr>
              <w:t>0.154</w:t>
            </w:r>
          </w:p>
        </w:tc>
        <w:tc>
          <w:tcPr>
            <w:tcW w:w="1134" w:type="dxa"/>
            <w:shd w:val="clear" w:color="auto" w:fill="auto"/>
            <w:noWrap/>
            <w:vAlign w:val="bottom"/>
            <w:hideMark/>
          </w:tcPr>
          <w:p w14:paraId="7FAEC609" w14:textId="77777777" w:rsidR="00626FF9" w:rsidRPr="002C29D2" w:rsidRDefault="00626FF9" w:rsidP="00B63C4D">
            <w:pPr>
              <w:jc w:val="center"/>
              <w:rPr>
                <w:sz w:val="20"/>
                <w:szCs w:val="20"/>
              </w:rPr>
            </w:pPr>
            <w:r w:rsidRPr="002C29D2">
              <w:rPr>
                <w:sz w:val="20"/>
                <w:szCs w:val="20"/>
              </w:rPr>
              <w:t>1.960</w:t>
            </w:r>
          </w:p>
        </w:tc>
        <w:tc>
          <w:tcPr>
            <w:tcW w:w="992" w:type="dxa"/>
            <w:vAlign w:val="bottom"/>
          </w:tcPr>
          <w:p w14:paraId="6EF054F5" w14:textId="77777777" w:rsidR="00626FF9" w:rsidRPr="002C29D2" w:rsidRDefault="00626FF9" w:rsidP="00B63C4D">
            <w:pPr>
              <w:jc w:val="center"/>
              <w:rPr>
                <w:sz w:val="20"/>
                <w:szCs w:val="20"/>
              </w:rPr>
            </w:pPr>
            <w:r w:rsidRPr="002C29D2">
              <w:rPr>
                <w:sz w:val="20"/>
                <w:szCs w:val="20"/>
              </w:rPr>
              <w:t>0.050</w:t>
            </w:r>
          </w:p>
        </w:tc>
        <w:tc>
          <w:tcPr>
            <w:tcW w:w="992" w:type="dxa"/>
            <w:shd w:val="clear" w:color="auto" w:fill="auto"/>
            <w:noWrap/>
            <w:vAlign w:val="bottom"/>
            <w:hideMark/>
          </w:tcPr>
          <w:p w14:paraId="14F8276E" w14:textId="77777777" w:rsidR="00626FF9" w:rsidRPr="002C29D2" w:rsidRDefault="00626FF9" w:rsidP="00B63C4D">
            <w:pPr>
              <w:jc w:val="center"/>
              <w:rPr>
                <w:sz w:val="20"/>
                <w:szCs w:val="20"/>
              </w:rPr>
            </w:pPr>
            <w:r w:rsidRPr="002C29D2">
              <w:rPr>
                <w:sz w:val="20"/>
                <w:szCs w:val="20"/>
              </w:rPr>
              <w:t>0.055</w:t>
            </w:r>
          </w:p>
        </w:tc>
        <w:tc>
          <w:tcPr>
            <w:tcW w:w="1122" w:type="dxa"/>
            <w:shd w:val="clear" w:color="auto" w:fill="auto"/>
            <w:noWrap/>
            <w:vAlign w:val="bottom"/>
            <w:hideMark/>
          </w:tcPr>
          <w:p w14:paraId="0F0D5425" w14:textId="77777777" w:rsidR="00626FF9" w:rsidRPr="002C29D2" w:rsidRDefault="00626FF9" w:rsidP="00B63C4D">
            <w:pPr>
              <w:jc w:val="center"/>
              <w:rPr>
                <w:sz w:val="20"/>
                <w:szCs w:val="20"/>
              </w:rPr>
            </w:pPr>
            <w:r w:rsidRPr="002C29D2">
              <w:rPr>
                <w:sz w:val="20"/>
                <w:szCs w:val="20"/>
              </w:rPr>
              <w:t>0.735</w:t>
            </w:r>
          </w:p>
        </w:tc>
        <w:tc>
          <w:tcPr>
            <w:tcW w:w="863" w:type="dxa"/>
            <w:vAlign w:val="bottom"/>
          </w:tcPr>
          <w:p w14:paraId="0D61D73A" w14:textId="77777777" w:rsidR="00626FF9" w:rsidRPr="002C29D2" w:rsidRDefault="00626FF9" w:rsidP="00B63C4D">
            <w:pPr>
              <w:jc w:val="center"/>
              <w:rPr>
                <w:sz w:val="20"/>
                <w:szCs w:val="20"/>
              </w:rPr>
            </w:pPr>
            <w:r w:rsidRPr="002C29D2">
              <w:rPr>
                <w:sz w:val="20"/>
                <w:szCs w:val="20"/>
              </w:rPr>
              <w:t>0.462</w:t>
            </w:r>
          </w:p>
        </w:tc>
        <w:tc>
          <w:tcPr>
            <w:tcW w:w="1201" w:type="dxa"/>
            <w:shd w:val="clear" w:color="auto" w:fill="auto"/>
            <w:noWrap/>
            <w:vAlign w:val="bottom"/>
            <w:hideMark/>
          </w:tcPr>
          <w:p w14:paraId="7D8A7FFE" w14:textId="77777777" w:rsidR="00626FF9" w:rsidRPr="002C29D2" w:rsidRDefault="00626FF9" w:rsidP="00B63C4D">
            <w:pPr>
              <w:jc w:val="center"/>
              <w:rPr>
                <w:sz w:val="20"/>
                <w:szCs w:val="20"/>
              </w:rPr>
            </w:pPr>
            <w:r w:rsidRPr="002C29D2">
              <w:rPr>
                <w:sz w:val="20"/>
                <w:szCs w:val="20"/>
              </w:rPr>
              <w:t>0.924</w:t>
            </w:r>
          </w:p>
        </w:tc>
        <w:tc>
          <w:tcPr>
            <w:tcW w:w="1067" w:type="dxa"/>
            <w:vAlign w:val="bottom"/>
          </w:tcPr>
          <w:p w14:paraId="455D2EC1" w14:textId="77777777" w:rsidR="00626FF9" w:rsidRPr="002C29D2" w:rsidRDefault="00626FF9" w:rsidP="00B63C4D">
            <w:pPr>
              <w:jc w:val="center"/>
              <w:rPr>
                <w:sz w:val="20"/>
                <w:szCs w:val="20"/>
              </w:rPr>
            </w:pPr>
            <w:r w:rsidRPr="002C29D2">
              <w:rPr>
                <w:sz w:val="20"/>
                <w:szCs w:val="20"/>
              </w:rPr>
              <w:t>0.356</w:t>
            </w:r>
          </w:p>
        </w:tc>
      </w:tr>
      <w:tr w:rsidR="002C29D2" w:rsidRPr="002C29D2" w14:paraId="29DAEEFF" w14:textId="77777777" w:rsidTr="00626FF9">
        <w:trPr>
          <w:trHeight w:val="320"/>
        </w:trPr>
        <w:tc>
          <w:tcPr>
            <w:tcW w:w="1435" w:type="dxa"/>
            <w:shd w:val="clear" w:color="auto" w:fill="auto"/>
            <w:noWrap/>
            <w:vAlign w:val="center"/>
            <w:hideMark/>
          </w:tcPr>
          <w:p w14:paraId="41B4FA8D" w14:textId="77777777" w:rsidR="00626FF9" w:rsidRPr="002C29D2" w:rsidRDefault="00626FF9" w:rsidP="00626FF9">
            <w:pPr>
              <w:rPr>
                <w:sz w:val="20"/>
                <w:szCs w:val="20"/>
              </w:rPr>
            </w:pPr>
            <w:r w:rsidRPr="002C29D2">
              <w:rPr>
                <w:sz w:val="20"/>
                <w:szCs w:val="20"/>
              </w:rPr>
              <w:t>EXP -&gt; SAT</w:t>
            </w:r>
          </w:p>
        </w:tc>
        <w:tc>
          <w:tcPr>
            <w:tcW w:w="970" w:type="dxa"/>
            <w:shd w:val="clear" w:color="auto" w:fill="auto"/>
            <w:noWrap/>
            <w:vAlign w:val="bottom"/>
            <w:hideMark/>
          </w:tcPr>
          <w:p w14:paraId="56FCD035" w14:textId="77777777" w:rsidR="00626FF9" w:rsidRPr="002C29D2" w:rsidRDefault="00626FF9" w:rsidP="00B63C4D">
            <w:pPr>
              <w:jc w:val="center"/>
              <w:rPr>
                <w:sz w:val="20"/>
                <w:szCs w:val="20"/>
              </w:rPr>
            </w:pPr>
            <w:r w:rsidRPr="002C29D2">
              <w:rPr>
                <w:sz w:val="20"/>
                <w:szCs w:val="20"/>
              </w:rPr>
              <w:t>0.150</w:t>
            </w:r>
          </w:p>
        </w:tc>
        <w:tc>
          <w:tcPr>
            <w:tcW w:w="1134" w:type="dxa"/>
            <w:shd w:val="clear" w:color="auto" w:fill="auto"/>
            <w:noWrap/>
            <w:vAlign w:val="bottom"/>
            <w:hideMark/>
          </w:tcPr>
          <w:p w14:paraId="3BCC6B0E" w14:textId="77777777" w:rsidR="00626FF9" w:rsidRPr="002C29D2" w:rsidRDefault="00626FF9" w:rsidP="00B63C4D">
            <w:pPr>
              <w:jc w:val="center"/>
              <w:rPr>
                <w:sz w:val="20"/>
                <w:szCs w:val="20"/>
              </w:rPr>
            </w:pPr>
            <w:r w:rsidRPr="002C29D2">
              <w:rPr>
                <w:sz w:val="20"/>
                <w:szCs w:val="20"/>
              </w:rPr>
              <w:t>1.675</w:t>
            </w:r>
          </w:p>
        </w:tc>
        <w:tc>
          <w:tcPr>
            <w:tcW w:w="992" w:type="dxa"/>
            <w:vAlign w:val="bottom"/>
          </w:tcPr>
          <w:p w14:paraId="2C33BDD9" w14:textId="77777777" w:rsidR="00626FF9" w:rsidRPr="002C29D2" w:rsidRDefault="00626FF9" w:rsidP="00B63C4D">
            <w:pPr>
              <w:jc w:val="center"/>
              <w:rPr>
                <w:sz w:val="20"/>
                <w:szCs w:val="20"/>
              </w:rPr>
            </w:pPr>
            <w:r w:rsidRPr="002C29D2">
              <w:rPr>
                <w:sz w:val="20"/>
                <w:szCs w:val="20"/>
              </w:rPr>
              <w:t>0.094</w:t>
            </w:r>
          </w:p>
        </w:tc>
        <w:tc>
          <w:tcPr>
            <w:tcW w:w="992" w:type="dxa"/>
            <w:shd w:val="clear" w:color="auto" w:fill="auto"/>
            <w:noWrap/>
            <w:vAlign w:val="bottom"/>
            <w:hideMark/>
          </w:tcPr>
          <w:p w14:paraId="5806E56D" w14:textId="77777777" w:rsidR="00626FF9" w:rsidRPr="002C29D2" w:rsidRDefault="00626FF9" w:rsidP="00B63C4D">
            <w:pPr>
              <w:jc w:val="center"/>
              <w:rPr>
                <w:sz w:val="20"/>
                <w:szCs w:val="20"/>
              </w:rPr>
            </w:pPr>
            <w:r w:rsidRPr="002C29D2">
              <w:rPr>
                <w:sz w:val="20"/>
                <w:szCs w:val="20"/>
              </w:rPr>
              <w:t>0.062</w:t>
            </w:r>
          </w:p>
        </w:tc>
        <w:tc>
          <w:tcPr>
            <w:tcW w:w="1122" w:type="dxa"/>
            <w:shd w:val="clear" w:color="auto" w:fill="auto"/>
            <w:noWrap/>
            <w:vAlign w:val="bottom"/>
            <w:hideMark/>
          </w:tcPr>
          <w:p w14:paraId="1B9C7E43" w14:textId="77777777" w:rsidR="00626FF9" w:rsidRPr="002C29D2" w:rsidRDefault="00626FF9" w:rsidP="00B63C4D">
            <w:pPr>
              <w:jc w:val="center"/>
              <w:rPr>
                <w:sz w:val="20"/>
                <w:szCs w:val="20"/>
              </w:rPr>
            </w:pPr>
            <w:r w:rsidRPr="002C29D2">
              <w:rPr>
                <w:sz w:val="20"/>
                <w:szCs w:val="20"/>
              </w:rPr>
              <w:t>0.684</w:t>
            </w:r>
          </w:p>
        </w:tc>
        <w:tc>
          <w:tcPr>
            <w:tcW w:w="863" w:type="dxa"/>
            <w:vAlign w:val="bottom"/>
          </w:tcPr>
          <w:p w14:paraId="5DA486E3" w14:textId="77777777" w:rsidR="00626FF9" w:rsidRPr="002C29D2" w:rsidRDefault="00626FF9" w:rsidP="00B63C4D">
            <w:pPr>
              <w:jc w:val="center"/>
              <w:rPr>
                <w:sz w:val="20"/>
                <w:szCs w:val="20"/>
              </w:rPr>
            </w:pPr>
            <w:r w:rsidRPr="002C29D2">
              <w:rPr>
                <w:sz w:val="20"/>
                <w:szCs w:val="20"/>
              </w:rPr>
              <w:t>0.494</w:t>
            </w:r>
          </w:p>
        </w:tc>
        <w:tc>
          <w:tcPr>
            <w:tcW w:w="1201" w:type="dxa"/>
            <w:shd w:val="clear" w:color="auto" w:fill="auto"/>
            <w:noWrap/>
            <w:vAlign w:val="bottom"/>
            <w:hideMark/>
          </w:tcPr>
          <w:p w14:paraId="0BD7954C" w14:textId="77777777" w:rsidR="00626FF9" w:rsidRPr="002C29D2" w:rsidRDefault="00626FF9" w:rsidP="00B63C4D">
            <w:pPr>
              <w:jc w:val="center"/>
              <w:rPr>
                <w:sz w:val="20"/>
                <w:szCs w:val="20"/>
              </w:rPr>
            </w:pPr>
            <w:r w:rsidRPr="002C29D2">
              <w:rPr>
                <w:sz w:val="20"/>
                <w:szCs w:val="20"/>
              </w:rPr>
              <w:t>0.697</w:t>
            </w:r>
          </w:p>
        </w:tc>
        <w:tc>
          <w:tcPr>
            <w:tcW w:w="1067" w:type="dxa"/>
            <w:vAlign w:val="bottom"/>
          </w:tcPr>
          <w:p w14:paraId="68874E7D" w14:textId="77777777" w:rsidR="00626FF9" w:rsidRPr="002C29D2" w:rsidRDefault="00626FF9" w:rsidP="00B63C4D">
            <w:pPr>
              <w:jc w:val="center"/>
              <w:rPr>
                <w:sz w:val="20"/>
                <w:szCs w:val="20"/>
              </w:rPr>
            </w:pPr>
            <w:r w:rsidRPr="002C29D2">
              <w:rPr>
                <w:sz w:val="20"/>
                <w:szCs w:val="20"/>
              </w:rPr>
              <w:t>0.487</w:t>
            </w:r>
          </w:p>
        </w:tc>
      </w:tr>
      <w:tr w:rsidR="002C29D2" w:rsidRPr="002C29D2" w14:paraId="6AC2EA64" w14:textId="77777777" w:rsidTr="00626FF9">
        <w:trPr>
          <w:trHeight w:val="320"/>
        </w:trPr>
        <w:tc>
          <w:tcPr>
            <w:tcW w:w="1435" w:type="dxa"/>
            <w:shd w:val="clear" w:color="auto" w:fill="auto"/>
            <w:noWrap/>
            <w:vAlign w:val="center"/>
            <w:hideMark/>
          </w:tcPr>
          <w:p w14:paraId="4F0F8174" w14:textId="77777777" w:rsidR="00626FF9" w:rsidRPr="002C29D2" w:rsidRDefault="00626FF9" w:rsidP="00626FF9">
            <w:pPr>
              <w:rPr>
                <w:sz w:val="20"/>
                <w:szCs w:val="20"/>
              </w:rPr>
            </w:pPr>
            <w:r w:rsidRPr="002C29D2">
              <w:rPr>
                <w:sz w:val="20"/>
                <w:szCs w:val="20"/>
              </w:rPr>
              <w:t>EXP -&gt; UI</w:t>
            </w:r>
          </w:p>
        </w:tc>
        <w:tc>
          <w:tcPr>
            <w:tcW w:w="970" w:type="dxa"/>
            <w:shd w:val="clear" w:color="auto" w:fill="auto"/>
            <w:noWrap/>
            <w:vAlign w:val="bottom"/>
            <w:hideMark/>
          </w:tcPr>
          <w:p w14:paraId="20E630A9" w14:textId="77777777" w:rsidR="00626FF9" w:rsidRPr="002C29D2" w:rsidRDefault="00626FF9" w:rsidP="00B63C4D">
            <w:pPr>
              <w:jc w:val="center"/>
              <w:rPr>
                <w:sz w:val="20"/>
                <w:szCs w:val="20"/>
              </w:rPr>
            </w:pPr>
            <w:r w:rsidRPr="002C29D2">
              <w:rPr>
                <w:sz w:val="20"/>
                <w:szCs w:val="20"/>
              </w:rPr>
              <w:t>-0.000</w:t>
            </w:r>
          </w:p>
        </w:tc>
        <w:tc>
          <w:tcPr>
            <w:tcW w:w="1134" w:type="dxa"/>
            <w:shd w:val="clear" w:color="auto" w:fill="auto"/>
            <w:noWrap/>
            <w:vAlign w:val="bottom"/>
            <w:hideMark/>
          </w:tcPr>
          <w:p w14:paraId="39E57DFD" w14:textId="77777777" w:rsidR="00626FF9" w:rsidRPr="002C29D2" w:rsidRDefault="00626FF9" w:rsidP="00B63C4D">
            <w:pPr>
              <w:jc w:val="center"/>
              <w:rPr>
                <w:sz w:val="20"/>
                <w:szCs w:val="20"/>
              </w:rPr>
            </w:pPr>
            <w:r w:rsidRPr="002C29D2">
              <w:rPr>
                <w:sz w:val="20"/>
                <w:szCs w:val="20"/>
              </w:rPr>
              <w:t>0.001</w:t>
            </w:r>
          </w:p>
        </w:tc>
        <w:tc>
          <w:tcPr>
            <w:tcW w:w="992" w:type="dxa"/>
            <w:vAlign w:val="bottom"/>
          </w:tcPr>
          <w:p w14:paraId="341F2E66" w14:textId="77777777" w:rsidR="00626FF9" w:rsidRPr="002C29D2" w:rsidRDefault="00626FF9" w:rsidP="00B63C4D">
            <w:pPr>
              <w:jc w:val="center"/>
              <w:rPr>
                <w:sz w:val="20"/>
                <w:szCs w:val="20"/>
              </w:rPr>
            </w:pPr>
            <w:r w:rsidRPr="002C29D2">
              <w:rPr>
                <w:sz w:val="20"/>
                <w:szCs w:val="20"/>
              </w:rPr>
              <w:t>0.999</w:t>
            </w:r>
          </w:p>
        </w:tc>
        <w:tc>
          <w:tcPr>
            <w:tcW w:w="992" w:type="dxa"/>
            <w:shd w:val="clear" w:color="auto" w:fill="auto"/>
            <w:noWrap/>
            <w:vAlign w:val="bottom"/>
            <w:hideMark/>
          </w:tcPr>
          <w:p w14:paraId="2B43D094" w14:textId="77777777" w:rsidR="00626FF9" w:rsidRPr="002C29D2" w:rsidRDefault="00626FF9" w:rsidP="00B63C4D">
            <w:pPr>
              <w:jc w:val="center"/>
              <w:rPr>
                <w:sz w:val="20"/>
                <w:szCs w:val="20"/>
              </w:rPr>
            </w:pPr>
            <w:r w:rsidRPr="002C29D2">
              <w:rPr>
                <w:sz w:val="20"/>
                <w:szCs w:val="20"/>
              </w:rPr>
              <w:t>-0.005</w:t>
            </w:r>
          </w:p>
        </w:tc>
        <w:tc>
          <w:tcPr>
            <w:tcW w:w="1122" w:type="dxa"/>
            <w:shd w:val="clear" w:color="auto" w:fill="auto"/>
            <w:noWrap/>
            <w:vAlign w:val="bottom"/>
            <w:hideMark/>
          </w:tcPr>
          <w:p w14:paraId="63A58937" w14:textId="77777777" w:rsidR="00626FF9" w:rsidRPr="002C29D2" w:rsidRDefault="00626FF9" w:rsidP="00B63C4D">
            <w:pPr>
              <w:jc w:val="center"/>
              <w:rPr>
                <w:sz w:val="20"/>
                <w:szCs w:val="20"/>
              </w:rPr>
            </w:pPr>
            <w:r w:rsidRPr="002C29D2">
              <w:rPr>
                <w:sz w:val="20"/>
                <w:szCs w:val="20"/>
              </w:rPr>
              <w:t>0.047</w:t>
            </w:r>
          </w:p>
        </w:tc>
        <w:tc>
          <w:tcPr>
            <w:tcW w:w="863" w:type="dxa"/>
            <w:vAlign w:val="bottom"/>
          </w:tcPr>
          <w:p w14:paraId="608DFFCF" w14:textId="77777777" w:rsidR="00626FF9" w:rsidRPr="002C29D2" w:rsidRDefault="00626FF9" w:rsidP="00B63C4D">
            <w:pPr>
              <w:jc w:val="center"/>
              <w:rPr>
                <w:sz w:val="20"/>
                <w:szCs w:val="20"/>
              </w:rPr>
            </w:pPr>
            <w:r w:rsidRPr="002C29D2">
              <w:rPr>
                <w:sz w:val="20"/>
                <w:szCs w:val="20"/>
              </w:rPr>
              <w:t>0.962</w:t>
            </w:r>
          </w:p>
        </w:tc>
        <w:tc>
          <w:tcPr>
            <w:tcW w:w="1201" w:type="dxa"/>
            <w:shd w:val="clear" w:color="auto" w:fill="auto"/>
            <w:noWrap/>
            <w:vAlign w:val="bottom"/>
            <w:hideMark/>
          </w:tcPr>
          <w:p w14:paraId="429B9991" w14:textId="77777777" w:rsidR="00626FF9" w:rsidRPr="002C29D2" w:rsidRDefault="00626FF9" w:rsidP="00B63C4D">
            <w:pPr>
              <w:jc w:val="center"/>
              <w:rPr>
                <w:sz w:val="20"/>
                <w:szCs w:val="20"/>
              </w:rPr>
            </w:pPr>
            <w:r w:rsidRPr="002C29D2">
              <w:rPr>
                <w:sz w:val="20"/>
                <w:szCs w:val="20"/>
              </w:rPr>
              <w:t>0.036</w:t>
            </w:r>
          </w:p>
        </w:tc>
        <w:tc>
          <w:tcPr>
            <w:tcW w:w="1067" w:type="dxa"/>
            <w:vAlign w:val="bottom"/>
          </w:tcPr>
          <w:p w14:paraId="665F22B2" w14:textId="77777777" w:rsidR="00626FF9" w:rsidRPr="002C29D2" w:rsidRDefault="00626FF9" w:rsidP="00B63C4D">
            <w:pPr>
              <w:jc w:val="center"/>
              <w:rPr>
                <w:sz w:val="20"/>
                <w:szCs w:val="20"/>
              </w:rPr>
            </w:pPr>
            <w:r w:rsidRPr="002C29D2">
              <w:rPr>
                <w:sz w:val="20"/>
                <w:szCs w:val="20"/>
              </w:rPr>
              <w:t>0.972</w:t>
            </w:r>
          </w:p>
        </w:tc>
      </w:tr>
      <w:tr w:rsidR="002C29D2" w:rsidRPr="002C29D2" w14:paraId="2ABC9ADF" w14:textId="77777777" w:rsidTr="00626FF9">
        <w:trPr>
          <w:trHeight w:val="320"/>
        </w:trPr>
        <w:tc>
          <w:tcPr>
            <w:tcW w:w="1435" w:type="dxa"/>
            <w:shd w:val="clear" w:color="auto" w:fill="auto"/>
            <w:noWrap/>
            <w:vAlign w:val="center"/>
            <w:hideMark/>
          </w:tcPr>
          <w:p w14:paraId="52A6F577" w14:textId="77777777" w:rsidR="00626FF9" w:rsidRPr="002C29D2" w:rsidRDefault="00626FF9" w:rsidP="00626FF9">
            <w:pPr>
              <w:rPr>
                <w:sz w:val="20"/>
                <w:szCs w:val="20"/>
              </w:rPr>
            </w:pPr>
            <w:r w:rsidRPr="002C29D2">
              <w:rPr>
                <w:sz w:val="20"/>
                <w:szCs w:val="20"/>
              </w:rPr>
              <w:t>JUS -&gt; ATA</w:t>
            </w:r>
          </w:p>
        </w:tc>
        <w:tc>
          <w:tcPr>
            <w:tcW w:w="970" w:type="dxa"/>
            <w:shd w:val="clear" w:color="auto" w:fill="auto"/>
            <w:noWrap/>
            <w:vAlign w:val="bottom"/>
            <w:hideMark/>
          </w:tcPr>
          <w:p w14:paraId="6A23A8B9" w14:textId="77777777" w:rsidR="00626FF9" w:rsidRPr="002C29D2" w:rsidRDefault="00626FF9" w:rsidP="00B63C4D">
            <w:pPr>
              <w:jc w:val="center"/>
              <w:rPr>
                <w:sz w:val="20"/>
                <w:szCs w:val="20"/>
              </w:rPr>
            </w:pPr>
            <w:r w:rsidRPr="002C29D2">
              <w:rPr>
                <w:sz w:val="20"/>
                <w:szCs w:val="20"/>
              </w:rPr>
              <w:t>0.137</w:t>
            </w:r>
          </w:p>
        </w:tc>
        <w:tc>
          <w:tcPr>
            <w:tcW w:w="1134" w:type="dxa"/>
            <w:shd w:val="clear" w:color="auto" w:fill="auto"/>
            <w:noWrap/>
            <w:vAlign w:val="bottom"/>
            <w:hideMark/>
          </w:tcPr>
          <w:p w14:paraId="750CC0E2" w14:textId="77777777" w:rsidR="00626FF9" w:rsidRPr="002C29D2" w:rsidRDefault="00626FF9" w:rsidP="00B63C4D">
            <w:pPr>
              <w:jc w:val="center"/>
              <w:rPr>
                <w:sz w:val="20"/>
                <w:szCs w:val="20"/>
              </w:rPr>
            </w:pPr>
            <w:r w:rsidRPr="002C29D2">
              <w:rPr>
                <w:sz w:val="20"/>
                <w:szCs w:val="20"/>
              </w:rPr>
              <w:t>1.352</w:t>
            </w:r>
          </w:p>
        </w:tc>
        <w:tc>
          <w:tcPr>
            <w:tcW w:w="992" w:type="dxa"/>
            <w:vAlign w:val="bottom"/>
          </w:tcPr>
          <w:p w14:paraId="05508BBA" w14:textId="77777777" w:rsidR="00626FF9" w:rsidRPr="002C29D2" w:rsidRDefault="00626FF9" w:rsidP="00B63C4D">
            <w:pPr>
              <w:jc w:val="center"/>
              <w:rPr>
                <w:sz w:val="20"/>
                <w:szCs w:val="20"/>
              </w:rPr>
            </w:pPr>
            <w:r w:rsidRPr="002C29D2">
              <w:rPr>
                <w:sz w:val="20"/>
                <w:szCs w:val="20"/>
              </w:rPr>
              <w:t>0.176</w:t>
            </w:r>
          </w:p>
        </w:tc>
        <w:tc>
          <w:tcPr>
            <w:tcW w:w="992" w:type="dxa"/>
            <w:shd w:val="clear" w:color="auto" w:fill="auto"/>
            <w:noWrap/>
            <w:vAlign w:val="bottom"/>
            <w:hideMark/>
          </w:tcPr>
          <w:p w14:paraId="7E0D0827" w14:textId="77777777" w:rsidR="00626FF9" w:rsidRPr="002C29D2" w:rsidRDefault="00626FF9" w:rsidP="00B63C4D">
            <w:pPr>
              <w:jc w:val="center"/>
              <w:rPr>
                <w:sz w:val="20"/>
                <w:szCs w:val="20"/>
              </w:rPr>
            </w:pPr>
            <w:r w:rsidRPr="002C29D2">
              <w:rPr>
                <w:sz w:val="20"/>
                <w:szCs w:val="20"/>
              </w:rPr>
              <w:t>0.162</w:t>
            </w:r>
          </w:p>
        </w:tc>
        <w:tc>
          <w:tcPr>
            <w:tcW w:w="1122" w:type="dxa"/>
            <w:shd w:val="clear" w:color="auto" w:fill="auto"/>
            <w:noWrap/>
            <w:vAlign w:val="bottom"/>
            <w:hideMark/>
          </w:tcPr>
          <w:p w14:paraId="54FEB91A" w14:textId="77777777" w:rsidR="00626FF9" w:rsidRPr="002C29D2" w:rsidRDefault="00626FF9" w:rsidP="00B63C4D">
            <w:pPr>
              <w:jc w:val="center"/>
              <w:rPr>
                <w:sz w:val="20"/>
                <w:szCs w:val="20"/>
              </w:rPr>
            </w:pPr>
            <w:r w:rsidRPr="002C29D2">
              <w:rPr>
                <w:sz w:val="20"/>
                <w:szCs w:val="20"/>
              </w:rPr>
              <w:t>1.640</w:t>
            </w:r>
          </w:p>
        </w:tc>
        <w:tc>
          <w:tcPr>
            <w:tcW w:w="863" w:type="dxa"/>
            <w:vAlign w:val="bottom"/>
          </w:tcPr>
          <w:p w14:paraId="4B0FFAE1" w14:textId="77777777" w:rsidR="00626FF9" w:rsidRPr="002C29D2" w:rsidRDefault="00626FF9" w:rsidP="00B63C4D">
            <w:pPr>
              <w:jc w:val="center"/>
              <w:rPr>
                <w:sz w:val="20"/>
                <w:szCs w:val="20"/>
              </w:rPr>
            </w:pPr>
            <w:r w:rsidRPr="002C29D2">
              <w:rPr>
                <w:sz w:val="20"/>
                <w:szCs w:val="20"/>
              </w:rPr>
              <w:t>0.101</w:t>
            </w:r>
          </w:p>
        </w:tc>
        <w:tc>
          <w:tcPr>
            <w:tcW w:w="1201" w:type="dxa"/>
            <w:shd w:val="clear" w:color="auto" w:fill="auto"/>
            <w:noWrap/>
            <w:vAlign w:val="bottom"/>
            <w:hideMark/>
          </w:tcPr>
          <w:p w14:paraId="3F185AD0" w14:textId="77777777" w:rsidR="00626FF9" w:rsidRPr="002C29D2" w:rsidRDefault="00626FF9" w:rsidP="00B63C4D">
            <w:pPr>
              <w:jc w:val="center"/>
              <w:rPr>
                <w:sz w:val="20"/>
                <w:szCs w:val="20"/>
              </w:rPr>
            </w:pPr>
            <w:r w:rsidRPr="002C29D2">
              <w:rPr>
                <w:sz w:val="20"/>
                <w:szCs w:val="20"/>
              </w:rPr>
              <w:t>0.171</w:t>
            </w:r>
          </w:p>
        </w:tc>
        <w:tc>
          <w:tcPr>
            <w:tcW w:w="1067" w:type="dxa"/>
            <w:vAlign w:val="bottom"/>
          </w:tcPr>
          <w:p w14:paraId="2460A592" w14:textId="77777777" w:rsidR="00626FF9" w:rsidRPr="002C29D2" w:rsidRDefault="00626FF9" w:rsidP="00B63C4D">
            <w:pPr>
              <w:jc w:val="center"/>
              <w:rPr>
                <w:sz w:val="20"/>
                <w:szCs w:val="20"/>
              </w:rPr>
            </w:pPr>
            <w:r w:rsidRPr="002C29D2">
              <w:rPr>
                <w:sz w:val="20"/>
                <w:szCs w:val="20"/>
              </w:rPr>
              <w:t>0.865</w:t>
            </w:r>
          </w:p>
        </w:tc>
      </w:tr>
      <w:tr w:rsidR="002C29D2" w:rsidRPr="002C29D2" w14:paraId="1D3C70BB" w14:textId="77777777" w:rsidTr="00626FF9">
        <w:trPr>
          <w:trHeight w:val="320"/>
        </w:trPr>
        <w:tc>
          <w:tcPr>
            <w:tcW w:w="1435" w:type="dxa"/>
            <w:shd w:val="clear" w:color="auto" w:fill="auto"/>
            <w:noWrap/>
            <w:vAlign w:val="center"/>
            <w:hideMark/>
          </w:tcPr>
          <w:p w14:paraId="208E25C5" w14:textId="77777777" w:rsidR="00626FF9" w:rsidRPr="002C29D2" w:rsidRDefault="00626FF9" w:rsidP="00626FF9">
            <w:pPr>
              <w:rPr>
                <w:sz w:val="20"/>
                <w:szCs w:val="20"/>
              </w:rPr>
            </w:pPr>
            <w:r w:rsidRPr="002C29D2">
              <w:rPr>
                <w:sz w:val="20"/>
                <w:szCs w:val="20"/>
              </w:rPr>
              <w:t>JUS -&gt; ENG</w:t>
            </w:r>
          </w:p>
        </w:tc>
        <w:tc>
          <w:tcPr>
            <w:tcW w:w="970" w:type="dxa"/>
            <w:shd w:val="clear" w:color="auto" w:fill="auto"/>
            <w:noWrap/>
            <w:vAlign w:val="bottom"/>
            <w:hideMark/>
          </w:tcPr>
          <w:p w14:paraId="084BB85B" w14:textId="77777777" w:rsidR="00626FF9" w:rsidRPr="002C29D2" w:rsidRDefault="00626FF9" w:rsidP="00B63C4D">
            <w:pPr>
              <w:jc w:val="center"/>
              <w:rPr>
                <w:sz w:val="20"/>
                <w:szCs w:val="20"/>
              </w:rPr>
            </w:pPr>
            <w:r w:rsidRPr="002C29D2">
              <w:rPr>
                <w:sz w:val="20"/>
                <w:szCs w:val="20"/>
              </w:rPr>
              <w:t>0.198</w:t>
            </w:r>
          </w:p>
        </w:tc>
        <w:tc>
          <w:tcPr>
            <w:tcW w:w="1134" w:type="dxa"/>
            <w:shd w:val="clear" w:color="auto" w:fill="auto"/>
            <w:noWrap/>
            <w:vAlign w:val="bottom"/>
            <w:hideMark/>
          </w:tcPr>
          <w:p w14:paraId="5BEC40F7" w14:textId="77777777" w:rsidR="00626FF9" w:rsidRPr="002C29D2" w:rsidRDefault="00626FF9" w:rsidP="00B63C4D">
            <w:pPr>
              <w:jc w:val="center"/>
              <w:rPr>
                <w:sz w:val="20"/>
                <w:szCs w:val="20"/>
              </w:rPr>
            </w:pPr>
            <w:r w:rsidRPr="002C29D2">
              <w:rPr>
                <w:sz w:val="20"/>
                <w:szCs w:val="20"/>
              </w:rPr>
              <w:t>1.646</w:t>
            </w:r>
          </w:p>
        </w:tc>
        <w:tc>
          <w:tcPr>
            <w:tcW w:w="992" w:type="dxa"/>
            <w:vAlign w:val="bottom"/>
          </w:tcPr>
          <w:p w14:paraId="11852FA1" w14:textId="77777777" w:rsidR="00626FF9" w:rsidRPr="002C29D2" w:rsidRDefault="00626FF9" w:rsidP="00B63C4D">
            <w:pPr>
              <w:jc w:val="center"/>
              <w:rPr>
                <w:sz w:val="20"/>
                <w:szCs w:val="20"/>
              </w:rPr>
            </w:pPr>
            <w:r w:rsidRPr="002C29D2">
              <w:rPr>
                <w:sz w:val="20"/>
                <w:szCs w:val="20"/>
              </w:rPr>
              <w:t>0.100</w:t>
            </w:r>
          </w:p>
        </w:tc>
        <w:tc>
          <w:tcPr>
            <w:tcW w:w="992" w:type="dxa"/>
            <w:shd w:val="clear" w:color="auto" w:fill="auto"/>
            <w:noWrap/>
            <w:vAlign w:val="bottom"/>
            <w:hideMark/>
          </w:tcPr>
          <w:p w14:paraId="3D80FC8B" w14:textId="77777777" w:rsidR="00626FF9" w:rsidRPr="002C29D2" w:rsidRDefault="00626FF9" w:rsidP="00B63C4D">
            <w:pPr>
              <w:jc w:val="center"/>
              <w:rPr>
                <w:sz w:val="20"/>
                <w:szCs w:val="20"/>
              </w:rPr>
            </w:pPr>
            <w:r w:rsidRPr="002C29D2">
              <w:rPr>
                <w:sz w:val="20"/>
                <w:szCs w:val="20"/>
              </w:rPr>
              <w:t>0.290</w:t>
            </w:r>
          </w:p>
        </w:tc>
        <w:tc>
          <w:tcPr>
            <w:tcW w:w="1122" w:type="dxa"/>
            <w:shd w:val="clear" w:color="auto" w:fill="auto"/>
            <w:noWrap/>
            <w:vAlign w:val="bottom"/>
            <w:hideMark/>
          </w:tcPr>
          <w:p w14:paraId="18653E29" w14:textId="77777777" w:rsidR="00626FF9" w:rsidRPr="002C29D2" w:rsidRDefault="00626FF9" w:rsidP="00B63C4D">
            <w:pPr>
              <w:jc w:val="center"/>
              <w:rPr>
                <w:sz w:val="20"/>
                <w:szCs w:val="20"/>
              </w:rPr>
            </w:pPr>
            <w:r w:rsidRPr="002C29D2">
              <w:rPr>
                <w:sz w:val="20"/>
                <w:szCs w:val="20"/>
              </w:rPr>
              <w:t>3.593</w:t>
            </w:r>
          </w:p>
        </w:tc>
        <w:tc>
          <w:tcPr>
            <w:tcW w:w="863" w:type="dxa"/>
            <w:vAlign w:val="bottom"/>
          </w:tcPr>
          <w:p w14:paraId="7F0E6051"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hideMark/>
          </w:tcPr>
          <w:p w14:paraId="6591F0D2" w14:textId="77777777" w:rsidR="00626FF9" w:rsidRPr="002C29D2" w:rsidRDefault="00626FF9" w:rsidP="00B63C4D">
            <w:pPr>
              <w:jc w:val="center"/>
              <w:rPr>
                <w:sz w:val="20"/>
                <w:szCs w:val="20"/>
              </w:rPr>
            </w:pPr>
            <w:r w:rsidRPr="002C29D2">
              <w:rPr>
                <w:sz w:val="20"/>
                <w:szCs w:val="20"/>
              </w:rPr>
              <w:t>0.638</w:t>
            </w:r>
          </w:p>
        </w:tc>
        <w:tc>
          <w:tcPr>
            <w:tcW w:w="1067" w:type="dxa"/>
            <w:vAlign w:val="bottom"/>
          </w:tcPr>
          <w:p w14:paraId="2AD0899F" w14:textId="77777777" w:rsidR="00626FF9" w:rsidRPr="002C29D2" w:rsidRDefault="00626FF9" w:rsidP="00B63C4D">
            <w:pPr>
              <w:jc w:val="center"/>
              <w:rPr>
                <w:sz w:val="20"/>
                <w:szCs w:val="20"/>
              </w:rPr>
            </w:pPr>
            <w:r w:rsidRPr="002C29D2">
              <w:rPr>
                <w:sz w:val="20"/>
                <w:szCs w:val="20"/>
              </w:rPr>
              <w:t>0.524</w:t>
            </w:r>
          </w:p>
        </w:tc>
      </w:tr>
      <w:tr w:rsidR="002C29D2" w:rsidRPr="002C29D2" w14:paraId="196F4EBD" w14:textId="77777777" w:rsidTr="00626FF9">
        <w:trPr>
          <w:trHeight w:val="320"/>
        </w:trPr>
        <w:tc>
          <w:tcPr>
            <w:tcW w:w="1435" w:type="dxa"/>
            <w:shd w:val="clear" w:color="auto" w:fill="auto"/>
            <w:noWrap/>
            <w:vAlign w:val="center"/>
            <w:hideMark/>
          </w:tcPr>
          <w:p w14:paraId="32BD72DA" w14:textId="77777777" w:rsidR="00626FF9" w:rsidRPr="002C29D2" w:rsidRDefault="00626FF9" w:rsidP="00626FF9">
            <w:pPr>
              <w:rPr>
                <w:sz w:val="20"/>
                <w:szCs w:val="20"/>
              </w:rPr>
            </w:pPr>
            <w:r w:rsidRPr="002C29D2">
              <w:rPr>
                <w:sz w:val="20"/>
                <w:szCs w:val="20"/>
              </w:rPr>
              <w:t>JUS -&gt; SAT</w:t>
            </w:r>
          </w:p>
        </w:tc>
        <w:tc>
          <w:tcPr>
            <w:tcW w:w="970" w:type="dxa"/>
            <w:shd w:val="clear" w:color="auto" w:fill="auto"/>
            <w:noWrap/>
            <w:vAlign w:val="bottom"/>
            <w:hideMark/>
          </w:tcPr>
          <w:p w14:paraId="28EBE286" w14:textId="77777777" w:rsidR="00626FF9" w:rsidRPr="002C29D2" w:rsidRDefault="00626FF9" w:rsidP="00B63C4D">
            <w:pPr>
              <w:jc w:val="center"/>
              <w:rPr>
                <w:sz w:val="20"/>
                <w:szCs w:val="20"/>
              </w:rPr>
            </w:pPr>
            <w:r w:rsidRPr="002C29D2">
              <w:rPr>
                <w:sz w:val="20"/>
                <w:szCs w:val="20"/>
              </w:rPr>
              <w:t>0.187</w:t>
            </w:r>
          </w:p>
        </w:tc>
        <w:tc>
          <w:tcPr>
            <w:tcW w:w="1134" w:type="dxa"/>
            <w:shd w:val="clear" w:color="auto" w:fill="auto"/>
            <w:noWrap/>
            <w:vAlign w:val="bottom"/>
            <w:hideMark/>
          </w:tcPr>
          <w:p w14:paraId="7C5DF389" w14:textId="77777777" w:rsidR="00626FF9" w:rsidRPr="002C29D2" w:rsidRDefault="00626FF9" w:rsidP="00B63C4D">
            <w:pPr>
              <w:jc w:val="center"/>
              <w:rPr>
                <w:sz w:val="20"/>
                <w:szCs w:val="20"/>
              </w:rPr>
            </w:pPr>
            <w:r w:rsidRPr="002C29D2">
              <w:rPr>
                <w:sz w:val="20"/>
                <w:szCs w:val="20"/>
              </w:rPr>
              <w:t>2.224</w:t>
            </w:r>
          </w:p>
        </w:tc>
        <w:tc>
          <w:tcPr>
            <w:tcW w:w="992" w:type="dxa"/>
            <w:vAlign w:val="bottom"/>
          </w:tcPr>
          <w:p w14:paraId="3B54CC33" w14:textId="77777777" w:rsidR="00626FF9" w:rsidRPr="002C29D2" w:rsidRDefault="00626FF9" w:rsidP="00B63C4D">
            <w:pPr>
              <w:jc w:val="center"/>
              <w:rPr>
                <w:sz w:val="20"/>
                <w:szCs w:val="20"/>
              </w:rPr>
            </w:pPr>
            <w:r w:rsidRPr="002C29D2">
              <w:rPr>
                <w:sz w:val="20"/>
                <w:szCs w:val="20"/>
              </w:rPr>
              <w:t>0.026</w:t>
            </w:r>
          </w:p>
        </w:tc>
        <w:tc>
          <w:tcPr>
            <w:tcW w:w="992" w:type="dxa"/>
            <w:shd w:val="clear" w:color="auto" w:fill="auto"/>
            <w:noWrap/>
            <w:vAlign w:val="bottom"/>
            <w:hideMark/>
          </w:tcPr>
          <w:p w14:paraId="3F2A9D10" w14:textId="77777777" w:rsidR="00626FF9" w:rsidRPr="002C29D2" w:rsidRDefault="00626FF9" w:rsidP="00B63C4D">
            <w:pPr>
              <w:jc w:val="center"/>
              <w:rPr>
                <w:sz w:val="20"/>
                <w:szCs w:val="20"/>
              </w:rPr>
            </w:pPr>
            <w:r w:rsidRPr="002C29D2">
              <w:rPr>
                <w:sz w:val="20"/>
                <w:szCs w:val="20"/>
              </w:rPr>
              <w:t>0.288</w:t>
            </w:r>
          </w:p>
        </w:tc>
        <w:tc>
          <w:tcPr>
            <w:tcW w:w="1122" w:type="dxa"/>
            <w:shd w:val="clear" w:color="auto" w:fill="auto"/>
            <w:noWrap/>
            <w:vAlign w:val="bottom"/>
            <w:hideMark/>
          </w:tcPr>
          <w:p w14:paraId="60D8552A" w14:textId="77777777" w:rsidR="00626FF9" w:rsidRPr="002C29D2" w:rsidRDefault="00626FF9" w:rsidP="00B63C4D">
            <w:pPr>
              <w:jc w:val="center"/>
              <w:rPr>
                <w:sz w:val="20"/>
                <w:szCs w:val="20"/>
              </w:rPr>
            </w:pPr>
            <w:r w:rsidRPr="002C29D2">
              <w:rPr>
                <w:sz w:val="20"/>
                <w:szCs w:val="20"/>
              </w:rPr>
              <w:t>2.645</w:t>
            </w:r>
          </w:p>
        </w:tc>
        <w:tc>
          <w:tcPr>
            <w:tcW w:w="863" w:type="dxa"/>
            <w:vAlign w:val="bottom"/>
          </w:tcPr>
          <w:p w14:paraId="66480ABE" w14:textId="77777777" w:rsidR="00626FF9" w:rsidRPr="002C29D2" w:rsidRDefault="00626FF9" w:rsidP="00B63C4D">
            <w:pPr>
              <w:jc w:val="center"/>
              <w:rPr>
                <w:sz w:val="20"/>
                <w:szCs w:val="20"/>
              </w:rPr>
            </w:pPr>
            <w:r w:rsidRPr="002C29D2">
              <w:rPr>
                <w:sz w:val="20"/>
                <w:szCs w:val="20"/>
              </w:rPr>
              <w:t>0.008</w:t>
            </w:r>
          </w:p>
        </w:tc>
        <w:tc>
          <w:tcPr>
            <w:tcW w:w="1201" w:type="dxa"/>
            <w:shd w:val="clear" w:color="auto" w:fill="auto"/>
            <w:noWrap/>
            <w:vAlign w:val="bottom"/>
            <w:hideMark/>
          </w:tcPr>
          <w:p w14:paraId="74D0F6BC" w14:textId="77777777" w:rsidR="00626FF9" w:rsidRPr="002C29D2" w:rsidRDefault="00626FF9" w:rsidP="00B63C4D">
            <w:pPr>
              <w:jc w:val="center"/>
              <w:rPr>
                <w:sz w:val="20"/>
                <w:szCs w:val="20"/>
              </w:rPr>
            </w:pPr>
            <w:r w:rsidRPr="002C29D2">
              <w:rPr>
                <w:sz w:val="20"/>
                <w:szCs w:val="20"/>
              </w:rPr>
              <w:t>0.739</w:t>
            </w:r>
          </w:p>
        </w:tc>
        <w:tc>
          <w:tcPr>
            <w:tcW w:w="1067" w:type="dxa"/>
            <w:vAlign w:val="bottom"/>
          </w:tcPr>
          <w:p w14:paraId="0F9670BA" w14:textId="77777777" w:rsidR="00626FF9" w:rsidRPr="002C29D2" w:rsidRDefault="00626FF9" w:rsidP="00B63C4D">
            <w:pPr>
              <w:jc w:val="center"/>
              <w:rPr>
                <w:sz w:val="20"/>
                <w:szCs w:val="20"/>
              </w:rPr>
            </w:pPr>
            <w:r w:rsidRPr="002C29D2">
              <w:rPr>
                <w:sz w:val="20"/>
                <w:szCs w:val="20"/>
              </w:rPr>
              <w:t>0.461</w:t>
            </w:r>
          </w:p>
        </w:tc>
      </w:tr>
      <w:tr w:rsidR="002C29D2" w:rsidRPr="002C29D2" w14:paraId="2E574B97" w14:textId="77777777" w:rsidTr="00626FF9">
        <w:trPr>
          <w:trHeight w:val="320"/>
        </w:trPr>
        <w:tc>
          <w:tcPr>
            <w:tcW w:w="1435" w:type="dxa"/>
            <w:shd w:val="clear" w:color="auto" w:fill="auto"/>
            <w:noWrap/>
            <w:vAlign w:val="center"/>
            <w:hideMark/>
          </w:tcPr>
          <w:p w14:paraId="5E2C60DB" w14:textId="77777777" w:rsidR="00626FF9" w:rsidRPr="002C29D2" w:rsidRDefault="00626FF9" w:rsidP="00626FF9">
            <w:pPr>
              <w:rPr>
                <w:sz w:val="20"/>
                <w:szCs w:val="20"/>
              </w:rPr>
            </w:pPr>
            <w:r w:rsidRPr="002C29D2">
              <w:rPr>
                <w:sz w:val="20"/>
                <w:szCs w:val="20"/>
              </w:rPr>
              <w:t>JUS -&gt; UI</w:t>
            </w:r>
          </w:p>
        </w:tc>
        <w:tc>
          <w:tcPr>
            <w:tcW w:w="970" w:type="dxa"/>
            <w:shd w:val="clear" w:color="auto" w:fill="auto"/>
            <w:noWrap/>
            <w:vAlign w:val="bottom"/>
            <w:hideMark/>
          </w:tcPr>
          <w:p w14:paraId="678C943D" w14:textId="77777777" w:rsidR="00626FF9" w:rsidRPr="002C29D2" w:rsidRDefault="00626FF9" w:rsidP="00B63C4D">
            <w:pPr>
              <w:jc w:val="center"/>
              <w:rPr>
                <w:sz w:val="20"/>
                <w:szCs w:val="20"/>
              </w:rPr>
            </w:pPr>
            <w:r w:rsidRPr="002C29D2">
              <w:rPr>
                <w:sz w:val="20"/>
                <w:szCs w:val="20"/>
              </w:rPr>
              <w:t>0.009</w:t>
            </w:r>
          </w:p>
        </w:tc>
        <w:tc>
          <w:tcPr>
            <w:tcW w:w="1134" w:type="dxa"/>
            <w:shd w:val="clear" w:color="auto" w:fill="auto"/>
            <w:noWrap/>
            <w:vAlign w:val="bottom"/>
            <w:hideMark/>
          </w:tcPr>
          <w:p w14:paraId="171FCA78" w14:textId="77777777" w:rsidR="00626FF9" w:rsidRPr="002C29D2" w:rsidRDefault="00626FF9" w:rsidP="00B63C4D">
            <w:pPr>
              <w:jc w:val="center"/>
              <w:rPr>
                <w:sz w:val="20"/>
                <w:szCs w:val="20"/>
              </w:rPr>
            </w:pPr>
            <w:r w:rsidRPr="002C29D2">
              <w:rPr>
                <w:sz w:val="20"/>
                <w:szCs w:val="20"/>
              </w:rPr>
              <w:t>0.125</w:t>
            </w:r>
          </w:p>
        </w:tc>
        <w:tc>
          <w:tcPr>
            <w:tcW w:w="992" w:type="dxa"/>
            <w:vAlign w:val="bottom"/>
          </w:tcPr>
          <w:p w14:paraId="39A71D0F" w14:textId="77777777" w:rsidR="00626FF9" w:rsidRPr="002C29D2" w:rsidRDefault="00626FF9" w:rsidP="00B63C4D">
            <w:pPr>
              <w:jc w:val="center"/>
              <w:rPr>
                <w:sz w:val="20"/>
                <w:szCs w:val="20"/>
              </w:rPr>
            </w:pPr>
            <w:r w:rsidRPr="002C29D2">
              <w:rPr>
                <w:sz w:val="20"/>
                <w:szCs w:val="20"/>
              </w:rPr>
              <w:t>0.901</w:t>
            </w:r>
          </w:p>
        </w:tc>
        <w:tc>
          <w:tcPr>
            <w:tcW w:w="992" w:type="dxa"/>
            <w:shd w:val="clear" w:color="auto" w:fill="auto"/>
            <w:noWrap/>
            <w:vAlign w:val="bottom"/>
            <w:hideMark/>
          </w:tcPr>
          <w:p w14:paraId="5B129C84" w14:textId="77777777" w:rsidR="00626FF9" w:rsidRPr="002C29D2" w:rsidRDefault="00626FF9" w:rsidP="00B63C4D">
            <w:pPr>
              <w:jc w:val="center"/>
              <w:rPr>
                <w:sz w:val="20"/>
                <w:szCs w:val="20"/>
              </w:rPr>
            </w:pPr>
            <w:r w:rsidRPr="002C29D2">
              <w:rPr>
                <w:sz w:val="20"/>
                <w:szCs w:val="20"/>
              </w:rPr>
              <w:t>-0.114</w:t>
            </w:r>
          </w:p>
        </w:tc>
        <w:tc>
          <w:tcPr>
            <w:tcW w:w="1122" w:type="dxa"/>
            <w:shd w:val="clear" w:color="auto" w:fill="auto"/>
            <w:noWrap/>
            <w:vAlign w:val="bottom"/>
            <w:hideMark/>
          </w:tcPr>
          <w:p w14:paraId="740B6C83" w14:textId="77777777" w:rsidR="00626FF9" w:rsidRPr="002C29D2" w:rsidRDefault="00626FF9" w:rsidP="00B63C4D">
            <w:pPr>
              <w:jc w:val="center"/>
              <w:rPr>
                <w:sz w:val="20"/>
                <w:szCs w:val="20"/>
              </w:rPr>
            </w:pPr>
            <w:r w:rsidRPr="002C29D2">
              <w:rPr>
                <w:sz w:val="20"/>
                <w:szCs w:val="20"/>
              </w:rPr>
              <w:t>0.834</w:t>
            </w:r>
          </w:p>
        </w:tc>
        <w:tc>
          <w:tcPr>
            <w:tcW w:w="863" w:type="dxa"/>
            <w:vAlign w:val="bottom"/>
          </w:tcPr>
          <w:p w14:paraId="754EC164" w14:textId="77777777" w:rsidR="00626FF9" w:rsidRPr="002C29D2" w:rsidRDefault="00626FF9" w:rsidP="00B63C4D">
            <w:pPr>
              <w:jc w:val="center"/>
              <w:rPr>
                <w:sz w:val="20"/>
                <w:szCs w:val="20"/>
              </w:rPr>
            </w:pPr>
            <w:r w:rsidRPr="002C29D2">
              <w:rPr>
                <w:sz w:val="20"/>
                <w:szCs w:val="20"/>
              </w:rPr>
              <w:t>0.404</w:t>
            </w:r>
          </w:p>
        </w:tc>
        <w:tc>
          <w:tcPr>
            <w:tcW w:w="1201" w:type="dxa"/>
            <w:shd w:val="clear" w:color="auto" w:fill="auto"/>
            <w:noWrap/>
            <w:vAlign w:val="bottom"/>
            <w:hideMark/>
          </w:tcPr>
          <w:p w14:paraId="695E176E" w14:textId="77777777" w:rsidR="00626FF9" w:rsidRPr="002C29D2" w:rsidRDefault="00626FF9" w:rsidP="00B63C4D">
            <w:pPr>
              <w:jc w:val="center"/>
              <w:rPr>
                <w:sz w:val="20"/>
                <w:szCs w:val="20"/>
              </w:rPr>
            </w:pPr>
            <w:r w:rsidRPr="002C29D2">
              <w:rPr>
                <w:sz w:val="20"/>
                <w:szCs w:val="20"/>
              </w:rPr>
              <w:t>0.797</w:t>
            </w:r>
          </w:p>
        </w:tc>
        <w:tc>
          <w:tcPr>
            <w:tcW w:w="1067" w:type="dxa"/>
            <w:vAlign w:val="bottom"/>
          </w:tcPr>
          <w:p w14:paraId="59B5CBC6" w14:textId="77777777" w:rsidR="00626FF9" w:rsidRPr="002C29D2" w:rsidRDefault="00626FF9" w:rsidP="00B63C4D">
            <w:pPr>
              <w:jc w:val="center"/>
              <w:rPr>
                <w:sz w:val="20"/>
                <w:szCs w:val="20"/>
              </w:rPr>
            </w:pPr>
            <w:r w:rsidRPr="002C29D2">
              <w:rPr>
                <w:sz w:val="20"/>
                <w:szCs w:val="20"/>
              </w:rPr>
              <w:t>0.427</w:t>
            </w:r>
          </w:p>
        </w:tc>
      </w:tr>
      <w:tr w:rsidR="002C29D2" w:rsidRPr="002C29D2" w14:paraId="45AD65BD" w14:textId="77777777" w:rsidTr="00626FF9">
        <w:trPr>
          <w:trHeight w:val="320"/>
        </w:trPr>
        <w:tc>
          <w:tcPr>
            <w:tcW w:w="1435" w:type="dxa"/>
            <w:shd w:val="clear" w:color="auto" w:fill="auto"/>
            <w:noWrap/>
            <w:vAlign w:val="center"/>
            <w:hideMark/>
          </w:tcPr>
          <w:p w14:paraId="65FB9F78" w14:textId="77777777" w:rsidR="00626FF9" w:rsidRPr="002C29D2" w:rsidRDefault="00626FF9" w:rsidP="00626FF9">
            <w:pPr>
              <w:rPr>
                <w:b/>
                <w:bCs/>
                <w:sz w:val="20"/>
                <w:szCs w:val="20"/>
              </w:rPr>
            </w:pPr>
            <w:r w:rsidRPr="002C29D2">
              <w:rPr>
                <w:b/>
                <w:bCs/>
                <w:sz w:val="20"/>
                <w:szCs w:val="20"/>
              </w:rPr>
              <w:t>NM -&gt; ATA</w:t>
            </w:r>
          </w:p>
        </w:tc>
        <w:tc>
          <w:tcPr>
            <w:tcW w:w="970" w:type="dxa"/>
            <w:shd w:val="clear" w:color="auto" w:fill="auto"/>
            <w:noWrap/>
            <w:vAlign w:val="bottom"/>
            <w:hideMark/>
          </w:tcPr>
          <w:p w14:paraId="0121A09B" w14:textId="77777777" w:rsidR="00626FF9" w:rsidRPr="002C29D2" w:rsidRDefault="00626FF9" w:rsidP="00B63C4D">
            <w:pPr>
              <w:jc w:val="center"/>
              <w:rPr>
                <w:b/>
                <w:bCs/>
                <w:sz w:val="20"/>
                <w:szCs w:val="20"/>
              </w:rPr>
            </w:pPr>
            <w:r w:rsidRPr="002C29D2">
              <w:rPr>
                <w:b/>
                <w:bCs/>
                <w:sz w:val="20"/>
                <w:szCs w:val="20"/>
              </w:rPr>
              <w:t>0.200</w:t>
            </w:r>
          </w:p>
        </w:tc>
        <w:tc>
          <w:tcPr>
            <w:tcW w:w="1134" w:type="dxa"/>
            <w:shd w:val="clear" w:color="auto" w:fill="auto"/>
            <w:noWrap/>
            <w:vAlign w:val="bottom"/>
            <w:hideMark/>
          </w:tcPr>
          <w:p w14:paraId="021AFDE7" w14:textId="77777777" w:rsidR="00626FF9" w:rsidRPr="002C29D2" w:rsidRDefault="00626FF9" w:rsidP="00B63C4D">
            <w:pPr>
              <w:jc w:val="center"/>
              <w:rPr>
                <w:b/>
                <w:bCs/>
                <w:sz w:val="20"/>
                <w:szCs w:val="20"/>
              </w:rPr>
            </w:pPr>
            <w:r w:rsidRPr="002C29D2">
              <w:rPr>
                <w:b/>
                <w:bCs/>
                <w:sz w:val="20"/>
                <w:szCs w:val="20"/>
              </w:rPr>
              <w:t>2.397</w:t>
            </w:r>
          </w:p>
        </w:tc>
        <w:tc>
          <w:tcPr>
            <w:tcW w:w="992" w:type="dxa"/>
            <w:vAlign w:val="bottom"/>
          </w:tcPr>
          <w:p w14:paraId="608B451C" w14:textId="77777777" w:rsidR="00626FF9" w:rsidRPr="002C29D2" w:rsidRDefault="00626FF9" w:rsidP="00B63C4D">
            <w:pPr>
              <w:jc w:val="center"/>
              <w:rPr>
                <w:b/>
                <w:bCs/>
                <w:sz w:val="20"/>
                <w:szCs w:val="20"/>
              </w:rPr>
            </w:pPr>
            <w:r w:rsidRPr="002C29D2">
              <w:rPr>
                <w:b/>
                <w:bCs/>
                <w:sz w:val="20"/>
                <w:szCs w:val="20"/>
              </w:rPr>
              <w:t>0.017</w:t>
            </w:r>
          </w:p>
        </w:tc>
        <w:tc>
          <w:tcPr>
            <w:tcW w:w="992" w:type="dxa"/>
            <w:shd w:val="clear" w:color="auto" w:fill="auto"/>
            <w:noWrap/>
            <w:vAlign w:val="bottom"/>
            <w:hideMark/>
          </w:tcPr>
          <w:p w14:paraId="59E71F5E" w14:textId="77777777" w:rsidR="00626FF9" w:rsidRPr="002C29D2" w:rsidRDefault="00626FF9" w:rsidP="00B63C4D">
            <w:pPr>
              <w:jc w:val="center"/>
              <w:rPr>
                <w:b/>
                <w:bCs/>
                <w:sz w:val="20"/>
                <w:szCs w:val="20"/>
              </w:rPr>
            </w:pPr>
            <w:r w:rsidRPr="002C29D2">
              <w:rPr>
                <w:b/>
                <w:bCs/>
                <w:sz w:val="20"/>
                <w:szCs w:val="20"/>
              </w:rPr>
              <w:t>-0.042</w:t>
            </w:r>
          </w:p>
        </w:tc>
        <w:tc>
          <w:tcPr>
            <w:tcW w:w="1122" w:type="dxa"/>
            <w:shd w:val="clear" w:color="auto" w:fill="auto"/>
            <w:noWrap/>
            <w:vAlign w:val="bottom"/>
            <w:hideMark/>
          </w:tcPr>
          <w:p w14:paraId="12AB42BA" w14:textId="77777777" w:rsidR="00626FF9" w:rsidRPr="002C29D2" w:rsidRDefault="00626FF9" w:rsidP="00B63C4D">
            <w:pPr>
              <w:jc w:val="center"/>
              <w:rPr>
                <w:b/>
                <w:bCs/>
                <w:sz w:val="20"/>
                <w:szCs w:val="20"/>
              </w:rPr>
            </w:pPr>
            <w:r w:rsidRPr="002C29D2">
              <w:rPr>
                <w:b/>
                <w:bCs/>
                <w:sz w:val="20"/>
                <w:szCs w:val="20"/>
              </w:rPr>
              <w:t>0.486</w:t>
            </w:r>
          </w:p>
        </w:tc>
        <w:tc>
          <w:tcPr>
            <w:tcW w:w="863" w:type="dxa"/>
            <w:vAlign w:val="bottom"/>
          </w:tcPr>
          <w:p w14:paraId="4F2B8A6C" w14:textId="77777777" w:rsidR="00626FF9" w:rsidRPr="002C29D2" w:rsidRDefault="00626FF9" w:rsidP="00B63C4D">
            <w:pPr>
              <w:jc w:val="center"/>
              <w:rPr>
                <w:b/>
                <w:bCs/>
                <w:sz w:val="20"/>
                <w:szCs w:val="20"/>
              </w:rPr>
            </w:pPr>
            <w:r w:rsidRPr="002C29D2">
              <w:rPr>
                <w:b/>
                <w:bCs/>
                <w:sz w:val="20"/>
                <w:szCs w:val="20"/>
              </w:rPr>
              <w:t>0.627</w:t>
            </w:r>
          </w:p>
        </w:tc>
        <w:tc>
          <w:tcPr>
            <w:tcW w:w="1201" w:type="dxa"/>
            <w:shd w:val="clear" w:color="auto" w:fill="auto"/>
            <w:noWrap/>
            <w:vAlign w:val="bottom"/>
            <w:hideMark/>
          </w:tcPr>
          <w:p w14:paraId="546A3B8F" w14:textId="77777777" w:rsidR="00626FF9" w:rsidRPr="002C29D2" w:rsidRDefault="00626FF9" w:rsidP="00B63C4D">
            <w:pPr>
              <w:jc w:val="center"/>
              <w:rPr>
                <w:b/>
                <w:bCs/>
                <w:sz w:val="20"/>
                <w:szCs w:val="20"/>
              </w:rPr>
            </w:pPr>
            <w:r w:rsidRPr="002C29D2">
              <w:rPr>
                <w:b/>
                <w:bCs/>
                <w:sz w:val="20"/>
                <w:szCs w:val="20"/>
              </w:rPr>
              <w:t>2.027</w:t>
            </w:r>
          </w:p>
        </w:tc>
        <w:tc>
          <w:tcPr>
            <w:tcW w:w="1067" w:type="dxa"/>
            <w:vAlign w:val="bottom"/>
          </w:tcPr>
          <w:p w14:paraId="0A7BAD20" w14:textId="77777777" w:rsidR="00626FF9" w:rsidRPr="002C29D2" w:rsidRDefault="00626FF9" w:rsidP="00B63C4D">
            <w:pPr>
              <w:jc w:val="center"/>
              <w:rPr>
                <w:b/>
                <w:bCs/>
                <w:sz w:val="20"/>
                <w:szCs w:val="20"/>
              </w:rPr>
            </w:pPr>
            <w:r w:rsidRPr="002C29D2">
              <w:rPr>
                <w:b/>
                <w:bCs/>
                <w:sz w:val="20"/>
                <w:szCs w:val="20"/>
              </w:rPr>
              <w:t>0.044</w:t>
            </w:r>
          </w:p>
        </w:tc>
      </w:tr>
      <w:tr w:rsidR="002C29D2" w:rsidRPr="002C29D2" w14:paraId="3F4E629E" w14:textId="77777777" w:rsidTr="00626FF9">
        <w:trPr>
          <w:trHeight w:val="320"/>
        </w:trPr>
        <w:tc>
          <w:tcPr>
            <w:tcW w:w="1435" w:type="dxa"/>
            <w:shd w:val="clear" w:color="auto" w:fill="auto"/>
            <w:noWrap/>
            <w:vAlign w:val="center"/>
            <w:hideMark/>
          </w:tcPr>
          <w:p w14:paraId="2824D795" w14:textId="77777777" w:rsidR="00626FF9" w:rsidRPr="002C29D2" w:rsidRDefault="00626FF9" w:rsidP="00626FF9">
            <w:pPr>
              <w:rPr>
                <w:sz w:val="20"/>
                <w:szCs w:val="20"/>
              </w:rPr>
            </w:pPr>
            <w:r w:rsidRPr="002C29D2">
              <w:rPr>
                <w:sz w:val="20"/>
                <w:szCs w:val="20"/>
              </w:rPr>
              <w:t>NM -&gt; ENG</w:t>
            </w:r>
          </w:p>
        </w:tc>
        <w:tc>
          <w:tcPr>
            <w:tcW w:w="970" w:type="dxa"/>
            <w:shd w:val="clear" w:color="auto" w:fill="auto"/>
            <w:noWrap/>
            <w:vAlign w:val="bottom"/>
            <w:hideMark/>
          </w:tcPr>
          <w:p w14:paraId="286F3364" w14:textId="77777777" w:rsidR="00626FF9" w:rsidRPr="002C29D2" w:rsidRDefault="00626FF9" w:rsidP="00B63C4D">
            <w:pPr>
              <w:jc w:val="center"/>
              <w:rPr>
                <w:sz w:val="20"/>
                <w:szCs w:val="20"/>
              </w:rPr>
            </w:pPr>
            <w:r w:rsidRPr="002C29D2">
              <w:rPr>
                <w:sz w:val="20"/>
                <w:szCs w:val="20"/>
              </w:rPr>
              <w:t>0.182</w:t>
            </w:r>
          </w:p>
        </w:tc>
        <w:tc>
          <w:tcPr>
            <w:tcW w:w="1134" w:type="dxa"/>
            <w:shd w:val="clear" w:color="auto" w:fill="auto"/>
            <w:noWrap/>
            <w:vAlign w:val="bottom"/>
            <w:hideMark/>
          </w:tcPr>
          <w:p w14:paraId="4D134903" w14:textId="77777777" w:rsidR="00626FF9" w:rsidRPr="002C29D2" w:rsidRDefault="00626FF9" w:rsidP="00B63C4D">
            <w:pPr>
              <w:jc w:val="center"/>
              <w:rPr>
                <w:sz w:val="20"/>
                <w:szCs w:val="20"/>
              </w:rPr>
            </w:pPr>
            <w:r w:rsidRPr="002C29D2">
              <w:rPr>
                <w:sz w:val="20"/>
                <w:szCs w:val="20"/>
              </w:rPr>
              <w:t>2.858</w:t>
            </w:r>
          </w:p>
        </w:tc>
        <w:tc>
          <w:tcPr>
            <w:tcW w:w="992" w:type="dxa"/>
            <w:vAlign w:val="bottom"/>
          </w:tcPr>
          <w:p w14:paraId="77E4CF14" w14:textId="77777777" w:rsidR="00626FF9" w:rsidRPr="002C29D2" w:rsidRDefault="00626FF9" w:rsidP="00B63C4D">
            <w:pPr>
              <w:jc w:val="center"/>
              <w:rPr>
                <w:sz w:val="20"/>
                <w:szCs w:val="20"/>
              </w:rPr>
            </w:pPr>
            <w:r w:rsidRPr="002C29D2">
              <w:rPr>
                <w:sz w:val="20"/>
                <w:szCs w:val="20"/>
              </w:rPr>
              <w:t>0.004</w:t>
            </w:r>
          </w:p>
        </w:tc>
        <w:tc>
          <w:tcPr>
            <w:tcW w:w="992" w:type="dxa"/>
            <w:shd w:val="clear" w:color="auto" w:fill="auto"/>
            <w:noWrap/>
            <w:vAlign w:val="bottom"/>
            <w:hideMark/>
          </w:tcPr>
          <w:p w14:paraId="1FE92E0D" w14:textId="77777777" w:rsidR="00626FF9" w:rsidRPr="002C29D2" w:rsidRDefault="00626FF9" w:rsidP="00B63C4D">
            <w:pPr>
              <w:jc w:val="center"/>
              <w:rPr>
                <w:sz w:val="20"/>
                <w:szCs w:val="20"/>
              </w:rPr>
            </w:pPr>
            <w:r w:rsidRPr="002C29D2">
              <w:rPr>
                <w:sz w:val="20"/>
                <w:szCs w:val="20"/>
              </w:rPr>
              <w:t>0.154</w:t>
            </w:r>
          </w:p>
        </w:tc>
        <w:tc>
          <w:tcPr>
            <w:tcW w:w="1122" w:type="dxa"/>
            <w:shd w:val="clear" w:color="auto" w:fill="auto"/>
            <w:noWrap/>
            <w:vAlign w:val="bottom"/>
            <w:hideMark/>
          </w:tcPr>
          <w:p w14:paraId="4F985EE5" w14:textId="77777777" w:rsidR="00626FF9" w:rsidRPr="002C29D2" w:rsidRDefault="00626FF9" w:rsidP="00B63C4D">
            <w:pPr>
              <w:jc w:val="center"/>
              <w:rPr>
                <w:sz w:val="20"/>
                <w:szCs w:val="20"/>
              </w:rPr>
            </w:pPr>
            <w:r w:rsidRPr="002C29D2">
              <w:rPr>
                <w:sz w:val="20"/>
                <w:szCs w:val="20"/>
              </w:rPr>
              <w:t>2.379</w:t>
            </w:r>
          </w:p>
        </w:tc>
        <w:tc>
          <w:tcPr>
            <w:tcW w:w="863" w:type="dxa"/>
            <w:vAlign w:val="bottom"/>
          </w:tcPr>
          <w:p w14:paraId="237D5D8C" w14:textId="77777777" w:rsidR="00626FF9" w:rsidRPr="002C29D2" w:rsidRDefault="00626FF9" w:rsidP="00B63C4D">
            <w:pPr>
              <w:jc w:val="center"/>
              <w:rPr>
                <w:sz w:val="20"/>
                <w:szCs w:val="20"/>
              </w:rPr>
            </w:pPr>
            <w:r w:rsidRPr="002C29D2">
              <w:rPr>
                <w:sz w:val="20"/>
                <w:szCs w:val="20"/>
              </w:rPr>
              <w:t>0.017</w:t>
            </w:r>
          </w:p>
        </w:tc>
        <w:tc>
          <w:tcPr>
            <w:tcW w:w="1201" w:type="dxa"/>
            <w:shd w:val="clear" w:color="auto" w:fill="auto"/>
            <w:noWrap/>
            <w:vAlign w:val="bottom"/>
            <w:hideMark/>
          </w:tcPr>
          <w:p w14:paraId="1B7A7BFC" w14:textId="77777777" w:rsidR="00626FF9" w:rsidRPr="002C29D2" w:rsidRDefault="00626FF9" w:rsidP="00B63C4D">
            <w:pPr>
              <w:jc w:val="center"/>
              <w:rPr>
                <w:sz w:val="20"/>
                <w:szCs w:val="20"/>
              </w:rPr>
            </w:pPr>
            <w:r w:rsidRPr="002C29D2">
              <w:rPr>
                <w:sz w:val="20"/>
                <w:szCs w:val="20"/>
              </w:rPr>
              <w:t>0.319</w:t>
            </w:r>
          </w:p>
        </w:tc>
        <w:tc>
          <w:tcPr>
            <w:tcW w:w="1067" w:type="dxa"/>
            <w:vAlign w:val="bottom"/>
          </w:tcPr>
          <w:p w14:paraId="44F327E5" w14:textId="77777777" w:rsidR="00626FF9" w:rsidRPr="002C29D2" w:rsidRDefault="00626FF9" w:rsidP="00B63C4D">
            <w:pPr>
              <w:jc w:val="center"/>
              <w:rPr>
                <w:sz w:val="20"/>
                <w:szCs w:val="20"/>
              </w:rPr>
            </w:pPr>
            <w:r w:rsidRPr="002C29D2">
              <w:rPr>
                <w:sz w:val="20"/>
                <w:szCs w:val="20"/>
              </w:rPr>
              <w:t>0.750</w:t>
            </w:r>
          </w:p>
        </w:tc>
      </w:tr>
      <w:tr w:rsidR="002C29D2" w:rsidRPr="002C29D2" w14:paraId="35E09527" w14:textId="77777777" w:rsidTr="00626FF9">
        <w:trPr>
          <w:trHeight w:val="320"/>
        </w:trPr>
        <w:tc>
          <w:tcPr>
            <w:tcW w:w="1435" w:type="dxa"/>
            <w:shd w:val="clear" w:color="auto" w:fill="auto"/>
            <w:noWrap/>
            <w:vAlign w:val="center"/>
            <w:hideMark/>
          </w:tcPr>
          <w:p w14:paraId="3D2A2CDA" w14:textId="77777777" w:rsidR="00626FF9" w:rsidRPr="002C29D2" w:rsidRDefault="00626FF9" w:rsidP="00626FF9">
            <w:pPr>
              <w:rPr>
                <w:sz w:val="20"/>
                <w:szCs w:val="20"/>
              </w:rPr>
            </w:pPr>
            <w:r w:rsidRPr="002C29D2">
              <w:rPr>
                <w:sz w:val="20"/>
                <w:szCs w:val="20"/>
              </w:rPr>
              <w:t>NM -&gt; SAT</w:t>
            </w:r>
          </w:p>
        </w:tc>
        <w:tc>
          <w:tcPr>
            <w:tcW w:w="970" w:type="dxa"/>
            <w:shd w:val="clear" w:color="auto" w:fill="auto"/>
            <w:noWrap/>
            <w:vAlign w:val="bottom"/>
            <w:hideMark/>
          </w:tcPr>
          <w:p w14:paraId="16077ECA" w14:textId="77777777" w:rsidR="00626FF9" w:rsidRPr="002C29D2" w:rsidRDefault="00626FF9" w:rsidP="00B63C4D">
            <w:pPr>
              <w:jc w:val="center"/>
              <w:rPr>
                <w:sz w:val="20"/>
                <w:szCs w:val="20"/>
              </w:rPr>
            </w:pPr>
            <w:r w:rsidRPr="002C29D2">
              <w:rPr>
                <w:sz w:val="20"/>
                <w:szCs w:val="20"/>
              </w:rPr>
              <w:t>0.111</w:t>
            </w:r>
          </w:p>
        </w:tc>
        <w:tc>
          <w:tcPr>
            <w:tcW w:w="1134" w:type="dxa"/>
            <w:shd w:val="clear" w:color="auto" w:fill="auto"/>
            <w:noWrap/>
            <w:vAlign w:val="bottom"/>
            <w:hideMark/>
          </w:tcPr>
          <w:p w14:paraId="3897CBD2" w14:textId="77777777" w:rsidR="00626FF9" w:rsidRPr="002C29D2" w:rsidRDefault="00626FF9" w:rsidP="00B63C4D">
            <w:pPr>
              <w:jc w:val="center"/>
              <w:rPr>
                <w:sz w:val="20"/>
                <w:szCs w:val="20"/>
              </w:rPr>
            </w:pPr>
            <w:r w:rsidRPr="002C29D2">
              <w:rPr>
                <w:sz w:val="20"/>
                <w:szCs w:val="20"/>
              </w:rPr>
              <w:t>1.483</w:t>
            </w:r>
          </w:p>
        </w:tc>
        <w:tc>
          <w:tcPr>
            <w:tcW w:w="992" w:type="dxa"/>
            <w:vAlign w:val="bottom"/>
          </w:tcPr>
          <w:p w14:paraId="32731939" w14:textId="77777777" w:rsidR="00626FF9" w:rsidRPr="002C29D2" w:rsidRDefault="00626FF9" w:rsidP="00B63C4D">
            <w:pPr>
              <w:jc w:val="center"/>
              <w:rPr>
                <w:sz w:val="20"/>
                <w:szCs w:val="20"/>
              </w:rPr>
            </w:pPr>
            <w:r w:rsidRPr="002C29D2">
              <w:rPr>
                <w:sz w:val="20"/>
                <w:szCs w:val="20"/>
              </w:rPr>
              <w:t>0.138</w:t>
            </w:r>
          </w:p>
        </w:tc>
        <w:tc>
          <w:tcPr>
            <w:tcW w:w="992" w:type="dxa"/>
            <w:shd w:val="clear" w:color="auto" w:fill="auto"/>
            <w:noWrap/>
            <w:vAlign w:val="bottom"/>
            <w:hideMark/>
          </w:tcPr>
          <w:p w14:paraId="049B62B2" w14:textId="77777777" w:rsidR="00626FF9" w:rsidRPr="002C29D2" w:rsidRDefault="00626FF9" w:rsidP="00B63C4D">
            <w:pPr>
              <w:jc w:val="center"/>
              <w:rPr>
                <w:sz w:val="20"/>
                <w:szCs w:val="20"/>
              </w:rPr>
            </w:pPr>
            <w:r w:rsidRPr="002C29D2">
              <w:rPr>
                <w:sz w:val="20"/>
                <w:szCs w:val="20"/>
              </w:rPr>
              <w:t>0.176</w:t>
            </w:r>
          </w:p>
        </w:tc>
        <w:tc>
          <w:tcPr>
            <w:tcW w:w="1122" w:type="dxa"/>
            <w:shd w:val="clear" w:color="auto" w:fill="auto"/>
            <w:noWrap/>
            <w:vAlign w:val="bottom"/>
            <w:hideMark/>
          </w:tcPr>
          <w:p w14:paraId="582608F9" w14:textId="77777777" w:rsidR="00626FF9" w:rsidRPr="002C29D2" w:rsidRDefault="00626FF9" w:rsidP="00B63C4D">
            <w:pPr>
              <w:jc w:val="center"/>
              <w:rPr>
                <w:sz w:val="20"/>
                <w:szCs w:val="20"/>
              </w:rPr>
            </w:pPr>
            <w:r w:rsidRPr="002C29D2">
              <w:rPr>
                <w:sz w:val="20"/>
                <w:szCs w:val="20"/>
              </w:rPr>
              <w:t>1.790</w:t>
            </w:r>
          </w:p>
        </w:tc>
        <w:tc>
          <w:tcPr>
            <w:tcW w:w="863" w:type="dxa"/>
            <w:vAlign w:val="bottom"/>
          </w:tcPr>
          <w:p w14:paraId="46332F25" w14:textId="77777777" w:rsidR="00626FF9" w:rsidRPr="002C29D2" w:rsidRDefault="00626FF9" w:rsidP="00B63C4D">
            <w:pPr>
              <w:jc w:val="center"/>
              <w:rPr>
                <w:sz w:val="20"/>
                <w:szCs w:val="20"/>
              </w:rPr>
            </w:pPr>
            <w:r w:rsidRPr="002C29D2">
              <w:rPr>
                <w:sz w:val="20"/>
                <w:szCs w:val="20"/>
              </w:rPr>
              <w:t>0.074</w:t>
            </w:r>
          </w:p>
        </w:tc>
        <w:tc>
          <w:tcPr>
            <w:tcW w:w="1201" w:type="dxa"/>
            <w:shd w:val="clear" w:color="auto" w:fill="auto"/>
            <w:noWrap/>
            <w:vAlign w:val="bottom"/>
            <w:hideMark/>
          </w:tcPr>
          <w:p w14:paraId="34A46D7E" w14:textId="77777777" w:rsidR="00626FF9" w:rsidRPr="002C29D2" w:rsidRDefault="00626FF9" w:rsidP="00B63C4D">
            <w:pPr>
              <w:jc w:val="center"/>
              <w:rPr>
                <w:sz w:val="20"/>
                <w:szCs w:val="20"/>
              </w:rPr>
            </w:pPr>
            <w:r w:rsidRPr="002C29D2">
              <w:rPr>
                <w:sz w:val="20"/>
                <w:szCs w:val="20"/>
              </w:rPr>
              <w:t>0.530</w:t>
            </w:r>
          </w:p>
        </w:tc>
        <w:tc>
          <w:tcPr>
            <w:tcW w:w="1067" w:type="dxa"/>
            <w:vAlign w:val="bottom"/>
          </w:tcPr>
          <w:p w14:paraId="23094674" w14:textId="77777777" w:rsidR="00626FF9" w:rsidRPr="002C29D2" w:rsidRDefault="00626FF9" w:rsidP="00B63C4D">
            <w:pPr>
              <w:jc w:val="center"/>
              <w:rPr>
                <w:sz w:val="20"/>
                <w:szCs w:val="20"/>
              </w:rPr>
            </w:pPr>
            <w:r w:rsidRPr="002C29D2">
              <w:rPr>
                <w:sz w:val="20"/>
                <w:szCs w:val="20"/>
              </w:rPr>
              <w:t>0.596</w:t>
            </w:r>
          </w:p>
        </w:tc>
      </w:tr>
      <w:tr w:rsidR="002C29D2" w:rsidRPr="002C29D2" w14:paraId="77B903B4" w14:textId="77777777" w:rsidTr="00626FF9">
        <w:trPr>
          <w:trHeight w:val="320"/>
        </w:trPr>
        <w:tc>
          <w:tcPr>
            <w:tcW w:w="1435" w:type="dxa"/>
            <w:shd w:val="clear" w:color="auto" w:fill="auto"/>
            <w:noWrap/>
            <w:vAlign w:val="center"/>
            <w:hideMark/>
          </w:tcPr>
          <w:p w14:paraId="03C6B7D0" w14:textId="77777777" w:rsidR="00626FF9" w:rsidRPr="002C29D2" w:rsidRDefault="00626FF9" w:rsidP="00626FF9">
            <w:pPr>
              <w:rPr>
                <w:sz w:val="20"/>
                <w:szCs w:val="20"/>
              </w:rPr>
            </w:pPr>
            <w:r w:rsidRPr="002C29D2">
              <w:rPr>
                <w:sz w:val="20"/>
                <w:szCs w:val="20"/>
              </w:rPr>
              <w:t>NM -&gt; UI</w:t>
            </w:r>
          </w:p>
        </w:tc>
        <w:tc>
          <w:tcPr>
            <w:tcW w:w="970" w:type="dxa"/>
            <w:shd w:val="clear" w:color="auto" w:fill="auto"/>
            <w:noWrap/>
            <w:vAlign w:val="bottom"/>
            <w:hideMark/>
          </w:tcPr>
          <w:p w14:paraId="79865457" w14:textId="77777777" w:rsidR="00626FF9" w:rsidRPr="002C29D2" w:rsidRDefault="00626FF9" w:rsidP="00B63C4D">
            <w:pPr>
              <w:jc w:val="center"/>
              <w:rPr>
                <w:sz w:val="20"/>
                <w:szCs w:val="20"/>
              </w:rPr>
            </w:pPr>
            <w:r w:rsidRPr="002C29D2">
              <w:rPr>
                <w:sz w:val="20"/>
                <w:szCs w:val="20"/>
              </w:rPr>
              <w:t>-0.113</w:t>
            </w:r>
          </w:p>
        </w:tc>
        <w:tc>
          <w:tcPr>
            <w:tcW w:w="1134" w:type="dxa"/>
            <w:shd w:val="clear" w:color="auto" w:fill="auto"/>
            <w:noWrap/>
            <w:vAlign w:val="bottom"/>
            <w:hideMark/>
          </w:tcPr>
          <w:p w14:paraId="315E8D22" w14:textId="77777777" w:rsidR="00626FF9" w:rsidRPr="002C29D2" w:rsidRDefault="00626FF9" w:rsidP="00B63C4D">
            <w:pPr>
              <w:jc w:val="center"/>
              <w:rPr>
                <w:sz w:val="20"/>
                <w:szCs w:val="20"/>
              </w:rPr>
            </w:pPr>
            <w:r w:rsidRPr="002C29D2">
              <w:rPr>
                <w:sz w:val="20"/>
                <w:szCs w:val="20"/>
              </w:rPr>
              <w:t>1.641</w:t>
            </w:r>
          </w:p>
        </w:tc>
        <w:tc>
          <w:tcPr>
            <w:tcW w:w="992" w:type="dxa"/>
            <w:vAlign w:val="bottom"/>
          </w:tcPr>
          <w:p w14:paraId="13593130" w14:textId="77777777" w:rsidR="00626FF9" w:rsidRPr="002C29D2" w:rsidRDefault="00626FF9" w:rsidP="00B63C4D">
            <w:pPr>
              <w:jc w:val="center"/>
              <w:rPr>
                <w:sz w:val="20"/>
                <w:szCs w:val="20"/>
              </w:rPr>
            </w:pPr>
            <w:r w:rsidRPr="002C29D2">
              <w:rPr>
                <w:sz w:val="20"/>
                <w:szCs w:val="20"/>
              </w:rPr>
              <w:t>0.101</w:t>
            </w:r>
          </w:p>
        </w:tc>
        <w:tc>
          <w:tcPr>
            <w:tcW w:w="992" w:type="dxa"/>
            <w:shd w:val="clear" w:color="auto" w:fill="auto"/>
            <w:noWrap/>
            <w:vAlign w:val="bottom"/>
            <w:hideMark/>
          </w:tcPr>
          <w:p w14:paraId="5FC0BE20" w14:textId="77777777" w:rsidR="00626FF9" w:rsidRPr="002C29D2" w:rsidRDefault="00626FF9" w:rsidP="00B63C4D">
            <w:pPr>
              <w:jc w:val="center"/>
              <w:rPr>
                <w:sz w:val="20"/>
                <w:szCs w:val="20"/>
              </w:rPr>
            </w:pPr>
            <w:r w:rsidRPr="002C29D2">
              <w:rPr>
                <w:sz w:val="20"/>
                <w:szCs w:val="20"/>
              </w:rPr>
              <w:t>0.018</w:t>
            </w:r>
          </w:p>
        </w:tc>
        <w:tc>
          <w:tcPr>
            <w:tcW w:w="1122" w:type="dxa"/>
            <w:shd w:val="clear" w:color="auto" w:fill="auto"/>
            <w:noWrap/>
            <w:vAlign w:val="bottom"/>
            <w:hideMark/>
          </w:tcPr>
          <w:p w14:paraId="004ABA9B" w14:textId="77777777" w:rsidR="00626FF9" w:rsidRPr="002C29D2" w:rsidRDefault="00626FF9" w:rsidP="00B63C4D">
            <w:pPr>
              <w:jc w:val="center"/>
              <w:rPr>
                <w:sz w:val="20"/>
                <w:szCs w:val="20"/>
              </w:rPr>
            </w:pPr>
            <w:r w:rsidRPr="002C29D2">
              <w:rPr>
                <w:sz w:val="20"/>
                <w:szCs w:val="20"/>
              </w:rPr>
              <w:t>0.201</w:t>
            </w:r>
          </w:p>
        </w:tc>
        <w:tc>
          <w:tcPr>
            <w:tcW w:w="863" w:type="dxa"/>
            <w:vAlign w:val="bottom"/>
          </w:tcPr>
          <w:p w14:paraId="4DE56BC7" w14:textId="77777777" w:rsidR="00626FF9" w:rsidRPr="002C29D2" w:rsidRDefault="00626FF9" w:rsidP="00B63C4D">
            <w:pPr>
              <w:jc w:val="center"/>
              <w:rPr>
                <w:sz w:val="20"/>
                <w:szCs w:val="20"/>
              </w:rPr>
            </w:pPr>
            <w:r w:rsidRPr="002C29D2">
              <w:rPr>
                <w:sz w:val="20"/>
                <w:szCs w:val="20"/>
              </w:rPr>
              <w:t>0.840</w:t>
            </w:r>
          </w:p>
        </w:tc>
        <w:tc>
          <w:tcPr>
            <w:tcW w:w="1201" w:type="dxa"/>
            <w:shd w:val="clear" w:color="auto" w:fill="auto"/>
            <w:noWrap/>
            <w:vAlign w:val="bottom"/>
            <w:hideMark/>
          </w:tcPr>
          <w:p w14:paraId="75649638" w14:textId="77777777" w:rsidR="00626FF9" w:rsidRPr="002C29D2" w:rsidRDefault="00626FF9" w:rsidP="00B63C4D">
            <w:pPr>
              <w:jc w:val="center"/>
              <w:rPr>
                <w:sz w:val="20"/>
                <w:szCs w:val="20"/>
              </w:rPr>
            </w:pPr>
            <w:r w:rsidRPr="002C29D2">
              <w:rPr>
                <w:sz w:val="20"/>
                <w:szCs w:val="20"/>
              </w:rPr>
              <w:t>1.158</w:t>
            </w:r>
          </w:p>
        </w:tc>
        <w:tc>
          <w:tcPr>
            <w:tcW w:w="1067" w:type="dxa"/>
            <w:vAlign w:val="bottom"/>
          </w:tcPr>
          <w:p w14:paraId="2EE3E445" w14:textId="77777777" w:rsidR="00626FF9" w:rsidRPr="002C29D2" w:rsidRDefault="00626FF9" w:rsidP="00B63C4D">
            <w:pPr>
              <w:jc w:val="center"/>
              <w:rPr>
                <w:sz w:val="20"/>
                <w:szCs w:val="20"/>
              </w:rPr>
            </w:pPr>
            <w:r w:rsidRPr="002C29D2">
              <w:rPr>
                <w:sz w:val="20"/>
                <w:szCs w:val="20"/>
              </w:rPr>
              <w:t>0.248</w:t>
            </w:r>
          </w:p>
        </w:tc>
      </w:tr>
    </w:tbl>
    <w:p w14:paraId="0FD00C07" w14:textId="77777777" w:rsidR="00626FF9" w:rsidRPr="002C29D2" w:rsidRDefault="00626FF9" w:rsidP="00626FF9">
      <w:pPr>
        <w:rPr>
          <w:lang w:eastAsia="zh-TW"/>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70"/>
        <w:gridCol w:w="1134"/>
        <w:gridCol w:w="992"/>
        <w:gridCol w:w="992"/>
        <w:gridCol w:w="1122"/>
        <w:gridCol w:w="863"/>
        <w:gridCol w:w="1201"/>
        <w:gridCol w:w="1067"/>
      </w:tblGrid>
      <w:tr w:rsidR="002C29D2" w:rsidRPr="002C29D2" w14:paraId="79618F09" w14:textId="77777777" w:rsidTr="00626FF9">
        <w:trPr>
          <w:trHeight w:val="133"/>
        </w:trPr>
        <w:tc>
          <w:tcPr>
            <w:tcW w:w="1435" w:type="dxa"/>
            <w:shd w:val="clear" w:color="auto" w:fill="auto"/>
            <w:noWrap/>
            <w:vAlign w:val="center"/>
            <w:hideMark/>
          </w:tcPr>
          <w:p w14:paraId="3B6A10EE" w14:textId="77777777" w:rsidR="00626FF9" w:rsidRPr="002C29D2" w:rsidRDefault="00626FF9" w:rsidP="00626FF9">
            <w:pPr>
              <w:jc w:val="center"/>
              <w:rPr>
                <w:b/>
                <w:bCs/>
                <w:sz w:val="20"/>
                <w:szCs w:val="20"/>
              </w:rPr>
            </w:pPr>
            <w:r w:rsidRPr="002C29D2">
              <w:rPr>
                <w:b/>
                <w:bCs/>
                <w:sz w:val="20"/>
                <w:szCs w:val="20"/>
              </w:rPr>
              <w:t>Gender</w:t>
            </w:r>
          </w:p>
        </w:tc>
        <w:tc>
          <w:tcPr>
            <w:tcW w:w="3096" w:type="dxa"/>
            <w:gridSpan w:val="3"/>
            <w:shd w:val="clear" w:color="auto" w:fill="auto"/>
            <w:noWrap/>
            <w:vAlign w:val="center"/>
            <w:hideMark/>
          </w:tcPr>
          <w:p w14:paraId="6F1850A0" w14:textId="77777777" w:rsidR="00626FF9" w:rsidRPr="002C29D2" w:rsidRDefault="00626FF9" w:rsidP="00626FF9">
            <w:pPr>
              <w:jc w:val="center"/>
              <w:rPr>
                <w:b/>
                <w:bCs/>
                <w:sz w:val="20"/>
                <w:szCs w:val="20"/>
              </w:rPr>
            </w:pPr>
            <w:r w:rsidRPr="002C29D2">
              <w:rPr>
                <w:b/>
                <w:bCs/>
                <w:sz w:val="20"/>
                <w:szCs w:val="20"/>
              </w:rPr>
              <w:t>Male: (n = 184)</w:t>
            </w:r>
          </w:p>
        </w:tc>
        <w:tc>
          <w:tcPr>
            <w:tcW w:w="2977" w:type="dxa"/>
            <w:gridSpan w:val="3"/>
            <w:shd w:val="clear" w:color="auto" w:fill="auto"/>
            <w:noWrap/>
            <w:vAlign w:val="center"/>
            <w:hideMark/>
          </w:tcPr>
          <w:p w14:paraId="12DA05FC" w14:textId="77777777" w:rsidR="00626FF9" w:rsidRPr="002C29D2" w:rsidRDefault="00626FF9" w:rsidP="00626FF9">
            <w:pPr>
              <w:jc w:val="center"/>
              <w:rPr>
                <w:b/>
                <w:bCs/>
                <w:sz w:val="20"/>
                <w:szCs w:val="20"/>
              </w:rPr>
            </w:pPr>
            <w:r w:rsidRPr="002C29D2">
              <w:rPr>
                <w:b/>
                <w:bCs/>
                <w:sz w:val="20"/>
                <w:szCs w:val="20"/>
              </w:rPr>
              <w:t>Female: (n = 220)</w:t>
            </w:r>
          </w:p>
        </w:tc>
        <w:tc>
          <w:tcPr>
            <w:tcW w:w="2268" w:type="dxa"/>
            <w:gridSpan w:val="2"/>
            <w:shd w:val="clear" w:color="auto" w:fill="auto"/>
            <w:noWrap/>
            <w:vAlign w:val="center"/>
            <w:hideMark/>
          </w:tcPr>
          <w:p w14:paraId="512451C3" w14:textId="77777777" w:rsidR="00626FF9" w:rsidRPr="002C29D2" w:rsidRDefault="00626FF9" w:rsidP="00626FF9">
            <w:pPr>
              <w:jc w:val="center"/>
              <w:rPr>
                <w:b/>
                <w:bCs/>
                <w:sz w:val="20"/>
                <w:szCs w:val="20"/>
              </w:rPr>
            </w:pPr>
            <w:r w:rsidRPr="002C29D2">
              <w:rPr>
                <w:b/>
                <w:bCs/>
                <w:sz w:val="20"/>
                <w:szCs w:val="20"/>
              </w:rPr>
              <w:t>Male vs Female</w:t>
            </w:r>
          </w:p>
        </w:tc>
      </w:tr>
      <w:tr w:rsidR="002C29D2" w:rsidRPr="002C29D2" w14:paraId="5FA0DF34" w14:textId="77777777" w:rsidTr="00626FF9">
        <w:trPr>
          <w:trHeight w:val="320"/>
        </w:trPr>
        <w:tc>
          <w:tcPr>
            <w:tcW w:w="1435" w:type="dxa"/>
            <w:shd w:val="clear" w:color="auto" w:fill="auto"/>
            <w:noWrap/>
            <w:vAlign w:val="center"/>
          </w:tcPr>
          <w:p w14:paraId="2EB94D5F" w14:textId="77777777" w:rsidR="00626FF9" w:rsidRPr="002C29D2" w:rsidRDefault="00626FF9" w:rsidP="00626FF9">
            <w:pPr>
              <w:jc w:val="center"/>
              <w:rPr>
                <w:sz w:val="20"/>
                <w:szCs w:val="20"/>
              </w:rPr>
            </w:pPr>
          </w:p>
        </w:tc>
        <w:tc>
          <w:tcPr>
            <w:tcW w:w="970" w:type="dxa"/>
            <w:shd w:val="clear" w:color="auto" w:fill="auto"/>
            <w:noWrap/>
            <w:vAlign w:val="center"/>
          </w:tcPr>
          <w:p w14:paraId="15DA0E28" w14:textId="77777777" w:rsidR="00626FF9" w:rsidRPr="002C29D2" w:rsidRDefault="00626FF9" w:rsidP="00626FF9">
            <w:pPr>
              <w:jc w:val="center"/>
              <w:rPr>
                <w:sz w:val="20"/>
                <w:szCs w:val="20"/>
              </w:rPr>
            </w:pPr>
            <w:r w:rsidRPr="002C29D2">
              <w:rPr>
                <w:sz w:val="20"/>
                <w:szCs w:val="20"/>
              </w:rPr>
              <w:t>β</w:t>
            </w:r>
          </w:p>
        </w:tc>
        <w:tc>
          <w:tcPr>
            <w:tcW w:w="1134" w:type="dxa"/>
            <w:shd w:val="clear" w:color="auto" w:fill="auto"/>
            <w:noWrap/>
            <w:vAlign w:val="center"/>
          </w:tcPr>
          <w:p w14:paraId="695DC36F" w14:textId="77777777" w:rsidR="00626FF9" w:rsidRPr="002C29D2" w:rsidRDefault="00626FF9" w:rsidP="00626FF9">
            <w:pPr>
              <w:jc w:val="center"/>
              <w:rPr>
                <w:sz w:val="20"/>
                <w:szCs w:val="20"/>
              </w:rPr>
            </w:pPr>
            <w:r w:rsidRPr="002C29D2">
              <w:rPr>
                <w:sz w:val="20"/>
                <w:szCs w:val="20"/>
              </w:rPr>
              <w:t>T statistics</w:t>
            </w:r>
          </w:p>
        </w:tc>
        <w:tc>
          <w:tcPr>
            <w:tcW w:w="992" w:type="dxa"/>
            <w:vAlign w:val="center"/>
          </w:tcPr>
          <w:p w14:paraId="4D1F6E49" w14:textId="77777777" w:rsidR="00626FF9" w:rsidRPr="002C29D2" w:rsidRDefault="00626FF9" w:rsidP="00626FF9">
            <w:pPr>
              <w:jc w:val="center"/>
              <w:rPr>
                <w:sz w:val="20"/>
                <w:szCs w:val="20"/>
              </w:rPr>
            </w:pPr>
            <w:r w:rsidRPr="002C29D2">
              <w:rPr>
                <w:sz w:val="20"/>
                <w:szCs w:val="20"/>
              </w:rPr>
              <w:t>p</w:t>
            </w:r>
          </w:p>
        </w:tc>
        <w:tc>
          <w:tcPr>
            <w:tcW w:w="992" w:type="dxa"/>
            <w:shd w:val="clear" w:color="auto" w:fill="auto"/>
            <w:noWrap/>
            <w:vAlign w:val="center"/>
          </w:tcPr>
          <w:p w14:paraId="49D6D51D" w14:textId="77777777" w:rsidR="00626FF9" w:rsidRPr="002C29D2" w:rsidRDefault="00626FF9" w:rsidP="00626FF9">
            <w:pPr>
              <w:jc w:val="center"/>
              <w:rPr>
                <w:sz w:val="20"/>
                <w:szCs w:val="20"/>
              </w:rPr>
            </w:pPr>
            <w:r w:rsidRPr="002C29D2">
              <w:rPr>
                <w:sz w:val="20"/>
                <w:szCs w:val="20"/>
              </w:rPr>
              <w:t>β</w:t>
            </w:r>
          </w:p>
        </w:tc>
        <w:tc>
          <w:tcPr>
            <w:tcW w:w="1122" w:type="dxa"/>
            <w:shd w:val="clear" w:color="auto" w:fill="auto"/>
            <w:noWrap/>
            <w:vAlign w:val="center"/>
          </w:tcPr>
          <w:p w14:paraId="51BA9745" w14:textId="77777777" w:rsidR="00626FF9" w:rsidRPr="002C29D2" w:rsidRDefault="00626FF9" w:rsidP="00626FF9">
            <w:pPr>
              <w:jc w:val="center"/>
              <w:rPr>
                <w:sz w:val="20"/>
                <w:szCs w:val="20"/>
              </w:rPr>
            </w:pPr>
            <w:r w:rsidRPr="002C29D2">
              <w:rPr>
                <w:sz w:val="20"/>
                <w:szCs w:val="20"/>
              </w:rPr>
              <w:t>T statistics</w:t>
            </w:r>
          </w:p>
        </w:tc>
        <w:tc>
          <w:tcPr>
            <w:tcW w:w="863" w:type="dxa"/>
            <w:vAlign w:val="center"/>
          </w:tcPr>
          <w:p w14:paraId="7E4A14D2" w14:textId="77777777" w:rsidR="00626FF9" w:rsidRPr="002C29D2" w:rsidRDefault="00626FF9" w:rsidP="00626FF9">
            <w:pPr>
              <w:jc w:val="center"/>
              <w:rPr>
                <w:sz w:val="20"/>
                <w:szCs w:val="20"/>
              </w:rPr>
            </w:pPr>
            <w:r w:rsidRPr="002C29D2">
              <w:rPr>
                <w:sz w:val="20"/>
                <w:szCs w:val="20"/>
              </w:rPr>
              <w:t>p</w:t>
            </w:r>
          </w:p>
        </w:tc>
        <w:tc>
          <w:tcPr>
            <w:tcW w:w="1201" w:type="dxa"/>
            <w:shd w:val="clear" w:color="auto" w:fill="auto"/>
            <w:noWrap/>
            <w:vAlign w:val="center"/>
          </w:tcPr>
          <w:p w14:paraId="7B0DA58F" w14:textId="77777777" w:rsidR="00626FF9" w:rsidRPr="002C29D2" w:rsidRDefault="00626FF9" w:rsidP="00626FF9">
            <w:pPr>
              <w:jc w:val="center"/>
              <w:rPr>
                <w:sz w:val="20"/>
                <w:szCs w:val="20"/>
              </w:rPr>
            </w:pPr>
            <w:r w:rsidRPr="002C29D2">
              <w:rPr>
                <w:sz w:val="20"/>
                <w:szCs w:val="20"/>
              </w:rPr>
              <w:t>T statistics</w:t>
            </w:r>
          </w:p>
        </w:tc>
        <w:tc>
          <w:tcPr>
            <w:tcW w:w="1067" w:type="dxa"/>
            <w:vAlign w:val="center"/>
          </w:tcPr>
          <w:p w14:paraId="55956718" w14:textId="77777777" w:rsidR="00626FF9" w:rsidRPr="002C29D2" w:rsidRDefault="00626FF9" w:rsidP="00626FF9">
            <w:pPr>
              <w:jc w:val="center"/>
              <w:rPr>
                <w:sz w:val="20"/>
                <w:szCs w:val="20"/>
              </w:rPr>
            </w:pPr>
            <w:r w:rsidRPr="002C29D2">
              <w:rPr>
                <w:sz w:val="20"/>
                <w:szCs w:val="20"/>
              </w:rPr>
              <w:t>p</w:t>
            </w:r>
          </w:p>
        </w:tc>
      </w:tr>
      <w:tr w:rsidR="002C29D2" w:rsidRPr="002C29D2" w14:paraId="34A4D088" w14:textId="77777777" w:rsidTr="00626FF9">
        <w:trPr>
          <w:trHeight w:val="320"/>
        </w:trPr>
        <w:tc>
          <w:tcPr>
            <w:tcW w:w="1435" w:type="dxa"/>
            <w:shd w:val="clear" w:color="auto" w:fill="auto"/>
            <w:noWrap/>
            <w:vAlign w:val="center"/>
          </w:tcPr>
          <w:p w14:paraId="399FC5C7" w14:textId="77777777" w:rsidR="00626FF9" w:rsidRPr="002C29D2" w:rsidRDefault="00626FF9" w:rsidP="00626FF9">
            <w:pPr>
              <w:rPr>
                <w:sz w:val="20"/>
                <w:szCs w:val="20"/>
              </w:rPr>
            </w:pPr>
            <w:r w:rsidRPr="002C29D2">
              <w:rPr>
                <w:sz w:val="20"/>
                <w:szCs w:val="20"/>
              </w:rPr>
              <w:t>AU -&gt; ATA</w:t>
            </w:r>
          </w:p>
        </w:tc>
        <w:tc>
          <w:tcPr>
            <w:tcW w:w="970" w:type="dxa"/>
            <w:shd w:val="clear" w:color="auto" w:fill="auto"/>
            <w:noWrap/>
            <w:vAlign w:val="bottom"/>
          </w:tcPr>
          <w:p w14:paraId="41732EBF" w14:textId="77777777" w:rsidR="00626FF9" w:rsidRPr="002C29D2" w:rsidRDefault="00626FF9" w:rsidP="00B63C4D">
            <w:pPr>
              <w:jc w:val="center"/>
              <w:rPr>
                <w:sz w:val="20"/>
                <w:szCs w:val="20"/>
              </w:rPr>
            </w:pPr>
            <w:r w:rsidRPr="002C29D2">
              <w:rPr>
                <w:sz w:val="20"/>
                <w:szCs w:val="20"/>
              </w:rPr>
              <w:t>-0.165</w:t>
            </w:r>
          </w:p>
        </w:tc>
        <w:tc>
          <w:tcPr>
            <w:tcW w:w="1134" w:type="dxa"/>
            <w:shd w:val="clear" w:color="auto" w:fill="auto"/>
            <w:noWrap/>
            <w:vAlign w:val="bottom"/>
          </w:tcPr>
          <w:p w14:paraId="7AD52BDA" w14:textId="77777777" w:rsidR="00626FF9" w:rsidRPr="002C29D2" w:rsidRDefault="00626FF9" w:rsidP="00B63C4D">
            <w:pPr>
              <w:jc w:val="center"/>
              <w:rPr>
                <w:sz w:val="20"/>
                <w:szCs w:val="20"/>
              </w:rPr>
            </w:pPr>
            <w:r w:rsidRPr="002C29D2">
              <w:rPr>
                <w:sz w:val="20"/>
                <w:szCs w:val="20"/>
              </w:rPr>
              <w:t>2.160</w:t>
            </w:r>
          </w:p>
        </w:tc>
        <w:tc>
          <w:tcPr>
            <w:tcW w:w="992" w:type="dxa"/>
            <w:vAlign w:val="bottom"/>
          </w:tcPr>
          <w:p w14:paraId="5F003B8F" w14:textId="77777777" w:rsidR="00626FF9" w:rsidRPr="002C29D2" w:rsidRDefault="00626FF9" w:rsidP="00B63C4D">
            <w:pPr>
              <w:jc w:val="center"/>
              <w:rPr>
                <w:sz w:val="20"/>
                <w:szCs w:val="20"/>
              </w:rPr>
            </w:pPr>
            <w:r w:rsidRPr="002C29D2">
              <w:rPr>
                <w:sz w:val="20"/>
                <w:szCs w:val="20"/>
              </w:rPr>
              <w:t>0.031</w:t>
            </w:r>
          </w:p>
        </w:tc>
        <w:tc>
          <w:tcPr>
            <w:tcW w:w="992" w:type="dxa"/>
            <w:shd w:val="clear" w:color="auto" w:fill="auto"/>
            <w:noWrap/>
            <w:vAlign w:val="bottom"/>
          </w:tcPr>
          <w:p w14:paraId="26F9D669" w14:textId="77777777" w:rsidR="00626FF9" w:rsidRPr="002C29D2" w:rsidRDefault="00626FF9" w:rsidP="00B63C4D">
            <w:pPr>
              <w:jc w:val="center"/>
              <w:rPr>
                <w:sz w:val="20"/>
                <w:szCs w:val="20"/>
              </w:rPr>
            </w:pPr>
            <w:r w:rsidRPr="002C29D2">
              <w:rPr>
                <w:sz w:val="20"/>
                <w:szCs w:val="20"/>
              </w:rPr>
              <w:t>0.030</w:t>
            </w:r>
          </w:p>
        </w:tc>
        <w:tc>
          <w:tcPr>
            <w:tcW w:w="1122" w:type="dxa"/>
            <w:shd w:val="clear" w:color="auto" w:fill="auto"/>
            <w:noWrap/>
            <w:vAlign w:val="bottom"/>
          </w:tcPr>
          <w:p w14:paraId="59A33E7A" w14:textId="77777777" w:rsidR="00626FF9" w:rsidRPr="002C29D2" w:rsidRDefault="00626FF9" w:rsidP="00B63C4D">
            <w:pPr>
              <w:jc w:val="center"/>
              <w:rPr>
                <w:sz w:val="20"/>
                <w:szCs w:val="20"/>
              </w:rPr>
            </w:pPr>
            <w:r w:rsidRPr="002C29D2">
              <w:rPr>
                <w:sz w:val="20"/>
                <w:szCs w:val="20"/>
              </w:rPr>
              <w:t>0.338</w:t>
            </w:r>
          </w:p>
        </w:tc>
        <w:tc>
          <w:tcPr>
            <w:tcW w:w="863" w:type="dxa"/>
            <w:vAlign w:val="bottom"/>
          </w:tcPr>
          <w:p w14:paraId="66A0C155" w14:textId="77777777" w:rsidR="00626FF9" w:rsidRPr="002C29D2" w:rsidRDefault="00626FF9" w:rsidP="00B63C4D">
            <w:pPr>
              <w:jc w:val="center"/>
              <w:rPr>
                <w:sz w:val="20"/>
                <w:szCs w:val="20"/>
              </w:rPr>
            </w:pPr>
            <w:r w:rsidRPr="002C29D2">
              <w:rPr>
                <w:sz w:val="20"/>
                <w:szCs w:val="20"/>
              </w:rPr>
              <w:t>0.735</w:t>
            </w:r>
          </w:p>
        </w:tc>
        <w:tc>
          <w:tcPr>
            <w:tcW w:w="1201" w:type="dxa"/>
            <w:shd w:val="clear" w:color="auto" w:fill="auto"/>
            <w:noWrap/>
            <w:vAlign w:val="bottom"/>
          </w:tcPr>
          <w:p w14:paraId="4025D31D" w14:textId="77777777" w:rsidR="00626FF9" w:rsidRPr="002C29D2" w:rsidRDefault="00626FF9" w:rsidP="00B63C4D">
            <w:pPr>
              <w:jc w:val="center"/>
              <w:rPr>
                <w:sz w:val="20"/>
                <w:szCs w:val="20"/>
              </w:rPr>
            </w:pPr>
            <w:r w:rsidRPr="002C29D2">
              <w:rPr>
                <w:sz w:val="20"/>
                <w:szCs w:val="20"/>
              </w:rPr>
              <w:t>1.658</w:t>
            </w:r>
          </w:p>
        </w:tc>
        <w:tc>
          <w:tcPr>
            <w:tcW w:w="1067" w:type="dxa"/>
            <w:vAlign w:val="bottom"/>
          </w:tcPr>
          <w:p w14:paraId="0620D555" w14:textId="77777777" w:rsidR="00626FF9" w:rsidRPr="002C29D2" w:rsidRDefault="00626FF9" w:rsidP="00B63C4D">
            <w:pPr>
              <w:jc w:val="center"/>
              <w:rPr>
                <w:sz w:val="20"/>
                <w:szCs w:val="20"/>
              </w:rPr>
            </w:pPr>
            <w:r w:rsidRPr="002C29D2">
              <w:rPr>
                <w:sz w:val="20"/>
                <w:szCs w:val="20"/>
              </w:rPr>
              <w:t>0.099</w:t>
            </w:r>
          </w:p>
        </w:tc>
      </w:tr>
      <w:tr w:rsidR="002C29D2" w:rsidRPr="002C29D2" w14:paraId="0A9A358D" w14:textId="77777777" w:rsidTr="00626FF9">
        <w:trPr>
          <w:trHeight w:val="320"/>
        </w:trPr>
        <w:tc>
          <w:tcPr>
            <w:tcW w:w="1435" w:type="dxa"/>
            <w:shd w:val="clear" w:color="auto" w:fill="auto"/>
            <w:noWrap/>
            <w:vAlign w:val="center"/>
          </w:tcPr>
          <w:p w14:paraId="31E0C327" w14:textId="77777777" w:rsidR="00626FF9" w:rsidRPr="002C29D2" w:rsidRDefault="00626FF9" w:rsidP="00626FF9">
            <w:pPr>
              <w:rPr>
                <w:sz w:val="20"/>
                <w:szCs w:val="20"/>
              </w:rPr>
            </w:pPr>
            <w:r w:rsidRPr="002C29D2">
              <w:rPr>
                <w:sz w:val="20"/>
                <w:szCs w:val="20"/>
              </w:rPr>
              <w:t>AU -&gt; ENG</w:t>
            </w:r>
          </w:p>
        </w:tc>
        <w:tc>
          <w:tcPr>
            <w:tcW w:w="970" w:type="dxa"/>
            <w:shd w:val="clear" w:color="auto" w:fill="auto"/>
            <w:noWrap/>
            <w:vAlign w:val="bottom"/>
          </w:tcPr>
          <w:p w14:paraId="16AB8F87" w14:textId="77777777" w:rsidR="00626FF9" w:rsidRPr="002C29D2" w:rsidRDefault="00626FF9" w:rsidP="00B63C4D">
            <w:pPr>
              <w:jc w:val="center"/>
              <w:rPr>
                <w:sz w:val="20"/>
                <w:szCs w:val="20"/>
              </w:rPr>
            </w:pPr>
            <w:r w:rsidRPr="002C29D2">
              <w:rPr>
                <w:sz w:val="20"/>
                <w:szCs w:val="20"/>
              </w:rPr>
              <w:t>0.161</w:t>
            </w:r>
          </w:p>
        </w:tc>
        <w:tc>
          <w:tcPr>
            <w:tcW w:w="1134" w:type="dxa"/>
            <w:shd w:val="clear" w:color="auto" w:fill="auto"/>
            <w:noWrap/>
            <w:vAlign w:val="bottom"/>
          </w:tcPr>
          <w:p w14:paraId="4EADF825" w14:textId="77777777" w:rsidR="00626FF9" w:rsidRPr="002C29D2" w:rsidRDefault="00626FF9" w:rsidP="00B63C4D">
            <w:pPr>
              <w:jc w:val="center"/>
              <w:rPr>
                <w:sz w:val="20"/>
                <w:szCs w:val="20"/>
              </w:rPr>
            </w:pPr>
            <w:r w:rsidRPr="002C29D2">
              <w:rPr>
                <w:sz w:val="20"/>
                <w:szCs w:val="20"/>
              </w:rPr>
              <w:t>2.247</w:t>
            </w:r>
          </w:p>
        </w:tc>
        <w:tc>
          <w:tcPr>
            <w:tcW w:w="992" w:type="dxa"/>
            <w:vAlign w:val="bottom"/>
          </w:tcPr>
          <w:p w14:paraId="031595F0" w14:textId="77777777" w:rsidR="00626FF9" w:rsidRPr="002C29D2" w:rsidRDefault="00626FF9" w:rsidP="00B63C4D">
            <w:pPr>
              <w:jc w:val="center"/>
              <w:rPr>
                <w:sz w:val="20"/>
                <w:szCs w:val="20"/>
              </w:rPr>
            </w:pPr>
            <w:r w:rsidRPr="002C29D2">
              <w:rPr>
                <w:sz w:val="20"/>
                <w:szCs w:val="20"/>
              </w:rPr>
              <w:t>0.025</w:t>
            </w:r>
          </w:p>
        </w:tc>
        <w:tc>
          <w:tcPr>
            <w:tcW w:w="992" w:type="dxa"/>
            <w:shd w:val="clear" w:color="auto" w:fill="auto"/>
            <w:noWrap/>
            <w:vAlign w:val="bottom"/>
          </w:tcPr>
          <w:p w14:paraId="6E25BA47" w14:textId="77777777" w:rsidR="00626FF9" w:rsidRPr="002C29D2" w:rsidRDefault="00626FF9" w:rsidP="00B63C4D">
            <w:pPr>
              <w:jc w:val="center"/>
              <w:rPr>
                <w:sz w:val="20"/>
                <w:szCs w:val="20"/>
              </w:rPr>
            </w:pPr>
            <w:r w:rsidRPr="002C29D2">
              <w:rPr>
                <w:sz w:val="20"/>
                <w:szCs w:val="20"/>
              </w:rPr>
              <w:t>0.185</w:t>
            </w:r>
          </w:p>
        </w:tc>
        <w:tc>
          <w:tcPr>
            <w:tcW w:w="1122" w:type="dxa"/>
            <w:shd w:val="clear" w:color="auto" w:fill="auto"/>
            <w:noWrap/>
            <w:vAlign w:val="bottom"/>
          </w:tcPr>
          <w:p w14:paraId="38682870" w14:textId="77777777" w:rsidR="00626FF9" w:rsidRPr="002C29D2" w:rsidRDefault="00626FF9" w:rsidP="00B63C4D">
            <w:pPr>
              <w:jc w:val="center"/>
              <w:rPr>
                <w:sz w:val="20"/>
                <w:szCs w:val="20"/>
              </w:rPr>
            </w:pPr>
            <w:r w:rsidRPr="002C29D2">
              <w:rPr>
                <w:sz w:val="20"/>
                <w:szCs w:val="20"/>
              </w:rPr>
              <w:t>2.964</w:t>
            </w:r>
          </w:p>
        </w:tc>
        <w:tc>
          <w:tcPr>
            <w:tcW w:w="863" w:type="dxa"/>
            <w:vAlign w:val="bottom"/>
          </w:tcPr>
          <w:p w14:paraId="0EE417CC" w14:textId="77777777" w:rsidR="00626FF9" w:rsidRPr="002C29D2" w:rsidRDefault="00626FF9" w:rsidP="00B63C4D">
            <w:pPr>
              <w:jc w:val="center"/>
              <w:rPr>
                <w:sz w:val="20"/>
                <w:szCs w:val="20"/>
              </w:rPr>
            </w:pPr>
            <w:r w:rsidRPr="002C29D2">
              <w:rPr>
                <w:sz w:val="20"/>
                <w:szCs w:val="20"/>
              </w:rPr>
              <w:t>0.003</w:t>
            </w:r>
          </w:p>
        </w:tc>
        <w:tc>
          <w:tcPr>
            <w:tcW w:w="1201" w:type="dxa"/>
            <w:shd w:val="clear" w:color="auto" w:fill="auto"/>
            <w:noWrap/>
            <w:vAlign w:val="bottom"/>
          </w:tcPr>
          <w:p w14:paraId="5F71AF0B" w14:textId="77777777" w:rsidR="00626FF9" w:rsidRPr="002C29D2" w:rsidRDefault="00626FF9" w:rsidP="00B63C4D">
            <w:pPr>
              <w:jc w:val="center"/>
              <w:rPr>
                <w:sz w:val="20"/>
                <w:szCs w:val="20"/>
              </w:rPr>
            </w:pPr>
            <w:r w:rsidRPr="002C29D2">
              <w:rPr>
                <w:sz w:val="20"/>
                <w:szCs w:val="20"/>
              </w:rPr>
              <w:t>0.248</w:t>
            </w:r>
          </w:p>
        </w:tc>
        <w:tc>
          <w:tcPr>
            <w:tcW w:w="1067" w:type="dxa"/>
            <w:vAlign w:val="bottom"/>
          </w:tcPr>
          <w:p w14:paraId="27553335" w14:textId="77777777" w:rsidR="00626FF9" w:rsidRPr="002C29D2" w:rsidRDefault="00626FF9" w:rsidP="00B63C4D">
            <w:pPr>
              <w:jc w:val="center"/>
              <w:rPr>
                <w:sz w:val="20"/>
                <w:szCs w:val="20"/>
              </w:rPr>
            </w:pPr>
            <w:r w:rsidRPr="002C29D2">
              <w:rPr>
                <w:sz w:val="20"/>
                <w:szCs w:val="20"/>
              </w:rPr>
              <w:t>0.804</w:t>
            </w:r>
          </w:p>
        </w:tc>
      </w:tr>
      <w:tr w:rsidR="002C29D2" w:rsidRPr="002C29D2" w14:paraId="517CCD27" w14:textId="77777777" w:rsidTr="00626FF9">
        <w:trPr>
          <w:trHeight w:val="320"/>
        </w:trPr>
        <w:tc>
          <w:tcPr>
            <w:tcW w:w="1435" w:type="dxa"/>
            <w:shd w:val="clear" w:color="auto" w:fill="auto"/>
            <w:noWrap/>
            <w:vAlign w:val="center"/>
          </w:tcPr>
          <w:p w14:paraId="590505AA" w14:textId="77777777" w:rsidR="00626FF9" w:rsidRPr="002C29D2" w:rsidRDefault="00626FF9" w:rsidP="00626FF9">
            <w:pPr>
              <w:rPr>
                <w:sz w:val="20"/>
                <w:szCs w:val="20"/>
              </w:rPr>
            </w:pPr>
            <w:r w:rsidRPr="002C29D2">
              <w:rPr>
                <w:sz w:val="20"/>
                <w:szCs w:val="20"/>
              </w:rPr>
              <w:t>AU -&gt; SAT</w:t>
            </w:r>
          </w:p>
        </w:tc>
        <w:tc>
          <w:tcPr>
            <w:tcW w:w="970" w:type="dxa"/>
            <w:shd w:val="clear" w:color="auto" w:fill="auto"/>
            <w:noWrap/>
            <w:vAlign w:val="bottom"/>
          </w:tcPr>
          <w:p w14:paraId="30B72160" w14:textId="77777777" w:rsidR="00626FF9" w:rsidRPr="002C29D2" w:rsidRDefault="00626FF9" w:rsidP="00B63C4D">
            <w:pPr>
              <w:jc w:val="center"/>
              <w:rPr>
                <w:sz w:val="20"/>
                <w:szCs w:val="20"/>
              </w:rPr>
            </w:pPr>
            <w:r w:rsidRPr="002C29D2">
              <w:rPr>
                <w:sz w:val="20"/>
                <w:szCs w:val="20"/>
              </w:rPr>
              <w:t>0.053</w:t>
            </w:r>
          </w:p>
        </w:tc>
        <w:tc>
          <w:tcPr>
            <w:tcW w:w="1134" w:type="dxa"/>
            <w:shd w:val="clear" w:color="auto" w:fill="auto"/>
            <w:noWrap/>
            <w:vAlign w:val="bottom"/>
          </w:tcPr>
          <w:p w14:paraId="7C8838D0" w14:textId="77777777" w:rsidR="00626FF9" w:rsidRPr="002C29D2" w:rsidRDefault="00626FF9" w:rsidP="00B63C4D">
            <w:pPr>
              <w:jc w:val="center"/>
              <w:rPr>
                <w:sz w:val="20"/>
                <w:szCs w:val="20"/>
              </w:rPr>
            </w:pPr>
            <w:r w:rsidRPr="002C29D2">
              <w:rPr>
                <w:sz w:val="20"/>
                <w:szCs w:val="20"/>
              </w:rPr>
              <w:t>0.738</w:t>
            </w:r>
          </w:p>
        </w:tc>
        <w:tc>
          <w:tcPr>
            <w:tcW w:w="992" w:type="dxa"/>
            <w:vAlign w:val="bottom"/>
          </w:tcPr>
          <w:p w14:paraId="10F874B5" w14:textId="77777777" w:rsidR="00626FF9" w:rsidRPr="002C29D2" w:rsidRDefault="00626FF9" w:rsidP="00B63C4D">
            <w:pPr>
              <w:jc w:val="center"/>
              <w:rPr>
                <w:sz w:val="20"/>
                <w:szCs w:val="20"/>
              </w:rPr>
            </w:pPr>
            <w:r w:rsidRPr="002C29D2">
              <w:rPr>
                <w:sz w:val="20"/>
                <w:szCs w:val="20"/>
              </w:rPr>
              <w:t>0.460</w:t>
            </w:r>
          </w:p>
        </w:tc>
        <w:tc>
          <w:tcPr>
            <w:tcW w:w="992" w:type="dxa"/>
            <w:shd w:val="clear" w:color="auto" w:fill="auto"/>
            <w:noWrap/>
            <w:vAlign w:val="bottom"/>
          </w:tcPr>
          <w:p w14:paraId="26A20205" w14:textId="77777777" w:rsidR="00626FF9" w:rsidRPr="002C29D2" w:rsidRDefault="00626FF9" w:rsidP="00B63C4D">
            <w:pPr>
              <w:jc w:val="center"/>
              <w:rPr>
                <w:sz w:val="20"/>
                <w:szCs w:val="20"/>
              </w:rPr>
            </w:pPr>
            <w:r w:rsidRPr="002C29D2">
              <w:rPr>
                <w:sz w:val="20"/>
                <w:szCs w:val="20"/>
              </w:rPr>
              <w:t>0.048</w:t>
            </w:r>
          </w:p>
        </w:tc>
        <w:tc>
          <w:tcPr>
            <w:tcW w:w="1122" w:type="dxa"/>
            <w:shd w:val="clear" w:color="auto" w:fill="auto"/>
            <w:noWrap/>
            <w:vAlign w:val="bottom"/>
          </w:tcPr>
          <w:p w14:paraId="3034517C" w14:textId="77777777" w:rsidR="00626FF9" w:rsidRPr="002C29D2" w:rsidRDefault="00626FF9" w:rsidP="00B63C4D">
            <w:pPr>
              <w:jc w:val="center"/>
              <w:rPr>
                <w:sz w:val="20"/>
                <w:szCs w:val="20"/>
              </w:rPr>
            </w:pPr>
            <w:r w:rsidRPr="002C29D2">
              <w:rPr>
                <w:sz w:val="20"/>
                <w:szCs w:val="20"/>
              </w:rPr>
              <w:t>0.715</w:t>
            </w:r>
          </w:p>
        </w:tc>
        <w:tc>
          <w:tcPr>
            <w:tcW w:w="863" w:type="dxa"/>
            <w:vAlign w:val="bottom"/>
          </w:tcPr>
          <w:p w14:paraId="6226C974" w14:textId="77777777" w:rsidR="00626FF9" w:rsidRPr="002C29D2" w:rsidRDefault="00626FF9" w:rsidP="00B63C4D">
            <w:pPr>
              <w:jc w:val="center"/>
              <w:rPr>
                <w:sz w:val="20"/>
                <w:szCs w:val="20"/>
              </w:rPr>
            </w:pPr>
            <w:r w:rsidRPr="002C29D2">
              <w:rPr>
                <w:sz w:val="20"/>
                <w:szCs w:val="20"/>
              </w:rPr>
              <w:t>0.475</w:t>
            </w:r>
          </w:p>
        </w:tc>
        <w:tc>
          <w:tcPr>
            <w:tcW w:w="1201" w:type="dxa"/>
            <w:shd w:val="clear" w:color="auto" w:fill="auto"/>
            <w:noWrap/>
            <w:vAlign w:val="bottom"/>
          </w:tcPr>
          <w:p w14:paraId="050B44F4" w14:textId="77777777" w:rsidR="00626FF9" w:rsidRPr="002C29D2" w:rsidRDefault="00626FF9" w:rsidP="00B63C4D">
            <w:pPr>
              <w:jc w:val="center"/>
              <w:rPr>
                <w:sz w:val="20"/>
                <w:szCs w:val="20"/>
              </w:rPr>
            </w:pPr>
            <w:r w:rsidRPr="002C29D2">
              <w:rPr>
                <w:sz w:val="20"/>
                <w:szCs w:val="20"/>
              </w:rPr>
              <w:t>0.047</w:t>
            </w:r>
          </w:p>
        </w:tc>
        <w:tc>
          <w:tcPr>
            <w:tcW w:w="1067" w:type="dxa"/>
            <w:vAlign w:val="bottom"/>
          </w:tcPr>
          <w:p w14:paraId="1C610801" w14:textId="77777777" w:rsidR="00626FF9" w:rsidRPr="002C29D2" w:rsidRDefault="00626FF9" w:rsidP="00B63C4D">
            <w:pPr>
              <w:jc w:val="center"/>
              <w:rPr>
                <w:sz w:val="20"/>
                <w:szCs w:val="20"/>
              </w:rPr>
            </w:pPr>
            <w:r w:rsidRPr="002C29D2">
              <w:rPr>
                <w:sz w:val="20"/>
                <w:szCs w:val="20"/>
              </w:rPr>
              <w:t>0.962</w:t>
            </w:r>
          </w:p>
        </w:tc>
      </w:tr>
      <w:tr w:rsidR="002C29D2" w:rsidRPr="002C29D2" w14:paraId="1CBF60F3" w14:textId="77777777" w:rsidTr="00626FF9">
        <w:trPr>
          <w:trHeight w:val="320"/>
        </w:trPr>
        <w:tc>
          <w:tcPr>
            <w:tcW w:w="1435" w:type="dxa"/>
            <w:shd w:val="clear" w:color="auto" w:fill="auto"/>
            <w:noWrap/>
            <w:vAlign w:val="center"/>
          </w:tcPr>
          <w:p w14:paraId="3BD73340" w14:textId="77777777" w:rsidR="00626FF9" w:rsidRPr="002C29D2" w:rsidRDefault="00626FF9" w:rsidP="00626FF9">
            <w:pPr>
              <w:rPr>
                <w:sz w:val="20"/>
                <w:szCs w:val="20"/>
              </w:rPr>
            </w:pPr>
            <w:r w:rsidRPr="002C29D2">
              <w:rPr>
                <w:sz w:val="20"/>
                <w:szCs w:val="20"/>
              </w:rPr>
              <w:t>AU -&gt; UI</w:t>
            </w:r>
          </w:p>
        </w:tc>
        <w:tc>
          <w:tcPr>
            <w:tcW w:w="970" w:type="dxa"/>
            <w:shd w:val="clear" w:color="auto" w:fill="auto"/>
            <w:noWrap/>
            <w:vAlign w:val="bottom"/>
          </w:tcPr>
          <w:p w14:paraId="49D5EF2C" w14:textId="77777777" w:rsidR="00626FF9" w:rsidRPr="002C29D2" w:rsidRDefault="00626FF9" w:rsidP="00B63C4D">
            <w:pPr>
              <w:jc w:val="center"/>
              <w:rPr>
                <w:sz w:val="20"/>
                <w:szCs w:val="20"/>
              </w:rPr>
            </w:pPr>
            <w:r w:rsidRPr="002C29D2">
              <w:rPr>
                <w:sz w:val="20"/>
                <w:szCs w:val="20"/>
              </w:rPr>
              <w:t>-0.031</w:t>
            </w:r>
          </w:p>
        </w:tc>
        <w:tc>
          <w:tcPr>
            <w:tcW w:w="1134" w:type="dxa"/>
            <w:shd w:val="clear" w:color="auto" w:fill="auto"/>
            <w:noWrap/>
            <w:vAlign w:val="bottom"/>
          </w:tcPr>
          <w:p w14:paraId="2F454B6B" w14:textId="77777777" w:rsidR="00626FF9" w:rsidRPr="002C29D2" w:rsidRDefault="00626FF9" w:rsidP="00B63C4D">
            <w:pPr>
              <w:jc w:val="center"/>
              <w:rPr>
                <w:sz w:val="20"/>
                <w:szCs w:val="20"/>
              </w:rPr>
            </w:pPr>
            <w:r w:rsidRPr="002C29D2">
              <w:rPr>
                <w:sz w:val="20"/>
                <w:szCs w:val="20"/>
              </w:rPr>
              <w:t>0.412</w:t>
            </w:r>
          </w:p>
        </w:tc>
        <w:tc>
          <w:tcPr>
            <w:tcW w:w="992" w:type="dxa"/>
            <w:vAlign w:val="bottom"/>
          </w:tcPr>
          <w:p w14:paraId="106B18F2" w14:textId="77777777" w:rsidR="00626FF9" w:rsidRPr="002C29D2" w:rsidRDefault="00626FF9" w:rsidP="00B63C4D">
            <w:pPr>
              <w:jc w:val="center"/>
              <w:rPr>
                <w:sz w:val="20"/>
                <w:szCs w:val="20"/>
              </w:rPr>
            </w:pPr>
            <w:r w:rsidRPr="002C29D2">
              <w:rPr>
                <w:sz w:val="20"/>
                <w:szCs w:val="20"/>
              </w:rPr>
              <w:t>0.680</w:t>
            </w:r>
          </w:p>
        </w:tc>
        <w:tc>
          <w:tcPr>
            <w:tcW w:w="992" w:type="dxa"/>
            <w:shd w:val="clear" w:color="auto" w:fill="auto"/>
            <w:noWrap/>
            <w:vAlign w:val="bottom"/>
          </w:tcPr>
          <w:p w14:paraId="77A8C3EB" w14:textId="77777777" w:rsidR="00626FF9" w:rsidRPr="002C29D2" w:rsidRDefault="00626FF9" w:rsidP="00B63C4D">
            <w:pPr>
              <w:jc w:val="center"/>
              <w:rPr>
                <w:sz w:val="20"/>
                <w:szCs w:val="20"/>
              </w:rPr>
            </w:pPr>
            <w:r w:rsidRPr="002C29D2">
              <w:rPr>
                <w:sz w:val="20"/>
                <w:szCs w:val="20"/>
              </w:rPr>
              <w:t>0.092</w:t>
            </w:r>
          </w:p>
        </w:tc>
        <w:tc>
          <w:tcPr>
            <w:tcW w:w="1122" w:type="dxa"/>
            <w:shd w:val="clear" w:color="auto" w:fill="auto"/>
            <w:noWrap/>
            <w:vAlign w:val="bottom"/>
          </w:tcPr>
          <w:p w14:paraId="2070FD91" w14:textId="77777777" w:rsidR="00626FF9" w:rsidRPr="002C29D2" w:rsidRDefault="00626FF9" w:rsidP="00B63C4D">
            <w:pPr>
              <w:jc w:val="center"/>
              <w:rPr>
                <w:sz w:val="20"/>
                <w:szCs w:val="20"/>
              </w:rPr>
            </w:pPr>
            <w:r w:rsidRPr="002C29D2">
              <w:rPr>
                <w:sz w:val="20"/>
                <w:szCs w:val="20"/>
              </w:rPr>
              <w:t>1.283</w:t>
            </w:r>
          </w:p>
        </w:tc>
        <w:tc>
          <w:tcPr>
            <w:tcW w:w="863" w:type="dxa"/>
            <w:vAlign w:val="bottom"/>
          </w:tcPr>
          <w:p w14:paraId="29BC6C6F" w14:textId="77777777" w:rsidR="00626FF9" w:rsidRPr="002C29D2" w:rsidRDefault="00626FF9" w:rsidP="00B63C4D">
            <w:pPr>
              <w:jc w:val="center"/>
              <w:rPr>
                <w:sz w:val="20"/>
                <w:szCs w:val="20"/>
              </w:rPr>
            </w:pPr>
            <w:r w:rsidRPr="002C29D2">
              <w:rPr>
                <w:sz w:val="20"/>
                <w:szCs w:val="20"/>
              </w:rPr>
              <w:t>0.200</w:t>
            </w:r>
          </w:p>
        </w:tc>
        <w:tc>
          <w:tcPr>
            <w:tcW w:w="1201" w:type="dxa"/>
            <w:shd w:val="clear" w:color="auto" w:fill="auto"/>
            <w:noWrap/>
            <w:vAlign w:val="bottom"/>
          </w:tcPr>
          <w:p w14:paraId="3C98A01D" w14:textId="77777777" w:rsidR="00626FF9" w:rsidRPr="002C29D2" w:rsidRDefault="00626FF9" w:rsidP="00B63C4D">
            <w:pPr>
              <w:jc w:val="center"/>
              <w:rPr>
                <w:sz w:val="20"/>
                <w:szCs w:val="20"/>
              </w:rPr>
            </w:pPr>
            <w:r w:rsidRPr="002C29D2">
              <w:rPr>
                <w:sz w:val="20"/>
                <w:szCs w:val="20"/>
              </w:rPr>
              <w:t>1.184</w:t>
            </w:r>
          </w:p>
        </w:tc>
        <w:tc>
          <w:tcPr>
            <w:tcW w:w="1067" w:type="dxa"/>
            <w:vAlign w:val="bottom"/>
          </w:tcPr>
          <w:p w14:paraId="46433E71" w14:textId="77777777" w:rsidR="00626FF9" w:rsidRPr="002C29D2" w:rsidRDefault="00626FF9" w:rsidP="00B63C4D">
            <w:pPr>
              <w:jc w:val="center"/>
              <w:rPr>
                <w:sz w:val="20"/>
                <w:szCs w:val="20"/>
              </w:rPr>
            </w:pPr>
            <w:r w:rsidRPr="002C29D2">
              <w:rPr>
                <w:sz w:val="20"/>
                <w:szCs w:val="20"/>
              </w:rPr>
              <w:t>0.238</w:t>
            </w:r>
          </w:p>
        </w:tc>
      </w:tr>
      <w:tr w:rsidR="002C29D2" w:rsidRPr="002C29D2" w14:paraId="4B4658ED" w14:textId="77777777" w:rsidTr="00626FF9">
        <w:trPr>
          <w:trHeight w:val="320"/>
        </w:trPr>
        <w:tc>
          <w:tcPr>
            <w:tcW w:w="1435" w:type="dxa"/>
            <w:shd w:val="clear" w:color="auto" w:fill="auto"/>
            <w:noWrap/>
            <w:vAlign w:val="center"/>
          </w:tcPr>
          <w:p w14:paraId="74F71354" w14:textId="77777777" w:rsidR="00626FF9" w:rsidRPr="002C29D2" w:rsidRDefault="00626FF9" w:rsidP="00626FF9">
            <w:pPr>
              <w:rPr>
                <w:sz w:val="20"/>
                <w:szCs w:val="20"/>
              </w:rPr>
            </w:pPr>
            <w:r w:rsidRPr="002C29D2">
              <w:rPr>
                <w:sz w:val="20"/>
                <w:szCs w:val="20"/>
              </w:rPr>
              <w:t>BE -&gt; ATA</w:t>
            </w:r>
          </w:p>
        </w:tc>
        <w:tc>
          <w:tcPr>
            <w:tcW w:w="970" w:type="dxa"/>
            <w:shd w:val="clear" w:color="auto" w:fill="auto"/>
            <w:noWrap/>
            <w:vAlign w:val="bottom"/>
          </w:tcPr>
          <w:p w14:paraId="45AD818A" w14:textId="77777777" w:rsidR="00626FF9" w:rsidRPr="002C29D2" w:rsidRDefault="00626FF9" w:rsidP="00B63C4D">
            <w:pPr>
              <w:jc w:val="center"/>
              <w:rPr>
                <w:sz w:val="20"/>
                <w:szCs w:val="20"/>
              </w:rPr>
            </w:pPr>
            <w:r w:rsidRPr="002C29D2">
              <w:rPr>
                <w:sz w:val="20"/>
                <w:szCs w:val="20"/>
              </w:rPr>
              <w:t>0.330</w:t>
            </w:r>
          </w:p>
        </w:tc>
        <w:tc>
          <w:tcPr>
            <w:tcW w:w="1134" w:type="dxa"/>
            <w:shd w:val="clear" w:color="auto" w:fill="auto"/>
            <w:noWrap/>
            <w:vAlign w:val="bottom"/>
          </w:tcPr>
          <w:p w14:paraId="2C4F6712" w14:textId="77777777" w:rsidR="00626FF9" w:rsidRPr="002C29D2" w:rsidRDefault="00626FF9" w:rsidP="00B63C4D">
            <w:pPr>
              <w:jc w:val="center"/>
              <w:rPr>
                <w:sz w:val="20"/>
                <w:szCs w:val="20"/>
              </w:rPr>
            </w:pPr>
            <w:r w:rsidRPr="002C29D2">
              <w:rPr>
                <w:sz w:val="20"/>
                <w:szCs w:val="20"/>
              </w:rPr>
              <w:t>3.164</w:t>
            </w:r>
          </w:p>
        </w:tc>
        <w:tc>
          <w:tcPr>
            <w:tcW w:w="992" w:type="dxa"/>
            <w:vAlign w:val="bottom"/>
          </w:tcPr>
          <w:p w14:paraId="7D31F281" w14:textId="77777777" w:rsidR="00626FF9" w:rsidRPr="002C29D2" w:rsidRDefault="00626FF9" w:rsidP="00B63C4D">
            <w:pPr>
              <w:jc w:val="center"/>
              <w:rPr>
                <w:sz w:val="20"/>
                <w:szCs w:val="20"/>
              </w:rPr>
            </w:pPr>
            <w:r w:rsidRPr="002C29D2">
              <w:rPr>
                <w:sz w:val="20"/>
                <w:szCs w:val="20"/>
              </w:rPr>
              <w:t>0.002</w:t>
            </w:r>
          </w:p>
        </w:tc>
        <w:tc>
          <w:tcPr>
            <w:tcW w:w="992" w:type="dxa"/>
            <w:shd w:val="clear" w:color="auto" w:fill="auto"/>
            <w:noWrap/>
            <w:vAlign w:val="bottom"/>
          </w:tcPr>
          <w:p w14:paraId="00313E52" w14:textId="77777777" w:rsidR="00626FF9" w:rsidRPr="002C29D2" w:rsidRDefault="00626FF9" w:rsidP="00B63C4D">
            <w:pPr>
              <w:jc w:val="center"/>
              <w:rPr>
                <w:sz w:val="20"/>
                <w:szCs w:val="20"/>
              </w:rPr>
            </w:pPr>
            <w:r w:rsidRPr="002C29D2">
              <w:rPr>
                <w:sz w:val="20"/>
                <w:szCs w:val="20"/>
              </w:rPr>
              <w:t>0.074</w:t>
            </w:r>
          </w:p>
        </w:tc>
        <w:tc>
          <w:tcPr>
            <w:tcW w:w="1122" w:type="dxa"/>
            <w:shd w:val="clear" w:color="auto" w:fill="auto"/>
            <w:noWrap/>
            <w:vAlign w:val="bottom"/>
          </w:tcPr>
          <w:p w14:paraId="7C308236" w14:textId="77777777" w:rsidR="00626FF9" w:rsidRPr="002C29D2" w:rsidRDefault="00626FF9" w:rsidP="00B63C4D">
            <w:pPr>
              <w:jc w:val="center"/>
              <w:rPr>
                <w:sz w:val="20"/>
                <w:szCs w:val="20"/>
              </w:rPr>
            </w:pPr>
            <w:r w:rsidRPr="002C29D2">
              <w:rPr>
                <w:sz w:val="20"/>
                <w:szCs w:val="20"/>
              </w:rPr>
              <w:t>0.779</w:t>
            </w:r>
          </w:p>
        </w:tc>
        <w:tc>
          <w:tcPr>
            <w:tcW w:w="863" w:type="dxa"/>
            <w:vAlign w:val="bottom"/>
          </w:tcPr>
          <w:p w14:paraId="6C005B2F" w14:textId="77777777" w:rsidR="00626FF9" w:rsidRPr="002C29D2" w:rsidRDefault="00626FF9" w:rsidP="00B63C4D">
            <w:pPr>
              <w:jc w:val="center"/>
              <w:rPr>
                <w:sz w:val="20"/>
                <w:szCs w:val="20"/>
              </w:rPr>
            </w:pPr>
            <w:r w:rsidRPr="002C29D2">
              <w:rPr>
                <w:sz w:val="20"/>
                <w:szCs w:val="20"/>
              </w:rPr>
              <w:t>0.436</w:t>
            </w:r>
          </w:p>
        </w:tc>
        <w:tc>
          <w:tcPr>
            <w:tcW w:w="1201" w:type="dxa"/>
            <w:shd w:val="clear" w:color="auto" w:fill="auto"/>
            <w:noWrap/>
            <w:vAlign w:val="bottom"/>
          </w:tcPr>
          <w:p w14:paraId="64B7152E" w14:textId="77777777" w:rsidR="00626FF9" w:rsidRPr="002C29D2" w:rsidRDefault="00626FF9" w:rsidP="00B63C4D">
            <w:pPr>
              <w:jc w:val="center"/>
              <w:rPr>
                <w:sz w:val="20"/>
                <w:szCs w:val="20"/>
              </w:rPr>
            </w:pPr>
            <w:r w:rsidRPr="002C29D2">
              <w:rPr>
                <w:sz w:val="20"/>
                <w:szCs w:val="20"/>
              </w:rPr>
              <w:t>1.815</w:t>
            </w:r>
          </w:p>
        </w:tc>
        <w:tc>
          <w:tcPr>
            <w:tcW w:w="1067" w:type="dxa"/>
            <w:vAlign w:val="bottom"/>
          </w:tcPr>
          <w:p w14:paraId="5EB47055" w14:textId="77777777" w:rsidR="00626FF9" w:rsidRPr="002C29D2" w:rsidRDefault="00626FF9" w:rsidP="00B63C4D">
            <w:pPr>
              <w:jc w:val="center"/>
              <w:rPr>
                <w:sz w:val="20"/>
                <w:szCs w:val="20"/>
              </w:rPr>
            </w:pPr>
            <w:r w:rsidRPr="002C29D2">
              <w:rPr>
                <w:sz w:val="20"/>
                <w:szCs w:val="20"/>
              </w:rPr>
              <w:t>0.071</w:t>
            </w:r>
          </w:p>
        </w:tc>
      </w:tr>
      <w:tr w:rsidR="002C29D2" w:rsidRPr="002C29D2" w14:paraId="2C9470CD" w14:textId="77777777" w:rsidTr="00626FF9">
        <w:trPr>
          <w:trHeight w:val="320"/>
        </w:trPr>
        <w:tc>
          <w:tcPr>
            <w:tcW w:w="1435" w:type="dxa"/>
            <w:shd w:val="clear" w:color="auto" w:fill="auto"/>
            <w:noWrap/>
            <w:vAlign w:val="center"/>
          </w:tcPr>
          <w:p w14:paraId="64CE5316" w14:textId="77777777" w:rsidR="00626FF9" w:rsidRPr="002C29D2" w:rsidRDefault="00626FF9" w:rsidP="00626FF9">
            <w:pPr>
              <w:rPr>
                <w:sz w:val="20"/>
                <w:szCs w:val="20"/>
              </w:rPr>
            </w:pPr>
            <w:r w:rsidRPr="002C29D2">
              <w:rPr>
                <w:sz w:val="20"/>
                <w:szCs w:val="20"/>
              </w:rPr>
              <w:t>BE -&gt; ENG</w:t>
            </w:r>
          </w:p>
        </w:tc>
        <w:tc>
          <w:tcPr>
            <w:tcW w:w="970" w:type="dxa"/>
            <w:shd w:val="clear" w:color="auto" w:fill="auto"/>
            <w:noWrap/>
            <w:vAlign w:val="bottom"/>
          </w:tcPr>
          <w:p w14:paraId="5A566EC6" w14:textId="77777777" w:rsidR="00626FF9" w:rsidRPr="002C29D2" w:rsidRDefault="00626FF9" w:rsidP="00B63C4D">
            <w:pPr>
              <w:jc w:val="center"/>
              <w:rPr>
                <w:sz w:val="20"/>
                <w:szCs w:val="20"/>
              </w:rPr>
            </w:pPr>
            <w:r w:rsidRPr="002C29D2">
              <w:rPr>
                <w:sz w:val="20"/>
                <w:szCs w:val="20"/>
              </w:rPr>
              <w:t>0.243</w:t>
            </w:r>
          </w:p>
        </w:tc>
        <w:tc>
          <w:tcPr>
            <w:tcW w:w="1134" w:type="dxa"/>
            <w:shd w:val="clear" w:color="auto" w:fill="auto"/>
            <w:noWrap/>
            <w:vAlign w:val="bottom"/>
          </w:tcPr>
          <w:p w14:paraId="40E47E77" w14:textId="77777777" w:rsidR="00626FF9" w:rsidRPr="002C29D2" w:rsidRDefault="00626FF9" w:rsidP="00B63C4D">
            <w:pPr>
              <w:jc w:val="center"/>
              <w:rPr>
                <w:sz w:val="20"/>
                <w:szCs w:val="20"/>
              </w:rPr>
            </w:pPr>
            <w:r w:rsidRPr="002C29D2">
              <w:rPr>
                <w:sz w:val="20"/>
                <w:szCs w:val="20"/>
              </w:rPr>
              <w:t>3.303</w:t>
            </w:r>
          </w:p>
        </w:tc>
        <w:tc>
          <w:tcPr>
            <w:tcW w:w="992" w:type="dxa"/>
            <w:vAlign w:val="bottom"/>
          </w:tcPr>
          <w:p w14:paraId="18D48196" w14:textId="77777777" w:rsidR="00626FF9" w:rsidRPr="002C29D2" w:rsidRDefault="00626FF9" w:rsidP="00B63C4D">
            <w:pPr>
              <w:jc w:val="center"/>
              <w:rPr>
                <w:sz w:val="20"/>
                <w:szCs w:val="20"/>
              </w:rPr>
            </w:pPr>
            <w:r w:rsidRPr="002C29D2">
              <w:rPr>
                <w:sz w:val="20"/>
                <w:szCs w:val="20"/>
              </w:rPr>
              <w:t>0.001</w:t>
            </w:r>
          </w:p>
        </w:tc>
        <w:tc>
          <w:tcPr>
            <w:tcW w:w="992" w:type="dxa"/>
            <w:shd w:val="clear" w:color="auto" w:fill="auto"/>
            <w:noWrap/>
            <w:vAlign w:val="bottom"/>
          </w:tcPr>
          <w:p w14:paraId="2B7C0F9D" w14:textId="77777777" w:rsidR="00626FF9" w:rsidRPr="002C29D2" w:rsidRDefault="00626FF9" w:rsidP="00B63C4D">
            <w:pPr>
              <w:jc w:val="center"/>
              <w:rPr>
                <w:sz w:val="20"/>
                <w:szCs w:val="20"/>
              </w:rPr>
            </w:pPr>
            <w:r w:rsidRPr="002C29D2">
              <w:rPr>
                <w:sz w:val="20"/>
                <w:szCs w:val="20"/>
              </w:rPr>
              <w:t>0.327</w:t>
            </w:r>
          </w:p>
        </w:tc>
        <w:tc>
          <w:tcPr>
            <w:tcW w:w="1122" w:type="dxa"/>
            <w:shd w:val="clear" w:color="auto" w:fill="auto"/>
            <w:noWrap/>
            <w:vAlign w:val="bottom"/>
          </w:tcPr>
          <w:p w14:paraId="516FD5BF" w14:textId="77777777" w:rsidR="00626FF9" w:rsidRPr="002C29D2" w:rsidRDefault="00626FF9" w:rsidP="00B63C4D">
            <w:pPr>
              <w:jc w:val="center"/>
              <w:rPr>
                <w:sz w:val="20"/>
                <w:szCs w:val="20"/>
              </w:rPr>
            </w:pPr>
            <w:r w:rsidRPr="002C29D2">
              <w:rPr>
                <w:sz w:val="20"/>
                <w:szCs w:val="20"/>
              </w:rPr>
              <w:t>4.881</w:t>
            </w:r>
          </w:p>
        </w:tc>
        <w:tc>
          <w:tcPr>
            <w:tcW w:w="863" w:type="dxa"/>
            <w:vAlign w:val="bottom"/>
          </w:tcPr>
          <w:p w14:paraId="4A67E6D0"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tcPr>
          <w:p w14:paraId="0F0E9F05" w14:textId="77777777" w:rsidR="00626FF9" w:rsidRPr="002C29D2" w:rsidRDefault="00626FF9" w:rsidP="00B63C4D">
            <w:pPr>
              <w:jc w:val="center"/>
              <w:rPr>
                <w:sz w:val="20"/>
                <w:szCs w:val="20"/>
              </w:rPr>
            </w:pPr>
            <w:r w:rsidRPr="002C29D2">
              <w:rPr>
                <w:sz w:val="20"/>
                <w:szCs w:val="20"/>
              </w:rPr>
              <w:t>0.843</w:t>
            </w:r>
          </w:p>
        </w:tc>
        <w:tc>
          <w:tcPr>
            <w:tcW w:w="1067" w:type="dxa"/>
            <w:vAlign w:val="bottom"/>
          </w:tcPr>
          <w:p w14:paraId="3EF7340B" w14:textId="77777777" w:rsidR="00626FF9" w:rsidRPr="002C29D2" w:rsidRDefault="00626FF9" w:rsidP="00B63C4D">
            <w:pPr>
              <w:jc w:val="center"/>
              <w:rPr>
                <w:sz w:val="20"/>
                <w:szCs w:val="20"/>
              </w:rPr>
            </w:pPr>
            <w:r w:rsidRPr="002C29D2">
              <w:rPr>
                <w:sz w:val="20"/>
                <w:szCs w:val="20"/>
              </w:rPr>
              <w:t>0.400</w:t>
            </w:r>
          </w:p>
        </w:tc>
      </w:tr>
      <w:tr w:rsidR="002C29D2" w:rsidRPr="002C29D2" w14:paraId="3F0785AC" w14:textId="77777777" w:rsidTr="00626FF9">
        <w:trPr>
          <w:trHeight w:val="320"/>
        </w:trPr>
        <w:tc>
          <w:tcPr>
            <w:tcW w:w="1435" w:type="dxa"/>
            <w:shd w:val="clear" w:color="auto" w:fill="auto"/>
            <w:noWrap/>
            <w:vAlign w:val="center"/>
          </w:tcPr>
          <w:p w14:paraId="55B8240A" w14:textId="77777777" w:rsidR="00626FF9" w:rsidRPr="002C29D2" w:rsidRDefault="00626FF9" w:rsidP="00626FF9">
            <w:pPr>
              <w:rPr>
                <w:sz w:val="20"/>
                <w:szCs w:val="20"/>
              </w:rPr>
            </w:pPr>
            <w:r w:rsidRPr="002C29D2">
              <w:rPr>
                <w:sz w:val="20"/>
                <w:szCs w:val="20"/>
              </w:rPr>
              <w:t>BE -&gt; SAT</w:t>
            </w:r>
          </w:p>
        </w:tc>
        <w:tc>
          <w:tcPr>
            <w:tcW w:w="970" w:type="dxa"/>
            <w:shd w:val="clear" w:color="auto" w:fill="auto"/>
            <w:noWrap/>
            <w:vAlign w:val="bottom"/>
          </w:tcPr>
          <w:p w14:paraId="144B7CFC" w14:textId="77777777" w:rsidR="00626FF9" w:rsidRPr="002C29D2" w:rsidRDefault="00626FF9" w:rsidP="00B63C4D">
            <w:pPr>
              <w:jc w:val="center"/>
              <w:rPr>
                <w:sz w:val="20"/>
                <w:szCs w:val="20"/>
              </w:rPr>
            </w:pPr>
            <w:r w:rsidRPr="002C29D2">
              <w:rPr>
                <w:sz w:val="20"/>
                <w:szCs w:val="20"/>
              </w:rPr>
              <w:t>0.005</w:t>
            </w:r>
          </w:p>
        </w:tc>
        <w:tc>
          <w:tcPr>
            <w:tcW w:w="1134" w:type="dxa"/>
            <w:shd w:val="clear" w:color="auto" w:fill="auto"/>
            <w:noWrap/>
            <w:vAlign w:val="bottom"/>
          </w:tcPr>
          <w:p w14:paraId="2F0691DC" w14:textId="77777777" w:rsidR="00626FF9" w:rsidRPr="002C29D2" w:rsidRDefault="00626FF9" w:rsidP="00B63C4D">
            <w:pPr>
              <w:jc w:val="center"/>
              <w:rPr>
                <w:sz w:val="20"/>
                <w:szCs w:val="20"/>
              </w:rPr>
            </w:pPr>
            <w:r w:rsidRPr="002C29D2">
              <w:rPr>
                <w:sz w:val="20"/>
                <w:szCs w:val="20"/>
              </w:rPr>
              <w:t>0.058</w:t>
            </w:r>
          </w:p>
        </w:tc>
        <w:tc>
          <w:tcPr>
            <w:tcW w:w="992" w:type="dxa"/>
            <w:vAlign w:val="bottom"/>
          </w:tcPr>
          <w:p w14:paraId="2A16753F" w14:textId="77777777" w:rsidR="00626FF9" w:rsidRPr="002C29D2" w:rsidRDefault="00626FF9" w:rsidP="00B63C4D">
            <w:pPr>
              <w:jc w:val="center"/>
              <w:rPr>
                <w:sz w:val="20"/>
                <w:szCs w:val="20"/>
              </w:rPr>
            </w:pPr>
            <w:r w:rsidRPr="002C29D2">
              <w:rPr>
                <w:sz w:val="20"/>
                <w:szCs w:val="20"/>
              </w:rPr>
              <w:t>0.954</w:t>
            </w:r>
          </w:p>
        </w:tc>
        <w:tc>
          <w:tcPr>
            <w:tcW w:w="992" w:type="dxa"/>
            <w:shd w:val="clear" w:color="auto" w:fill="auto"/>
            <w:noWrap/>
            <w:vAlign w:val="bottom"/>
          </w:tcPr>
          <w:p w14:paraId="3A9CC0F0" w14:textId="77777777" w:rsidR="00626FF9" w:rsidRPr="002C29D2" w:rsidRDefault="00626FF9" w:rsidP="00B63C4D">
            <w:pPr>
              <w:jc w:val="center"/>
              <w:rPr>
                <w:sz w:val="20"/>
                <w:szCs w:val="20"/>
              </w:rPr>
            </w:pPr>
            <w:r w:rsidRPr="002C29D2">
              <w:rPr>
                <w:sz w:val="20"/>
                <w:szCs w:val="20"/>
              </w:rPr>
              <w:t>0.013</w:t>
            </w:r>
          </w:p>
        </w:tc>
        <w:tc>
          <w:tcPr>
            <w:tcW w:w="1122" w:type="dxa"/>
            <w:shd w:val="clear" w:color="auto" w:fill="auto"/>
            <w:noWrap/>
            <w:vAlign w:val="bottom"/>
          </w:tcPr>
          <w:p w14:paraId="2AA282DE" w14:textId="77777777" w:rsidR="00626FF9" w:rsidRPr="002C29D2" w:rsidRDefault="00626FF9" w:rsidP="00B63C4D">
            <w:pPr>
              <w:jc w:val="center"/>
              <w:rPr>
                <w:sz w:val="20"/>
                <w:szCs w:val="20"/>
              </w:rPr>
            </w:pPr>
            <w:r w:rsidRPr="002C29D2">
              <w:rPr>
                <w:sz w:val="20"/>
                <w:szCs w:val="20"/>
              </w:rPr>
              <w:t>0.159</w:t>
            </w:r>
          </w:p>
        </w:tc>
        <w:tc>
          <w:tcPr>
            <w:tcW w:w="863" w:type="dxa"/>
            <w:vAlign w:val="bottom"/>
          </w:tcPr>
          <w:p w14:paraId="378343A9" w14:textId="77777777" w:rsidR="00626FF9" w:rsidRPr="002C29D2" w:rsidRDefault="00626FF9" w:rsidP="00B63C4D">
            <w:pPr>
              <w:jc w:val="center"/>
              <w:rPr>
                <w:sz w:val="20"/>
                <w:szCs w:val="20"/>
              </w:rPr>
            </w:pPr>
            <w:r w:rsidRPr="002C29D2">
              <w:rPr>
                <w:sz w:val="20"/>
                <w:szCs w:val="20"/>
              </w:rPr>
              <w:t>0.874</w:t>
            </w:r>
          </w:p>
        </w:tc>
        <w:tc>
          <w:tcPr>
            <w:tcW w:w="1201" w:type="dxa"/>
            <w:shd w:val="clear" w:color="auto" w:fill="auto"/>
            <w:noWrap/>
            <w:vAlign w:val="bottom"/>
          </w:tcPr>
          <w:p w14:paraId="41C76909" w14:textId="77777777" w:rsidR="00626FF9" w:rsidRPr="002C29D2" w:rsidRDefault="00626FF9" w:rsidP="00B63C4D">
            <w:pPr>
              <w:jc w:val="center"/>
              <w:rPr>
                <w:sz w:val="20"/>
                <w:szCs w:val="20"/>
              </w:rPr>
            </w:pPr>
            <w:r w:rsidRPr="002C29D2">
              <w:rPr>
                <w:sz w:val="20"/>
                <w:szCs w:val="20"/>
              </w:rPr>
              <w:t>0.074</w:t>
            </w:r>
          </w:p>
        </w:tc>
        <w:tc>
          <w:tcPr>
            <w:tcW w:w="1067" w:type="dxa"/>
            <w:vAlign w:val="bottom"/>
          </w:tcPr>
          <w:p w14:paraId="1A15526B" w14:textId="77777777" w:rsidR="00626FF9" w:rsidRPr="002C29D2" w:rsidRDefault="00626FF9" w:rsidP="00B63C4D">
            <w:pPr>
              <w:jc w:val="center"/>
              <w:rPr>
                <w:sz w:val="20"/>
                <w:szCs w:val="20"/>
              </w:rPr>
            </w:pPr>
            <w:r w:rsidRPr="002C29D2">
              <w:rPr>
                <w:sz w:val="20"/>
                <w:szCs w:val="20"/>
              </w:rPr>
              <w:t>0.941</w:t>
            </w:r>
          </w:p>
        </w:tc>
      </w:tr>
      <w:tr w:rsidR="002C29D2" w:rsidRPr="002C29D2" w14:paraId="595E7F70" w14:textId="77777777" w:rsidTr="00626FF9">
        <w:trPr>
          <w:trHeight w:val="320"/>
        </w:trPr>
        <w:tc>
          <w:tcPr>
            <w:tcW w:w="1435" w:type="dxa"/>
            <w:shd w:val="clear" w:color="auto" w:fill="auto"/>
            <w:noWrap/>
            <w:vAlign w:val="center"/>
          </w:tcPr>
          <w:p w14:paraId="1E9FF72C" w14:textId="77777777" w:rsidR="00626FF9" w:rsidRPr="002C29D2" w:rsidRDefault="00626FF9" w:rsidP="00626FF9">
            <w:pPr>
              <w:rPr>
                <w:sz w:val="20"/>
                <w:szCs w:val="20"/>
              </w:rPr>
            </w:pPr>
            <w:r w:rsidRPr="002C29D2">
              <w:rPr>
                <w:sz w:val="20"/>
                <w:szCs w:val="20"/>
              </w:rPr>
              <w:t>BE -&gt; UI</w:t>
            </w:r>
          </w:p>
        </w:tc>
        <w:tc>
          <w:tcPr>
            <w:tcW w:w="970" w:type="dxa"/>
            <w:shd w:val="clear" w:color="auto" w:fill="auto"/>
            <w:noWrap/>
            <w:vAlign w:val="bottom"/>
          </w:tcPr>
          <w:p w14:paraId="79DA04BC" w14:textId="77777777" w:rsidR="00626FF9" w:rsidRPr="002C29D2" w:rsidRDefault="00626FF9" w:rsidP="00B63C4D">
            <w:pPr>
              <w:jc w:val="center"/>
              <w:rPr>
                <w:sz w:val="20"/>
                <w:szCs w:val="20"/>
              </w:rPr>
            </w:pPr>
            <w:r w:rsidRPr="002C29D2">
              <w:rPr>
                <w:sz w:val="20"/>
                <w:szCs w:val="20"/>
              </w:rPr>
              <w:t>0.282</w:t>
            </w:r>
          </w:p>
        </w:tc>
        <w:tc>
          <w:tcPr>
            <w:tcW w:w="1134" w:type="dxa"/>
            <w:shd w:val="clear" w:color="auto" w:fill="auto"/>
            <w:noWrap/>
            <w:vAlign w:val="bottom"/>
          </w:tcPr>
          <w:p w14:paraId="3BF49184" w14:textId="77777777" w:rsidR="00626FF9" w:rsidRPr="002C29D2" w:rsidRDefault="00626FF9" w:rsidP="00B63C4D">
            <w:pPr>
              <w:jc w:val="center"/>
              <w:rPr>
                <w:sz w:val="20"/>
                <w:szCs w:val="20"/>
              </w:rPr>
            </w:pPr>
            <w:r w:rsidRPr="002C29D2">
              <w:rPr>
                <w:sz w:val="20"/>
                <w:szCs w:val="20"/>
              </w:rPr>
              <w:t>3.385</w:t>
            </w:r>
          </w:p>
        </w:tc>
        <w:tc>
          <w:tcPr>
            <w:tcW w:w="992" w:type="dxa"/>
            <w:vAlign w:val="bottom"/>
          </w:tcPr>
          <w:p w14:paraId="307F3A1D" w14:textId="77777777" w:rsidR="00626FF9" w:rsidRPr="002C29D2" w:rsidRDefault="00626FF9" w:rsidP="00B63C4D">
            <w:pPr>
              <w:jc w:val="center"/>
              <w:rPr>
                <w:sz w:val="20"/>
                <w:szCs w:val="20"/>
              </w:rPr>
            </w:pPr>
            <w:r w:rsidRPr="002C29D2">
              <w:rPr>
                <w:sz w:val="20"/>
                <w:szCs w:val="20"/>
              </w:rPr>
              <w:t>0.001</w:t>
            </w:r>
          </w:p>
        </w:tc>
        <w:tc>
          <w:tcPr>
            <w:tcW w:w="992" w:type="dxa"/>
            <w:shd w:val="clear" w:color="auto" w:fill="auto"/>
            <w:noWrap/>
            <w:vAlign w:val="bottom"/>
          </w:tcPr>
          <w:p w14:paraId="1BE5371D" w14:textId="77777777" w:rsidR="00626FF9" w:rsidRPr="002C29D2" w:rsidRDefault="00626FF9" w:rsidP="00B63C4D">
            <w:pPr>
              <w:jc w:val="center"/>
              <w:rPr>
                <w:sz w:val="20"/>
                <w:szCs w:val="20"/>
              </w:rPr>
            </w:pPr>
            <w:r w:rsidRPr="002C29D2">
              <w:rPr>
                <w:sz w:val="20"/>
                <w:szCs w:val="20"/>
              </w:rPr>
              <w:t>0.231</w:t>
            </w:r>
          </w:p>
        </w:tc>
        <w:tc>
          <w:tcPr>
            <w:tcW w:w="1122" w:type="dxa"/>
            <w:shd w:val="clear" w:color="auto" w:fill="auto"/>
            <w:noWrap/>
            <w:vAlign w:val="bottom"/>
          </w:tcPr>
          <w:p w14:paraId="43801F70" w14:textId="77777777" w:rsidR="00626FF9" w:rsidRPr="002C29D2" w:rsidRDefault="00626FF9" w:rsidP="00B63C4D">
            <w:pPr>
              <w:jc w:val="center"/>
              <w:rPr>
                <w:sz w:val="20"/>
                <w:szCs w:val="20"/>
              </w:rPr>
            </w:pPr>
            <w:r w:rsidRPr="002C29D2">
              <w:rPr>
                <w:sz w:val="20"/>
                <w:szCs w:val="20"/>
              </w:rPr>
              <w:t>2.705</w:t>
            </w:r>
          </w:p>
        </w:tc>
        <w:tc>
          <w:tcPr>
            <w:tcW w:w="863" w:type="dxa"/>
            <w:vAlign w:val="bottom"/>
          </w:tcPr>
          <w:p w14:paraId="2542E59A" w14:textId="77777777" w:rsidR="00626FF9" w:rsidRPr="002C29D2" w:rsidRDefault="00626FF9" w:rsidP="00B63C4D">
            <w:pPr>
              <w:jc w:val="center"/>
              <w:rPr>
                <w:sz w:val="20"/>
                <w:szCs w:val="20"/>
              </w:rPr>
            </w:pPr>
            <w:r w:rsidRPr="002C29D2">
              <w:rPr>
                <w:sz w:val="20"/>
                <w:szCs w:val="20"/>
              </w:rPr>
              <w:t>0.007</w:t>
            </w:r>
          </w:p>
        </w:tc>
        <w:tc>
          <w:tcPr>
            <w:tcW w:w="1201" w:type="dxa"/>
            <w:shd w:val="clear" w:color="auto" w:fill="auto"/>
            <w:noWrap/>
            <w:vAlign w:val="bottom"/>
          </w:tcPr>
          <w:p w14:paraId="126F1D97" w14:textId="77777777" w:rsidR="00626FF9" w:rsidRPr="002C29D2" w:rsidRDefault="00626FF9" w:rsidP="00B63C4D">
            <w:pPr>
              <w:jc w:val="center"/>
              <w:rPr>
                <w:sz w:val="20"/>
                <w:szCs w:val="20"/>
              </w:rPr>
            </w:pPr>
            <w:r w:rsidRPr="002C29D2">
              <w:rPr>
                <w:sz w:val="20"/>
                <w:szCs w:val="20"/>
              </w:rPr>
              <w:t>0.429</w:t>
            </w:r>
          </w:p>
        </w:tc>
        <w:tc>
          <w:tcPr>
            <w:tcW w:w="1067" w:type="dxa"/>
            <w:vAlign w:val="bottom"/>
          </w:tcPr>
          <w:p w14:paraId="4BCED8C3" w14:textId="77777777" w:rsidR="00626FF9" w:rsidRPr="002C29D2" w:rsidRDefault="00626FF9" w:rsidP="00B63C4D">
            <w:pPr>
              <w:jc w:val="center"/>
              <w:rPr>
                <w:sz w:val="20"/>
                <w:szCs w:val="20"/>
              </w:rPr>
            </w:pPr>
            <w:r w:rsidRPr="002C29D2">
              <w:rPr>
                <w:sz w:val="20"/>
                <w:szCs w:val="20"/>
              </w:rPr>
              <w:t>0.669</w:t>
            </w:r>
          </w:p>
        </w:tc>
      </w:tr>
      <w:tr w:rsidR="002C29D2" w:rsidRPr="002C29D2" w14:paraId="4BAD7243" w14:textId="77777777" w:rsidTr="00626FF9">
        <w:trPr>
          <w:trHeight w:val="320"/>
        </w:trPr>
        <w:tc>
          <w:tcPr>
            <w:tcW w:w="1435" w:type="dxa"/>
            <w:shd w:val="clear" w:color="auto" w:fill="auto"/>
            <w:noWrap/>
            <w:vAlign w:val="center"/>
          </w:tcPr>
          <w:p w14:paraId="194BDA49" w14:textId="77777777" w:rsidR="00626FF9" w:rsidRPr="002C29D2" w:rsidRDefault="00626FF9" w:rsidP="00626FF9">
            <w:pPr>
              <w:rPr>
                <w:sz w:val="20"/>
                <w:szCs w:val="20"/>
              </w:rPr>
            </w:pPr>
            <w:r w:rsidRPr="002C29D2">
              <w:rPr>
                <w:sz w:val="20"/>
                <w:szCs w:val="20"/>
              </w:rPr>
              <w:t>ENG -&gt; ATA</w:t>
            </w:r>
          </w:p>
        </w:tc>
        <w:tc>
          <w:tcPr>
            <w:tcW w:w="970" w:type="dxa"/>
            <w:shd w:val="clear" w:color="auto" w:fill="auto"/>
            <w:noWrap/>
            <w:vAlign w:val="bottom"/>
          </w:tcPr>
          <w:p w14:paraId="0E01D9E5" w14:textId="77777777" w:rsidR="00626FF9" w:rsidRPr="002C29D2" w:rsidRDefault="00626FF9" w:rsidP="00B63C4D">
            <w:pPr>
              <w:jc w:val="center"/>
              <w:rPr>
                <w:sz w:val="20"/>
                <w:szCs w:val="20"/>
              </w:rPr>
            </w:pPr>
            <w:r w:rsidRPr="002C29D2">
              <w:rPr>
                <w:sz w:val="20"/>
                <w:szCs w:val="20"/>
              </w:rPr>
              <w:t>0.369</w:t>
            </w:r>
          </w:p>
        </w:tc>
        <w:tc>
          <w:tcPr>
            <w:tcW w:w="1134" w:type="dxa"/>
            <w:shd w:val="clear" w:color="auto" w:fill="auto"/>
            <w:noWrap/>
            <w:vAlign w:val="bottom"/>
          </w:tcPr>
          <w:p w14:paraId="7810E295" w14:textId="77777777" w:rsidR="00626FF9" w:rsidRPr="002C29D2" w:rsidRDefault="00626FF9" w:rsidP="00B63C4D">
            <w:pPr>
              <w:jc w:val="center"/>
              <w:rPr>
                <w:sz w:val="20"/>
                <w:szCs w:val="20"/>
              </w:rPr>
            </w:pPr>
            <w:r w:rsidRPr="002C29D2">
              <w:rPr>
                <w:sz w:val="20"/>
                <w:szCs w:val="20"/>
              </w:rPr>
              <w:t>3.008</w:t>
            </w:r>
          </w:p>
        </w:tc>
        <w:tc>
          <w:tcPr>
            <w:tcW w:w="992" w:type="dxa"/>
            <w:vAlign w:val="bottom"/>
          </w:tcPr>
          <w:p w14:paraId="3AD15767" w14:textId="77777777" w:rsidR="00626FF9" w:rsidRPr="002C29D2" w:rsidRDefault="00626FF9" w:rsidP="00B63C4D">
            <w:pPr>
              <w:jc w:val="center"/>
              <w:rPr>
                <w:sz w:val="20"/>
                <w:szCs w:val="20"/>
              </w:rPr>
            </w:pPr>
            <w:r w:rsidRPr="002C29D2">
              <w:rPr>
                <w:sz w:val="20"/>
                <w:szCs w:val="20"/>
              </w:rPr>
              <w:t>0.003</w:t>
            </w:r>
          </w:p>
        </w:tc>
        <w:tc>
          <w:tcPr>
            <w:tcW w:w="992" w:type="dxa"/>
            <w:shd w:val="clear" w:color="auto" w:fill="auto"/>
            <w:noWrap/>
            <w:vAlign w:val="bottom"/>
          </w:tcPr>
          <w:p w14:paraId="0C12EC34" w14:textId="77777777" w:rsidR="00626FF9" w:rsidRPr="002C29D2" w:rsidRDefault="00626FF9" w:rsidP="00B63C4D">
            <w:pPr>
              <w:jc w:val="center"/>
              <w:rPr>
                <w:sz w:val="20"/>
                <w:szCs w:val="20"/>
              </w:rPr>
            </w:pPr>
            <w:r w:rsidRPr="002C29D2">
              <w:rPr>
                <w:sz w:val="20"/>
                <w:szCs w:val="20"/>
              </w:rPr>
              <w:t>0.293</w:t>
            </w:r>
          </w:p>
        </w:tc>
        <w:tc>
          <w:tcPr>
            <w:tcW w:w="1122" w:type="dxa"/>
            <w:shd w:val="clear" w:color="auto" w:fill="auto"/>
            <w:noWrap/>
            <w:vAlign w:val="bottom"/>
          </w:tcPr>
          <w:p w14:paraId="4CFC3BF0" w14:textId="77777777" w:rsidR="00626FF9" w:rsidRPr="002C29D2" w:rsidRDefault="00626FF9" w:rsidP="00B63C4D">
            <w:pPr>
              <w:jc w:val="center"/>
              <w:rPr>
                <w:sz w:val="20"/>
                <w:szCs w:val="20"/>
              </w:rPr>
            </w:pPr>
            <w:r w:rsidRPr="002C29D2">
              <w:rPr>
                <w:sz w:val="20"/>
                <w:szCs w:val="20"/>
              </w:rPr>
              <w:t>2.668</w:t>
            </w:r>
          </w:p>
        </w:tc>
        <w:tc>
          <w:tcPr>
            <w:tcW w:w="863" w:type="dxa"/>
            <w:vAlign w:val="bottom"/>
          </w:tcPr>
          <w:p w14:paraId="0394571C" w14:textId="77777777" w:rsidR="00626FF9" w:rsidRPr="002C29D2" w:rsidRDefault="00626FF9" w:rsidP="00B63C4D">
            <w:pPr>
              <w:jc w:val="center"/>
              <w:rPr>
                <w:sz w:val="20"/>
                <w:szCs w:val="20"/>
              </w:rPr>
            </w:pPr>
            <w:r w:rsidRPr="002C29D2">
              <w:rPr>
                <w:sz w:val="20"/>
                <w:szCs w:val="20"/>
              </w:rPr>
              <w:t>0.008</w:t>
            </w:r>
          </w:p>
        </w:tc>
        <w:tc>
          <w:tcPr>
            <w:tcW w:w="1201" w:type="dxa"/>
            <w:shd w:val="clear" w:color="auto" w:fill="auto"/>
            <w:noWrap/>
            <w:vAlign w:val="bottom"/>
          </w:tcPr>
          <w:p w14:paraId="6CDE7661" w14:textId="77777777" w:rsidR="00626FF9" w:rsidRPr="002C29D2" w:rsidRDefault="00626FF9" w:rsidP="00B63C4D">
            <w:pPr>
              <w:jc w:val="center"/>
              <w:rPr>
                <w:sz w:val="20"/>
                <w:szCs w:val="20"/>
              </w:rPr>
            </w:pPr>
            <w:r w:rsidRPr="002C29D2">
              <w:rPr>
                <w:sz w:val="20"/>
                <w:szCs w:val="20"/>
              </w:rPr>
              <w:t>0.460</w:t>
            </w:r>
          </w:p>
        </w:tc>
        <w:tc>
          <w:tcPr>
            <w:tcW w:w="1067" w:type="dxa"/>
            <w:vAlign w:val="bottom"/>
          </w:tcPr>
          <w:p w14:paraId="2D7063B2" w14:textId="77777777" w:rsidR="00626FF9" w:rsidRPr="002C29D2" w:rsidRDefault="00626FF9" w:rsidP="00B63C4D">
            <w:pPr>
              <w:jc w:val="center"/>
              <w:rPr>
                <w:sz w:val="20"/>
                <w:szCs w:val="20"/>
              </w:rPr>
            </w:pPr>
            <w:r w:rsidRPr="002C29D2">
              <w:rPr>
                <w:sz w:val="20"/>
                <w:szCs w:val="20"/>
              </w:rPr>
              <w:t>0.646</w:t>
            </w:r>
          </w:p>
        </w:tc>
      </w:tr>
      <w:tr w:rsidR="002C29D2" w:rsidRPr="002C29D2" w14:paraId="5BBB6107" w14:textId="77777777" w:rsidTr="00626FF9">
        <w:trPr>
          <w:trHeight w:val="320"/>
        </w:trPr>
        <w:tc>
          <w:tcPr>
            <w:tcW w:w="1435" w:type="dxa"/>
            <w:shd w:val="clear" w:color="auto" w:fill="auto"/>
            <w:noWrap/>
            <w:vAlign w:val="center"/>
          </w:tcPr>
          <w:p w14:paraId="580562EF" w14:textId="77777777" w:rsidR="00626FF9" w:rsidRPr="002C29D2" w:rsidRDefault="00626FF9" w:rsidP="00626FF9">
            <w:pPr>
              <w:rPr>
                <w:sz w:val="20"/>
                <w:szCs w:val="20"/>
              </w:rPr>
            </w:pPr>
            <w:r w:rsidRPr="002C29D2">
              <w:rPr>
                <w:sz w:val="20"/>
                <w:szCs w:val="20"/>
              </w:rPr>
              <w:t>ENG -&gt; SAT</w:t>
            </w:r>
          </w:p>
        </w:tc>
        <w:tc>
          <w:tcPr>
            <w:tcW w:w="970" w:type="dxa"/>
            <w:shd w:val="clear" w:color="auto" w:fill="auto"/>
            <w:noWrap/>
            <w:vAlign w:val="bottom"/>
          </w:tcPr>
          <w:p w14:paraId="61B1488F" w14:textId="77777777" w:rsidR="00626FF9" w:rsidRPr="002C29D2" w:rsidRDefault="00626FF9" w:rsidP="00B63C4D">
            <w:pPr>
              <w:jc w:val="center"/>
              <w:rPr>
                <w:sz w:val="20"/>
                <w:szCs w:val="20"/>
              </w:rPr>
            </w:pPr>
            <w:r w:rsidRPr="002C29D2">
              <w:rPr>
                <w:sz w:val="20"/>
                <w:szCs w:val="20"/>
              </w:rPr>
              <w:t>0.238</w:t>
            </w:r>
          </w:p>
        </w:tc>
        <w:tc>
          <w:tcPr>
            <w:tcW w:w="1134" w:type="dxa"/>
            <w:shd w:val="clear" w:color="auto" w:fill="auto"/>
            <w:noWrap/>
            <w:vAlign w:val="bottom"/>
          </w:tcPr>
          <w:p w14:paraId="693978B4" w14:textId="77777777" w:rsidR="00626FF9" w:rsidRPr="002C29D2" w:rsidRDefault="00626FF9" w:rsidP="00B63C4D">
            <w:pPr>
              <w:jc w:val="center"/>
              <w:rPr>
                <w:sz w:val="20"/>
                <w:szCs w:val="20"/>
              </w:rPr>
            </w:pPr>
            <w:r w:rsidRPr="002C29D2">
              <w:rPr>
                <w:sz w:val="20"/>
                <w:szCs w:val="20"/>
              </w:rPr>
              <w:t>2.113</w:t>
            </w:r>
          </w:p>
        </w:tc>
        <w:tc>
          <w:tcPr>
            <w:tcW w:w="992" w:type="dxa"/>
            <w:vAlign w:val="bottom"/>
          </w:tcPr>
          <w:p w14:paraId="5CD87AAA" w14:textId="77777777" w:rsidR="00626FF9" w:rsidRPr="002C29D2" w:rsidRDefault="00626FF9" w:rsidP="00B63C4D">
            <w:pPr>
              <w:jc w:val="center"/>
              <w:rPr>
                <w:sz w:val="20"/>
                <w:szCs w:val="20"/>
              </w:rPr>
            </w:pPr>
            <w:r w:rsidRPr="002C29D2">
              <w:rPr>
                <w:sz w:val="20"/>
                <w:szCs w:val="20"/>
              </w:rPr>
              <w:t>0.035</w:t>
            </w:r>
          </w:p>
        </w:tc>
        <w:tc>
          <w:tcPr>
            <w:tcW w:w="992" w:type="dxa"/>
            <w:shd w:val="clear" w:color="auto" w:fill="auto"/>
            <w:noWrap/>
            <w:vAlign w:val="bottom"/>
          </w:tcPr>
          <w:p w14:paraId="77E6AD76" w14:textId="77777777" w:rsidR="00626FF9" w:rsidRPr="002C29D2" w:rsidRDefault="00626FF9" w:rsidP="00B63C4D">
            <w:pPr>
              <w:jc w:val="center"/>
              <w:rPr>
                <w:sz w:val="20"/>
                <w:szCs w:val="20"/>
              </w:rPr>
            </w:pPr>
            <w:r w:rsidRPr="002C29D2">
              <w:rPr>
                <w:sz w:val="20"/>
                <w:szCs w:val="20"/>
              </w:rPr>
              <w:t>0.379</w:t>
            </w:r>
          </w:p>
        </w:tc>
        <w:tc>
          <w:tcPr>
            <w:tcW w:w="1122" w:type="dxa"/>
            <w:shd w:val="clear" w:color="auto" w:fill="auto"/>
            <w:noWrap/>
            <w:vAlign w:val="bottom"/>
          </w:tcPr>
          <w:p w14:paraId="679982AC" w14:textId="77777777" w:rsidR="00626FF9" w:rsidRPr="002C29D2" w:rsidRDefault="00626FF9" w:rsidP="00B63C4D">
            <w:pPr>
              <w:jc w:val="center"/>
              <w:rPr>
                <w:sz w:val="20"/>
                <w:szCs w:val="20"/>
              </w:rPr>
            </w:pPr>
            <w:r w:rsidRPr="002C29D2">
              <w:rPr>
                <w:sz w:val="20"/>
                <w:szCs w:val="20"/>
              </w:rPr>
              <w:t>4.149</w:t>
            </w:r>
          </w:p>
        </w:tc>
        <w:tc>
          <w:tcPr>
            <w:tcW w:w="863" w:type="dxa"/>
            <w:vAlign w:val="bottom"/>
          </w:tcPr>
          <w:p w14:paraId="0736F59A"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tcPr>
          <w:p w14:paraId="6278C4BF" w14:textId="77777777" w:rsidR="00626FF9" w:rsidRPr="002C29D2" w:rsidRDefault="00626FF9" w:rsidP="00B63C4D">
            <w:pPr>
              <w:jc w:val="center"/>
              <w:rPr>
                <w:sz w:val="20"/>
                <w:szCs w:val="20"/>
              </w:rPr>
            </w:pPr>
            <w:r w:rsidRPr="002C29D2">
              <w:rPr>
                <w:sz w:val="20"/>
                <w:szCs w:val="20"/>
              </w:rPr>
              <w:t>0.971</w:t>
            </w:r>
          </w:p>
        </w:tc>
        <w:tc>
          <w:tcPr>
            <w:tcW w:w="1067" w:type="dxa"/>
            <w:vAlign w:val="bottom"/>
          </w:tcPr>
          <w:p w14:paraId="4E20CF3E" w14:textId="77777777" w:rsidR="00626FF9" w:rsidRPr="002C29D2" w:rsidRDefault="00626FF9" w:rsidP="00B63C4D">
            <w:pPr>
              <w:jc w:val="center"/>
              <w:rPr>
                <w:sz w:val="20"/>
                <w:szCs w:val="20"/>
              </w:rPr>
            </w:pPr>
            <w:r w:rsidRPr="002C29D2">
              <w:rPr>
                <w:sz w:val="20"/>
                <w:szCs w:val="20"/>
              </w:rPr>
              <w:t>0.333</w:t>
            </w:r>
          </w:p>
        </w:tc>
      </w:tr>
      <w:tr w:rsidR="002C29D2" w:rsidRPr="002C29D2" w14:paraId="6B7F40C5" w14:textId="77777777" w:rsidTr="00626FF9">
        <w:trPr>
          <w:trHeight w:val="320"/>
        </w:trPr>
        <w:tc>
          <w:tcPr>
            <w:tcW w:w="1435" w:type="dxa"/>
            <w:shd w:val="clear" w:color="auto" w:fill="auto"/>
            <w:noWrap/>
            <w:vAlign w:val="center"/>
          </w:tcPr>
          <w:p w14:paraId="3E862BC6" w14:textId="77777777" w:rsidR="00626FF9" w:rsidRPr="002C29D2" w:rsidRDefault="00626FF9" w:rsidP="00626FF9">
            <w:pPr>
              <w:rPr>
                <w:sz w:val="20"/>
                <w:szCs w:val="20"/>
              </w:rPr>
            </w:pPr>
            <w:r w:rsidRPr="002C29D2">
              <w:rPr>
                <w:sz w:val="20"/>
                <w:szCs w:val="20"/>
              </w:rPr>
              <w:lastRenderedPageBreak/>
              <w:t>ENG -&gt; UI</w:t>
            </w:r>
          </w:p>
        </w:tc>
        <w:tc>
          <w:tcPr>
            <w:tcW w:w="970" w:type="dxa"/>
            <w:shd w:val="clear" w:color="auto" w:fill="auto"/>
            <w:noWrap/>
            <w:vAlign w:val="bottom"/>
          </w:tcPr>
          <w:p w14:paraId="3C4A29CA" w14:textId="77777777" w:rsidR="00626FF9" w:rsidRPr="002C29D2" w:rsidRDefault="00626FF9" w:rsidP="00B63C4D">
            <w:pPr>
              <w:jc w:val="center"/>
              <w:rPr>
                <w:sz w:val="20"/>
                <w:szCs w:val="20"/>
              </w:rPr>
            </w:pPr>
            <w:r w:rsidRPr="002C29D2">
              <w:rPr>
                <w:sz w:val="20"/>
                <w:szCs w:val="20"/>
              </w:rPr>
              <w:t>0.472</w:t>
            </w:r>
          </w:p>
        </w:tc>
        <w:tc>
          <w:tcPr>
            <w:tcW w:w="1134" w:type="dxa"/>
            <w:shd w:val="clear" w:color="auto" w:fill="auto"/>
            <w:noWrap/>
            <w:vAlign w:val="bottom"/>
          </w:tcPr>
          <w:p w14:paraId="04320294" w14:textId="77777777" w:rsidR="00626FF9" w:rsidRPr="002C29D2" w:rsidRDefault="00626FF9" w:rsidP="00B63C4D">
            <w:pPr>
              <w:jc w:val="center"/>
              <w:rPr>
                <w:sz w:val="20"/>
                <w:szCs w:val="20"/>
              </w:rPr>
            </w:pPr>
            <w:r w:rsidRPr="002C29D2">
              <w:rPr>
                <w:sz w:val="20"/>
                <w:szCs w:val="20"/>
              </w:rPr>
              <w:t>4.143</w:t>
            </w:r>
          </w:p>
        </w:tc>
        <w:tc>
          <w:tcPr>
            <w:tcW w:w="992" w:type="dxa"/>
            <w:vAlign w:val="bottom"/>
          </w:tcPr>
          <w:p w14:paraId="0D99933A"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57B1D908" w14:textId="77777777" w:rsidR="00626FF9" w:rsidRPr="002C29D2" w:rsidRDefault="00626FF9" w:rsidP="00B63C4D">
            <w:pPr>
              <w:jc w:val="center"/>
              <w:rPr>
                <w:sz w:val="20"/>
                <w:szCs w:val="20"/>
              </w:rPr>
            </w:pPr>
            <w:r w:rsidRPr="002C29D2">
              <w:rPr>
                <w:sz w:val="20"/>
                <w:szCs w:val="20"/>
              </w:rPr>
              <w:t>0.502</w:t>
            </w:r>
          </w:p>
        </w:tc>
        <w:tc>
          <w:tcPr>
            <w:tcW w:w="1122" w:type="dxa"/>
            <w:shd w:val="clear" w:color="auto" w:fill="auto"/>
            <w:noWrap/>
            <w:vAlign w:val="bottom"/>
          </w:tcPr>
          <w:p w14:paraId="5CDFF440" w14:textId="77777777" w:rsidR="00626FF9" w:rsidRPr="002C29D2" w:rsidRDefault="00626FF9" w:rsidP="00B63C4D">
            <w:pPr>
              <w:jc w:val="center"/>
              <w:rPr>
                <w:sz w:val="20"/>
                <w:szCs w:val="20"/>
              </w:rPr>
            </w:pPr>
            <w:r w:rsidRPr="002C29D2">
              <w:rPr>
                <w:sz w:val="20"/>
                <w:szCs w:val="20"/>
              </w:rPr>
              <w:t>5.800</w:t>
            </w:r>
          </w:p>
        </w:tc>
        <w:tc>
          <w:tcPr>
            <w:tcW w:w="863" w:type="dxa"/>
            <w:vAlign w:val="bottom"/>
          </w:tcPr>
          <w:p w14:paraId="16AA2E1E"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tcPr>
          <w:p w14:paraId="19B7F9D6" w14:textId="77777777" w:rsidR="00626FF9" w:rsidRPr="002C29D2" w:rsidRDefault="00626FF9" w:rsidP="00B63C4D">
            <w:pPr>
              <w:jc w:val="center"/>
              <w:rPr>
                <w:sz w:val="20"/>
                <w:szCs w:val="20"/>
              </w:rPr>
            </w:pPr>
            <w:r w:rsidRPr="002C29D2">
              <w:rPr>
                <w:sz w:val="20"/>
                <w:szCs w:val="20"/>
              </w:rPr>
              <w:t>0.210</w:t>
            </w:r>
          </w:p>
        </w:tc>
        <w:tc>
          <w:tcPr>
            <w:tcW w:w="1067" w:type="dxa"/>
            <w:vAlign w:val="bottom"/>
          </w:tcPr>
          <w:p w14:paraId="41F83E6A" w14:textId="77777777" w:rsidR="00626FF9" w:rsidRPr="002C29D2" w:rsidRDefault="00626FF9" w:rsidP="00B63C4D">
            <w:pPr>
              <w:jc w:val="center"/>
              <w:rPr>
                <w:sz w:val="20"/>
                <w:szCs w:val="20"/>
              </w:rPr>
            </w:pPr>
            <w:r w:rsidRPr="002C29D2">
              <w:rPr>
                <w:sz w:val="20"/>
                <w:szCs w:val="20"/>
              </w:rPr>
              <w:t>0.834</w:t>
            </w:r>
          </w:p>
        </w:tc>
      </w:tr>
      <w:tr w:rsidR="002C29D2" w:rsidRPr="002C29D2" w14:paraId="6D34D7EA" w14:textId="77777777" w:rsidTr="00626FF9">
        <w:trPr>
          <w:trHeight w:val="320"/>
        </w:trPr>
        <w:tc>
          <w:tcPr>
            <w:tcW w:w="1435" w:type="dxa"/>
            <w:shd w:val="clear" w:color="auto" w:fill="auto"/>
            <w:noWrap/>
            <w:vAlign w:val="center"/>
          </w:tcPr>
          <w:p w14:paraId="0BE4C4B9" w14:textId="77777777" w:rsidR="00626FF9" w:rsidRPr="002C29D2" w:rsidRDefault="00626FF9" w:rsidP="00626FF9">
            <w:pPr>
              <w:rPr>
                <w:sz w:val="20"/>
                <w:szCs w:val="20"/>
              </w:rPr>
            </w:pPr>
            <w:r w:rsidRPr="002C29D2">
              <w:rPr>
                <w:sz w:val="20"/>
                <w:szCs w:val="20"/>
              </w:rPr>
              <w:t>EXP -&gt; ATA</w:t>
            </w:r>
          </w:p>
        </w:tc>
        <w:tc>
          <w:tcPr>
            <w:tcW w:w="970" w:type="dxa"/>
            <w:shd w:val="clear" w:color="auto" w:fill="auto"/>
            <w:noWrap/>
            <w:vAlign w:val="bottom"/>
          </w:tcPr>
          <w:p w14:paraId="625BAA1F" w14:textId="77777777" w:rsidR="00626FF9" w:rsidRPr="002C29D2" w:rsidRDefault="00626FF9" w:rsidP="00B63C4D">
            <w:pPr>
              <w:jc w:val="center"/>
              <w:rPr>
                <w:sz w:val="20"/>
                <w:szCs w:val="20"/>
              </w:rPr>
            </w:pPr>
            <w:r w:rsidRPr="002C29D2">
              <w:rPr>
                <w:sz w:val="20"/>
                <w:szCs w:val="20"/>
              </w:rPr>
              <w:t>-0.071</w:t>
            </w:r>
          </w:p>
        </w:tc>
        <w:tc>
          <w:tcPr>
            <w:tcW w:w="1134" w:type="dxa"/>
            <w:shd w:val="clear" w:color="auto" w:fill="auto"/>
            <w:noWrap/>
            <w:vAlign w:val="bottom"/>
          </w:tcPr>
          <w:p w14:paraId="719A5AF3" w14:textId="77777777" w:rsidR="00626FF9" w:rsidRPr="002C29D2" w:rsidRDefault="00626FF9" w:rsidP="00B63C4D">
            <w:pPr>
              <w:jc w:val="center"/>
              <w:rPr>
                <w:sz w:val="20"/>
                <w:szCs w:val="20"/>
              </w:rPr>
            </w:pPr>
            <w:r w:rsidRPr="002C29D2">
              <w:rPr>
                <w:sz w:val="20"/>
                <w:szCs w:val="20"/>
              </w:rPr>
              <w:t>0.787</w:t>
            </w:r>
          </w:p>
        </w:tc>
        <w:tc>
          <w:tcPr>
            <w:tcW w:w="992" w:type="dxa"/>
            <w:vAlign w:val="bottom"/>
          </w:tcPr>
          <w:p w14:paraId="49A00780" w14:textId="77777777" w:rsidR="00626FF9" w:rsidRPr="002C29D2" w:rsidRDefault="00626FF9" w:rsidP="00B63C4D">
            <w:pPr>
              <w:jc w:val="center"/>
              <w:rPr>
                <w:sz w:val="20"/>
                <w:szCs w:val="20"/>
              </w:rPr>
            </w:pPr>
            <w:r w:rsidRPr="002C29D2">
              <w:rPr>
                <w:sz w:val="20"/>
                <w:szCs w:val="20"/>
              </w:rPr>
              <w:t>0.431</w:t>
            </w:r>
          </w:p>
        </w:tc>
        <w:tc>
          <w:tcPr>
            <w:tcW w:w="992" w:type="dxa"/>
            <w:shd w:val="clear" w:color="auto" w:fill="auto"/>
            <w:noWrap/>
            <w:vAlign w:val="bottom"/>
          </w:tcPr>
          <w:p w14:paraId="1B4C90A5" w14:textId="77777777" w:rsidR="00626FF9" w:rsidRPr="002C29D2" w:rsidRDefault="00626FF9" w:rsidP="00B63C4D">
            <w:pPr>
              <w:jc w:val="center"/>
              <w:rPr>
                <w:sz w:val="20"/>
                <w:szCs w:val="20"/>
              </w:rPr>
            </w:pPr>
            <w:r w:rsidRPr="002C29D2">
              <w:rPr>
                <w:sz w:val="20"/>
                <w:szCs w:val="20"/>
              </w:rPr>
              <w:t>-0.151</w:t>
            </w:r>
          </w:p>
        </w:tc>
        <w:tc>
          <w:tcPr>
            <w:tcW w:w="1122" w:type="dxa"/>
            <w:shd w:val="clear" w:color="auto" w:fill="auto"/>
            <w:noWrap/>
            <w:vAlign w:val="bottom"/>
          </w:tcPr>
          <w:p w14:paraId="6355C6EE" w14:textId="77777777" w:rsidR="00626FF9" w:rsidRPr="002C29D2" w:rsidRDefault="00626FF9" w:rsidP="00B63C4D">
            <w:pPr>
              <w:jc w:val="center"/>
              <w:rPr>
                <w:sz w:val="20"/>
                <w:szCs w:val="20"/>
              </w:rPr>
            </w:pPr>
            <w:r w:rsidRPr="002C29D2">
              <w:rPr>
                <w:sz w:val="20"/>
                <w:szCs w:val="20"/>
              </w:rPr>
              <w:t>1.338</w:t>
            </w:r>
          </w:p>
        </w:tc>
        <w:tc>
          <w:tcPr>
            <w:tcW w:w="863" w:type="dxa"/>
            <w:vAlign w:val="bottom"/>
          </w:tcPr>
          <w:p w14:paraId="6CBD931E" w14:textId="77777777" w:rsidR="00626FF9" w:rsidRPr="002C29D2" w:rsidRDefault="00626FF9" w:rsidP="00B63C4D">
            <w:pPr>
              <w:jc w:val="center"/>
              <w:rPr>
                <w:sz w:val="20"/>
                <w:szCs w:val="20"/>
              </w:rPr>
            </w:pPr>
            <w:r w:rsidRPr="002C29D2">
              <w:rPr>
                <w:sz w:val="20"/>
                <w:szCs w:val="20"/>
              </w:rPr>
              <w:t>0.181</w:t>
            </w:r>
          </w:p>
        </w:tc>
        <w:tc>
          <w:tcPr>
            <w:tcW w:w="1201" w:type="dxa"/>
            <w:shd w:val="clear" w:color="auto" w:fill="auto"/>
            <w:noWrap/>
            <w:vAlign w:val="bottom"/>
          </w:tcPr>
          <w:p w14:paraId="3FC1CD00" w14:textId="77777777" w:rsidR="00626FF9" w:rsidRPr="002C29D2" w:rsidRDefault="00626FF9" w:rsidP="00B63C4D">
            <w:pPr>
              <w:jc w:val="center"/>
              <w:rPr>
                <w:sz w:val="20"/>
                <w:szCs w:val="20"/>
              </w:rPr>
            </w:pPr>
            <w:r w:rsidRPr="002C29D2">
              <w:rPr>
                <w:sz w:val="20"/>
                <w:szCs w:val="20"/>
              </w:rPr>
              <w:t>0.556</w:t>
            </w:r>
          </w:p>
        </w:tc>
        <w:tc>
          <w:tcPr>
            <w:tcW w:w="1067" w:type="dxa"/>
            <w:vAlign w:val="bottom"/>
          </w:tcPr>
          <w:p w14:paraId="08E25072" w14:textId="77777777" w:rsidR="00626FF9" w:rsidRPr="002C29D2" w:rsidRDefault="00626FF9" w:rsidP="00B63C4D">
            <w:pPr>
              <w:jc w:val="center"/>
              <w:rPr>
                <w:sz w:val="20"/>
                <w:szCs w:val="20"/>
              </w:rPr>
            </w:pPr>
            <w:r w:rsidRPr="002C29D2">
              <w:rPr>
                <w:sz w:val="20"/>
                <w:szCs w:val="20"/>
              </w:rPr>
              <w:t>0.579</w:t>
            </w:r>
          </w:p>
        </w:tc>
      </w:tr>
      <w:tr w:rsidR="002C29D2" w:rsidRPr="002C29D2" w14:paraId="20E4C72A" w14:textId="77777777" w:rsidTr="00626FF9">
        <w:trPr>
          <w:trHeight w:val="320"/>
        </w:trPr>
        <w:tc>
          <w:tcPr>
            <w:tcW w:w="1435" w:type="dxa"/>
            <w:shd w:val="clear" w:color="auto" w:fill="auto"/>
            <w:noWrap/>
            <w:vAlign w:val="center"/>
          </w:tcPr>
          <w:p w14:paraId="1F4C162F" w14:textId="77777777" w:rsidR="00626FF9" w:rsidRPr="002C29D2" w:rsidRDefault="00626FF9" w:rsidP="00626FF9">
            <w:pPr>
              <w:rPr>
                <w:sz w:val="20"/>
                <w:szCs w:val="20"/>
              </w:rPr>
            </w:pPr>
            <w:r w:rsidRPr="002C29D2">
              <w:rPr>
                <w:sz w:val="20"/>
                <w:szCs w:val="20"/>
              </w:rPr>
              <w:t>EXP -&gt; ENG</w:t>
            </w:r>
          </w:p>
        </w:tc>
        <w:tc>
          <w:tcPr>
            <w:tcW w:w="970" w:type="dxa"/>
            <w:shd w:val="clear" w:color="auto" w:fill="auto"/>
            <w:noWrap/>
            <w:vAlign w:val="bottom"/>
          </w:tcPr>
          <w:p w14:paraId="44FBCB63" w14:textId="77777777" w:rsidR="00626FF9" w:rsidRPr="002C29D2" w:rsidRDefault="00626FF9" w:rsidP="00B63C4D">
            <w:pPr>
              <w:jc w:val="center"/>
              <w:rPr>
                <w:sz w:val="20"/>
                <w:szCs w:val="20"/>
              </w:rPr>
            </w:pPr>
            <w:r w:rsidRPr="002C29D2">
              <w:rPr>
                <w:sz w:val="20"/>
                <w:szCs w:val="20"/>
              </w:rPr>
              <w:t>0.134</w:t>
            </w:r>
          </w:p>
        </w:tc>
        <w:tc>
          <w:tcPr>
            <w:tcW w:w="1134" w:type="dxa"/>
            <w:shd w:val="clear" w:color="auto" w:fill="auto"/>
            <w:noWrap/>
            <w:vAlign w:val="bottom"/>
          </w:tcPr>
          <w:p w14:paraId="0AB6654B" w14:textId="77777777" w:rsidR="00626FF9" w:rsidRPr="002C29D2" w:rsidRDefault="00626FF9" w:rsidP="00B63C4D">
            <w:pPr>
              <w:jc w:val="center"/>
              <w:rPr>
                <w:sz w:val="20"/>
                <w:szCs w:val="20"/>
              </w:rPr>
            </w:pPr>
            <w:r w:rsidRPr="002C29D2">
              <w:rPr>
                <w:sz w:val="20"/>
                <w:szCs w:val="20"/>
              </w:rPr>
              <w:t>1.728</w:t>
            </w:r>
          </w:p>
        </w:tc>
        <w:tc>
          <w:tcPr>
            <w:tcW w:w="992" w:type="dxa"/>
            <w:vAlign w:val="bottom"/>
          </w:tcPr>
          <w:p w14:paraId="125896EF" w14:textId="77777777" w:rsidR="00626FF9" w:rsidRPr="002C29D2" w:rsidRDefault="00626FF9" w:rsidP="00B63C4D">
            <w:pPr>
              <w:jc w:val="center"/>
              <w:rPr>
                <w:sz w:val="20"/>
                <w:szCs w:val="20"/>
              </w:rPr>
            </w:pPr>
            <w:r w:rsidRPr="002C29D2">
              <w:rPr>
                <w:sz w:val="20"/>
                <w:szCs w:val="20"/>
              </w:rPr>
              <w:t>0.084</w:t>
            </w:r>
          </w:p>
        </w:tc>
        <w:tc>
          <w:tcPr>
            <w:tcW w:w="992" w:type="dxa"/>
            <w:shd w:val="clear" w:color="auto" w:fill="auto"/>
            <w:noWrap/>
            <w:vAlign w:val="bottom"/>
          </w:tcPr>
          <w:p w14:paraId="6BA31A80" w14:textId="77777777" w:rsidR="00626FF9" w:rsidRPr="002C29D2" w:rsidRDefault="00626FF9" w:rsidP="00B63C4D">
            <w:pPr>
              <w:jc w:val="center"/>
              <w:rPr>
                <w:sz w:val="20"/>
                <w:szCs w:val="20"/>
              </w:rPr>
            </w:pPr>
            <w:r w:rsidRPr="002C29D2">
              <w:rPr>
                <w:sz w:val="20"/>
                <w:szCs w:val="20"/>
              </w:rPr>
              <w:t>0.085</w:t>
            </w:r>
          </w:p>
        </w:tc>
        <w:tc>
          <w:tcPr>
            <w:tcW w:w="1122" w:type="dxa"/>
            <w:shd w:val="clear" w:color="auto" w:fill="auto"/>
            <w:noWrap/>
            <w:vAlign w:val="bottom"/>
          </w:tcPr>
          <w:p w14:paraId="6B3C8BDF" w14:textId="77777777" w:rsidR="00626FF9" w:rsidRPr="002C29D2" w:rsidRDefault="00626FF9" w:rsidP="00B63C4D">
            <w:pPr>
              <w:jc w:val="center"/>
              <w:rPr>
                <w:sz w:val="20"/>
                <w:szCs w:val="20"/>
              </w:rPr>
            </w:pPr>
            <w:r w:rsidRPr="002C29D2">
              <w:rPr>
                <w:sz w:val="20"/>
                <w:szCs w:val="20"/>
              </w:rPr>
              <w:t>1.097</w:t>
            </w:r>
          </w:p>
        </w:tc>
        <w:tc>
          <w:tcPr>
            <w:tcW w:w="863" w:type="dxa"/>
            <w:vAlign w:val="bottom"/>
          </w:tcPr>
          <w:p w14:paraId="0CCECF18" w14:textId="77777777" w:rsidR="00626FF9" w:rsidRPr="002C29D2" w:rsidRDefault="00626FF9" w:rsidP="00B63C4D">
            <w:pPr>
              <w:jc w:val="center"/>
              <w:rPr>
                <w:sz w:val="20"/>
                <w:szCs w:val="20"/>
              </w:rPr>
            </w:pPr>
            <w:r w:rsidRPr="002C29D2">
              <w:rPr>
                <w:sz w:val="20"/>
                <w:szCs w:val="20"/>
              </w:rPr>
              <w:t>0.273</w:t>
            </w:r>
          </w:p>
        </w:tc>
        <w:tc>
          <w:tcPr>
            <w:tcW w:w="1201" w:type="dxa"/>
            <w:shd w:val="clear" w:color="auto" w:fill="auto"/>
            <w:noWrap/>
            <w:vAlign w:val="bottom"/>
          </w:tcPr>
          <w:p w14:paraId="74EB808A" w14:textId="77777777" w:rsidR="00626FF9" w:rsidRPr="002C29D2" w:rsidRDefault="00626FF9" w:rsidP="00B63C4D">
            <w:pPr>
              <w:jc w:val="center"/>
              <w:rPr>
                <w:sz w:val="20"/>
                <w:szCs w:val="20"/>
              </w:rPr>
            </w:pPr>
            <w:r w:rsidRPr="002C29D2">
              <w:rPr>
                <w:sz w:val="20"/>
                <w:szCs w:val="20"/>
              </w:rPr>
              <w:t>0.446</w:t>
            </w:r>
          </w:p>
        </w:tc>
        <w:tc>
          <w:tcPr>
            <w:tcW w:w="1067" w:type="dxa"/>
            <w:vAlign w:val="bottom"/>
          </w:tcPr>
          <w:p w14:paraId="09AF3083" w14:textId="77777777" w:rsidR="00626FF9" w:rsidRPr="002C29D2" w:rsidRDefault="00626FF9" w:rsidP="00B63C4D">
            <w:pPr>
              <w:jc w:val="center"/>
              <w:rPr>
                <w:sz w:val="20"/>
                <w:szCs w:val="20"/>
              </w:rPr>
            </w:pPr>
            <w:r w:rsidRPr="002C29D2">
              <w:rPr>
                <w:sz w:val="20"/>
                <w:szCs w:val="20"/>
              </w:rPr>
              <w:t>0.656</w:t>
            </w:r>
          </w:p>
        </w:tc>
      </w:tr>
      <w:tr w:rsidR="002C29D2" w:rsidRPr="002C29D2" w14:paraId="68C12C3A" w14:textId="77777777" w:rsidTr="00626FF9">
        <w:trPr>
          <w:trHeight w:val="320"/>
        </w:trPr>
        <w:tc>
          <w:tcPr>
            <w:tcW w:w="1435" w:type="dxa"/>
            <w:shd w:val="clear" w:color="auto" w:fill="auto"/>
            <w:noWrap/>
            <w:vAlign w:val="center"/>
          </w:tcPr>
          <w:p w14:paraId="03B96B3B" w14:textId="77777777" w:rsidR="00626FF9" w:rsidRPr="002C29D2" w:rsidRDefault="00626FF9" w:rsidP="00626FF9">
            <w:pPr>
              <w:rPr>
                <w:sz w:val="20"/>
                <w:szCs w:val="20"/>
              </w:rPr>
            </w:pPr>
            <w:r w:rsidRPr="002C29D2">
              <w:rPr>
                <w:sz w:val="20"/>
                <w:szCs w:val="20"/>
              </w:rPr>
              <w:t>EXP -&gt; SAT</w:t>
            </w:r>
          </w:p>
        </w:tc>
        <w:tc>
          <w:tcPr>
            <w:tcW w:w="970" w:type="dxa"/>
            <w:shd w:val="clear" w:color="auto" w:fill="auto"/>
            <w:noWrap/>
            <w:vAlign w:val="bottom"/>
          </w:tcPr>
          <w:p w14:paraId="7B536928" w14:textId="77777777" w:rsidR="00626FF9" w:rsidRPr="002C29D2" w:rsidRDefault="00626FF9" w:rsidP="00B63C4D">
            <w:pPr>
              <w:jc w:val="center"/>
              <w:rPr>
                <w:sz w:val="20"/>
                <w:szCs w:val="20"/>
              </w:rPr>
            </w:pPr>
            <w:r w:rsidRPr="002C29D2">
              <w:rPr>
                <w:sz w:val="20"/>
                <w:szCs w:val="20"/>
              </w:rPr>
              <w:t>0.070</w:t>
            </w:r>
          </w:p>
        </w:tc>
        <w:tc>
          <w:tcPr>
            <w:tcW w:w="1134" w:type="dxa"/>
            <w:shd w:val="clear" w:color="auto" w:fill="auto"/>
            <w:noWrap/>
            <w:vAlign w:val="bottom"/>
          </w:tcPr>
          <w:p w14:paraId="49F6229C" w14:textId="77777777" w:rsidR="00626FF9" w:rsidRPr="002C29D2" w:rsidRDefault="00626FF9" w:rsidP="00B63C4D">
            <w:pPr>
              <w:jc w:val="center"/>
              <w:rPr>
                <w:sz w:val="20"/>
                <w:szCs w:val="20"/>
              </w:rPr>
            </w:pPr>
            <w:r w:rsidRPr="002C29D2">
              <w:rPr>
                <w:sz w:val="20"/>
                <w:szCs w:val="20"/>
              </w:rPr>
              <w:t>0.932</w:t>
            </w:r>
          </w:p>
        </w:tc>
        <w:tc>
          <w:tcPr>
            <w:tcW w:w="992" w:type="dxa"/>
            <w:vAlign w:val="bottom"/>
          </w:tcPr>
          <w:p w14:paraId="029A96EA" w14:textId="77777777" w:rsidR="00626FF9" w:rsidRPr="002C29D2" w:rsidRDefault="00626FF9" w:rsidP="00B63C4D">
            <w:pPr>
              <w:jc w:val="center"/>
              <w:rPr>
                <w:sz w:val="20"/>
                <w:szCs w:val="20"/>
              </w:rPr>
            </w:pPr>
            <w:r w:rsidRPr="002C29D2">
              <w:rPr>
                <w:sz w:val="20"/>
                <w:szCs w:val="20"/>
              </w:rPr>
              <w:t>0.351</w:t>
            </w:r>
          </w:p>
        </w:tc>
        <w:tc>
          <w:tcPr>
            <w:tcW w:w="992" w:type="dxa"/>
            <w:shd w:val="clear" w:color="auto" w:fill="auto"/>
            <w:noWrap/>
            <w:vAlign w:val="bottom"/>
          </w:tcPr>
          <w:p w14:paraId="7F9C331F" w14:textId="77777777" w:rsidR="00626FF9" w:rsidRPr="002C29D2" w:rsidRDefault="00626FF9" w:rsidP="00B63C4D">
            <w:pPr>
              <w:jc w:val="center"/>
              <w:rPr>
                <w:sz w:val="20"/>
                <w:szCs w:val="20"/>
              </w:rPr>
            </w:pPr>
            <w:r w:rsidRPr="002C29D2">
              <w:rPr>
                <w:sz w:val="20"/>
                <w:szCs w:val="20"/>
              </w:rPr>
              <w:t>0.214</w:t>
            </w:r>
          </w:p>
        </w:tc>
        <w:tc>
          <w:tcPr>
            <w:tcW w:w="1122" w:type="dxa"/>
            <w:shd w:val="clear" w:color="auto" w:fill="auto"/>
            <w:noWrap/>
            <w:vAlign w:val="bottom"/>
          </w:tcPr>
          <w:p w14:paraId="26621B3C" w14:textId="77777777" w:rsidR="00626FF9" w:rsidRPr="002C29D2" w:rsidRDefault="00626FF9" w:rsidP="00B63C4D">
            <w:pPr>
              <w:jc w:val="center"/>
              <w:rPr>
                <w:sz w:val="20"/>
                <w:szCs w:val="20"/>
              </w:rPr>
            </w:pPr>
            <w:r w:rsidRPr="002C29D2">
              <w:rPr>
                <w:sz w:val="20"/>
                <w:szCs w:val="20"/>
              </w:rPr>
              <w:t>2.370</w:t>
            </w:r>
          </w:p>
        </w:tc>
        <w:tc>
          <w:tcPr>
            <w:tcW w:w="863" w:type="dxa"/>
            <w:vAlign w:val="bottom"/>
          </w:tcPr>
          <w:p w14:paraId="1CBB97A7" w14:textId="77777777" w:rsidR="00626FF9" w:rsidRPr="002C29D2" w:rsidRDefault="00626FF9" w:rsidP="00B63C4D">
            <w:pPr>
              <w:jc w:val="center"/>
              <w:rPr>
                <w:sz w:val="20"/>
                <w:szCs w:val="20"/>
              </w:rPr>
            </w:pPr>
            <w:r w:rsidRPr="002C29D2">
              <w:rPr>
                <w:sz w:val="20"/>
                <w:szCs w:val="20"/>
              </w:rPr>
              <w:t>0.018</w:t>
            </w:r>
          </w:p>
        </w:tc>
        <w:tc>
          <w:tcPr>
            <w:tcW w:w="1201" w:type="dxa"/>
            <w:shd w:val="clear" w:color="auto" w:fill="auto"/>
            <w:noWrap/>
            <w:vAlign w:val="bottom"/>
          </w:tcPr>
          <w:p w14:paraId="63B5A6C0" w14:textId="77777777" w:rsidR="00626FF9" w:rsidRPr="002C29D2" w:rsidRDefault="00626FF9" w:rsidP="00B63C4D">
            <w:pPr>
              <w:jc w:val="center"/>
              <w:rPr>
                <w:sz w:val="20"/>
                <w:szCs w:val="20"/>
              </w:rPr>
            </w:pPr>
            <w:r w:rsidRPr="002C29D2">
              <w:rPr>
                <w:sz w:val="20"/>
                <w:szCs w:val="20"/>
              </w:rPr>
              <w:t>1.230</w:t>
            </w:r>
          </w:p>
        </w:tc>
        <w:tc>
          <w:tcPr>
            <w:tcW w:w="1067" w:type="dxa"/>
            <w:vAlign w:val="bottom"/>
          </w:tcPr>
          <w:p w14:paraId="4ACAFFB9" w14:textId="77777777" w:rsidR="00626FF9" w:rsidRPr="002C29D2" w:rsidRDefault="00626FF9" w:rsidP="00B63C4D">
            <w:pPr>
              <w:jc w:val="center"/>
              <w:rPr>
                <w:sz w:val="20"/>
                <w:szCs w:val="20"/>
              </w:rPr>
            </w:pPr>
            <w:r w:rsidRPr="002C29D2">
              <w:rPr>
                <w:sz w:val="20"/>
                <w:szCs w:val="20"/>
              </w:rPr>
              <w:t>0.220</w:t>
            </w:r>
          </w:p>
        </w:tc>
      </w:tr>
      <w:tr w:rsidR="002C29D2" w:rsidRPr="002C29D2" w14:paraId="5CA1EE5C" w14:textId="77777777" w:rsidTr="00626FF9">
        <w:trPr>
          <w:trHeight w:val="320"/>
        </w:trPr>
        <w:tc>
          <w:tcPr>
            <w:tcW w:w="1435" w:type="dxa"/>
            <w:shd w:val="clear" w:color="auto" w:fill="auto"/>
            <w:noWrap/>
            <w:vAlign w:val="center"/>
          </w:tcPr>
          <w:p w14:paraId="55CAACF9" w14:textId="77777777" w:rsidR="00626FF9" w:rsidRPr="002C29D2" w:rsidRDefault="00626FF9" w:rsidP="00626FF9">
            <w:pPr>
              <w:rPr>
                <w:sz w:val="20"/>
                <w:szCs w:val="20"/>
              </w:rPr>
            </w:pPr>
            <w:r w:rsidRPr="002C29D2">
              <w:rPr>
                <w:sz w:val="20"/>
                <w:szCs w:val="20"/>
              </w:rPr>
              <w:t>EXP -&gt; UI</w:t>
            </w:r>
          </w:p>
        </w:tc>
        <w:tc>
          <w:tcPr>
            <w:tcW w:w="970" w:type="dxa"/>
            <w:shd w:val="clear" w:color="auto" w:fill="auto"/>
            <w:noWrap/>
            <w:vAlign w:val="bottom"/>
          </w:tcPr>
          <w:p w14:paraId="5B5AA89E" w14:textId="77777777" w:rsidR="00626FF9" w:rsidRPr="002C29D2" w:rsidRDefault="00626FF9" w:rsidP="00B63C4D">
            <w:pPr>
              <w:jc w:val="center"/>
              <w:rPr>
                <w:sz w:val="20"/>
                <w:szCs w:val="20"/>
              </w:rPr>
            </w:pPr>
            <w:r w:rsidRPr="002C29D2">
              <w:rPr>
                <w:sz w:val="20"/>
                <w:szCs w:val="20"/>
              </w:rPr>
              <w:t>-0.034</w:t>
            </w:r>
          </w:p>
        </w:tc>
        <w:tc>
          <w:tcPr>
            <w:tcW w:w="1134" w:type="dxa"/>
            <w:shd w:val="clear" w:color="auto" w:fill="auto"/>
            <w:noWrap/>
            <w:vAlign w:val="bottom"/>
          </w:tcPr>
          <w:p w14:paraId="40039F46" w14:textId="77777777" w:rsidR="00626FF9" w:rsidRPr="002C29D2" w:rsidRDefault="00626FF9" w:rsidP="00B63C4D">
            <w:pPr>
              <w:jc w:val="center"/>
              <w:rPr>
                <w:sz w:val="20"/>
                <w:szCs w:val="20"/>
              </w:rPr>
            </w:pPr>
            <w:r w:rsidRPr="002C29D2">
              <w:rPr>
                <w:sz w:val="20"/>
                <w:szCs w:val="20"/>
              </w:rPr>
              <w:t>0.365</w:t>
            </w:r>
          </w:p>
        </w:tc>
        <w:tc>
          <w:tcPr>
            <w:tcW w:w="992" w:type="dxa"/>
            <w:vAlign w:val="bottom"/>
          </w:tcPr>
          <w:p w14:paraId="66020D27" w14:textId="77777777" w:rsidR="00626FF9" w:rsidRPr="002C29D2" w:rsidRDefault="00626FF9" w:rsidP="00B63C4D">
            <w:pPr>
              <w:jc w:val="center"/>
              <w:rPr>
                <w:sz w:val="20"/>
                <w:szCs w:val="20"/>
              </w:rPr>
            </w:pPr>
            <w:r w:rsidRPr="002C29D2">
              <w:rPr>
                <w:sz w:val="20"/>
                <w:szCs w:val="20"/>
              </w:rPr>
              <w:t>0.715</w:t>
            </w:r>
          </w:p>
        </w:tc>
        <w:tc>
          <w:tcPr>
            <w:tcW w:w="992" w:type="dxa"/>
            <w:shd w:val="clear" w:color="auto" w:fill="auto"/>
            <w:noWrap/>
            <w:vAlign w:val="bottom"/>
          </w:tcPr>
          <w:p w14:paraId="77BF915E" w14:textId="77777777" w:rsidR="00626FF9" w:rsidRPr="002C29D2" w:rsidRDefault="00626FF9" w:rsidP="00B63C4D">
            <w:pPr>
              <w:jc w:val="center"/>
              <w:rPr>
                <w:sz w:val="20"/>
                <w:szCs w:val="20"/>
              </w:rPr>
            </w:pPr>
            <w:r w:rsidRPr="002C29D2">
              <w:rPr>
                <w:sz w:val="20"/>
                <w:szCs w:val="20"/>
              </w:rPr>
              <w:t>0.063</w:t>
            </w:r>
          </w:p>
        </w:tc>
        <w:tc>
          <w:tcPr>
            <w:tcW w:w="1122" w:type="dxa"/>
            <w:shd w:val="clear" w:color="auto" w:fill="auto"/>
            <w:noWrap/>
            <w:vAlign w:val="bottom"/>
          </w:tcPr>
          <w:p w14:paraId="0B38BB30" w14:textId="77777777" w:rsidR="00626FF9" w:rsidRPr="002C29D2" w:rsidRDefault="00626FF9" w:rsidP="00B63C4D">
            <w:pPr>
              <w:jc w:val="center"/>
              <w:rPr>
                <w:sz w:val="20"/>
                <w:szCs w:val="20"/>
              </w:rPr>
            </w:pPr>
            <w:r w:rsidRPr="002C29D2">
              <w:rPr>
                <w:sz w:val="20"/>
                <w:szCs w:val="20"/>
              </w:rPr>
              <w:t>0.685</w:t>
            </w:r>
          </w:p>
        </w:tc>
        <w:tc>
          <w:tcPr>
            <w:tcW w:w="863" w:type="dxa"/>
            <w:vAlign w:val="bottom"/>
          </w:tcPr>
          <w:p w14:paraId="1A71D39E" w14:textId="77777777" w:rsidR="00626FF9" w:rsidRPr="002C29D2" w:rsidRDefault="00626FF9" w:rsidP="00B63C4D">
            <w:pPr>
              <w:jc w:val="center"/>
              <w:rPr>
                <w:sz w:val="20"/>
                <w:szCs w:val="20"/>
              </w:rPr>
            </w:pPr>
            <w:r w:rsidRPr="002C29D2">
              <w:rPr>
                <w:sz w:val="20"/>
                <w:szCs w:val="20"/>
              </w:rPr>
              <w:t>0.493</w:t>
            </w:r>
          </w:p>
        </w:tc>
        <w:tc>
          <w:tcPr>
            <w:tcW w:w="1201" w:type="dxa"/>
            <w:shd w:val="clear" w:color="auto" w:fill="auto"/>
            <w:noWrap/>
            <w:vAlign w:val="bottom"/>
          </w:tcPr>
          <w:p w14:paraId="1BD00A33" w14:textId="77777777" w:rsidR="00626FF9" w:rsidRPr="002C29D2" w:rsidRDefault="00626FF9" w:rsidP="00B63C4D">
            <w:pPr>
              <w:jc w:val="center"/>
              <w:rPr>
                <w:sz w:val="20"/>
                <w:szCs w:val="20"/>
              </w:rPr>
            </w:pPr>
            <w:r w:rsidRPr="002C29D2">
              <w:rPr>
                <w:sz w:val="20"/>
                <w:szCs w:val="20"/>
              </w:rPr>
              <w:t>0.743</w:t>
            </w:r>
          </w:p>
        </w:tc>
        <w:tc>
          <w:tcPr>
            <w:tcW w:w="1067" w:type="dxa"/>
            <w:vAlign w:val="bottom"/>
          </w:tcPr>
          <w:p w14:paraId="17240A0A" w14:textId="77777777" w:rsidR="00626FF9" w:rsidRPr="002C29D2" w:rsidRDefault="00626FF9" w:rsidP="00B63C4D">
            <w:pPr>
              <w:jc w:val="center"/>
              <w:rPr>
                <w:sz w:val="20"/>
                <w:szCs w:val="20"/>
              </w:rPr>
            </w:pPr>
            <w:r w:rsidRPr="002C29D2">
              <w:rPr>
                <w:sz w:val="20"/>
                <w:szCs w:val="20"/>
              </w:rPr>
              <w:t>0.458</w:t>
            </w:r>
          </w:p>
        </w:tc>
      </w:tr>
      <w:tr w:rsidR="002C29D2" w:rsidRPr="002C29D2" w14:paraId="1F857265" w14:textId="77777777" w:rsidTr="00626FF9">
        <w:trPr>
          <w:trHeight w:val="320"/>
        </w:trPr>
        <w:tc>
          <w:tcPr>
            <w:tcW w:w="1435" w:type="dxa"/>
            <w:shd w:val="clear" w:color="auto" w:fill="auto"/>
            <w:noWrap/>
            <w:vAlign w:val="center"/>
          </w:tcPr>
          <w:p w14:paraId="4B421943" w14:textId="77777777" w:rsidR="00626FF9" w:rsidRPr="002C29D2" w:rsidRDefault="00626FF9" w:rsidP="00626FF9">
            <w:pPr>
              <w:rPr>
                <w:sz w:val="20"/>
                <w:szCs w:val="20"/>
              </w:rPr>
            </w:pPr>
            <w:r w:rsidRPr="002C29D2">
              <w:rPr>
                <w:sz w:val="20"/>
                <w:szCs w:val="20"/>
              </w:rPr>
              <w:t>JUS -&gt; ATA</w:t>
            </w:r>
          </w:p>
        </w:tc>
        <w:tc>
          <w:tcPr>
            <w:tcW w:w="970" w:type="dxa"/>
            <w:shd w:val="clear" w:color="auto" w:fill="auto"/>
            <w:noWrap/>
            <w:vAlign w:val="bottom"/>
          </w:tcPr>
          <w:p w14:paraId="41CFF103" w14:textId="77777777" w:rsidR="00626FF9" w:rsidRPr="002C29D2" w:rsidRDefault="00626FF9" w:rsidP="00B63C4D">
            <w:pPr>
              <w:jc w:val="center"/>
              <w:rPr>
                <w:sz w:val="20"/>
                <w:szCs w:val="20"/>
              </w:rPr>
            </w:pPr>
            <w:r w:rsidRPr="002C29D2">
              <w:rPr>
                <w:sz w:val="20"/>
                <w:szCs w:val="20"/>
              </w:rPr>
              <w:t>0.178</w:t>
            </w:r>
          </w:p>
        </w:tc>
        <w:tc>
          <w:tcPr>
            <w:tcW w:w="1134" w:type="dxa"/>
            <w:shd w:val="clear" w:color="auto" w:fill="auto"/>
            <w:noWrap/>
            <w:vAlign w:val="bottom"/>
          </w:tcPr>
          <w:p w14:paraId="615DD97A" w14:textId="77777777" w:rsidR="00626FF9" w:rsidRPr="002C29D2" w:rsidRDefault="00626FF9" w:rsidP="00B63C4D">
            <w:pPr>
              <w:jc w:val="center"/>
              <w:rPr>
                <w:sz w:val="20"/>
                <w:szCs w:val="20"/>
              </w:rPr>
            </w:pPr>
            <w:r w:rsidRPr="002C29D2">
              <w:rPr>
                <w:sz w:val="20"/>
                <w:szCs w:val="20"/>
              </w:rPr>
              <w:t>1.880</w:t>
            </w:r>
          </w:p>
        </w:tc>
        <w:tc>
          <w:tcPr>
            <w:tcW w:w="992" w:type="dxa"/>
            <w:vAlign w:val="bottom"/>
          </w:tcPr>
          <w:p w14:paraId="686D11E8" w14:textId="77777777" w:rsidR="00626FF9" w:rsidRPr="002C29D2" w:rsidRDefault="00626FF9" w:rsidP="00B63C4D">
            <w:pPr>
              <w:jc w:val="center"/>
              <w:rPr>
                <w:sz w:val="20"/>
                <w:szCs w:val="20"/>
              </w:rPr>
            </w:pPr>
            <w:r w:rsidRPr="002C29D2">
              <w:rPr>
                <w:sz w:val="20"/>
                <w:szCs w:val="20"/>
              </w:rPr>
              <w:t>0.060</w:t>
            </w:r>
          </w:p>
        </w:tc>
        <w:tc>
          <w:tcPr>
            <w:tcW w:w="992" w:type="dxa"/>
            <w:shd w:val="clear" w:color="auto" w:fill="auto"/>
            <w:noWrap/>
            <w:vAlign w:val="bottom"/>
          </w:tcPr>
          <w:p w14:paraId="3B54E366" w14:textId="77777777" w:rsidR="00626FF9" w:rsidRPr="002C29D2" w:rsidRDefault="00626FF9" w:rsidP="00B63C4D">
            <w:pPr>
              <w:jc w:val="center"/>
              <w:rPr>
                <w:sz w:val="20"/>
                <w:szCs w:val="20"/>
              </w:rPr>
            </w:pPr>
            <w:r w:rsidRPr="002C29D2">
              <w:rPr>
                <w:sz w:val="20"/>
                <w:szCs w:val="20"/>
              </w:rPr>
              <w:t>0.150</w:t>
            </w:r>
          </w:p>
        </w:tc>
        <w:tc>
          <w:tcPr>
            <w:tcW w:w="1122" w:type="dxa"/>
            <w:shd w:val="clear" w:color="auto" w:fill="auto"/>
            <w:noWrap/>
            <w:vAlign w:val="bottom"/>
          </w:tcPr>
          <w:p w14:paraId="42A48C08" w14:textId="77777777" w:rsidR="00626FF9" w:rsidRPr="002C29D2" w:rsidRDefault="00626FF9" w:rsidP="00B63C4D">
            <w:pPr>
              <w:jc w:val="center"/>
              <w:rPr>
                <w:sz w:val="20"/>
                <w:szCs w:val="20"/>
              </w:rPr>
            </w:pPr>
            <w:r w:rsidRPr="002C29D2">
              <w:rPr>
                <w:sz w:val="20"/>
                <w:szCs w:val="20"/>
              </w:rPr>
              <w:t>1.296</w:t>
            </w:r>
          </w:p>
        </w:tc>
        <w:tc>
          <w:tcPr>
            <w:tcW w:w="863" w:type="dxa"/>
            <w:vAlign w:val="bottom"/>
          </w:tcPr>
          <w:p w14:paraId="3D9CEFCA" w14:textId="77777777" w:rsidR="00626FF9" w:rsidRPr="002C29D2" w:rsidRDefault="00626FF9" w:rsidP="00B63C4D">
            <w:pPr>
              <w:jc w:val="center"/>
              <w:rPr>
                <w:sz w:val="20"/>
                <w:szCs w:val="20"/>
              </w:rPr>
            </w:pPr>
            <w:r w:rsidRPr="002C29D2">
              <w:rPr>
                <w:sz w:val="20"/>
                <w:szCs w:val="20"/>
              </w:rPr>
              <w:t>0.195</w:t>
            </w:r>
          </w:p>
        </w:tc>
        <w:tc>
          <w:tcPr>
            <w:tcW w:w="1201" w:type="dxa"/>
            <w:shd w:val="clear" w:color="auto" w:fill="auto"/>
            <w:noWrap/>
            <w:vAlign w:val="bottom"/>
          </w:tcPr>
          <w:p w14:paraId="48A7ECE7" w14:textId="77777777" w:rsidR="00626FF9" w:rsidRPr="002C29D2" w:rsidRDefault="00626FF9" w:rsidP="00B63C4D">
            <w:pPr>
              <w:jc w:val="center"/>
              <w:rPr>
                <w:sz w:val="20"/>
                <w:szCs w:val="20"/>
              </w:rPr>
            </w:pPr>
            <w:r w:rsidRPr="002C29D2">
              <w:rPr>
                <w:sz w:val="20"/>
                <w:szCs w:val="20"/>
              </w:rPr>
              <w:t>0.188</w:t>
            </w:r>
          </w:p>
        </w:tc>
        <w:tc>
          <w:tcPr>
            <w:tcW w:w="1067" w:type="dxa"/>
            <w:vAlign w:val="bottom"/>
          </w:tcPr>
          <w:p w14:paraId="6D382F8F" w14:textId="77777777" w:rsidR="00626FF9" w:rsidRPr="002C29D2" w:rsidRDefault="00626FF9" w:rsidP="00B63C4D">
            <w:pPr>
              <w:jc w:val="center"/>
              <w:rPr>
                <w:sz w:val="20"/>
                <w:szCs w:val="20"/>
              </w:rPr>
            </w:pPr>
            <w:r w:rsidRPr="002C29D2">
              <w:rPr>
                <w:sz w:val="20"/>
                <w:szCs w:val="20"/>
              </w:rPr>
              <w:t>0.851</w:t>
            </w:r>
          </w:p>
        </w:tc>
      </w:tr>
      <w:tr w:rsidR="002C29D2" w:rsidRPr="002C29D2" w14:paraId="31596393" w14:textId="77777777" w:rsidTr="00626FF9">
        <w:trPr>
          <w:trHeight w:val="320"/>
        </w:trPr>
        <w:tc>
          <w:tcPr>
            <w:tcW w:w="1435" w:type="dxa"/>
            <w:shd w:val="clear" w:color="auto" w:fill="auto"/>
            <w:noWrap/>
            <w:vAlign w:val="center"/>
          </w:tcPr>
          <w:p w14:paraId="5D824077" w14:textId="77777777" w:rsidR="00626FF9" w:rsidRPr="002C29D2" w:rsidRDefault="00626FF9" w:rsidP="00626FF9">
            <w:pPr>
              <w:rPr>
                <w:sz w:val="20"/>
                <w:szCs w:val="20"/>
              </w:rPr>
            </w:pPr>
            <w:r w:rsidRPr="002C29D2">
              <w:rPr>
                <w:sz w:val="20"/>
                <w:szCs w:val="20"/>
              </w:rPr>
              <w:t>JUS -&gt; ENG</w:t>
            </w:r>
          </w:p>
        </w:tc>
        <w:tc>
          <w:tcPr>
            <w:tcW w:w="970" w:type="dxa"/>
            <w:shd w:val="clear" w:color="auto" w:fill="auto"/>
            <w:noWrap/>
            <w:vAlign w:val="bottom"/>
          </w:tcPr>
          <w:p w14:paraId="68F002C6" w14:textId="77777777" w:rsidR="00626FF9" w:rsidRPr="002C29D2" w:rsidRDefault="00626FF9" w:rsidP="00B63C4D">
            <w:pPr>
              <w:jc w:val="center"/>
              <w:rPr>
                <w:sz w:val="20"/>
                <w:szCs w:val="20"/>
              </w:rPr>
            </w:pPr>
            <w:r w:rsidRPr="002C29D2">
              <w:rPr>
                <w:sz w:val="20"/>
                <w:szCs w:val="20"/>
              </w:rPr>
              <w:t>0.268</w:t>
            </w:r>
          </w:p>
        </w:tc>
        <w:tc>
          <w:tcPr>
            <w:tcW w:w="1134" w:type="dxa"/>
            <w:shd w:val="clear" w:color="auto" w:fill="auto"/>
            <w:noWrap/>
            <w:vAlign w:val="bottom"/>
          </w:tcPr>
          <w:p w14:paraId="5AA75532" w14:textId="77777777" w:rsidR="00626FF9" w:rsidRPr="002C29D2" w:rsidRDefault="00626FF9" w:rsidP="00B63C4D">
            <w:pPr>
              <w:jc w:val="center"/>
              <w:rPr>
                <w:sz w:val="20"/>
                <w:szCs w:val="20"/>
              </w:rPr>
            </w:pPr>
            <w:r w:rsidRPr="002C29D2">
              <w:rPr>
                <w:sz w:val="20"/>
                <w:szCs w:val="20"/>
              </w:rPr>
              <w:t>2.509</w:t>
            </w:r>
          </w:p>
        </w:tc>
        <w:tc>
          <w:tcPr>
            <w:tcW w:w="992" w:type="dxa"/>
            <w:vAlign w:val="bottom"/>
          </w:tcPr>
          <w:p w14:paraId="607C5540" w14:textId="77777777" w:rsidR="00626FF9" w:rsidRPr="002C29D2" w:rsidRDefault="00626FF9" w:rsidP="00B63C4D">
            <w:pPr>
              <w:jc w:val="center"/>
              <w:rPr>
                <w:sz w:val="20"/>
                <w:szCs w:val="20"/>
              </w:rPr>
            </w:pPr>
            <w:r w:rsidRPr="002C29D2">
              <w:rPr>
                <w:sz w:val="20"/>
                <w:szCs w:val="20"/>
              </w:rPr>
              <w:t>0.012</w:t>
            </w:r>
          </w:p>
        </w:tc>
        <w:tc>
          <w:tcPr>
            <w:tcW w:w="992" w:type="dxa"/>
            <w:shd w:val="clear" w:color="auto" w:fill="auto"/>
            <w:noWrap/>
            <w:vAlign w:val="bottom"/>
          </w:tcPr>
          <w:p w14:paraId="1CDF5C48" w14:textId="77777777" w:rsidR="00626FF9" w:rsidRPr="002C29D2" w:rsidRDefault="00626FF9" w:rsidP="00B63C4D">
            <w:pPr>
              <w:jc w:val="center"/>
              <w:rPr>
                <w:sz w:val="20"/>
                <w:szCs w:val="20"/>
              </w:rPr>
            </w:pPr>
            <w:r w:rsidRPr="002C29D2">
              <w:rPr>
                <w:sz w:val="20"/>
                <w:szCs w:val="20"/>
              </w:rPr>
              <w:t>0.223</w:t>
            </w:r>
          </w:p>
        </w:tc>
        <w:tc>
          <w:tcPr>
            <w:tcW w:w="1122" w:type="dxa"/>
            <w:shd w:val="clear" w:color="auto" w:fill="auto"/>
            <w:noWrap/>
            <w:vAlign w:val="bottom"/>
          </w:tcPr>
          <w:p w14:paraId="3FE3FC70" w14:textId="77777777" w:rsidR="00626FF9" w:rsidRPr="002C29D2" w:rsidRDefault="00626FF9" w:rsidP="00B63C4D">
            <w:pPr>
              <w:jc w:val="center"/>
              <w:rPr>
                <w:sz w:val="20"/>
                <w:szCs w:val="20"/>
              </w:rPr>
            </w:pPr>
            <w:r w:rsidRPr="002C29D2">
              <w:rPr>
                <w:sz w:val="20"/>
                <w:szCs w:val="20"/>
              </w:rPr>
              <w:t>2.959</w:t>
            </w:r>
          </w:p>
        </w:tc>
        <w:tc>
          <w:tcPr>
            <w:tcW w:w="863" w:type="dxa"/>
            <w:vAlign w:val="bottom"/>
          </w:tcPr>
          <w:p w14:paraId="28583D10" w14:textId="77777777" w:rsidR="00626FF9" w:rsidRPr="002C29D2" w:rsidRDefault="00626FF9" w:rsidP="00B63C4D">
            <w:pPr>
              <w:jc w:val="center"/>
              <w:rPr>
                <w:sz w:val="20"/>
                <w:szCs w:val="20"/>
              </w:rPr>
            </w:pPr>
            <w:r w:rsidRPr="002C29D2">
              <w:rPr>
                <w:sz w:val="20"/>
                <w:szCs w:val="20"/>
              </w:rPr>
              <w:t>0.003</w:t>
            </w:r>
          </w:p>
        </w:tc>
        <w:tc>
          <w:tcPr>
            <w:tcW w:w="1201" w:type="dxa"/>
            <w:shd w:val="clear" w:color="auto" w:fill="auto"/>
            <w:noWrap/>
            <w:vAlign w:val="bottom"/>
          </w:tcPr>
          <w:p w14:paraId="5C2B69A0" w14:textId="77777777" w:rsidR="00626FF9" w:rsidRPr="002C29D2" w:rsidRDefault="00626FF9" w:rsidP="00B63C4D">
            <w:pPr>
              <w:jc w:val="center"/>
              <w:rPr>
                <w:sz w:val="20"/>
                <w:szCs w:val="20"/>
              </w:rPr>
            </w:pPr>
            <w:r w:rsidRPr="002C29D2">
              <w:rPr>
                <w:sz w:val="20"/>
                <w:szCs w:val="20"/>
              </w:rPr>
              <w:t>0.344</w:t>
            </w:r>
          </w:p>
        </w:tc>
        <w:tc>
          <w:tcPr>
            <w:tcW w:w="1067" w:type="dxa"/>
            <w:vAlign w:val="bottom"/>
          </w:tcPr>
          <w:p w14:paraId="087FFEAA" w14:textId="77777777" w:rsidR="00626FF9" w:rsidRPr="002C29D2" w:rsidRDefault="00626FF9" w:rsidP="00B63C4D">
            <w:pPr>
              <w:jc w:val="center"/>
              <w:rPr>
                <w:sz w:val="20"/>
                <w:szCs w:val="20"/>
              </w:rPr>
            </w:pPr>
            <w:r w:rsidRPr="002C29D2">
              <w:rPr>
                <w:sz w:val="20"/>
                <w:szCs w:val="20"/>
              </w:rPr>
              <w:t>0.731</w:t>
            </w:r>
          </w:p>
        </w:tc>
      </w:tr>
      <w:tr w:rsidR="002C29D2" w:rsidRPr="002C29D2" w14:paraId="516F97E7" w14:textId="77777777" w:rsidTr="00626FF9">
        <w:trPr>
          <w:trHeight w:val="320"/>
        </w:trPr>
        <w:tc>
          <w:tcPr>
            <w:tcW w:w="1435" w:type="dxa"/>
            <w:shd w:val="clear" w:color="auto" w:fill="auto"/>
            <w:noWrap/>
            <w:vAlign w:val="center"/>
          </w:tcPr>
          <w:p w14:paraId="4D4DD17F" w14:textId="77777777" w:rsidR="00626FF9" w:rsidRPr="002C29D2" w:rsidRDefault="00626FF9" w:rsidP="00626FF9">
            <w:pPr>
              <w:rPr>
                <w:b/>
                <w:bCs/>
                <w:sz w:val="20"/>
                <w:szCs w:val="20"/>
              </w:rPr>
            </w:pPr>
            <w:r w:rsidRPr="002C29D2">
              <w:rPr>
                <w:b/>
                <w:bCs/>
                <w:sz w:val="20"/>
                <w:szCs w:val="20"/>
              </w:rPr>
              <w:t>JUS -&gt; SAT</w:t>
            </w:r>
          </w:p>
        </w:tc>
        <w:tc>
          <w:tcPr>
            <w:tcW w:w="970" w:type="dxa"/>
            <w:shd w:val="clear" w:color="auto" w:fill="auto"/>
            <w:noWrap/>
            <w:vAlign w:val="bottom"/>
          </w:tcPr>
          <w:p w14:paraId="3D6ADFD6" w14:textId="77777777" w:rsidR="00626FF9" w:rsidRPr="002C29D2" w:rsidRDefault="00626FF9" w:rsidP="00B63C4D">
            <w:pPr>
              <w:jc w:val="center"/>
              <w:rPr>
                <w:b/>
                <w:bCs/>
                <w:sz w:val="20"/>
                <w:szCs w:val="20"/>
              </w:rPr>
            </w:pPr>
            <w:r w:rsidRPr="002C29D2">
              <w:rPr>
                <w:b/>
                <w:bCs/>
                <w:sz w:val="20"/>
                <w:szCs w:val="20"/>
              </w:rPr>
              <w:t>0.415</w:t>
            </w:r>
          </w:p>
        </w:tc>
        <w:tc>
          <w:tcPr>
            <w:tcW w:w="1134" w:type="dxa"/>
            <w:shd w:val="clear" w:color="auto" w:fill="auto"/>
            <w:noWrap/>
            <w:vAlign w:val="bottom"/>
          </w:tcPr>
          <w:p w14:paraId="4819E165" w14:textId="77777777" w:rsidR="00626FF9" w:rsidRPr="002C29D2" w:rsidRDefault="00626FF9" w:rsidP="00B63C4D">
            <w:pPr>
              <w:jc w:val="center"/>
              <w:rPr>
                <w:b/>
                <w:bCs/>
                <w:sz w:val="20"/>
                <w:szCs w:val="20"/>
              </w:rPr>
            </w:pPr>
            <w:r w:rsidRPr="002C29D2">
              <w:rPr>
                <w:b/>
                <w:bCs/>
                <w:sz w:val="20"/>
                <w:szCs w:val="20"/>
              </w:rPr>
              <w:t>5.371</w:t>
            </w:r>
          </w:p>
        </w:tc>
        <w:tc>
          <w:tcPr>
            <w:tcW w:w="992" w:type="dxa"/>
            <w:vAlign w:val="bottom"/>
          </w:tcPr>
          <w:p w14:paraId="23E8B290" w14:textId="77777777" w:rsidR="00626FF9" w:rsidRPr="002C29D2" w:rsidRDefault="00626FF9" w:rsidP="00B63C4D">
            <w:pPr>
              <w:jc w:val="center"/>
              <w:rPr>
                <w:b/>
                <w:bCs/>
                <w:sz w:val="20"/>
                <w:szCs w:val="20"/>
              </w:rPr>
            </w:pPr>
            <w:r w:rsidRPr="002C29D2">
              <w:rPr>
                <w:b/>
                <w:bCs/>
                <w:sz w:val="20"/>
                <w:szCs w:val="20"/>
              </w:rPr>
              <w:t>0.000</w:t>
            </w:r>
          </w:p>
        </w:tc>
        <w:tc>
          <w:tcPr>
            <w:tcW w:w="992" w:type="dxa"/>
            <w:shd w:val="clear" w:color="auto" w:fill="auto"/>
            <w:noWrap/>
            <w:vAlign w:val="bottom"/>
          </w:tcPr>
          <w:p w14:paraId="3117141B" w14:textId="77777777" w:rsidR="00626FF9" w:rsidRPr="002C29D2" w:rsidRDefault="00626FF9" w:rsidP="00B63C4D">
            <w:pPr>
              <w:jc w:val="center"/>
              <w:rPr>
                <w:b/>
                <w:bCs/>
                <w:sz w:val="20"/>
                <w:szCs w:val="20"/>
              </w:rPr>
            </w:pPr>
            <w:r w:rsidRPr="002C29D2">
              <w:rPr>
                <w:b/>
                <w:bCs/>
                <w:sz w:val="20"/>
                <w:szCs w:val="20"/>
              </w:rPr>
              <w:t>0.027</w:t>
            </w:r>
          </w:p>
        </w:tc>
        <w:tc>
          <w:tcPr>
            <w:tcW w:w="1122" w:type="dxa"/>
            <w:shd w:val="clear" w:color="auto" w:fill="auto"/>
            <w:noWrap/>
            <w:vAlign w:val="bottom"/>
          </w:tcPr>
          <w:p w14:paraId="5D6B28D2" w14:textId="77777777" w:rsidR="00626FF9" w:rsidRPr="002C29D2" w:rsidRDefault="00626FF9" w:rsidP="00B63C4D">
            <w:pPr>
              <w:jc w:val="center"/>
              <w:rPr>
                <w:b/>
                <w:bCs/>
                <w:sz w:val="20"/>
                <w:szCs w:val="20"/>
              </w:rPr>
            </w:pPr>
            <w:r w:rsidRPr="002C29D2">
              <w:rPr>
                <w:b/>
                <w:bCs/>
                <w:sz w:val="20"/>
                <w:szCs w:val="20"/>
              </w:rPr>
              <w:t>0.271</w:t>
            </w:r>
          </w:p>
        </w:tc>
        <w:tc>
          <w:tcPr>
            <w:tcW w:w="863" w:type="dxa"/>
            <w:vAlign w:val="bottom"/>
          </w:tcPr>
          <w:p w14:paraId="7309F865" w14:textId="77777777" w:rsidR="00626FF9" w:rsidRPr="002C29D2" w:rsidRDefault="00626FF9" w:rsidP="00B63C4D">
            <w:pPr>
              <w:jc w:val="center"/>
              <w:rPr>
                <w:b/>
                <w:bCs/>
                <w:sz w:val="20"/>
                <w:szCs w:val="20"/>
              </w:rPr>
            </w:pPr>
            <w:r w:rsidRPr="002C29D2">
              <w:rPr>
                <w:b/>
                <w:bCs/>
                <w:sz w:val="20"/>
                <w:szCs w:val="20"/>
              </w:rPr>
              <w:t>0.787</w:t>
            </w:r>
          </w:p>
        </w:tc>
        <w:tc>
          <w:tcPr>
            <w:tcW w:w="1201" w:type="dxa"/>
            <w:shd w:val="clear" w:color="auto" w:fill="auto"/>
            <w:noWrap/>
            <w:vAlign w:val="bottom"/>
          </w:tcPr>
          <w:p w14:paraId="608B4169" w14:textId="77777777" w:rsidR="00626FF9" w:rsidRPr="002C29D2" w:rsidRDefault="00626FF9" w:rsidP="00B63C4D">
            <w:pPr>
              <w:jc w:val="center"/>
              <w:rPr>
                <w:b/>
                <w:bCs/>
                <w:sz w:val="20"/>
                <w:szCs w:val="20"/>
              </w:rPr>
            </w:pPr>
            <w:r w:rsidRPr="002C29D2">
              <w:rPr>
                <w:b/>
                <w:bCs/>
                <w:sz w:val="20"/>
                <w:szCs w:val="20"/>
              </w:rPr>
              <w:t>3.106</w:t>
            </w:r>
          </w:p>
        </w:tc>
        <w:tc>
          <w:tcPr>
            <w:tcW w:w="1067" w:type="dxa"/>
            <w:vAlign w:val="bottom"/>
          </w:tcPr>
          <w:p w14:paraId="595949C3" w14:textId="77777777" w:rsidR="00626FF9" w:rsidRPr="002C29D2" w:rsidRDefault="00626FF9" w:rsidP="00B63C4D">
            <w:pPr>
              <w:jc w:val="center"/>
              <w:rPr>
                <w:b/>
                <w:bCs/>
                <w:sz w:val="20"/>
                <w:szCs w:val="20"/>
              </w:rPr>
            </w:pPr>
            <w:r w:rsidRPr="002C29D2">
              <w:rPr>
                <w:b/>
                <w:bCs/>
                <w:sz w:val="20"/>
                <w:szCs w:val="20"/>
              </w:rPr>
              <w:t>0.002</w:t>
            </w:r>
          </w:p>
        </w:tc>
      </w:tr>
      <w:tr w:rsidR="002C29D2" w:rsidRPr="002C29D2" w14:paraId="174CB63A" w14:textId="77777777" w:rsidTr="00626FF9">
        <w:trPr>
          <w:trHeight w:val="320"/>
        </w:trPr>
        <w:tc>
          <w:tcPr>
            <w:tcW w:w="1435" w:type="dxa"/>
            <w:shd w:val="clear" w:color="auto" w:fill="auto"/>
            <w:noWrap/>
            <w:vAlign w:val="center"/>
          </w:tcPr>
          <w:p w14:paraId="41235F7F" w14:textId="77777777" w:rsidR="00626FF9" w:rsidRPr="002C29D2" w:rsidRDefault="00626FF9" w:rsidP="00626FF9">
            <w:pPr>
              <w:rPr>
                <w:sz w:val="20"/>
                <w:szCs w:val="20"/>
              </w:rPr>
            </w:pPr>
            <w:r w:rsidRPr="002C29D2">
              <w:rPr>
                <w:sz w:val="20"/>
                <w:szCs w:val="20"/>
              </w:rPr>
              <w:t>JUS -&gt; UI</w:t>
            </w:r>
          </w:p>
        </w:tc>
        <w:tc>
          <w:tcPr>
            <w:tcW w:w="970" w:type="dxa"/>
            <w:shd w:val="clear" w:color="auto" w:fill="auto"/>
            <w:noWrap/>
            <w:vAlign w:val="bottom"/>
          </w:tcPr>
          <w:p w14:paraId="0513582B" w14:textId="77777777" w:rsidR="00626FF9" w:rsidRPr="002C29D2" w:rsidRDefault="00626FF9" w:rsidP="00B63C4D">
            <w:pPr>
              <w:jc w:val="center"/>
              <w:rPr>
                <w:sz w:val="20"/>
                <w:szCs w:val="20"/>
              </w:rPr>
            </w:pPr>
            <w:r w:rsidRPr="002C29D2">
              <w:rPr>
                <w:sz w:val="20"/>
                <w:szCs w:val="20"/>
              </w:rPr>
              <w:t>0.107</w:t>
            </w:r>
          </w:p>
        </w:tc>
        <w:tc>
          <w:tcPr>
            <w:tcW w:w="1134" w:type="dxa"/>
            <w:shd w:val="clear" w:color="auto" w:fill="auto"/>
            <w:noWrap/>
            <w:vAlign w:val="bottom"/>
          </w:tcPr>
          <w:p w14:paraId="522A129B" w14:textId="77777777" w:rsidR="00626FF9" w:rsidRPr="002C29D2" w:rsidRDefault="00626FF9" w:rsidP="00B63C4D">
            <w:pPr>
              <w:jc w:val="center"/>
              <w:rPr>
                <w:sz w:val="20"/>
                <w:szCs w:val="20"/>
              </w:rPr>
            </w:pPr>
            <w:r w:rsidRPr="002C29D2">
              <w:rPr>
                <w:sz w:val="20"/>
                <w:szCs w:val="20"/>
              </w:rPr>
              <w:t>0.942</w:t>
            </w:r>
          </w:p>
        </w:tc>
        <w:tc>
          <w:tcPr>
            <w:tcW w:w="992" w:type="dxa"/>
            <w:vAlign w:val="bottom"/>
          </w:tcPr>
          <w:p w14:paraId="3318ABDC" w14:textId="77777777" w:rsidR="00626FF9" w:rsidRPr="002C29D2" w:rsidRDefault="00626FF9" w:rsidP="00B63C4D">
            <w:pPr>
              <w:jc w:val="center"/>
              <w:rPr>
                <w:sz w:val="20"/>
                <w:szCs w:val="20"/>
              </w:rPr>
            </w:pPr>
            <w:r w:rsidRPr="002C29D2">
              <w:rPr>
                <w:sz w:val="20"/>
                <w:szCs w:val="20"/>
              </w:rPr>
              <w:t>0.346</w:t>
            </w:r>
          </w:p>
        </w:tc>
        <w:tc>
          <w:tcPr>
            <w:tcW w:w="992" w:type="dxa"/>
            <w:shd w:val="clear" w:color="auto" w:fill="auto"/>
            <w:noWrap/>
            <w:vAlign w:val="bottom"/>
          </w:tcPr>
          <w:p w14:paraId="5485F1CF" w14:textId="77777777" w:rsidR="00626FF9" w:rsidRPr="002C29D2" w:rsidRDefault="00626FF9" w:rsidP="00B63C4D">
            <w:pPr>
              <w:jc w:val="center"/>
              <w:rPr>
                <w:sz w:val="20"/>
                <w:szCs w:val="20"/>
              </w:rPr>
            </w:pPr>
            <w:r w:rsidRPr="002C29D2">
              <w:rPr>
                <w:sz w:val="20"/>
                <w:szCs w:val="20"/>
              </w:rPr>
              <w:t>-0.182</w:t>
            </w:r>
          </w:p>
        </w:tc>
        <w:tc>
          <w:tcPr>
            <w:tcW w:w="1122" w:type="dxa"/>
            <w:shd w:val="clear" w:color="auto" w:fill="auto"/>
            <w:noWrap/>
            <w:vAlign w:val="bottom"/>
          </w:tcPr>
          <w:p w14:paraId="319A78B4" w14:textId="77777777" w:rsidR="00626FF9" w:rsidRPr="002C29D2" w:rsidRDefault="00626FF9" w:rsidP="00B63C4D">
            <w:pPr>
              <w:jc w:val="center"/>
              <w:rPr>
                <w:sz w:val="20"/>
                <w:szCs w:val="20"/>
              </w:rPr>
            </w:pPr>
            <w:r w:rsidRPr="002C29D2">
              <w:rPr>
                <w:sz w:val="20"/>
                <w:szCs w:val="20"/>
              </w:rPr>
              <w:t>1.877</w:t>
            </w:r>
          </w:p>
        </w:tc>
        <w:tc>
          <w:tcPr>
            <w:tcW w:w="863" w:type="dxa"/>
            <w:vAlign w:val="bottom"/>
          </w:tcPr>
          <w:p w14:paraId="0E155774" w14:textId="77777777" w:rsidR="00626FF9" w:rsidRPr="002C29D2" w:rsidRDefault="00626FF9" w:rsidP="00B63C4D">
            <w:pPr>
              <w:jc w:val="center"/>
              <w:rPr>
                <w:sz w:val="20"/>
                <w:szCs w:val="20"/>
              </w:rPr>
            </w:pPr>
            <w:r w:rsidRPr="002C29D2">
              <w:rPr>
                <w:sz w:val="20"/>
                <w:szCs w:val="20"/>
              </w:rPr>
              <w:t>0.061</w:t>
            </w:r>
          </w:p>
        </w:tc>
        <w:tc>
          <w:tcPr>
            <w:tcW w:w="1201" w:type="dxa"/>
            <w:shd w:val="clear" w:color="auto" w:fill="auto"/>
            <w:noWrap/>
            <w:vAlign w:val="bottom"/>
          </w:tcPr>
          <w:p w14:paraId="63C8AA3F" w14:textId="77777777" w:rsidR="00626FF9" w:rsidRPr="002C29D2" w:rsidRDefault="00626FF9" w:rsidP="00B63C4D">
            <w:pPr>
              <w:jc w:val="center"/>
              <w:rPr>
                <w:sz w:val="20"/>
                <w:szCs w:val="20"/>
              </w:rPr>
            </w:pPr>
            <w:r w:rsidRPr="002C29D2">
              <w:rPr>
                <w:sz w:val="20"/>
                <w:szCs w:val="20"/>
              </w:rPr>
              <w:t>1.941</w:t>
            </w:r>
          </w:p>
        </w:tc>
        <w:tc>
          <w:tcPr>
            <w:tcW w:w="1067" w:type="dxa"/>
            <w:vAlign w:val="bottom"/>
          </w:tcPr>
          <w:p w14:paraId="24381A11" w14:textId="77777777" w:rsidR="00626FF9" w:rsidRPr="002C29D2" w:rsidRDefault="00626FF9" w:rsidP="00B63C4D">
            <w:pPr>
              <w:jc w:val="center"/>
              <w:rPr>
                <w:sz w:val="20"/>
                <w:szCs w:val="20"/>
              </w:rPr>
            </w:pPr>
            <w:r w:rsidRPr="002C29D2">
              <w:rPr>
                <w:sz w:val="20"/>
                <w:szCs w:val="20"/>
              </w:rPr>
              <w:t>0.054</w:t>
            </w:r>
          </w:p>
        </w:tc>
      </w:tr>
      <w:tr w:rsidR="002C29D2" w:rsidRPr="002C29D2" w14:paraId="6F868650" w14:textId="77777777" w:rsidTr="00626FF9">
        <w:trPr>
          <w:trHeight w:val="320"/>
        </w:trPr>
        <w:tc>
          <w:tcPr>
            <w:tcW w:w="1435" w:type="dxa"/>
            <w:shd w:val="clear" w:color="auto" w:fill="auto"/>
            <w:noWrap/>
            <w:vAlign w:val="center"/>
          </w:tcPr>
          <w:p w14:paraId="74F77D73" w14:textId="77777777" w:rsidR="00626FF9" w:rsidRPr="002C29D2" w:rsidRDefault="00626FF9" w:rsidP="00626FF9">
            <w:pPr>
              <w:rPr>
                <w:sz w:val="20"/>
                <w:szCs w:val="20"/>
              </w:rPr>
            </w:pPr>
            <w:r w:rsidRPr="002C29D2">
              <w:rPr>
                <w:sz w:val="20"/>
                <w:szCs w:val="20"/>
              </w:rPr>
              <w:t>NM -&gt; ATA</w:t>
            </w:r>
          </w:p>
        </w:tc>
        <w:tc>
          <w:tcPr>
            <w:tcW w:w="970" w:type="dxa"/>
            <w:shd w:val="clear" w:color="auto" w:fill="auto"/>
            <w:noWrap/>
            <w:vAlign w:val="bottom"/>
          </w:tcPr>
          <w:p w14:paraId="55948F53" w14:textId="77777777" w:rsidR="00626FF9" w:rsidRPr="002C29D2" w:rsidRDefault="00626FF9" w:rsidP="00B63C4D">
            <w:pPr>
              <w:jc w:val="center"/>
              <w:rPr>
                <w:sz w:val="20"/>
                <w:szCs w:val="20"/>
              </w:rPr>
            </w:pPr>
            <w:r w:rsidRPr="002C29D2">
              <w:rPr>
                <w:sz w:val="20"/>
                <w:szCs w:val="20"/>
              </w:rPr>
              <w:t>0.065</w:t>
            </w:r>
          </w:p>
        </w:tc>
        <w:tc>
          <w:tcPr>
            <w:tcW w:w="1134" w:type="dxa"/>
            <w:shd w:val="clear" w:color="auto" w:fill="auto"/>
            <w:noWrap/>
            <w:vAlign w:val="bottom"/>
          </w:tcPr>
          <w:p w14:paraId="3F4B4861" w14:textId="77777777" w:rsidR="00626FF9" w:rsidRPr="002C29D2" w:rsidRDefault="00626FF9" w:rsidP="00B63C4D">
            <w:pPr>
              <w:jc w:val="center"/>
              <w:rPr>
                <w:sz w:val="20"/>
                <w:szCs w:val="20"/>
              </w:rPr>
            </w:pPr>
            <w:r w:rsidRPr="002C29D2">
              <w:rPr>
                <w:sz w:val="20"/>
                <w:szCs w:val="20"/>
              </w:rPr>
              <w:t>0.755</w:t>
            </w:r>
          </w:p>
        </w:tc>
        <w:tc>
          <w:tcPr>
            <w:tcW w:w="992" w:type="dxa"/>
            <w:vAlign w:val="bottom"/>
          </w:tcPr>
          <w:p w14:paraId="46249A4A" w14:textId="77777777" w:rsidR="00626FF9" w:rsidRPr="002C29D2" w:rsidRDefault="00626FF9" w:rsidP="00B63C4D">
            <w:pPr>
              <w:jc w:val="center"/>
              <w:rPr>
                <w:sz w:val="20"/>
                <w:szCs w:val="20"/>
              </w:rPr>
            </w:pPr>
            <w:r w:rsidRPr="002C29D2">
              <w:rPr>
                <w:sz w:val="20"/>
                <w:szCs w:val="20"/>
              </w:rPr>
              <w:t>0.450</w:t>
            </w:r>
          </w:p>
        </w:tc>
        <w:tc>
          <w:tcPr>
            <w:tcW w:w="992" w:type="dxa"/>
            <w:shd w:val="clear" w:color="auto" w:fill="auto"/>
            <w:noWrap/>
            <w:vAlign w:val="bottom"/>
          </w:tcPr>
          <w:p w14:paraId="053FD5B0" w14:textId="77777777" w:rsidR="00626FF9" w:rsidRPr="002C29D2" w:rsidRDefault="00626FF9" w:rsidP="00B63C4D">
            <w:pPr>
              <w:jc w:val="center"/>
              <w:rPr>
                <w:sz w:val="20"/>
                <w:szCs w:val="20"/>
              </w:rPr>
            </w:pPr>
            <w:r w:rsidRPr="002C29D2">
              <w:rPr>
                <w:sz w:val="20"/>
                <w:szCs w:val="20"/>
              </w:rPr>
              <w:t>0.067</w:t>
            </w:r>
          </w:p>
        </w:tc>
        <w:tc>
          <w:tcPr>
            <w:tcW w:w="1122" w:type="dxa"/>
            <w:shd w:val="clear" w:color="auto" w:fill="auto"/>
            <w:noWrap/>
            <w:vAlign w:val="bottom"/>
          </w:tcPr>
          <w:p w14:paraId="7CF57B61" w14:textId="77777777" w:rsidR="00626FF9" w:rsidRPr="002C29D2" w:rsidRDefault="00626FF9" w:rsidP="00B63C4D">
            <w:pPr>
              <w:jc w:val="center"/>
              <w:rPr>
                <w:sz w:val="20"/>
                <w:szCs w:val="20"/>
              </w:rPr>
            </w:pPr>
            <w:r w:rsidRPr="002C29D2">
              <w:rPr>
                <w:sz w:val="20"/>
                <w:szCs w:val="20"/>
              </w:rPr>
              <w:t>0.686</w:t>
            </w:r>
          </w:p>
        </w:tc>
        <w:tc>
          <w:tcPr>
            <w:tcW w:w="863" w:type="dxa"/>
            <w:vAlign w:val="bottom"/>
          </w:tcPr>
          <w:p w14:paraId="708B2C26" w14:textId="77777777" w:rsidR="00626FF9" w:rsidRPr="002C29D2" w:rsidRDefault="00626FF9" w:rsidP="00B63C4D">
            <w:pPr>
              <w:jc w:val="center"/>
              <w:rPr>
                <w:sz w:val="20"/>
                <w:szCs w:val="20"/>
              </w:rPr>
            </w:pPr>
            <w:r w:rsidRPr="002C29D2">
              <w:rPr>
                <w:sz w:val="20"/>
                <w:szCs w:val="20"/>
              </w:rPr>
              <w:t>0.493</w:t>
            </w:r>
          </w:p>
        </w:tc>
        <w:tc>
          <w:tcPr>
            <w:tcW w:w="1201" w:type="dxa"/>
            <w:shd w:val="clear" w:color="auto" w:fill="auto"/>
            <w:noWrap/>
            <w:vAlign w:val="bottom"/>
          </w:tcPr>
          <w:p w14:paraId="2629AE02" w14:textId="77777777" w:rsidR="00626FF9" w:rsidRPr="002C29D2" w:rsidRDefault="00626FF9" w:rsidP="00B63C4D">
            <w:pPr>
              <w:jc w:val="center"/>
              <w:rPr>
                <w:sz w:val="20"/>
                <w:szCs w:val="20"/>
              </w:rPr>
            </w:pPr>
            <w:r w:rsidRPr="002C29D2">
              <w:rPr>
                <w:sz w:val="20"/>
                <w:szCs w:val="20"/>
              </w:rPr>
              <w:t>0.010</w:t>
            </w:r>
          </w:p>
        </w:tc>
        <w:tc>
          <w:tcPr>
            <w:tcW w:w="1067" w:type="dxa"/>
            <w:vAlign w:val="bottom"/>
          </w:tcPr>
          <w:p w14:paraId="2805547A" w14:textId="77777777" w:rsidR="00626FF9" w:rsidRPr="002C29D2" w:rsidRDefault="00626FF9" w:rsidP="00B63C4D">
            <w:pPr>
              <w:jc w:val="center"/>
              <w:rPr>
                <w:sz w:val="20"/>
                <w:szCs w:val="20"/>
              </w:rPr>
            </w:pPr>
            <w:r w:rsidRPr="002C29D2">
              <w:rPr>
                <w:sz w:val="20"/>
                <w:szCs w:val="20"/>
              </w:rPr>
              <w:t>0.992</w:t>
            </w:r>
          </w:p>
        </w:tc>
      </w:tr>
      <w:tr w:rsidR="002C29D2" w:rsidRPr="002C29D2" w14:paraId="3F4F927D" w14:textId="77777777" w:rsidTr="00626FF9">
        <w:trPr>
          <w:trHeight w:val="320"/>
        </w:trPr>
        <w:tc>
          <w:tcPr>
            <w:tcW w:w="1435" w:type="dxa"/>
            <w:shd w:val="clear" w:color="auto" w:fill="auto"/>
            <w:noWrap/>
            <w:vAlign w:val="center"/>
          </w:tcPr>
          <w:p w14:paraId="16DB9B88" w14:textId="77777777" w:rsidR="00626FF9" w:rsidRPr="002C29D2" w:rsidRDefault="00626FF9" w:rsidP="00626FF9">
            <w:pPr>
              <w:rPr>
                <w:sz w:val="20"/>
                <w:szCs w:val="20"/>
              </w:rPr>
            </w:pPr>
            <w:r w:rsidRPr="002C29D2">
              <w:rPr>
                <w:sz w:val="20"/>
                <w:szCs w:val="20"/>
              </w:rPr>
              <w:t>NM -&gt; ENG</w:t>
            </w:r>
          </w:p>
        </w:tc>
        <w:tc>
          <w:tcPr>
            <w:tcW w:w="970" w:type="dxa"/>
            <w:shd w:val="clear" w:color="auto" w:fill="auto"/>
            <w:noWrap/>
            <w:vAlign w:val="bottom"/>
          </w:tcPr>
          <w:p w14:paraId="01EA7C9D" w14:textId="77777777" w:rsidR="00626FF9" w:rsidRPr="002C29D2" w:rsidRDefault="00626FF9" w:rsidP="00B63C4D">
            <w:pPr>
              <w:jc w:val="center"/>
              <w:rPr>
                <w:sz w:val="20"/>
                <w:szCs w:val="20"/>
              </w:rPr>
            </w:pPr>
            <w:r w:rsidRPr="002C29D2">
              <w:rPr>
                <w:sz w:val="20"/>
                <w:szCs w:val="20"/>
              </w:rPr>
              <w:t>0.190</w:t>
            </w:r>
          </w:p>
        </w:tc>
        <w:tc>
          <w:tcPr>
            <w:tcW w:w="1134" w:type="dxa"/>
            <w:shd w:val="clear" w:color="auto" w:fill="auto"/>
            <w:noWrap/>
            <w:vAlign w:val="bottom"/>
          </w:tcPr>
          <w:p w14:paraId="1BBB3C19" w14:textId="77777777" w:rsidR="00626FF9" w:rsidRPr="002C29D2" w:rsidRDefault="00626FF9" w:rsidP="00B63C4D">
            <w:pPr>
              <w:jc w:val="center"/>
              <w:rPr>
                <w:sz w:val="20"/>
                <w:szCs w:val="20"/>
              </w:rPr>
            </w:pPr>
            <w:r w:rsidRPr="002C29D2">
              <w:rPr>
                <w:sz w:val="20"/>
                <w:szCs w:val="20"/>
              </w:rPr>
              <w:t>2.590</w:t>
            </w:r>
          </w:p>
        </w:tc>
        <w:tc>
          <w:tcPr>
            <w:tcW w:w="992" w:type="dxa"/>
            <w:vAlign w:val="bottom"/>
          </w:tcPr>
          <w:p w14:paraId="78FD533D" w14:textId="77777777" w:rsidR="00626FF9" w:rsidRPr="002C29D2" w:rsidRDefault="00626FF9" w:rsidP="00B63C4D">
            <w:pPr>
              <w:jc w:val="center"/>
              <w:rPr>
                <w:sz w:val="20"/>
                <w:szCs w:val="20"/>
              </w:rPr>
            </w:pPr>
            <w:r w:rsidRPr="002C29D2">
              <w:rPr>
                <w:sz w:val="20"/>
                <w:szCs w:val="20"/>
              </w:rPr>
              <w:t>0.010</w:t>
            </w:r>
          </w:p>
        </w:tc>
        <w:tc>
          <w:tcPr>
            <w:tcW w:w="992" w:type="dxa"/>
            <w:shd w:val="clear" w:color="auto" w:fill="auto"/>
            <w:noWrap/>
            <w:vAlign w:val="bottom"/>
          </w:tcPr>
          <w:p w14:paraId="296F38EF" w14:textId="77777777" w:rsidR="00626FF9" w:rsidRPr="002C29D2" w:rsidRDefault="00626FF9" w:rsidP="00B63C4D">
            <w:pPr>
              <w:jc w:val="center"/>
              <w:rPr>
                <w:sz w:val="20"/>
                <w:szCs w:val="20"/>
              </w:rPr>
            </w:pPr>
            <w:r w:rsidRPr="002C29D2">
              <w:rPr>
                <w:sz w:val="20"/>
                <w:szCs w:val="20"/>
              </w:rPr>
              <w:t>0.178</w:t>
            </w:r>
          </w:p>
        </w:tc>
        <w:tc>
          <w:tcPr>
            <w:tcW w:w="1122" w:type="dxa"/>
            <w:shd w:val="clear" w:color="auto" w:fill="auto"/>
            <w:noWrap/>
            <w:vAlign w:val="bottom"/>
          </w:tcPr>
          <w:p w14:paraId="2AE7E059" w14:textId="77777777" w:rsidR="00626FF9" w:rsidRPr="002C29D2" w:rsidRDefault="00626FF9" w:rsidP="00B63C4D">
            <w:pPr>
              <w:jc w:val="center"/>
              <w:rPr>
                <w:sz w:val="20"/>
                <w:szCs w:val="20"/>
              </w:rPr>
            </w:pPr>
            <w:r w:rsidRPr="002C29D2">
              <w:rPr>
                <w:sz w:val="20"/>
                <w:szCs w:val="20"/>
              </w:rPr>
              <w:t>3.077</w:t>
            </w:r>
          </w:p>
        </w:tc>
        <w:tc>
          <w:tcPr>
            <w:tcW w:w="863" w:type="dxa"/>
            <w:vAlign w:val="bottom"/>
          </w:tcPr>
          <w:p w14:paraId="1C9680AA" w14:textId="77777777" w:rsidR="00626FF9" w:rsidRPr="002C29D2" w:rsidRDefault="00626FF9" w:rsidP="00B63C4D">
            <w:pPr>
              <w:jc w:val="center"/>
              <w:rPr>
                <w:sz w:val="20"/>
                <w:szCs w:val="20"/>
              </w:rPr>
            </w:pPr>
            <w:r w:rsidRPr="002C29D2">
              <w:rPr>
                <w:sz w:val="20"/>
                <w:szCs w:val="20"/>
              </w:rPr>
              <w:t>0.002</w:t>
            </w:r>
          </w:p>
        </w:tc>
        <w:tc>
          <w:tcPr>
            <w:tcW w:w="1201" w:type="dxa"/>
            <w:shd w:val="clear" w:color="auto" w:fill="auto"/>
            <w:noWrap/>
            <w:vAlign w:val="bottom"/>
          </w:tcPr>
          <w:p w14:paraId="54D2B46D" w14:textId="77777777" w:rsidR="00626FF9" w:rsidRPr="002C29D2" w:rsidRDefault="00626FF9" w:rsidP="00B63C4D">
            <w:pPr>
              <w:jc w:val="center"/>
              <w:rPr>
                <w:sz w:val="20"/>
                <w:szCs w:val="20"/>
              </w:rPr>
            </w:pPr>
            <w:r w:rsidRPr="002C29D2">
              <w:rPr>
                <w:sz w:val="20"/>
                <w:szCs w:val="20"/>
              </w:rPr>
              <w:t>0.126</w:t>
            </w:r>
          </w:p>
        </w:tc>
        <w:tc>
          <w:tcPr>
            <w:tcW w:w="1067" w:type="dxa"/>
            <w:vAlign w:val="bottom"/>
          </w:tcPr>
          <w:p w14:paraId="32609C0E" w14:textId="77777777" w:rsidR="00626FF9" w:rsidRPr="002C29D2" w:rsidRDefault="00626FF9" w:rsidP="00B63C4D">
            <w:pPr>
              <w:jc w:val="center"/>
              <w:rPr>
                <w:sz w:val="20"/>
                <w:szCs w:val="20"/>
              </w:rPr>
            </w:pPr>
            <w:r w:rsidRPr="002C29D2">
              <w:rPr>
                <w:sz w:val="20"/>
                <w:szCs w:val="20"/>
              </w:rPr>
              <w:t>0.900</w:t>
            </w:r>
          </w:p>
        </w:tc>
      </w:tr>
      <w:tr w:rsidR="002C29D2" w:rsidRPr="002C29D2" w14:paraId="4492BA06" w14:textId="77777777" w:rsidTr="00626FF9">
        <w:trPr>
          <w:trHeight w:val="320"/>
        </w:trPr>
        <w:tc>
          <w:tcPr>
            <w:tcW w:w="1435" w:type="dxa"/>
            <w:shd w:val="clear" w:color="auto" w:fill="auto"/>
            <w:noWrap/>
            <w:vAlign w:val="center"/>
          </w:tcPr>
          <w:p w14:paraId="6AB3913C" w14:textId="77777777" w:rsidR="00626FF9" w:rsidRPr="002C29D2" w:rsidRDefault="00626FF9" w:rsidP="00626FF9">
            <w:pPr>
              <w:rPr>
                <w:sz w:val="20"/>
                <w:szCs w:val="20"/>
              </w:rPr>
            </w:pPr>
            <w:r w:rsidRPr="002C29D2">
              <w:rPr>
                <w:sz w:val="20"/>
                <w:szCs w:val="20"/>
              </w:rPr>
              <w:t>NM -&gt; SAT</w:t>
            </w:r>
          </w:p>
        </w:tc>
        <w:tc>
          <w:tcPr>
            <w:tcW w:w="970" w:type="dxa"/>
            <w:shd w:val="clear" w:color="auto" w:fill="auto"/>
            <w:noWrap/>
            <w:vAlign w:val="bottom"/>
          </w:tcPr>
          <w:p w14:paraId="05D7A41C" w14:textId="77777777" w:rsidR="00626FF9" w:rsidRPr="002C29D2" w:rsidRDefault="00626FF9" w:rsidP="00B63C4D">
            <w:pPr>
              <w:jc w:val="center"/>
              <w:rPr>
                <w:sz w:val="20"/>
                <w:szCs w:val="20"/>
              </w:rPr>
            </w:pPr>
            <w:r w:rsidRPr="002C29D2">
              <w:rPr>
                <w:sz w:val="20"/>
                <w:szCs w:val="20"/>
              </w:rPr>
              <w:t>0.121</w:t>
            </w:r>
          </w:p>
        </w:tc>
        <w:tc>
          <w:tcPr>
            <w:tcW w:w="1134" w:type="dxa"/>
            <w:shd w:val="clear" w:color="auto" w:fill="auto"/>
            <w:noWrap/>
            <w:vAlign w:val="bottom"/>
          </w:tcPr>
          <w:p w14:paraId="3CBF7C92" w14:textId="77777777" w:rsidR="00626FF9" w:rsidRPr="002C29D2" w:rsidRDefault="00626FF9" w:rsidP="00B63C4D">
            <w:pPr>
              <w:jc w:val="center"/>
              <w:rPr>
                <w:sz w:val="20"/>
                <w:szCs w:val="20"/>
              </w:rPr>
            </w:pPr>
            <w:r w:rsidRPr="002C29D2">
              <w:rPr>
                <w:sz w:val="20"/>
                <w:szCs w:val="20"/>
              </w:rPr>
              <w:t>1.593</w:t>
            </w:r>
          </w:p>
        </w:tc>
        <w:tc>
          <w:tcPr>
            <w:tcW w:w="992" w:type="dxa"/>
            <w:vAlign w:val="bottom"/>
          </w:tcPr>
          <w:p w14:paraId="191AC1EF" w14:textId="77777777" w:rsidR="00626FF9" w:rsidRPr="002C29D2" w:rsidRDefault="00626FF9" w:rsidP="00B63C4D">
            <w:pPr>
              <w:jc w:val="center"/>
              <w:rPr>
                <w:sz w:val="20"/>
                <w:szCs w:val="20"/>
              </w:rPr>
            </w:pPr>
            <w:r w:rsidRPr="002C29D2">
              <w:rPr>
                <w:sz w:val="20"/>
                <w:szCs w:val="20"/>
              </w:rPr>
              <w:t>0.111</w:t>
            </w:r>
          </w:p>
        </w:tc>
        <w:tc>
          <w:tcPr>
            <w:tcW w:w="992" w:type="dxa"/>
            <w:shd w:val="clear" w:color="auto" w:fill="auto"/>
            <w:noWrap/>
            <w:vAlign w:val="bottom"/>
          </w:tcPr>
          <w:p w14:paraId="328EBFF2" w14:textId="77777777" w:rsidR="00626FF9" w:rsidRPr="002C29D2" w:rsidRDefault="00626FF9" w:rsidP="00B63C4D">
            <w:pPr>
              <w:jc w:val="center"/>
              <w:rPr>
                <w:sz w:val="20"/>
                <w:szCs w:val="20"/>
              </w:rPr>
            </w:pPr>
            <w:r w:rsidRPr="002C29D2">
              <w:rPr>
                <w:sz w:val="20"/>
                <w:szCs w:val="20"/>
              </w:rPr>
              <w:t>0.131</w:t>
            </w:r>
          </w:p>
        </w:tc>
        <w:tc>
          <w:tcPr>
            <w:tcW w:w="1122" w:type="dxa"/>
            <w:shd w:val="clear" w:color="auto" w:fill="auto"/>
            <w:noWrap/>
            <w:vAlign w:val="bottom"/>
          </w:tcPr>
          <w:p w14:paraId="296683C0" w14:textId="77777777" w:rsidR="00626FF9" w:rsidRPr="002C29D2" w:rsidRDefault="00626FF9" w:rsidP="00B63C4D">
            <w:pPr>
              <w:jc w:val="center"/>
              <w:rPr>
                <w:sz w:val="20"/>
                <w:szCs w:val="20"/>
              </w:rPr>
            </w:pPr>
            <w:r w:rsidRPr="002C29D2">
              <w:rPr>
                <w:sz w:val="20"/>
                <w:szCs w:val="20"/>
              </w:rPr>
              <w:t>1.478</w:t>
            </w:r>
          </w:p>
        </w:tc>
        <w:tc>
          <w:tcPr>
            <w:tcW w:w="863" w:type="dxa"/>
            <w:vAlign w:val="bottom"/>
          </w:tcPr>
          <w:p w14:paraId="5CD9389C" w14:textId="77777777" w:rsidR="00626FF9" w:rsidRPr="002C29D2" w:rsidRDefault="00626FF9" w:rsidP="00B63C4D">
            <w:pPr>
              <w:jc w:val="center"/>
              <w:rPr>
                <w:sz w:val="20"/>
                <w:szCs w:val="20"/>
              </w:rPr>
            </w:pPr>
            <w:r w:rsidRPr="002C29D2">
              <w:rPr>
                <w:sz w:val="20"/>
                <w:szCs w:val="20"/>
              </w:rPr>
              <w:t>0.139</w:t>
            </w:r>
          </w:p>
        </w:tc>
        <w:tc>
          <w:tcPr>
            <w:tcW w:w="1201" w:type="dxa"/>
            <w:shd w:val="clear" w:color="auto" w:fill="auto"/>
            <w:noWrap/>
            <w:vAlign w:val="bottom"/>
          </w:tcPr>
          <w:p w14:paraId="145DAD0A" w14:textId="77777777" w:rsidR="00626FF9" w:rsidRPr="002C29D2" w:rsidRDefault="00626FF9" w:rsidP="00B63C4D">
            <w:pPr>
              <w:jc w:val="center"/>
              <w:rPr>
                <w:sz w:val="20"/>
                <w:szCs w:val="20"/>
              </w:rPr>
            </w:pPr>
            <w:r w:rsidRPr="002C29D2">
              <w:rPr>
                <w:sz w:val="20"/>
                <w:szCs w:val="20"/>
              </w:rPr>
              <w:t>0.085</w:t>
            </w:r>
          </w:p>
        </w:tc>
        <w:tc>
          <w:tcPr>
            <w:tcW w:w="1067" w:type="dxa"/>
            <w:vAlign w:val="bottom"/>
          </w:tcPr>
          <w:p w14:paraId="68C40F7A" w14:textId="77777777" w:rsidR="00626FF9" w:rsidRPr="002C29D2" w:rsidRDefault="00626FF9" w:rsidP="00B63C4D">
            <w:pPr>
              <w:jc w:val="center"/>
              <w:rPr>
                <w:sz w:val="20"/>
                <w:szCs w:val="20"/>
              </w:rPr>
            </w:pPr>
            <w:r w:rsidRPr="002C29D2">
              <w:rPr>
                <w:sz w:val="20"/>
                <w:szCs w:val="20"/>
              </w:rPr>
              <w:t>0.932</w:t>
            </w:r>
          </w:p>
        </w:tc>
      </w:tr>
      <w:tr w:rsidR="002C29D2" w:rsidRPr="002C29D2" w14:paraId="59ABC2E0" w14:textId="77777777" w:rsidTr="00626FF9">
        <w:trPr>
          <w:trHeight w:val="320"/>
        </w:trPr>
        <w:tc>
          <w:tcPr>
            <w:tcW w:w="1435" w:type="dxa"/>
            <w:shd w:val="clear" w:color="auto" w:fill="auto"/>
            <w:noWrap/>
            <w:vAlign w:val="center"/>
          </w:tcPr>
          <w:p w14:paraId="4BF757F0" w14:textId="77777777" w:rsidR="00626FF9" w:rsidRPr="002C29D2" w:rsidRDefault="00626FF9" w:rsidP="00626FF9">
            <w:pPr>
              <w:rPr>
                <w:sz w:val="20"/>
                <w:szCs w:val="20"/>
              </w:rPr>
            </w:pPr>
            <w:r w:rsidRPr="002C29D2">
              <w:rPr>
                <w:sz w:val="20"/>
                <w:szCs w:val="20"/>
              </w:rPr>
              <w:t>NM -&gt; UI</w:t>
            </w:r>
          </w:p>
        </w:tc>
        <w:tc>
          <w:tcPr>
            <w:tcW w:w="970" w:type="dxa"/>
            <w:shd w:val="clear" w:color="auto" w:fill="auto"/>
            <w:noWrap/>
            <w:vAlign w:val="bottom"/>
          </w:tcPr>
          <w:p w14:paraId="6AF57145" w14:textId="77777777" w:rsidR="00626FF9" w:rsidRPr="002C29D2" w:rsidRDefault="00626FF9" w:rsidP="00B63C4D">
            <w:pPr>
              <w:jc w:val="center"/>
              <w:rPr>
                <w:sz w:val="20"/>
                <w:szCs w:val="20"/>
              </w:rPr>
            </w:pPr>
            <w:r w:rsidRPr="002C29D2">
              <w:rPr>
                <w:sz w:val="20"/>
                <w:szCs w:val="20"/>
              </w:rPr>
              <w:t>-0.050</w:t>
            </w:r>
          </w:p>
        </w:tc>
        <w:tc>
          <w:tcPr>
            <w:tcW w:w="1134" w:type="dxa"/>
            <w:shd w:val="clear" w:color="auto" w:fill="auto"/>
            <w:noWrap/>
            <w:vAlign w:val="bottom"/>
          </w:tcPr>
          <w:p w14:paraId="65075129" w14:textId="77777777" w:rsidR="00626FF9" w:rsidRPr="002C29D2" w:rsidRDefault="00626FF9" w:rsidP="00B63C4D">
            <w:pPr>
              <w:jc w:val="center"/>
              <w:rPr>
                <w:sz w:val="20"/>
                <w:szCs w:val="20"/>
              </w:rPr>
            </w:pPr>
            <w:r w:rsidRPr="002C29D2">
              <w:rPr>
                <w:sz w:val="20"/>
                <w:szCs w:val="20"/>
              </w:rPr>
              <w:t>0.598</w:t>
            </w:r>
          </w:p>
        </w:tc>
        <w:tc>
          <w:tcPr>
            <w:tcW w:w="992" w:type="dxa"/>
            <w:vAlign w:val="bottom"/>
          </w:tcPr>
          <w:p w14:paraId="64C17DB7" w14:textId="77777777" w:rsidR="00626FF9" w:rsidRPr="002C29D2" w:rsidRDefault="00626FF9" w:rsidP="00B63C4D">
            <w:pPr>
              <w:jc w:val="center"/>
              <w:rPr>
                <w:sz w:val="20"/>
                <w:szCs w:val="20"/>
              </w:rPr>
            </w:pPr>
            <w:r w:rsidRPr="002C29D2">
              <w:rPr>
                <w:sz w:val="20"/>
                <w:szCs w:val="20"/>
              </w:rPr>
              <w:t>0.550</w:t>
            </w:r>
          </w:p>
        </w:tc>
        <w:tc>
          <w:tcPr>
            <w:tcW w:w="992" w:type="dxa"/>
            <w:shd w:val="clear" w:color="auto" w:fill="auto"/>
            <w:noWrap/>
            <w:vAlign w:val="bottom"/>
          </w:tcPr>
          <w:p w14:paraId="6E00BDEE" w14:textId="77777777" w:rsidR="00626FF9" w:rsidRPr="002C29D2" w:rsidRDefault="00626FF9" w:rsidP="00B63C4D">
            <w:pPr>
              <w:jc w:val="center"/>
              <w:rPr>
                <w:sz w:val="20"/>
                <w:szCs w:val="20"/>
              </w:rPr>
            </w:pPr>
            <w:r w:rsidRPr="002C29D2">
              <w:rPr>
                <w:sz w:val="20"/>
                <w:szCs w:val="20"/>
              </w:rPr>
              <w:t>-0.068</w:t>
            </w:r>
          </w:p>
        </w:tc>
        <w:tc>
          <w:tcPr>
            <w:tcW w:w="1122" w:type="dxa"/>
            <w:shd w:val="clear" w:color="auto" w:fill="auto"/>
            <w:noWrap/>
            <w:vAlign w:val="bottom"/>
          </w:tcPr>
          <w:p w14:paraId="2D83353E" w14:textId="77777777" w:rsidR="00626FF9" w:rsidRPr="002C29D2" w:rsidRDefault="00626FF9" w:rsidP="00B63C4D">
            <w:pPr>
              <w:jc w:val="center"/>
              <w:rPr>
                <w:sz w:val="20"/>
                <w:szCs w:val="20"/>
              </w:rPr>
            </w:pPr>
            <w:r w:rsidRPr="002C29D2">
              <w:rPr>
                <w:sz w:val="20"/>
                <w:szCs w:val="20"/>
              </w:rPr>
              <w:t>0.832</w:t>
            </w:r>
          </w:p>
        </w:tc>
        <w:tc>
          <w:tcPr>
            <w:tcW w:w="863" w:type="dxa"/>
            <w:vAlign w:val="bottom"/>
          </w:tcPr>
          <w:p w14:paraId="1D9E6703" w14:textId="77777777" w:rsidR="00626FF9" w:rsidRPr="002C29D2" w:rsidRDefault="00626FF9" w:rsidP="00B63C4D">
            <w:pPr>
              <w:jc w:val="center"/>
              <w:rPr>
                <w:sz w:val="20"/>
                <w:szCs w:val="20"/>
              </w:rPr>
            </w:pPr>
            <w:r w:rsidRPr="002C29D2">
              <w:rPr>
                <w:sz w:val="20"/>
                <w:szCs w:val="20"/>
              </w:rPr>
              <w:t>0.405</w:t>
            </w:r>
          </w:p>
        </w:tc>
        <w:tc>
          <w:tcPr>
            <w:tcW w:w="1201" w:type="dxa"/>
            <w:shd w:val="clear" w:color="auto" w:fill="auto"/>
            <w:noWrap/>
            <w:vAlign w:val="bottom"/>
          </w:tcPr>
          <w:p w14:paraId="60E2AF9C" w14:textId="77777777" w:rsidR="00626FF9" w:rsidRPr="002C29D2" w:rsidRDefault="00626FF9" w:rsidP="00B63C4D">
            <w:pPr>
              <w:jc w:val="center"/>
              <w:rPr>
                <w:sz w:val="20"/>
                <w:szCs w:val="20"/>
              </w:rPr>
            </w:pPr>
            <w:r w:rsidRPr="002C29D2">
              <w:rPr>
                <w:sz w:val="20"/>
                <w:szCs w:val="20"/>
              </w:rPr>
              <w:t>0.150</w:t>
            </w:r>
          </w:p>
        </w:tc>
        <w:tc>
          <w:tcPr>
            <w:tcW w:w="1067" w:type="dxa"/>
            <w:vAlign w:val="bottom"/>
          </w:tcPr>
          <w:p w14:paraId="7377E57C" w14:textId="77777777" w:rsidR="00626FF9" w:rsidRPr="002C29D2" w:rsidRDefault="00626FF9" w:rsidP="00B63C4D">
            <w:pPr>
              <w:jc w:val="center"/>
              <w:rPr>
                <w:sz w:val="20"/>
                <w:szCs w:val="20"/>
              </w:rPr>
            </w:pPr>
            <w:r w:rsidRPr="002C29D2">
              <w:rPr>
                <w:sz w:val="20"/>
                <w:szCs w:val="20"/>
              </w:rPr>
              <w:t>0.881</w:t>
            </w:r>
          </w:p>
        </w:tc>
      </w:tr>
    </w:tbl>
    <w:p w14:paraId="2D5FFCE5" w14:textId="77777777" w:rsidR="00626FF9" w:rsidRPr="002C29D2" w:rsidRDefault="00626FF9" w:rsidP="00626FF9">
      <w:pPr>
        <w:adjustRightInd w:val="0"/>
        <w:snapToGrid w:val="0"/>
        <w:spacing w:line="360" w:lineRule="auto"/>
        <w:jc w:val="both"/>
      </w:pPr>
    </w:p>
    <w:tbl>
      <w:tblPr>
        <w:tblpPr w:leftFromText="180" w:rightFromText="180" w:vertAnchor="text" w:horzAnchor="margin" w:tblpXSpec="center" w:tblpY="10"/>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70"/>
        <w:gridCol w:w="1134"/>
        <w:gridCol w:w="992"/>
        <w:gridCol w:w="992"/>
        <w:gridCol w:w="1122"/>
        <w:gridCol w:w="863"/>
        <w:gridCol w:w="1201"/>
        <w:gridCol w:w="1067"/>
      </w:tblGrid>
      <w:tr w:rsidR="002C29D2" w:rsidRPr="002C29D2" w14:paraId="6C14235B" w14:textId="77777777" w:rsidTr="00626FF9">
        <w:trPr>
          <w:trHeight w:val="320"/>
        </w:trPr>
        <w:tc>
          <w:tcPr>
            <w:tcW w:w="1435" w:type="dxa"/>
            <w:shd w:val="clear" w:color="auto" w:fill="auto"/>
            <w:noWrap/>
            <w:vAlign w:val="center"/>
            <w:hideMark/>
          </w:tcPr>
          <w:p w14:paraId="567597C9" w14:textId="77777777" w:rsidR="00626FF9" w:rsidRPr="002C29D2" w:rsidRDefault="00626FF9" w:rsidP="00626FF9">
            <w:pPr>
              <w:jc w:val="center"/>
              <w:rPr>
                <w:b/>
                <w:bCs/>
                <w:sz w:val="20"/>
                <w:szCs w:val="20"/>
                <w:lang w:eastAsia="zh-TW"/>
              </w:rPr>
            </w:pPr>
            <w:r w:rsidRPr="002C29D2">
              <w:rPr>
                <w:b/>
                <w:bCs/>
                <w:sz w:val="20"/>
                <w:szCs w:val="20"/>
                <w:lang w:eastAsia="zh-TW"/>
              </w:rPr>
              <w:t>Education background</w:t>
            </w:r>
          </w:p>
        </w:tc>
        <w:tc>
          <w:tcPr>
            <w:tcW w:w="3096" w:type="dxa"/>
            <w:gridSpan w:val="3"/>
            <w:shd w:val="clear" w:color="auto" w:fill="auto"/>
            <w:noWrap/>
            <w:vAlign w:val="center"/>
            <w:hideMark/>
          </w:tcPr>
          <w:p w14:paraId="784CD581" w14:textId="28E8220C" w:rsidR="00626FF9" w:rsidRPr="002C29D2" w:rsidRDefault="00B31E3E" w:rsidP="00626FF9">
            <w:pPr>
              <w:jc w:val="center"/>
              <w:rPr>
                <w:b/>
                <w:bCs/>
                <w:sz w:val="20"/>
                <w:szCs w:val="20"/>
              </w:rPr>
            </w:pPr>
            <w:r w:rsidRPr="002C29D2">
              <w:rPr>
                <w:b/>
                <w:bCs/>
                <w:sz w:val="20"/>
                <w:szCs w:val="20"/>
              </w:rPr>
              <w:t>Group</w:t>
            </w:r>
            <w:r w:rsidR="00626FF9" w:rsidRPr="002C29D2">
              <w:rPr>
                <w:b/>
                <w:bCs/>
                <w:sz w:val="20"/>
                <w:szCs w:val="20"/>
              </w:rPr>
              <w:t xml:space="preserve"> 1: Bachelor’s Degree and Master’s D</w:t>
            </w:r>
            <w:r w:rsidR="004809D8" w:rsidRPr="002C29D2">
              <w:rPr>
                <w:b/>
                <w:bCs/>
                <w:sz w:val="20"/>
                <w:szCs w:val="20"/>
              </w:rPr>
              <w:t>e</w:t>
            </w:r>
            <w:r w:rsidR="00626FF9" w:rsidRPr="002C29D2">
              <w:rPr>
                <w:b/>
                <w:bCs/>
                <w:sz w:val="20"/>
                <w:szCs w:val="20"/>
              </w:rPr>
              <w:t>gree (n = 2</w:t>
            </w:r>
            <w:r w:rsidR="00483AB4" w:rsidRPr="002C29D2">
              <w:rPr>
                <w:b/>
                <w:bCs/>
                <w:sz w:val="20"/>
                <w:szCs w:val="20"/>
              </w:rPr>
              <w:t>97</w:t>
            </w:r>
            <w:r w:rsidR="00626FF9" w:rsidRPr="002C29D2">
              <w:rPr>
                <w:b/>
                <w:bCs/>
                <w:sz w:val="20"/>
                <w:szCs w:val="20"/>
              </w:rPr>
              <w:t>)</w:t>
            </w:r>
          </w:p>
        </w:tc>
        <w:tc>
          <w:tcPr>
            <w:tcW w:w="2977" w:type="dxa"/>
            <w:gridSpan w:val="3"/>
            <w:shd w:val="clear" w:color="auto" w:fill="auto"/>
            <w:noWrap/>
            <w:vAlign w:val="center"/>
            <w:hideMark/>
          </w:tcPr>
          <w:p w14:paraId="36A7ADC0" w14:textId="440AF8D6" w:rsidR="00626FF9" w:rsidRPr="002C29D2" w:rsidRDefault="00B31E3E" w:rsidP="00626FF9">
            <w:pPr>
              <w:jc w:val="center"/>
              <w:rPr>
                <w:b/>
                <w:bCs/>
                <w:sz w:val="20"/>
                <w:szCs w:val="20"/>
              </w:rPr>
            </w:pPr>
            <w:r w:rsidRPr="002C29D2">
              <w:rPr>
                <w:b/>
                <w:bCs/>
                <w:sz w:val="20"/>
                <w:szCs w:val="20"/>
              </w:rPr>
              <w:t>Group</w:t>
            </w:r>
            <w:r w:rsidR="00626FF9" w:rsidRPr="002C29D2">
              <w:rPr>
                <w:b/>
                <w:bCs/>
                <w:sz w:val="20"/>
                <w:szCs w:val="20"/>
              </w:rPr>
              <w:t xml:space="preserve"> 2: Doctoral </w:t>
            </w:r>
            <w:r w:rsidR="00245505" w:rsidRPr="002C29D2">
              <w:rPr>
                <w:b/>
                <w:bCs/>
                <w:sz w:val="20"/>
                <w:szCs w:val="20"/>
              </w:rPr>
              <w:t>D</w:t>
            </w:r>
            <w:r w:rsidR="00626FF9" w:rsidRPr="002C29D2">
              <w:rPr>
                <w:b/>
                <w:bCs/>
                <w:sz w:val="20"/>
                <w:szCs w:val="20"/>
              </w:rPr>
              <w:t>egree and above (n = 1</w:t>
            </w:r>
            <w:r w:rsidR="00483AB4" w:rsidRPr="002C29D2">
              <w:rPr>
                <w:b/>
                <w:bCs/>
                <w:sz w:val="20"/>
                <w:szCs w:val="20"/>
              </w:rPr>
              <w:t>07</w:t>
            </w:r>
            <w:r w:rsidR="00626FF9" w:rsidRPr="002C29D2">
              <w:rPr>
                <w:b/>
                <w:bCs/>
                <w:sz w:val="20"/>
                <w:szCs w:val="20"/>
              </w:rPr>
              <w:t>)</w:t>
            </w:r>
          </w:p>
        </w:tc>
        <w:tc>
          <w:tcPr>
            <w:tcW w:w="2268" w:type="dxa"/>
            <w:gridSpan w:val="2"/>
            <w:shd w:val="clear" w:color="auto" w:fill="auto"/>
            <w:noWrap/>
            <w:vAlign w:val="center"/>
            <w:hideMark/>
          </w:tcPr>
          <w:p w14:paraId="59C16A34" w14:textId="486D2553" w:rsidR="00626FF9" w:rsidRPr="002C29D2" w:rsidRDefault="00B31E3E" w:rsidP="00626FF9">
            <w:pPr>
              <w:jc w:val="center"/>
              <w:rPr>
                <w:b/>
                <w:bCs/>
                <w:sz w:val="20"/>
                <w:szCs w:val="20"/>
              </w:rPr>
            </w:pPr>
            <w:r w:rsidRPr="002C29D2">
              <w:rPr>
                <w:b/>
                <w:bCs/>
                <w:sz w:val="20"/>
                <w:szCs w:val="20"/>
              </w:rPr>
              <w:t>Group</w:t>
            </w:r>
            <w:r w:rsidR="00626FF9" w:rsidRPr="002C29D2">
              <w:rPr>
                <w:b/>
                <w:bCs/>
                <w:sz w:val="20"/>
                <w:szCs w:val="20"/>
              </w:rPr>
              <w:t xml:space="preserve"> 1 vs </w:t>
            </w:r>
            <w:r w:rsidRPr="002C29D2">
              <w:rPr>
                <w:b/>
                <w:bCs/>
                <w:sz w:val="20"/>
                <w:szCs w:val="20"/>
              </w:rPr>
              <w:t>Group</w:t>
            </w:r>
            <w:r w:rsidR="00D6428D" w:rsidRPr="002C29D2">
              <w:rPr>
                <w:b/>
                <w:bCs/>
                <w:sz w:val="20"/>
                <w:szCs w:val="20"/>
              </w:rPr>
              <w:t xml:space="preserve"> </w:t>
            </w:r>
            <w:r w:rsidR="00626FF9" w:rsidRPr="002C29D2">
              <w:rPr>
                <w:b/>
                <w:bCs/>
                <w:sz w:val="20"/>
                <w:szCs w:val="20"/>
              </w:rPr>
              <w:t>2</w:t>
            </w:r>
          </w:p>
        </w:tc>
      </w:tr>
      <w:tr w:rsidR="002C29D2" w:rsidRPr="002C29D2" w14:paraId="3F4A9DCC" w14:textId="77777777" w:rsidTr="00626FF9">
        <w:trPr>
          <w:trHeight w:val="320"/>
        </w:trPr>
        <w:tc>
          <w:tcPr>
            <w:tcW w:w="1435" w:type="dxa"/>
            <w:shd w:val="clear" w:color="auto" w:fill="auto"/>
            <w:noWrap/>
            <w:vAlign w:val="center"/>
          </w:tcPr>
          <w:p w14:paraId="5B9D4B6C" w14:textId="77777777" w:rsidR="00626FF9" w:rsidRPr="002C29D2" w:rsidRDefault="00626FF9" w:rsidP="00626FF9">
            <w:pPr>
              <w:jc w:val="center"/>
              <w:rPr>
                <w:sz w:val="20"/>
                <w:szCs w:val="20"/>
              </w:rPr>
            </w:pPr>
          </w:p>
        </w:tc>
        <w:tc>
          <w:tcPr>
            <w:tcW w:w="970" w:type="dxa"/>
            <w:shd w:val="clear" w:color="auto" w:fill="auto"/>
            <w:noWrap/>
            <w:vAlign w:val="center"/>
          </w:tcPr>
          <w:p w14:paraId="3C6367B2" w14:textId="77777777" w:rsidR="00626FF9" w:rsidRPr="002C29D2" w:rsidRDefault="00626FF9" w:rsidP="00626FF9">
            <w:pPr>
              <w:jc w:val="center"/>
              <w:rPr>
                <w:sz w:val="20"/>
                <w:szCs w:val="20"/>
              </w:rPr>
            </w:pPr>
            <w:r w:rsidRPr="002C29D2">
              <w:rPr>
                <w:sz w:val="20"/>
                <w:szCs w:val="20"/>
              </w:rPr>
              <w:t>β</w:t>
            </w:r>
          </w:p>
        </w:tc>
        <w:tc>
          <w:tcPr>
            <w:tcW w:w="1134" w:type="dxa"/>
            <w:shd w:val="clear" w:color="auto" w:fill="auto"/>
            <w:noWrap/>
            <w:vAlign w:val="center"/>
          </w:tcPr>
          <w:p w14:paraId="4C8DDC00" w14:textId="77777777" w:rsidR="00626FF9" w:rsidRPr="002C29D2" w:rsidRDefault="00626FF9" w:rsidP="00626FF9">
            <w:pPr>
              <w:jc w:val="center"/>
              <w:rPr>
                <w:sz w:val="20"/>
                <w:szCs w:val="20"/>
              </w:rPr>
            </w:pPr>
            <w:r w:rsidRPr="002C29D2">
              <w:rPr>
                <w:sz w:val="20"/>
                <w:szCs w:val="20"/>
              </w:rPr>
              <w:t>T statistics</w:t>
            </w:r>
          </w:p>
        </w:tc>
        <w:tc>
          <w:tcPr>
            <w:tcW w:w="992" w:type="dxa"/>
            <w:vAlign w:val="center"/>
          </w:tcPr>
          <w:p w14:paraId="793DB8A6" w14:textId="77777777" w:rsidR="00626FF9" w:rsidRPr="002C29D2" w:rsidRDefault="00626FF9" w:rsidP="00626FF9">
            <w:pPr>
              <w:jc w:val="center"/>
              <w:rPr>
                <w:sz w:val="20"/>
                <w:szCs w:val="20"/>
              </w:rPr>
            </w:pPr>
            <w:r w:rsidRPr="002C29D2">
              <w:rPr>
                <w:sz w:val="20"/>
                <w:szCs w:val="20"/>
              </w:rPr>
              <w:t>p</w:t>
            </w:r>
          </w:p>
        </w:tc>
        <w:tc>
          <w:tcPr>
            <w:tcW w:w="992" w:type="dxa"/>
            <w:shd w:val="clear" w:color="auto" w:fill="auto"/>
            <w:noWrap/>
            <w:vAlign w:val="center"/>
          </w:tcPr>
          <w:p w14:paraId="4FE1B18A" w14:textId="77777777" w:rsidR="00626FF9" w:rsidRPr="002C29D2" w:rsidRDefault="00626FF9" w:rsidP="00626FF9">
            <w:pPr>
              <w:jc w:val="center"/>
              <w:rPr>
                <w:sz w:val="20"/>
                <w:szCs w:val="20"/>
              </w:rPr>
            </w:pPr>
            <w:r w:rsidRPr="002C29D2">
              <w:rPr>
                <w:sz w:val="20"/>
                <w:szCs w:val="20"/>
              </w:rPr>
              <w:t>β</w:t>
            </w:r>
          </w:p>
        </w:tc>
        <w:tc>
          <w:tcPr>
            <w:tcW w:w="1122" w:type="dxa"/>
            <w:shd w:val="clear" w:color="auto" w:fill="auto"/>
            <w:noWrap/>
            <w:vAlign w:val="center"/>
          </w:tcPr>
          <w:p w14:paraId="2064D114" w14:textId="77777777" w:rsidR="00626FF9" w:rsidRPr="002C29D2" w:rsidRDefault="00626FF9" w:rsidP="00626FF9">
            <w:pPr>
              <w:jc w:val="center"/>
              <w:rPr>
                <w:sz w:val="20"/>
                <w:szCs w:val="20"/>
              </w:rPr>
            </w:pPr>
            <w:r w:rsidRPr="002C29D2">
              <w:rPr>
                <w:sz w:val="20"/>
                <w:szCs w:val="20"/>
              </w:rPr>
              <w:t>T statistics</w:t>
            </w:r>
          </w:p>
        </w:tc>
        <w:tc>
          <w:tcPr>
            <w:tcW w:w="863" w:type="dxa"/>
            <w:vAlign w:val="center"/>
          </w:tcPr>
          <w:p w14:paraId="56B5ACDA" w14:textId="77777777" w:rsidR="00626FF9" w:rsidRPr="002C29D2" w:rsidRDefault="00626FF9" w:rsidP="00626FF9">
            <w:pPr>
              <w:jc w:val="center"/>
              <w:rPr>
                <w:sz w:val="20"/>
                <w:szCs w:val="20"/>
              </w:rPr>
            </w:pPr>
            <w:r w:rsidRPr="002C29D2">
              <w:rPr>
                <w:sz w:val="20"/>
                <w:szCs w:val="20"/>
              </w:rPr>
              <w:t>p</w:t>
            </w:r>
          </w:p>
        </w:tc>
        <w:tc>
          <w:tcPr>
            <w:tcW w:w="1201" w:type="dxa"/>
            <w:shd w:val="clear" w:color="auto" w:fill="auto"/>
            <w:noWrap/>
            <w:vAlign w:val="center"/>
          </w:tcPr>
          <w:p w14:paraId="12B51711" w14:textId="77777777" w:rsidR="00626FF9" w:rsidRPr="002C29D2" w:rsidRDefault="00626FF9" w:rsidP="00626FF9">
            <w:pPr>
              <w:jc w:val="center"/>
              <w:rPr>
                <w:sz w:val="20"/>
                <w:szCs w:val="20"/>
              </w:rPr>
            </w:pPr>
            <w:r w:rsidRPr="002C29D2">
              <w:rPr>
                <w:sz w:val="20"/>
                <w:szCs w:val="20"/>
              </w:rPr>
              <w:t>T statistics</w:t>
            </w:r>
          </w:p>
        </w:tc>
        <w:tc>
          <w:tcPr>
            <w:tcW w:w="1067" w:type="dxa"/>
            <w:vAlign w:val="center"/>
          </w:tcPr>
          <w:p w14:paraId="4842A1EB" w14:textId="77777777" w:rsidR="00626FF9" w:rsidRPr="002C29D2" w:rsidRDefault="00626FF9" w:rsidP="00626FF9">
            <w:pPr>
              <w:jc w:val="center"/>
              <w:rPr>
                <w:sz w:val="20"/>
                <w:szCs w:val="20"/>
              </w:rPr>
            </w:pPr>
            <w:r w:rsidRPr="002C29D2">
              <w:rPr>
                <w:sz w:val="20"/>
                <w:szCs w:val="20"/>
              </w:rPr>
              <w:t>p</w:t>
            </w:r>
          </w:p>
        </w:tc>
      </w:tr>
      <w:tr w:rsidR="002C29D2" w:rsidRPr="002C29D2" w14:paraId="7AFD3242" w14:textId="77777777" w:rsidTr="00626FF9">
        <w:trPr>
          <w:trHeight w:val="320"/>
        </w:trPr>
        <w:tc>
          <w:tcPr>
            <w:tcW w:w="1435" w:type="dxa"/>
            <w:shd w:val="clear" w:color="auto" w:fill="auto"/>
            <w:noWrap/>
            <w:vAlign w:val="center"/>
          </w:tcPr>
          <w:p w14:paraId="2C946464" w14:textId="77777777" w:rsidR="00626FF9" w:rsidRPr="002C29D2" w:rsidRDefault="00626FF9" w:rsidP="00626FF9">
            <w:pPr>
              <w:rPr>
                <w:sz w:val="20"/>
                <w:szCs w:val="20"/>
              </w:rPr>
            </w:pPr>
            <w:r w:rsidRPr="002C29D2">
              <w:rPr>
                <w:sz w:val="20"/>
                <w:szCs w:val="20"/>
              </w:rPr>
              <w:t>AU -&gt; ATA</w:t>
            </w:r>
          </w:p>
        </w:tc>
        <w:tc>
          <w:tcPr>
            <w:tcW w:w="970" w:type="dxa"/>
            <w:shd w:val="clear" w:color="auto" w:fill="auto"/>
            <w:noWrap/>
            <w:vAlign w:val="bottom"/>
          </w:tcPr>
          <w:p w14:paraId="53DC1C88" w14:textId="77777777" w:rsidR="00626FF9" w:rsidRPr="002C29D2" w:rsidRDefault="00626FF9" w:rsidP="00B63C4D">
            <w:pPr>
              <w:jc w:val="center"/>
              <w:rPr>
                <w:sz w:val="20"/>
                <w:szCs w:val="20"/>
              </w:rPr>
            </w:pPr>
            <w:r w:rsidRPr="002C29D2">
              <w:rPr>
                <w:sz w:val="20"/>
                <w:szCs w:val="20"/>
              </w:rPr>
              <w:t>-0.018</w:t>
            </w:r>
          </w:p>
        </w:tc>
        <w:tc>
          <w:tcPr>
            <w:tcW w:w="1134" w:type="dxa"/>
            <w:shd w:val="clear" w:color="auto" w:fill="auto"/>
            <w:noWrap/>
            <w:vAlign w:val="bottom"/>
          </w:tcPr>
          <w:p w14:paraId="3E3F5CD5" w14:textId="77777777" w:rsidR="00626FF9" w:rsidRPr="002C29D2" w:rsidRDefault="00626FF9" w:rsidP="00B63C4D">
            <w:pPr>
              <w:jc w:val="center"/>
              <w:rPr>
                <w:sz w:val="20"/>
                <w:szCs w:val="20"/>
              </w:rPr>
            </w:pPr>
            <w:r w:rsidRPr="002C29D2">
              <w:rPr>
                <w:sz w:val="20"/>
                <w:szCs w:val="20"/>
              </w:rPr>
              <w:t>0.254</w:t>
            </w:r>
          </w:p>
        </w:tc>
        <w:tc>
          <w:tcPr>
            <w:tcW w:w="992" w:type="dxa"/>
            <w:vAlign w:val="bottom"/>
          </w:tcPr>
          <w:p w14:paraId="1FD91F8A" w14:textId="77777777" w:rsidR="00626FF9" w:rsidRPr="002C29D2" w:rsidRDefault="00626FF9" w:rsidP="00B63C4D">
            <w:pPr>
              <w:jc w:val="center"/>
              <w:rPr>
                <w:sz w:val="20"/>
                <w:szCs w:val="20"/>
              </w:rPr>
            </w:pPr>
            <w:r w:rsidRPr="002C29D2">
              <w:rPr>
                <w:sz w:val="20"/>
                <w:szCs w:val="20"/>
              </w:rPr>
              <w:t>0.799</w:t>
            </w:r>
          </w:p>
        </w:tc>
        <w:tc>
          <w:tcPr>
            <w:tcW w:w="992" w:type="dxa"/>
            <w:shd w:val="clear" w:color="auto" w:fill="auto"/>
            <w:noWrap/>
            <w:vAlign w:val="bottom"/>
          </w:tcPr>
          <w:p w14:paraId="679BA189" w14:textId="77777777" w:rsidR="00626FF9" w:rsidRPr="002C29D2" w:rsidRDefault="00626FF9" w:rsidP="00B63C4D">
            <w:pPr>
              <w:jc w:val="center"/>
              <w:rPr>
                <w:sz w:val="20"/>
                <w:szCs w:val="20"/>
              </w:rPr>
            </w:pPr>
            <w:r w:rsidRPr="002C29D2">
              <w:rPr>
                <w:sz w:val="20"/>
                <w:szCs w:val="20"/>
              </w:rPr>
              <w:t>-0.115</w:t>
            </w:r>
          </w:p>
        </w:tc>
        <w:tc>
          <w:tcPr>
            <w:tcW w:w="1122" w:type="dxa"/>
            <w:shd w:val="clear" w:color="auto" w:fill="auto"/>
            <w:noWrap/>
            <w:vAlign w:val="bottom"/>
          </w:tcPr>
          <w:p w14:paraId="5890EBA5" w14:textId="77777777" w:rsidR="00626FF9" w:rsidRPr="002C29D2" w:rsidRDefault="00626FF9" w:rsidP="00B63C4D">
            <w:pPr>
              <w:jc w:val="center"/>
              <w:rPr>
                <w:sz w:val="20"/>
                <w:szCs w:val="20"/>
              </w:rPr>
            </w:pPr>
            <w:r w:rsidRPr="002C29D2">
              <w:rPr>
                <w:sz w:val="20"/>
                <w:szCs w:val="20"/>
              </w:rPr>
              <w:t>1.018</w:t>
            </w:r>
          </w:p>
        </w:tc>
        <w:tc>
          <w:tcPr>
            <w:tcW w:w="863" w:type="dxa"/>
            <w:vAlign w:val="bottom"/>
          </w:tcPr>
          <w:p w14:paraId="4AAD01D7" w14:textId="77777777" w:rsidR="00626FF9" w:rsidRPr="002C29D2" w:rsidRDefault="00626FF9" w:rsidP="00B63C4D">
            <w:pPr>
              <w:jc w:val="center"/>
              <w:rPr>
                <w:sz w:val="20"/>
                <w:szCs w:val="20"/>
              </w:rPr>
            </w:pPr>
            <w:r w:rsidRPr="002C29D2">
              <w:rPr>
                <w:sz w:val="20"/>
                <w:szCs w:val="20"/>
              </w:rPr>
              <w:t>0.309</w:t>
            </w:r>
          </w:p>
        </w:tc>
        <w:tc>
          <w:tcPr>
            <w:tcW w:w="1201" w:type="dxa"/>
            <w:shd w:val="clear" w:color="auto" w:fill="auto"/>
            <w:noWrap/>
            <w:vAlign w:val="bottom"/>
          </w:tcPr>
          <w:p w14:paraId="6A2C7A55" w14:textId="77777777" w:rsidR="00626FF9" w:rsidRPr="002C29D2" w:rsidRDefault="00626FF9" w:rsidP="00B63C4D">
            <w:pPr>
              <w:jc w:val="center"/>
              <w:rPr>
                <w:sz w:val="20"/>
                <w:szCs w:val="20"/>
              </w:rPr>
            </w:pPr>
            <w:r w:rsidRPr="002C29D2">
              <w:rPr>
                <w:sz w:val="20"/>
                <w:szCs w:val="20"/>
              </w:rPr>
              <w:t>0.724</w:t>
            </w:r>
          </w:p>
        </w:tc>
        <w:tc>
          <w:tcPr>
            <w:tcW w:w="1067" w:type="dxa"/>
            <w:vAlign w:val="bottom"/>
          </w:tcPr>
          <w:p w14:paraId="475DF7EE" w14:textId="77777777" w:rsidR="00626FF9" w:rsidRPr="002C29D2" w:rsidRDefault="00626FF9" w:rsidP="00B63C4D">
            <w:pPr>
              <w:jc w:val="center"/>
              <w:rPr>
                <w:sz w:val="20"/>
                <w:szCs w:val="20"/>
              </w:rPr>
            </w:pPr>
            <w:r w:rsidRPr="002C29D2">
              <w:rPr>
                <w:sz w:val="20"/>
                <w:szCs w:val="20"/>
              </w:rPr>
              <w:t>0.470</w:t>
            </w:r>
          </w:p>
        </w:tc>
      </w:tr>
      <w:tr w:rsidR="002C29D2" w:rsidRPr="002C29D2" w14:paraId="2D69D95A" w14:textId="77777777" w:rsidTr="00626FF9">
        <w:trPr>
          <w:trHeight w:val="320"/>
        </w:trPr>
        <w:tc>
          <w:tcPr>
            <w:tcW w:w="1435" w:type="dxa"/>
            <w:shd w:val="clear" w:color="auto" w:fill="auto"/>
            <w:noWrap/>
            <w:vAlign w:val="center"/>
          </w:tcPr>
          <w:p w14:paraId="5E7E1525" w14:textId="77777777" w:rsidR="00626FF9" w:rsidRPr="002C29D2" w:rsidRDefault="00626FF9" w:rsidP="00626FF9">
            <w:pPr>
              <w:rPr>
                <w:sz w:val="20"/>
                <w:szCs w:val="20"/>
              </w:rPr>
            </w:pPr>
            <w:r w:rsidRPr="002C29D2">
              <w:rPr>
                <w:sz w:val="20"/>
                <w:szCs w:val="20"/>
              </w:rPr>
              <w:t>AU -&gt; ENG</w:t>
            </w:r>
          </w:p>
        </w:tc>
        <w:tc>
          <w:tcPr>
            <w:tcW w:w="970" w:type="dxa"/>
            <w:shd w:val="clear" w:color="auto" w:fill="auto"/>
            <w:noWrap/>
            <w:vAlign w:val="bottom"/>
          </w:tcPr>
          <w:p w14:paraId="25FE205B" w14:textId="77777777" w:rsidR="00626FF9" w:rsidRPr="002C29D2" w:rsidRDefault="00626FF9" w:rsidP="00B63C4D">
            <w:pPr>
              <w:jc w:val="center"/>
              <w:rPr>
                <w:sz w:val="20"/>
                <w:szCs w:val="20"/>
              </w:rPr>
            </w:pPr>
            <w:r w:rsidRPr="002C29D2">
              <w:rPr>
                <w:sz w:val="20"/>
                <w:szCs w:val="20"/>
              </w:rPr>
              <w:t>0.154</w:t>
            </w:r>
          </w:p>
        </w:tc>
        <w:tc>
          <w:tcPr>
            <w:tcW w:w="1134" w:type="dxa"/>
            <w:shd w:val="clear" w:color="auto" w:fill="auto"/>
            <w:noWrap/>
            <w:vAlign w:val="bottom"/>
          </w:tcPr>
          <w:p w14:paraId="212C1CD3" w14:textId="77777777" w:rsidR="00626FF9" w:rsidRPr="002C29D2" w:rsidRDefault="00626FF9" w:rsidP="00B63C4D">
            <w:pPr>
              <w:jc w:val="center"/>
              <w:rPr>
                <w:sz w:val="20"/>
                <w:szCs w:val="20"/>
              </w:rPr>
            </w:pPr>
            <w:r w:rsidRPr="002C29D2">
              <w:rPr>
                <w:sz w:val="20"/>
                <w:szCs w:val="20"/>
              </w:rPr>
              <w:t>2.886</w:t>
            </w:r>
          </w:p>
        </w:tc>
        <w:tc>
          <w:tcPr>
            <w:tcW w:w="992" w:type="dxa"/>
            <w:vAlign w:val="bottom"/>
          </w:tcPr>
          <w:p w14:paraId="345A955B" w14:textId="77777777" w:rsidR="00626FF9" w:rsidRPr="002C29D2" w:rsidRDefault="00626FF9" w:rsidP="00B63C4D">
            <w:pPr>
              <w:jc w:val="center"/>
              <w:rPr>
                <w:sz w:val="20"/>
                <w:szCs w:val="20"/>
              </w:rPr>
            </w:pPr>
            <w:r w:rsidRPr="002C29D2">
              <w:rPr>
                <w:sz w:val="20"/>
                <w:szCs w:val="20"/>
              </w:rPr>
              <w:t>0.004</w:t>
            </w:r>
          </w:p>
        </w:tc>
        <w:tc>
          <w:tcPr>
            <w:tcW w:w="992" w:type="dxa"/>
            <w:shd w:val="clear" w:color="auto" w:fill="auto"/>
            <w:noWrap/>
            <w:vAlign w:val="bottom"/>
          </w:tcPr>
          <w:p w14:paraId="1220A192" w14:textId="77777777" w:rsidR="00626FF9" w:rsidRPr="002C29D2" w:rsidRDefault="00626FF9" w:rsidP="00B63C4D">
            <w:pPr>
              <w:jc w:val="center"/>
              <w:rPr>
                <w:sz w:val="20"/>
                <w:szCs w:val="20"/>
              </w:rPr>
            </w:pPr>
            <w:r w:rsidRPr="002C29D2">
              <w:rPr>
                <w:sz w:val="20"/>
                <w:szCs w:val="20"/>
              </w:rPr>
              <w:t>0.331</w:t>
            </w:r>
          </w:p>
        </w:tc>
        <w:tc>
          <w:tcPr>
            <w:tcW w:w="1122" w:type="dxa"/>
            <w:shd w:val="clear" w:color="auto" w:fill="auto"/>
            <w:noWrap/>
            <w:vAlign w:val="bottom"/>
          </w:tcPr>
          <w:p w14:paraId="08E32BE5" w14:textId="77777777" w:rsidR="00626FF9" w:rsidRPr="002C29D2" w:rsidRDefault="00626FF9" w:rsidP="00B63C4D">
            <w:pPr>
              <w:jc w:val="center"/>
              <w:rPr>
                <w:sz w:val="20"/>
                <w:szCs w:val="20"/>
              </w:rPr>
            </w:pPr>
            <w:r w:rsidRPr="002C29D2">
              <w:rPr>
                <w:sz w:val="20"/>
                <w:szCs w:val="20"/>
              </w:rPr>
              <w:t>4.105</w:t>
            </w:r>
          </w:p>
        </w:tc>
        <w:tc>
          <w:tcPr>
            <w:tcW w:w="863" w:type="dxa"/>
            <w:vAlign w:val="bottom"/>
          </w:tcPr>
          <w:p w14:paraId="0E17991B" w14:textId="77777777" w:rsidR="00626FF9" w:rsidRPr="002C29D2" w:rsidRDefault="00626FF9" w:rsidP="00B63C4D">
            <w:pPr>
              <w:jc w:val="center"/>
              <w:rPr>
                <w:sz w:val="20"/>
                <w:szCs w:val="20"/>
              </w:rPr>
            </w:pPr>
            <w:r w:rsidRPr="002C29D2">
              <w:rPr>
                <w:sz w:val="20"/>
                <w:szCs w:val="20"/>
              </w:rPr>
              <w:t>0.000</w:t>
            </w:r>
          </w:p>
        </w:tc>
        <w:tc>
          <w:tcPr>
            <w:tcW w:w="1201" w:type="dxa"/>
            <w:shd w:val="clear" w:color="auto" w:fill="auto"/>
            <w:noWrap/>
            <w:vAlign w:val="bottom"/>
          </w:tcPr>
          <w:p w14:paraId="3A595B07" w14:textId="77777777" w:rsidR="00626FF9" w:rsidRPr="002C29D2" w:rsidRDefault="00626FF9" w:rsidP="00B63C4D">
            <w:pPr>
              <w:jc w:val="center"/>
              <w:rPr>
                <w:sz w:val="20"/>
                <w:szCs w:val="20"/>
              </w:rPr>
            </w:pPr>
            <w:r w:rsidRPr="002C29D2">
              <w:rPr>
                <w:sz w:val="20"/>
                <w:szCs w:val="20"/>
              </w:rPr>
              <w:t>1.836</w:t>
            </w:r>
          </w:p>
        </w:tc>
        <w:tc>
          <w:tcPr>
            <w:tcW w:w="1067" w:type="dxa"/>
            <w:vAlign w:val="bottom"/>
          </w:tcPr>
          <w:p w14:paraId="1105FA8E" w14:textId="77777777" w:rsidR="00626FF9" w:rsidRPr="002C29D2" w:rsidRDefault="00626FF9" w:rsidP="00B63C4D">
            <w:pPr>
              <w:jc w:val="center"/>
              <w:rPr>
                <w:sz w:val="20"/>
                <w:szCs w:val="20"/>
              </w:rPr>
            </w:pPr>
            <w:r w:rsidRPr="002C29D2">
              <w:rPr>
                <w:sz w:val="20"/>
                <w:szCs w:val="20"/>
              </w:rPr>
              <w:t>0.069</w:t>
            </w:r>
          </w:p>
        </w:tc>
      </w:tr>
      <w:tr w:rsidR="002C29D2" w:rsidRPr="002C29D2" w14:paraId="3C5FEB9C" w14:textId="77777777" w:rsidTr="00626FF9">
        <w:trPr>
          <w:trHeight w:val="320"/>
        </w:trPr>
        <w:tc>
          <w:tcPr>
            <w:tcW w:w="1435" w:type="dxa"/>
            <w:shd w:val="clear" w:color="auto" w:fill="auto"/>
            <w:noWrap/>
            <w:vAlign w:val="center"/>
          </w:tcPr>
          <w:p w14:paraId="50C41B46" w14:textId="77777777" w:rsidR="00626FF9" w:rsidRPr="002C29D2" w:rsidRDefault="00626FF9" w:rsidP="00626FF9">
            <w:pPr>
              <w:rPr>
                <w:sz w:val="20"/>
                <w:szCs w:val="20"/>
              </w:rPr>
            </w:pPr>
            <w:r w:rsidRPr="002C29D2">
              <w:rPr>
                <w:sz w:val="20"/>
                <w:szCs w:val="20"/>
              </w:rPr>
              <w:t>AU -&gt; SAT</w:t>
            </w:r>
          </w:p>
        </w:tc>
        <w:tc>
          <w:tcPr>
            <w:tcW w:w="970" w:type="dxa"/>
            <w:shd w:val="clear" w:color="auto" w:fill="auto"/>
            <w:noWrap/>
            <w:vAlign w:val="bottom"/>
          </w:tcPr>
          <w:p w14:paraId="0E573482" w14:textId="77777777" w:rsidR="00626FF9" w:rsidRPr="002C29D2" w:rsidRDefault="00626FF9" w:rsidP="00B63C4D">
            <w:pPr>
              <w:jc w:val="center"/>
              <w:rPr>
                <w:sz w:val="20"/>
                <w:szCs w:val="20"/>
              </w:rPr>
            </w:pPr>
            <w:r w:rsidRPr="002C29D2">
              <w:rPr>
                <w:sz w:val="20"/>
                <w:szCs w:val="20"/>
              </w:rPr>
              <w:t>0.046</w:t>
            </w:r>
          </w:p>
        </w:tc>
        <w:tc>
          <w:tcPr>
            <w:tcW w:w="1134" w:type="dxa"/>
            <w:shd w:val="clear" w:color="auto" w:fill="auto"/>
            <w:noWrap/>
            <w:vAlign w:val="bottom"/>
          </w:tcPr>
          <w:p w14:paraId="42861E2B" w14:textId="77777777" w:rsidR="00626FF9" w:rsidRPr="002C29D2" w:rsidRDefault="00626FF9" w:rsidP="00B63C4D">
            <w:pPr>
              <w:jc w:val="center"/>
              <w:rPr>
                <w:sz w:val="20"/>
                <w:szCs w:val="20"/>
              </w:rPr>
            </w:pPr>
            <w:r w:rsidRPr="002C29D2">
              <w:rPr>
                <w:sz w:val="20"/>
                <w:szCs w:val="20"/>
              </w:rPr>
              <w:t>0.850</w:t>
            </w:r>
          </w:p>
        </w:tc>
        <w:tc>
          <w:tcPr>
            <w:tcW w:w="992" w:type="dxa"/>
            <w:vAlign w:val="bottom"/>
          </w:tcPr>
          <w:p w14:paraId="2E402147" w14:textId="77777777" w:rsidR="00626FF9" w:rsidRPr="002C29D2" w:rsidRDefault="00626FF9" w:rsidP="00B63C4D">
            <w:pPr>
              <w:jc w:val="center"/>
              <w:rPr>
                <w:sz w:val="20"/>
                <w:szCs w:val="20"/>
              </w:rPr>
            </w:pPr>
            <w:r w:rsidRPr="002C29D2">
              <w:rPr>
                <w:sz w:val="20"/>
                <w:szCs w:val="20"/>
              </w:rPr>
              <w:t>0.395</w:t>
            </w:r>
          </w:p>
        </w:tc>
        <w:tc>
          <w:tcPr>
            <w:tcW w:w="992" w:type="dxa"/>
            <w:shd w:val="clear" w:color="auto" w:fill="auto"/>
            <w:noWrap/>
            <w:vAlign w:val="bottom"/>
          </w:tcPr>
          <w:p w14:paraId="6D496979" w14:textId="77777777" w:rsidR="00626FF9" w:rsidRPr="002C29D2" w:rsidRDefault="00626FF9" w:rsidP="00B63C4D">
            <w:pPr>
              <w:jc w:val="center"/>
              <w:rPr>
                <w:sz w:val="20"/>
                <w:szCs w:val="20"/>
              </w:rPr>
            </w:pPr>
            <w:r w:rsidRPr="002C29D2">
              <w:rPr>
                <w:sz w:val="20"/>
                <w:szCs w:val="20"/>
              </w:rPr>
              <w:t>0.104</w:t>
            </w:r>
          </w:p>
        </w:tc>
        <w:tc>
          <w:tcPr>
            <w:tcW w:w="1122" w:type="dxa"/>
            <w:shd w:val="clear" w:color="auto" w:fill="auto"/>
            <w:noWrap/>
            <w:vAlign w:val="bottom"/>
          </w:tcPr>
          <w:p w14:paraId="34602824" w14:textId="77777777" w:rsidR="00626FF9" w:rsidRPr="002C29D2" w:rsidRDefault="00626FF9" w:rsidP="00B63C4D">
            <w:pPr>
              <w:jc w:val="center"/>
              <w:rPr>
                <w:sz w:val="20"/>
                <w:szCs w:val="20"/>
              </w:rPr>
            </w:pPr>
            <w:r w:rsidRPr="002C29D2">
              <w:rPr>
                <w:sz w:val="20"/>
                <w:szCs w:val="20"/>
              </w:rPr>
              <w:t>0.952</w:t>
            </w:r>
          </w:p>
        </w:tc>
        <w:tc>
          <w:tcPr>
            <w:tcW w:w="863" w:type="dxa"/>
            <w:vAlign w:val="bottom"/>
          </w:tcPr>
          <w:p w14:paraId="67F0B72E" w14:textId="77777777" w:rsidR="00626FF9" w:rsidRPr="002C29D2" w:rsidRDefault="00626FF9" w:rsidP="00B63C4D">
            <w:pPr>
              <w:jc w:val="center"/>
              <w:rPr>
                <w:sz w:val="20"/>
                <w:szCs w:val="20"/>
              </w:rPr>
            </w:pPr>
            <w:r w:rsidRPr="002C29D2">
              <w:rPr>
                <w:sz w:val="20"/>
                <w:szCs w:val="20"/>
              </w:rPr>
              <w:t>0.341</w:t>
            </w:r>
          </w:p>
        </w:tc>
        <w:tc>
          <w:tcPr>
            <w:tcW w:w="1201" w:type="dxa"/>
            <w:shd w:val="clear" w:color="auto" w:fill="auto"/>
            <w:noWrap/>
            <w:vAlign w:val="bottom"/>
          </w:tcPr>
          <w:p w14:paraId="18B05234" w14:textId="77777777" w:rsidR="00626FF9" w:rsidRPr="002C29D2" w:rsidRDefault="00626FF9" w:rsidP="00B63C4D">
            <w:pPr>
              <w:jc w:val="center"/>
              <w:rPr>
                <w:sz w:val="20"/>
                <w:szCs w:val="20"/>
              </w:rPr>
            </w:pPr>
            <w:r w:rsidRPr="002C29D2">
              <w:rPr>
                <w:sz w:val="20"/>
                <w:szCs w:val="20"/>
              </w:rPr>
              <w:t>0.477</w:t>
            </w:r>
          </w:p>
        </w:tc>
        <w:tc>
          <w:tcPr>
            <w:tcW w:w="1067" w:type="dxa"/>
            <w:vAlign w:val="bottom"/>
          </w:tcPr>
          <w:p w14:paraId="3F4E5D59" w14:textId="77777777" w:rsidR="00626FF9" w:rsidRPr="002C29D2" w:rsidRDefault="00626FF9" w:rsidP="00B63C4D">
            <w:pPr>
              <w:jc w:val="center"/>
              <w:rPr>
                <w:sz w:val="20"/>
                <w:szCs w:val="20"/>
              </w:rPr>
            </w:pPr>
            <w:r w:rsidRPr="002C29D2">
              <w:rPr>
                <w:sz w:val="20"/>
                <w:szCs w:val="20"/>
              </w:rPr>
              <w:t>0.634</w:t>
            </w:r>
          </w:p>
        </w:tc>
      </w:tr>
      <w:tr w:rsidR="002C29D2" w:rsidRPr="002C29D2" w14:paraId="685D1383" w14:textId="77777777" w:rsidTr="00626FF9">
        <w:trPr>
          <w:trHeight w:val="320"/>
        </w:trPr>
        <w:tc>
          <w:tcPr>
            <w:tcW w:w="1435" w:type="dxa"/>
            <w:shd w:val="clear" w:color="auto" w:fill="auto"/>
            <w:noWrap/>
            <w:vAlign w:val="center"/>
          </w:tcPr>
          <w:p w14:paraId="46DE9610" w14:textId="77777777" w:rsidR="00626FF9" w:rsidRPr="002C29D2" w:rsidRDefault="00626FF9" w:rsidP="00626FF9">
            <w:pPr>
              <w:rPr>
                <w:sz w:val="20"/>
                <w:szCs w:val="20"/>
              </w:rPr>
            </w:pPr>
            <w:r w:rsidRPr="002C29D2">
              <w:rPr>
                <w:sz w:val="20"/>
                <w:szCs w:val="20"/>
              </w:rPr>
              <w:t>AU -&gt; UI</w:t>
            </w:r>
          </w:p>
        </w:tc>
        <w:tc>
          <w:tcPr>
            <w:tcW w:w="970" w:type="dxa"/>
            <w:shd w:val="clear" w:color="auto" w:fill="auto"/>
            <w:noWrap/>
            <w:vAlign w:val="bottom"/>
          </w:tcPr>
          <w:p w14:paraId="642FCE35" w14:textId="77777777" w:rsidR="00626FF9" w:rsidRPr="002C29D2" w:rsidRDefault="00626FF9" w:rsidP="00B63C4D">
            <w:pPr>
              <w:jc w:val="center"/>
              <w:rPr>
                <w:sz w:val="20"/>
                <w:szCs w:val="20"/>
              </w:rPr>
            </w:pPr>
            <w:r w:rsidRPr="002C29D2">
              <w:rPr>
                <w:sz w:val="20"/>
                <w:szCs w:val="20"/>
              </w:rPr>
              <w:t>0.092</w:t>
            </w:r>
          </w:p>
        </w:tc>
        <w:tc>
          <w:tcPr>
            <w:tcW w:w="1134" w:type="dxa"/>
            <w:shd w:val="clear" w:color="auto" w:fill="auto"/>
            <w:noWrap/>
            <w:vAlign w:val="bottom"/>
          </w:tcPr>
          <w:p w14:paraId="1906C4C3" w14:textId="77777777" w:rsidR="00626FF9" w:rsidRPr="002C29D2" w:rsidRDefault="00626FF9" w:rsidP="00B63C4D">
            <w:pPr>
              <w:jc w:val="center"/>
              <w:rPr>
                <w:sz w:val="20"/>
                <w:szCs w:val="20"/>
              </w:rPr>
            </w:pPr>
            <w:r w:rsidRPr="002C29D2">
              <w:rPr>
                <w:sz w:val="20"/>
                <w:szCs w:val="20"/>
              </w:rPr>
              <w:t>1.546</w:t>
            </w:r>
          </w:p>
        </w:tc>
        <w:tc>
          <w:tcPr>
            <w:tcW w:w="992" w:type="dxa"/>
            <w:vAlign w:val="bottom"/>
          </w:tcPr>
          <w:p w14:paraId="33B729D5" w14:textId="77777777" w:rsidR="00626FF9" w:rsidRPr="002C29D2" w:rsidRDefault="00626FF9" w:rsidP="00B63C4D">
            <w:pPr>
              <w:jc w:val="center"/>
              <w:rPr>
                <w:sz w:val="20"/>
                <w:szCs w:val="20"/>
              </w:rPr>
            </w:pPr>
            <w:r w:rsidRPr="002C29D2">
              <w:rPr>
                <w:sz w:val="20"/>
                <w:szCs w:val="20"/>
              </w:rPr>
              <w:t>0.122</w:t>
            </w:r>
          </w:p>
        </w:tc>
        <w:tc>
          <w:tcPr>
            <w:tcW w:w="992" w:type="dxa"/>
            <w:shd w:val="clear" w:color="auto" w:fill="auto"/>
            <w:noWrap/>
            <w:vAlign w:val="bottom"/>
          </w:tcPr>
          <w:p w14:paraId="14CCA4AD" w14:textId="77777777" w:rsidR="00626FF9" w:rsidRPr="002C29D2" w:rsidRDefault="00626FF9" w:rsidP="00B63C4D">
            <w:pPr>
              <w:jc w:val="center"/>
              <w:rPr>
                <w:sz w:val="20"/>
                <w:szCs w:val="20"/>
              </w:rPr>
            </w:pPr>
            <w:r w:rsidRPr="002C29D2">
              <w:rPr>
                <w:sz w:val="20"/>
                <w:szCs w:val="20"/>
              </w:rPr>
              <w:t>0.095</w:t>
            </w:r>
          </w:p>
        </w:tc>
        <w:tc>
          <w:tcPr>
            <w:tcW w:w="1122" w:type="dxa"/>
            <w:shd w:val="clear" w:color="auto" w:fill="auto"/>
            <w:noWrap/>
            <w:vAlign w:val="bottom"/>
          </w:tcPr>
          <w:p w14:paraId="09D64197" w14:textId="77777777" w:rsidR="00626FF9" w:rsidRPr="002C29D2" w:rsidRDefault="00626FF9" w:rsidP="00B63C4D">
            <w:pPr>
              <w:jc w:val="center"/>
              <w:rPr>
                <w:sz w:val="20"/>
                <w:szCs w:val="20"/>
              </w:rPr>
            </w:pPr>
            <w:r w:rsidRPr="002C29D2">
              <w:rPr>
                <w:sz w:val="20"/>
                <w:szCs w:val="20"/>
              </w:rPr>
              <w:t>0.777</w:t>
            </w:r>
          </w:p>
        </w:tc>
        <w:tc>
          <w:tcPr>
            <w:tcW w:w="863" w:type="dxa"/>
            <w:vAlign w:val="bottom"/>
          </w:tcPr>
          <w:p w14:paraId="7B9EEEEE" w14:textId="77777777" w:rsidR="00626FF9" w:rsidRPr="002C29D2" w:rsidRDefault="00626FF9" w:rsidP="00B63C4D">
            <w:pPr>
              <w:jc w:val="center"/>
              <w:rPr>
                <w:sz w:val="20"/>
                <w:szCs w:val="20"/>
              </w:rPr>
            </w:pPr>
            <w:r w:rsidRPr="002C29D2">
              <w:rPr>
                <w:sz w:val="20"/>
                <w:szCs w:val="20"/>
              </w:rPr>
              <w:t>0.437</w:t>
            </w:r>
          </w:p>
        </w:tc>
        <w:tc>
          <w:tcPr>
            <w:tcW w:w="1201" w:type="dxa"/>
            <w:shd w:val="clear" w:color="auto" w:fill="auto"/>
            <w:noWrap/>
            <w:vAlign w:val="bottom"/>
          </w:tcPr>
          <w:p w14:paraId="1B411FB1" w14:textId="77777777" w:rsidR="00626FF9" w:rsidRPr="002C29D2" w:rsidRDefault="00626FF9" w:rsidP="00B63C4D">
            <w:pPr>
              <w:jc w:val="center"/>
              <w:rPr>
                <w:sz w:val="20"/>
                <w:szCs w:val="20"/>
              </w:rPr>
            </w:pPr>
            <w:r w:rsidRPr="002C29D2">
              <w:rPr>
                <w:sz w:val="20"/>
                <w:szCs w:val="20"/>
              </w:rPr>
              <w:t>0.020</w:t>
            </w:r>
          </w:p>
        </w:tc>
        <w:tc>
          <w:tcPr>
            <w:tcW w:w="1067" w:type="dxa"/>
            <w:vAlign w:val="bottom"/>
          </w:tcPr>
          <w:p w14:paraId="2C698D43" w14:textId="77777777" w:rsidR="00626FF9" w:rsidRPr="002C29D2" w:rsidRDefault="00626FF9" w:rsidP="00B63C4D">
            <w:pPr>
              <w:jc w:val="center"/>
              <w:rPr>
                <w:sz w:val="20"/>
                <w:szCs w:val="20"/>
              </w:rPr>
            </w:pPr>
            <w:r w:rsidRPr="002C29D2">
              <w:rPr>
                <w:sz w:val="20"/>
                <w:szCs w:val="20"/>
              </w:rPr>
              <w:t>0.984</w:t>
            </w:r>
          </w:p>
        </w:tc>
      </w:tr>
      <w:tr w:rsidR="002C29D2" w:rsidRPr="002C29D2" w14:paraId="7A9301EE" w14:textId="77777777" w:rsidTr="00626FF9">
        <w:trPr>
          <w:trHeight w:val="320"/>
        </w:trPr>
        <w:tc>
          <w:tcPr>
            <w:tcW w:w="1435" w:type="dxa"/>
            <w:shd w:val="clear" w:color="auto" w:fill="auto"/>
            <w:noWrap/>
            <w:vAlign w:val="center"/>
          </w:tcPr>
          <w:p w14:paraId="55C27011" w14:textId="77777777" w:rsidR="00626FF9" w:rsidRPr="002C29D2" w:rsidRDefault="00626FF9" w:rsidP="00626FF9">
            <w:pPr>
              <w:rPr>
                <w:b/>
                <w:bCs/>
                <w:sz w:val="20"/>
                <w:szCs w:val="20"/>
              </w:rPr>
            </w:pPr>
            <w:r w:rsidRPr="002C29D2">
              <w:rPr>
                <w:b/>
                <w:bCs/>
                <w:sz w:val="20"/>
                <w:szCs w:val="20"/>
              </w:rPr>
              <w:t>BE -&gt; ATA</w:t>
            </w:r>
          </w:p>
        </w:tc>
        <w:tc>
          <w:tcPr>
            <w:tcW w:w="970" w:type="dxa"/>
            <w:shd w:val="clear" w:color="auto" w:fill="auto"/>
            <w:noWrap/>
            <w:vAlign w:val="bottom"/>
          </w:tcPr>
          <w:p w14:paraId="1F521019" w14:textId="77777777" w:rsidR="00626FF9" w:rsidRPr="002C29D2" w:rsidRDefault="00626FF9" w:rsidP="00B63C4D">
            <w:pPr>
              <w:jc w:val="center"/>
              <w:rPr>
                <w:b/>
                <w:bCs/>
                <w:sz w:val="20"/>
                <w:szCs w:val="20"/>
              </w:rPr>
            </w:pPr>
            <w:r w:rsidRPr="002C29D2">
              <w:rPr>
                <w:b/>
                <w:bCs/>
                <w:sz w:val="20"/>
                <w:szCs w:val="20"/>
              </w:rPr>
              <w:t>0.327</w:t>
            </w:r>
          </w:p>
        </w:tc>
        <w:tc>
          <w:tcPr>
            <w:tcW w:w="1134" w:type="dxa"/>
            <w:shd w:val="clear" w:color="auto" w:fill="auto"/>
            <w:noWrap/>
            <w:vAlign w:val="bottom"/>
          </w:tcPr>
          <w:p w14:paraId="2A405358" w14:textId="77777777" w:rsidR="00626FF9" w:rsidRPr="002C29D2" w:rsidRDefault="00626FF9" w:rsidP="00B63C4D">
            <w:pPr>
              <w:jc w:val="center"/>
              <w:rPr>
                <w:b/>
                <w:bCs/>
                <w:sz w:val="20"/>
                <w:szCs w:val="20"/>
              </w:rPr>
            </w:pPr>
            <w:r w:rsidRPr="002C29D2">
              <w:rPr>
                <w:b/>
                <w:bCs/>
                <w:sz w:val="20"/>
                <w:szCs w:val="20"/>
              </w:rPr>
              <w:t>4.408</w:t>
            </w:r>
          </w:p>
        </w:tc>
        <w:tc>
          <w:tcPr>
            <w:tcW w:w="992" w:type="dxa"/>
            <w:vAlign w:val="bottom"/>
          </w:tcPr>
          <w:p w14:paraId="00CA1CA8" w14:textId="77777777" w:rsidR="00626FF9" w:rsidRPr="002C29D2" w:rsidRDefault="00626FF9" w:rsidP="00B63C4D">
            <w:pPr>
              <w:jc w:val="center"/>
              <w:rPr>
                <w:b/>
                <w:bCs/>
                <w:sz w:val="20"/>
                <w:szCs w:val="20"/>
              </w:rPr>
            </w:pPr>
            <w:r w:rsidRPr="002C29D2">
              <w:rPr>
                <w:b/>
                <w:bCs/>
                <w:sz w:val="20"/>
                <w:szCs w:val="20"/>
              </w:rPr>
              <w:t>0.000</w:t>
            </w:r>
          </w:p>
        </w:tc>
        <w:tc>
          <w:tcPr>
            <w:tcW w:w="992" w:type="dxa"/>
            <w:shd w:val="clear" w:color="auto" w:fill="auto"/>
            <w:noWrap/>
            <w:vAlign w:val="bottom"/>
          </w:tcPr>
          <w:p w14:paraId="64BA09A8" w14:textId="77777777" w:rsidR="00626FF9" w:rsidRPr="002C29D2" w:rsidRDefault="00626FF9" w:rsidP="00B63C4D">
            <w:pPr>
              <w:jc w:val="center"/>
              <w:rPr>
                <w:b/>
                <w:bCs/>
                <w:sz w:val="20"/>
                <w:szCs w:val="20"/>
              </w:rPr>
            </w:pPr>
            <w:r w:rsidRPr="002C29D2">
              <w:rPr>
                <w:b/>
                <w:bCs/>
                <w:sz w:val="20"/>
                <w:szCs w:val="20"/>
              </w:rPr>
              <w:t>-0.109</w:t>
            </w:r>
          </w:p>
        </w:tc>
        <w:tc>
          <w:tcPr>
            <w:tcW w:w="1122" w:type="dxa"/>
            <w:shd w:val="clear" w:color="auto" w:fill="auto"/>
            <w:noWrap/>
            <w:vAlign w:val="bottom"/>
          </w:tcPr>
          <w:p w14:paraId="50116DD0" w14:textId="77777777" w:rsidR="00626FF9" w:rsidRPr="002C29D2" w:rsidRDefault="00626FF9" w:rsidP="00B63C4D">
            <w:pPr>
              <w:jc w:val="center"/>
              <w:rPr>
                <w:b/>
                <w:bCs/>
                <w:sz w:val="20"/>
                <w:szCs w:val="20"/>
              </w:rPr>
            </w:pPr>
            <w:r w:rsidRPr="002C29D2">
              <w:rPr>
                <w:b/>
                <w:bCs/>
                <w:sz w:val="20"/>
                <w:szCs w:val="20"/>
              </w:rPr>
              <w:t>0.744</w:t>
            </w:r>
          </w:p>
        </w:tc>
        <w:tc>
          <w:tcPr>
            <w:tcW w:w="863" w:type="dxa"/>
            <w:vAlign w:val="bottom"/>
          </w:tcPr>
          <w:p w14:paraId="47AEAC90" w14:textId="77777777" w:rsidR="00626FF9" w:rsidRPr="002C29D2" w:rsidRDefault="00626FF9" w:rsidP="00B63C4D">
            <w:pPr>
              <w:jc w:val="center"/>
              <w:rPr>
                <w:b/>
                <w:bCs/>
                <w:sz w:val="20"/>
                <w:szCs w:val="20"/>
              </w:rPr>
            </w:pPr>
            <w:r w:rsidRPr="002C29D2">
              <w:rPr>
                <w:b/>
                <w:bCs/>
                <w:sz w:val="20"/>
                <w:szCs w:val="20"/>
              </w:rPr>
              <w:t>0.457</w:t>
            </w:r>
          </w:p>
        </w:tc>
        <w:tc>
          <w:tcPr>
            <w:tcW w:w="1201" w:type="dxa"/>
            <w:shd w:val="clear" w:color="auto" w:fill="auto"/>
            <w:noWrap/>
            <w:vAlign w:val="bottom"/>
          </w:tcPr>
          <w:p w14:paraId="131EEEA6" w14:textId="77777777" w:rsidR="00626FF9" w:rsidRPr="002C29D2" w:rsidRDefault="00626FF9" w:rsidP="00B63C4D">
            <w:pPr>
              <w:jc w:val="center"/>
              <w:rPr>
                <w:b/>
                <w:bCs/>
                <w:sz w:val="20"/>
                <w:szCs w:val="20"/>
              </w:rPr>
            </w:pPr>
            <w:r w:rsidRPr="002C29D2">
              <w:rPr>
                <w:b/>
                <w:bCs/>
                <w:sz w:val="20"/>
                <w:szCs w:val="20"/>
              </w:rPr>
              <w:t>2.671</w:t>
            </w:r>
          </w:p>
        </w:tc>
        <w:tc>
          <w:tcPr>
            <w:tcW w:w="1067" w:type="dxa"/>
            <w:vAlign w:val="bottom"/>
          </w:tcPr>
          <w:p w14:paraId="24B62415" w14:textId="77777777" w:rsidR="00626FF9" w:rsidRPr="002C29D2" w:rsidRDefault="00626FF9" w:rsidP="00B63C4D">
            <w:pPr>
              <w:jc w:val="center"/>
              <w:rPr>
                <w:b/>
                <w:bCs/>
                <w:sz w:val="20"/>
                <w:szCs w:val="20"/>
              </w:rPr>
            </w:pPr>
            <w:r w:rsidRPr="002C29D2">
              <w:rPr>
                <w:b/>
                <w:bCs/>
                <w:sz w:val="20"/>
                <w:szCs w:val="20"/>
              </w:rPr>
              <w:t>0.009</w:t>
            </w:r>
          </w:p>
        </w:tc>
      </w:tr>
      <w:tr w:rsidR="002C29D2" w:rsidRPr="002C29D2" w14:paraId="0BD1809F" w14:textId="77777777" w:rsidTr="00626FF9">
        <w:trPr>
          <w:trHeight w:val="320"/>
        </w:trPr>
        <w:tc>
          <w:tcPr>
            <w:tcW w:w="1435" w:type="dxa"/>
            <w:shd w:val="clear" w:color="auto" w:fill="auto"/>
            <w:noWrap/>
            <w:vAlign w:val="center"/>
          </w:tcPr>
          <w:p w14:paraId="74BE1286" w14:textId="77777777" w:rsidR="00626FF9" w:rsidRPr="002C29D2" w:rsidRDefault="00626FF9" w:rsidP="00626FF9">
            <w:pPr>
              <w:rPr>
                <w:b/>
                <w:bCs/>
                <w:sz w:val="20"/>
                <w:szCs w:val="20"/>
              </w:rPr>
            </w:pPr>
            <w:r w:rsidRPr="002C29D2">
              <w:rPr>
                <w:b/>
                <w:bCs/>
                <w:sz w:val="20"/>
                <w:szCs w:val="20"/>
              </w:rPr>
              <w:t>BE -&gt; ENG</w:t>
            </w:r>
          </w:p>
        </w:tc>
        <w:tc>
          <w:tcPr>
            <w:tcW w:w="970" w:type="dxa"/>
            <w:shd w:val="clear" w:color="auto" w:fill="auto"/>
            <w:noWrap/>
            <w:vAlign w:val="bottom"/>
          </w:tcPr>
          <w:p w14:paraId="3AD9A3AE" w14:textId="77777777" w:rsidR="00626FF9" w:rsidRPr="002C29D2" w:rsidRDefault="00626FF9" w:rsidP="00B63C4D">
            <w:pPr>
              <w:jc w:val="center"/>
              <w:rPr>
                <w:b/>
                <w:bCs/>
                <w:sz w:val="20"/>
                <w:szCs w:val="20"/>
              </w:rPr>
            </w:pPr>
            <w:r w:rsidRPr="002C29D2">
              <w:rPr>
                <w:b/>
                <w:bCs/>
                <w:sz w:val="20"/>
                <w:szCs w:val="20"/>
              </w:rPr>
              <w:t>0.389</w:t>
            </w:r>
          </w:p>
        </w:tc>
        <w:tc>
          <w:tcPr>
            <w:tcW w:w="1134" w:type="dxa"/>
            <w:shd w:val="clear" w:color="auto" w:fill="auto"/>
            <w:noWrap/>
            <w:vAlign w:val="bottom"/>
          </w:tcPr>
          <w:p w14:paraId="4A690D92" w14:textId="77777777" w:rsidR="00626FF9" w:rsidRPr="002C29D2" w:rsidRDefault="00626FF9" w:rsidP="00B63C4D">
            <w:pPr>
              <w:jc w:val="center"/>
              <w:rPr>
                <w:b/>
                <w:bCs/>
                <w:sz w:val="20"/>
                <w:szCs w:val="20"/>
              </w:rPr>
            </w:pPr>
            <w:r w:rsidRPr="002C29D2">
              <w:rPr>
                <w:b/>
                <w:bCs/>
                <w:sz w:val="20"/>
                <w:szCs w:val="20"/>
              </w:rPr>
              <w:t>7.440</w:t>
            </w:r>
          </w:p>
        </w:tc>
        <w:tc>
          <w:tcPr>
            <w:tcW w:w="992" w:type="dxa"/>
            <w:vAlign w:val="bottom"/>
          </w:tcPr>
          <w:p w14:paraId="3B3A7F31" w14:textId="77777777" w:rsidR="00626FF9" w:rsidRPr="002C29D2" w:rsidRDefault="00626FF9" w:rsidP="00B63C4D">
            <w:pPr>
              <w:jc w:val="center"/>
              <w:rPr>
                <w:b/>
                <w:bCs/>
                <w:sz w:val="20"/>
                <w:szCs w:val="20"/>
              </w:rPr>
            </w:pPr>
            <w:r w:rsidRPr="002C29D2">
              <w:rPr>
                <w:b/>
                <w:bCs/>
                <w:sz w:val="20"/>
                <w:szCs w:val="20"/>
              </w:rPr>
              <w:t>0.000</w:t>
            </w:r>
          </w:p>
        </w:tc>
        <w:tc>
          <w:tcPr>
            <w:tcW w:w="992" w:type="dxa"/>
            <w:shd w:val="clear" w:color="auto" w:fill="auto"/>
            <w:noWrap/>
            <w:vAlign w:val="bottom"/>
          </w:tcPr>
          <w:p w14:paraId="4E2E5CE2" w14:textId="77777777" w:rsidR="00626FF9" w:rsidRPr="002C29D2" w:rsidRDefault="00626FF9" w:rsidP="00B63C4D">
            <w:pPr>
              <w:jc w:val="center"/>
              <w:rPr>
                <w:b/>
                <w:bCs/>
                <w:sz w:val="20"/>
                <w:szCs w:val="20"/>
              </w:rPr>
            </w:pPr>
            <w:r w:rsidRPr="002C29D2">
              <w:rPr>
                <w:b/>
                <w:bCs/>
                <w:sz w:val="20"/>
                <w:szCs w:val="20"/>
              </w:rPr>
              <w:t>-0.043</w:t>
            </w:r>
          </w:p>
        </w:tc>
        <w:tc>
          <w:tcPr>
            <w:tcW w:w="1122" w:type="dxa"/>
            <w:shd w:val="clear" w:color="auto" w:fill="auto"/>
            <w:noWrap/>
            <w:vAlign w:val="bottom"/>
          </w:tcPr>
          <w:p w14:paraId="63AE1B06" w14:textId="77777777" w:rsidR="00626FF9" w:rsidRPr="002C29D2" w:rsidRDefault="00626FF9" w:rsidP="00B63C4D">
            <w:pPr>
              <w:jc w:val="center"/>
              <w:rPr>
                <w:b/>
                <w:bCs/>
                <w:sz w:val="20"/>
                <w:szCs w:val="20"/>
              </w:rPr>
            </w:pPr>
            <w:r w:rsidRPr="002C29D2">
              <w:rPr>
                <w:b/>
                <w:bCs/>
                <w:sz w:val="20"/>
                <w:szCs w:val="20"/>
              </w:rPr>
              <w:t>0.410</w:t>
            </w:r>
          </w:p>
        </w:tc>
        <w:tc>
          <w:tcPr>
            <w:tcW w:w="863" w:type="dxa"/>
            <w:vAlign w:val="bottom"/>
          </w:tcPr>
          <w:p w14:paraId="294F959D" w14:textId="77777777" w:rsidR="00626FF9" w:rsidRPr="002C29D2" w:rsidRDefault="00626FF9" w:rsidP="00B63C4D">
            <w:pPr>
              <w:jc w:val="center"/>
              <w:rPr>
                <w:b/>
                <w:bCs/>
                <w:sz w:val="20"/>
                <w:szCs w:val="20"/>
              </w:rPr>
            </w:pPr>
            <w:r w:rsidRPr="002C29D2">
              <w:rPr>
                <w:b/>
                <w:bCs/>
                <w:sz w:val="20"/>
                <w:szCs w:val="20"/>
              </w:rPr>
              <w:t>0.681</w:t>
            </w:r>
          </w:p>
        </w:tc>
        <w:tc>
          <w:tcPr>
            <w:tcW w:w="1201" w:type="dxa"/>
            <w:shd w:val="clear" w:color="auto" w:fill="auto"/>
            <w:noWrap/>
            <w:vAlign w:val="bottom"/>
          </w:tcPr>
          <w:p w14:paraId="6D2B791B" w14:textId="77777777" w:rsidR="00626FF9" w:rsidRPr="002C29D2" w:rsidRDefault="00626FF9" w:rsidP="00B63C4D">
            <w:pPr>
              <w:jc w:val="center"/>
              <w:rPr>
                <w:b/>
                <w:bCs/>
                <w:sz w:val="20"/>
                <w:szCs w:val="20"/>
              </w:rPr>
            </w:pPr>
            <w:r w:rsidRPr="002C29D2">
              <w:rPr>
                <w:b/>
                <w:bCs/>
                <w:sz w:val="20"/>
                <w:szCs w:val="20"/>
              </w:rPr>
              <w:t>3.697</w:t>
            </w:r>
          </w:p>
        </w:tc>
        <w:tc>
          <w:tcPr>
            <w:tcW w:w="1067" w:type="dxa"/>
            <w:vAlign w:val="bottom"/>
          </w:tcPr>
          <w:p w14:paraId="37D1EF2E" w14:textId="77777777" w:rsidR="00626FF9" w:rsidRPr="002C29D2" w:rsidRDefault="00626FF9" w:rsidP="00B63C4D">
            <w:pPr>
              <w:jc w:val="center"/>
              <w:rPr>
                <w:b/>
                <w:bCs/>
                <w:sz w:val="20"/>
                <w:szCs w:val="20"/>
              </w:rPr>
            </w:pPr>
            <w:r w:rsidRPr="002C29D2">
              <w:rPr>
                <w:b/>
                <w:bCs/>
                <w:sz w:val="20"/>
                <w:szCs w:val="20"/>
              </w:rPr>
              <w:t>0.000</w:t>
            </w:r>
          </w:p>
        </w:tc>
      </w:tr>
      <w:tr w:rsidR="002C29D2" w:rsidRPr="002C29D2" w14:paraId="1236E55A" w14:textId="77777777" w:rsidTr="00626FF9">
        <w:trPr>
          <w:trHeight w:val="320"/>
        </w:trPr>
        <w:tc>
          <w:tcPr>
            <w:tcW w:w="1435" w:type="dxa"/>
            <w:shd w:val="clear" w:color="auto" w:fill="auto"/>
            <w:noWrap/>
            <w:vAlign w:val="center"/>
          </w:tcPr>
          <w:p w14:paraId="7F3FFD1E" w14:textId="77777777" w:rsidR="00626FF9" w:rsidRPr="002C29D2" w:rsidRDefault="00626FF9" w:rsidP="00626FF9">
            <w:pPr>
              <w:rPr>
                <w:sz w:val="20"/>
                <w:szCs w:val="20"/>
              </w:rPr>
            </w:pPr>
            <w:r w:rsidRPr="002C29D2">
              <w:rPr>
                <w:sz w:val="20"/>
                <w:szCs w:val="20"/>
              </w:rPr>
              <w:t>BE -&gt; SAT</w:t>
            </w:r>
          </w:p>
        </w:tc>
        <w:tc>
          <w:tcPr>
            <w:tcW w:w="970" w:type="dxa"/>
            <w:shd w:val="clear" w:color="auto" w:fill="auto"/>
            <w:noWrap/>
            <w:vAlign w:val="bottom"/>
          </w:tcPr>
          <w:p w14:paraId="54DE724A" w14:textId="77777777" w:rsidR="00626FF9" w:rsidRPr="002C29D2" w:rsidRDefault="00626FF9" w:rsidP="00B63C4D">
            <w:pPr>
              <w:jc w:val="center"/>
              <w:rPr>
                <w:sz w:val="20"/>
                <w:szCs w:val="20"/>
              </w:rPr>
            </w:pPr>
            <w:r w:rsidRPr="002C29D2">
              <w:rPr>
                <w:sz w:val="20"/>
                <w:szCs w:val="20"/>
              </w:rPr>
              <w:t>-0.017</w:t>
            </w:r>
          </w:p>
        </w:tc>
        <w:tc>
          <w:tcPr>
            <w:tcW w:w="1134" w:type="dxa"/>
            <w:shd w:val="clear" w:color="auto" w:fill="auto"/>
            <w:noWrap/>
            <w:vAlign w:val="bottom"/>
          </w:tcPr>
          <w:p w14:paraId="74D36D9A" w14:textId="77777777" w:rsidR="00626FF9" w:rsidRPr="002C29D2" w:rsidRDefault="00626FF9" w:rsidP="00B63C4D">
            <w:pPr>
              <w:jc w:val="center"/>
              <w:rPr>
                <w:sz w:val="20"/>
                <w:szCs w:val="20"/>
              </w:rPr>
            </w:pPr>
            <w:r w:rsidRPr="002C29D2">
              <w:rPr>
                <w:sz w:val="20"/>
                <w:szCs w:val="20"/>
              </w:rPr>
              <w:t>0.228</w:t>
            </w:r>
          </w:p>
        </w:tc>
        <w:tc>
          <w:tcPr>
            <w:tcW w:w="992" w:type="dxa"/>
            <w:vAlign w:val="bottom"/>
          </w:tcPr>
          <w:p w14:paraId="6E209C49" w14:textId="77777777" w:rsidR="00626FF9" w:rsidRPr="002C29D2" w:rsidRDefault="00626FF9" w:rsidP="00B63C4D">
            <w:pPr>
              <w:jc w:val="center"/>
              <w:rPr>
                <w:sz w:val="20"/>
                <w:szCs w:val="20"/>
              </w:rPr>
            </w:pPr>
            <w:r w:rsidRPr="002C29D2">
              <w:rPr>
                <w:sz w:val="20"/>
                <w:szCs w:val="20"/>
              </w:rPr>
              <w:t>0.820</w:t>
            </w:r>
          </w:p>
        </w:tc>
        <w:tc>
          <w:tcPr>
            <w:tcW w:w="992" w:type="dxa"/>
            <w:shd w:val="clear" w:color="auto" w:fill="auto"/>
            <w:noWrap/>
            <w:vAlign w:val="bottom"/>
          </w:tcPr>
          <w:p w14:paraId="741899B9" w14:textId="77777777" w:rsidR="00626FF9" w:rsidRPr="002C29D2" w:rsidRDefault="00626FF9" w:rsidP="00B63C4D">
            <w:pPr>
              <w:jc w:val="center"/>
              <w:rPr>
                <w:sz w:val="20"/>
                <w:szCs w:val="20"/>
              </w:rPr>
            </w:pPr>
            <w:r w:rsidRPr="002C29D2">
              <w:rPr>
                <w:sz w:val="20"/>
                <w:szCs w:val="20"/>
              </w:rPr>
              <w:t>-0.056</w:t>
            </w:r>
          </w:p>
        </w:tc>
        <w:tc>
          <w:tcPr>
            <w:tcW w:w="1122" w:type="dxa"/>
            <w:shd w:val="clear" w:color="auto" w:fill="auto"/>
            <w:noWrap/>
            <w:vAlign w:val="bottom"/>
          </w:tcPr>
          <w:p w14:paraId="6ECE3C20" w14:textId="77777777" w:rsidR="00626FF9" w:rsidRPr="002C29D2" w:rsidRDefault="00626FF9" w:rsidP="00B63C4D">
            <w:pPr>
              <w:jc w:val="center"/>
              <w:rPr>
                <w:sz w:val="20"/>
                <w:szCs w:val="20"/>
              </w:rPr>
            </w:pPr>
            <w:r w:rsidRPr="002C29D2">
              <w:rPr>
                <w:sz w:val="20"/>
                <w:szCs w:val="20"/>
              </w:rPr>
              <w:t>0.524</w:t>
            </w:r>
          </w:p>
        </w:tc>
        <w:tc>
          <w:tcPr>
            <w:tcW w:w="863" w:type="dxa"/>
            <w:vAlign w:val="bottom"/>
          </w:tcPr>
          <w:p w14:paraId="78E58372" w14:textId="77777777" w:rsidR="00626FF9" w:rsidRPr="002C29D2" w:rsidRDefault="00626FF9" w:rsidP="00B63C4D">
            <w:pPr>
              <w:jc w:val="center"/>
              <w:rPr>
                <w:sz w:val="20"/>
                <w:szCs w:val="20"/>
              </w:rPr>
            </w:pPr>
            <w:r w:rsidRPr="002C29D2">
              <w:rPr>
                <w:sz w:val="20"/>
                <w:szCs w:val="20"/>
              </w:rPr>
              <w:t>0.600</w:t>
            </w:r>
          </w:p>
        </w:tc>
        <w:tc>
          <w:tcPr>
            <w:tcW w:w="1201" w:type="dxa"/>
            <w:shd w:val="clear" w:color="auto" w:fill="auto"/>
            <w:noWrap/>
            <w:vAlign w:val="bottom"/>
          </w:tcPr>
          <w:p w14:paraId="17F094F1" w14:textId="77777777" w:rsidR="00626FF9" w:rsidRPr="002C29D2" w:rsidRDefault="00626FF9" w:rsidP="00B63C4D">
            <w:pPr>
              <w:jc w:val="center"/>
              <w:rPr>
                <w:sz w:val="20"/>
                <w:szCs w:val="20"/>
              </w:rPr>
            </w:pPr>
            <w:r w:rsidRPr="002C29D2">
              <w:rPr>
                <w:sz w:val="20"/>
                <w:szCs w:val="20"/>
              </w:rPr>
              <w:t>0.305</w:t>
            </w:r>
          </w:p>
        </w:tc>
        <w:tc>
          <w:tcPr>
            <w:tcW w:w="1067" w:type="dxa"/>
            <w:vAlign w:val="bottom"/>
          </w:tcPr>
          <w:p w14:paraId="038EA404" w14:textId="77777777" w:rsidR="00626FF9" w:rsidRPr="002C29D2" w:rsidRDefault="00626FF9" w:rsidP="00B63C4D">
            <w:pPr>
              <w:jc w:val="center"/>
              <w:rPr>
                <w:sz w:val="20"/>
                <w:szCs w:val="20"/>
              </w:rPr>
            </w:pPr>
            <w:r w:rsidRPr="002C29D2">
              <w:rPr>
                <w:sz w:val="20"/>
                <w:szCs w:val="20"/>
              </w:rPr>
              <w:t>0.761</w:t>
            </w:r>
          </w:p>
        </w:tc>
      </w:tr>
      <w:tr w:rsidR="002C29D2" w:rsidRPr="002C29D2" w14:paraId="2B6DD130" w14:textId="77777777" w:rsidTr="00626FF9">
        <w:trPr>
          <w:trHeight w:val="320"/>
        </w:trPr>
        <w:tc>
          <w:tcPr>
            <w:tcW w:w="1435" w:type="dxa"/>
            <w:shd w:val="clear" w:color="auto" w:fill="auto"/>
            <w:noWrap/>
            <w:vAlign w:val="center"/>
          </w:tcPr>
          <w:p w14:paraId="5F097480" w14:textId="77777777" w:rsidR="00626FF9" w:rsidRPr="002C29D2" w:rsidRDefault="00626FF9" w:rsidP="00626FF9">
            <w:pPr>
              <w:rPr>
                <w:sz w:val="20"/>
                <w:szCs w:val="20"/>
              </w:rPr>
            </w:pPr>
            <w:r w:rsidRPr="002C29D2">
              <w:rPr>
                <w:sz w:val="20"/>
                <w:szCs w:val="20"/>
              </w:rPr>
              <w:t>BE -&gt; UI</w:t>
            </w:r>
          </w:p>
        </w:tc>
        <w:tc>
          <w:tcPr>
            <w:tcW w:w="970" w:type="dxa"/>
            <w:shd w:val="clear" w:color="auto" w:fill="auto"/>
            <w:noWrap/>
            <w:vAlign w:val="bottom"/>
          </w:tcPr>
          <w:p w14:paraId="08C7454B" w14:textId="77777777" w:rsidR="00626FF9" w:rsidRPr="002C29D2" w:rsidRDefault="00626FF9" w:rsidP="00B63C4D">
            <w:pPr>
              <w:jc w:val="center"/>
              <w:rPr>
                <w:sz w:val="20"/>
                <w:szCs w:val="20"/>
              </w:rPr>
            </w:pPr>
            <w:r w:rsidRPr="002C29D2">
              <w:rPr>
                <w:sz w:val="20"/>
                <w:szCs w:val="20"/>
              </w:rPr>
              <w:t>0.327</w:t>
            </w:r>
          </w:p>
        </w:tc>
        <w:tc>
          <w:tcPr>
            <w:tcW w:w="1134" w:type="dxa"/>
            <w:shd w:val="clear" w:color="auto" w:fill="auto"/>
            <w:noWrap/>
            <w:vAlign w:val="bottom"/>
          </w:tcPr>
          <w:p w14:paraId="5FBA0C36" w14:textId="77777777" w:rsidR="00626FF9" w:rsidRPr="002C29D2" w:rsidRDefault="00626FF9" w:rsidP="00B63C4D">
            <w:pPr>
              <w:jc w:val="center"/>
              <w:rPr>
                <w:sz w:val="20"/>
                <w:szCs w:val="20"/>
              </w:rPr>
            </w:pPr>
            <w:r w:rsidRPr="002C29D2">
              <w:rPr>
                <w:sz w:val="20"/>
                <w:szCs w:val="20"/>
              </w:rPr>
              <w:t>5.222</w:t>
            </w:r>
          </w:p>
        </w:tc>
        <w:tc>
          <w:tcPr>
            <w:tcW w:w="992" w:type="dxa"/>
            <w:vAlign w:val="bottom"/>
          </w:tcPr>
          <w:p w14:paraId="7F7355C5"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06AE64D3" w14:textId="77777777" w:rsidR="00626FF9" w:rsidRPr="002C29D2" w:rsidRDefault="00626FF9" w:rsidP="00B63C4D">
            <w:pPr>
              <w:jc w:val="center"/>
              <w:rPr>
                <w:sz w:val="20"/>
                <w:szCs w:val="20"/>
              </w:rPr>
            </w:pPr>
            <w:r w:rsidRPr="002C29D2">
              <w:rPr>
                <w:sz w:val="20"/>
                <w:szCs w:val="20"/>
              </w:rPr>
              <w:t>-0.019</w:t>
            </w:r>
          </w:p>
        </w:tc>
        <w:tc>
          <w:tcPr>
            <w:tcW w:w="1122" w:type="dxa"/>
            <w:shd w:val="clear" w:color="auto" w:fill="auto"/>
            <w:noWrap/>
            <w:vAlign w:val="bottom"/>
          </w:tcPr>
          <w:p w14:paraId="6B5EA8AC" w14:textId="77777777" w:rsidR="00626FF9" w:rsidRPr="002C29D2" w:rsidRDefault="00626FF9" w:rsidP="00B63C4D">
            <w:pPr>
              <w:jc w:val="center"/>
              <w:rPr>
                <w:sz w:val="20"/>
                <w:szCs w:val="20"/>
              </w:rPr>
            </w:pPr>
            <w:r w:rsidRPr="002C29D2">
              <w:rPr>
                <w:sz w:val="20"/>
                <w:szCs w:val="20"/>
              </w:rPr>
              <w:t>0.115</w:t>
            </w:r>
          </w:p>
        </w:tc>
        <w:tc>
          <w:tcPr>
            <w:tcW w:w="863" w:type="dxa"/>
            <w:vAlign w:val="bottom"/>
          </w:tcPr>
          <w:p w14:paraId="2979CD44" w14:textId="77777777" w:rsidR="00626FF9" w:rsidRPr="002C29D2" w:rsidRDefault="00626FF9" w:rsidP="00B63C4D">
            <w:pPr>
              <w:jc w:val="center"/>
              <w:rPr>
                <w:sz w:val="20"/>
                <w:szCs w:val="20"/>
              </w:rPr>
            </w:pPr>
            <w:r w:rsidRPr="002C29D2">
              <w:rPr>
                <w:sz w:val="20"/>
                <w:szCs w:val="20"/>
              </w:rPr>
              <w:t>0.908</w:t>
            </w:r>
          </w:p>
        </w:tc>
        <w:tc>
          <w:tcPr>
            <w:tcW w:w="1201" w:type="dxa"/>
            <w:shd w:val="clear" w:color="auto" w:fill="auto"/>
            <w:noWrap/>
            <w:vAlign w:val="bottom"/>
          </w:tcPr>
          <w:p w14:paraId="40C46A11" w14:textId="77777777" w:rsidR="00626FF9" w:rsidRPr="002C29D2" w:rsidRDefault="00626FF9" w:rsidP="00B63C4D">
            <w:pPr>
              <w:jc w:val="center"/>
              <w:rPr>
                <w:sz w:val="20"/>
                <w:szCs w:val="20"/>
              </w:rPr>
            </w:pPr>
            <w:r w:rsidRPr="002C29D2">
              <w:rPr>
                <w:sz w:val="20"/>
                <w:szCs w:val="20"/>
              </w:rPr>
              <w:t>2.000</w:t>
            </w:r>
          </w:p>
        </w:tc>
        <w:tc>
          <w:tcPr>
            <w:tcW w:w="1067" w:type="dxa"/>
            <w:vAlign w:val="bottom"/>
          </w:tcPr>
          <w:p w14:paraId="4A25E923" w14:textId="77777777" w:rsidR="00626FF9" w:rsidRPr="002C29D2" w:rsidRDefault="00626FF9" w:rsidP="00B63C4D">
            <w:pPr>
              <w:jc w:val="center"/>
              <w:rPr>
                <w:sz w:val="20"/>
                <w:szCs w:val="20"/>
              </w:rPr>
            </w:pPr>
            <w:r w:rsidRPr="002C29D2">
              <w:rPr>
                <w:sz w:val="20"/>
                <w:szCs w:val="20"/>
              </w:rPr>
              <w:t>0.048</w:t>
            </w:r>
          </w:p>
        </w:tc>
      </w:tr>
      <w:tr w:rsidR="002C29D2" w:rsidRPr="002C29D2" w14:paraId="571327F7" w14:textId="77777777" w:rsidTr="00626FF9">
        <w:trPr>
          <w:trHeight w:val="320"/>
        </w:trPr>
        <w:tc>
          <w:tcPr>
            <w:tcW w:w="1435" w:type="dxa"/>
            <w:shd w:val="clear" w:color="auto" w:fill="auto"/>
            <w:noWrap/>
            <w:vAlign w:val="center"/>
          </w:tcPr>
          <w:p w14:paraId="2EFEE060" w14:textId="77777777" w:rsidR="00626FF9" w:rsidRPr="002C29D2" w:rsidRDefault="00626FF9" w:rsidP="00626FF9">
            <w:pPr>
              <w:rPr>
                <w:sz w:val="20"/>
                <w:szCs w:val="20"/>
              </w:rPr>
            </w:pPr>
            <w:r w:rsidRPr="002C29D2">
              <w:rPr>
                <w:sz w:val="20"/>
                <w:szCs w:val="20"/>
              </w:rPr>
              <w:t>ENG -&gt; ATA</w:t>
            </w:r>
          </w:p>
        </w:tc>
        <w:tc>
          <w:tcPr>
            <w:tcW w:w="970" w:type="dxa"/>
            <w:shd w:val="clear" w:color="auto" w:fill="auto"/>
            <w:noWrap/>
            <w:vAlign w:val="bottom"/>
          </w:tcPr>
          <w:p w14:paraId="02F296B9" w14:textId="77777777" w:rsidR="00626FF9" w:rsidRPr="002C29D2" w:rsidRDefault="00626FF9" w:rsidP="00B63C4D">
            <w:pPr>
              <w:jc w:val="center"/>
              <w:rPr>
                <w:sz w:val="20"/>
                <w:szCs w:val="20"/>
              </w:rPr>
            </w:pPr>
            <w:r w:rsidRPr="002C29D2">
              <w:rPr>
                <w:sz w:val="20"/>
                <w:szCs w:val="20"/>
              </w:rPr>
              <w:t>0.231</w:t>
            </w:r>
          </w:p>
        </w:tc>
        <w:tc>
          <w:tcPr>
            <w:tcW w:w="1134" w:type="dxa"/>
            <w:shd w:val="clear" w:color="auto" w:fill="auto"/>
            <w:noWrap/>
            <w:vAlign w:val="bottom"/>
          </w:tcPr>
          <w:p w14:paraId="2F8CF480" w14:textId="77777777" w:rsidR="00626FF9" w:rsidRPr="002C29D2" w:rsidRDefault="00626FF9" w:rsidP="00B63C4D">
            <w:pPr>
              <w:jc w:val="center"/>
              <w:rPr>
                <w:sz w:val="20"/>
                <w:szCs w:val="20"/>
              </w:rPr>
            </w:pPr>
            <w:r w:rsidRPr="002C29D2">
              <w:rPr>
                <w:sz w:val="20"/>
                <w:szCs w:val="20"/>
              </w:rPr>
              <w:t>2.538</w:t>
            </w:r>
          </w:p>
        </w:tc>
        <w:tc>
          <w:tcPr>
            <w:tcW w:w="992" w:type="dxa"/>
            <w:vAlign w:val="bottom"/>
          </w:tcPr>
          <w:p w14:paraId="4D8C9C4E" w14:textId="77777777" w:rsidR="00626FF9" w:rsidRPr="002C29D2" w:rsidRDefault="00626FF9" w:rsidP="00B63C4D">
            <w:pPr>
              <w:jc w:val="center"/>
              <w:rPr>
                <w:sz w:val="20"/>
                <w:szCs w:val="20"/>
              </w:rPr>
            </w:pPr>
            <w:r w:rsidRPr="002C29D2">
              <w:rPr>
                <w:sz w:val="20"/>
                <w:szCs w:val="20"/>
              </w:rPr>
              <w:t>0.011</w:t>
            </w:r>
          </w:p>
        </w:tc>
        <w:tc>
          <w:tcPr>
            <w:tcW w:w="992" w:type="dxa"/>
            <w:shd w:val="clear" w:color="auto" w:fill="auto"/>
            <w:noWrap/>
            <w:vAlign w:val="bottom"/>
          </w:tcPr>
          <w:p w14:paraId="265549F5" w14:textId="77777777" w:rsidR="00626FF9" w:rsidRPr="002C29D2" w:rsidRDefault="00626FF9" w:rsidP="00B63C4D">
            <w:pPr>
              <w:jc w:val="center"/>
              <w:rPr>
                <w:sz w:val="20"/>
                <w:szCs w:val="20"/>
              </w:rPr>
            </w:pPr>
            <w:r w:rsidRPr="002C29D2">
              <w:rPr>
                <w:sz w:val="20"/>
                <w:szCs w:val="20"/>
              </w:rPr>
              <w:t>0.456</w:t>
            </w:r>
          </w:p>
        </w:tc>
        <w:tc>
          <w:tcPr>
            <w:tcW w:w="1122" w:type="dxa"/>
            <w:shd w:val="clear" w:color="auto" w:fill="auto"/>
            <w:noWrap/>
            <w:vAlign w:val="bottom"/>
          </w:tcPr>
          <w:p w14:paraId="31030BE1" w14:textId="77777777" w:rsidR="00626FF9" w:rsidRPr="002C29D2" w:rsidRDefault="00626FF9" w:rsidP="00B63C4D">
            <w:pPr>
              <w:jc w:val="center"/>
              <w:rPr>
                <w:sz w:val="20"/>
                <w:szCs w:val="20"/>
              </w:rPr>
            </w:pPr>
            <w:r w:rsidRPr="002C29D2">
              <w:rPr>
                <w:sz w:val="20"/>
                <w:szCs w:val="20"/>
              </w:rPr>
              <w:t>3.010</w:t>
            </w:r>
          </w:p>
        </w:tc>
        <w:tc>
          <w:tcPr>
            <w:tcW w:w="863" w:type="dxa"/>
            <w:vAlign w:val="bottom"/>
          </w:tcPr>
          <w:p w14:paraId="5CEB8257" w14:textId="77777777" w:rsidR="00626FF9" w:rsidRPr="002C29D2" w:rsidRDefault="00626FF9" w:rsidP="00B63C4D">
            <w:pPr>
              <w:jc w:val="center"/>
              <w:rPr>
                <w:sz w:val="20"/>
                <w:szCs w:val="20"/>
              </w:rPr>
            </w:pPr>
            <w:r w:rsidRPr="002C29D2">
              <w:rPr>
                <w:sz w:val="20"/>
                <w:szCs w:val="20"/>
              </w:rPr>
              <w:t>0.003</w:t>
            </w:r>
          </w:p>
        </w:tc>
        <w:tc>
          <w:tcPr>
            <w:tcW w:w="1201" w:type="dxa"/>
            <w:shd w:val="clear" w:color="auto" w:fill="auto"/>
            <w:noWrap/>
            <w:vAlign w:val="bottom"/>
          </w:tcPr>
          <w:p w14:paraId="51F42802" w14:textId="77777777" w:rsidR="00626FF9" w:rsidRPr="002C29D2" w:rsidRDefault="00626FF9" w:rsidP="00B63C4D">
            <w:pPr>
              <w:jc w:val="center"/>
              <w:rPr>
                <w:sz w:val="20"/>
                <w:szCs w:val="20"/>
              </w:rPr>
            </w:pPr>
            <w:r w:rsidRPr="002C29D2">
              <w:rPr>
                <w:sz w:val="20"/>
                <w:szCs w:val="20"/>
              </w:rPr>
              <w:t>1.280</w:t>
            </w:r>
          </w:p>
        </w:tc>
        <w:tc>
          <w:tcPr>
            <w:tcW w:w="1067" w:type="dxa"/>
            <w:vAlign w:val="bottom"/>
          </w:tcPr>
          <w:p w14:paraId="1EAFBDDA" w14:textId="77777777" w:rsidR="00626FF9" w:rsidRPr="002C29D2" w:rsidRDefault="00626FF9" w:rsidP="00B63C4D">
            <w:pPr>
              <w:jc w:val="center"/>
              <w:rPr>
                <w:sz w:val="20"/>
                <w:szCs w:val="20"/>
              </w:rPr>
            </w:pPr>
            <w:r w:rsidRPr="002C29D2">
              <w:rPr>
                <w:sz w:val="20"/>
                <w:szCs w:val="20"/>
              </w:rPr>
              <w:t>0.203</w:t>
            </w:r>
          </w:p>
        </w:tc>
      </w:tr>
      <w:tr w:rsidR="002C29D2" w:rsidRPr="002C29D2" w14:paraId="2DA2FCED" w14:textId="77777777" w:rsidTr="00626FF9">
        <w:trPr>
          <w:trHeight w:val="320"/>
        </w:trPr>
        <w:tc>
          <w:tcPr>
            <w:tcW w:w="1435" w:type="dxa"/>
            <w:shd w:val="clear" w:color="auto" w:fill="auto"/>
            <w:noWrap/>
            <w:vAlign w:val="center"/>
          </w:tcPr>
          <w:p w14:paraId="14F10B6B" w14:textId="77777777" w:rsidR="00626FF9" w:rsidRPr="002C29D2" w:rsidRDefault="00626FF9" w:rsidP="00626FF9">
            <w:pPr>
              <w:rPr>
                <w:sz w:val="20"/>
                <w:szCs w:val="20"/>
              </w:rPr>
            </w:pPr>
            <w:r w:rsidRPr="002C29D2">
              <w:rPr>
                <w:sz w:val="20"/>
                <w:szCs w:val="20"/>
              </w:rPr>
              <w:t>ENG -&gt; SAT</w:t>
            </w:r>
          </w:p>
        </w:tc>
        <w:tc>
          <w:tcPr>
            <w:tcW w:w="970" w:type="dxa"/>
            <w:shd w:val="clear" w:color="auto" w:fill="auto"/>
            <w:noWrap/>
            <w:vAlign w:val="bottom"/>
          </w:tcPr>
          <w:p w14:paraId="7E4FD5CB" w14:textId="77777777" w:rsidR="00626FF9" w:rsidRPr="002C29D2" w:rsidRDefault="00626FF9" w:rsidP="00B63C4D">
            <w:pPr>
              <w:jc w:val="center"/>
              <w:rPr>
                <w:sz w:val="20"/>
                <w:szCs w:val="20"/>
              </w:rPr>
            </w:pPr>
            <w:r w:rsidRPr="002C29D2">
              <w:rPr>
                <w:sz w:val="20"/>
                <w:szCs w:val="20"/>
              </w:rPr>
              <w:t>0.323</w:t>
            </w:r>
          </w:p>
        </w:tc>
        <w:tc>
          <w:tcPr>
            <w:tcW w:w="1134" w:type="dxa"/>
            <w:shd w:val="clear" w:color="auto" w:fill="auto"/>
            <w:noWrap/>
            <w:vAlign w:val="bottom"/>
          </w:tcPr>
          <w:p w14:paraId="57C9C95A" w14:textId="77777777" w:rsidR="00626FF9" w:rsidRPr="002C29D2" w:rsidRDefault="00626FF9" w:rsidP="00B63C4D">
            <w:pPr>
              <w:jc w:val="center"/>
              <w:rPr>
                <w:sz w:val="20"/>
                <w:szCs w:val="20"/>
              </w:rPr>
            </w:pPr>
            <w:r w:rsidRPr="002C29D2">
              <w:rPr>
                <w:sz w:val="20"/>
                <w:szCs w:val="20"/>
              </w:rPr>
              <w:t>3.563</w:t>
            </w:r>
          </w:p>
        </w:tc>
        <w:tc>
          <w:tcPr>
            <w:tcW w:w="992" w:type="dxa"/>
            <w:vAlign w:val="bottom"/>
          </w:tcPr>
          <w:p w14:paraId="733E5E3B"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3AB1E3C9" w14:textId="77777777" w:rsidR="00626FF9" w:rsidRPr="002C29D2" w:rsidRDefault="00626FF9" w:rsidP="00B63C4D">
            <w:pPr>
              <w:jc w:val="center"/>
              <w:rPr>
                <w:sz w:val="20"/>
                <w:szCs w:val="20"/>
              </w:rPr>
            </w:pPr>
            <w:r w:rsidRPr="002C29D2">
              <w:rPr>
                <w:sz w:val="20"/>
                <w:szCs w:val="20"/>
              </w:rPr>
              <w:t>0.283</w:t>
            </w:r>
          </w:p>
        </w:tc>
        <w:tc>
          <w:tcPr>
            <w:tcW w:w="1122" w:type="dxa"/>
            <w:shd w:val="clear" w:color="auto" w:fill="auto"/>
            <w:noWrap/>
            <w:vAlign w:val="bottom"/>
          </w:tcPr>
          <w:p w14:paraId="557C74A7" w14:textId="77777777" w:rsidR="00626FF9" w:rsidRPr="002C29D2" w:rsidRDefault="00626FF9" w:rsidP="00B63C4D">
            <w:pPr>
              <w:jc w:val="center"/>
              <w:rPr>
                <w:sz w:val="20"/>
                <w:szCs w:val="20"/>
              </w:rPr>
            </w:pPr>
            <w:r w:rsidRPr="002C29D2">
              <w:rPr>
                <w:sz w:val="20"/>
                <w:szCs w:val="20"/>
              </w:rPr>
              <w:t>2.314</w:t>
            </w:r>
          </w:p>
        </w:tc>
        <w:tc>
          <w:tcPr>
            <w:tcW w:w="863" w:type="dxa"/>
            <w:vAlign w:val="bottom"/>
          </w:tcPr>
          <w:p w14:paraId="22941452" w14:textId="77777777" w:rsidR="00626FF9" w:rsidRPr="002C29D2" w:rsidRDefault="00626FF9" w:rsidP="00B63C4D">
            <w:pPr>
              <w:jc w:val="center"/>
              <w:rPr>
                <w:sz w:val="20"/>
                <w:szCs w:val="20"/>
              </w:rPr>
            </w:pPr>
            <w:r w:rsidRPr="002C29D2">
              <w:rPr>
                <w:sz w:val="20"/>
                <w:szCs w:val="20"/>
              </w:rPr>
              <w:t>0.021</w:t>
            </w:r>
          </w:p>
        </w:tc>
        <w:tc>
          <w:tcPr>
            <w:tcW w:w="1201" w:type="dxa"/>
            <w:shd w:val="clear" w:color="auto" w:fill="auto"/>
            <w:noWrap/>
            <w:vAlign w:val="bottom"/>
          </w:tcPr>
          <w:p w14:paraId="25DC459D" w14:textId="77777777" w:rsidR="00626FF9" w:rsidRPr="002C29D2" w:rsidRDefault="00626FF9" w:rsidP="00B63C4D">
            <w:pPr>
              <w:jc w:val="center"/>
              <w:rPr>
                <w:sz w:val="20"/>
                <w:szCs w:val="20"/>
              </w:rPr>
            </w:pPr>
            <w:r w:rsidRPr="002C29D2">
              <w:rPr>
                <w:sz w:val="20"/>
                <w:szCs w:val="20"/>
              </w:rPr>
              <w:t>0.263</w:t>
            </w:r>
          </w:p>
        </w:tc>
        <w:tc>
          <w:tcPr>
            <w:tcW w:w="1067" w:type="dxa"/>
            <w:vAlign w:val="bottom"/>
          </w:tcPr>
          <w:p w14:paraId="0E6757E1" w14:textId="77777777" w:rsidR="00626FF9" w:rsidRPr="002C29D2" w:rsidRDefault="00626FF9" w:rsidP="00B63C4D">
            <w:pPr>
              <w:jc w:val="center"/>
              <w:rPr>
                <w:sz w:val="20"/>
                <w:szCs w:val="20"/>
              </w:rPr>
            </w:pPr>
            <w:r w:rsidRPr="002C29D2">
              <w:rPr>
                <w:sz w:val="20"/>
                <w:szCs w:val="20"/>
              </w:rPr>
              <w:t>0.793</w:t>
            </w:r>
          </w:p>
        </w:tc>
      </w:tr>
      <w:tr w:rsidR="002C29D2" w:rsidRPr="002C29D2" w14:paraId="5B7C3FD6" w14:textId="77777777" w:rsidTr="00626FF9">
        <w:trPr>
          <w:trHeight w:val="320"/>
        </w:trPr>
        <w:tc>
          <w:tcPr>
            <w:tcW w:w="1435" w:type="dxa"/>
            <w:shd w:val="clear" w:color="auto" w:fill="auto"/>
            <w:noWrap/>
            <w:vAlign w:val="center"/>
          </w:tcPr>
          <w:p w14:paraId="60CDCDB0" w14:textId="77777777" w:rsidR="00626FF9" w:rsidRPr="002C29D2" w:rsidRDefault="00626FF9" w:rsidP="00626FF9">
            <w:pPr>
              <w:rPr>
                <w:sz w:val="20"/>
                <w:szCs w:val="20"/>
              </w:rPr>
            </w:pPr>
            <w:r w:rsidRPr="002C29D2">
              <w:rPr>
                <w:sz w:val="20"/>
                <w:szCs w:val="20"/>
              </w:rPr>
              <w:t>ENG -&gt; UI</w:t>
            </w:r>
          </w:p>
        </w:tc>
        <w:tc>
          <w:tcPr>
            <w:tcW w:w="970" w:type="dxa"/>
            <w:shd w:val="clear" w:color="auto" w:fill="auto"/>
            <w:noWrap/>
            <w:vAlign w:val="bottom"/>
          </w:tcPr>
          <w:p w14:paraId="5258BE9D" w14:textId="77777777" w:rsidR="00626FF9" w:rsidRPr="002C29D2" w:rsidRDefault="00626FF9" w:rsidP="00B63C4D">
            <w:pPr>
              <w:jc w:val="center"/>
              <w:rPr>
                <w:sz w:val="20"/>
                <w:szCs w:val="20"/>
              </w:rPr>
            </w:pPr>
            <w:r w:rsidRPr="002C29D2">
              <w:rPr>
                <w:sz w:val="20"/>
                <w:szCs w:val="20"/>
              </w:rPr>
              <w:t>0.456</w:t>
            </w:r>
          </w:p>
        </w:tc>
        <w:tc>
          <w:tcPr>
            <w:tcW w:w="1134" w:type="dxa"/>
            <w:shd w:val="clear" w:color="auto" w:fill="auto"/>
            <w:noWrap/>
            <w:vAlign w:val="bottom"/>
          </w:tcPr>
          <w:p w14:paraId="31957988" w14:textId="77777777" w:rsidR="00626FF9" w:rsidRPr="002C29D2" w:rsidRDefault="00626FF9" w:rsidP="00B63C4D">
            <w:pPr>
              <w:jc w:val="center"/>
              <w:rPr>
                <w:sz w:val="20"/>
                <w:szCs w:val="20"/>
              </w:rPr>
            </w:pPr>
            <w:r w:rsidRPr="002C29D2">
              <w:rPr>
                <w:sz w:val="20"/>
                <w:szCs w:val="20"/>
              </w:rPr>
              <w:t>6.577</w:t>
            </w:r>
          </w:p>
        </w:tc>
        <w:tc>
          <w:tcPr>
            <w:tcW w:w="992" w:type="dxa"/>
            <w:vAlign w:val="bottom"/>
          </w:tcPr>
          <w:p w14:paraId="4E6430D8" w14:textId="77777777" w:rsidR="00626FF9" w:rsidRPr="002C29D2" w:rsidRDefault="00626FF9" w:rsidP="00B63C4D">
            <w:pPr>
              <w:jc w:val="center"/>
              <w:rPr>
                <w:sz w:val="20"/>
                <w:szCs w:val="20"/>
              </w:rPr>
            </w:pPr>
            <w:r w:rsidRPr="002C29D2">
              <w:rPr>
                <w:sz w:val="20"/>
                <w:szCs w:val="20"/>
              </w:rPr>
              <w:t>0.000</w:t>
            </w:r>
          </w:p>
        </w:tc>
        <w:tc>
          <w:tcPr>
            <w:tcW w:w="992" w:type="dxa"/>
            <w:shd w:val="clear" w:color="auto" w:fill="auto"/>
            <w:noWrap/>
            <w:vAlign w:val="bottom"/>
          </w:tcPr>
          <w:p w14:paraId="74B2B185" w14:textId="77777777" w:rsidR="00626FF9" w:rsidRPr="002C29D2" w:rsidRDefault="00626FF9" w:rsidP="00B63C4D">
            <w:pPr>
              <w:jc w:val="center"/>
              <w:rPr>
                <w:sz w:val="20"/>
                <w:szCs w:val="20"/>
              </w:rPr>
            </w:pPr>
            <w:r w:rsidRPr="002C29D2">
              <w:rPr>
                <w:sz w:val="20"/>
                <w:szCs w:val="20"/>
              </w:rPr>
              <w:t>0.415</w:t>
            </w:r>
          </w:p>
        </w:tc>
        <w:tc>
          <w:tcPr>
            <w:tcW w:w="1122" w:type="dxa"/>
            <w:shd w:val="clear" w:color="auto" w:fill="auto"/>
            <w:noWrap/>
            <w:vAlign w:val="bottom"/>
          </w:tcPr>
          <w:p w14:paraId="06514078" w14:textId="77777777" w:rsidR="00626FF9" w:rsidRPr="002C29D2" w:rsidRDefault="00626FF9" w:rsidP="00B63C4D">
            <w:pPr>
              <w:jc w:val="center"/>
              <w:rPr>
                <w:sz w:val="20"/>
                <w:szCs w:val="20"/>
              </w:rPr>
            </w:pPr>
            <w:r w:rsidRPr="002C29D2">
              <w:rPr>
                <w:sz w:val="20"/>
                <w:szCs w:val="20"/>
              </w:rPr>
              <w:t>3.015</w:t>
            </w:r>
          </w:p>
        </w:tc>
        <w:tc>
          <w:tcPr>
            <w:tcW w:w="863" w:type="dxa"/>
            <w:vAlign w:val="bottom"/>
          </w:tcPr>
          <w:p w14:paraId="7622E686" w14:textId="77777777" w:rsidR="00626FF9" w:rsidRPr="002C29D2" w:rsidRDefault="00626FF9" w:rsidP="00B63C4D">
            <w:pPr>
              <w:jc w:val="center"/>
              <w:rPr>
                <w:sz w:val="20"/>
                <w:szCs w:val="20"/>
              </w:rPr>
            </w:pPr>
            <w:r w:rsidRPr="002C29D2">
              <w:rPr>
                <w:sz w:val="20"/>
                <w:szCs w:val="20"/>
              </w:rPr>
              <w:t>0.003</w:t>
            </w:r>
          </w:p>
        </w:tc>
        <w:tc>
          <w:tcPr>
            <w:tcW w:w="1201" w:type="dxa"/>
            <w:shd w:val="clear" w:color="auto" w:fill="auto"/>
            <w:noWrap/>
            <w:vAlign w:val="bottom"/>
          </w:tcPr>
          <w:p w14:paraId="33F2A5F5" w14:textId="77777777" w:rsidR="00626FF9" w:rsidRPr="002C29D2" w:rsidRDefault="00626FF9" w:rsidP="00B63C4D">
            <w:pPr>
              <w:jc w:val="center"/>
              <w:rPr>
                <w:sz w:val="20"/>
                <w:szCs w:val="20"/>
              </w:rPr>
            </w:pPr>
            <w:r w:rsidRPr="002C29D2">
              <w:rPr>
                <w:sz w:val="20"/>
                <w:szCs w:val="20"/>
              </w:rPr>
              <w:t>0.273</w:t>
            </w:r>
          </w:p>
        </w:tc>
        <w:tc>
          <w:tcPr>
            <w:tcW w:w="1067" w:type="dxa"/>
            <w:vAlign w:val="bottom"/>
          </w:tcPr>
          <w:p w14:paraId="7ED56478" w14:textId="77777777" w:rsidR="00626FF9" w:rsidRPr="002C29D2" w:rsidRDefault="00626FF9" w:rsidP="00B63C4D">
            <w:pPr>
              <w:jc w:val="center"/>
              <w:rPr>
                <w:sz w:val="20"/>
                <w:szCs w:val="20"/>
              </w:rPr>
            </w:pPr>
            <w:r w:rsidRPr="002C29D2">
              <w:rPr>
                <w:sz w:val="20"/>
                <w:szCs w:val="20"/>
              </w:rPr>
              <w:t>0.785</w:t>
            </w:r>
          </w:p>
        </w:tc>
      </w:tr>
      <w:tr w:rsidR="002C29D2" w:rsidRPr="002C29D2" w14:paraId="417D3427" w14:textId="77777777" w:rsidTr="00626FF9">
        <w:trPr>
          <w:trHeight w:val="320"/>
        </w:trPr>
        <w:tc>
          <w:tcPr>
            <w:tcW w:w="1435" w:type="dxa"/>
            <w:shd w:val="clear" w:color="auto" w:fill="auto"/>
            <w:noWrap/>
            <w:vAlign w:val="center"/>
          </w:tcPr>
          <w:p w14:paraId="48A9D27A" w14:textId="77777777" w:rsidR="00626FF9" w:rsidRPr="002C29D2" w:rsidRDefault="00626FF9" w:rsidP="00626FF9">
            <w:pPr>
              <w:rPr>
                <w:sz w:val="20"/>
                <w:szCs w:val="20"/>
              </w:rPr>
            </w:pPr>
            <w:r w:rsidRPr="002C29D2">
              <w:rPr>
                <w:sz w:val="20"/>
                <w:szCs w:val="20"/>
              </w:rPr>
              <w:t>EXP -&gt; ATA</w:t>
            </w:r>
          </w:p>
        </w:tc>
        <w:tc>
          <w:tcPr>
            <w:tcW w:w="970" w:type="dxa"/>
            <w:shd w:val="clear" w:color="auto" w:fill="auto"/>
            <w:noWrap/>
            <w:vAlign w:val="bottom"/>
          </w:tcPr>
          <w:p w14:paraId="35FC7514" w14:textId="77777777" w:rsidR="00626FF9" w:rsidRPr="002C29D2" w:rsidRDefault="00626FF9" w:rsidP="00B63C4D">
            <w:pPr>
              <w:jc w:val="center"/>
              <w:rPr>
                <w:sz w:val="20"/>
                <w:szCs w:val="20"/>
              </w:rPr>
            </w:pPr>
            <w:r w:rsidRPr="002C29D2">
              <w:rPr>
                <w:sz w:val="20"/>
                <w:szCs w:val="20"/>
              </w:rPr>
              <w:t>-0.065</w:t>
            </w:r>
          </w:p>
        </w:tc>
        <w:tc>
          <w:tcPr>
            <w:tcW w:w="1134" w:type="dxa"/>
            <w:shd w:val="clear" w:color="auto" w:fill="auto"/>
            <w:noWrap/>
            <w:vAlign w:val="bottom"/>
          </w:tcPr>
          <w:p w14:paraId="3124432E" w14:textId="77777777" w:rsidR="00626FF9" w:rsidRPr="002C29D2" w:rsidRDefault="00626FF9" w:rsidP="00B63C4D">
            <w:pPr>
              <w:jc w:val="center"/>
              <w:rPr>
                <w:sz w:val="20"/>
                <w:szCs w:val="20"/>
              </w:rPr>
            </w:pPr>
            <w:r w:rsidRPr="002C29D2">
              <w:rPr>
                <w:sz w:val="20"/>
                <w:szCs w:val="20"/>
              </w:rPr>
              <w:t>0.818</w:t>
            </w:r>
          </w:p>
        </w:tc>
        <w:tc>
          <w:tcPr>
            <w:tcW w:w="992" w:type="dxa"/>
            <w:vAlign w:val="bottom"/>
          </w:tcPr>
          <w:p w14:paraId="5731F70E" w14:textId="77777777" w:rsidR="00626FF9" w:rsidRPr="002C29D2" w:rsidRDefault="00626FF9" w:rsidP="00B63C4D">
            <w:pPr>
              <w:jc w:val="center"/>
              <w:rPr>
                <w:sz w:val="20"/>
                <w:szCs w:val="20"/>
              </w:rPr>
            </w:pPr>
            <w:r w:rsidRPr="002C29D2">
              <w:rPr>
                <w:sz w:val="20"/>
                <w:szCs w:val="20"/>
              </w:rPr>
              <w:t>0.413</w:t>
            </w:r>
          </w:p>
        </w:tc>
        <w:tc>
          <w:tcPr>
            <w:tcW w:w="992" w:type="dxa"/>
            <w:shd w:val="clear" w:color="auto" w:fill="auto"/>
            <w:noWrap/>
            <w:vAlign w:val="bottom"/>
          </w:tcPr>
          <w:p w14:paraId="32DFA888" w14:textId="77777777" w:rsidR="00626FF9" w:rsidRPr="002C29D2" w:rsidRDefault="00626FF9" w:rsidP="00B63C4D">
            <w:pPr>
              <w:jc w:val="center"/>
              <w:rPr>
                <w:sz w:val="20"/>
                <w:szCs w:val="20"/>
              </w:rPr>
            </w:pPr>
            <w:r w:rsidRPr="002C29D2">
              <w:rPr>
                <w:sz w:val="20"/>
                <w:szCs w:val="20"/>
              </w:rPr>
              <w:t>-0.081</w:t>
            </w:r>
          </w:p>
        </w:tc>
        <w:tc>
          <w:tcPr>
            <w:tcW w:w="1122" w:type="dxa"/>
            <w:shd w:val="clear" w:color="auto" w:fill="auto"/>
            <w:noWrap/>
            <w:vAlign w:val="bottom"/>
          </w:tcPr>
          <w:p w14:paraId="49513815" w14:textId="77777777" w:rsidR="00626FF9" w:rsidRPr="002C29D2" w:rsidRDefault="00626FF9" w:rsidP="00B63C4D">
            <w:pPr>
              <w:jc w:val="center"/>
              <w:rPr>
                <w:sz w:val="20"/>
                <w:szCs w:val="20"/>
              </w:rPr>
            </w:pPr>
            <w:r w:rsidRPr="002C29D2">
              <w:rPr>
                <w:sz w:val="20"/>
                <w:szCs w:val="20"/>
              </w:rPr>
              <w:t>0.485</w:t>
            </w:r>
          </w:p>
        </w:tc>
        <w:tc>
          <w:tcPr>
            <w:tcW w:w="863" w:type="dxa"/>
            <w:vAlign w:val="bottom"/>
          </w:tcPr>
          <w:p w14:paraId="4BE14CD4" w14:textId="77777777" w:rsidR="00626FF9" w:rsidRPr="002C29D2" w:rsidRDefault="00626FF9" w:rsidP="00B63C4D">
            <w:pPr>
              <w:jc w:val="center"/>
              <w:rPr>
                <w:sz w:val="20"/>
                <w:szCs w:val="20"/>
              </w:rPr>
            </w:pPr>
            <w:r w:rsidRPr="002C29D2">
              <w:rPr>
                <w:sz w:val="20"/>
                <w:szCs w:val="20"/>
              </w:rPr>
              <w:t>0.627</w:t>
            </w:r>
          </w:p>
        </w:tc>
        <w:tc>
          <w:tcPr>
            <w:tcW w:w="1201" w:type="dxa"/>
            <w:shd w:val="clear" w:color="auto" w:fill="auto"/>
            <w:noWrap/>
            <w:vAlign w:val="bottom"/>
          </w:tcPr>
          <w:p w14:paraId="1D4D3AA2" w14:textId="77777777" w:rsidR="00626FF9" w:rsidRPr="002C29D2" w:rsidRDefault="00626FF9" w:rsidP="00B63C4D">
            <w:pPr>
              <w:jc w:val="center"/>
              <w:rPr>
                <w:sz w:val="20"/>
                <w:szCs w:val="20"/>
              </w:rPr>
            </w:pPr>
            <w:r w:rsidRPr="002C29D2">
              <w:rPr>
                <w:sz w:val="20"/>
                <w:szCs w:val="20"/>
              </w:rPr>
              <w:t>0.084</w:t>
            </w:r>
          </w:p>
        </w:tc>
        <w:tc>
          <w:tcPr>
            <w:tcW w:w="1067" w:type="dxa"/>
            <w:vAlign w:val="bottom"/>
          </w:tcPr>
          <w:p w14:paraId="36CF159F" w14:textId="77777777" w:rsidR="00626FF9" w:rsidRPr="002C29D2" w:rsidRDefault="00626FF9" w:rsidP="00B63C4D">
            <w:pPr>
              <w:jc w:val="center"/>
              <w:rPr>
                <w:sz w:val="20"/>
                <w:szCs w:val="20"/>
              </w:rPr>
            </w:pPr>
            <w:r w:rsidRPr="002C29D2">
              <w:rPr>
                <w:sz w:val="20"/>
                <w:szCs w:val="20"/>
              </w:rPr>
              <w:t>0.933</w:t>
            </w:r>
          </w:p>
        </w:tc>
      </w:tr>
      <w:tr w:rsidR="002C29D2" w:rsidRPr="002C29D2" w14:paraId="75B45803" w14:textId="77777777" w:rsidTr="00626FF9">
        <w:trPr>
          <w:trHeight w:val="320"/>
        </w:trPr>
        <w:tc>
          <w:tcPr>
            <w:tcW w:w="1435" w:type="dxa"/>
            <w:shd w:val="clear" w:color="auto" w:fill="auto"/>
            <w:noWrap/>
            <w:vAlign w:val="center"/>
          </w:tcPr>
          <w:p w14:paraId="7B468944" w14:textId="77777777" w:rsidR="00626FF9" w:rsidRPr="002C29D2" w:rsidRDefault="00626FF9" w:rsidP="00626FF9">
            <w:pPr>
              <w:rPr>
                <w:sz w:val="20"/>
                <w:szCs w:val="20"/>
              </w:rPr>
            </w:pPr>
            <w:r w:rsidRPr="002C29D2">
              <w:rPr>
                <w:sz w:val="20"/>
                <w:szCs w:val="20"/>
              </w:rPr>
              <w:t>EXP -&gt; ENG</w:t>
            </w:r>
          </w:p>
        </w:tc>
        <w:tc>
          <w:tcPr>
            <w:tcW w:w="970" w:type="dxa"/>
            <w:shd w:val="clear" w:color="auto" w:fill="auto"/>
            <w:noWrap/>
            <w:vAlign w:val="bottom"/>
          </w:tcPr>
          <w:p w14:paraId="5C0CF262" w14:textId="77777777" w:rsidR="00626FF9" w:rsidRPr="002C29D2" w:rsidRDefault="00626FF9" w:rsidP="00B63C4D">
            <w:pPr>
              <w:jc w:val="center"/>
              <w:rPr>
                <w:sz w:val="20"/>
                <w:szCs w:val="20"/>
              </w:rPr>
            </w:pPr>
            <w:r w:rsidRPr="002C29D2">
              <w:rPr>
                <w:sz w:val="20"/>
                <w:szCs w:val="20"/>
              </w:rPr>
              <w:t>0.106</w:t>
            </w:r>
          </w:p>
        </w:tc>
        <w:tc>
          <w:tcPr>
            <w:tcW w:w="1134" w:type="dxa"/>
            <w:shd w:val="clear" w:color="auto" w:fill="auto"/>
            <w:noWrap/>
            <w:vAlign w:val="bottom"/>
          </w:tcPr>
          <w:p w14:paraId="77BB7D07" w14:textId="77777777" w:rsidR="00626FF9" w:rsidRPr="002C29D2" w:rsidRDefault="00626FF9" w:rsidP="00B63C4D">
            <w:pPr>
              <w:jc w:val="center"/>
              <w:rPr>
                <w:sz w:val="20"/>
                <w:szCs w:val="20"/>
              </w:rPr>
            </w:pPr>
            <w:r w:rsidRPr="002C29D2">
              <w:rPr>
                <w:sz w:val="20"/>
                <w:szCs w:val="20"/>
              </w:rPr>
              <w:t>1.978</w:t>
            </w:r>
          </w:p>
        </w:tc>
        <w:tc>
          <w:tcPr>
            <w:tcW w:w="992" w:type="dxa"/>
            <w:vAlign w:val="bottom"/>
          </w:tcPr>
          <w:p w14:paraId="6EB8772B" w14:textId="77777777" w:rsidR="00626FF9" w:rsidRPr="002C29D2" w:rsidRDefault="00626FF9" w:rsidP="00B63C4D">
            <w:pPr>
              <w:jc w:val="center"/>
              <w:rPr>
                <w:sz w:val="20"/>
                <w:szCs w:val="20"/>
              </w:rPr>
            </w:pPr>
            <w:r w:rsidRPr="002C29D2">
              <w:rPr>
                <w:sz w:val="20"/>
                <w:szCs w:val="20"/>
              </w:rPr>
              <w:t>0.048</w:t>
            </w:r>
          </w:p>
        </w:tc>
        <w:tc>
          <w:tcPr>
            <w:tcW w:w="992" w:type="dxa"/>
            <w:shd w:val="clear" w:color="auto" w:fill="auto"/>
            <w:noWrap/>
            <w:vAlign w:val="bottom"/>
          </w:tcPr>
          <w:p w14:paraId="35C08FC1" w14:textId="77777777" w:rsidR="00626FF9" w:rsidRPr="002C29D2" w:rsidRDefault="00626FF9" w:rsidP="00B63C4D">
            <w:pPr>
              <w:jc w:val="center"/>
              <w:rPr>
                <w:sz w:val="20"/>
                <w:szCs w:val="20"/>
              </w:rPr>
            </w:pPr>
            <w:r w:rsidRPr="002C29D2">
              <w:rPr>
                <w:sz w:val="20"/>
                <w:szCs w:val="20"/>
              </w:rPr>
              <w:t>0.081</w:t>
            </w:r>
          </w:p>
        </w:tc>
        <w:tc>
          <w:tcPr>
            <w:tcW w:w="1122" w:type="dxa"/>
            <w:shd w:val="clear" w:color="auto" w:fill="auto"/>
            <w:noWrap/>
            <w:vAlign w:val="bottom"/>
          </w:tcPr>
          <w:p w14:paraId="37579E94" w14:textId="77777777" w:rsidR="00626FF9" w:rsidRPr="002C29D2" w:rsidRDefault="00626FF9" w:rsidP="00B63C4D">
            <w:pPr>
              <w:jc w:val="center"/>
              <w:rPr>
                <w:sz w:val="20"/>
                <w:szCs w:val="20"/>
              </w:rPr>
            </w:pPr>
            <w:r w:rsidRPr="002C29D2">
              <w:rPr>
                <w:sz w:val="20"/>
                <w:szCs w:val="20"/>
              </w:rPr>
              <w:t>0.661</w:t>
            </w:r>
          </w:p>
        </w:tc>
        <w:tc>
          <w:tcPr>
            <w:tcW w:w="863" w:type="dxa"/>
            <w:vAlign w:val="bottom"/>
          </w:tcPr>
          <w:p w14:paraId="376B67D6" w14:textId="77777777" w:rsidR="00626FF9" w:rsidRPr="002C29D2" w:rsidRDefault="00626FF9" w:rsidP="00B63C4D">
            <w:pPr>
              <w:jc w:val="center"/>
              <w:rPr>
                <w:sz w:val="20"/>
                <w:szCs w:val="20"/>
              </w:rPr>
            </w:pPr>
            <w:r w:rsidRPr="002C29D2">
              <w:rPr>
                <w:sz w:val="20"/>
                <w:szCs w:val="20"/>
              </w:rPr>
              <w:t>0.508</w:t>
            </w:r>
          </w:p>
        </w:tc>
        <w:tc>
          <w:tcPr>
            <w:tcW w:w="1201" w:type="dxa"/>
            <w:shd w:val="clear" w:color="auto" w:fill="auto"/>
            <w:noWrap/>
            <w:vAlign w:val="bottom"/>
          </w:tcPr>
          <w:p w14:paraId="2E7B4EF1" w14:textId="77777777" w:rsidR="00626FF9" w:rsidRPr="002C29D2" w:rsidRDefault="00626FF9" w:rsidP="00B63C4D">
            <w:pPr>
              <w:jc w:val="center"/>
              <w:rPr>
                <w:sz w:val="20"/>
                <w:szCs w:val="20"/>
              </w:rPr>
            </w:pPr>
            <w:r w:rsidRPr="002C29D2">
              <w:rPr>
                <w:sz w:val="20"/>
                <w:szCs w:val="20"/>
              </w:rPr>
              <w:t>0.185</w:t>
            </w:r>
          </w:p>
        </w:tc>
        <w:tc>
          <w:tcPr>
            <w:tcW w:w="1067" w:type="dxa"/>
            <w:vAlign w:val="bottom"/>
          </w:tcPr>
          <w:p w14:paraId="4B9030FE" w14:textId="77777777" w:rsidR="00626FF9" w:rsidRPr="002C29D2" w:rsidRDefault="00626FF9" w:rsidP="00B63C4D">
            <w:pPr>
              <w:jc w:val="center"/>
              <w:rPr>
                <w:sz w:val="20"/>
                <w:szCs w:val="20"/>
              </w:rPr>
            </w:pPr>
            <w:r w:rsidRPr="002C29D2">
              <w:rPr>
                <w:sz w:val="20"/>
                <w:szCs w:val="20"/>
              </w:rPr>
              <w:t>0.853</w:t>
            </w:r>
          </w:p>
        </w:tc>
      </w:tr>
      <w:tr w:rsidR="002C29D2" w:rsidRPr="002C29D2" w14:paraId="7BC6275B" w14:textId="77777777" w:rsidTr="00626FF9">
        <w:trPr>
          <w:trHeight w:val="320"/>
        </w:trPr>
        <w:tc>
          <w:tcPr>
            <w:tcW w:w="1435" w:type="dxa"/>
            <w:shd w:val="clear" w:color="auto" w:fill="auto"/>
            <w:noWrap/>
            <w:vAlign w:val="center"/>
          </w:tcPr>
          <w:p w14:paraId="22A15FD5" w14:textId="77777777" w:rsidR="00626FF9" w:rsidRPr="002C29D2" w:rsidRDefault="00626FF9" w:rsidP="00626FF9">
            <w:pPr>
              <w:rPr>
                <w:sz w:val="20"/>
                <w:szCs w:val="20"/>
              </w:rPr>
            </w:pPr>
            <w:r w:rsidRPr="002C29D2">
              <w:rPr>
                <w:sz w:val="20"/>
                <w:szCs w:val="20"/>
              </w:rPr>
              <w:t>EXP -&gt; SAT</w:t>
            </w:r>
          </w:p>
        </w:tc>
        <w:tc>
          <w:tcPr>
            <w:tcW w:w="970" w:type="dxa"/>
            <w:shd w:val="clear" w:color="auto" w:fill="auto"/>
            <w:noWrap/>
            <w:vAlign w:val="bottom"/>
          </w:tcPr>
          <w:p w14:paraId="23E621DB" w14:textId="77777777" w:rsidR="00626FF9" w:rsidRPr="002C29D2" w:rsidRDefault="00626FF9" w:rsidP="00B63C4D">
            <w:pPr>
              <w:jc w:val="center"/>
              <w:rPr>
                <w:sz w:val="20"/>
                <w:szCs w:val="20"/>
              </w:rPr>
            </w:pPr>
            <w:r w:rsidRPr="002C29D2">
              <w:rPr>
                <w:sz w:val="20"/>
                <w:szCs w:val="20"/>
              </w:rPr>
              <w:t>0.146</w:t>
            </w:r>
          </w:p>
        </w:tc>
        <w:tc>
          <w:tcPr>
            <w:tcW w:w="1134" w:type="dxa"/>
            <w:shd w:val="clear" w:color="auto" w:fill="auto"/>
            <w:noWrap/>
            <w:vAlign w:val="bottom"/>
          </w:tcPr>
          <w:p w14:paraId="4EADA03B" w14:textId="77777777" w:rsidR="00626FF9" w:rsidRPr="002C29D2" w:rsidRDefault="00626FF9" w:rsidP="00B63C4D">
            <w:pPr>
              <w:jc w:val="center"/>
              <w:rPr>
                <w:sz w:val="20"/>
                <w:szCs w:val="20"/>
              </w:rPr>
            </w:pPr>
            <w:r w:rsidRPr="002C29D2">
              <w:rPr>
                <w:sz w:val="20"/>
                <w:szCs w:val="20"/>
              </w:rPr>
              <w:t>2.265</w:t>
            </w:r>
          </w:p>
        </w:tc>
        <w:tc>
          <w:tcPr>
            <w:tcW w:w="992" w:type="dxa"/>
            <w:vAlign w:val="bottom"/>
          </w:tcPr>
          <w:p w14:paraId="75E8D0D2" w14:textId="77777777" w:rsidR="00626FF9" w:rsidRPr="002C29D2" w:rsidRDefault="00626FF9" w:rsidP="00B63C4D">
            <w:pPr>
              <w:jc w:val="center"/>
              <w:rPr>
                <w:sz w:val="20"/>
                <w:szCs w:val="20"/>
              </w:rPr>
            </w:pPr>
            <w:r w:rsidRPr="002C29D2">
              <w:rPr>
                <w:sz w:val="20"/>
                <w:szCs w:val="20"/>
              </w:rPr>
              <w:t>0.024</w:t>
            </w:r>
          </w:p>
        </w:tc>
        <w:tc>
          <w:tcPr>
            <w:tcW w:w="992" w:type="dxa"/>
            <w:shd w:val="clear" w:color="auto" w:fill="auto"/>
            <w:noWrap/>
            <w:vAlign w:val="bottom"/>
          </w:tcPr>
          <w:p w14:paraId="7F9FFCE0" w14:textId="77777777" w:rsidR="00626FF9" w:rsidRPr="002C29D2" w:rsidRDefault="00626FF9" w:rsidP="00B63C4D">
            <w:pPr>
              <w:jc w:val="center"/>
              <w:rPr>
                <w:sz w:val="20"/>
                <w:szCs w:val="20"/>
              </w:rPr>
            </w:pPr>
            <w:r w:rsidRPr="002C29D2">
              <w:rPr>
                <w:sz w:val="20"/>
                <w:szCs w:val="20"/>
              </w:rPr>
              <w:t>0.025</w:t>
            </w:r>
          </w:p>
        </w:tc>
        <w:tc>
          <w:tcPr>
            <w:tcW w:w="1122" w:type="dxa"/>
            <w:shd w:val="clear" w:color="auto" w:fill="auto"/>
            <w:noWrap/>
            <w:vAlign w:val="bottom"/>
          </w:tcPr>
          <w:p w14:paraId="37B50F7E" w14:textId="77777777" w:rsidR="00626FF9" w:rsidRPr="002C29D2" w:rsidRDefault="00626FF9" w:rsidP="00B63C4D">
            <w:pPr>
              <w:jc w:val="center"/>
              <w:rPr>
                <w:sz w:val="20"/>
                <w:szCs w:val="20"/>
              </w:rPr>
            </w:pPr>
            <w:r w:rsidRPr="002C29D2">
              <w:rPr>
                <w:sz w:val="20"/>
                <w:szCs w:val="20"/>
              </w:rPr>
              <w:t>0.188</w:t>
            </w:r>
          </w:p>
        </w:tc>
        <w:tc>
          <w:tcPr>
            <w:tcW w:w="863" w:type="dxa"/>
            <w:vAlign w:val="bottom"/>
          </w:tcPr>
          <w:p w14:paraId="382020D4" w14:textId="77777777" w:rsidR="00626FF9" w:rsidRPr="002C29D2" w:rsidRDefault="00626FF9" w:rsidP="00B63C4D">
            <w:pPr>
              <w:jc w:val="center"/>
              <w:rPr>
                <w:sz w:val="20"/>
                <w:szCs w:val="20"/>
              </w:rPr>
            </w:pPr>
            <w:r w:rsidRPr="002C29D2">
              <w:rPr>
                <w:sz w:val="20"/>
                <w:szCs w:val="20"/>
              </w:rPr>
              <w:t>0.851</w:t>
            </w:r>
          </w:p>
        </w:tc>
        <w:tc>
          <w:tcPr>
            <w:tcW w:w="1201" w:type="dxa"/>
            <w:shd w:val="clear" w:color="auto" w:fill="auto"/>
            <w:noWrap/>
            <w:vAlign w:val="bottom"/>
          </w:tcPr>
          <w:p w14:paraId="43982681" w14:textId="77777777" w:rsidR="00626FF9" w:rsidRPr="002C29D2" w:rsidRDefault="00626FF9" w:rsidP="00B63C4D">
            <w:pPr>
              <w:jc w:val="center"/>
              <w:rPr>
                <w:sz w:val="20"/>
                <w:szCs w:val="20"/>
              </w:rPr>
            </w:pPr>
            <w:r w:rsidRPr="002C29D2">
              <w:rPr>
                <w:sz w:val="20"/>
                <w:szCs w:val="20"/>
              </w:rPr>
              <w:t>0.814</w:t>
            </w:r>
          </w:p>
        </w:tc>
        <w:tc>
          <w:tcPr>
            <w:tcW w:w="1067" w:type="dxa"/>
            <w:vAlign w:val="bottom"/>
          </w:tcPr>
          <w:p w14:paraId="3F09F343" w14:textId="77777777" w:rsidR="00626FF9" w:rsidRPr="002C29D2" w:rsidRDefault="00626FF9" w:rsidP="00B63C4D">
            <w:pPr>
              <w:jc w:val="center"/>
              <w:rPr>
                <w:sz w:val="20"/>
                <w:szCs w:val="20"/>
              </w:rPr>
            </w:pPr>
            <w:r w:rsidRPr="002C29D2">
              <w:rPr>
                <w:sz w:val="20"/>
                <w:szCs w:val="20"/>
              </w:rPr>
              <w:t>0.417</w:t>
            </w:r>
          </w:p>
        </w:tc>
      </w:tr>
      <w:tr w:rsidR="002C29D2" w:rsidRPr="002C29D2" w14:paraId="50812236" w14:textId="77777777" w:rsidTr="00626FF9">
        <w:trPr>
          <w:trHeight w:val="320"/>
        </w:trPr>
        <w:tc>
          <w:tcPr>
            <w:tcW w:w="1435" w:type="dxa"/>
            <w:shd w:val="clear" w:color="auto" w:fill="auto"/>
            <w:noWrap/>
            <w:vAlign w:val="center"/>
          </w:tcPr>
          <w:p w14:paraId="7BE0BBFA" w14:textId="77777777" w:rsidR="00626FF9" w:rsidRPr="002C29D2" w:rsidRDefault="00626FF9" w:rsidP="00626FF9">
            <w:pPr>
              <w:rPr>
                <w:sz w:val="20"/>
                <w:szCs w:val="20"/>
              </w:rPr>
            </w:pPr>
            <w:r w:rsidRPr="002C29D2">
              <w:rPr>
                <w:sz w:val="20"/>
                <w:szCs w:val="20"/>
              </w:rPr>
              <w:t>EXP -&gt; UI</w:t>
            </w:r>
          </w:p>
        </w:tc>
        <w:tc>
          <w:tcPr>
            <w:tcW w:w="970" w:type="dxa"/>
            <w:shd w:val="clear" w:color="auto" w:fill="auto"/>
            <w:noWrap/>
            <w:vAlign w:val="bottom"/>
          </w:tcPr>
          <w:p w14:paraId="779851A4" w14:textId="77777777" w:rsidR="00626FF9" w:rsidRPr="002C29D2" w:rsidRDefault="00626FF9" w:rsidP="00B63C4D">
            <w:pPr>
              <w:jc w:val="center"/>
              <w:rPr>
                <w:sz w:val="20"/>
                <w:szCs w:val="20"/>
              </w:rPr>
            </w:pPr>
            <w:r w:rsidRPr="002C29D2">
              <w:rPr>
                <w:sz w:val="20"/>
                <w:szCs w:val="20"/>
              </w:rPr>
              <w:t>-0.000</w:t>
            </w:r>
          </w:p>
        </w:tc>
        <w:tc>
          <w:tcPr>
            <w:tcW w:w="1134" w:type="dxa"/>
            <w:shd w:val="clear" w:color="auto" w:fill="auto"/>
            <w:noWrap/>
            <w:vAlign w:val="bottom"/>
          </w:tcPr>
          <w:p w14:paraId="2980E91B" w14:textId="77777777" w:rsidR="00626FF9" w:rsidRPr="002C29D2" w:rsidRDefault="00626FF9" w:rsidP="00B63C4D">
            <w:pPr>
              <w:jc w:val="center"/>
              <w:rPr>
                <w:sz w:val="20"/>
                <w:szCs w:val="20"/>
              </w:rPr>
            </w:pPr>
            <w:r w:rsidRPr="002C29D2">
              <w:rPr>
                <w:sz w:val="20"/>
                <w:szCs w:val="20"/>
              </w:rPr>
              <w:t>0.002</w:t>
            </w:r>
          </w:p>
        </w:tc>
        <w:tc>
          <w:tcPr>
            <w:tcW w:w="992" w:type="dxa"/>
            <w:vAlign w:val="bottom"/>
          </w:tcPr>
          <w:p w14:paraId="517B7345" w14:textId="77777777" w:rsidR="00626FF9" w:rsidRPr="002C29D2" w:rsidRDefault="00626FF9" w:rsidP="00B63C4D">
            <w:pPr>
              <w:jc w:val="center"/>
              <w:rPr>
                <w:sz w:val="20"/>
                <w:szCs w:val="20"/>
              </w:rPr>
            </w:pPr>
            <w:r w:rsidRPr="002C29D2">
              <w:rPr>
                <w:sz w:val="20"/>
                <w:szCs w:val="20"/>
              </w:rPr>
              <w:t>0.999</w:t>
            </w:r>
          </w:p>
        </w:tc>
        <w:tc>
          <w:tcPr>
            <w:tcW w:w="992" w:type="dxa"/>
            <w:shd w:val="clear" w:color="auto" w:fill="auto"/>
            <w:noWrap/>
            <w:vAlign w:val="bottom"/>
          </w:tcPr>
          <w:p w14:paraId="0801FC54" w14:textId="77777777" w:rsidR="00626FF9" w:rsidRPr="002C29D2" w:rsidRDefault="00626FF9" w:rsidP="00B63C4D">
            <w:pPr>
              <w:jc w:val="center"/>
              <w:rPr>
                <w:sz w:val="20"/>
                <w:szCs w:val="20"/>
              </w:rPr>
            </w:pPr>
            <w:r w:rsidRPr="002C29D2">
              <w:rPr>
                <w:sz w:val="20"/>
                <w:szCs w:val="20"/>
              </w:rPr>
              <w:t>0.042</w:t>
            </w:r>
          </w:p>
        </w:tc>
        <w:tc>
          <w:tcPr>
            <w:tcW w:w="1122" w:type="dxa"/>
            <w:shd w:val="clear" w:color="auto" w:fill="auto"/>
            <w:noWrap/>
            <w:vAlign w:val="bottom"/>
          </w:tcPr>
          <w:p w14:paraId="4F39E952" w14:textId="77777777" w:rsidR="00626FF9" w:rsidRPr="002C29D2" w:rsidRDefault="00626FF9" w:rsidP="00B63C4D">
            <w:pPr>
              <w:jc w:val="center"/>
              <w:rPr>
                <w:sz w:val="20"/>
                <w:szCs w:val="20"/>
              </w:rPr>
            </w:pPr>
            <w:r w:rsidRPr="002C29D2">
              <w:rPr>
                <w:sz w:val="20"/>
                <w:szCs w:val="20"/>
              </w:rPr>
              <w:t>0.246</w:t>
            </w:r>
          </w:p>
        </w:tc>
        <w:tc>
          <w:tcPr>
            <w:tcW w:w="863" w:type="dxa"/>
            <w:vAlign w:val="bottom"/>
          </w:tcPr>
          <w:p w14:paraId="7BB8E193" w14:textId="77777777" w:rsidR="00626FF9" w:rsidRPr="002C29D2" w:rsidRDefault="00626FF9" w:rsidP="00B63C4D">
            <w:pPr>
              <w:jc w:val="center"/>
              <w:rPr>
                <w:sz w:val="20"/>
                <w:szCs w:val="20"/>
              </w:rPr>
            </w:pPr>
            <w:r w:rsidRPr="002C29D2">
              <w:rPr>
                <w:sz w:val="20"/>
                <w:szCs w:val="20"/>
              </w:rPr>
              <w:t>0.806</w:t>
            </w:r>
          </w:p>
        </w:tc>
        <w:tc>
          <w:tcPr>
            <w:tcW w:w="1201" w:type="dxa"/>
            <w:shd w:val="clear" w:color="auto" w:fill="auto"/>
            <w:noWrap/>
            <w:vAlign w:val="bottom"/>
          </w:tcPr>
          <w:p w14:paraId="7EB2CF17" w14:textId="77777777" w:rsidR="00626FF9" w:rsidRPr="002C29D2" w:rsidRDefault="00626FF9" w:rsidP="00B63C4D">
            <w:pPr>
              <w:jc w:val="center"/>
              <w:rPr>
                <w:sz w:val="20"/>
                <w:szCs w:val="20"/>
              </w:rPr>
            </w:pPr>
            <w:r w:rsidRPr="002C29D2">
              <w:rPr>
                <w:sz w:val="20"/>
                <w:szCs w:val="20"/>
              </w:rPr>
              <w:t>0.230</w:t>
            </w:r>
          </w:p>
        </w:tc>
        <w:tc>
          <w:tcPr>
            <w:tcW w:w="1067" w:type="dxa"/>
            <w:vAlign w:val="bottom"/>
          </w:tcPr>
          <w:p w14:paraId="2CBFADF4" w14:textId="77777777" w:rsidR="00626FF9" w:rsidRPr="002C29D2" w:rsidRDefault="00626FF9" w:rsidP="00B63C4D">
            <w:pPr>
              <w:jc w:val="center"/>
              <w:rPr>
                <w:sz w:val="20"/>
                <w:szCs w:val="20"/>
              </w:rPr>
            </w:pPr>
            <w:r w:rsidRPr="002C29D2">
              <w:rPr>
                <w:sz w:val="20"/>
                <w:szCs w:val="20"/>
              </w:rPr>
              <w:t>0.818</w:t>
            </w:r>
          </w:p>
        </w:tc>
      </w:tr>
      <w:tr w:rsidR="002C29D2" w:rsidRPr="002C29D2" w14:paraId="15AF5A90" w14:textId="77777777" w:rsidTr="00626FF9">
        <w:trPr>
          <w:trHeight w:val="320"/>
        </w:trPr>
        <w:tc>
          <w:tcPr>
            <w:tcW w:w="1435" w:type="dxa"/>
            <w:shd w:val="clear" w:color="auto" w:fill="auto"/>
            <w:noWrap/>
            <w:vAlign w:val="center"/>
          </w:tcPr>
          <w:p w14:paraId="050A50C8" w14:textId="77777777" w:rsidR="00626FF9" w:rsidRPr="002C29D2" w:rsidRDefault="00626FF9" w:rsidP="00626FF9">
            <w:pPr>
              <w:rPr>
                <w:sz w:val="20"/>
                <w:szCs w:val="20"/>
              </w:rPr>
            </w:pPr>
            <w:r w:rsidRPr="002C29D2">
              <w:rPr>
                <w:sz w:val="20"/>
                <w:szCs w:val="20"/>
              </w:rPr>
              <w:t>JUS -&gt; ATA</w:t>
            </w:r>
          </w:p>
        </w:tc>
        <w:tc>
          <w:tcPr>
            <w:tcW w:w="970" w:type="dxa"/>
            <w:shd w:val="clear" w:color="auto" w:fill="auto"/>
            <w:noWrap/>
            <w:vAlign w:val="bottom"/>
          </w:tcPr>
          <w:p w14:paraId="77C9AFFE" w14:textId="77777777" w:rsidR="00626FF9" w:rsidRPr="002C29D2" w:rsidRDefault="00626FF9" w:rsidP="00B63C4D">
            <w:pPr>
              <w:jc w:val="center"/>
              <w:rPr>
                <w:sz w:val="20"/>
                <w:szCs w:val="20"/>
              </w:rPr>
            </w:pPr>
            <w:r w:rsidRPr="002C29D2">
              <w:rPr>
                <w:sz w:val="20"/>
                <w:szCs w:val="20"/>
              </w:rPr>
              <w:t>0.048</w:t>
            </w:r>
          </w:p>
        </w:tc>
        <w:tc>
          <w:tcPr>
            <w:tcW w:w="1134" w:type="dxa"/>
            <w:shd w:val="clear" w:color="auto" w:fill="auto"/>
            <w:noWrap/>
            <w:vAlign w:val="bottom"/>
          </w:tcPr>
          <w:p w14:paraId="0F718AFA" w14:textId="77777777" w:rsidR="00626FF9" w:rsidRPr="002C29D2" w:rsidRDefault="00626FF9" w:rsidP="00B63C4D">
            <w:pPr>
              <w:jc w:val="center"/>
              <w:rPr>
                <w:sz w:val="20"/>
                <w:szCs w:val="20"/>
              </w:rPr>
            </w:pPr>
            <w:r w:rsidRPr="002C29D2">
              <w:rPr>
                <w:sz w:val="20"/>
                <w:szCs w:val="20"/>
              </w:rPr>
              <w:t>0.531</w:t>
            </w:r>
          </w:p>
        </w:tc>
        <w:tc>
          <w:tcPr>
            <w:tcW w:w="992" w:type="dxa"/>
            <w:vAlign w:val="bottom"/>
          </w:tcPr>
          <w:p w14:paraId="11ED5B49" w14:textId="77777777" w:rsidR="00626FF9" w:rsidRPr="002C29D2" w:rsidRDefault="00626FF9" w:rsidP="00B63C4D">
            <w:pPr>
              <w:jc w:val="center"/>
              <w:rPr>
                <w:sz w:val="20"/>
                <w:szCs w:val="20"/>
              </w:rPr>
            </w:pPr>
            <w:r w:rsidRPr="002C29D2">
              <w:rPr>
                <w:sz w:val="20"/>
                <w:szCs w:val="20"/>
              </w:rPr>
              <w:t>0.595</w:t>
            </w:r>
          </w:p>
        </w:tc>
        <w:tc>
          <w:tcPr>
            <w:tcW w:w="992" w:type="dxa"/>
            <w:shd w:val="clear" w:color="auto" w:fill="auto"/>
            <w:noWrap/>
            <w:vAlign w:val="bottom"/>
          </w:tcPr>
          <w:p w14:paraId="59D3B76A" w14:textId="77777777" w:rsidR="00626FF9" w:rsidRPr="002C29D2" w:rsidRDefault="00626FF9" w:rsidP="00B63C4D">
            <w:pPr>
              <w:jc w:val="center"/>
              <w:rPr>
                <w:sz w:val="20"/>
                <w:szCs w:val="20"/>
              </w:rPr>
            </w:pPr>
            <w:r w:rsidRPr="002C29D2">
              <w:rPr>
                <w:sz w:val="20"/>
                <w:szCs w:val="20"/>
              </w:rPr>
              <w:t>0.211</w:t>
            </w:r>
          </w:p>
        </w:tc>
        <w:tc>
          <w:tcPr>
            <w:tcW w:w="1122" w:type="dxa"/>
            <w:shd w:val="clear" w:color="auto" w:fill="auto"/>
            <w:noWrap/>
            <w:vAlign w:val="bottom"/>
          </w:tcPr>
          <w:p w14:paraId="2A304AAE" w14:textId="77777777" w:rsidR="00626FF9" w:rsidRPr="002C29D2" w:rsidRDefault="00626FF9" w:rsidP="00B63C4D">
            <w:pPr>
              <w:jc w:val="center"/>
              <w:rPr>
                <w:sz w:val="20"/>
                <w:szCs w:val="20"/>
              </w:rPr>
            </w:pPr>
            <w:r w:rsidRPr="002C29D2">
              <w:rPr>
                <w:sz w:val="20"/>
                <w:szCs w:val="20"/>
              </w:rPr>
              <w:t>1.458</w:t>
            </w:r>
          </w:p>
        </w:tc>
        <w:tc>
          <w:tcPr>
            <w:tcW w:w="863" w:type="dxa"/>
            <w:vAlign w:val="bottom"/>
          </w:tcPr>
          <w:p w14:paraId="19ADC1A4" w14:textId="77777777" w:rsidR="00626FF9" w:rsidRPr="002C29D2" w:rsidRDefault="00626FF9" w:rsidP="00B63C4D">
            <w:pPr>
              <w:jc w:val="center"/>
              <w:rPr>
                <w:sz w:val="20"/>
                <w:szCs w:val="20"/>
              </w:rPr>
            </w:pPr>
            <w:r w:rsidRPr="002C29D2">
              <w:rPr>
                <w:sz w:val="20"/>
                <w:szCs w:val="20"/>
              </w:rPr>
              <w:t>0.145</w:t>
            </w:r>
          </w:p>
        </w:tc>
        <w:tc>
          <w:tcPr>
            <w:tcW w:w="1201" w:type="dxa"/>
            <w:shd w:val="clear" w:color="auto" w:fill="auto"/>
            <w:noWrap/>
            <w:vAlign w:val="bottom"/>
          </w:tcPr>
          <w:p w14:paraId="39EA6E8B" w14:textId="77777777" w:rsidR="00626FF9" w:rsidRPr="002C29D2" w:rsidRDefault="00626FF9" w:rsidP="00B63C4D">
            <w:pPr>
              <w:jc w:val="center"/>
              <w:rPr>
                <w:sz w:val="20"/>
                <w:szCs w:val="20"/>
              </w:rPr>
            </w:pPr>
            <w:r w:rsidRPr="002C29D2">
              <w:rPr>
                <w:sz w:val="20"/>
                <w:szCs w:val="20"/>
              </w:rPr>
              <w:t>0.959</w:t>
            </w:r>
          </w:p>
        </w:tc>
        <w:tc>
          <w:tcPr>
            <w:tcW w:w="1067" w:type="dxa"/>
            <w:vAlign w:val="bottom"/>
          </w:tcPr>
          <w:p w14:paraId="719FACA6" w14:textId="77777777" w:rsidR="00626FF9" w:rsidRPr="002C29D2" w:rsidRDefault="00626FF9" w:rsidP="00B63C4D">
            <w:pPr>
              <w:jc w:val="center"/>
              <w:rPr>
                <w:sz w:val="20"/>
                <w:szCs w:val="20"/>
              </w:rPr>
            </w:pPr>
            <w:r w:rsidRPr="002C29D2">
              <w:rPr>
                <w:sz w:val="20"/>
                <w:szCs w:val="20"/>
              </w:rPr>
              <w:t>0.340</w:t>
            </w:r>
          </w:p>
        </w:tc>
      </w:tr>
      <w:tr w:rsidR="002C29D2" w:rsidRPr="002C29D2" w14:paraId="30A3A7AC" w14:textId="77777777" w:rsidTr="00626FF9">
        <w:trPr>
          <w:trHeight w:val="320"/>
        </w:trPr>
        <w:tc>
          <w:tcPr>
            <w:tcW w:w="1435" w:type="dxa"/>
            <w:shd w:val="clear" w:color="auto" w:fill="auto"/>
            <w:noWrap/>
            <w:vAlign w:val="center"/>
          </w:tcPr>
          <w:p w14:paraId="0331FC57" w14:textId="77777777" w:rsidR="00626FF9" w:rsidRPr="002C29D2" w:rsidRDefault="00626FF9" w:rsidP="00626FF9">
            <w:pPr>
              <w:rPr>
                <w:b/>
                <w:bCs/>
                <w:sz w:val="20"/>
                <w:szCs w:val="20"/>
              </w:rPr>
            </w:pPr>
            <w:r w:rsidRPr="002C29D2">
              <w:rPr>
                <w:b/>
                <w:bCs/>
                <w:sz w:val="20"/>
                <w:szCs w:val="20"/>
              </w:rPr>
              <w:t>JUS -&gt; ENG</w:t>
            </w:r>
          </w:p>
        </w:tc>
        <w:tc>
          <w:tcPr>
            <w:tcW w:w="970" w:type="dxa"/>
            <w:shd w:val="clear" w:color="auto" w:fill="auto"/>
            <w:noWrap/>
            <w:vAlign w:val="bottom"/>
          </w:tcPr>
          <w:p w14:paraId="2FAA47A9" w14:textId="77777777" w:rsidR="00626FF9" w:rsidRPr="002C29D2" w:rsidRDefault="00626FF9" w:rsidP="00B63C4D">
            <w:pPr>
              <w:jc w:val="center"/>
              <w:rPr>
                <w:b/>
                <w:bCs/>
                <w:sz w:val="20"/>
                <w:szCs w:val="20"/>
              </w:rPr>
            </w:pPr>
            <w:r w:rsidRPr="002C29D2">
              <w:rPr>
                <w:b/>
                <w:bCs/>
                <w:sz w:val="20"/>
                <w:szCs w:val="20"/>
              </w:rPr>
              <w:t>0.162</w:t>
            </w:r>
          </w:p>
        </w:tc>
        <w:tc>
          <w:tcPr>
            <w:tcW w:w="1134" w:type="dxa"/>
            <w:shd w:val="clear" w:color="auto" w:fill="auto"/>
            <w:noWrap/>
            <w:vAlign w:val="bottom"/>
          </w:tcPr>
          <w:p w14:paraId="328BDEC3" w14:textId="77777777" w:rsidR="00626FF9" w:rsidRPr="002C29D2" w:rsidRDefault="00626FF9" w:rsidP="00B63C4D">
            <w:pPr>
              <w:jc w:val="center"/>
              <w:rPr>
                <w:b/>
                <w:bCs/>
                <w:sz w:val="20"/>
                <w:szCs w:val="20"/>
              </w:rPr>
            </w:pPr>
            <w:r w:rsidRPr="002C29D2">
              <w:rPr>
                <w:b/>
                <w:bCs/>
                <w:sz w:val="20"/>
                <w:szCs w:val="20"/>
              </w:rPr>
              <w:t>2.898</w:t>
            </w:r>
          </w:p>
        </w:tc>
        <w:tc>
          <w:tcPr>
            <w:tcW w:w="992" w:type="dxa"/>
            <w:vAlign w:val="bottom"/>
          </w:tcPr>
          <w:p w14:paraId="3AEDAA71" w14:textId="77777777" w:rsidR="00626FF9" w:rsidRPr="002C29D2" w:rsidRDefault="00626FF9" w:rsidP="00B63C4D">
            <w:pPr>
              <w:jc w:val="center"/>
              <w:rPr>
                <w:b/>
                <w:bCs/>
                <w:sz w:val="20"/>
                <w:szCs w:val="20"/>
              </w:rPr>
            </w:pPr>
            <w:r w:rsidRPr="002C29D2">
              <w:rPr>
                <w:b/>
                <w:bCs/>
                <w:sz w:val="20"/>
                <w:szCs w:val="20"/>
              </w:rPr>
              <w:t>0.004</w:t>
            </w:r>
          </w:p>
        </w:tc>
        <w:tc>
          <w:tcPr>
            <w:tcW w:w="992" w:type="dxa"/>
            <w:shd w:val="clear" w:color="auto" w:fill="auto"/>
            <w:noWrap/>
            <w:vAlign w:val="bottom"/>
          </w:tcPr>
          <w:p w14:paraId="4AB09574" w14:textId="77777777" w:rsidR="00626FF9" w:rsidRPr="002C29D2" w:rsidRDefault="00626FF9" w:rsidP="00B63C4D">
            <w:pPr>
              <w:jc w:val="center"/>
              <w:rPr>
                <w:b/>
                <w:bCs/>
                <w:sz w:val="20"/>
                <w:szCs w:val="20"/>
              </w:rPr>
            </w:pPr>
            <w:r w:rsidRPr="002C29D2">
              <w:rPr>
                <w:b/>
                <w:bCs/>
                <w:sz w:val="20"/>
                <w:szCs w:val="20"/>
              </w:rPr>
              <w:t>0.457</w:t>
            </w:r>
          </w:p>
        </w:tc>
        <w:tc>
          <w:tcPr>
            <w:tcW w:w="1122" w:type="dxa"/>
            <w:shd w:val="clear" w:color="auto" w:fill="auto"/>
            <w:noWrap/>
            <w:vAlign w:val="bottom"/>
          </w:tcPr>
          <w:p w14:paraId="73626C43" w14:textId="77777777" w:rsidR="00626FF9" w:rsidRPr="002C29D2" w:rsidRDefault="00626FF9" w:rsidP="00B63C4D">
            <w:pPr>
              <w:jc w:val="center"/>
              <w:rPr>
                <w:b/>
                <w:bCs/>
                <w:sz w:val="20"/>
                <w:szCs w:val="20"/>
              </w:rPr>
            </w:pPr>
            <w:r w:rsidRPr="002C29D2">
              <w:rPr>
                <w:b/>
                <w:bCs/>
                <w:sz w:val="20"/>
                <w:szCs w:val="20"/>
              </w:rPr>
              <w:t>3.430</w:t>
            </w:r>
          </w:p>
        </w:tc>
        <w:tc>
          <w:tcPr>
            <w:tcW w:w="863" w:type="dxa"/>
            <w:vAlign w:val="bottom"/>
          </w:tcPr>
          <w:p w14:paraId="21E0407A" w14:textId="77777777" w:rsidR="00626FF9" w:rsidRPr="002C29D2" w:rsidRDefault="00626FF9" w:rsidP="00B63C4D">
            <w:pPr>
              <w:jc w:val="center"/>
              <w:rPr>
                <w:b/>
                <w:bCs/>
                <w:sz w:val="20"/>
                <w:szCs w:val="20"/>
              </w:rPr>
            </w:pPr>
            <w:r w:rsidRPr="002C29D2">
              <w:rPr>
                <w:b/>
                <w:bCs/>
                <w:sz w:val="20"/>
                <w:szCs w:val="20"/>
              </w:rPr>
              <w:t>0.001</w:t>
            </w:r>
          </w:p>
        </w:tc>
        <w:tc>
          <w:tcPr>
            <w:tcW w:w="1201" w:type="dxa"/>
            <w:shd w:val="clear" w:color="auto" w:fill="auto"/>
            <w:noWrap/>
            <w:vAlign w:val="bottom"/>
          </w:tcPr>
          <w:p w14:paraId="33163ECB" w14:textId="77777777" w:rsidR="00626FF9" w:rsidRPr="002C29D2" w:rsidRDefault="00626FF9" w:rsidP="00B63C4D">
            <w:pPr>
              <w:jc w:val="center"/>
              <w:rPr>
                <w:b/>
                <w:bCs/>
                <w:sz w:val="20"/>
                <w:szCs w:val="20"/>
              </w:rPr>
            </w:pPr>
            <w:r w:rsidRPr="002C29D2">
              <w:rPr>
                <w:b/>
                <w:bCs/>
                <w:sz w:val="20"/>
                <w:szCs w:val="20"/>
              </w:rPr>
              <w:t>2.055</w:t>
            </w:r>
          </w:p>
        </w:tc>
        <w:tc>
          <w:tcPr>
            <w:tcW w:w="1067" w:type="dxa"/>
            <w:vAlign w:val="bottom"/>
          </w:tcPr>
          <w:p w14:paraId="7773CD9B" w14:textId="77777777" w:rsidR="00626FF9" w:rsidRPr="002C29D2" w:rsidRDefault="00626FF9" w:rsidP="00B63C4D">
            <w:pPr>
              <w:jc w:val="center"/>
              <w:rPr>
                <w:b/>
                <w:bCs/>
                <w:sz w:val="20"/>
                <w:szCs w:val="20"/>
              </w:rPr>
            </w:pPr>
            <w:r w:rsidRPr="002C29D2">
              <w:rPr>
                <w:b/>
                <w:bCs/>
                <w:sz w:val="20"/>
                <w:szCs w:val="20"/>
              </w:rPr>
              <w:t>0.042</w:t>
            </w:r>
          </w:p>
        </w:tc>
      </w:tr>
      <w:tr w:rsidR="002C29D2" w:rsidRPr="002C29D2" w14:paraId="60202212" w14:textId="77777777" w:rsidTr="00626FF9">
        <w:trPr>
          <w:trHeight w:val="320"/>
        </w:trPr>
        <w:tc>
          <w:tcPr>
            <w:tcW w:w="1435" w:type="dxa"/>
            <w:shd w:val="clear" w:color="auto" w:fill="auto"/>
            <w:noWrap/>
            <w:vAlign w:val="center"/>
          </w:tcPr>
          <w:p w14:paraId="11644EC6" w14:textId="77777777" w:rsidR="00626FF9" w:rsidRPr="002C29D2" w:rsidRDefault="00626FF9" w:rsidP="00626FF9">
            <w:pPr>
              <w:rPr>
                <w:sz w:val="20"/>
                <w:szCs w:val="20"/>
              </w:rPr>
            </w:pPr>
            <w:r w:rsidRPr="002C29D2">
              <w:rPr>
                <w:sz w:val="20"/>
                <w:szCs w:val="20"/>
              </w:rPr>
              <w:t>JUS -&gt; SAT</w:t>
            </w:r>
          </w:p>
        </w:tc>
        <w:tc>
          <w:tcPr>
            <w:tcW w:w="970" w:type="dxa"/>
            <w:shd w:val="clear" w:color="auto" w:fill="auto"/>
            <w:noWrap/>
            <w:vAlign w:val="bottom"/>
          </w:tcPr>
          <w:p w14:paraId="502EBAE0" w14:textId="77777777" w:rsidR="00626FF9" w:rsidRPr="002C29D2" w:rsidRDefault="00626FF9" w:rsidP="00B63C4D">
            <w:pPr>
              <w:jc w:val="center"/>
              <w:rPr>
                <w:sz w:val="20"/>
                <w:szCs w:val="20"/>
              </w:rPr>
            </w:pPr>
            <w:r w:rsidRPr="002C29D2">
              <w:rPr>
                <w:sz w:val="20"/>
                <w:szCs w:val="20"/>
              </w:rPr>
              <w:t>0.242</w:t>
            </w:r>
          </w:p>
        </w:tc>
        <w:tc>
          <w:tcPr>
            <w:tcW w:w="1134" w:type="dxa"/>
            <w:shd w:val="clear" w:color="auto" w:fill="auto"/>
            <w:noWrap/>
            <w:vAlign w:val="bottom"/>
          </w:tcPr>
          <w:p w14:paraId="2BC3FF04" w14:textId="77777777" w:rsidR="00626FF9" w:rsidRPr="002C29D2" w:rsidRDefault="00626FF9" w:rsidP="00B63C4D">
            <w:pPr>
              <w:jc w:val="center"/>
              <w:rPr>
                <w:sz w:val="20"/>
                <w:szCs w:val="20"/>
              </w:rPr>
            </w:pPr>
            <w:r w:rsidRPr="002C29D2">
              <w:rPr>
                <w:sz w:val="20"/>
                <w:szCs w:val="20"/>
              </w:rPr>
              <w:t>3.175</w:t>
            </w:r>
          </w:p>
        </w:tc>
        <w:tc>
          <w:tcPr>
            <w:tcW w:w="992" w:type="dxa"/>
            <w:vAlign w:val="bottom"/>
          </w:tcPr>
          <w:p w14:paraId="191AF58D" w14:textId="77777777" w:rsidR="00626FF9" w:rsidRPr="002C29D2" w:rsidRDefault="00626FF9" w:rsidP="00B63C4D">
            <w:pPr>
              <w:jc w:val="center"/>
              <w:rPr>
                <w:sz w:val="20"/>
                <w:szCs w:val="20"/>
              </w:rPr>
            </w:pPr>
            <w:r w:rsidRPr="002C29D2">
              <w:rPr>
                <w:sz w:val="20"/>
                <w:szCs w:val="20"/>
              </w:rPr>
              <w:t>0.002</w:t>
            </w:r>
          </w:p>
        </w:tc>
        <w:tc>
          <w:tcPr>
            <w:tcW w:w="992" w:type="dxa"/>
            <w:shd w:val="clear" w:color="auto" w:fill="auto"/>
            <w:noWrap/>
            <w:vAlign w:val="bottom"/>
          </w:tcPr>
          <w:p w14:paraId="3A4AE56F" w14:textId="77777777" w:rsidR="00626FF9" w:rsidRPr="002C29D2" w:rsidRDefault="00626FF9" w:rsidP="00B63C4D">
            <w:pPr>
              <w:jc w:val="center"/>
              <w:rPr>
                <w:sz w:val="20"/>
                <w:szCs w:val="20"/>
              </w:rPr>
            </w:pPr>
            <w:r w:rsidRPr="002C29D2">
              <w:rPr>
                <w:sz w:val="20"/>
                <w:szCs w:val="20"/>
              </w:rPr>
              <w:t>0.289</w:t>
            </w:r>
          </w:p>
        </w:tc>
        <w:tc>
          <w:tcPr>
            <w:tcW w:w="1122" w:type="dxa"/>
            <w:shd w:val="clear" w:color="auto" w:fill="auto"/>
            <w:noWrap/>
            <w:vAlign w:val="bottom"/>
          </w:tcPr>
          <w:p w14:paraId="6650AA8A" w14:textId="77777777" w:rsidR="00626FF9" w:rsidRPr="002C29D2" w:rsidRDefault="00626FF9" w:rsidP="00B63C4D">
            <w:pPr>
              <w:jc w:val="center"/>
              <w:rPr>
                <w:sz w:val="20"/>
                <w:szCs w:val="20"/>
              </w:rPr>
            </w:pPr>
            <w:r w:rsidRPr="002C29D2">
              <w:rPr>
                <w:sz w:val="20"/>
                <w:szCs w:val="20"/>
              </w:rPr>
              <w:t>2.246</w:t>
            </w:r>
          </w:p>
        </w:tc>
        <w:tc>
          <w:tcPr>
            <w:tcW w:w="863" w:type="dxa"/>
            <w:vAlign w:val="bottom"/>
          </w:tcPr>
          <w:p w14:paraId="3FAB5A75" w14:textId="77777777" w:rsidR="00626FF9" w:rsidRPr="002C29D2" w:rsidRDefault="00626FF9" w:rsidP="00B63C4D">
            <w:pPr>
              <w:jc w:val="center"/>
              <w:rPr>
                <w:sz w:val="20"/>
                <w:szCs w:val="20"/>
              </w:rPr>
            </w:pPr>
            <w:r w:rsidRPr="002C29D2">
              <w:rPr>
                <w:sz w:val="20"/>
                <w:szCs w:val="20"/>
              </w:rPr>
              <w:t>0.025</w:t>
            </w:r>
          </w:p>
        </w:tc>
        <w:tc>
          <w:tcPr>
            <w:tcW w:w="1201" w:type="dxa"/>
            <w:shd w:val="clear" w:color="auto" w:fill="auto"/>
            <w:noWrap/>
            <w:vAlign w:val="bottom"/>
          </w:tcPr>
          <w:p w14:paraId="2BBA0AAE" w14:textId="77777777" w:rsidR="00626FF9" w:rsidRPr="002C29D2" w:rsidRDefault="00626FF9" w:rsidP="00B63C4D">
            <w:pPr>
              <w:jc w:val="center"/>
              <w:rPr>
                <w:sz w:val="20"/>
                <w:szCs w:val="20"/>
              </w:rPr>
            </w:pPr>
            <w:r w:rsidRPr="002C29D2">
              <w:rPr>
                <w:sz w:val="20"/>
                <w:szCs w:val="20"/>
              </w:rPr>
              <w:t>0.316</w:t>
            </w:r>
          </w:p>
        </w:tc>
        <w:tc>
          <w:tcPr>
            <w:tcW w:w="1067" w:type="dxa"/>
            <w:vAlign w:val="bottom"/>
          </w:tcPr>
          <w:p w14:paraId="1B387654" w14:textId="77777777" w:rsidR="00626FF9" w:rsidRPr="002C29D2" w:rsidRDefault="00626FF9" w:rsidP="00B63C4D">
            <w:pPr>
              <w:jc w:val="center"/>
              <w:rPr>
                <w:sz w:val="20"/>
                <w:szCs w:val="20"/>
              </w:rPr>
            </w:pPr>
            <w:r w:rsidRPr="002C29D2">
              <w:rPr>
                <w:sz w:val="20"/>
                <w:szCs w:val="20"/>
              </w:rPr>
              <w:t>0.753</w:t>
            </w:r>
          </w:p>
        </w:tc>
      </w:tr>
      <w:tr w:rsidR="002C29D2" w:rsidRPr="002C29D2" w14:paraId="07C15489" w14:textId="77777777" w:rsidTr="00626FF9">
        <w:trPr>
          <w:trHeight w:val="320"/>
        </w:trPr>
        <w:tc>
          <w:tcPr>
            <w:tcW w:w="1435" w:type="dxa"/>
            <w:shd w:val="clear" w:color="auto" w:fill="auto"/>
            <w:noWrap/>
            <w:vAlign w:val="center"/>
          </w:tcPr>
          <w:p w14:paraId="4BC7F729" w14:textId="77777777" w:rsidR="00626FF9" w:rsidRPr="002C29D2" w:rsidRDefault="00626FF9" w:rsidP="00626FF9">
            <w:pPr>
              <w:rPr>
                <w:sz w:val="20"/>
                <w:szCs w:val="20"/>
              </w:rPr>
            </w:pPr>
            <w:r w:rsidRPr="002C29D2">
              <w:rPr>
                <w:sz w:val="20"/>
                <w:szCs w:val="20"/>
              </w:rPr>
              <w:t>JUS -&gt; UI</w:t>
            </w:r>
          </w:p>
        </w:tc>
        <w:tc>
          <w:tcPr>
            <w:tcW w:w="970" w:type="dxa"/>
            <w:shd w:val="clear" w:color="auto" w:fill="auto"/>
            <w:noWrap/>
            <w:vAlign w:val="bottom"/>
          </w:tcPr>
          <w:p w14:paraId="5161CBF1" w14:textId="77777777" w:rsidR="00626FF9" w:rsidRPr="002C29D2" w:rsidRDefault="00626FF9" w:rsidP="00B63C4D">
            <w:pPr>
              <w:jc w:val="center"/>
              <w:rPr>
                <w:sz w:val="20"/>
                <w:szCs w:val="20"/>
              </w:rPr>
            </w:pPr>
            <w:r w:rsidRPr="002C29D2">
              <w:rPr>
                <w:sz w:val="20"/>
                <w:szCs w:val="20"/>
              </w:rPr>
              <w:t>-0.117</w:t>
            </w:r>
          </w:p>
        </w:tc>
        <w:tc>
          <w:tcPr>
            <w:tcW w:w="1134" w:type="dxa"/>
            <w:shd w:val="clear" w:color="auto" w:fill="auto"/>
            <w:noWrap/>
            <w:vAlign w:val="bottom"/>
          </w:tcPr>
          <w:p w14:paraId="2FD9B38B" w14:textId="77777777" w:rsidR="00626FF9" w:rsidRPr="002C29D2" w:rsidRDefault="00626FF9" w:rsidP="00B63C4D">
            <w:pPr>
              <w:jc w:val="center"/>
              <w:rPr>
                <w:sz w:val="20"/>
                <w:szCs w:val="20"/>
              </w:rPr>
            </w:pPr>
            <w:r w:rsidRPr="002C29D2">
              <w:rPr>
                <w:sz w:val="20"/>
                <w:szCs w:val="20"/>
              </w:rPr>
              <w:t>1.340</w:t>
            </w:r>
          </w:p>
        </w:tc>
        <w:tc>
          <w:tcPr>
            <w:tcW w:w="992" w:type="dxa"/>
            <w:vAlign w:val="bottom"/>
          </w:tcPr>
          <w:p w14:paraId="4DC9B0EA" w14:textId="77777777" w:rsidR="00626FF9" w:rsidRPr="002C29D2" w:rsidRDefault="00626FF9" w:rsidP="00B63C4D">
            <w:pPr>
              <w:jc w:val="center"/>
              <w:rPr>
                <w:sz w:val="20"/>
                <w:szCs w:val="20"/>
              </w:rPr>
            </w:pPr>
            <w:r w:rsidRPr="002C29D2">
              <w:rPr>
                <w:sz w:val="20"/>
                <w:szCs w:val="20"/>
              </w:rPr>
              <w:t>0.180</w:t>
            </w:r>
          </w:p>
        </w:tc>
        <w:tc>
          <w:tcPr>
            <w:tcW w:w="992" w:type="dxa"/>
            <w:shd w:val="clear" w:color="auto" w:fill="auto"/>
            <w:noWrap/>
            <w:vAlign w:val="bottom"/>
          </w:tcPr>
          <w:p w14:paraId="4D94DD8B" w14:textId="77777777" w:rsidR="00626FF9" w:rsidRPr="002C29D2" w:rsidRDefault="00626FF9" w:rsidP="00B63C4D">
            <w:pPr>
              <w:jc w:val="center"/>
              <w:rPr>
                <w:sz w:val="20"/>
                <w:szCs w:val="20"/>
              </w:rPr>
            </w:pPr>
            <w:r w:rsidRPr="002C29D2">
              <w:rPr>
                <w:sz w:val="20"/>
                <w:szCs w:val="20"/>
              </w:rPr>
              <w:t>0.130</w:t>
            </w:r>
          </w:p>
        </w:tc>
        <w:tc>
          <w:tcPr>
            <w:tcW w:w="1122" w:type="dxa"/>
            <w:shd w:val="clear" w:color="auto" w:fill="auto"/>
            <w:noWrap/>
            <w:vAlign w:val="bottom"/>
          </w:tcPr>
          <w:p w14:paraId="630403D9" w14:textId="77777777" w:rsidR="00626FF9" w:rsidRPr="002C29D2" w:rsidRDefault="00626FF9" w:rsidP="00B63C4D">
            <w:pPr>
              <w:jc w:val="center"/>
              <w:rPr>
                <w:sz w:val="20"/>
                <w:szCs w:val="20"/>
              </w:rPr>
            </w:pPr>
            <w:r w:rsidRPr="002C29D2">
              <w:rPr>
                <w:sz w:val="20"/>
                <w:szCs w:val="20"/>
              </w:rPr>
              <w:t>0.787</w:t>
            </w:r>
          </w:p>
        </w:tc>
        <w:tc>
          <w:tcPr>
            <w:tcW w:w="863" w:type="dxa"/>
            <w:vAlign w:val="bottom"/>
          </w:tcPr>
          <w:p w14:paraId="2C147A51" w14:textId="77777777" w:rsidR="00626FF9" w:rsidRPr="002C29D2" w:rsidRDefault="00626FF9" w:rsidP="00B63C4D">
            <w:pPr>
              <w:jc w:val="center"/>
              <w:rPr>
                <w:sz w:val="20"/>
                <w:szCs w:val="20"/>
              </w:rPr>
            </w:pPr>
            <w:r w:rsidRPr="002C29D2">
              <w:rPr>
                <w:sz w:val="20"/>
                <w:szCs w:val="20"/>
              </w:rPr>
              <w:t>0.431</w:t>
            </w:r>
          </w:p>
        </w:tc>
        <w:tc>
          <w:tcPr>
            <w:tcW w:w="1201" w:type="dxa"/>
            <w:shd w:val="clear" w:color="auto" w:fill="auto"/>
            <w:noWrap/>
            <w:vAlign w:val="bottom"/>
          </w:tcPr>
          <w:p w14:paraId="28A55124" w14:textId="77777777" w:rsidR="00626FF9" w:rsidRPr="002C29D2" w:rsidRDefault="00626FF9" w:rsidP="00B63C4D">
            <w:pPr>
              <w:jc w:val="center"/>
              <w:rPr>
                <w:sz w:val="20"/>
                <w:szCs w:val="20"/>
              </w:rPr>
            </w:pPr>
            <w:r w:rsidRPr="002C29D2">
              <w:rPr>
                <w:sz w:val="20"/>
                <w:szCs w:val="20"/>
              </w:rPr>
              <w:t>1.327</w:t>
            </w:r>
          </w:p>
        </w:tc>
        <w:tc>
          <w:tcPr>
            <w:tcW w:w="1067" w:type="dxa"/>
            <w:vAlign w:val="bottom"/>
          </w:tcPr>
          <w:p w14:paraId="69269224" w14:textId="77777777" w:rsidR="00626FF9" w:rsidRPr="002C29D2" w:rsidRDefault="00626FF9" w:rsidP="00B63C4D">
            <w:pPr>
              <w:jc w:val="center"/>
              <w:rPr>
                <w:sz w:val="20"/>
                <w:szCs w:val="20"/>
              </w:rPr>
            </w:pPr>
            <w:r w:rsidRPr="002C29D2">
              <w:rPr>
                <w:sz w:val="20"/>
                <w:szCs w:val="20"/>
              </w:rPr>
              <w:t>0.187</w:t>
            </w:r>
          </w:p>
        </w:tc>
      </w:tr>
      <w:tr w:rsidR="002C29D2" w:rsidRPr="002C29D2" w14:paraId="07C02841" w14:textId="77777777" w:rsidTr="00626FF9">
        <w:trPr>
          <w:trHeight w:val="320"/>
        </w:trPr>
        <w:tc>
          <w:tcPr>
            <w:tcW w:w="1435" w:type="dxa"/>
            <w:shd w:val="clear" w:color="auto" w:fill="auto"/>
            <w:noWrap/>
            <w:vAlign w:val="center"/>
          </w:tcPr>
          <w:p w14:paraId="1ED4BD00" w14:textId="77777777" w:rsidR="00626FF9" w:rsidRPr="002C29D2" w:rsidRDefault="00626FF9" w:rsidP="00626FF9">
            <w:pPr>
              <w:rPr>
                <w:sz w:val="20"/>
                <w:szCs w:val="20"/>
              </w:rPr>
            </w:pPr>
            <w:r w:rsidRPr="002C29D2">
              <w:rPr>
                <w:sz w:val="20"/>
                <w:szCs w:val="20"/>
              </w:rPr>
              <w:t>NM -&gt; ATA</w:t>
            </w:r>
          </w:p>
        </w:tc>
        <w:tc>
          <w:tcPr>
            <w:tcW w:w="970" w:type="dxa"/>
            <w:shd w:val="clear" w:color="auto" w:fill="auto"/>
            <w:noWrap/>
            <w:vAlign w:val="bottom"/>
          </w:tcPr>
          <w:p w14:paraId="62636970" w14:textId="77777777" w:rsidR="00626FF9" w:rsidRPr="002C29D2" w:rsidRDefault="00626FF9" w:rsidP="00B63C4D">
            <w:pPr>
              <w:jc w:val="center"/>
              <w:rPr>
                <w:sz w:val="20"/>
                <w:szCs w:val="20"/>
              </w:rPr>
            </w:pPr>
            <w:r w:rsidRPr="002C29D2">
              <w:rPr>
                <w:sz w:val="20"/>
                <w:szCs w:val="20"/>
              </w:rPr>
              <w:t>0.107</w:t>
            </w:r>
          </w:p>
        </w:tc>
        <w:tc>
          <w:tcPr>
            <w:tcW w:w="1134" w:type="dxa"/>
            <w:shd w:val="clear" w:color="auto" w:fill="auto"/>
            <w:noWrap/>
            <w:vAlign w:val="bottom"/>
          </w:tcPr>
          <w:p w14:paraId="1AD0CF9F" w14:textId="77777777" w:rsidR="00626FF9" w:rsidRPr="002C29D2" w:rsidRDefault="00626FF9" w:rsidP="00B63C4D">
            <w:pPr>
              <w:jc w:val="center"/>
              <w:rPr>
                <w:sz w:val="20"/>
                <w:szCs w:val="20"/>
              </w:rPr>
            </w:pPr>
            <w:r w:rsidRPr="002C29D2">
              <w:rPr>
                <w:sz w:val="20"/>
                <w:szCs w:val="20"/>
              </w:rPr>
              <w:t>1.277</w:t>
            </w:r>
          </w:p>
        </w:tc>
        <w:tc>
          <w:tcPr>
            <w:tcW w:w="992" w:type="dxa"/>
            <w:vAlign w:val="bottom"/>
          </w:tcPr>
          <w:p w14:paraId="57B9C9BF" w14:textId="77777777" w:rsidR="00626FF9" w:rsidRPr="002C29D2" w:rsidRDefault="00626FF9" w:rsidP="00B63C4D">
            <w:pPr>
              <w:jc w:val="center"/>
              <w:rPr>
                <w:sz w:val="20"/>
                <w:szCs w:val="20"/>
              </w:rPr>
            </w:pPr>
            <w:r w:rsidRPr="002C29D2">
              <w:rPr>
                <w:sz w:val="20"/>
                <w:szCs w:val="20"/>
              </w:rPr>
              <w:t>0.202</w:t>
            </w:r>
          </w:p>
        </w:tc>
        <w:tc>
          <w:tcPr>
            <w:tcW w:w="992" w:type="dxa"/>
            <w:shd w:val="clear" w:color="auto" w:fill="auto"/>
            <w:noWrap/>
            <w:vAlign w:val="bottom"/>
          </w:tcPr>
          <w:p w14:paraId="0D7D8D11" w14:textId="77777777" w:rsidR="00626FF9" w:rsidRPr="002C29D2" w:rsidRDefault="00626FF9" w:rsidP="00B63C4D">
            <w:pPr>
              <w:jc w:val="center"/>
              <w:rPr>
                <w:sz w:val="20"/>
                <w:szCs w:val="20"/>
              </w:rPr>
            </w:pPr>
            <w:r w:rsidRPr="002C29D2">
              <w:rPr>
                <w:sz w:val="20"/>
                <w:szCs w:val="20"/>
              </w:rPr>
              <w:t>0.155</w:t>
            </w:r>
          </w:p>
        </w:tc>
        <w:tc>
          <w:tcPr>
            <w:tcW w:w="1122" w:type="dxa"/>
            <w:shd w:val="clear" w:color="auto" w:fill="auto"/>
            <w:noWrap/>
            <w:vAlign w:val="bottom"/>
          </w:tcPr>
          <w:p w14:paraId="24996F23" w14:textId="77777777" w:rsidR="00626FF9" w:rsidRPr="002C29D2" w:rsidRDefault="00626FF9" w:rsidP="00B63C4D">
            <w:pPr>
              <w:jc w:val="center"/>
              <w:rPr>
                <w:sz w:val="20"/>
                <w:szCs w:val="20"/>
              </w:rPr>
            </w:pPr>
            <w:r w:rsidRPr="002C29D2">
              <w:rPr>
                <w:sz w:val="20"/>
                <w:szCs w:val="20"/>
              </w:rPr>
              <w:t>1.311</w:t>
            </w:r>
          </w:p>
        </w:tc>
        <w:tc>
          <w:tcPr>
            <w:tcW w:w="863" w:type="dxa"/>
            <w:vAlign w:val="bottom"/>
          </w:tcPr>
          <w:p w14:paraId="2D4960C4" w14:textId="77777777" w:rsidR="00626FF9" w:rsidRPr="002C29D2" w:rsidRDefault="00626FF9" w:rsidP="00B63C4D">
            <w:pPr>
              <w:jc w:val="center"/>
              <w:rPr>
                <w:sz w:val="20"/>
                <w:szCs w:val="20"/>
              </w:rPr>
            </w:pPr>
            <w:r w:rsidRPr="002C29D2">
              <w:rPr>
                <w:sz w:val="20"/>
                <w:szCs w:val="20"/>
              </w:rPr>
              <w:t>0.190</w:t>
            </w:r>
          </w:p>
        </w:tc>
        <w:tc>
          <w:tcPr>
            <w:tcW w:w="1201" w:type="dxa"/>
            <w:shd w:val="clear" w:color="auto" w:fill="auto"/>
            <w:noWrap/>
            <w:vAlign w:val="bottom"/>
          </w:tcPr>
          <w:p w14:paraId="73120AE1" w14:textId="77777777" w:rsidR="00626FF9" w:rsidRPr="002C29D2" w:rsidRDefault="00626FF9" w:rsidP="00B63C4D">
            <w:pPr>
              <w:jc w:val="center"/>
              <w:rPr>
                <w:sz w:val="20"/>
                <w:szCs w:val="20"/>
              </w:rPr>
            </w:pPr>
            <w:r w:rsidRPr="002C29D2">
              <w:rPr>
                <w:sz w:val="20"/>
                <w:szCs w:val="20"/>
              </w:rPr>
              <w:t>0.335</w:t>
            </w:r>
          </w:p>
        </w:tc>
        <w:tc>
          <w:tcPr>
            <w:tcW w:w="1067" w:type="dxa"/>
            <w:vAlign w:val="bottom"/>
          </w:tcPr>
          <w:p w14:paraId="1638451D" w14:textId="77777777" w:rsidR="00626FF9" w:rsidRPr="002C29D2" w:rsidRDefault="00626FF9" w:rsidP="00B63C4D">
            <w:pPr>
              <w:jc w:val="center"/>
              <w:rPr>
                <w:sz w:val="20"/>
                <w:szCs w:val="20"/>
              </w:rPr>
            </w:pPr>
            <w:r w:rsidRPr="002C29D2">
              <w:rPr>
                <w:sz w:val="20"/>
                <w:szCs w:val="20"/>
              </w:rPr>
              <w:t>0.738</w:t>
            </w:r>
          </w:p>
        </w:tc>
      </w:tr>
      <w:tr w:rsidR="002C29D2" w:rsidRPr="002C29D2" w14:paraId="07E6DDEA" w14:textId="77777777" w:rsidTr="00626FF9">
        <w:trPr>
          <w:trHeight w:val="320"/>
        </w:trPr>
        <w:tc>
          <w:tcPr>
            <w:tcW w:w="1435" w:type="dxa"/>
            <w:shd w:val="clear" w:color="auto" w:fill="auto"/>
            <w:noWrap/>
            <w:vAlign w:val="center"/>
          </w:tcPr>
          <w:p w14:paraId="71D4FA5C" w14:textId="77777777" w:rsidR="00626FF9" w:rsidRPr="002C29D2" w:rsidRDefault="00626FF9" w:rsidP="00626FF9">
            <w:pPr>
              <w:rPr>
                <w:b/>
                <w:bCs/>
                <w:sz w:val="20"/>
                <w:szCs w:val="20"/>
              </w:rPr>
            </w:pPr>
            <w:r w:rsidRPr="002C29D2">
              <w:rPr>
                <w:b/>
                <w:bCs/>
                <w:sz w:val="20"/>
                <w:szCs w:val="20"/>
              </w:rPr>
              <w:t>NM -&gt; ENG</w:t>
            </w:r>
          </w:p>
        </w:tc>
        <w:tc>
          <w:tcPr>
            <w:tcW w:w="970" w:type="dxa"/>
            <w:shd w:val="clear" w:color="auto" w:fill="auto"/>
            <w:noWrap/>
            <w:vAlign w:val="bottom"/>
          </w:tcPr>
          <w:p w14:paraId="129596D5" w14:textId="77777777" w:rsidR="00626FF9" w:rsidRPr="002C29D2" w:rsidRDefault="00626FF9" w:rsidP="00B63C4D">
            <w:pPr>
              <w:jc w:val="center"/>
              <w:rPr>
                <w:b/>
                <w:bCs/>
                <w:sz w:val="20"/>
                <w:szCs w:val="20"/>
              </w:rPr>
            </w:pPr>
            <w:r w:rsidRPr="002C29D2">
              <w:rPr>
                <w:b/>
                <w:bCs/>
                <w:sz w:val="20"/>
                <w:szCs w:val="20"/>
              </w:rPr>
              <w:t>0.249</w:t>
            </w:r>
          </w:p>
        </w:tc>
        <w:tc>
          <w:tcPr>
            <w:tcW w:w="1134" w:type="dxa"/>
            <w:shd w:val="clear" w:color="auto" w:fill="auto"/>
            <w:noWrap/>
            <w:vAlign w:val="bottom"/>
          </w:tcPr>
          <w:p w14:paraId="0FC82327" w14:textId="77777777" w:rsidR="00626FF9" w:rsidRPr="002C29D2" w:rsidRDefault="00626FF9" w:rsidP="00B63C4D">
            <w:pPr>
              <w:jc w:val="center"/>
              <w:rPr>
                <w:b/>
                <w:bCs/>
                <w:sz w:val="20"/>
                <w:szCs w:val="20"/>
              </w:rPr>
            </w:pPr>
            <w:r w:rsidRPr="002C29D2">
              <w:rPr>
                <w:b/>
                <w:bCs/>
                <w:sz w:val="20"/>
                <w:szCs w:val="20"/>
              </w:rPr>
              <w:t>5.040</w:t>
            </w:r>
          </w:p>
        </w:tc>
        <w:tc>
          <w:tcPr>
            <w:tcW w:w="992" w:type="dxa"/>
            <w:vAlign w:val="bottom"/>
          </w:tcPr>
          <w:p w14:paraId="0BF9445F" w14:textId="77777777" w:rsidR="00626FF9" w:rsidRPr="002C29D2" w:rsidRDefault="00626FF9" w:rsidP="00B63C4D">
            <w:pPr>
              <w:jc w:val="center"/>
              <w:rPr>
                <w:b/>
                <w:bCs/>
                <w:sz w:val="20"/>
                <w:szCs w:val="20"/>
              </w:rPr>
            </w:pPr>
            <w:r w:rsidRPr="002C29D2">
              <w:rPr>
                <w:b/>
                <w:bCs/>
                <w:sz w:val="20"/>
                <w:szCs w:val="20"/>
              </w:rPr>
              <w:t>0.000</w:t>
            </w:r>
          </w:p>
        </w:tc>
        <w:tc>
          <w:tcPr>
            <w:tcW w:w="992" w:type="dxa"/>
            <w:shd w:val="clear" w:color="auto" w:fill="auto"/>
            <w:noWrap/>
            <w:vAlign w:val="bottom"/>
          </w:tcPr>
          <w:p w14:paraId="74C0A2A3" w14:textId="77777777" w:rsidR="00626FF9" w:rsidRPr="002C29D2" w:rsidRDefault="00626FF9" w:rsidP="00B63C4D">
            <w:pPr>
              <w:jc w:val="center"/>
              <w:rPr>
                <w:b/>
                <w:bCs/>
                <w:sz w:val="20"/>
                <w:szCs w:val="20"/>
              </w:rPr>
            </w:pPr>
            <w:r w:rsidRPr="002C29D2">
              <w:rPr>
                <w:b/>
                <w:bCs/>
                <w:sz w:val="20"/>
                <w:szCs w:val="20"/>
              </w:rPr>
              <w:t>0.049</w:t>
            </w:r>
          </w:p>
        </w:tc>
        <w:tc>
          <w:tcPr>
            <w:tcW w:w="1122" w:type="dxa"/>
            <w:shd w:val="clear" w:color="auto" w:fill="auto"/>
            <w:noWrap/>
            <w:vAlign w:val="bottom"/>
          </w:tcPr>
          <w:p w14:paraId="1D2C34EA" w14:textId="77777777" w:rsidR="00626FF9" w:rsidRPr="002C29D2" w:rsidRDefault="00626FF9" w:rsidP="00B63C4D">
            <w:pPr>
              <w:jc w:val="center"/>
              <w:rPr>
                <w:b/>
                <w:bCs/>
                <w:sz w:val="20"/>
                <w:szCs w:val="20"/>
              </w:rPr>
            </w:pPr>
            <w:r w:rsidRPr="002C29D2">
              <w:rPr>
                <w:b/>
                <w:bCs/>
                <w:sz w:val="20"/>
                <w:szCs w:val="20"/>
              </w:rPr>
              <w:t>0.553</w:t>
            </w:r>
          </w:p>
        </w:tc>
        <w:tc>
          <w:tcPr>
            <w:tcW w:w="863" w:type="dxa"/>
            <w:vAlign w:val="bottom"/>
          </w:tcPr>
          <w:p w14:paraId="43F6A57D" w14:textId="77777777" w:rsidR="00626FF9" w:rsidRPr="002C29D2" w:rsidRDefault="00626FF9" w:rsidP="00B63C4D">
            <w:pPr>
              <w:jc w:val="center"/>
              <w:rPr>
                <w:b/>
                <w:bCs/>
                <w:sz w:val="20"/>
                <w:szCs w:val="20"/>
              </w:rPr>
            </w:pPr>
            <w:r w:rsidRPr="002C29D2">
              <w:rPr>
                <w:b/>
                <w:bCs/>
                <w:sz w:val="20"/>
                <w:szCs w:val="20"/>
              </w:rPr>
              <w:t>0.581</w:t>
            </w:r>
          </w:p>
        </w:tc>
        <w:tc>
          <w:tcPr>
            <w:tcW w:w="1201" w:type="dxa"/>
            <w:shd w:val="clear" w:color="auto" w:fill="auto"/>
            <w:noWrap/>
            <w:vAlign w:val="bottom"/>
          </w:tcPr>
          <w:p w14:paraId="683773E4" w14:textId="77777777" w:rsidR="00626FF9" w:rsidRPr="002C29D2" w:rsidRDefault="00626FF9" w:rsidP="00B63C4D">
            <w:pPr>
              <w:jc w:val="center"/>
              <w:rPr>
                <w:b/>
                <w:bCs/>
                <w:sz w:val="20"/>
                <w:szCs w:val="20"/>
              </w:rPr>
            </w:pPr>
            <w:r w:rsidRPr="002C29D2">
              <w:rPr>
                <w:b/>
                <w:bCs/>
                <w:sz w:val="20"/>
                <w:szCs w:val="20"/>
              </w:rPr>
              <w:t>1.984</w:t>
            </w:r>
          </w:p>
        </w:tc>
        <w:tc>
          <w:tcPr>
            <w:tcW w:w="1067" w:type="dxa"/>
            <w:vAlign w:val="bottom"/>
          </w:tcPr>
          <w:p w14:paraId="3265D69C" w14:textId="77777777" w:rsidR="00626FF9" w:rsidRPr="002C29D2" w:rsidRDefault="00626FF9" w:rsidP="00B63C4D">
            <w:pPr>
              <w:jc w:val="center"/>
              <w:rPr>
                <w:b/>
                <w:bCs/>
                <w:sz w:val="20"/>
                <w:szCs w:val="20"/>
              </w:rPr>
            </w:pPr>
            <w:r w:rsidRPr="002C29D2">
              <w:rPr>
                <w:b/>
                <w:bCs/>
                <w:sz w:val="20"/>
                <w:szCs w:val="20"/>
              </w:rPr>
              <w:t>0.049</w:t>
            </w:r>
          </w:p>
        </w:tc>
      </w:tr>
      <w:tr w:rsidR="002C29D2" w:rsidRPr="002C29D2" w14:paraId="1D206E27" w14:textId="77777777" w:rsidTr="00626FF9">
        <w:trPr>
          <w:trHeight w:val="320"/>
        </w:trPr>
        <w:tc>
          <w:tcPr>
            <w:tcW w:w="1435" w:type="dxa"/>
            <w:shd w:val="clear" w:color="auto" w:fill="auto"/>
            <w:noWrap/>
            <w:vAlign w:val="center"/>
          </w:tcPr>
          <w:p w14:paraId="3EDC192C" w14:textId="77777777" w:rsidR="00626FF9" w:rsidRPr="002C29D2" w:rsidRDefault="00626FF9" w:rsidP="00626FF9">
            <w:pPr>
              <w:rPr>
                <w:sz w:val="20"/>
                <w:szCs w:val="20"/>
              </w:rPr>
            </w:pPr>
            <w:r w:rsidRPr="002C29D2">
              <w:rPr>
                <w:sz w:val="20"/>
                <w:szCs w:val="20"/>
              </w:rPr>
              <w:t>NM -&gt; SAT</w:t>
            </w:r>
          </w:p>
        </w:tc>
        <w:tc>
          <w:tcPr>
            <w:tcW w:w="970" w:type="dxa"/>
            <w:shd w:val="clear" w:color="auto" w:fill="auto"/>
            <w:noWrap/>
            <w:vAlign w:val="bottom"/>
          </w:tcPr>
          <w:p w14:paraId="1CBE8B8C" w14:textId="77777777" w:rsidR="00626FF9" w:rsidRPr="002C29D2" w:rsidRDefault="00626FF9" w:rsidP="00B63C4D">
            <w:pPr>
              <w:jc w:val="center"/>
              <w:rPr>
                <w:sz w:val="20"/>
                <w:szCs w:val="20"/>
              </w:rPr>
            </w:pPr>
            <w:r w:rsidRPr="002C29D2">
              <w:rPr>
                <w:sz w:val="20"/>
                <w:szCs w:val="20"/>
              </w:rPr>
              <w:t>0.134</w:t>
            </w:r>
          </w:p>
        </w:tc>
        <w:tc>
          <w:tcPr>
            <w:tcW w:w="1134" w:type="dxa"/>
            <w:shd w:val="clear" w:color="auto" w:fill="auto"/>
            <w:noWrap/>
            <w:vAlign w:val="bottom"/>
          </w:tcPr>
          <w:p w14:paraId="54FC362D" w14:textId="77777777" w:rsidR="00626FF9" w:rsidRPr="002C29D2" w:rsidRDefault="00626FF9" w:rsidP="00B63C4D">
            <w:pPr>
              <w:jc w:val="center"/>
              <w:rPr>
                <w:sz w:val="20"/>
                <w:szCs w:val="20"/>
              </w:rPr>
            </w:pPr>
            <w:r w:rsidRPr="002C29D2">
              <w:rPr>
                <w:sz w:val="20"/>
                <w:szCs w:val="20"/>
              </w:rPr>
              <w:t>1.886</w:t>
            </w:r>
          </w:p>
        </w:tc>
        <w:tc>
          <w:tcPr>
            <w:tcW w:w="992" w:type="dxa"/>
            <w:vAlign w:val="bottom"/>
          </w:tcPr>
          <w:p w14:paraId="6AB73EA7" w14:textId="77777777" w:rsidR="00626FF9" w:rsidRPr="002C29D2" w:rsidRDefault="00626FF9" w:rsidP="00B63C4D">
            <w:pPr>
              <w:jc w:val="center"/>
              <w:rPr>
                <w:sz w:val="20"/>
                <w:szCs w:val="20"/>
              </w:rPr>
            </w:pPr>
            <w:r w:rsidRPr="002C29D2">
              <w:rPr>
                <w:sz w:val="20"/>
                <w:szCs w:val="20"/>
              </w:rPr>
              <w:t>0.059</w:t>
            </w:r>
          </w:p>
        </w:tc>
        <w:tc>
          <w:tcPr>
            <w:tcW w:w="992" w:type="dxa"/>
            <w:shd w:val="clear" w:color="auto" w:fill="auto"/>
            <w:noWrap/>
            <w:vAlign w:val="bottom"/>
          </w:tcPr>
          <w:p w14:paraId="12EB7280" w14:textId="77777777" w:rsidR="00626FF9" w:rsidRPr="002C29D2" w:rsidRDefault="00626FF9" w:rsidP="00B63C4D">
            <w:pPr>
              <w:jc w:val="center"/>
              <w:rPr>
                <w:sz w:val="20"/>
                <w:szCs w:val="20"/>
              </w:rPr>
            </w:pPr>
            <w:r w:rsidRPr="002C29D2">
              <w:rPr>
                <w:sz w:val="20"/>
                <w:szCs w:val="20"/>
              </w:rPr>
              <w:t>0.139</w:t>
            </w:r>
          </w:p>
        </w:tc>
        <w:tc>
          <w:tcPr>
            <w:tcW w:w="1122" w:type="dxa"/>
            <w:shd w:val="clear" w:color="auto" w:fill="auto"/>
            <w:noWrap/>
            <w:vAlign w:val="bottom"/>
          </w:tcPr>
          <w:p w14:paraId="6D944634" w14:textId="77777777" w:rsidR="00626FF9" w:rsidRPr="002C29D2" w:rsidRDefault="00626FF9" w:rsidP="00B63C4D">
            <w:pPr>
              <w:jc w:val="center"/>
              <w:rPr>
                <w:sz w:val="20"/>
                <w:szCs w:val="20"/>
              </w:rPr>
            </w:pPr>
            <w:r w:rsidRPr="002C29D2">
              <w:rPr>
                <w:sz w:val="20"/>
                <w:szCs w:val="20"/>
              </w:rPr>
              <w:t>1.154</w:t>
            </w:r>
          </w:p>
        </w:tc>
        <w:tc>
          <w:tcPr>
            <w:tcW w:w="863" w:type="dxa"/>
            <w:vAlign w:val="bottom"/>
          </w:tcPr>
          <w:p w14:paraId="6C563173" w14:textId="77777777" w:rsidR="00626FF9" w:rsidRPr="002C29D2" w:rsidRDefault="00626FF9" w:rsidP="00B63C4D">
            <w:pPr>
              <w:jc w:val="center"/>
              <w:rPr>
                <w:sz w:val="20"/>
                <w:szCs w:val="20"/>
              </w:rPr>
            </w:pPr>
            <w:r w:rsidRPr="002C29D2">
              <w:rPr>
                <w:sz w:val="20"/>
                <w:szCs w:val="20"/>
              </w:rPr>
              <w:t>0.248</w:t>
            </w:r>
          </w:p>
        </w:tc>
        <w:tc>
          <w:tcPr>
            <w:tcW w:w="1201" w:type="dxa"/>
            <w:shd w:val="clear" w:color="auto" w:fill="auto"/>
            <w:noWrap/>
            <w:vAlign w:val="bottom"/>
          </w:tcPr>
          <w:p w14:paraId="41B3ECA8" w14:textId="77777777" w:rsidR="00626FF9" w:rsidRPr="002C29D2" w:rsidRDefault="00626FF9" w:rsidP="00B63C4D">
            <w:pPr>
              <w:jc w:val="center"/>
              <w:rPr>
                <w:sz w:val="20"/>
                <w:szCs w:val="20"/>
              </w:rPr>
            </w:pPr>
            <w:r w:rsidRPr="002C29D2">
              <w:rPr>
                <w:sz w:val="20"/>
                <w:szCs w:val="20"/>
              </w:rPr>
              <w:t>0.040</w:t>
            </w:r>
          </w:p>
        </w:tc>
        <w:tc>
          <w:tcPr>
            <w:tcW w:w="1067" w:type="dxa"/>
            <w:vAlign w:val="bottom"/>
          </w:tcPr>
          <w:p w14:paraId="2E8AC7D1" w14:textId="77777777" w:rsidR="00626FF9" w:rsidRPr="002C29D2" w:rsidRDefault="00626FF9" w:rsidP="00B63C4D">
            <w:pPr>
              <w:jc w:val="center"/>
              <w:rPr>
                <w:sz w:val="20"/>
                <w:szCs w:val="20"/>
              </w:rPr>
            </w:pPr>
            <w:r w:rsidRPr="002C29D2">
              <w:rPr>
                <w:sz w:val="20"/>
                <w:szCs w:val="20"/>
              </w:rPr>
              <w:t>0.968</w:t>
            </w:r>
          </w:p>
        </w:tc>
      </w:tr>
      <w:tr w:rsidR="002C29D2" w:rsidRPr="002C29D2" w14:paraId="26E38FDE" w14:textId="77777777" w:rsidTr="00626FF9">
        <w:trPr>
          <w:trHeight w:val="320"/>
        </w:trPr>
        <w:tc>
          <w:tcPr>
            <w:tcW w:w="1435" w:type="dxa"/>
            <w:shd w:val="clear" w:color="auto" w:fill="auto"/>
            <w:noWrap/>
            <w:vAlign w:val="center"/>
          </w:tcPr>
          <w:p w14:paraId="002E7DC0" w14:textId="77777777" w:rsidR="00626FF9" w:rsidRPr="002C29D2" w:rsidRDefault="00626FF9" w:rsidP="00626FF9">
            <w:pPr>
              <w:rPr>
                <w:sz w:val="20"/>
                <w:szCs w:val="20"/>
              </w:rPr>
            </w:pPr>
            <w:r w:rsidRPr="002C29D2">
              <w:rPr>
                <w:sz w:val="20"/>
                <w:szCs w:val="20"/>
              </w:rPr>
              <w:t>NM -&gt; UI</w:t>
            </w:r>
          </w:p>
        </w:tc>
        <w:tc>
          <w:tcPr>
            <w:tcW w:w="970" w:type="dxa"/>
            <w:shd w:val="clear" w:color="auto" w:fill="auto"/>
            <w:noWrap/>
            <w:vAlign w:val="bottom"/>
          </w:tcPr>
          <w:p w14:paraId="129AEF57" w14:textId="77777777" w:rsidR="00626FF9" w:rsidRPr="002C29D2" w:rsidRDefault="00626FF9" w:rsidP="00B63C4D">
            <w:pPr>
              <w:jc w:val="center"/>
              <w:rPr>
                <w:sz w:val="20"/>
                <w:szCs w:val="20"/>
              </w:rPr>
            </w:pPr>
            <w:r w:rsidRPr="002C29D2">
              <w:rPr>
                <w:sz w:val="20"/>
                <w:szCs w:val="20"/>
              </w:rPr>
              <w:t>0.006</w:t>
            </w:r>
          </w:p>
        </w:tc>
        <w:tc>
          <w:tcPr>
            <w:tcW w:w="1134" w:type="dxa"/>
            <w:shd w:val="clear" w:color="auto" w:fill="auto"/>
            <w:noWrap/>
            <w:vAlign w:val="bottom"/>
          </w:tcPr>
          <w:p w14:paraId="5CDCA61C" w14:textId="77777777" w:rsidR="00626FF9" w:rsidRPr="002C29D2" w:rsidRDefault="00626FF9" w:rsidP="00B63C4D">
            <w:pPr>
              <w:jc w:val="center"/>
              <w:rPr>
                <w:sz w:val="20"/>
                <w:szCs w:val="20"/>
              </w:rPr>
            </w:pPr>
            <w:r w:rsidRPr="002C29D2">
              <w:rPr>
                <w:sz w:val="20"/>
                <w:szCs w:val="20"/>
              </w:rPr>
              <w:t>0.103</w:t>
            </w:r>
          </w:p>
        </w:tc>
        <w:tc>
          <w:tcPr>
            <w:tcW w:w="992" w:type="dxa"/>
            <w:vAlign w:val="bottom"/>
          </w:tcPr>
          <w:p w14:paraId="17DD6FA6" w14:textId="77777777" w:rsidR="00626FF9" w:rsidRPr="002C29D2" w:rsidRDefault="00626FF9" w:rsidP="00B63C4D">
            <w:pPr>
              <w:jc w:val="center"/>
              <w:rPr>
                <w:sz w:val="20"/>
                <w:szCs w:val="20"/>
              </w:rPr>
            </w:pPr>
            <w:r w:rsidRPr="002C29D2">
              <w:rPr>
                <w:sz w:val="20"/>
                <w:szCs w:val="20"/>
              </w:rPr>
              <w:t>0.918</w:t>
            </w:r>
          </w:p>
        </w:tc>
        <w:tc>
          <w:tcPr>
            <w:tcW w:w="992" w:type="dxa"/>
            <w:shd w:val="clear" w:color="auto" w:fill="auto"/>
            <w:noWrap/>
            <w:vAlign w:val="bottom"/>
          </w:tcPr>
          <w:p w14:paraId="2510F971" w14:textId="77777777" w:rsidR="00626FF9" w:rsidRPr="002C29D2" w:rsidRDefault="00626FF9" w:rsidP="00B63C4D">
            <w:pPr>
              <w:jc w:val="center"/>
              <w:rPr>
                <w:sz w:val="20"/>
                <w:szCs w:val="20"/>
              </w:rPr>
            </w:pPr>
            <w:r w:rsidRPr="002C29D2">
              <w:rPr>
                <w:sz w:val="20"/>
                <w:szCs w:val="20"/>
              </w:rPr>
              <w:t>-0.152</w:t>
            </w:r>
          </w:p>
        </w:tc>
        <w:tc>
          <w:tcPr>
            <w:tcW w:w="1122" w:type="dxa"/>
            <w:shd w:val="clear" w:color="auto" w:fill="auto"/>
            <w:noWrap/>
            <w:vAlign w:val="bottom"/>
          </w:tcPr>
          <w:p w14:paraId="173E1821" w14:textId="77777777" w:rsidR="00626FF9" w:rsidRPr="002C29D2" w:rsidRDefault="00626FF9" w:rsidP="00B63C4D">
            <w:pPr>
              <w:jc w:val="center"/>
              <w:rPr>
                <w:sz w:val="20"/>
                <w:szCs w:val="20"/>
              </w:rPr>
            </w:pPr>
            <w:r w:rsidRPr="002C29D2">
              <w:rPr>
                <w:sz w:val="20"/>
                <w:szCs w:val="20"/>
              </w:rPr>
              <w:t>1.211</w:t>
            </w:r>
          </w:p>
        </w:tc>
        <w:tc>
          <w:tcPr>
            <w:tcW w:w="863" w:type="dxa"/>
            <w:vAlign w:val="bottom"/>
          </w:tcPr>
          <w:p w14:paraId="443066AE" w14:textId="77777777" w:rsidR="00626FF9" w:rsidRPr="002C29D2" w:rsidRDefault="00626FF9" w:rsidP="00B63C4D">
            <w:pPr>
              <w:jc w:val="center"/>
              <w:rPr>
                <w:sz w:val="20"/>
                <w:szCs w:val="20"/>
              </w:rPr>
            </w:pPr>
            <w:r w:rsidRPr="002C29D2">
              <w:rPr>
                <w:sz w:val="20"/>
                <w:szCs w:val="20"/>
              </w:rPr>
              <w:t>0.226</w:t>
            </w:r>
          </w:p>
        </w:tc>
        <w:tc>
          <w:tcPr>
            <w:tcW w:w="1201" w:type="dxa"/>
            <w:shd w:val="clear" w:color="auto" w:fill="auto"/>
            <w:noWrap/>
            <w:vAlign w:val="bottom"/>
          </w:tcPr>
          <w:p w14:paraId="0FE00000" w14:textId="77777777" w:rsidR="00626FF9" w:rsidRPr="002C29D2" w:rsidRDefault="00626FF9" w:rsidP="00B63C4D">
            <w:pPr>
              <w:jc w:val="center"/>
              <w:rPr>
                <w:sz w:val="20"/>
                <w:szCs w:val="20"/>
              </w:rPr>
            </w:pPr>
            <w:r w:rsidRPr="002C29D2">
              <w:rPr>
                <w:sz w:val="20"/>
                <w:szCs w:val="20"/>
              </w:rPr>
              <w:t>1.135</w:t>
            </w:r>
          </w:p>
        </w:tc>
        <w:tc>
          <w:tcPr>
            <w:tcW w:w="1067" w:type="dxa"/>
            <w:vAlign w:val="bottom"/>
          </w:tcPr>
          <w:p w14:paraId="1F6CAADC" w14:textId="77777777" w:rsidR="00626FF9" w:rsidRPr="002C29D2" w:rsidRDefault="00626FF9" w:rsidP="00B63C4D">
            <w:pPr>
              <w:jc w:val="center"/>
              <w:rPr>
                <w:sz w:val="20"/>
                <w:szCs w:val="20"/>
              </w:rPr>
            </w:pPr>
            <w:r w:rsidRPr="002C29D2">
              <w:rPr>
                <w:sz w:val="20"/>
                <w:szCs w:val="20"/>
              </w:rPr>
              <w:t>0.258</w:t>
            </w:r>
          </w:p>
        </w:tc>
      </w:tr>
    </w:tbl>
    <w:p w14:paraId="0312F83E" w14:textId="77777777" w:rsidR="00626FF9" w:rsidRPr="002C29D2" w:rsidRDefault="00626FF9" w:rsidP="00626FF9">
      <w:pPr>
        <w:adjustRightInd w:val="0"/>
        <w:snapToGrid w:val="0"/>
        <w:spacing w:line="360" w:lineRule="auto"/>
        <w:jc w:val="both"/>
      </w:pPr>
    </w:p>
    <w:p w14:paraId="75A50EDB" w14:textId="77777777" w:rsidR="00626FF9" w:rsidRPr="002C29D2" w:rsidRDefault="00626FF9" w:rsidP="00620E94">
      <w:pPr>
        <w:adjustRightInd w:val="0"/>
        <w:snapToGrid w:val="0"/>
        <w:spacing w:line="360" w:lineRule="auto"/>
        <w:jc w:val="both"/>
      </w:pPr>
    </w:p>
    <w:sectPr w:rsidR="00626FF9" w:rsidRPr="002C29D2" w:rsidSect="00932425">
      <w:footerReference w:type="even" r:id="rId21"/>
      <w:footerReference w:type="defaul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71EF9" w14:textId="77777777" w:rsidR="0090351C" w:rsidRDefault="0090351C" w:rsidP="00FC50E1">
      <w:r>
        <w:separator/>
      </w:r>
    </w:p>
  </w:endnote>
  <w:endnote w:type="continuationSeparator" w:id="0">
    <w:p w14:paraId="28BF022E" w14:textId="77777777" w:rsidR="0090351C" w:rsidRDefault="0090351C" w:rsidP="00FC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7778056"/>
      <w:docPartObj>
        <w:docPartGallery w:val="Page Numbers (Bottom of Page)"/>
        <w:docPartUnique/>
      </w:docPartObj>
    </w:sdtPr>
    <w:sdtEndPr>
      <w:rPr>
        <w:rStyle w:val="PageNumber"/>
      </w:rPr>
    </w:sdtEndPr>
    <w:sdtContent>
      <w:p w14:paraId="0CFACC89" w14:textId="7484A5A1" w:rsidR="00C831F4" w:rsidRDefault="00C831F4" w:rsidP="003248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F7C2DA" w14:textId="77777777" w:rsidR="00C831F4" w:rsidRDefault="00C831F4" w:rsidP="00B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5954554"/>
      <w:docPartObj>
        <w:docPartGallery w:val="Page Numbers (Bottom of Page)"/>
        <w:docPartUnique/>
      </w:docPartObj>
    </w:sdtPr>
    <w:sdtEndPr>
      <w:rPr>
        <w:rStyle w:val="PageNumber"/>
      </w:rPr>
    </w:sdtEndPr>
    <w:sdtContent>
      <w:p w14:paraId="3C0E483E" w14:textId="0EA76832" w:rsidR="00C831F4" w:rsidRDefault="00C831F4" w:rsidP="003248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252BCD" w14:textId="77777777" w:rsidR="00C831F4" w:rsidRDefault="00C831F4" w:rsidP="00BE15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9087" w14:textId="77777777" w:rsidR="00C831F4" w:rsidRDefault="00C831F4" w:rsidP="00AD6601">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5A9766AE" w14:textId="77777777" w:rsidR="00C831F4" w:rsidRDefault="00C831F4" w:rsidP="00AD6601">
    <w:pPr>
      <w:pStyle w:val="Footer"/>
      <w:ind w:right="360" w:firstLine="360"/>
      <w:rPr>
        <w:rStyle w:val="PageNumber"/>
      </w:rPr>
    </w:pPr>
  </w:p>
  <w:p w14:paraId="7D4B00AB" w14:textId="77777777" w:rsidR="00C831F4" w:rsidRDefault="00C831F4" w:rsidP="00AD6601">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048F4" w14:textId="77777777" w:rsidR="00C831F4" w:rsidRDefault="00C831F4" w:rsidP="00AD6601">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DBA9EE" w14:textId="77777777" w:rsidR="00C831F4" w:rsidRDefault="00C831F4" w:rsidP="00AD660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BDE0B" w14:textId="77777777" w:rsidR="0090351C" w:rsidRDefault="0090351C" w:rsidP="00FC50E1">
      <w:r>
        <w:separator/>
      </w:r>
    </w:p>
  </w:footnote>
  <w:footnote w:type="continuationSeparator" w:id="0">
    <w:p w14:paraId="5DEC037D" w14:textId="77777777" w:rsidR="0090351C" w:rsidRDefault="0090351C" w:rsidP="00FC50E1">
      <w:r>
        <w:continuationSeparator/>
      </w:r>
    </w:p>
  </w:footnote>
  <w:footnote w:id="1">
    <w:p w14:paraId="26482BDE" w14:textId="77777777" w:rsidR="00C831F4" w:rsidRPr="00620E94" w:rsidRDefault="00C831F4" w:rsidP="00626FF9">
      <w:pPr>
        <w:suppressOverlap/>
        <w:rPr>
          <w:color w:val="000000"/>
          <w:sz w:val="20"/>
          <w:szCs w:val="20"/>
        </w:rPr>
      </w:pPr>
      <w:r>
        <w:rPr>
          <w:rStyle w:val="FootnoteReference"/>
        </w:rPr>
        <w:footnoteRef/>
      </w:r>
      <w:r>
        <w:t xml:space="preserve"> </w:t>
      </w:r>
      <w:r w:rsidRPr="00C87E12">
        <w:rPr>
          <w:color w:val="000000"/>
          <w:sz w:val="20"/>
          <w:szCs w:val="20"/>
        </w:rPr>
        <w:t xml:space="preserve">AI compliance. AU autonomy. </w:t>
      </w:r>
      <w:r w:rsidRPr="00620E94">
        <w:rPr>
          <w:color w:val="000000"/>
          <w:sz w:val="20"/>
          <w:szCs w:val="20"/>
        </w:rPr>
        <w:t>BE beneficence. EXP explainability. JUS justice. NM non-maleficence. ENG engagement. ATA attitude towards AI. SAT satisfaction with AI. UI usage intention.</w:t>
      </w:r>
    </w:p>
    <w:p w14:paraId="39C7BDB4" w14:textId="77777777" w:rsidR="00C831F4" w:rsidRDefault="00C831F4" w:rsidP="00626FF9">
      <w:pPr>
        <w:pStyle w:val="FootnoteText"/>
        <w:rPr>
          <w:lang w:eastAsia="zh-TW"/>
        </w:rPr>
      </w:pPr>
      <w:r w:rsidRPr="00620E94">
        <w:rPr>
          <w:color w:val="000000"/>
        </w:rPr>
        <w:t>***p &lt; 0 0.001; **p &lt; 0.01; *p &lt; 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21B6"/>
    <w:multiLevelType w:val="hybridMultilevel"/>
    <w:tmpl w:val="30C8F608"/>
    <w:lvl w:ilvl="0" w:tplc="00F4D8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2F1DF7"/>
    <w:multiLevelType w:val="hybridMultilevel"/>
    <w:tmpl w:val="98F2EEE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C853AA"/>
    <w:multiLevelType w:val="hybridMultilevel"/>
    <w:tmpl w:val="0920829E"/>
    <w:lvl w:ilvl="0" w:tplc="29EA5D9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6516593"/>
    <w:multiLevelType w:val="hybridMultilevel"/>
    <w:tmpl w:val="DE96D3AC"/>
    <w:lvl w:ilvl="0" w:tplc="0809000F">
      <w:start w:val="1"/>
      <w:numFmt w:val="decimal"/>
      <w:lvlText w:val="%1."/>
      <w:lvlJc w:val="left"/>
      <w:pPr>
        <w:ind w:left="720" w:hanging="360"/>
      </w:pPr>
      <w:rPr>
        <w:rFonts w:hint="default"/>
      </w:rPr>
    </w:lvl>
    <w:lvl w:ilvl="1" w:tplc="269EFCB6">
      <w:start w:val="1"/>
      <w:numFmt w:val="decimal"/>
      <w:lvlText w:val="%2."/>
      <w:lvlJc w:val="left"/>
      <w:pPr>
        <w:ind w:left="1440" w:hanging="360"/>
      </w:pPr>
      <w:rPr>
        <w:rFonts w:asciiTheme="minorHAnsi" w:eastAsiaTheme="minorEastAsia" w:hAnsiTheme="minorHAnsi" w:cstheme="minorBid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E6AA3"/>
    <w:multiLevelType w:val="multilevel"/>
    <w:tmpl w:val="CDCA4A2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67F2D"/>
    <w:multiLevelType w:val="hybridMultilevel"/>
    <w:tmpl w:val="4FC6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E4393"/>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445B0DA8"/>
    <w:multiLevelType w:val="hybridMultilevel"/>
    <w:tmpl w:val="150CC7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8" w15:restartNumberingAfterBreak="0">
    <w:nsid w:val="5C463AD7"/>
    <w:multiLevelType w:val="hybridMultilevel"/>
    <w:tmpl w:val="367204B6"/>
    <w:lvl w:ilvl="0" w:tplc="D6C83B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402DA"/>
    <w:multiLevelType w:val="hybridMultilevel"/>
    <w:tmpl w:val="DE96D3AC"/>
    <w:lvl w:ilvl="0" w:tplc="0809000F">
      <w:start w:val="1"/>
      <w:numFmt w:val="decimal"/>
      <w:lvlText w:val="%1."/>
      <w:lvlJc w:val="left"/>
      <w:pPr>
        <w:ind w:left="720" w:hanging="360"/>
      </w:pPr>
      <w:rPr>
        <w:rFonts w:hint="default"/>
      </w:rPr>
    </w:lvl>
    <w:lvl w:ilvl="1" w:tplc="269EFCB6">
      <w:start w:val="1"/>
      <w:numFmt w:val="decimal"/>
      <w:lvlText w:val="%2."/>
      <w:lvlJc w:val="left"/>
      <w:pPr>
        <w:ind w:left="1440" w:hanging="360"/>
      </w:pPr>
      <w:rPr>
        <w:rFonts w:asciiTheme="minorHAnsi" w:eastAsiaTheme="minorEastAsia" w:hAnsiTheme="minorHAnsi" w:cstheme="minorBid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8E0201"/>
    <w:multiLevelType w:val="hybridMultilevel"/>
    <w:tmpl w:val="C478A19C"/>
    <w:lvl w:ilvl="0" w:tplc="DBFC16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3962E11"/>
    <w:multiLevelType w:val="hybridMultilevel"/>
    <w:tmpl w:val="2072F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A75A5"/>
    <w:multiLevelType w:val="multilevel"/>
    <w:tmpl w:val="20D875E6"/>
    <w:lvl w:ilvl="0">
      <w:start w:val="1"/>
      <w:numFmt w:val="decimal"/>
      <w:lvlText w:val="%1."/>
      <w:lvlJc w:val="left"/>
      <w:pPr>
        <w:ind w:left="792"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24" w:hanging="432"/>
      </w:pPr>
      <w:rPr>
        <w:rFonts w:hint="eastAsia"/>
      </w:rPr>
    </w:lvl>
    <w:lvl w:ilvl="2">
      <w:start w:val="1"/>
      <w:numFmt w:val="decimal"/>
      <w:lvlText w:val="%1.%2.%3."/>
      <w:lvlJc w:val="left"/>
      <w:pPr>
        <w:ind w:left="1656" w:hanging="504"/>
      </w:pPr>
      <w:rPr>
        <w:rFonts w:hint="eastAsia"/>
      </w:rPr>
    </w:lvl>
    <w:lvl w:ilvl="3">
      <w:start w:val="1"/>
      <w:numFmt w:val="decimal"/>
      <w:lvlText w:val="%1.%2.%3.%4."/>
      <w:lvlJc w:val="left"/>
      <w:pPr>
        <w:ind w:left="2160" w:hanging="648"/>
      </w:pPr>
      <w:rPr>
        <w:rFonts w:hint="eastAsia"/>
        <w:lang w:val="en-GB"/>
      </w:rPr>
    </w:lvl>
    <w:lvl w:ilvl="4">
      <w:start w:val="1"/>
      <w:numFmt w:val="decimal"/>
      <w:lvlText w:val="%1.%2.%3.%4.%5."/>
      <w:lvlJc w:val="left"/>
      <w:pPr>
        <w:ind w:left="2664" w:hanging="792"/>
      </w:pPr>
      <w:rPr>
        <w:rFonts w:hint="default"/>
        <w:color w:val="auto"/>
      </w:rPr>
    </w:lvl>
    <w:lvl w:ilvl="5">
      <w:start w:val="1"/>
      <w:numFmt w:val="decimal"/>
      <w:lvlText w:val="%1.%2.%3.%4.%5.%6."/>
      <w:lvlJc w:val="left"/>
      <w:pPr>
        <w:ind w:left="3168" w:hanging="936"/>
      </w:pPr>
      <w:rPr>
        <w:rFonts w:hint="eastAsia"/>
      </w:rPr>
    </w:lvl>
    <w:lvl w:ilvl="6">
      <w:start w:val="1"/>
      <w:numFmt w:val="decimal"/>
      <w:lvlText w:val="%1.%2.%3.%4.%5.%6.%7."/>
      <w:lvlJc w:val="left"/>
      <w:pPr>
        <w:ind w:left="3672" w:hanging="1080"/>
      </w:pPr>
      <w:rPr>
        <w:rFonts w:hint="eastAsia"/>
      </w:rPr>
    </w:lvl>
    <w:lvl w:ilvl="7">
      <w:start w:val="1"/>
      <w:numFmt w:val="decimal"/>
      <w:lvlText w:val="%1.%2.%3.%4.%5.%6.%7.%8."/>
      <w:lvlJc w:val="left"/>
      <w:pPr>
        <w:ind w:left="4176" w:hanging="1224"/>
      </w:pPr>
      <w:rPr>
        <w:rFonts w:hint="eastAsia"/>
      </w:rPr>
    </w:lvl>
    <w:lvl w:ilvl="8">
      <w:start w:val="1"/>
      <w:numFmt w:val="decimal"/>
      <w:lvlText w:val="%1.%2.%3.%4.%5.%6.%7.%8.%9."/>
      <w:lvlJc w:val="left"/>
      <w:pPr>
        <w:ind w:left="4752" w:hanging="1440"/>
      </w:pPr>
      <w:rPr>
        <w:rFonts w:hint="eastAsia"/>
      </w:rPr>
    </w:lvl>
  </w:abstractNum>
  <w:abstractNum w:abstractNumId="13" w15:restartNumberingAfterBreak="0">
    <w:nsid w:val="712618A4"/>
    <w:multiLevelType w:val="hybridMultilevel"/>
    <w:tmpl w:val="0158F732"/>
    <w:lvl w:ilvl="0" w:tplc="FCE454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1"/>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13"/>
  </w:num>
  <w:num w:numId="9">
    <w:abstractNumId w:val="4"/>
  </w:num>
  <w:num w:numId="10">
    <w:abstractNumId w:val="5"/>
  </w:num>
  <w:num w:numId="11">
    <w:abstractNumId w:val="7"/>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information frontier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767C1"/>
    <w:rsid w:val="00000FDA"/>
    <w:rsid w:val="000031D6"/>
    <w:rsid w:val="000038C6"/>
    <w:rsid w:val="00010A57"/>
    <w:rsid w:val="00010C7B"/>
    <w:rsid w:val="0001131B"/>
    <w:rsid w:val="000116FD"/>
    <w:rsid w:val="00011FAC"/>
    <w:rsid w:val="0001555D"/>
    <w:rsid w:val="000169F4"/>
    <w:rsid w:val="000225EA"/>
    <w:rsid w:val="00024EE8"/>
    <w:rsid w:val="000253FC"/>
    <w:rsid w:val="000265C4"/>
    <w:rsid w:val="00026999"/>
    <w:rsid w:val="00030467"/>
    <w:rsid w:val="00042ACC"/>
    <w:rsid w:val="00044D7C"/>
    <w:rsid w:val="000453A8"/>
    <w:rsid w:val="000503E1"/>
    <w:rsid w:val="0005583E"/>
    <w:rsid w:val="00055A4F"/>
    <w:rsid w:val="00055D2F"/>
    <w:rsid w:val="00055FD7"/>
    <w:rsid w:val="00056CC4"/>
    <w:rsid w:val="00060C48"/>
    <w:rsid w:val="000645F0"/>
    <w:rsid w:val="000665E1"/>
    <w:rsid w:val="00067D4B"/>
    <w:rsid w:val="00071CFF"/>
    <w:rsid w:val="0007704B"/>
    <w:rsid w:val="00081CD6"/>
    <w:rsid w:val="00083835"/>
    <w:rsid w:val="00085AB7"/>
    <w:rsid w:val="00092E01"/>
    <w:rsid w:val="000959F7"/>
    <w:rsid w:val="000A4B66"/>
    <w:rsid w:val="000A6157"/>
    <w:rsid w:val="000A76D8"/>
    <w:rsid w:val="000B1B30"/>
    <w:rsid w:val="000B34C8"/>
    <w:rsid w:val="000B34FE"/>
    <w:rsid w:val="000B5F4C"/>
    <w:rsid w:val="000B65EF"/>
    <w:rsid w:val="000B6C3A"/>
    <w:rsid w:val="000C0357"/>
    <w:rsid w:val="000C1E99"/>
    <w:rsid w:val="000C3485"/>
    <w:rsid w:val="000C7128"/>
    <w:rsid w:val="000D3BB7"/>
    <w:rsid w:val="000E0EEF"/>
    <w:rsid w:val="000E4D62"/>
    <w:rsid w:val="000E6DF3"/>
    <w:rsid w:val="000F420C"/>
    <w:rsid w:val="000F46E1"/>
    <w:rsid w:val="00101491"/>
    <w:rsid w:val="001020AF"/>
    <w:rsid w:val="00102362"/>
    <w:rsid w:val="001078EF"/>
    <w:rsid w:val="001114F2"/>
    <w:rsid w:val="00113EE5"/>
    <w:rsid w:val="00120E19"/>
    <w:rsid w:val="001222BD"/>
    <w:rsid w:val="00122A8A"/>
    <w:rsid w:val="00134999"/>
    <w:rsid w:val="001366F9"/>
    <w:rsid w:val="00143655"/>
    <w:rsid w:val="00143B43"/>
    <w:rsid w:val="0014467A"/>
    <w:rsid w:val="00144C9F"/>
    <w:rsid w:val="0015104C"/>
    <w:rsid w:val="00151882"/>
    <w:rsid w:val="00152E84"/>
    <w:rsid w:val="001559D5"/>
    <w:rsid w:val="00157BA4"/>
    <w:rsid w:val="001618FF"/>
    <w:rsid w:val="001634E0"/>
    <w:rsid w:val="0017038E"/>
    <w:rsid w:val="001767C1"/>
    <w:rsid w:val="001807E4"/>
    <w:rsid w:val="00184961"/>
    <w:rsid w:val="00184FE7"/>
    <w:rsid w:val="00186B8B"/>
    <w:rsid w:val="00186CAA"/>
    <w:rsid w:val="00194441"/>
    <w:rsid w:val="001962BB"/>
    <w:rsid w:val="001B0673"/>
    <w:rsid w:val="001B1A1E"/>
    <w:rsid w:val="001B2B1A"/>
    <w:rsid w:val="001B3163"/>
    <w:rsid w:val="001B4252"/>
    <w:rsid w:val="001B54E4"/>
    <w:rsid w:val="001B6A06"/>
    <w:rsid w:val="001B7F38"/>
    <w:rsid w:val="001C7457"/>
    <w:rsid w:val="001C780C"/>
    <w:rsid w:val="001D0F94"/>
    <w:rsid w:val="001D1555"/>
    <w:rsid w:val="001D3A81"/>
    <w:rsid w:val="001D50A7"/>
    <w:rsid w:val="001D5925"/>
    <w:rsid w:val="001D5DEE"/>
    <w:rsid w:val="001D670F"/>
    <w:rsid w:val="001D753F"/>
    <w:rsid w:val="001E31B5"/>
    <w:rsid w:val="001E4146"/>
    <w:rsid w:val="001E46C3"/>
    <w:rsid w:val="001E6735"/>
    <w:rsid w:val="001E7DBB"/>
    <w:rsid w:val="001F0EF9"/>
    <w:rsid w:val="001F5D75"/>
    <w:rsid w:val="001F5E4E"/>
    <w:rsid w:val="001F66C2"/>
    <w:rsid w:val="0020582F"/>
    <w:rsid w:val="00206A63"/>
    <w:rsid w:val="002070A3"/>
    <w:rsid w:val="00212FAE"/>
    <w:rsid w:val="0021384F"/>
    <w:rsid w:val="00215516"/>
    <w:rsid w:val="002164F5"/>
    <w:rsid w:val="00216E41"/>
    <w:rsid w:val="00217097"/>
    <w:rsid w:val="0021744D"/>
    <w:rsid w:val="0022648F"/>
    <w:rsid w:val="00227A5B"/>
    <w:rsid w:val="002308DD"/>
    <w:rsid w:val="002373FF"/>
    <w:rsid w:val="00237F4F"/>
    <w:rsid w:val="00241C78"/>
    <w:rsid w:val="00241D43"/>
    <w:rsid w:val="00241F33"/>
    <w:rsid w:val="00243985"/>
    <w:rsid w:val="00245505"/>
    <w:rsid w:val="00247AD4"/>
    <w:rsid w:val="002502E3"/>
    <w:rsid w:val="0025043F"/>
    <w:rsid w:val="0025238E"/>
    <w:rsid w:val="0025317D"/>
    <w:rsid w:val="00260FE3"/>
    <w:rsid w:val="00263203"/>
    <w:rsid w:val="00266A2B"/>
    <w:rsid w:val="00267F8B"/>
    <w:rsid w:val="00270011"/>
    <w:rsid w:val="00277300"/>
    <w:rsid w:val="00281BD8"/>
    <w:rsid w:val="00282EAE"/>
    <w:rsid w:val="002868DD"/>
    <w:rsid w:val="00295D7B"/>
    <w:rsid w:val="00295F36"/>
    <w:rsid w:val="00296312"/>
    <w:rsid w:val="002A0919"/>
    <w:rsid w:val="002A65E1"/>
    <w:rsid w:val="002B096F"/>
    <w:rsid w:val="002B1051"/>
    <w:rsid w:val="002B1EB7"/>
    <w:rsid w:val="002B39AF"/>
    <w:rsid w:val="002B7CBA"/>
    <w:rsid w:val="002C06F5"/>
    <w:rsid w:val="002C2432"/>
    <w:rsid w:val="002C29D2"/>
    <w:rsid w:val="002C5A4C"/>
    <w:rsid w:val="002D054E"/>
    <w:rsid w:val="002D1726"/>
    <w:rsid w:val="002D2D47"/>
    <w:rsid w:val="002D37F3"/>
    <w:rsid w:val="002D4474"/>
    <w:rsid w:val="002F21B1"/>
    <w:rsid w:val="002F21FB"/>
    <w:rsid w:val="002F717B"/>
    <w:rsid w:val="00303B4D"/>
    <w:rsid w:val="00304579"/>
    <w:rsid w:val="00306F33"/>
    <w:rsid w:val="00307F2B"/>
    <w:rsid w:val="00310CDC"/>
    <w:rsid w:val="00316D32"/>
    <w:rsid w:val="003171D8"/>
    <w:rsid w:val="003208EC"/>
    <w:rsid w:val="00322B30"/>
    <w:rsid w:val="003248A2"/>
    <w:rsid w:val="0033492D"/>
    <w:rsid w:val="00335F62"/>
    <w:rsid w:val="00337CF0"/>
    <w:rsid w:val="003403AF"/>
    <w:rsid w:val="00341AA6"/>
    <w:rsid w:val="00341DF0"/>
    <w:rsid w:val="00343B8E"/>
    <w:rsid w:val="003515AB"/>
    <w:rsid w:val="0035328B"/>
    <w:rsid w:val="00355C50"/>
    <w:rsid w:val="003566A5"/>
    <w:rsid w:val="003579E0"/>
    <w:rsid w:val="00361128"/>
    <w:rsid w:val="0036192D"/>
    <w:rsid w:val="00362B47"/>
    <w:rsid w:val="003639CA"/>
    <w:rsid w:val="00371D32"/>
    <w:rsid w:val="00372A7E"/>
    <w:rsid w:val="00376D10"/>
    <w:rsid w:val="0038048B"/>
    <w:rsid w:val="00384994"/>
    <w:rsid w:val="003861A7"/>
    <w:rsid w:val="00386415"/>
    <w:rsid w:val="00386D69"/>
    <w:rsid w:val="0039010F"/>
    <w:rsid w:val="0039047A"/>
    <w:rsid w:val="00390AE2"/>
    <w:rsid w:val="0039116E"/>
    <w:rsid w:val="00391E66"/>
    <w:rsid w:val="0039735A"/>
    <w:rsid w:val="003A12FC"/>
    <w:rsid w:val="003A24D9"/>
    <w:rsid w:val="003A4F82"/>
    <w:rsid w:val="003A6D34"/>
    <w:rsid w:val="003B042A"/>
    <w:rsid w:val="003C0139"/>
    <w:rsid w:val="003C037B"/>
    <w:rsid w:val="003C06D7"/>
    <w:rsid w:val="003C1B6D"/>
    <w:rsid w:val="003C2B31"/>
    <w:rsid w:val="003C35B7"/>
    <w:rsid w:val="003C36D8"/>
    <w:rsid w:val="003C644B"/>
    <w:rsid w:val="003D09E0"/>
    <w:rsid w:val="003D2156"/>
    <w:rsid w:val="003D2C94"/>
    <w:rsid w:val="003D42CC"/>
    <w:rsid w:val="003D7AFC"/>
    <w:rsid w:val="003E4D95"/>
    <w:rsid w:val="003E5909"/>
    <w:rsid w:val="003E6594"/>
    <w:rsid w:val="003E6E02"/>
    <w:rsid w:val="003F066D"/>
    <w:rsid w:val="003F1549"/>
    <w:rsid w:val="003F4833"/>
    <w:rsid w:val="003F5DA4"/>
    <w:rsid w:val="003F6DA9"/>
    <w:rsid w:val="004027B4"/>
    <w:rsid w:val="00403C85"/>
    <w:rsid w:val="004050AC"/>
    <w:rsid w:val="00405F70"/>
    <w:rsid w:val="0041400C"/>
    <w:rsid w:val="00420355"/>
    <w:rsid w:val="0042334F"/>
    <w:rsid w:val="0042782B"/>
    <w:rsid w:val="00427E4E"/>
    <w:rsid w:val="00430AA3"/>
    <w:rsid w:val="0043615C"/>
    <w:rsid w:val="00440C25"/>
    <w:rsid w:val="0044229C"/>
    <w:rsid w:val="00443B87"/>
    <w:rsid w:val="004458D5"/>
    <w:rsid w:val="004464C1"/>
    <w:rsid w:val="004473AD"/>
    <w:rsid w:val="0045239C"/>
    <w:rsid w:val="00456164"/>
    <w:rsid w:val="004619AF"/>
    <w:rsid w:val="00461C53"/>
    <w:rsid w:val="0046313D"/>
    <w:rsid w:val="00465AFB"/>
    <w:rsid w:val="0047123B"/>
    <w:rsid w:val="004717AE"/>
    <w:rsid w:val="004721EE"/>
    <w:rsid w:val="00472B0B"/>
    <w:rsid w:val="00475410"/>
    <w:rsid w:val="00476242"/>
    <w:rsid w:val="00477928"/>
    <w:rsid w:val="004809D8"/>
    <w:rsid w:val="00483AB4"/>
    <w:rsid w:val="004857AC"/>
    <w:rsid w:val="00485C2E"/>
    <w:rsid w:val="00485C3F"/>
    <w:rsid w:val="00486B0F"/>
    <w:rsid w:val="00487215"/>
    <w:rsid w:val="00491A47"/>
    <w:rsid w:val="00491F55"/>
    <w:rsid w:val="00491F8F"/>
    <w:rsid w:val="004A028C"/>
    <w:rsid w:val="004A43A0"/>
    <w:rsid w:val="004A56E0"/>
    <w:rsid w:val="004A7F05"/>
    <w:rsid w:val="004B09D8"/>
    <w:rsid w:val="004B2E18"/>
    <w:rsid w:val="004B50FC"/>
    <w:rsid w:val="004B5A4C"/>
    <w:rsid w:val="004C1CFE"/>
    <w:rsid w:val="004C303A"/>
    <w:rsid w:val="004C68F0"/>
    <w:rsid w:val="004C704B"/>
    <w:rsid w:val="004D1B1F"/>
    <w:rsid w:val="004D1EE5"/>
    <w:rsid w:val="004D3896"/>
    <w:rsid w:val="004D4DA2"/>
    <w:rsid w:val="004D68AB"/>
    <w:rsid w:val="004E278C"/>
    <w:rsid w:val="004E7489"/>
    <w:rsid w:val="004F5338"/>
    <w:rsid w:val="004F60AF"/>
    <w:rsid w:val="0050215E"/>
    <w:rsid w:val="005036C5"/>
    <w:rsid w:val="00503C60"/>
    <w:rsid w:val="00507F24"/>
    <w:rsid w:val="0051242C"/>
    <w:rsid w:val="00515BA3"/>
    <w:rsid w:val="00516C1F"/>
    <w:rsid w:val="005219C5"/>
    <w:rsid w:val="00523B9F"/>
    <w:rsid w:val="00530630"/>
    <w:rsid w:val="00535660"/>
    <w:rsid w:val="005375AF"/>
    <w:rsid w:val="00543209"/>
    <w:rsid w:val="00551DA5"/>
    <w:rsid w:val="00553690"/>
    <w:rsid w:val="00553B4F"/>
    <w:rsid w:val="00555308"/>
    <w:rsid w:val="00555940"/>
    <w:rsid w:val="00560BD4"/>
    <w:rsid w:val="00562D19"/>
    <w:rsid w:val="00563B6B"/>
    <w:rsid w:val="00564101"/>
    <w:rsid w:val="005647C8"/>
    <w:rsid w:val="00573268"/>
    <w:rsid w:val="00576B49"/>
    <w:rsid w:val="005772D3"/>
    <w:rsid w:val="005776B9"/>
    <w:rsid w:val="0058314B"/>
    <w:rsid w:val="0058368E"/>
    <w:rsid w:val="005849B6"/>
    <w:rsid w:val="005871F9"/>
    <w:rsid w:val="00590E41"/>
    <w:rsid w:val="00590E67"/>
    <w:rsid w:val="00591C04"/>
    <w:rsid w:val="00592833"/>
    <w:rsid w:val="005939B4"/>
    <w:rsid w:val="00594149"/>
    <w:rsid w:val="005A7434"/>
    <w:rsid w:val="005B0B94"/>
    <w:rsid w:val="005B122F"/>
    <w:rsid w:val="005B186B"/>
    <w:rsid w:val="005B327A"/>
    <w:rsid w:val="005B32C9"/>
    <w:rsid w:val="005B6A1D"/>
    <w:rsid w:val="005C1F80"/>
    <w:rsid w:val="005C2AB8"/>
    <w:rsid w:val="005C3B54"/>
    <w:rsid w:val="005C43E8"/>
    <w:rsid w:val="005D2DE3"/>
    <w:rsid w:val="005D3CA1"/>
    <w:rsid w:val="005E3B57"/>
    <w:rsid w:val="005E5751"/>
    <w:rsid w:val="005F147C"/>
    <w:rsid w:val="005F47FC"/>
    <w:rsid w:val="0060492D"/>
    <w:rsid w:val="00605766"/>
    <w:rsid w:val="006061D7"/>
    <w:rsid w:val="00611A23"/>
    <w:rsid w:val="00612B0B"/>
    <w:rsid w:val="006137FD"/>
    <w:rsid w:val="0062054E"/>
    <w:rsid w:val="00620631"/>
    <w:rsid w:val="00620E52"/>
    <w:rsid w:val="00620E94"/>
    <w:rsid w:val="0062335A"/>
    <w:rsid w:val="00624BBC"/>
    <w:rsid w:val="0062539E"/>
    <w:rsid w:val="00626AD4"/>
    <w:rsid w:val="00626FF9"/>
    <w:rsid w:val="00631626"/>
    <w:rsid w:val="006342F2"/>
    <w:rsid w:val="006375CF"/>
    <w:rsid w:val="006443A0"/>
    <w:rsid w:val="0064468F"/>
    <w:rsid w:val="00651349"/>
    <w:rsid w:val="00653952"/>
    <w:rsid w:val="006638C4"/>
    <w:rsid w:val="00667382"/>
    <w:rsid w:val="00671ACF"/>
    <w:rsid w:val="00672A26"/>
    <w:rsid w:val="006738D5"/>
    <w:rsid w:val="006770F2"/>
    <w:rsid w:val="0068615A"/>
    <w:rsid w:val="00691729"/>
    <w:rsid w:val="00694337"/>
    <w:rsid w:val="00695456"/>
    <w:rsid w:val="00695750"/>
    <w:rsid w:val="006A13A4"/>
    <w:rsid w:val="006A3240"/>
    <w:rsid w:val="006B28E5"/>
    <w:rsid w:val="006B3E05"/>
    <w:rsid w:val="006B47EF"/>
    <w:rsid w:val="006C13F4"/>
    <w:rsid w:val="006C4D2B"/>
    <w:rsid w:val="006C65CE"/>
    <w:rsid w:val="006C6C19"/>
    <w:rsid w:val="006C6F2E"/>
    <w:rsid w:val="006D27DE"/>
    <w:rsid w:val="006D38F0"/>
    <w:rsid w:val="006E0E4C"/>
    <w:rsid w:val="006E1F62"/>
    <w:rsid w:val="006E2A52"/>
    <w:rsid w:val="006E2AE6"/>
    <w:rsid w:val="006E45CA"/>
    <w:rsid w:val="006E4A43"/>
    <w:rsid w:val="006F0899"/>
    <w:rsid w:val="006F0EA3"/>
    <w:rsid w:val="006F44C0"/>
    <w:rsid w:val="006F5A09"/>
    <w:rsid w:val="0070069A"/>
    <w:rsid w:val="0070456C"/>
    <w:rsid w:val="00704F9E"/>
    <w:rsid w:val="007053A9"/>
    <w:rsid w:val="0071166F"/>
    <w:rsid w:val="007125A6"/>
    <w:rsid w:val="0071276A"/>
    <w:rsid w:val="0071315D"/>
    <w:rsid w:val="00716572"/>
    <w:rsid w:val="00717A13"/>
    <w:rsid w:val="007264CA"/>
    <w:rsid w:val="007270C3"/>
    <w:rsid w:val="00732148"/>
    <w:rsid w:val="0073283E"/>
    <w:rsid w:val="007418DF"/>
    <w:rsid w:val="00741C8F"/>
    <w:rsid w:val="007421FF"/>
    <w:rsid w:val="007422A0"/>
    <w:rsid w:val="00747D78"/>
    <w:rsid w:val="00750EFA"/>
    <w:rsid w:val="00761A90"/>
    <w:rsid w:val="00761D6B"/>
    <w:rsid w:val="00761E98"/>
    <w:rsid w:val="007635AE"/>
    <w:rsid w:val="00763E20"/>
    <w:rsid w:val="00766390"/>
    <w:rsid w:val="00767486"/>
    <w:rsid w:val="00767744"/>
    <w:rsid w:val="00767937"/>
    <w:rsid w:val="00770A8C"/>
    <w:rsid w:val="00770EB7"/>
    <w:rsid w:val="0077210D"/>
    <w:rsid w:val="0077306A"/>
    <w:rsid w:val="00776746"/>
    <w:rsid w:val="007775F7"/>
    <w:rsid w:val="0078794E"/>
    <w:rsid w:val="007915CC"/>
    <w:rsid w:val="007930D7"/>
    <w:rsid w:val="00793DB3"/>
    <w:rsid w:val="00795B44"/>
    <w:rsid w:val="00796C7B"/>
    <w:rsid w:val="007A773D"/>
    <w:rsid w:val="007B2F10"/>
    <w:rsid w:val="007B38C5"/>
    <w:rsid w:val="007B3D0C"/>
    <w:rsid w:val="007B74B2"/>
    <w:rsid w:val="007C0773"/>
    <w:rsid w:val="007C1E6B"/>
    <w:rsid w:val="007C3E7E"/>
    <w:rsid w:val="007C7AF2"/>
    <w:rsid w:val="007C7BFA"/>
    <w:rsid w:val="007D0B93"/>
    <w:rsid w:val="007D3B08"/>
    <w:rsid w:val="007D4373"/>
    <w:rsid w:val="007D5B12"/>
    <w:rsid w:val="007E67B0"/>
    <w:rsid w:val="007F213B"/>
    <w:rsid w:val="007F4598"/>
    <w:rsid w:val="007F5242"/>
    <w:rsid w:val="0080241E"/>
    <w:rsid w:val="008040AC"/>
    <w:rsid w:val="008044C0"/>
    <w:rsid w:val="008048BF"/>
    <w:rsid w:val="00807D32"/>
    <w:rsid w:val="00810F62"/>
    <w:rsid w:val="0081292B"/>
    <w:rsid w:val="008130AF"/>
    <w:rsid w:val="00813FD3"/>
    <w:rsid w:val="008235B5"/>
    <w:rsid w:val="00824043"/>
    <w:rsid w:val="00830194"/>
    <w:rsid w:val="008306E4"/>
    <w:rsid w:val="008374D8"/>
    <w:rsid w:val="0083758E"/>
    <w:rsid w:val="00841407"/>
    <w:rsid w:val="00846F51"/>
    <w:rsid w:val="008507BF"/>
    <w:rsid w:val="00853D8A"/>
    <w:rsid w:val="008546F2"/>
    <w:rsid w:val="00864A76"/>
    <w:rsid w:val="00870E8C"/>
    <w:rsid w:val="00872747"/>
    <w:rsid w:val="0087489F"/>
    <w:rsid w:val="00875BC5"/>
    <w:rsid w:val="008777E1"/>
    <w:rsid w:val="00877B33"/>
    <w:rsid w:val="00883F62"/>
    <w:rsid w:val="00886FC9"/>
    <w:rsid w:val="00887208"/>
    <w:rsid w:val="00891962"/>
    <w:rsid w:val="00892581"/>
    <w:rsid w:val="00894AD6"/>
    <w:rsid w:val="00895DDD"/>
    <w:rsid w:val="0089716A"/>
    <w:rsid w:val="00897237"/>
    <w:rsid w:val="008A5FFB"/>
    <w:rsid w:val="008B0F82"/>
    <w:rsid w:val="008B3FA9"/>
    <w:rsid w:val="008B48B5"/>
    <w:rsid w:val="008B54A5"/>
    <w:rsid w:val="008B6049"/>
    <w:rsid w:val="008B7FA9"/>
    <w:rsid w:val="008C4DEF"/>
    <w:rsid w:val="008C63FB"/>
    <w:rsid w:val="008C7A20"/>
    <w:rsid w:val="008C7A52"/>
    <w:rsid w:val="008D23F0"/>
    <w:rsid w:val="008D6697"/>
    <w:rsid w:val="008D7178"/>
    <w:rsid w:val="008D74D1"/>
    <w:rsid w:val="008E2DDB"/>
    <w:rsid w:val="008E5433"/>
    <w:rsid w:val="008F1E8A"/>
    <w:rsid w:val="008F2CD1"/>
    <w:rsid w:val="008F5F27"/>
    <w:rsid w:val="008F645F"/>
    <w:rsid w:val="0090351C"/>
    <w:rsid w:val="00903C92"/>
    <w:rsid w:val="0090411C"/>
    <w:rsid w:val="009050CB"/>
    <w:rsid w:val="00913D93"/>
    <w:rsid w:val="00913ED7"/>
    <w:rsid w:val="0091622A"/>
    <w:rsid w:val="00916E76"/>
    <w:rsid w:val="00925E0D"/>
    <w:rsid w:val="009309B5"/>
    <w:rsid w:val="00930EB7"/>
    <w:rsid w:val="00931518"/>
    <w:rsid w:val="00932425"/>
    <w:rsid w:val="00932C1D"/>
    <w:rsid w:val="00932FF5"/>
    <w:rsid w:val="00933358"/>
    <w:rsid w:val="00937AC1"/>
    <w:rsid w:val="0094240D"/>
    <w:rsid w:val="0094374C"/>
    <w:rsid w:val="009523FE"/>
    <w:rsid w:val="009630F5"/>
    <w:rsid w:val="00970C2B"/>
    <w:rsid w:val="009710E7"/>
    <w:rsid w:val="00974A9F"/>
    <w:rsid w:val="009751E9"/>
    <w:rsid w:val="0097663F"/>
    <w:rsid w:val="00977D30"/>
    <w:rsid w:val="00983568"/>
    <w:rsid w:val="00984267"/>
    <w:rsid w:val="00987E5E"/>
    <w:rsid w:val="0099012A"/>
    <w:rsid w:val="00990AE7"/>
    <w:rsid w:val="00991CCB"/>
    <w:rsid w:val="00995A34"/>
    <w:rsid w:val="0099653E"/>
    <w:rsid w:val="00997415"/>
    <w:rsid w:val="009A1FC6"/>
    <w:rsid w:val="009A627B"/>
    <w:rsid w:val="009A7126"/>
    <w:rsid w:val="009A7167"/>
    <w:rsid w:val="009A7398"/>
    <w:rsid w:val="009B0A64"/>
    <w:rsid w:val="009B2026"/>
    <w:rsid w:val="009B23A5"/>
    <w:rsid w:val="009B3A04"/>
    <w:rsid w:val="009B4C54"/>
    <w:rsid w:val="009B75E7"/>
    <w:rsid w:val="009C0457"/>
    <w:rsid w:val="009C0F59"/>
    <w:rsid w:val="009C2166"/>
    <w:rsid w:val="009C29A8"/>
    <w:rsid w:val="009C6835"/>
    <w:rsid w:val="009D4996"/>
    <w:rsid w:val="009E0133"/>
    <w:rsid w:val="009E06BA"/>
    <w:rsid w:val="009E0809"/>
    <w:rsid w:val="009E2493"/>
    <w:rsid w:val="009E4C75"/>
    <w:rsid w:val="009E5B87"/>
    <w:rsid w:val="009E7D02"/>
    <w:rsid w:val="00A00205"/>
    <w:rsid w:val="00A0105E"/>
    <w:rsid w:val="00A029B2"/>
    <w:rsid w:val="00A129C7"/>
    <w:rsid w:val="00A143EC"/>
    <w:rsid w:val="00A15249"/>
    <w:rsid w:val="00A16A64"/>
    <w:rsid w:val="00A21E75"/>
    <w:rsid w:val="00A2441B"/>
    <w:rsid w:val="00A26584"/>
    <w:rsid w:val="00A2668C"/>
    <w:rsid w:val="00A302EE"/>
    <w:rsid w:val="00A3205A"/>
    <w:rsid w:val="00A34C5B"/>
    <w:rsid w:val="00A371AF"/>
    <w:rsid w:val="00A41870"/>
    <w:rsid w:val="00A468AC"/>
    <w:rsid w:val="00A5076A"/>
    <w:rsid w:val="00A523D0"/>
    <w:rsid w:val="00A53231"/>
    <w:rsid w:val="00A5698C"/>
    <w:rsid w:val="00A63863"/>
    <w:rsid w:val="00A6456A"/>
    <w:rsid w:val="00A65E66"/>
    <w:rsid w:val="00A67E44"/>
    <w:rsid w:val="00A70F9E"/>
    <w:rsid w:val="00A73275"/>
    <w:rsid w:val="00A7403C"/>
    <w:rsid w:val="00A8507A"/>
    <w:rsid w:val="00A86B3D"/>
    <w:rsid w:val="00A919CA"/>
    <w:rsid w:val="00A96560"/>
    <w:rsid w:val="00AA0E61"/>
    <w:rsid w:val="00AB0C65"/>
    <w:rsid w:val="00AB19CB"/>
    <w:rsid w:val="00AB22F3"/>
    <w:rsid w:val="00AB255B"/>
    <w:rsid w:val="00AB2E83"/>
    <w:rsid w:val="00AC02DE"/>
    <w:rsid w:val="00AC1BF9"/>
    <w:rsid w:val="00AC21BA"/>
    <w:rsid w:val="00AC3B55"/>
    <w:rsid w:val="00AD1421"/>
    <w:rsid w:val="00AD1B45"/>
    <w:rsid w:val="00AD6601"/>
    <w:rsid w:val="00AD77ED"/>
    <w:rsid w:val="00AE1168"/>
    <w:rsid w:val="00AE3CCD"/>
    <w:rsid w:val="00AE3E76"/>
    <w:rsid w:val="00AE56F9"/>
    <w:rsid w:val="00AE680D"/>
    <w:rsid w:val="00AF2714"/>
    <w:rsid w:val="00AF5BDD"/>
    <w:rsid w:val="00AF62BB"/>
    <w:rsid w:val="00B00F01"/>
    <w:rsid w:val="00B00FEE"/>
    <w:rsid w:val="00B04F15"/>
    <w:rsid w:val="00B10738"/>
    <w:rsid w:val="00B1299E"/>
    <w:rsid w:val="00B13129"/>
    <w:rsid w:val="00B15DE3"/>
    <w:rsid w:val="00B165DA"/>
    <w:rsid w:val="00B22A77"/>
    <w:rsid w:val="00B23A2A"/>
    <w:rsid w:val="00B24B00"/>
    <w:rsid w:val="00B24D71"/>
    <w:rsid w:val="00B256A4"/>
    <w:rsid w:val="00B26A93"/>
    <w:rsid w:val="00B307CF"/>
    <w:rsid w:val="00B31E3E"/>
    <w:rsid w:val="00B333C1"/>
    <w:rsid w:val="00B43211"/>
    <w:rsid w:val="00B43C9A"/>
    <w:rsid w:val="00B44AC5"/>
    <w:rsid w:val="00B5003B"/>
    <w:rsid w:val="00B50BC0"/>
    <w:rsid w:val="00B50C60"/>
    <w:rsid w:val="00B5324D"/>
    <w:rsid w:val="00B55336"/>
    <w:rsid w:val="00B557A7"/>
    <w:rsid w:val="00B55BE7"/>
    <w:rsid w:val="00B6075D"/>
    <w:rsid w:val="00B63C4D"/>
    <w:rsid w:val="00B65C12"/>
    <w:rsid w:val="00B71EEA"/>
    <w:rsid w:val="00B72E1A"/>
    <w:rsid w:val="00B73C62"/>
    <w:rsid w:val="00B753E5"/>
    <w:rsid w:val="00B77083"/>
    <w:rsid w:val="00B81456"/>
    <w:rsid w:val="00B828FD"/>
    <w:rsid w:val="00B8333F"/>
    <w:rsid w:val="00B90565"/>
    <w:rsid w:val="00B95170"/>
    <w:rsid w:val="00B95FEC"/>
    <w:rsid w:val="00BA1F78"/>
    <w:rsid w:val="00BA2BA9"/>
    <w:rsid w:val="00BA3B2A"/>
    <w:rsid w:val="00BA58CE"/>
    <w:rsid w:val="00BA6591"/>
    <w:rsid w:val="00BA674E"/>
    <w:rsid w:val="00BB2B9B"/>
    <w:rsid w:val="00BC0D05"/>
    <w:rsid w:val="00BC2590"/>
    <w:rsid w:val="00BC2C8E"/>
    <w:rsid w:val="00BC3F8E"/>
    <w:rsid w:val="00BC5494"/>
    <w:rsid w:val="00BD18B6"/>
    <w:rsid w:val="00BD3AA1"/>
    <w:rsid w:val="00BD416B"/>
    <w:rsid w:val="00BD768F"/>
    <w:rsid w:val="00BE15F7"/>
    <w:rsid w:val="00BE7CD9"/>
    <w:rsid w:val="00BF0D2C"/>
    <w:rsid w:val="00BF1676"/>
    <w:rsid w:val="00BF200B"/>
    <w:rsid w:val="00BF638A"/>
    <w:rsid w:val="00C110D0"/>
    <w:rsid w:val="00C1246F"/>
    <w:rsid w:val="00C139F6"/>
    <w:rsid w:val="00C17E9B"/>
    <w:rsid w:val="00C23CB8"/>
    <w:rsid w:val="00C25768"/>
    <w:rsid w:val="00C263E9"/>
    <w:rsid w:val="00C2752A"/>
    <w:rsid w:val="00C278A1"/>
    <w:rsid w:val="00C35E8E"/>
    <w:rsid w:val="00C35FFC"/>
    <w:rsid w:val="00C37186"/>
    <w:rsid w:val="00C37314"/>
    <w:rsid w:val="00C37C78"/>
    <w:rsid w:val="00C412A3"/>
    <w:rsid w:val="00C41FB5"/>
    <w:rsid w:val="00C43E07"/>
    <w:rsid w:val="00C4445C"/>
    <w:rsid w:val="00C447FE"/>
    <w:rsid w:val="00C460D5"/>
    <w:rsid w:val="00C57DDF"/>
    <w:rsid w:val="00C60896"/>
    <w:rsid w:val="00C6194C"/>
    <w:rsid w:val="00C62D18"/>
    <w:rsid w:val="00C67B76"/>
    <w:rsid w:val="00C709BC"/>
    <w:rsid w:val="00C740BF"/>
    <w:rsid w:val="00C74736"/>
    <w:rsid w:val="00C765F0"/>
    <w:rsid w:val="00C77445"/>
    <w:rsid w:val="00C816A1"/>
    <w:rsid w:val="00C81F36"/>
    <w:rsid w:val="00C831F4"/>
    <w:rsid w:val="00C85101"/>
    <w:rsid w:val="00C87796"/>
    <w:rsid w:val="00C87D8F"/>
    <w:rsid w:val="00C90B19"/>
    <w:rsid w:val="00C96CB5"/>
    <w:rsid w:val="00CA175A"/>
    <w:rsid w:val="00CA1BE6"/>
    <w:rsid w:val="00CA6192"/>
    <w:rsid w:val="00CA7F72"/>
    <w:rsid w:val="00CB2D64"/>
    <w:rsid w:val="00CB4F70"/>
    <w:rsid w:val="00CC7ECF"/>
    <w:rsid w:val="00CD3C43"/>
    <w:rsid w:val="00CD627A"/>
    <w:rsid w:val="00CD6AAA"/>
    <w:rsid w:val="00CE0A19"/>
    <w:rsid w:val="00CE39EC"/>
    <w:rsid w:val="00CE3B64"/>
    <w:rsid w:val="00CE3BC6"/>
    <w:rsid w:val="00CE4071"/>
    <w:rsid w:val="00CE662E"/>
    <w:rsid w:val="00CE6F01"/>
    <w:rsid w:val="00CF4AF0"/>
    <w:rsid w:val="00CF690D"/>
    <w:rsid w:val="00D01670"/>
    <w:rsid w:val="00D05783"/>
    <w:rsid w:val="00D069E6"/>
    <w:rsid w:val="00D073F1"/>
    <w:rsid w:val="00D163EB"/>
    <w:rsid w:val="00D1757F"/>
    <w:rsid w:val="00D237AF"/>
    <w:rsid w:val="00D258C8"/>
    <w:rsid w:val="00D30F20"/>
    <w:rsid w:val="00D3165A"/>
    <w:rsid w:val="00D42142"/>
    <w:rsid w:val="00D5048A"/>
    <w:rsid w:val="00D53884"/>
    <w:rsid w:val="00D546C1"/>
    <w:rsid w:val="00D549AE"/>
    <w:rsid w:val="00D573DC"/>
    <w:rsid w:val="00D6165D"/>
    <w:rsid w:val="00D640D6"/>
    <w:rsid w:val="00D6428D"/>
    <w:rsid w:val="00D6429C"/>
    <w:rsid w:val="00D6582C"/>
    <w:rsid w:val="00D717E1"/>
    <w:rsid w:val="00D74FEA"/>
    <w:rsid w:val="00D75BFD"/>
    <w:rsid w:val="00D84EB9"/>
    <w:rsid w:val="00D85633"/>
    <w:rsid w:val="00D8585D"/>
    <w:rsid w:val="00D86548"/>
    <w:rsid w:val="00D92038"/>
    <w:rsid w:val="00DA041B"/>
    <w:rsid w:val="00DA4902"/>
    <w:rsid w:val="00DA4FDB"/>
    <w:rsid w:val="00DA61C7"/>
    <w:rsid w:val="00DA65F2"/>
    <w:rsid w:val="00DB2EA6"/>
    <w:rsid w:val="00DB3DF9"/>
    <w:rsid w:val="00DB43E8"/>
    <w:rsid w:val="00DB48C4"/>
    <w:rsid w:val="00DB5969"/>
    <w:rsid w:val="00DB597B"/>
    <w:rsid w:val="00DC00EF"/>
    <w:rsid w:val="00DC2807"/>
    <w:rsid w:val="00DC29E1"/>
    <w:rsid w:val="00DD074B"/>
    <w:rsid w:val="00DD09DB"/>
    <w:rsid w:val="00DD561F"/>
    <w:rsid w:val="00DE3E77"/>
    <w:rsid w:val="00DE3EB9"/>
    <w:rsid w:val="00DE402E"/>
    <w:rsid w:val="00DE4873"/>
    <w:rsid w:val="00DF5A4C"/>
    <w:rsid w:val="00E01AE9"/>
    <w:rsid w:val="00E01D02"/>
    <w:rsid w:val="00E03549"/>
    <w:rsid w:val="00E035A8"/>
    <w:rsid w:val="00E0407C"/>
    <w:rsid w:val="00E111EE"/>
    <w:rsid w:val="00E115FD"/>
    <w:rsid w:val="00E119C3"/>
    <w:rsid w:val="00E17FBD"/>
    <w:rsid w:val="00E20711"/>
    <w:rsid w:val="00E21DE0"/>
    <w:rsid w:val="00E23485"/>
    <w:rsid w:val="00E24004"/>
    <w:rsid w:val="00E253A0"/>
    <w:rsid w:val="00E30394"/>
    <w:rsid w:val="00E32DA5"/>
    <w:rsid w:val="00E33254"/>
    <w:rsid w:val="00E34650"/>
    <w:rsid w:val="00E35463"/>
    <w:rsid w:val="00E40D1E"/>
    <w:rsid w:val="00E40F60"/>
    <w:rsid w:val="00E4260D"/>
    <w:rsid w:val="00E4297D"/>
    <w:rsid w:val="00E43272"/>
    <w:rsid w:val="00E45C0F"/>
    <w:rsid w:val="00E50A7F"/>
    <w:rsid w:val="00E52FE0"/>
    <w:rsid w:val="00E5714E"/>
    <w:rsid w:val="00E62CD3"/>
    <w:rsid w:val="00E6420F"/>
    <w:rsid w:val="00E66B9C"/>
    <w:rsid w:val="00E66BFE"/>
    <w:rsid w:val="00E67B74"/>
    <w:rsid w:val="00E71787"/>
    <w:rsid w:val="00E758B5"/>
    <w:rsid w:val="00E76CC9"/>
    <w:rsid w:val="00E76FDE"/>
    <w:rsid w:val="00E80108"/>
    <w:rsid w:val="00E84C40"/>
    <w:rsid w:val="00E85DB9"/>
    <w:rsid w:val="00E86199"/>
    <w:rsid w:val="00EA18C0"/>
    <w:rsid w:val="00EA649F"/>
    <w:rsid w:val="00EB06A6"/>
    <w:rsid w:val="00EB0767"/>
    <w:rsid w:val="00EB0B93"/>
    <w:rsid w:val="00EB1775"/>
    <w:rsid w:val="00EB4E67"/>
    <w:rsid w:val="00EC06EB"/>
    <w:rsid w:val="00EC2451"/>
    <w:rsid w:val="00EC508C"/>
    <w:rsid w:val="00EC6B77"/>
    <w:rsid w:val="00ED13B2"/>
    <w:rsid w:val="00ED304B"/>
    <w:rsid w:val="00ED6A5C"/>
    <w:rsid w:val="00ED720D"/>
    <w:rsid w:val="00EE1467"/>
    <w:rsid w:val="00EE4209"/>
    <w:rsid w:val="00EE61CE"/>
    <w:rsid w:val="00EF2DD1"/>
    <w:rsid w:val="00EF36B5"/>
    <w:rsid w:val="00EF3977"/>
    <w:rsid w:val="00EF7F97"/>
    <w:rsid w:val="00F001A1"/>
    <w:rsid w:val="00F00213"/>
    <w:rsid w:val="00F0076E"/>
    <w:rsid w:val="00F02974"/>
    <w:rsid w:val="00F0498D"/>
    <w:rsid w:val="00F10152"/>
    <w:rsid w:val="00F13715"/>
    <w:rsid w:val="00F163C0"/>
    <w:rsid w:val="00F16838"/>
    <w:rsid w:val="00F205C9"/>
    <w:rsid w:val="00F23B5B"/>
    <w:rsid w:val="00F23F03"/>
    <w:rsid w:val="00F26715"/>
    <w:rsid w:val="00F37BC7"/>
    <w:rsid w:val="00F4190B"/>
    <w:rsid w:val="00F429DA"/>
    <w:rsid w:val="00F447C5"/>
    <w:rsid w:val="00F5056A"/>
    <w:rsid w:val="00F5127D"/>
    <w:rsid w:val="00F561D7"/>
    <w:rsid w:val="00F56D22"/>
    <w:rsid w:val="00F62598"/>
    <w:rsid w:val="00F63C75"/>
    <w:rsid w:val="00F641E3"/>
    <w:rsid w:val="00F648A7"/>
    <w:rsid w:val="00F753A9"/>
    <w:rsid w:val="00F759AE"/>
    <w:rsid w:val="00F810E1"/>
    <w:rsid w:val="00F93947"/>
    <w:rsid w:val="00F966F4"/>
    <w:rsid w:val="00FA2963"/>
    <w:rsid w:val="00FA5421"/>
    <w:rsid w:val="00FA6E62"/>
    <w:rsid w:val="00FA7DAC"/>
    <w:rsid w:val="00FB0DCF"/>
    <w:rsid w:val="00FB345E"/>
    <w:rsid w:val="00FB694A"/>
    <w:rsid w:val="00FC3A34"/>
    <w:rsid w:val="00FC50E1"/>
    <w:rsid w:val="00FC6DE6"/>
    <w:rsid w:val="00FD0862"/>
    <w:rsid w:val="00FD1521"/>
    <w:rsid w:val="00FD1861"/>
    <w:rsid w:val="00FE09C1"/>
    <w:rsid w:val="00FE1157"/>
    <w:rsid w:val="00FE3B28"/>
    <w:rsid w:val="00FE52A9"/>
    <w:rsid w:val="00FF2F3E"/>
    <w:rsid w:val="00FF5FD0"/>
    <w:rsid w:val="00FF60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19393"/>
  <w15:chartTrackingRefBased/>
  <w15:docId w15:val="{5344A854-CA56-A24C-A3CE-6923E4FC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A76"/>
    <w:rPr>
      <w:rFonts w:ascii="Times New Roman" w:eastAsia="Times New Roman" w:hAnsi="Times New Roman"/>
      <w:sz w:val="24"/>
      <w:szCs w:val="24"/>
    </w:rPr>
  </w:style>
  <w:style w:type="paragraph" w:styleId="Heading1">
    <w:name w:val="heading 1"/>
    <w:basedOn w:val="Normal"/>
    <w:next w:val="Normal"/>
    <w:link w:val="Heading1Char"/>
    <w:uiPriority w:val="9"/>
    <w:qFormat/>
    <w:rsid w:val="00295F36"/>
    <w:pPr>
      <w:keepLines/>
      <w:pageBreakBefore/>
      <w:numPr>
        <w:numId w:val="9"/>
      </w:numPr>
      <w:spacing w:before="312" w:after="330" w:line="578" w:lineRule="auto"/>
      <w:outlineLvl w:val="0"/>
    </w:pPr>
    <w:rPr>
      <w:rFonts w:ascii="Times" w:eastAsia="DengXian" w:hAnsi="Times"/>
      <w:b/>
      <w:bCs/>
      <w:kern w:val="44"/>
      <w:sz w:val="44"/>
      <w:szCs w:val="44"/>
      <w:lang w:val="en-US"/>
    </w:rPr>
  </w:style>
  <w:style w:type="paragraph" w:styleId="Heading2">
    <w:name w:val="heading 2"/>
    <w:basedOn w:val="Normal"/>
    <w:next w:val="Normal"/>
    <w:link w:val="Heading2Char"/>
    <w:uiPriority w:val="9"/>
    <w:unhideWhenUsed/>
    <w:qFormat/>
    <w:rsid w:val="00295F36"/>
    <w:pPr>
      <w:keepNext/>
      <w:numPr>
        <w:ilvl w:val="1"/>
        <w:numId w:val="9"/>
      </w:numPr>
      <w:spacing w:before="312" w:after="260" w:line="415" w:lineRule="auto"/>
      <w:outlineLvl w:val="1"/>
    </w:pPr>
    <w:rPr>
      <w:rFonts w:ascii="Times" w:eastAsia="DengXian Light" w:hAnsi="Times"/>
      <w:b/>
      <w:bCs/>
      <w:sz w:val="32"/>
      <w:szCs w:val="32"/>
      <w:lang w:val="en-US"/>
    </w:rPr>
  </w:style>
  <w:style w:type="paragraph" w:styleId="Heading3">
    <w:name w:val="heading 3"/>
    <w:basedOn w:val="Normal"/>
    <w:next w:val="Normal"/>
    <w:link w:val="Heading3Char"/>
    <w:uiPriority w:val="9"/>
    <w:unhideWhenUsed/>
    <w:qFormat/>
    <w:rsid w:val="00295F36"/>
    <w:pPr>
      <w:keepNext/>
      <w:spacing w:before="260" w:after="260" w:line="415" w:lineRule="auto"/>
      <w:ind w:firstLine="420"/>
      <w:outlineLvl w:val="2"/>
    </w:pPr>
    <w:rPr>
      <w:rFonts w:ascii="Times" w:eastAsia="DengXian" w:hAnsi="Times"/>
      <w:b/>
      <w:bCs/>
      <w:sz w:val="30"/>
      <w:szCs w:val="32"/>
      <w:lang w:val="en-US"/>
    </w:rPr>
  </w:style>
  <w:style w:type="paragraph" w:styleId="Heading4">
    <w:name w:val="heading 4"/>
    <w:basedOn w:val="Normal"/>
    <w:next w:val="Normal"/>
    <w:link w:val="Heading4Char"/>
    <w:uiPriority w:val="9"/>
    <w:unhideWhenUsed/>
    <w:qFormat/>
    <w:rsid w:val="00295F36"/>
    <w:pPr>
      <w:spacing w:before="280" w:after="290" w:line="377" w:lineRule="auto"/>
      <w:ind w:firstLine="420"/>
      <w:outlineLvl w:val="3"/>
    </w:pPr>
    <w:rPr>
      <w:rFonts w:ascii="Calibri Light" w:eastAsia="DengXian Light" w:hAnsi="Calibri Light"/>
      <w:b/>
      <w:bCs/>
      <w:sz w:val="28"/>
      <w:szCs w:val="28"/>
      <w:lang w:val="en-US"/>
    </w:rPr>
  </w:style>
  <w:style w:type="paragraph" w:styleId="Heading5">
    <w:name w:val="heading 5"/>
    <w:basedOn w:val="Normal"/>
    <w:next w:val="Normal"/>
    <w:link w:val="Heading5Char"/>
    <w:uiPriority w:val="9"/>
    <w:unhideWhenUsed/>
    <w:qFormat/>
    <w:rsid w:val="00295F36"/>
    <w:pPr>
      <w:spacing w:before="280" w:after="290" w:line="377" w:lineRule="auto"/>
      <w:ind w:firstLine="420"/>
      <w:outlineLvl w:val="4"/>
    </w:pPr>
    <w:rPr>
      <w:rFonts w:ascii="Times" w:eastAsia="DengXian" w:hAnsi="Times"/>
      <w:b/>
      <w:bCs/>
      <w:i/>
      <w:szCs w:val="28"/>
      <w:lang w:val="en-US"/>
    </w:rPr>
  </w:style>
  <w:style w:type="paragraph" w:styleId="Heading6">
    <w:name w:val="heading 6"/>
    <w:basedOn w:val="Normal"/>
    <w:next w:val="Normal"/>
    <w:link w:val="Heading6Char"/>
    <w:uiPriority w:val="9"/>
    <w:unhideWhenUsed/>
    <w:qFormat/>
    <w:rsid w:val="00295F36"/>
    <w:pPr>
      <w:keepNext/>
      <w:keepLines/>
      <w:spacing w:before="240" w:after="64" w:line="320" w:lineRule="auto"/>
      <w:ind w:firstLine="420"/>
      <w:outlineLvl w:val="5"/>
    </w:pPr>
    <w:rPr>
      <w:rFonts w:ascii="Calibri Light" w:eastAsia="DengXian Light" w:hAnsi="Calibri Light"/>
      <w:b/>
      <w:bCs/>
      <w:lang w:val="en-US"/>
    </w:rPr>
  </w:style>
  <w:style w:type="paragraph" w:styleId="Heading7">
    <w:name w:val="heading 7"/>
    <w:basedOn w:val="Normal"/>
    <w:next w:val="Normal"/>
    <w:link w:val="Heading7Char"/>
    <w:uiPriority w:val="9"/>
    <w:unhideWhenUsed/>
    <w:qFormat/>
    <w:rsid w:val="00295F36"/>
    <w:pPr>
      <w:keepNext/>
      <w:keepLines/>
      <w:spacing w:before="240" w:after="64" w:line="320" w:lineRule="auto"/>
      <w:ind w:firstLine="420"/>
      <w:outlineLvl w:val="6"/>
    </w:pPr>
    <w:rPr>
      <w:rFonts w:ascii="Times" w:eastAsia="DengXian" w:hAnsi="Times"/>
      <w:b/>
      <w:bCs/>
      <w:lang w:val="en-US"/>
    </w:rPr>
  </w:style>
  <w:style w:type="paragraph" w:styleId="Heading8">
    <w:name w:val="heading 8"/>
    <w:basedOn w:val="Normal"/>
    <w:next w:val="Normal"/>
    <w:link w:val="Heading8Char"/>
    <w:uiPriority w:val="9"/>
    <w:unhideWhenUsed/>
    <w:qFormat/>
    <w:rsid w:val="00295F36"/>
    <w:pPr>
      <w:keepNext/>
      <w:keepLines/>
      <w:spacing w:before="240" w:after="64" w:line="320" w:lineRule="auto"/>
      <w:ind w:firstLine="420"/>
      <w:outlineLvl w:val="7"/>
    </w:pPr>
    <w:rPr>
      <w:rFonts w:ascii="Calibri Light" w:eastAsia="DengXian Light" w:hAnsi="Calibri Light"/>
      <w:lang w:val="en-US"/>
    </w:rPr>
  </w:style>
  <w:style w:type="paragraph" w:styleId="Heading9">
    <w:name w:val="heading 9"/>
    <w:basedOn w:val="Normal"/>
    <w:next w:val="Normal"/>
    <w:link w:val="Heading9Char"/>
    <w:uiPriority w:val="9"/>
    <w:unhideWhenUsed/>
    <w:qFormat/>
    <w:rsid w:val="00295F36"/>
    <w:pPr>
      <w:keepNext/>
      <w:keepLines/>
      <w:spacing w:before="240" w:after="64" w:line="320" w:lineRule="auto"/>
      <w:ind w:firstLine="420"/>
      <w:outlineLvl w:val="8"/>
    </w:pPr>
    <w:rPr>
      <w:rFonts w:ascii="Calibri Light" w:eastAsia="DengXian Light" w:hAnsi="Calibri Light"/>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67"/>
    <w:pPr>
      <w:ind w:left="720"/>
      <w:contextualSpacing/>
    </w:pPr>
  </w:style>
  <w:style w:type="paragraph" w:styleId="NormalWeb">
    <w:name w:val="Normal (Web)"/>
    <w:basedOn w:val="Normal"/>
    <w:uiPriority w:val="99"/>
    <w:unhideWhenUsed/>
    <w:rsid w:val="00CA7F72"/>
    <w:pPr>
      <w:spacing w:before="100" w:beforeAutospacing="1" w:after="100" w:afterAutospacing="1"/>
    </w:pPr>
  </w:style>
  <w:style w:type="paragraph" w:styleId="FootnoteText">
    <w:name w:val="footnote text"/>
    <w:basedOn w:val="Normal"/>
    <w:link w:val="FootnoteTextChar"/>
    <w:uiPriority w:val="99"/>
    <w:unhideWhenUsed/>
    <w:rsid w:val="00FC50E1"/>
    <w:rPr>
      <w:sz w:val="20"/>
      <w:szCs w:val="20"/>
    </w:rPr>
  </w:style>
  <w:style w:type="character" w:customStyle="1" w:styleId="FootnoteTextChar">
    <w:name w:val="Footnote Text Char"/>
    <w:link w:val="FootnoteText"/>
    <w:uiPriority w:val="99"/>
    <w:rsid w:val="00FC50E1"/>
    <w:rPr>
      <w:sz w:val="20"/>
      <w:szCs w:val="20"/>
    </w:rPr>
  </w:style>
  <w:style w:type="character" w:styleId="FootnoteReference">
    <w:name w:val="footnote reference"/>
    <w:uiPriority w:val="99"/>
    <w:semiHidden/>
    <w:unhideWhenUsed/>
    <w:rsid w:val="00FC50E1"/>
    <w:rPr>
      <w:vertAlign w:val="superscript"/>
    </w:rPr>
  </w:style>
  <w:style w:type="character" w:styleId="Hyperlink">
    <w:name w:val="Hyperlink"/>
    <w:uiPriority w:val="99"/>
    <w:unhideWhenUsed/>
    <w:rsid w:val="00B26A93"/>
    <w:rPr>
      <w:color w:val="0563C1"/>
      <w:u w:val="single"/>
    </w:rPr>
  </w:style>
  <w:style w:type="character" w:styleId="UnresolvedMention">
    <w:name w:val="Unresolved Mention"/>
    <w:uiPriority w:val="99"/>
    <w:semiHidden/>
    <w:unhideWhenUsed/>
    <w:rsid w:val="00B26A93"/>
    <w:rPr>
      <w:color w:val="605E5C"/>
      <w:shd w:val="clear" w:color="auto" w:fill="E1DFDD"/>
    </w:rPr>
  </w:style>
  <w:style w:type="character" w:customStyle="1" w:styleId="apple-converted-space">
    <w:name w:val="apple-converted-space"/>
    <w:basedOn w:val="DefaultParagraphFont"/>
    <w:rsid w:val="009D4996"/>
  </w:style>
  <w:style w:type="character" w:styleId="CommentReference">
    <w:name w:val="annotation reference"/>
    <w:uiPriority w:val="99"/>
    <w:semiHidden/>
    <w:unhideWhenUsed/>
    <w:rsid w:val="008B54A5"/>
    <w:rPr>
      <w:sz w:val="16"/>
      <w:szCs w:val="16"/>
    </w:rPr>
  </w:style>
  <w:style w:type="paragraph" w:styleId="CommentText">
    <w:name w:val="annotation text"/>
    <w:basedOn w:val="Normal"/>
    <w:link w:val="CommentTextChar"/>
    <w:uiPriority w:val="99"/>
    <w:semiHidden/>
    <w:unhideWhenUsed/>
    <w:rsid w:val="008B54A5"/>
    <w:rPr>
      <w:sz w:val="20"/>
      <w:szCs w:val="20"/>
    </w:rPr>
  </w:style>
  <w:style w:type="character" w:customStyle="1" w:styleId="CommentTextChar">
    <w:name w:val="Comment Text Char"/>
    <w:link w:val="CommentText"/>
    <w:uiPriority w:val="99"/>
    <w:semiHidden/>
    <w:rsid w:val="008B54A5"/>
    <w:rPr>
      <w:sz w:val="20"/>
      <w:szCs w:val="20"/>
    </w:rPr>
  </w:style>
  <w:style w:type="paragraph" w:styleId="CommentSubject">
    <w:name w:val="annotation subject"/>
    <w:basedOn w:val="CommentText"/>
    <w:next w:val="CommentText"/>
    <w:link w:val="CommentSubjectChar"/>
    <w:uiPriority w:val="99"/>
    <w:semiHidden/>
    <w:unhideWhenUsed/>
    <w:rsid w:val="008B54A5"/>
    <w:rPr>
      <w:b/>
      <w:bCs/>
    </w:rPr>
  </w:style>
  <w:style w:type="character" w:customStyle="1" w:styleId="CommentSubjectChar">
    <w:name w:val="Comment Subject Char"/>
    <w:link w:val="CommentSubject"/>
    <w:uiPriority w:val="99"/>
    <w:semiHidden/>
    <w:rsid w:val="008B54A5"/>
    <w:rPr>
      <w:b/>
      <w:bCs/>
      <w:sz w:val="20"/>
      <w:szCs w:val="20"/>
    </w:rPr>
  </w:style>
  <w:style w:type="paragraph" w:styleId="BalloonText">
    <w:name w:val="Balloon Text"/>
    <w:basedOn w:val="Normal"/>
    <w:link w:val="BalloonTextChar"/>
    <w:uiPriority w:val="99"/>
    <w:semiHidden/>
    <w:unhideWhenUsed/>
    <w:rsid w:val="008B54A5"/>
    <w:rPr>
      <w:sz w:val="18"/>
      <w:szCs w:val="18"/>
    </w:rPr>
  </w:style>
  <w:style w:type="character" w:customStyle="1" w:styleId="BalloonTextChar">
    <w:name w:val="Balloon Text Char"/>
    <w:link w:val="BalloonText"/>
    <w:uiPriority w:val="99"/>
    <w:semiHidden/>
    <w:rsid w:val="008B54A5"/>
    <w:rPr>
      <w:rFonts w:ascii="Times New Roman" w:hAnsi="Times New Roman" w:cs="Times New Roman"/>
      <w:sz w:val="18"/>
      <w:szCs w:val="18"/>
    </w:rPr>
  </w:style>
  <w:style w:type="paragraph" w:styleId="Revision">
    <w:name w:val="Revision"/>
    <w:hidden/>
    <w:uiPriority w:val="99"/>
    <w:semiHidden/>
    <w:rsid w:val="00E5714E"/>
    <w:rPr>
      <w:rFonts w:ascii="Times New Roman" w:eastAsia="Times New Roman" w:hAnsi="Times New Roman"/>
      <w:sz w:val="24"/>
      <w:szCs w:val="24"/>
    </w:rPr>
  </w:style>
  <w:style w:type="paragraph" w:customStyle="1" w:styleId="EndNoteBibliography">
    <w:name w:val="EndNote Bibliography"/>
    <w:basedOn w:val="Normal"/>
    <w:link w:val="EndNoteBibliographyChar"/>
    <w:rsid w:val="003C644B"/>
    <w:rPr>
      <w:rFonts w:eastAsia="DengXian"/>
      <w:lang w:val="en-US"/>
    </w:rPr>
  </w:style>
  <w:style w:type="character" w:customStyle="1" w:styleId="EndNoteBibliographyChar">
    <w:name w:val="EndNote Bibliography Char"/>
    <w:link w:val="EndNoteBibliography"/>
    <w:rsid w:val="003C644B"/>
    <w:rPr>
      <w:rFonts w:ascii="Times New Roman" w:hAnsi="Times New Roman"/>
      <w:sz w:val="24"/>
      <w:szCs w:val="24"/>
      <w:lang w:val="en-US"/>
    </w:rPr>
  </w:style>
  <w:style w:type="character" w:customStyle="1" w:styleId="Heading1Char">
    <w:name w:val="Heading 1 Char"/>
    <w:link w:val="Heading1"/>
    <w:uiPriority w:val="9"/>
    <w:rsid w:val="00295F36"/>
    <w:rPr>
      <w:rFonts w:ascii="Times" w:hAnsi="Times"/>
      <w:b/>
      <w:bCs/>
      <w:kern w:val="44"/>
      <w:sz w:val="44"/>
      <w:szCs w:val="44"/>
      <w:lang w:val="en-US"/>
    </w:rPr>
  </w:style>
  <w:style w:type="character" w:customStyle="1" w:styleId="Heading2Char">
    <w:name w:val="Heading 2 Char"/>
    <w:link w:val="Heading2"/>
    <w:uiPriority w:val="9"/>
    <w:rsid w:val="00295F36"/>
    <w:rPr>
      <w:rFonts w:ascii="Times" w:eastAsia="DengXian Light" w:hAnsi="Times" w:cs="Times New Roman"/>
      <w:b/>
      <w:bCs/>
      <w:sz w:val="32"/>
      <w:szCs w:val="32"/>
      <w:lang w:val="en-US"/>
    </w:rPr>
  </w:style>
  <w:style w:type="character" w:customStyle="1" w:styleId="Heading3Char">
    <w:name w:val="Heading 3 Char"/>
    <w:link w:val="Heading3"/>
    <w:uiPriority w:val="9"/>
    <w:rsid w:val="00295F36"/>
    <w:rPr>
      <w:rFonts w:ascii="Times" w:hAnsi="Times"/>
      <w:b/>
      <w:bCs/>
      <w:sz w:val="30"/>
      <w:szCs w:val="32"/>
      <w:lang w:val="en-US"/>
    </w:rPr>
  </w:style>
  <w:style w:type="character" w:customStyle="1" w:styleId="Heading4Char">
    <w:name w:val="Heading 4 Char"/>
    <w:link w:val="Heading4"/>
    <w:uiPriority w:val="9"/>
    <w:rsid w:val="00295F36"/>
    <w:rPr>
      <w:rFonts w:ascii="Calibri Light" w:eastAsia="DengXian Light" w:hAnsi="Calibri Light" w:cs="Times New Roman"/>
      <w:b/>
      <w:bCs/>
      <w:sz w:val="28"/>
      <w:szCs w:val="28"/>
      <w:lang w:val="en-US"/>
    </w:rPr>
  </w:style>
  <w:style w:type="character" w:customStyle="1" w:styleId="Heading5Char">
    <w:name w:val="Heading 5 Char"/>
    <w:link w:val="Heading5"/>
    <w:uiPriority w:val="9"/>
    <w:rsid w:val="00295F36"/>
    <w:rPr>
      <w:rFonts w:ascii="Times" w:hAnsi="Times"/>
      <w:b/>
      <w:bCs/>
      <w:i/>
      <w:szCs w:val="28"/>
      <w:lang w:val="en-US"/>
    </w:rPr>
  </w:style>
  <w:style w:type="character" w:customStyle="1" w:styleId="Heading6Char">
    <w:name w:val="Heading 6 Char"/>
    <w:link w:val="Heading6"/>
    <w:uiPriority w:val="9"/>
    <w:rsid w:val="00295F36"/>
    <w:rPr>
      <w:rFonts w:ascii="Calibri Light" w:eastAsia="DengXian Light" w:hAnsi="Calibri Light" w:cs="Times New Roman"/>
      <w:b/>
      <w:bCs/>
      <w:lang w:val="en-US"/>
    </w:rPr>
  </w:style>
  <w:style w:type="character" w:customStyle="1" w:styleId="Heading7Char">
    <w:name w:val="Heading 7 Char"/>
    <w:link w:val="Heading7"/>
    <w:uiPriority w:val="9"/>
    <w:rsid w:val="00295F36"/>
    <w:rPr>
      <w:rFonts w:ascii="Times" w:hAnsi="Times"/>
      <w:b/>
      <w:bCs/>
      <w:lang w:val="en-US"/>
    </w:rPr>
  </w:style>
  <w:style w:type="character" w:customStyle="1" w:styleId="Heading8Char">
    <w:name w:val="Heading 8 Char"/>
    <w:link w:val="Heading8"/>
    <w:uiPriority w:val="9"/>
    <w:rsid w:val="00295F36"/>
    <w:rPr>
      <w:rFonts w:ascii="Calibri Light" w:eastAsia="DengXian Light" w:hAnsi="Calibri Light" w:cs="Times New Roman"/>
      <w:lang w:val="en-US"/>
    </w:rPr>
  </w:style>
  <w:style w:type="character" w:customStyle="1" w:styleId="Heading9Char">
    <w:name w:val="Heading 9 Char"/>
    <w:link w:val="Heading9"/>
    <w:uiPriority w:val="9"/>
    <w:rsid w:val="00295F36"/>
    <w:rPr>
      <w:rFonts w:ascii="Calibri Light" w:eastAsia="DengXian Light" w:hAnsi="Calibri Light" w:cs="Times New Roman"/>
      <w:szCs w:val="21"/>
      <w:lang w:val="en-US"/>
    </w:rPr>
  </w:style>
  <w:style w:type="numbering" w:styleId="111111">
    <w:name w:val="Outline List 2"/>
    <w:basedOn w:val="NoList"/>
    <w:uiPriority w:val="99"/>
    <w:semiHidden/>
    <w:unhideWhenUsed/>
    <w:rsid w:val="00295F36"/>
    <w:pPr>
      <w:numPr>
        <w:numId w:val="4"/>
      </w:numPr>
    </w:pPr>
  </w:style>
  <w:style w:type="character" w:customStyle="1" w:styleId="1">
    <w:name w:val="未处理的提及1"/>
    <w:uiPriority w:val="99"/>
    <w:semiHidden/>
    <w:unhideWhenUsed/>
    <w:rsid w:val="00295F36"/>
    <w:rPr>
      <w:color w:val="605E5C"/>
      <w:shd w:val="clear" w:color="auto" w:fill="E1DFDD"/>
    </w:rPr>
  </w:style>
  <w:style w:type="paragraph" w:customStyle="1" w:styleId="EndNoteBibliographyTitle">
    <w:name w:val="EndNote Bibliography Title"/>
    <w:basedOn w:val="Normal"/>
    <w:link w:val="EndNoteBibliographyTitle0"/>
    <w:rsid w:val="00295F36"/>
    <w:pPr>
      <w:spacing w:line="360" w:lineRule="auto"/>
      <w:ind w:firstLine="420"/>
      <w:jc w:val="center"/>
    </w:pPr>
    <w:rPr>
      <w:rFonts w:eastAsia="DengXian"/>
      <w:lang w:val="en-US"/>
    </w:rPr>
  </w:style>
  <w:style w:type="character" w:customStyle="1" w:styleId="EndNoteBibliographyTitle0">
    <w:name w:val="EndNote Bibliography Title 字符"/>
    <w:link w:val="EndNoteBibliographyTitle"/>
    <w:rsid w:val="00295F36"/>
    <w:rPr>
      <w:rFonts w:ascii="Times New Roman" w:hAnsi="Times New Roman"/>
      <w:sz w:val="24"/>
      <w:szCs w:val="24"/>
      <w:lang w:val="en-US"/>
    </w:rPr>
  </w:style>
  <w:style w:type="character" w:customStyle="1" w:styleId="EndNoteBibliography0">
    <w:name w:val="EndNote Bibliography 字符"/>
    <w:rsid w:val="00295F36"/>
    <w:rPr>
      <w:rFonts w:ascii="DengXian" w:eastAsia="DengXian" w:hAnsi="DengXian"/>
      <w:sz w:val="20"/>
      <w:lang w:val="en-US"/>
    </w:rPr>
  </w:style>
  <w:style w:type="table" w:styleId="TableGrid">
    <w:name w:val="Table Grid"/>
    <w:basedOn w:val="TableNormal"/>
    <w:uiPriority w:val="39"/>
    <w:rsid w:val="00295F36"/>
    <w:rPr>
      <w:kern w:val="2"/>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5F36"/>
    <w:pPr>
      <w:tabs>
        <w:tab w:val="center" w:pos="4153"/>
        <w:tab w:val="right" w:pos="8306"/>
      </w:tabs>
      <w:snapToGrid w:val="0"/>
      <w:spacing w:line="360" w:lineRule="auto"/>
      <w:ind w:firstLine="420"/>
    </w:pPr>
    <w:rPr>
      <w:rFonts w:ascii="Times" w:eastAsia="DengXian" w:hAnsi="Times"/>
      <w:sz w:val="18"/>
      <w:szCs w:val="18"/>
      <w:lang w:val="en-US"/>
    </w:rPr>
  </w:style>
  <w:style w:type="character" w:customStyle="1" w:styleId="FooterChar">
    <w:name w:val="Footer Char"/>
    <w:link w:val="Footer"/>
    <w:uiPriority w:val="99"/>
    <w:rsid w:val="00295F36"/>
    <w:rPr>
      <w:rFonts w:ascii="Times" w:hAnsi="Times"/>
      <w:sz w:val="18"/>
      <w:szCs w:val="18"/>
      <w:lang w:val="en-US"/>
    </w:rPr>
  </w:style>
  <w:style w:type="character" w:styleId="PageNumber">
    <w:name w:val="page number"/>
    <w:basedOn w:val="DefaultParagraphFont"/>
    <w:uiPriority w:val="99"/>
    <w:semiHidden/>
    <w:unhideWhenUsed/>
    <w:rsid w:val="00295F36"/>
  </w:style>
  <w:style w:type="paragraph" w:styleId="TOC1">
    <w:name w:val="toc 1"/>
    <w:basedOn w:val="Normal"/>
    <w:next w:val="Normal"/>
    <w:autoRedefine/>
    <w:uiPriority w:val="39"/>
    <w:unhideWhenUsed/>
    <w:rsid w:val="00295F36"/>
    <w:pPr>
      <w:spacing w:before="120" w:after="120" w:line="360" w:lineRule="auto"/>
      <w:ind w:left="210" w:right="210" w:firstLine="400"/>
    </w:pPr>
    <w:rPr>
      <w:rFonts w:ascii="Times" w:eastAsia="Calibri" w:hAnsi="Times"/>
      <w:b/>
      <w:bCs/>
      <w:caps/>
      <w:sz w:val="20"/>
      <w:szCs w:val="20"/>
      <w:lang w:val="en-US"/>
    </w:rPr>
  </w:style>
  <w:style w:type="paragraph" w:styleId="TOC2">
    <w:name w:val="toc 2"/>
    <w:basedOn w:val="Normal"/>
    <w:next w:val="Normal"/>
    <w:autoRedefine/>
    <w:uiPriority w:val="39"/>
    <w:unhideWhenUsed/>
    <w:rsid w:val="00295F36"/>
    <w:pPr>
      <w:tabs>
        <w:tab w:val="left" w:pos="1260"/>
        <w:tab w:val="right" w:leader="dot" w:pos="8290"/>
      </w:tabs>
      <w:spacing w:line="360" w:lineRule="auto"/>
      <w:ind w:left="210" w:firstLine="400"/>
    </w:pPr>
    <w:rPr>
      <w:rFonts w:ascii="Times" w:eastAsia="Calibri" w:hAnsi="Times"/>
      <w:smallCaps/>
      <w:sz w:val="20"/>
      <w:szCs w:val="20"/>
      <w:lang w:val="en-US"/>
    </w:rPr>
  </w:style>
  <w:style w:type="paragraph" w:styleId="TOC3">
    <w:name w:val="toc 3"/>
    <w:basedOn w:val="Normal"/>
    <w:next w:val="Normal"/>
    <w:autoRedefine/>
    <w:uiPriority w:val="39"/>
    <w:unhideWhenUsed/>
    <w:rsid w:val="00295F36"/>
    <w:pPr>
      <w:spacing w:line="360" w:lineRule="auto"/>
      <w:ind w:left="420" w:firstLine="420"/>
    </w:pPr>
    <w:rPr>
      <w:rFonts w:ascii="Times" w:eastAsia="Calibri" w:hAnsi="Times"/>
      <w:i/>
      <w:iCs/>
      <w:sz w:val="20"/>
      <w:szCs w:val="20"/>
      <w:lang w:val="en-US"/>
    </w:rPr>
  </w:style>
  <w:style w:type="paragraph" w:styleId="TOC4">
    <w:name w:val="toc 4"/>
    <w:basedOn w:val="Normal"/>
    <w:next w:val="Normal"/>
    <w:autoRedefine/>
    <w:uiPriority w:val="39"/>
    <w:unhideWhenUsed/>
    <w:rsid w:val="00295F36"/>
    <w:pPr>
      <w:spacing w:line="360" w:lineRule="auto"/>
      <w:ind w:left="630" w:firstLine="420"/>
    </w:pPr>
    <w:rPr>
      <w:rFonts w:ascii="Times" w:eastAsia="Calibri" w:hAnsi="Times"/>
      <w:sz w:val="18"/>
      <w:szCs w:val="18"/>
      <w:lang w:val="en-US"/>
    </w:rPr>
  </w:style>
  <w:style w:type="paragraph" w:styleId="TOC5">
    <w:name w:val="toc 5"/>
    <w:basedOn w:val="Normal"/>
    <w:next w:val="Normal"/>
    <w:autoRedefine/>
    <w:uiPriority w:val="39"/>
    <w:unhideWhenUsed/>
    <w:rsid w:val="00295F36"/>
    <w:pPr>
      <w:spacing w:line="360" w:lineRule="auto"/>
      <w:ind w:left="840" w:firstLine="420"/>
    </w:pPr>
    <w:rPr>
      <w:rFonts w:ascii="Times" w:eastAsia="Calibri" w:hAnsi="Times"/>
      <w:sz w:val="18"/>
      <w:szCs w:val="18"/>
      <w:lang w:val="en-US"/>
    </w:rPr>
  </w:style>
  <w:style w:type="paragraph" w:styleId="TOC6">
    <w:name w:val="toc 6"/>
    <w:basedOn w:val="Normal"/>
    <w:next w:val="Normal"/>
    <w:autoRedefine/>
    <w:uiPriority w:val="39"/>
    <w:unhideWhenUsed/>
    <w:rsid w:val="00295F36"/>
    <w:pPr>
      <w:spacing w:line="360" w:lineRule="auto"/>
      <w:ind w:left="1050" w:firstLine="420"/>
    </w:pPr>
    <w:rPr>
      <w:rFonts w:ascii="Times" w:eastAsia="Calibri" w:hAnsi="Times"/>
      <w:sz w:val="18"/>
      <w:szCs w:val="18"/>
      <w:lang w:val="en-US"/>
    </w:rPr>
  </w:style>
  <w:style w:type="paragraph" w:styleId="TOC7">
    <w:name w:val="toc 7"/>
    <w:basedOn w:val="Normal"/>
    <w:next w:val="Normal"/>
    <w:autoRedefine/>
    <w:uiPriority w:val="39"/>
    <w:unhideWhenUsed/>
    <w:rsid w:val="00295F36"/>
    <w:pPr>
      <w:spacing w:line="360" w:lineRule="auto"/>
      <w:ind w:left="1260" w:firstLine="420"/>
    </w:pPr>
    <w:rPr>
      <w:rFonts w:ascii="Times" w:eastAsia="Calibri" w:hAnsi="Times"/>
      <w:sz w:val="18"/>
      <w:szCs w:val="18"/>
      <w:lang w:val="en-US"/>
    </w:rPr>
  </w:style>
  <w:style w:type="paragraph" w:styleId="TOC8">
    <w:name w:val="toc 8"/>
    <w:basedOn w:val="Normal"/>
    <w:next w:val="Normal"/>
    <w:autoRedefine/>
    <w:uiPriority w:val="39"/>
    <w:unhideWhenUsed/>
    <w:rsid w:val="00295F36"/>
    <w:pPr>
      <w:spacing w:line="360" w:lineRule="auto"/>
      <w:ind w:left="1470" w:firstLine="420"/>
    </w:pPr>
    <w:rPr>
      <w:rFonts w:ascii="Times" w:eastAsia="Calibri" w:hAnsi="Times"/>
      <w:sz w:val="18"/>
      <w:szCs w:val="18"/>
      <w:lang w:val="en-US"/>
    </w:rPr>
  </w:style>
  <w:style w:type="paragraph" w:styleId="TOC9">
    <w:name w:val="toc 9"/>
    <w:basedOn w:val="Normal"/>
    <w:next w:val="Normal"/>
    <w:autoRedefine/>
    <w:uiPriority w:val="39"/>
    <w:unhideWhenUsed/>
    <w:rsid w:val="00295F36"/>
    <w:pPr>
      <w:spacing w:line="360" w:lineRule="auto"/>
      <w:ind w:left="1680" w:firstLine="420"/>
    </w:pPr>
    <w:rPr>
      <w:rFonts w:ascii="Times" w:eastAsia="Calibri" w:hAnsi="Times"/>
      <w:sz w:val="18"/>
      <w:szCs w:val="18"/>
      <w:lang w:val="en-US"/>
    </w:rPr>
  </w:style>
  <w:style w:type="character" w:styleId="FollowedHyperlink">
    <w:name w:val="FollowedHyperlink"/>
    <w:uiPriority w:val="99"/>
    <w:semiHidden/>
    <w:unhideWhenUsed/>
    <w:rsid w:val="00295F36"/>
    <w:rPr>
      <w:color w:val="954F72"/>
      <w:u w:val="single"/>
    </w:rPr>
  </w:style>
  <w:style w:type="paragraph" w:styleId="NoSpacing">
    <w:name w:val="No Spacing"/>
    <w:uiPriority w:val="1"/>
    <w:qFormat/>
    <w:rsid w:val="00295F36"/>
    <w:pPr>
      <w:widowControl w:val="0"/>
      <w:spacing w:line="360" w:lineRule="auto"/>
      <w:ind w:firstLine="420"/>
      <w:jc w:val="both"/>
    </w:pPr>
    <w:rPr>
      <w:rFonts w:ascii="Times" w:hAnsi="Times"/>
      <w:kern w:val="2"/>
      <w:sz w:val="21"/>
      <w:szCs w:val="24"/>
    </w:rPr>
  </w:style>
  <w:style w:type="paragraph" w:styleId="Header">
    <w:name w:val="header"/>
    <w:basedOn w:val="Normal"/>
    <w:link w:val="HeaderChar"/>
    <w:uiPriority w:val="99"/>
    <w:semiHidden/>
    <w:unhideWhenUsed/>
    <w:rsid w:val="00295F36"/>
    <w:pPr>
      <w:pBdr>
        <w:bottom w:val="single" w:sz="6" w:space="1" w:color="auto"/>
      </w:pBdr>
      <w:tabs>
        <w:tab w:val="center" w:pos="4153"/>
        <w:tab w:val="right" w:pos="8306"/>
      </w:tabs>
      <w:snapToGrid w:val="0"/>
      <w:spacing w:line="360" w:lineRule="auto"/>
      <w:ind w:firstLine="420"/>
      <w:jc w:val="center"/>
    </w:pPr>
    <w:rPr>
      <w:rFonts w:ascii="Times" w:eastAsia="DengXian" w:hAnsi="Times"/>
      <w:sz w:val="18"/>
      <w:szCs w:val="18"/>
      <w:lang w:val="en-US"/>
    </w:rPr>
  </w:style>
  <w:style w:type="character" w:customStyle="1" w:styleId="HeaderChar">
    <w:name w:val="Header Char"/>
    <w:link w:val="Header"/>
    <w:uiPriority w:val="99"/>
    <w:semiHidden/>
    <w:rsid w:val="00295F36"/>
    <w:rPr>
      <w:rFonts w:ascii="Times" w:hAnsi="Times"/>
      <w:sz w:val="18"/>
      <w:szCs w:val="18"/>
      <w:lang w:val="en-US"/>
    </w:rPr>
  </w:style>
  <w:style w:type="paragraph" w:styleId="BodyText">
    <w:name w:val="Body Text"/>
    <w:basedOn w:val="Normal"/>
    <w:link w:val="BodyTextChar"/>
    <w:uiPriority w:val="99"/>
    <w:semiHidden/>
    <w:unhideWhenUsed/>
    <w:rsid w:val="00295F36"/>
    <w:pPr>
      <w:spacing w:after="120" w:line="360" w:lineRule="auto"/>
      <w:ind w:firstLine="420"/>
    </w:pPr>
    <w:rPr>
      <w:rFonts w:ascii="Times" w:eastAsia="DengXian" w:hAnsi="Times"/>
      <w:lang w:val="en-US"/>
    </w:rPr>
  </w:style>
  <w:style w:type="character" w:customStyle="1" w:styleId="BodyTextChar">
    <w:name w:val="Body Text Char"/>
    <w:link w:val="BodyText"/>
    <w:uiPriority w:val="99"/>
    <w:semiHidden/>
    <w:rsid w:val="00295F36"/>
    <w:rPr>
      <w:rFonts w:ascii="Times" w:hAnsi="Times"/>
      <w:lang w:val="en-US"/>
    </w:rPr>
  </w:style>
  <w:style w:type="table" w:customStyle="1" w:styleId="TableGrid1">
    <w:name w:val="Table Grid1"/>
    <w:basedOn w:val="TableNormal"/>
    <w:next w:val="TableGrid"/>
    <w:uiPriority w:val="39"/>
    <w:rsid w:val="0029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9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string-field">
    <w:name w:val="ezstring-field"/>
    <w:basedOn w:val="DefaultParagraphFont"/>
    <w:rsid w:val="00066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6025">
      <w:bodyDiv w:val="1"/>
      <w:marLeft w:val="0"/>
      <w:marRight w:val="0"/>
      <w:marTop w:val="0"/>
      <w:marBottom w:val="0"/>
      <w:divBdr>
        <w:top w:val="none" w:sz="0" w:space="0" w:color="auto"/>
        <w:left w:val="none" w:sz="0" w:space="0" w:color="auto"/>
        <w:bottom w:val="none" w:sz="0" w:space="0" w:color="auto"/>
        <w:right w:val="none" w:sz="0" w:space="0" w:color="auto"/>
      </w:divBdr>
    </w:div>
    <w:div w:id="27880184">
      <w:bodyDiv w:val="1"/>
      <w:marLeft w:val="0"/>
      <w:marRight w:val="0"/>
      <w:marTop w:val="0"/>
      <w:marBottom w:val="0"/>
      <w:divBdr>
        <w:top w:val="none" w:sz="0" w:space="0" w:color="auto"/>
        <w:left w:val="none" w:sz="0" w:space="0" w:color="auto"/>
        <w:bottom w:val="none" w:sz="0" w:space="0" w:color="auto"/>
        <w:right w:val="none" w:sz="0" w:space="0" w:color="auto"/>
      </w:divBdr>
    </w:div>
    <w:div w:id="39090332">
      <w:bodyDiv w:val="1"/>
      <w:marLeft w:val="0"/>
      <w:marRight w:val="0"/>
      <w:marTop w:val="0"/>
      <w:marBottom w:val="0"/>
      <w:divBdr>
        <w:top w:val="none" w:sz="0" w:space="0" w:color="auto"/>
        <w:left w:val="none" w:sz="0" w:space="0" w:color="auto"/>
        <w:bottom w:val="none" w:sz="0" w:space="0" w:color="auto"/>
        <w:right w:val="none" w:sz="0" w:space="0" w:color="auto"/>
      </w:divBdr>
      <w:divsChild>
        <w:div w:id="370344203">
          <w:marLeft w:val="0"/>
          <w:marRight w:val="0"/>
          <w:marTop w:val="0"/>
          <w:marBottom w:val="0"/>
          <w:divBdr>
            <w:top w:val="none" w:sz="0" w:space="0" w:color="auto"/>
            <w:left w:val="none" w:sz="0" w:space="0" w:color="auto"/>
            <w:bottom w:val="none" w:sz="0" w:space="0" w:color="auto"/>
            <w:right w:val="none" w:sz="0" w:space="0" w:color="auto"/>
          </w:divBdr>
          <w:divsChild>
            <w:div w:id="1022629133">
              <w:marLeft w:val="0"/>
              <w:marRight w:val="0"/>
              <w:marTop w:val="0"/>
              <w:marBottom w:val="0"/>
              <w:divBdr>
                <w:top w:val="none" w:sz="0" w:space="0" w:color="auto"/>
                <w:left w:val="none" w:sz="0" w:space="0" w:color="auto"/>
                <w:bottom w:val="none" w:sz="0" w:space="0" w:color="auto"/>
                <w:right w:val="none" w:sz="0" w:space="0" w:color="auto"/>
              </w:divBdr>
              <w:divsChild>
                <w:div w:id="2263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6985">
      <w:bodyDiv w:val="1"/>
      <w:marLeft w:val="0"/>
      <w:marRight w:val="0"/>
      <w:marTop w:val="0"/>
      <w:marBottom w:val="0"/>
      <w:divBdr>
        <w:top w:val="none" w:sz="0" w:space="0" w:color="auto"/>
        <w:left w:val="none" w:sz="0" w:space="0" w:color="auto"/>
        <w:bottom w:val="none" w:sz="0" w:space="0" w:color="auto"/>
        <w:right w:val="none" w:sz="0" w:space="0" w:color="auto"/>
      </w:divBdr>
    </w:div>
    <w:div w:id="126434621">
      <w:bodyDiv w:val="1"/>
      <w:marLeft w:val="0"/>
      <w:marRight w:val="0"/>
      <w:marTop w:val="0"/>
      <w:marBottom w:val="0"/>
      <w:divBdr>
        <w:top w:val="none" w:sz="0" w:space="0" w:color="auto"/>
        <w:left w:val="none" w:sz="0" w:space="0" w:color="auto"/>
        <w:bottom w:val="none" w:sz="0" w:space="0" w:color="auto"/>
        <w:right w:val="none" w:sz="0" w:space="0" w:color="auto"/>
      </w:divBdr>
      <w:divsChild>
        <w:div w:id="1384060246">
          <w:marLeft w:val="0"/>
          <w:marRight w:val="0"/>
          <w:marTop w:val="0"/>
          <w:marBottom w:val="0"/>
          <w:divBdr>
            <w:top w:val="none" w:sz="0" w:space="0" w:color="auto"/>
            <w:left w:val="none" w:sz="0" w:space="0" w:color="auto"/>
            <w:bottom w:val="none" w:sz="0" w:space="0" w:color="auto"/>
            <w:right w:val="none" w:sz="0" w:space="0" w:color="auto"/>
          </w:divBdr>
          <w:divsChild>
            <w:div w:id="330639835">
              <w:marLeft w:val="0"/>
              <w:marRight w:val="0"/>
              <w:marTop w:val="0"/>
              <w:marBottom w:val="0"/>
              <w:divBdr>
                <w:top w:val="none" w:sz="0" w:space="0" w:color="auto"/>
                <w:left w:val="none" w:sz="0" w:space="0" w:color="auto"/>
                <w:bottom w:val="none" w:sz="0" w:space="0" w:color="auto"/>
                <w:right w:val="none" w:sz="0" w:space="0" w:color="auto"/>
              </w:divBdr>
              <w:divsChild>
                <w:div w:id="17304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896">
      <w:bodyDiv w:val="1"/>
      <w:marLeft w:val="0"/>
      <w:marRight w:val="0"/>
      <w:marTop w:val="0"/>
      <w:marBottom w:val="0"/>
      <w:divBdr>
        <w:top w:val="none" w:sz="0" w:space="0" w:color="auto"/>
        <w:left w:val="none" w:sz="0" w:space="0" w:color="auto"/>
        <w:bottom w:val="none" w:sz="0" w:space="0" w:color="auto"/>
        <w:right w:val="none" w:sz="0" w:space="0" w:color="auto"/>
      </w:divBdr>
      <w:divsChild>
        <w:div w:id="226689779">
          <w:marLeft w:val="0"/>
          <w:marRight w:val="0"/>
          <w:marTop w:val="0"/>
          <w:marBottom w:val="0"/>
          <w:divBdr>
            <w:top w:val="none" w:sz="0" w:space="0" w:color="auto"/>
            <w:left w:val="none" w:sz="0" w:space="0" w:color="auto"/>
            <w:bottom w:val="none" w:sz="0" w:space="0" w:color="auto"/>
            <w:right w:val="none" w:sz="0" w:space="0" w:color="auto"/>
          </w:divBdr>
          <w:divsChild>
            <w:div w:id="69356812">
              <w:marLeft w:val="0"/>
              <w:marRight w:val="0"/>
              <w:marTop w:val="0"/>
              <w:marBottom w:val="0"/>
              <w:divBdr>
                <w:top w:val="none" w:sz="0" w:space="0" w:color="auto"/>
                <w:left w:val="none" w:sz="0" w:space="0" w:color="auto"/>
                <w:bottom w:val="none" w:sz="0" w:space="0" w:color="auto"/>
                <w:right w:val="none" w:sz="0" w:space="0" w:color="auto"/>
              </w:divBdr>
              <w:divsChild>
                <w:div w:id="2140299778">
                  <w:marLeft w:val="0"/>
                  <w:marRight w:val="0"/>
                  <w:marTop w:val="0"/>
                  <w:marBottom w:val="0"/>
                  <w:divBdr>
                    <w:top w:val="none" w:sz="0" w:space="0" w:color="auto"/>
                    <w:left w:val="none" w:sz="0" w:space="0" w:color="auto"/>
                    <w:bottom w:val="none" w:sz="0" w:space="0" w:color="auto"/>
                    <w:right w:val="none" w:sz="0" w:space="0" w:color="auto"/>
                  </w:divBdr>
                </w:div>
              </w:divsChild>
            </w:div>
            <w:div w:id="1338650748">
              <w:marLeft w:val="0"/>
              <w:marRight w:val="0"/>
              <w:marTop w:val="0"/>
              <w:marBottom w:val="0"/>
              <w:divBdr>
                <w:top w:val="none" w:sz="0" w:space="0" w:color="auto"/>
                <w:left w:val="none" w:sz="0" w:space="0" w:color="auto"/>
                <w:bottom w:val="none" w:sz="0" w:space="0" w:color="auto"/>
                <w:right w:val="none" w:sz="0" w:space="0" w:color="auto"/>
              </w:divBdr>
              <w:divsChild>
                <w:div w:id="17101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756">
          <w:marLeft w:val="0"/>
          <w:marRight w:val="0"/>
          <w:marTop w:val="0"/>
          <w:marBottom w:val="0"/>
          <w:divBdr>
            <w:top w:val="none" w:sz="0" w:space="0" w:color="auto"/>
            <w:left w:val="none" w:sz="0" w:space="0" w:color="auto"/>
            <w:bottom w:val="none" w:sz="0" w:space="0" w:color="auto"/>
            <w:right w:val="none" w:sz="0" w:space="0" w:color="auto"/>
          </w:divBdr>
          <w:divsChild>
            <w:div w:id="230583851">
              <w:marLeft w:val="0"/>
              <w:marRight w:val="0"/>
              <w:marTop w:val="0"/>
              <w:marBottom w:val="0"/>
              <w:divBdr>
                <w:top w:val="none" w:sz="0" w:space="0" w:color="auto"/>
                <w:left w:val="none" w:sz="0" w:space="0" w:color="auto"/>
                <w:bottom w:val="none" w:sz="0" w:space="0" w:color="auto"/>
                <w:right w:val="none" w:sz="0" w:space="0" w:color="auto"/>
              </w:divBdr>
              <w:divsChild>
                <w:div w:id="7727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0110">
          <w:marLeft w:val="0"/>
          <w:marRight w:val="0"/>
          <w:marTop w:val="0"/>
          <w:marBottom w:val="0"/>
          <w:divBdr>
            <w:top w:val="none" w:sz="0" w:space="0" w:color="auto"/>
            <w:left w:val="none" w:sz="0" w:space="0" w:color="auto"/>
            <w:bottom w:val="none" w:sz="0" w:space="0" w:color="auto"/>
            <w:right w:val="none" w:sz="0" w:space="0" w:color="auto"/>
          </w:divBdr>
          <w:divsChild>
            <w:div w:id="97918543">
              <w:marLeft w:val="0"/>
              <w:marRight w:val="0"/>
              <w:marTop w:val="0"/>
              <w:marBottom w:val="0"/>
              <w:divBdr>
                <w:top w:val="none" w:sz="0" w:space="0" w:color="auto"/>
                <w:left w:val="none" w:sz="0" w:space="0" w:color="auto"/>
                <w:bottom w:val="none" w:sz="0" w:space="0" w:color="auto"/>
                <w:right w:val="none" w:sz="0" w:space="0" w:color="auto"/>
              </w:divBdr>
              <w:divsChild>
                <w:div w:id="1978410470">
                  <w:marLeft w:val="0"/>
                  <w:marRight w:val="0"/>
                  <w:marTop w:val="0"/>
                  <w:marBottom w:val="0"/>
                  <w:divBdr>
                    <w:top w:val="none" w:sz="0" w:space="0" w:color="auto"/>
                    <w:left w:val="none" w:sz="0" w:space="0" w:color="auto"/>
                    <w:bottom w:val="none" w:sz="0" w:space="0" w:color="auto"/>
                    <w:right w:val="none" w:sz="0" w:space="0" w:color="auto"/>
                  </w:divBdr>
                </w:div>
              </w:divsChild>
            </w:div>
            <w:div w:id="170947628">
              <w:marLeft w:val="0"/>
              <w:marRight w:val="0"/>
              <w:marTop w:val="0"/>
              <w:marBottom w:val="0"/>
              <w:divBdr>
                <w:top w:val="none" w:sz="0" w:space="0" w:color="auto"/>
                <w:left w:val="none" w:sz="0" w:space="0" w:color="auto"/>
                <w:bottom w:val="none" w:sz="0" w:space="0" w:color="auto"/>
                <w:right w:val="none" w:sz="0" w:space="0" w:color="auto"/>
              </w:divBdr>
              <w:divsChild>
                <w:div w:id="3942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8184">
      <w:bodyDiv w:val="1"/>
      <w:marLeft w:val="0"/>
      <w:marRight w:val="0"/>
      <w:marTop w:val="0"/>
      <w:marBottom w:val="0"/>
      <w:divBdr>
        <w:top w:val="none" w:sz="0" w:space="0" w:color="auto"/>
        <w:left w:val="none" w:sz="0" w:space="0" w:color="auto"/>
        <w:bottom w:val="none" w:sz="0" w:space="0" w:color="auto"/>
        <w:right w:val="none" w:sz="0" w:space="0" w:color="auto"/>
      </w:divBdr>
    </w:div>
    <w:div w:id="154033916">
      <w:bodyDiv w:val="1"/>
      <w:marLeft w:val="0"/>
      <w:marRight w:val="0"/>
      <w:marTop w:val="0"/>
      <w:marBottom w:val="0"/>
      <w:divBdr>
        <w:top w:val="none" w:sz="0" w:space="0" w:color="auto"/>
        <w:left w:val="none" w:sz="0" w:space="0" w:color="auto"/>
        <w:bottom w:val="none" w:sz="0" w:space="0" w:color="auto"/>
        <w:right w:val="none" w:sz="0" w:space="0" w:color="auto"/>
      </w:divBdr>
      <w:divsChild>
        <w:div w:id="654647748">
          <w:marLeft w:val="0"/>
          <w:marRight w:val="0"/>
          <w:marTop w:val="0"/>
          <w:marBottom w:val="0"/>
          <w:divBdr>
            <w:top w:val="none" w:sz="0" w:space="0" w:color="auto"/>
            <w:left w:val="none" w:sz="0" w:space="0" w:color="auto"/>
            <w:bottom w:val="none" w:sz="0" w:space="0" w:color="auto"/>
            <w:right w:val="none" w:sz="0" w:space="0" w:color="auto"/>
          </w:divBdr>
          <w:divsChild>
            <w:div w:id="323245039">
              <w:marLeft w:val="0"/>
              <w:marRight w:val="0"/>
              <w:marTop w:val="0"/>
              <w:marBottom w:val="0"/>
              <w:divBdr>
                <w:top w:val="none" w:sz="0" w:space="0" w:color="auto"/>
                <w:left w:val="none" w:sz="0" w:space="0" w:color="auto"/>
                <w:bottom w:val="none" w:sz="0" w:space="0" w:color="auto"/>
                <w:right w:val="none" w:sz="0" w:space="0" w:color="auto"/>
              </w:divBdr>
              <w:divsChild>
                <w:div w:id="1923635720">
                  <w:marLeft w:val="0"/>
                  <w:marRight w:val="0"/>
                  <w:marTop w:val="0"/>
                  <w:marBottom w:val="0"/>
                  <w:divBdr>
                    <w:top w:val="none" w:sz="0" w:space="0" w:color="auto"/>
                    <w:left w:val="none" w:sz="0" w:space="0" w:color="auto"/>
                    <w:bottom w:val="none" w:sz="0" w:space="0" w:color="auto"/>
                    <w:right w:val="none" w:sz="0" w:space="0" w:color="auto"/>
                  </w:divBdr>
                </w:div>
              </w:divsChild>
            </w:div>
            <w:div w:id="773744183">
              <w:marLeft w:val="0"/>
              <w:marRight w:val="0"/>
              <w:marTop w:val="0"/>
              <w:marBottom w:val="0"/>
              <w:divBdr>
                <w:top w:val="none" w:sz="0" w:space="0" w:color="auto"/>
                <w:left w:val="none" w:sz="0" w:space="0" w:color="auto"/>
                <w:bottom w:val="none" w:sz="0" w:space="0" w:color="auto"/>
                <w:right w:val="none" w:sz="0" w:space="0" w:color="auto"/>
              </w:divBdr>
              <w:divsChild>
                <w:div w:id="10292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51113">
          <w:marLeft w:val="0"/>
          <w:marRight w:val="0"/>
          <w:marTop w:val="0"/>
          <w:marBottom w:val="0"/>
          <w:divBdr>
            <w:top w:val="none" w:sz="0" w:space="0" w:color="auto"/>
            <w:left w:val="none" w:sz="0" w:space="0" w:color="auto"/>
            <w:bottom w:val="none" w:sz="0" w:space="0" w:color="auto"/>
            <w:right w:val="none" w:sz="0" w:space="0" w:color="auto"/>
          </w:divBdr>
          <w:divsChild>
            <w:div w:id="491989615">
              <w:marLeft w:val="0"/>
              <w:marRight w:val="0"/>
              <w:marTop w:val="0"/>
              <w:marBottom w:val="0"/>
              <w:divBdr>
                <w:top w:val="none" w:sz="0" w:space="0" w:color="auto"/>
                <w:left w:val="none" w:sz="0" w:space="0" w:color="auto"/>
                <w:bottom w:val="none" w:sz="0" w:space="0" w:color="auto"/>
                <w:right w:val="none" w:sz="0" w:space="0" w:color="auto"/>
              </w:divBdr>
              <w:divsChild>
                <w:div w:id="20970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0227">
      <w:bodyDiv w:val="1"/>
      <w:marLeft w:val="0"/>
      <w:marRight w:val="0"/>
      <w:marTop w:val="0"/>
      <w:marBottom w:val="0"/>
      <w:divBdr>
        <w:top w:val="none" w:sz="0" w:space="0" w:color="auto"/>
        <w:left w:val="none" w:sz="0" w:space="0" w:color="auto"/>
        <w:bottom w:val="none" w:sz="0" w:space="0" w:color="auto"/>
        <w:right w:val="none" w:sz="0" w:space="0" w:color="auto"/>
      </w:divBdr>
      <w:divsChild>
        <w:div w:id="451555805">
          <w:marLeft w:val="0"/>
          <w:marRight w:val="0"/>
          <w:marTop w:val="0"/>
          <w:marBottom w:val="0"/>
          <w:divBdr>
            <w:top w:val="none" w:sz="0" w:space="0" w:color="auto"/>
            <w:left w:val="none" w:sz="0" w:space="0" w:color="auto"/>
            <w:bottom w:val="none" w:sz="0" w:space="0" w:color="auto"/>
            <w:right w:val="none" w:sz="0" w:space="0" w:color="auto"/>
          </w:divBdr>
          <w:divsChild>
            <w:div w:id="1226145741">
              <w:marLeft w:val="0"/>
              <w:marRight w:val="0"/>
              <w:marTop w:val="0"/>
              <w:marBottom w:val="0"/>
              <w:divBdr>
                <w:top w:val="none" w:sz="0" w:space="0" w:color="auto"/>
                <w:left w:val="none" w:sz="0" w:space="0" w:color="auto"/>
                <w:bottom w:val="none" w:sz="0" w:space="0" w:color="auto"/>
                <w:right w:val="none" w:sz="0" w:space="0" w:color="auto"/>
              </w:divBdr>
              <w:divsChild>
                <w:div w:id="4770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3602">
      <w:bodyDiv w:val="1"/>
      <w:marLeft w:val="0"/>
      <w:marRight w:val="0"/>
      <w:marTop w:val="0"/>
      <w:marBottom w:val="0"/>
      <w:divBdr>
        <w:top w:val="none" w:sz="0" w:space="0" w:color="auto"/>
        <w:left w:val="none" w:sz="0" w:space="0" w:color="auto"/>
        <w:bottom w:val="none" w:sz="0" w:space="0" w:color="auto"/>
        <w:right w:val="none" w:sz="0" w:space="0" w:color="auto"/>
      </w:divBdr>
    </w:div>
    <w:div w:id="190652124">
      <w:bodyDiv w:val="1"/>
      <w:marLeft w:val="0"/>
      <w:marRight w:val="0"/>
      <w:marTop w:val="0"/>
      <w:marBottom w:val="0"/>
      <w:divBdr>
        <w:top w:val="none" w:sz="0" w:space="0" w:color="auto"/>
        <w:left w:val="none" w:sz="0" w:space="0" w:color="auto"/>
        <w:bottom w:val="none" w:sz="0" w:space="0" w:color="auto"/>
        <w:right w:val="none" w:sz="0" w:space="0" w:color="auto"/>
      </w:divBdr>
    </w:div>
    <w:div w:id="206382244">
      <w:bodyDiv w:val="1"/>
      <w:marLeft w:val="0"/>
      <w:marRight w:val="0"/>
      <w:marTop w:val="0"/>
      <w:marBottom w:val="0"/>
      <w:divBdr>
        <w:top w:val="none" w:sz="0" w:space="0" w:color="auto"/>
        <w:left w:val="none" w:sz="0" w:space="0" w:color="auto"/>
        <w:bottom w:val="none" w:sz="0" w:space="0" w:color="auto"/>
        <w:right w:val="none" w:sz="0" w:space="0" w:color="auto"/>
      </w:divBdr>
    </w:div>
    <w:div w:id="240410949">
      <w:bodyDiv w:val="1"/>
      <w:marLeft w:val="0"/>
      <w:marRight w:val="0"/>
      <w:marTop w:val="0"/>
      <w:marBottom w:val="0"/>
      <w:divBdr>
        <w:top w:val="none" w:sz="0" w:space="0" w:color="auto"/>
        <w:left w:val="none" w:sz="0" w:space="0" w:color="auto"/>
        <w:bottom w:val="none" w:sz="0" w:space="0" w:color="auto"/>
        <w:right w:val="none" w:sz="0" w:space="0" w:color="auto"/>
      </w:divBdr>
    </w:div>
    <w:div w:id="259064802">
      <w:bodyDiv w:val="1"/>
      <w:marLeft w:val="0"/>
      <w:marRight w:val="0"/>
      <w:marTop w:val="0"/>
      <w:marBottom w:val="0"/>
      <w:divBdr>
        <w:top w:val="none" w:sz="0" w:space="0" w:color="auto"/>
        <w:left w:val="none" w:sz="0" w:space="0" w:color="auto"/>
        <w:bottom w:val="none" w:sz="0" w:space="0" w:color="auto"/>
        <w:right w:val="none" w:sz="0" w:space="0" w:color="auto"/>
      </w:divBdr>
    </w:div>
    <w:div w:id="293633540">
      <w:bodyDiv w:val="1"/>
      <w:marLeft w:val="0"/>
      <w:marRight w:val="0"/>
      <w:marTop w:val="0"/>
      <w:marBottom w:val="0"/>
      <w:divBdr>
        <w:top w:val="none" w:sz="0" w:space="0" w:color="auto"/>
        <w:left w:val="none" w:sz="0" w:space="0" w:color="auto"/>
        <w:bottom w:val="none" w:sz="0" w:space="0" w:color="auto"/>
        <w:right w:val="none" w:sz="0" w:space="0" w:color="auto"/>
      </w:divBdr>
    </w:div>
    <w:div w:id="294336402">
      <w:bodyDiv w:val="1"/>
      <w:marLeft w:val="0"/>
      <w:marRight w:val="0"/>
      <w:marTop w:val="0"/>
      <w:marBottom w:val="0"/>
      <w:divBdr>
        <w:top w:val="none" w:sz="0" w:space="0" w:color="auto"/>
        <w:left w:val="none" w:sz="0" w:space="0" w:color="auto"/>
        <w:bottom w:val="none" w:sz="0" w:space="0" w:color="auto"/>
        <w:right w:val="none" w:sz="0" w:space="0" w:color="auto"/>
      </w:divBdr>
    </w:div>
    <w:div w:id="305479641">
      <w:bodyDiv w:val="1"/>
      <w:marLeft w:val="0"/>
      <w:marRight w:val="0"/>
      <w:marTop w:val="0"/>
      <w:marBottom w:val="0"/>
      <w:divBdr>
        <w:top w:val="none" w:sz="0" w:space="0" w:color="auto"/>
        <w:left w:val="none" w:sz="0" w:space="0" w:color="auto"/>
        <w:bottom w:val="none" w:sz="0" w:space="0" w:color="auto"/>
        <w:right w:val="none" w:sz="0" w:space="0" w:color="auto"/>
      </w:divBdr>
    </w:div>
    <w:div w:id="341317261">
      <w:bodyDiv w:val="1"/>
      <w:marLeft w:val="0"/>
      <w:marRight w:val="0"/>
      <w:marTop w:val="0"/>
      <w:marBottom w:val="0"/>
      <w:divBdr>
        <w:top w:val="none" w:sz="0" w:space="0" w:color="auto"/>
        <w:left w:val="none" w:sz="0" w:space="0" w:color="auto"/>
        <w:bottom w:val="none" w:sz="0" w:space="0" w:color="auto"/>
        <w:right w:val="none" w:sz="0" w:space="0" w:color="auto"/>
      </w:divBdr>
    </w:div>
    <w:div w:id="424346794">
      <w:bodyDiv w:val="1"/>
      <w:marLeft w:val="0"/>
      <w:marRight w:val="0"/>
      <w:marTop w:val="0"/>
      <w:marBottom w:val="0"/>
      <w:divBdr>
        <w:top w:val="none" w:sz="0" w:space="0" w:color="auto"/>
        <w:left w:val="none" w:sz="0" w:space="0" w:color="auto"/>
        <w:bottom w:val="none" w:sz="0" w:space="0" w:color="auto"/>
        <w:right w:val="none" w:sz="0" w:space="0" w:color="auto"/>
      </w:divBdr>
    </w:div>
    <w:div w:id="441456195">
      <w:bodyDiv w:val="1"/>
      <w:marLeft w:val="0"/>
      <w:marRight w:val="0"/>
      <w:marTop w:val="0"/>
      <w:marBottom w:val="0"/>
      <w:divBdr>
        <w:top w:val="none" w:sz="0" w:space="0" w:color="auto"/>
        <w:left w:val="none" w:sz="0" w:space="0" w:color="auto"/>
        <w:bottom w:val="none" w:sz="0" w:space="0" w:color="auto"/>
        <w:right w:val="none" w:sz="0" w:space="0" w:color="auto"/>
      </w:divBdr>
    </w:div>
    <w:div w:id="453208131">
      <w:bodyDiv w:val="1"/>
      <w:marLeft w:val="0"/>
      <w:marRight w:val="0"/>
      <w:marTop w:val="0"/>
      <w:marBottom w:val="0"/>
      <w:divBdr>
        <w:top w:val="none" w:sz="0" w:space="0" w:color="auto"/>
        <w:left w:val="none" w:sz="0" w:space="0" w:color="auto"/>
        <w:bottom w:val="none" w:sz="0" w:space="0" w:color="auto"/>
        <w:right w:val="none" w:sz="0" w:space="0" w:color="auto"/>
      </w:divBdr>
    </w:div>
    <w:div w:id="491532200">
      <w:bodyDiv w:val="1"/>
      <w:marLeft w:val="0"/>
      <w:marRight w:val="0"/>
      <w:marTop w:val="0"/>
      <w:marBottom w:val="0"/>
      <w:divBdr>
        <w:top w:val="none" w:sz="0" w:space="0" w:color="auto"/>
        <w:left w:val="none" w:sz="0" w:space="0" w:color="auto"/>
        <w:bottom w:val="none" w:sz="0" w:space="0" w:color="auto"/>
        <w:right w:val="none" w:sz="0" w:space="0" w:color="auto"/>
      </w:divBdr>
    </w:div>
    <w:div w:id="495606673">
      <w:bodyDiv w:val="1"/>
      <w:marLeft w:val="0"/>
      <w:marRight w:val="0"/>
      <w:marTop w:val="0"/>
      <w:marBottom w:val="0"/>
      <w:divBdr>
        <w:top w:val="none" w:sz="0" w:space="0" w:color="auto"/>
        <w:left w:val="none" w:sz="0" w:space="0" w:color="auto"/>
        <w:bottom w:val="none" w:sz="0" w:space="0" w:color="auto"/>
        <w:right w:val="none" w:sz="0" w:space="0" w:color="auto"/>
      </w:divBdr>
    </w:div>
    <w:div w:id="531118337">
      <w:bodyDiv w:val="1"/>
      <w:marLeft w:val="0"/>
      <w:marRight w:val="0"/>
      <w:marTop w:val="0"/>
      <w:marBottom w:val="0"/>
      <w:divBdr>
        <w:top w:val="none" w:sz="0" w:space="0" w:color="auto"/>
        <w:left w:val="none" w:sz="0" w:space="0" w:color="auto"/>
        <w:bottom w:val="none" w:sz="0" w:space="0" w:color="auto"/>
        <w:right w:val="none" w:sz="0" w:space="0" w:color="auto"/>
      </w:divBdr>
    </w:div>
    <w:div w:id="551507178">
      <w:bodyDiv w:val="1"/>
      <w:marLeft w:val="0"/>
      <w:marRight w:val="0"/>
      <w:marTop w:val="0"/>
      <w:marBottom w:val="0"/>
      <w:divBdr>
        <w:top w:val="none" w:sz="0" w:space="0" w:color="auto"/>
        <w:left w:val="none" w:sz="0" w:space="0" w:color="auto"/>
        <w:bottom w:val="none" w:sz="0" w:space="0" w:color="auto"/>
        <w:right w:val="none" w:sz="0" w:space="0" w:color="auto"/>
      </w:divBdr>
    </w:div>
    <w:div w:id="556169729">
      <w:bodyDiv w:val="1"/>
      <w:marLeft w:val="0"/>
      <w:marRight w:val="0"/>
      <w:marTop w:val="0"/>
      <w:marBottom w:val="0"/>
      <w:divBdr>
        <w:top w:val="none" w:sz="0" w:space="0" w:color="auto"/>
        <w:left w:val="none" w:sz="0" w:space="0" w:color="auto"/>
        <w:bottom w:val="none" w:sz="0" w:space="0" w:color="auto"/>
        <w:right w:val="none" w:sz="0" w:space="0" w:color="auto"/>
      </w:divBdr>
    </w:div>
    <w:div w:id="591863584">
      <w:bodyDiv w:val="1"/>
      <w:marLeft w:val="0"/>
      <w:marRight w:val="0"/>
      <w:marTop w:val="0"/>
      <w:marBottom w:val="0"/>
      <w:divBdr>
        <w:top w:val="none" w:sz="0" w:space="0" w:color="auto"/>
        <w:left w:val="none" w:sz="0" w:space="0" w:color="auto"/>
        <w:bottom w:val="none" w:sz="0" w:space="0" w:color="auto"/>
        <w:right w:val="none" w:sz="0" w:space="0" w:color="auto"/>
      </w:divBdr>
    </w:div>
    <w:div w:id="605885977">
      <w:bodyDiv w:val="1"/>
      <w:marLeft w:val="0"/>
      <w:marRight w:val="0"/>
      <w:marTop w:val="0"/>
      <w:marBottom w:val="0"/>
      <w:divBdr>
        <w:top w:val="none" w:sz="0" w:space="0" w:color="auto"/>
        <w:left w:val="none" w:sz="0" w:space="0" w:color="auto"/>
        <w:bottom w:val="none" w:sz="0" w:space="0" w:color="auto"/>
        <w:right w:val="none" w:sz="0" w:space="0" w:color="auto"/>
      </w:divBdr>
      <w:divsChild>
        <w:div w:id="58409229">
          <w:marLeft w:val="0"/>
          <w:marRight w:val="0"/>
          <w:marTop w:val="0"/>
          <w:marBottom w:val="0"/>
          <w:divBdr>
            <w:top w:val="none" w:sz="0" w:space="0" w:color="auto"/>
            <w:left w:val="none" w:sz="0" w:space="0" w:color="auto"/>
            <w:bottom w:val="none" w:sz="0" w:space="0" w:color="auto"/>
            <w:right w:val="none" w:sz="0" w:space="0" w:color="auto"/>
          </w:divBdr>
          <w:divsChild>
            <w:div w:id="322439599">
              <w:marLeft w:val="0"/>
              <w:marRight w:val="0"/>
              <w:marTop w:val="0"/>
              <w:marBottom w:val="0"/>
              <w:divBdr>
                <w:top w:val="none" w:sz="0" w:space="0" w:color="auto"/>
                <w:left w:val="none" w:sz="0" w:space="0" w:color="auto"/>
                <w:bottom w:val="none" w:sz="0" w:space="0" w:color="auto"/>
                <w:right w:val="none" w:sz="0" w:space="0" w:color="auto"/>
              </w:divBdr>
              <w:divsChild>
                <w:div w:id="2192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7774">
          <w:marLeft w:val="0"/>
          <w:marRight w:val="0"/>
          <w:marTop w:val="0"/>
          <w:marBottom w:val="0"/>
          <w:divBdr>
            <w:top w:val="none" w:sz="0" w:space="0" w:color="auto"/>
            <w:left w:val="none" w:sz="0" w:space="0" w:color="auto"/>
            <w:bottom w:val="none" w:sz="0" w:space="0" w:color="auto"/>
            <w:right w:val="none" w:sz="0" w:space="0" w:color="auto"/>
          </w:divBdr>
          <w:divsChild>
            <w:div w:id="612903240">
              <w:marLeft w:val="0"/>
              <w:marRight w:val="0"/>
              <w:marTop w:val="0"/>
              <w:marBottom w:val="0"/>
              <w:divBdr>
                <w:top w:val="none" w:sz="0" w:space="0" w:color="auto"/>
                <w:left w:val="none" w:sz="0" w:space="0" w:color="auto"/>
                <w:bottom w:val="none" w:sz="0" w:space="0" w:color="auto"/>
                <w:right w:val="none" w:sz="0" w:space="0" w:color="auto"/>
              </w:divBdr>
              <w:divsChild>
                <w:div w:id="944120799">
                  <w:marLeft w:val="0"/>
                  <w:marRight w:val="0"/>
                  <w:marTop w:val="0"/>
                  <w:marBottom w:val="0"/>
                  <w:divBdr>
                    <w:top w:val="none" w:sz="0" w:space="0" w:color="auto"/>
                    <w:left w:val="none" w:sz="0" w:space="0" w:color="auto"/>
                    <w:bottom w:val="none" w:sz="0" w:space="0" w:color="auto"/>
                    <w:right w:val="none" w:sz="0" w:space="0" w:color="auto"/>
                  </w:divBdr>
                </w:div>
              </w:divsChild>
            </w:div>
            <w:div w:id="1592860450">
              <w:marLeft w:val="0"/>
              <w:marRight w:val="0"/>
              <w:marTop w:val="0"/>
              <w:marBottom w:val="0"/>
              <w:divBdr>
                <w:top w:val="none" w:sz="0" w:space="0" w:color="auto"/>
                <w:left w:val="none" w:sz="0" w:space="0" w:color="auto"/>
                <w:bottom w:val="none" w:sz="0" w:space="0" w:color="auto"/>
                <w:right w:val="none" w:sz="0" w:space="0" w:color="auto"/>
              </w:divBdr>
              <w:divsChild>
                <w:div w:id="1242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4092">
      <w:bodyDiv w:val="1"/>
      <w:marLeft w:val="0"/>
      <w:marRight w:val="0"/>
      <w:marTop w:val="0"/>
      <w:marBottom w:val="0"/>
      <w:divBdr>
        <w:top w:val="none" w:sz="0" w:space="0" w:color="auto"/>
        <w:left w:val="none" w:sz="0" w:space="0" w:color="auto"/>
        <w:bottom w:val="none" w:sz="0" w:space="0" w:color="auto"/>
        <w:right w:val="none" w:sz="0" w:space="0" w:color="auto"/>
      </w:divBdr>
    </w:div>
    <w:div w:id="610939889">
      <w:bodyDiv w:val="1"/>
      <w:marLeft w:val="0"/>
      <w:marRight w:val="0"/>
      <w:marTop w:val="0"/>
      <w:marBottom w:val="0"/>
      <w:divBdr>
        <w:top w:val="none" w:sz="0" w:space="0" w:color="auto"/>
        <w:left w:val="none" w:sz="0" w:space="0" w:color="auto"/>
        <w:bottom w:val="none" w:sz="0" w:space="0" w:color="auto"/>
        <w:right w:val="none" w:sz="0" w:space="0" w:color="auto"/>
      </w:divBdr>
    </w:div>
    <w:div w:id="634140331">
      <w:bodyDiv w:val="1"/>
      <w:marLeft w:val="0"/>
      <w:marRight w:val="0"/>
      <w:marTop w:val="0"/>
      <w:marBottom w:val="0"/>
      <w:divBdr>
        <w:top w:val="none" w:sz="0" w:space="0" w:color="auto"/>
        <w:left w:val="none" w:sz="0" w:space="0" w:color="auto"/>
        <w:bottom w:val="none" w:sz="0" w:space="0" w:color="auto"/>
        <w:right w:val="none" w:sz="0" w:space="0" w:color="auto"/>
      </w:divBdr>
    </w:div>
    <w:div w:id="696931921">
      <w:bodyDiv w:val="1"/>
      <w:marLeft w:val="0"/>
      <w:marRight w:val="0"/>
      <w:marTop w:val="0"/>
      <w:marBottom w:val="0"/>
      <w:divBdr>
        <w:top w:val="none" w:sz="0" w:space="0" w:color="auto"/>
        <w:left w:val="none" w:sz="0" w:space="0" w:color="auto"/>
        <w:bottom w:val="none" w:sz="0" w:space="0" w:color="auto"/>
        <w:right w:val="none" w:sz="0" w:space="0" w:color="auto"/>
      </w:divBdr>
    </w:div>
    <w:div w:id="720403084">
      <w:bodyDiv w:val="1"/>
      <w:marLeft w:val="0"/>
      <w:marRight w:val="0"/>
      <w:marTop w:val="0"/>
      <w:marBottom w:val="0"/>
      <w:divBdr>
        <w:top w:val="none" w:sz="0" w:space="0" w:color="auto"/>
        <w:left w:val="none" w:sz="0" w:space="0" w:color="auto"/>
        <w:bottom w:val="none" w:sz="0" w:space="0" w:color="auto"/>
        <w:right w:val="none" w:sz="0" w:space="0" w:color="auto"/>
      </w:divBdr>
    </w:div>
    <w:div w:id="751777427">
      <w:bodyDiv w:val="1"/>
      <w:marLeft w:val="0"/>
      <w:marRight w:val="0"/>
      <w:marTop w:val="0"/>
      <w:marBottom w:val="0"/>
      <w:divBdr>
        <w:top w:val="none" w:sz="0" w:space="0" w:color="auto"/>
        <w:left w:val="none" w:sz="0" w:space="0" w:color="auto"/>
        <w:bottom w:val="none" w:sz="0" w:space="0" w:color="auto"/>
        <w:right w:val="none" w:sz="0" w:space="0" w:color="auto"/>
      </w:divBdr>
    </w:div>
    <w:div w:id="759763492">
      <w:bodyDiv w:val="1"/>
      <w:marLeft w:val="0"/>
      <w:marRight w:val="0"/>
      <w:marTop w:val="0"/>
      <w:marBottom w:val="0"/>
      <w:divBdr>
        <w:top w:val="none" w:sz="0" w:space="0" w:color="auto"/>
        <w:left w:val="none" w:sz="0" w:space="0" w:color="auto"/>
        <w:bottom w:val="none" w:sz="0" w:space="0" w:color="auto"/>
        <w:right w:val="none" w:sz="0" w:space="0" w:color="auto"/>
      </w:divBdr>
    </w:div>
    <w:div w:id="763377197">
      <w:bodyDiv w:val="1"/>
      <w:marLeft w:val="0"/>
      <w:marRight w:val="0"/>
      <w:marTop w:val="0"/>
      <w:marBottom w:val="0"/>
      <w:divBdr>
        <w:top w:val="none" w:sz="0" w:space="0" w:color="auto"/>
        <w:left w:val="none" w:sz="0" w:space="0" w:color="auto"/>
        <w:bottom w:val="none" w:sz="0" w:space="0" w:color="auto"/>
        <w:right w:val="none" w:sz="0" w:space="0" w:color="auto"/>
      </w:divBdr>
    </w:div>
    <w:div w:id="793447079">
      <w:bodyDiv w:val="1"/>
      <w:marLeft w:val="0"/>
      <w:marRight w:val="0"/>
      <w:marTop w:val="0"/>
      <w:marBottom w:val="0"/>
      <w:divBdr>
        <w:top w:val="none" w:sz="0" w:space="0" w:color="auto"/>
        <w:left w:val="none" w:sz="0" w:space="0" w:color="auto"/>
        <w:bottom w:val="none" w:sz="0" w:space="0" w:color="auto"/>
        <w:right w:val="none" w:sz="0" w:space="0" w:color="auto"/>
      </w:divBdr>
    </w:div>
    <w:div w:id="795952485">
      <w:bodyDiv w:val="1"/>
      <w:marLeft w:val="0"/>
      <w:marRight w:val="0"/>
      <w:marTop w:val="0"/>
      <w:marBottom w:val="0"/>
      <w:divBdr>
        <w:top w:val="none" w:sz="0" w:space="0" w:color="auto"/>
        <w:left w:val="none" w:sz="0" w:space="0" w:color="auto"/>
        <w:bottom w:val="none" w:sz="0" w:space="0" w:color="auto"/>
        <w:right w:val="none" w:sz="0" w:space="0" w:color="auto"/>
      </w:divBdr>
    </w:div>
    <w:div w:id="798691027">
      <w:bodyDiv w:val="1"/>
      <w:marLeft w:val="0"/>
      <w:marRight w:val="0"/>
      <w:marTop w:val="0"/>
      <w:marBottom w:val="0"/>
      <w:divBdr>
        <w:top w:val="none" w:sz="0" w:space="0" w:color="auto"/>
        <w:left w:val="none" w:sz="0" w:space="0" w:color="auto"/>
        <w:bottom w:val="none" w:sz="0" w:space="0" w:color="auto"/>
        <w:right w:val="none" w:sz="0" w:space="0" w:color="auto"/>
      </w:divBdr>
    </w:div>
    <w:div w:id="844324583">
      <w:bodyDiv w:val="1"/>
      <w:marLeft w:val="0"/>
      <w:marRight w:val="0"/>
      <w:marTop w:val="0"/>
      <w:marBottom w:val="0"/>
      <w:divBdr>
        <w:top w:val="none" w:sz="0" w:space="0" w:color="auto"/>
        <w:left w:val="none" w:sz="0" w:space="0" w:color="auto"/>
        <w:bottom w:val="none" w:sz="0" w:space="0" w:color="auto"/>
        <w:right w:val="none" w:sz="0" w:space="0" w:color="auto"/>
      </w:divBdr>
    </w:div>
    <w:div w:id="876626606">
      <w:bodyDiv w:val="1"/>
      <w:marLeft w:val="0"/>
      <w:marRight w:val="0"/>
      <w:marTop w:val="0"/>
      <w:marBottom w:val="0"/>
      <w:divBdr>
        <w:top w:val="none" w:sz="0" w:space="0" w:color="auto"/>
        <w:left w:val="none" w:sz="0" w:space="0" w:color="auto"/>
        <w:bottom w:val="none" w:sz="0" w:space="0" w:color="auto"/>
        <w:right w:val="none" w:sz="0" w:space="0" w:color="auto"/>
      </w:divBdr>
    </w:div>
    <w:div w:id="903873680">
      <w:bodyDiv w:val="1"/>
      <w:marLeft w:val="0"/>
      <w:marRight w:val="0"/>
      <w:marTop w:val="0"/>
      <w:marBottom w:val="0"/>
      <w:divBdr>
        <w:top w:val="none" w:sz="0" w:space="0" w:color="auto"/>
        <w:left w:val="none" w:sz="0" w:space="0" w:color="auto"/>
        <w:bottom w:val="none" w:sz="0" w:space="0" w:color="auto"/>
        <w:right w:val="none" w:sz="0" w:space="0" w:color="auto"/>
      </w:divBdr>
      <w:divsChild>
        <w:div w:id="1041368539">
          <w:marLeft w:val="0"/>
          <w:marRight w:val="0"/>
          <w:marTop w:val="0"/>
          <w:marBottom w:val="0"/>
          <w:divBdr>
            <w:top w:val="none" w:sz="0" w:space="0" w:color="auto"/>
            <w:left w:val="none" w:sz="0" w:space="0" w:color="auto"/>
            <w:bottom w:val="none" w:sz="0" w:space="0" w:color="auto"/>
            <w:right w:val="none" w:sz="0" w:space="0" w:color="auto"/>
          </w:divBdr>
          <w:divsChild>
            <w:div w:id="1078405688">
              <w:marLeft w:val="0"/>
              <w:marRight w:val="0"/>
              <w:marTop w:val="0"/>
              <w:marBottom w:val="0"/>
              <w:divBdr>
                <w:top w:val="none" w:sz="0" w:space="0" w:color="auto"/>
                <w:left w:val="none" w:sz="0" w:space="0" w:color="auto"/>
                <w:bottom w:val="none" w:sz="0" w:space="0" w:color="auto"/>
                <w:right w:val="none" w:sz="0" w:space="0" w:color="auto"/>
              </w:divBdr>
              <w:divsChild>
                <w:div w:id="299724602">
                  <w:marLeft w:val="0"/>
                  <w:marRight w:val="0"/>
                  <w:marTop w:val="0"/>
                  <w:marBottom w:val="0"/>
                  <w:divBdr>
                    <w:top w:val="none" w:sz="0" w:space="0" w:color="auto"/>
                    <w:left w:val="none" w:sz="0" w:space="0" w:color="auto"/>
                    <w:bottom w:val="none" w:sz="0" w:space="0" w:color="auto"/>
                    <w:right w:val="none" w:sz="0" w:space="0" w:color="auto"/>
                  </w:divBdr>
                  <w:divsChild>
                    <w:div w:id="17261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18989">
      <w:bodyDiv w:val="1"/>
      <w:marLeft w:val="0"/>
      <w:marRight w:val="0"/>
      <w:marTop w:val="0"/>
      <w:marBottom w:val="0"/>
      <w:divBdr>
        <w:top w:val="none" w:sz="0" w:space="0" w:color="auto"/>
        <w:left w:val="none" w:sz="0" w:space="0" w:color="auto"/>
        <w:bottom w:val="none" w:sz="0" w:space="0" w:color="auto"/>
        <w:right w:val="none" w:sz="0" w:space="0" w:color="auto"/>
      </w:divBdr>
    </w:div>
    <w:div w:id="980310537">
      <w:bodyDiv w:val="1"/>
      <w:marLeft w:val="0"/>
      <w:marRight w:val="0"/>
      <w:marTop w:val="0"/>
      <w:marBottom w:val="0"/>
      <w:divBdr>
        <w:top w:val="none" w:sz="0" w:space="0" w:color="auto"/>
        <w:left w:val="none" w:sz="0" w:space="0" w:color="auto"/>
        <w:bottom w:val="none" w:sz="0" w:space="0" w:color="auto"/>
        <w:right w:val="none" w:sz="0" w:space="0" w:color="auto"/>
      </w:divBdr>
    </w:div>
    <w:div w:id="982083486">
      <w:bodyDiv w:val="1"/>
      <w:marLeft w:val="0"/>
      <w:marRight w:val="0"/>
      <w:marTop w:val="0"/>
      <w:marBottom w:val="0"/>
      <w:divBdr>
        <w:top w:val="none" w:sz="0" w:space="0" w:color="auto"/>
        <w:left w:val="none" w:sz="0" w:space="0" w:color="auto"/>
        <w:bottom w:val="none" w:sz="0" w:space="0" w:color="auto"/>
        <w:right w:val="none" w:sz="0" w:space="0" w:color="auto"/>
      </w:divBdr>
    </w:div>
    <w:div w:id="1024601453">
      <w:bodyDiv w:val="1"/>
      <w:marLeft w:val="0"/>
      <w:marRight w:val="0"/>
      <w:marTop w:val="0"/>
      <w:marBottom w:val="0"/>
      <w:divBdr>
        <w:top w:val="none" w:sz="0" w:space="0" w:color="auto"/>
        <w:left w:val="none" w:sz="0" w:space="0" w:color="auto"/>
        <w:bottom w:val="none" w:sz="0" w:space="0" w:color="auto"/>
        <w:right w:val="none" w:sz="0" w:space="0" w:color="auto"/>
      </w:divBdr>
    </w:div>
    <w:div w:id="1032534326">
      <w:bodyDiv w:val="1"/>
      <w:marLeft w:val="0"/>
      <w:marRight w:val="0"/>
      <w:marTop w:val="0"/>
      <w:marBottom w:val="0"/>
      <w:divBdr>
        <w:top w:val="none" w:sz="0" w:space="0" w:color="auto"/>
        <w:left w:val="none" w:sz="0" w:space="0" w:color="auto"/>
        <w:bottom w:val="none" w:sz="0" w:space="0" w:color="auto"/>
        <w:right w:val="none" w:sz="0" w:space="0" w:color="auto"/>
      </w:divBdr>
      <w:divsChild>
        <w:div w:id="1823497928">
          <w:marLeft w:val="0"/>
          <w:marRight w:val="0"/>
          <w:marTop w:val="0"/>
          <w:marBottom w:val="0"/>
          <w:divBdr>
            <w:top w:val="none" w:sz="0" w:space="0" w:color="auto"/>
            <w:left w:val="none" w:sz="0" w:space="0" w:color="auto"/>
            <w:bottom w:val="none" w:sz="0" w:space="0" w:color="auto"/>
            <w:right w:val="none" w:sz="0" w:space="0" w:color="auto"/>
          </w:divBdr>
          <w:divsChild>
            <w:div w:id="2002080279">
              <w:marLeft w:val="0"/>
              <w:marRight w:val="0"/>
              <w:marTop w:val="0"/>
              <w:marBottom w:val="0"/>
              <w:divBdr>
                <w:top w:val="none" w:sz="0" w:space="0" w:color="auto"/>
                <w:left w:val="none" w:sz="0" w:space="0" w:color="auto"/>
                <w:bottom w:val="none" w:sz="0" w:space="0" w:color="auto"/>
                <w:right w:val="none" w:sz="0" w:space="0" w:color="auto"/>
              </w:divBdr>
              <w:divsChild>
                <w:div w:id="16853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32011">
      <w:bodyDiv w:val="1"/>
      <w:marLeft w:val="0"/>
      <w:marRight w:val="0"/>
      <w:marTop w:val="0"/>
      <w:marBottom w:val="0"/>
      <w:divBdr>
        <w:top w:val="none" w:sz="0" w:space="0" w:color="auto"/>
        <w:left w:val="none" w:sz="0" w:space="0" w:color="auto"/>
        <w:bottom w:val="none" w:sz="0" w:space="0" w:color="auto"/>
        <w:right w:val="none" w:sz="0" w:space="0" w:color="auto"/>
      </w:divBdr>
    </w:div>
    <w:div w:id="1058044270">
      <w:bodyDiv w:val="1"/>
      <w:marLeft w:val="0"/>
      <w:marRight w:val="0"/>
      <w:marTop w:val="0"/>
      <w:marBottom w:val="0"/>
      <w:divBdr>
        <w:top w:val="none" w:sz="0" w:space="0" w:color="auto"/>
        <w:left w:val="none" w:sz="0" w:space="0" w:color="auto"/>
        <w:bottom w:val="none" w:sz="0" w:space="0" w:color="auto"/>
        <w:right w:val="none" w:sz="0" w:space="0" w:color="auto"/>
      </w:divBdr>
    </w:div>
    <w:div w:id="1114594032">
      <w:bodyDiv w:val="1"/>
      <w:marLeft w:val="0"/>
      <w:marRight w:val="0"/>
      <w:marTop w:val="0"/>
      <w:marBottom w:val="0"/>
      <w:divBdr>
        <w:top w:val="none" w:sz="0" w:space="0" w:color="auto"/>
        <w:left w:val="none" w:sz="0" w:space="0" w:color="auto"/>
        <w:bottom w:val="none" w:sz="0" w:space="0" w:color="auto"/>
        <w:right w:val="none" w:sz="0" w:space="0" w:color="auto"/>
      </w:divBdr>
    </w:div>
    <w:div w:id="1128351923">
      <w:bodyDiv w:val="1"/>
      <w:marLeft w:val="0"/>
      <w:marRight w:val="0"/>
      <w:marTop w:val="0"/>
      <w:marBottom w:val="0"/>
      <w:divBdr>
        <w:top w:val="none" w:sz="0" w:space="0" w:color="auto"/>
        <w:left w:val="none" w:sz="0" w:space="0" w:color="auto"/>
        <w:bottom w:val="none" w:sz="0" w:space="0" w:color="auto"/>
        <w:right w:val="none" w:sz="0" w:space="0" w:color="auto"/>
      </w:divBdr>
      <w:divsChild>
        <w:div w:id="1692104654">
          <w:marLeft w:val="0"/>
          <w:marRight w:val="0"/>
          <w:marTop w:val="0"/>
          <w:marBottom w:val="0"/>
          <w:divBdr>
            <w:top w:val="none" w:sz="0" w:space="0" w:color="auto"/>
            <w:left w:val="none" w:sz="0" w:space="0" w:color="auto"/>
            <w:bottom w:val="none" w:sz="0" w:space="0" w:color="auto"/>
            <w:right w:val="none" w:sz="0" w:space="0" w:color="auto"/>
          </w:divBdr>
          <w:divsChild>
            <w:div w:id="876353340">
              <w:marLeft w:val="0"/>
              <w:marRight w:val="0"/>
              <w:marTop w:val="0"/>
              <w:marBottom w:val="0"/>
              <w:divBdr>
                <w:top w:val="none" w:sz="0" w:space="0" w:color="auto"/>
                <w:left w:val="none" w:sz="0" w:space="0" w:color="auto"/>
                <w:bottom w:val="none" w:sz="0" w:space="0" w:color="auto"/>
                <w:right w:val="none" w:sz="0" w:space="0" w:color="auto"/>
              </w:divBdr>
              <w:divsChild>
                <w:div w:id="153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883">
      <w:bodyDiv w:val="1"/>
      <w:marLeft w:val="0"/>
      <w:marRight w:val="0"/>
      <w:marTop w:val="0"/>
      <w:marBottom w:val="0"/>
      <w:divBdr>
        <w:top w:val="none" w:sz="0" w:space="0" w:color="auto"/>
        <w:left w:val="none" w:sz="0" w:space="0" w:color="auto"/>
        <w:bottom w:val="none" w:sz="0" w:space="0" w:color="auto"/>
        <w:right w:val="none" w:sz="0" w:space="0" w:color="auto"/>
      </w:divBdr>
    </w:div>
    <w:div w:id="1177620585">
      <w:bodyDiv w:val="1"/>
      <w:marLeft w:val="0"/>
      <w:marRight w:val="0"/>
      <w:marTop w:val="0"/>
      <w:marBottom w:val="0"/>
      <w:divBdr>
        <w:top w:val="none" w:sz="0" w:space="0" w:color="auto"/>
        <w:left w:val="none" w:sz="0" w:space="0" w:color="auto"/>
        <w:bottom w:val="none" w:sz="0" w:space="0" w:color="auto"/>
        <w:right w:val="none" w:sz="0" w:space="0" w:color="auto"/>
      </w:divBdr>
    </w:div>
    <w:div w:id="1201363876">
      <w:bodyDiv w:val="1"/>
      <w:marLeft w:val="0"/>
      <w:marRight w:val="0"/>
      <w:marTop w:val="0"/>
      <w:marBottom w:val="0"/>
      <w:divBdr>
        <w:top w:val="none" w:sz="0" w:space="0" w:color="auto"/>
        <w:left w:val="none" w:sz="0" w:space="0" w:color="auto"/>
        <w:bottom w:val="none" w:sz="0" w:space="0" w:color="auto"/>
        <w:right w:val="none" w:sz="0" w:space="0" w:color="auto"/>
      </w:divBdr>
    </w:div>
    <w:div w:id="1238513926">
      <w:bodyDiv w:val="1"/>
      <w:marLeft w:val="0"/>
      <w:marRight w:val="0"/>
      <w:marTop w:val="0"/>
      <w:marBottom w:val="0"/>
      <w:divBdr>
        <w:top w:val="none" w:sz="0" w:space="0" w:color="auto"/>
        <w:left w:val="none" w:sz="0" w:space="0" w:color="auto"/>
        <w:bottom w:val="none" w:sz="0" w:space="0" w:color="auto"/>
        <w:right w:val="none" w:sz="0" w:space="0" w:color="auto"/>
      </w:divBdr>
    </w:div>
    <w:div w:id="1263218837">
      <w:bodyDiv w:val="1"/>
      <w:marLeft w:val="0"/>
      <w:marRight w:val="0"/>
      <w:marTop w:val="0"/>
      <w:marBottom w:val="0"/>
      <w:divBdr>
        <w:top w:val="none" w:sz="0" w:space="0" w:color="auto"/>
        <w:left w:val="none" w:sz="0" w:space="0" w:color="auto"/>
        <w:bottom w:val="none" w:sz="0" w:space="0" w:color="auto"/>
        <w:right w:val="none" w:sz="0" w:space="0" w:color="auto"/>
      </w:divBdr>
    </w:div>
    <w:div w:id="1274435606">
      <w:bodyDiv w:val="1"/>
      <w:marLeft w:val="0"/>
      <w:marRight w:val="0"/>
      <w:marTop w:val="0"/>
      <w:marBottom w:val="0"/>
      <w:divBdr>
        <w:top w:val="none" w:sz="0" w:space="0" w:color="auto"/>
        <w:left w:val="none" w:sz="0" w:space="0" w:color="auto"/>
        <w:bottom w:val="none" w:sz="0" w:space="0" w:color="auto"/>
        <w:right w:val="none" w:sz="0" w:space="0" w:color="auto"/>
      </w:divBdr>
    </w:div>
    <w:div w:id="1275597669">
      <w:bodyDiv w:val="1"/>
      <w:marLeft w:val="0"/>
      <w:marRight w:val="0"/>
      <w:marTop w:val="0"/>
      <w:marBottom w:val="0"/>
      <w:divBdr>
        <w:top w:val="none" w:sz="0" w:space="0" w:color="auto"/>
        <w:left w:val="none" w:sz="0" w:space="0" w:color="auto"/>
        <w:bottom w:val="none" w:sz="0" w:space="0" w:color="auto"/>
        <w:right w:val="none" w:sz="0" w:space="0" w:color="auto"/>
      </w:divBdr>
      <w:divsChild>
        <w:div w:id="805850920">
          <w:marLeft w:val="0"/>
          <w:marRight w:val="0"/>
          <w:marTop w:val="0"/>
          <w:marBottom w:val="0"/>
          <w:divBdr>
            <w:top w:val="none" w:sz="0" w:space="0" w:color="auto"/>
            <w:left w:val="none" w:sz="0" w:space="0" w:color="auto"/>
            <w:bottom w:val="none" w:sz="0" w:space="0" w:color="auto"/>
            <w:right w:val="none" w:sz="0" w:space="0" w:color="auto"/>
          </w:divBdr>
          <w:divsChild>
            <w:div w:id="849835244">
              <w:marLeft w:val="0"/>
              <w:marRight w:val="0"/>
              <w:marTop w:val="0"/>
              <w:marBottom w:val="0"/>
              <w:divBdr>
                <w:top w:val="none" w:sz="0" w:space="0" w:color="auto"/>
                <w:left w:val="none" w:sz="0" w:space="0" w:color="auto"/>
                <w:bottom w:val="none" w:sz="0" w:space="0" w:color="auto"/>
                <w:right w:val="none" w:sz="0" w:space="0" w:color="auto"/>
              </w:divBdr>
              <w:divsChild>
                <w:div w:id="327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01299">
      <w:bodyDiv w:val="1"/>
      <w:marLeft w:val="0"/>
      <w:marRight w:val="0"/>
      <w:marTop w:val="0"/>
      <w:marBottom w:val="0"/>
      <w:divBdr>
        <w:top w:val="none" w:sz="0" w:space="0" w:color="auto"/>
        <w:left w:val="none" w:sz="0" w:space="0" w:color="auto"/>
        <w:bottom w:val="none" w:sz="0" w:space="0" w:color="auto"/>
        <w:right w:val="none" w:sz="0" w:space="0" w:color="auto"/>
      </w:divBdr>
    </w:div>
    <w:div w:id="1311323093">
      <w:bodyDiv w:val="1"/>
      <w:marLeft w:val="0"/>
      <w:marRight w:val="0"/>
      <w:marTop w:val="0"/>
      <w:marBottom w:val="0"/>
      <w:divBdr>
        <w:top w:val="none" w:sz="0" w:space="0" w:color="auto"/>
        <w:left w:val="none" w:sz="0" w:space="0" w:color="auto"/>
        <w:bottom w:val="none" w:sz="0" w:space="0" w:color="auto"/>
        <w:right w:val="none" w:sz="0" w:space="0" w:color="auto"/>
      </w:divBdr>
      <w:divsChild>
        <w:div w:id="1679850924">
          <w:marLeft w:val="0"/>
          <w:marRight w:val="0"/>
          <w:marTop w:val="0"/>
          <w:marBottom w:val="0"/>
          <w:divBdr>
            <w:top w:val="none" w:sz="0" w:space="0" w:color="auto"/>
            <w:left w:val="none" w:sz="0" w:space="0" w:color="auto"/>
            <w:bottom w:val="none" w:sz="0" w:space="0" w:color="auto"/>
            <w:right w:val="none" w:sz="0" w:space="0" w:color="auto"/>
          </w:divBdr>
          <w:divsChild>
            <w:div w:id="1893886435">
              <w:marLeft w:val="0"/>
              <w:marRight w:val="0"/>
              <w:marTop w:val="0"/>
              <w:marBottom w:val="0"/>
              <w:divBdr>
                <w:top w:val="none" w:sz="0" w:space="0" w:color="auto"/>
                <w:left w:val="none" w:sz="0" w:space="0" w:color="auto"/>
                <w:bottom w:val="none" w:sz="0" w:space="0" w:color="auto"/>
                <w:right w:val="none" w:sz="0" w:space="0" w:color="auto"/>
              </w:divBdr>
              <w:divsChild>
                <w:div w:id="327245150">
                  <w:marLeft w:val="0"/>
                  <w:marRight w:val="0"/>
                  <w:marTop w:val="0"/>
                  <w:marBottom w:val="0"/>
                  <w:divBdr>
                    <w:top w:val="none" w:sz="0" w:space="0" w:color="auto"/>
                    <w:left w:val="none" w:sz="0" w:space="0" w:color="auto"/>
                    <w:bottom w:val="none" w:sz="0" w:space="0" w:color="auto"/>
                    <w:right w:val="none" w:sz="0" w:space="0" w:color="auto"/>
                  </w:divBdr>
                  <w:divsChild>
                    <w:div w:id="14803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23427">
      <w:bodyDiv w:val="1"/>
      <w:marLeft w:val="0"/>
      <w:marRight w:val="0"/>
      <w:marTop w:val="0"/>
      <w:marBottom w:val="0"/>
      <w:divBdr>
        <w:top w:val="none" w:sz="0" w:space="0" w:color="auto"/>
        <w:left w:val="none" w:sz="0" w:space="0" w:color="auto"/>
        <w:bottom w:val="none" w:sz="0" w:space="0" w:color="auto"/>
        <w:right w:val="none" w:sz="0" w:space="0" w:color="auto"/>
      </w:divBdr>
    </w:div>
    <w:div w:id="1327628984">
      <w:bodyDiv w:val="1"/>
      <w:marLeft w:val="0"/>
      <w:marRight w:val="0"/>
      <w:marTop w:val="0"/>
      <w:marBottom w:val="0"/>
      <w:divBdr>
        <w:top w:val="none" w:sz="0" w:space="0" w:color="auto"/>
        <w:left w:val="none" w:sz="0" w:space="0" w:color="auto"/>
        <w:bottom w:val="none" w:sz="0" w:space="0" w:color="auto"/>
        <w:right w:val="none" w:sz="0" w:space="0" w:color="auto"/>
      </w:divBdr>
    </w:div>
    <w:div w:id="1380083808">
      <w:bodyDiv w:val="1"/>
      <w:marLeft w:val="0"/>
      <w:marRight w:val="0"/>
      <w:marTop w:val="0"/>
      <w:marBottom w:val="0"/>
      <w:divBdr>
        <w:top w:val="none" w:sz="0" w:space="0" w:color="auto"/>
        <w:left w:val="none" w:sz="0" w:space="0" w:color="auto"/>
        <w:bottom w:val="none" w:sz="0" w:space="0" w:color="auto"/>
        <w:right w:val="none" w:sz="0" w:space="0" w:color="auto"/>
      </w:divBdr>
      <w:divsChild>
        <w:div w:id="416365554">
          <w:marLeft w:val="0"/>
          <w:marRight w:val="0"/>
          <w:marTop w:val="0"/>
          <w:marBottom w:val="0"/>
          <w:divBdr>
            <w:top w:val="none" w:sz="0" w:space="0" w:color="auto"/>
            <w:left w:val="none" w:sz="0" w:space="0" w:color="auto"/>
            <w:bottom w:val="none" w:sz="0" w:space="0" w:color="auto"/>
            <w:right w:val="none" w:sz="0" w:space="0" w:color="auto"/>
          </w:divBdr>
          <w:divsChild>
            <w:div w:id="1289824463">
              <w:marLeft w:val="0"/>
              <w:marRight w:val="0"/>
              <w:marTop w:val="0"/>
              <w:marBottom w:val="0"/>
              <w:divBdr>
                <w:top w:val="none" w:sz="0" w:space="0" w:color="auto"/>
                <w:left w:val="none" w:sz="0" w:space="0" w:color="auto"/>
                <w:bottom w:val="none" w:sz="0" w:space="0" w:color="auto"/>
                <w:right w:val="none" w:sz="0" w:space="0" w:color="auto"/>
              </w:divBdr>
              <w:divsChild>
                <w:div w:id="11417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3000">
      <w:bodyDiv w:val="1"/>
      <w:marLeft w:val="0"/>
      <w:marRight w:val="0"/>
      <w:marTop w:val="0"/>
      <w:marBottom w:val="0"/>
      <w:divBdr>
        <w:top w:val="none" w:sz="0" w:space="0" w:color="auto"/>
        <w:left w:val="none" w:sz="0" w:space="0" w:color="auto"/>
        <w:bottom w:val="none" w:sz="0" w:space="0" w:color="auto"/>
        <w:right w:val="none" w:sz="0" w:space="0" w:color="auto"/>
      </w:divBdr>
    </w:div>
    <w:div w:id="1434129371">
      <w:bodyDiv w:val="1"/>
      <w:marLeft w:val="0"/>
      <w:marRight w:val="0"/>
      <w:marTop w:val="0"/>
      <w:marBottom w:val="0"/>
      <w:divBdr>
        <w:top w:val="none" w:sz="0" w:space="0" w:color="auto"/>
        <w:left w:val="none" w:sz="0" w:space="0" w:color="auto"/>
        <w:bottom w:val="none" w:sz="0" w:space="0" w:color="auto"/>
        <w:right w:val="none" w:sz="0" w:space="0" w:color="auto"/>
      </w:divBdr>
    </w:div>
    <w:div w:id="1439830678">
      <w:bodyDiv w:val="1"/>
      <w:marLeft w:val="0"/>
      <w:marRight w:val="0"/>
      <w:marTop w:val="0"/>
      <w:marBottom w:val="0"/>
      <w:divBdr>
        <w:top w:val="none" w:sz="0" w:space="0" w:color="auto"/>
        <w:left w:val="none" w:sz="0" w:space="0" w:color="auto"/>
        <w:bottom w:val="none" w:sz="0" w:space="0" w:color="auto"/>
        <w:right w:val="none" w:sz="0" w:space="0" w:color="auto"/>
      </w:divBdr>
    </w:div>
    <w:div w:id="1459030583">
      <w:bodyDiv w:val="1"/>
      <w:marLeft w:val="0"/>
      <w:marRight w:val="0"/>
      <w:marTop w:val="0"/>
      <w:marBottom w:val="0"/>
      <w:divBdr>
        <w:top w:val="none" w:sz="0" w:space="0" w:color="auto"/>
        <w:left w:val="none" w:sz="0" w:space="0" w:color="auto"/>
        <w:bottom w:val="none" w:sz="0" w:space="0" w:color="auto"/>
        <w:right w:val="none" w:sz="0" w:space="0" w:color="auto"/>
      </w:divBdr>
      <w:divsChild>
        <w:div w:id="1925722331">
          <w:marLeft w:val="0"/>
          <w:marRight w:val="0"/>
          <w:marTop w:val="0"/>
          <w:marBottom w:val="0"/>
          <w:divBdr>
            <w:top w:val="none" w:sz="0" w:space="0" w:color="auto"/>
            <w:left w:val="none" w:sz="0" w:space="0" w:color="auto"/>
            <w:bottom w:val="none" w:sz="0" w:space="0" w:color="auto"/>
            <w:right w:val="none" w:sz="0" w:space="0" w:color="auto"/>
          </w:divBdr>
          <w:divsChild>
            <w:div w:id="1526863499">
              <w:marLeft w:val="0"/>
              <w:marRight w:val="0"/>
              <w:marTop w:val="0"/>
              <w:marBottom w:val="0"/>
              <w:divBdr>
                <w:top w:val="none" w:sz="0" w:space="0" w:color="auto"/>
                <w:left w:val="none" w:sz="0" w:space="0" w:color="auto"/>
                <w:bottom w:val="none" w:sz="0" w:space="0" w:color="auto"/>
                <w:right w:val="none" w:sz="0" w:space="0" w:color="auto"/>
              </w:divBdr>
              <w:divsChild>
                <w:div w:id="12032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6096">
      <w:bodyDiv w:val="1"/>
      <w:marLeft w:val="0"/>
      <w:marRight w:val="0"/>
      <w:marTop w:val="0"/>
      <w:marBottom w:val="0"/>
      <w:divBdr>
        <w:top w:val="none" w:sz="0" w:space="0" w:color="auto"/>
        <w:left w:val="none" w:sz="0" w:space="0" w:color="auto"/>
        <w:bottom w:val="none" w:sz="0" w:space="0" w:color="auto"/>
        <w:right w:val="none" w:sz="0" w:space="0" w:color="auto"/>
      </w:divBdr>
    </w:div>
    <w:div w:id="1477607194">
      <w:bodyDiv w:val="1"/>
      <w:marLeft w:val="0"/>
      <w:marRight w:val="0"/>
      <w:marTop w:val="0"/>
      <w:marBottom w:val="0"/>
      <w:divBdr>
        <w:top w:val="none" w:sz="0" w:space="0" w:color="auto"/>
        <w:left w:val="none" w:sz="0" w:space="0" w:color="auto"/>
        <w:bottom w:val="none" w:sz="0" w:space="0" w:color="auto"/>
        <w:right w:val="none" w:sz="0" w:space="0" w:color="auto"/>
      </w:divBdr>
    </w:div>
    <w:div w:id="1481190614">
      <w:bodyDiv w:val="1"/>
      <w:marLeft w:val="0"/>
      <w:marRight w:val="0"/>
      <w:marTop w:val="0"/>
      <w:marBottom w:val="0"/>
      <w:divBdr>
        <w:top w:val="none" w:sz="0" w:space="0" w:color="auto"/>
        <w:left w:val="none" w:sz="0" w:space="0" w:color="auto"/>
        <w:bottom w:val="none" w:sz="0" w:space="0" w:color="auto"/>
        <w:right w:val="none" w:sz="0" w:space="0" w:color="auto"/>
      </w:divBdr>
    </w:div>
    <w:div w:id="1491360062">
      <w:bodyDiv w:val="1"/>
      <w:marLeft w:val="0"/>
      <w:marRight w:val="0"/>
      <w:marTop w:val="0"/>
      <w:marBottom w:val="0"/>
      <w:divBdr>
        <w:top w:val="none" w:sz="0" w:space="0" w:color="auto"/>
        <w:left w:val="none" w:sz="0" w:space="0" w:color="auto"/>
        <w:bottom w:val="none" w:sz="0" w:space="0" w:color="auto"/>
        <w:right w:val="none" w:sz="0" w:space="0" w:color="auto"/>
      </w:divBdr>
    </w:div>
    <w:div w:id="1554923188">
      <w:bodyDiv w:val="1"/>
      <w:marLeft w:val="0"/>
      <w:marRight w:val="0"/>
      <w:marTop w:val="0"/>
      <w:marBottom w:val="0"/>
      <w:divBdr>
        <w:top w:val="none" w:sz="0" w:space="0" w:color="auto"/>
        <w:left w:val="none" w:sz="0" w:space="0" w:color="auto"/>
        <w:bottom w:val="none" w:sz="0" w:space="0" w:color="auto"/>
        <w:right w:val="none" w:sz="0" w:space="0" w:color="auto"/>
      </w:divBdr>
    </w:div>
    <w:div w:id="1641612388">
      <w:bodyDiv w:val="1"/>
      <w:marLeft w:val="0"/>
      <w:marRight w:val="0"/>
      <w:marTop w:val="0"/>
      <w:marBottom w:val="0"/>
      <w:divBdr>
        <w:top w:val="none" w:sz="0" w:space="0" w:color="auto"/>
        <w:left w:val="none" w:sz="0" w:space="0" w:color="auto"/>
        <w:bottom w:val="none" w:sz="0" w:space="0" w:color="auto"/>
        <w:right w:val="none" w:sz="0" w:space="0" w:color="auto"/>
      </w:divBdr>
    </w:div>
    <w:div w:id="1743018081">
      <w:bodyDiv w:val="1"/>
      <w:marLeft w:val="0"/>
      <w:marRight w:val="0"/>
      <w:marTop w:val="0"/>
      <w:marBottom w:val="0"/>
      <w:divBdr>
        <w:top w:val="none" w:sz="0" w:space="0" w:color="auto"/>
        <w:left w:val="none" w:sz="0" w:space="0" w:color="auto"/>
        <w:bottom w:val="none" w:sz="0" w:space="0" w:color="auto"/>
        <w:right w:val="none" w:sz="0" w:space="0" w:color="auto"/>
      </w:divBdr>
    </w:div>
    <w:div w:id="1763329882">
      <w:bodyDiv w:val="1"/>
      <w:marLeft w:val="0"/>
      <w:marRight w:val="0"/>
      <w:marTop w:val="0"/>
      <w:marBottom w:val="0"/>
      <w:divBdr>
        <w:top w:val="none" w:sz="0" w:space="0" w:color="auto"/>
        <w:left w:val="none" w:sz="0" w:space="0" w:color="auto"/>
        <w:bottom w:val="none" w:sz="0" w:space="0" w:color="auto"/>
        <w:right w:val="none" w:sz="0" w:space="0" w:color="auto"/>
      </w:divBdr>
    </w:div>
    <w:div w:id="1788350099">
      <w:bodyDiv w:val="1"/>
      <w:marLeft w:val="0"/>
      <w:marRight w:val="0"/>
      <w:marTop w:val="0"/>
      <w:marBottom w:val="0"/>
      <w:divBdr>
        <w:top w:val="none" w:sz="0" w:space="0" w:color="auto"/>
        <w:left w:val="none" w:sz="0" w:space="0" w:color="auto"/>
        <w:bottom w:val="none" w:sz="0" w:space="0" w:color="auto"/>
        <w:right w:val="none" w:sz="0" w:space="0" w:color="auto"/>
      </w:divBdr>
    </w:div>
    <w:div w:id="1788545483">
      <w:bodyDiv w:val="1"/>
      <w:marLeft w:val="0"/>
      <w:marRight w:val="0"/>
      <w:marTop w:val="0"/>
      <w:marBottom w:val="0"/>
      <w:divBdr>
        <w:top w:val="none" w:sz="0" w:space="0" w:color="auto"/>
        <w:left w:val="none" w:sz="0" w:space="0" w:color="auto"/>
        <w:bottom w:val="none" w:sz="0" w:space="0" w:color="auto"/>
        <w:right w:val="none" w:sz="0" w:space="0" w:color="auto"/>
      </w:divBdr>
    </w:div>
    <w:div w:id="1802577399">
      <w:bodyDiv w:val="1"/>
      <w:marLeft w:val="0"/>
      <w:marRight w:val="0"/>
      <w:marTop w:val="0"/>
      <w:marBottom w:val="0"/>
      <w:divBdr>
        <w:top w:val="none" w:sz="0" w:space="0" w:color="auto"/>
        <w:left w:val="none" w:sz="0" w:space="0" w:color="auto"/>
        <w:bottom w:val="none" w:sz="0" w:space="0" w:color="auto"/>
        <w:right w:val="none" w:sz="0" w:space="0" w:color="auto"/>
      </w:divBdr>
    </w:div>
    <w:div w:id="1823278005">
      <w:bodyDiv w:val="1"/>
      <w:marLeft w:val="0"/>
      <w:marRight w:val="0"/>
      <w:marTop w:val="0"/>
      <w:marBottom w:val="0"/>
      <w:divBdr>
        <w:top w:val="none" w:sz="0" w:space="0" w:color="auto"/>
        <w:left w:val="none" w:sz="0" w:space="0" w:color="auto"/>
        <w:bottom w:val="none" w:sz="0" w:space="0" w:color="auto"/>
        <w:right w:val="none" w:sz="0" w:space="0" w:color="auto"/>
      </w:divBdr>
    </w:div>
    <w:div w:id="1831210291">
      <w:bodyDiv w:val="1"/>
      <w:marLeft w:val="0"/>
      <w:marRight w:val="0"/>
      <w:marTop w:val="0"/>
      <w:marBottom w:val="0"/>
      <w:divBdr>
        <w:top w:val="none" w:sz="0" w:space="0" w:color="auto"/>
        <w:left w:val="none" w:sz="0" w:space="0" w:color="auto"/>
        <w:bottom w:val="none" w:sz="0" w:space="0" w:color="auto"/>
        <w:right w:val="none" w:sz="0" w:space="0" w:color="auto"/>
      </w:divBdr>
    </w:div>
    <w:div w:id="1835073759">
      <w:bodyDiv w:val="1"/>
      <w:marLeft w:val="0"/>
      <w:marRight w:val="0"/>
      <w:marTop w:val="0"/>
      <w:marBottom w:val="0"/>
      <w:divBdr>
        <w:top w:val="none" w:sz="0" w:space="0" w:color="auto"/>
        <w:left w:val="none" w:sz="0" w:space="0" w:color="auto"/>
        <w:bottom w:val="none" w:sz="0" w:space="0" w:color="auto"/>
        <w:right w:val="none" w:sz="0" w:space="0" w:color="auto"/>
      </w:divBdr>
    </w:div>
    <w:div w:id="1863668282">
      <w:bodyDiv w:val="1"/>
      <w:marLeft w:val="0"/>
      <w:marRight w:val="0"/>
      <w:marTop w:val="0"/>
      <w:marBottom w:val="0"/>
      <w:divBdr>
        <w:top w:val="none" w:sz="0" w:space="0" w:color="auto"/>
        <w:left w:val="none" w:sz="0" w:space="0" w:color="auto"/>
        <w:bottom w:val="none" w:sz="0" w:space="0" w:color="auto"/>
        <w:right w:val="none" w:sz="0" w:space="0" w:color="auto"/>
      </w:divBdr>
    </w:div>
    <w:div w:id="1864786404">
      <w:bodyDiv w:val="1"/>
      <w:marLeft w:val="0"/>
      <w:marRight w:val="0"/>
      <w:marTop w:val="0"/>
      <w:marBottom w:val="0"/>
      <w:divBdr>
        <w:top w:val="none" w:sz="0" w:space="0" w:color="auto"/>
        <w:left w:val="none" w:sz="0" w:space="0" w:color="auto"/>
        <w:bottom w:val="none" w:sz="0" w:space="0" w:color="auto"/>
        <w:right w:val="none" w:sz="0" w:space="0" w:color="auto"/>
      </w:divBdr>
    </w:div>
    <w:div w:id="1871839397">
      <w:bodyDiv w:val="1"/>
      <w:marLeft w:val="0"/>
      <w:marRight w:val="0"/>
      <w:marTop w:val="0"/>
      <w:marBottom w:val="0"/>
      <w:divBdr>
        <w:top w:val="none" w:sz="0" w:space="0" w:color="auto"/>
        <w:left w:val="none" w:sz="0" w:space="0" w:color="auto"/>
        <w:bottom w:val="none" w:sz="0" w:space="0" w:color="auto"/>
        <w:right w:val="none" w:sz="0" w:space="0" w:color="auto"/>
      </w:divBdr>
    </w:div>
    <w:div w:id="1884100047">
      <w:bodyDiv w:val="1"/>
      <w:marLeft w:val="0"/>
      <w:marRight w:val="0"/>
      <w:marTop w:val="0"/>
      <w:marBottom w:val="0"/>
      <w:divBdr>
        <w:top w:val="none" w:sz="0" w:space="0" w:color="auto"/>
        <w:left w:val="none" w:sz="0" w:space="0" w:color="auto"/>
        <w:bottom w:val="none" w:sz="0" w:space="0" w:color="auto"/>
        <w:right w:val="none" w:sz="0" w:space="0" w:color="auto"/>
      </w:divBdr>
    </w:div>
    <w:div w:id="1894190930">
      <w:bodyDiv w:val="1"/>
      <w:marLeft w:val="0"/>
      <w:marRight w:val="0"/>
      <w:marTop w:val="0"/>
      <w:marBottom w:val="0"/>
      <w:divBdr>
        <w:top w:val="none" w:sz="0" w:space="0" w:color="auto"/>
        <w:left w:val="none" w:sz="0" w:space="0" w:color="auto"/>
        <w:bottom w:val="none" w:sz="0" w:space="0" w:color="auto"/>
        <w:right w:val="none" w:sz="0" w:space="0" w:color="auto"/>
      </w:divBdr>
    </w:div>
    <w:div w:id="1913616164">
      <w:bodyDiv w:val="1"/>
      <w:marLeft w:val="0"/>
      <w:marRight w:val="0"/>
      <w:marTop w:val="0"/>
      <w:marBottom w:val="0"/>
      <w:divBdr>
        <w:top w:val="none" w:sz="0" w:space="0" w:color="auto"/>
        <w:left w:val="none" w:sz="0" w:space="0" w:color="auto"/>
        <w:bottom w:val="none" w:sz="0" w:space="0" w:color="auto"/>
        <w:right w:val="none" w:sz="0" w:space="0" w:color="auto"/>
      </w:divBdr>
    </w:div>
    <w:div w:id="1919056953">
      <w:bodyDiv w:val="1"/>
      <w:marLeft w:val="0"/>
      <w:marRight w:val="0"/>
      <w:marTop w:val="0"/>
      <w:marBottom w:val="0"/>
      <w:divBdr>
        <w:top w:val="none" w:sz="0" w:space="0" w:color="auto"/>
        <w:left w:val="none" w:sz="0" w:space="0" w:color="auto"/>
        <w:bottom w:val="none" w:sz="0" w:space="0" w:color="auto"/>
        <w:right w:val="none" w:sz="0" w:space="0" w:color="auto"/>
      </w:divBdr>
    </w:div>
    <w:div w:id="1939025383">
      <w:bodyDiv w:val="1"/>
      <w:marLeft w:val="0"/>
      <w:marRight w:val="0"/>
      <w:marTop w:val="0"/>
      <w:marBottom w:val="0"/>
      <w:divBdr>
        <w:top w:val="none" w:sz="0" w:space="0" w:color="auto"/>
        <w:left w:val="none" w:sz="0" w:space="0" w:color="auto"/>
        <w:bottom w:val="none" w:sz="0" w:space="0" w:color="auto"/>
        <w:right w:val="none" w:sz="0" w:space="0" w:color="auto"/>
      </w:divBdr>
    </w:div>
    <w:div w:id="1968467612">
      <w:bodyDiv w:val="1"/>
      <w:marLeft w:val="0"/>
      <w:marRight w:val="0"/>
      <w:marTop w:val="0"/>
      <w:marBottom w:val="0"/>
      <w:divBdr>
        <w:top w:val="none" w:sz="0" w:space="0" w:color="auto"/>
        <w:left w:val="none" w:sz="0" w:space="0" w:color="auto"/>
        <w:bottom w:val="none" w:sz="0" w:space="0" w:color="auto"/>
        <w:right w:val="none" w:sz="0" w:space="0" w:color="auto"/>
      </w:divBdr>
    </w:div>
    <w:div w:id="1981107973">
      <w:bodyDiv w:val="1"/>
      <w:marLeft w:val="0"/>
      <w:marRight w:val="0"/>
      <w:marTop w:val="0"/>
      <w:marBottom w:val="0"/>
      <w:divBdr>
        <w:top w:val="none" w:sz="0" w:space="0" w:color="auto"/>
        <w:left w:val="none" w:sz="0" w:space="0" w:color="auto"/>
        <w:bottom w:val="none" w:sz="0" w:space="0" w:color="auto"/>
        <w:right w:val="none" w:sz="0" w:space="0" w:color="auto"/>
      </w:divBdr>
    </w:div>
    <w:div w:id="1987733596">
      <w:bodyDiv w:val="1"/>
      <w:marLeft w:val="0"/>
      <w:marRight w:val="0"/>
      <w:marTop w:val="0"/>
      <w:marBottom w:val="0"/>
      <w:divBdr>
        <w:top w:val="none" w:sz="0" w:space="0" w:color="auto"/>
        <w:left w:val="none" w:sz="0" w:space="0" w:color="auto"/>
        <w:bottom w:val="none" w:sz="0" w:space="0" w:color="auto"/>
        <w:right w:val="none" w:sz="0" w:space="0" w:color="auto"/>
      </w:divBdr>
    </w:div>
    <w:div w:id="2004501973">
      <w:bodyDiv w:val="1"/>
      <w:marLeft w:val="0"/>
      <w:marRight w:val="0"/>
      <w:marTop w:val="0"/>
      <w:marBottom w:val="0"/>
      <w:divBdr>
        <w:top w:val="none" w:sz="0" w:space="0" w:color="auto"/>
        <w:left w:val="none" w:sz="0" w:space="0" w:color="auto"/>
        <w:bottom w:val="none" w:sz="0" w:space="0" w:color="auto"/>
        <w:right w:val="none" w:sz="0" w:space="0" w:color="auto"/>
      </w:divBdr>
    </w:div>
    <w:div w:id="2015569481">
      <w:bodyDiv w:val="1"/>
      <w:marLeft w:val="0"/>
      <w:marRight w:val="0"/>
      <w:marTop w:val="0"/>
      <w:marBottom w:val="0"/>
      <w:divBdr>
        <w:top w:val="none" w:sz="0" w:space="0" w:color="auto"/>
        <w:left w:val="none" w:sz="0" w:space="0" w:color="auto"/>
        <w:bottom w:val="none" w:sz="0" w:space="0" w:color="auto"/>
        <w:right w:val="none" w:sz="0" w:space="0" w:color="auto"/>
      </w:divBdr>
      <w:divsChild>
        <w:div w:id="337121491">
          <w:marLeft w:val="0"/>
          <w:marRight w:val="0"/>
          <w:marTop w:val="0"/>
          <w:marBottom w:val="0"/>
          <w:divBdr>
            <w:top w:val="none" w:sz="0" w:space="0" w:color="auto"/>
            <w:left w:val="none" w:sz="0" w:space="0" w:color="auto"/>
            <w:bottom w:val="none" w:sz="0" w:space="0" w:color="auto"/>
            <w:right w:val="none" w:sz="0" w:space="0" w:color="auto"/>
          </w:divBdr>
          <w:divsChild>
            <w:div w:id="357313696">
              <w:marLeft w:val="0"/>
              <w:marRight w:val="0"/>
              <w:marTop w:val="0"/>
              <w:marBottom w:val="0"/>
              <w:divBdr>
                <w:top w:val="none" w:sz="0" w:space="0" w:color="auto"/>
                <w:left w:val="none" w:sz="0" w:space="0" w:color="auto"/>
                <w:bottom w:val="none" w:sz="0" w:space="0" w:color="auto"/>
                <w:right w:val="none" w:sz="0" w:space="0" w:color="auto"/>
              </w:divBdr>
              <w:divsChild>
                <w:div w:id="1690450008">
                  <w:marLeft w:val="0"/>
                  <w:marRight w:val="0"/>
                  <w:marTop w:val="0"/>
                  <w:marBottom w:val="0"/>
                  <w:divBdr>
                    <w:top w:val="none" w:sz="0" w:space="0" w:color="auto"/>
                    <w:left w:val="none" w:sz="0" w:space="0" w:color="auto"/>
                    <w:bottom w:val="none" w:sz="0" w:space="0" w:color="auto"/>
                    <w:right w:val="none" w:sz="0" w:space="0" w:color="auto"/>
                  </w:divBdr>
                  <w:divsChild>
                    <w:div w:id="564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857286">
      <w:bodyDiv w:val="1"/>
      <w:marLeft w:val="0"/>
      <w:marRight w:val="0"/>
      <w:marTop w:val="0"/>
      <w:marBottom w:val="0"/>
      <w:divBdr>
        <w:top w:val="none" w:sz="0" w:space="0" w:color="auto"/>
        <w:left w:val="none" w:sz="0" w:space="0" w:color="auto"/>
        <w:bottom w:val="none" w:sz="0" w:space="0" w:color="auto"/>
        <w:right w:val="none" w:sz="0" w:space="0" w:color="auto"/>
      </w:divBdr>
      <w:divsChild>
        <w:div w:id="1410344492">
          <w:marLeft w:val="0"/>
          <w:marRight w:val="0"/>
          <w:marTop w:val="0"/>
          <w:marBottom w:val="0"/>
          <w:divBdr>
            <w:top w:val="none" w:sz="0" w:space="0" w:color="auto"/>
            <w:left w:val="none" w:sz="0" w:space="0" w:color="auto"/>
            <w:bottom w:val="none" w:sz="0" w:space="0" w:color="auto"/>
            <w:right w:val="none" w:sz="0" w:space="0" w:color="auto"/>
          </w:divBdr>
          <w:divsChild>
            <w:div w:id="1335106110">
              <w:marLeft w:val="0"/>
              <w:marRight w:val="0"/>
              <w:marTop w:val="0"/>
              <w:marBottom w:val="0"/>
              <w:divBdr>
                <w:top w:val="none" w:sz="0" w:space="0" w:color="auto"/>
                <w:left w:val="none" w:sz="0" w:space="0" w:color="auto"/>
                <w:bottom w:val="none" w:sz="0" w:space="0" w:color="auto"/>
                <w:right w:val="none" w:sz="0" w:space="0" w:color="auto"/>
              </w:divBdr>
              <w:divsChild>
                <w:div w:id="2081250129">
                  <w:marLeft w:val="0"/>
                  <w:marRight w:val="0"/>
                  <w:marTop w:val="0"/>
                  <w:marBottom w:val="0"/>
                  <w:divBdr>
                    <w:top w:val="none" w:sz="0" w:space="0" w:color="auto"/>
                    <w:left w:val="none" w:sz="0" w:space="0" w:color="auto"/>
                    <w:bottom w:val="none" w:sz="0" w:space="0" w:color="auto"/>
                    <w:right w:val="none" w:sz="0" w:space="0" w:color="auto"/>
                  </w:divBdr>
                  <w:divsChild>
                    <w:div w:id="6975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66038">
      <w:bodyDiv w:val="1"/>
      <w:marLeft w:val="0"/>
      <w:marRight w:val="0"/>
      <w:marTop w:val="0"/>
      <w:marBottom w:val="0"/>
      <w:divBdr>
        <w:top w:val="none" w:sz="0" w:space="0" w:color="auto"/>
        <w:left w:val="none" w:sz="0" w:space="0" w:color="auto"/>
        <w:bottom w:val="none" w:sz="0" w:space="0" w:color="auto"/>
        <w:right w:val="none" w:sz="0" w:space="0" w:color="auto"/>
      </w:divBdr>
    </w:div>
    <w:div w:id="2034455160">
      <w:bodyDiv w:val="1"/>
      <w:marLeft w:val="0"/>
      <w:marRight w:val="0"/>
      <w:marTop w:val="0"/>
      <w:marBottom w:val="0"/>
      <w:divBdr>
        <w:top w:val="none" w:sz="0" w:space="0" w:color="auto"/>
        <w:left w:val="none" w:sz="0" w:space="0" w:color="auto"/>
        <w:bottom w:val="none" w:sz="0" w:space="0" w:color="auto"/>
        <w:right w:val="none" w:sz="0" w:space="0" w:color="auto"/>
      </w:divBdr>
    </w:div>
    <w:div w:id="2038188832">
      <w:bodyDiv w:val="1"/>
      <w:marLeft w:val="0"/>
      <w:marRight w:val="0"/>
      <w:marTop w:val="0"/>
      <w:marBottom w:val="0"/>
      <w:divBdr>
        <w:top w:val="none" w:sz="0" w:space="0" w:color="auto"/>
        <w:left w:val="none" w:sz="0" w:space="0" w:color="auto"/>
        <w:bottom w:val="none" w:sz="0" w:space="0" w:color="auto"/>
        <w:right w:val="none" w:sz="0" w:space="0" w:color="auto"/>
      </w:divBdr>
    </w:div>
    <w:div w:id="2103991743">
      <w:bodyDiv w:val="1"/>
      <w:marLeft w:val="0"/>
      <w:marRight w:val="0"/>
      <w:marTop w:val="0"/>
      <w:marBottom w:val="0"/>
      <w:divBdr>
        <w:top w:val="none" w:sz="0" w:space="0" w:color="auto"/>
        <w:left w:val="none" w:sz="0" w:space="0" w:color="auto"/>
        <w:bottom w:val="none" w:sz="0" w:space="0" w:color="auto"/>
        <w:right w:val="none" w:sz="0" w:space="0" w:color="auto"/>
      </w:divBdr>
    </w:div>
    <w:div w:id="2108188543">
      <w:bodyDiv w:val="1"/>
      <w:marLeft w:val="0"/>
      <w:marRight w:val="0"/>
      <w:marTop w:val="0"/>
      <w:marBottom w:val="0"/>
      <w:divBdr>
        <w:top w:val="none" w:sz="0" w:space="0" w:color="auto"/>
        <w:left w:val="none" w:sz="0" w:space="0" w:color="auto"/>
        <w:bottom w:val="none" w:sz="0" w:space="0" w:color="auto"/>
        <w:right w:val="none" w:sz="0" w:space="0" w:color="auto"/>
      </w:divBdr>
    </w:div>
    <w:div w:id="2123106564">
      <w:bodyDiv w:val="1"/>
      <w:marLeft w:val="0"/>
      <w:marRight w:val="0"/>
      <w:marTop w:val="0"/>
      <w:marBottom w:val="0"/>
      <w:divBdr>
        <w:top w:val="none" w:sz="0" w:space="0" w:color="auto"/>
        <w:left w:val="none" w:sz="0" w:space="0" w:color="auto"/>
        <w:bottom w:val="none" w:sz="0" w:space="0" w:color="auto"/>
        <w:right w:val="none" w:sz="0" w:space="0" w:color="auto"/>
      </w:divBdr>
      <w:divsChild>
        <w:div w:id="204830718">
          <w:marLeft w:val="0"/>
          <w:marRight w:val="0"/>
          <w:marTop w:val="0"/>
          <w:marBottom w:val="0"/>
          <w:divBdr>
            <w:top w:val="none" w:sz="0" w:space="0" w:color="auto"/>
            <w:left w:val="none" w:sz="0" w:space="0" w:color="auto"/>
            <w:bottom w:val="none" w:sz="0" w:space="0" w:color="auto"/>
            <w:right w:val="none" w:sz="0" w:space="0" w:color="auto"/>
          </w:divBdr>
          <w:divsChild>
            <w:div w:id="330256213">
              <w:marLeft w:val="0"/>
              <w:marRight w:val="0"/>
              <w:marTop w:val="0"/>
              <w:marBottom w:val="0"/>
              <w:divBdr>
                <w:top w:val="none" w:sz="0" w:space="0" w:color="auto"/>
                <w:left w:val="none" w:sz="0" w:space="0" w:color="auto"/>
                <w:bottom w:val="none" w:sz="0" w:space="0" w:color="auto"/>
                <w:right w:val="none" w:sz="0" w:space="0" w:color="auto"/>
              </w:divBdr>
              <w:divsChild>
                <w:div w:id="1738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6151">
      <w:bodyDiv w:val="1"/>
      <w:marLeft w:val="0"/>
      <w:marRight w:val="0"/>
      <w:marTop w:val="0"/>
      <w:marBottom w:val="0"/>
      <w:divBdr>
        <w:top w:val="none" w:sz="0" w:space="0" w:color="auto"/>
        <w:left w:val="none" w:sz="0" w:space="0" w:color="auto"/>
        <w:bottom w:val="none" w:sz="0" w:space="0" w:color="auto"/>
        <w:right w:val="none" w:sz="0" w:space="0" w:color="auto"/>
      </w:divBdr>
      <w:divsChild>
        <w:div w:id="1569723870">
          <w:marLeft w:val="0"/>
          <w:marRight w:val="0"/>
          <w:marTop w:val="0"/>
          <w:marBottom w:val="0"/>
          <w:divBdr>
            <w:top w:val="none" w:sz="0" w:space="0" w:color="auto"/>
            <w:left w:val="none" w:sz="0" w:space="0" w:color="auto"/>
            <w:bottom w:val="none" w:sz="0" w:space="0" w:color="auto"/>
            <w:right w:val="none" w:sz="0" w:space="0" w:color="auto"/>
          </w:divBdr>
          <w:divsChild>
            <w:div w:id="1932398409">
              <w:marLeft w:val="0"/>
              <w:marRight w:val="0"/>
              <w:marTop w:val="0"/>
              <w:marBottom w:val="0"/>
              <w:divBdr>
                <w:top w:val="none" w:sz="0" w:space="0" w:color="auto"/>
                <w:left w:val="none" w:sz="0" w:space="0" w:color="auto"/>
                <w:bottom w:val="none" w:sz="0" w:space="0" w:color="auto"/>
                <w:right w:val="none" w:sz="0" w:space="0" w:color="auto"/>
              </w:divBdr>
              <w:divsChild>
                <w:div w:id="69079498">
                  <w:marLeft w:val="0"/>
                  <w:marRight w:val="0"/>
                  <w:marTop w:val="0"/>
                  <w:marBottom w:val="0"/>
                  <w:divBdr>
                    <w:top w:val="none" w:sz="0" w:space="0" w:color="auto"/>
                    <w:left w:val="none" w:sz="0" w:space="0" w:color="auto"/>
                    <w:bottom w:val="none" w:sz="0" w:space="0" w:color="auto"/>
                    <w:right w:val="none" w:sz="0" w:space="0" w:color="auto"/>
                  </w:divBdr>
                  <w:divsChild>
                    <w:div w:id="4172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sha.wang@soton.ac.uk" TargetMode="External"/><Relationship Id="rId13" Type="http://schemas.openxmlformats.org/officeDocument/2006/relationships/hyperlink" Target="https://www.cancercentre.ox.ac.uk/research/consortia/sichuan-university-west-china-hospital-oxford-university-gastrointestinal-cancer-centre/" TargetMode="External"/><Relationship Id="rId18" Type="http://schemas.openxmlformats.org/officeDocument/2006/relationships/hyperlink" Target="http://www.wchscu.cn/details/50453.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lderheycharity.org/news/latest-news/the-alder-play-app-has-launched/" TargetMode="External"/><Relationship Id="rId17" Type="http://schemas.openxmlformats.org/officeDocument/2006/relationships/hyperlink" Target="https://www.cognizant.com/whitepapers/making-ai-responsible-and-effective-codex3916.pdf" TargetMode="External"/><Relationship Id="rId2" Type="http://schemas.openxmlformats.org/officeDocument/2006/relationships/numbering" Target="numbering.xml"/><Relationship Id="rId16" Type="http://schemas.openxmlformats.org/officeDocument/2006/relationships/hyperlink" Target="http://www.seedsmed.com/news/3.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chuan.wang@sheffield.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746-018-0048-y" TargetMode="External"/><Relationship Id="rId23" Type="http://schemas.openxmlformats.org/officeDocument/2006/relationships/fontTable" Target="fontTable.xml"/><Relationship Id="rId10" Type="http://schemas.openxmlformats.org/officeDocument/2006/relationships/hyperlink" Target="mailto:mxiong5@sheffield.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ng.chen@soton.ac.uk" TargetMode="External"/><Relationship Id="rId14" Type="http://schemas.openxmlformats.org/officeDocument/2006/relationships/hyperlink" Target="https://dl.acm.org/doi/10.5555/3171837.3171945"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3FFA-0534-954F-976D-BC3DCECC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28024</Words>
  <Characters>159737</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187387</CharactersWithSpaces>
  <SharedDoc>false</SharedDoc>
  <HyperlinkBase/>
  <HLinks>
    <vt:vector size="6" baseType="variant">
      <vt:variant>
        <vt:i4>4391001</vt:i4>
      </vt:variant>
      <vt:variant>
        <vt:i4>199</vt:i4>
      </vt:variant>
      <vt:variant>
        <vt:i4>0</vt:i4>
      </vt:variant>
      <vt:variant>
        <vt:i4>5</vt:i4>
      </vt:variant>
      <vt:variant>
        <vt:lpwstr>https://www.alderheycharity.org/news/latest-news/the-alder-play-app-has-launched/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Chen</dc:creator>
  <cp:keywords/>
  <dc:description/>
  <cp:lastModifiedBy>Weisha</cp:lastModifiedBy>
  <cp:revision>7</cp:revision>
  <cp:lastPrinted>2021-03-20T10:57:00Z</cp:lastPrinted>
  <dcterms:created xsi:type="dcterms:W3CDTF">2021-05-31T08:51:00Z</dcterms:created>
  <dcterms:modified xsi:type="dcterms:W3CDTF">2021-06-02T12:38:00Z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http://csl.mendeley.com/styles/490739001/apa</vt:lpwstr>
  </property>
  <property fmtid="{D5CDD505-2E9C-101B-9397-08002B2CF9AE}" pid="3" name="Mendeley Recent Style Name 0_1">
    <vt:lpwstr>APA - Mengran Xiong</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http://csl.mendeley.com/styles/490739001/xmd</vt:lpwstr>
  </property>
  <property fmtid="{D5CDD505-2E9C-101B-9397-08002B2CF9AE}" pid="13" name="Mendeley Recent Style Name 5_1">
    <vt:lpwstr>Harvard</vt:lpwstr>
  </property>
  <property fmtid="{D5CDD505-2E9C-101B-9397-08002B2CF9AE}" pid="14" name="Mendeley Recent Style Id 6_1">
    <vt:lpwstr>http://csl.mendeley.com/styles/593176751/harvard-cite-them-right</vt:lpwstr>
  </property>
  <property fmtid="{D5CDD505-2E9C-101B-9397-08002B2CF9AE}" pid="15" name="Mendeley Recent Style Name 6_1">
    <vt:lpwstr>Harvard - Mengran Xiong</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0eb5b225-6de0-308c-9898-7e219c7748ec</vt:lpwstr>
  </property>
  <property fmtid="{D5CDD505-2E9C-101B-9397-08002B2CF9AE}" pid="24" name="Mendeley Citation Style_1">
    <vt:lpwstr>http://csl.mendeley.com/styles/490739001/apa</vt:lpwstr>
  </property>
</Properties>
</file>