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330EE" w14:textId="6AA3C783" w:rsidR="00DF062F" w:rsidRPr="006F0C0A" w:rsidRDefault="004D091C" w:rsidP="006F0C0A">
      <w:pPr>
        <w:spacing w:line="360" w:lineRule="auto"/>
        <w:rPr>
          <w:rFonts w:ascii="Lucida Sans" w:eastAsia="Times" w:hAnsi="Lucida Sans" w:cs="Times New Roman"/>
          <w:sz w:val="18"/>
          <w:szCs w:val="18"/>
        </w:rPr>
      </w:pPr>
      <w:bookmarkStart w:id="0" w:name="_GoBack"/>
      <w:bookmarkEnd w:id="0"/>
      <w:r w:rsidRPr="006F0C0A">
        <w:rPr>
          <w:rFonts w:ascii="Lucida Sans" w:eastAsia="Times" w:hAnsi="Lucida Sans" w:cs="Times New Roman"/>
          <w:b/>
          <w:sz w:val="18"/>
          <w:szCs w:val="18"/>
        </w:rPr>
        <w:t xml:space="preserve">Monoamine Oxidase Inhibitors (MAOIs) in </w:t>
      </w:r>
      <w:r w:rsidR="00B54E7B">
        <w:rPr>
          <w:rFonts w:ascii="Lucida Sans" w:eastAsia="Times" w:hAnsi="Lucida Sans" w:cs="Times New Roman"/>
          <w:b/>
          <w:sz w:val="18"/>
          <w:szCs w:val="18"/>
        </w:rPr>
        <w:t>p</w:t>
      </w:r>
      <w:r w:rsidRPr="006F0C0A">
        <w:rPr>
          <w:rFonts w:ascii="Lucida Sans" w:eastAsia="Times" w:hAnsi="Lucida Sans" w:cs="Times New Roman"/>
          <w:b/>
          <w:sz w:val="18"/>
          <w:szCs w:val="18"/>
        </w:rPr>
        <w:t>sychiatr</w:t>
      </w:r>
      <w:r w:rsidR="00B54E7B">
        <w:rPr>
          <w:rFonts w:ascii="Lucida Sans" w:eastAsia="Times" w:hAnsi="Lucida Sans" w:cs="Times New Roman"/>
          <w:b/>
          <w:sz w:val="18"/>
          <w:szCs w:val="18"/>
        </w:rPr>
        <w:t>ic practice</w:t>
      </w:r>
      <w:r w:rsidRPr="006F0C0A">
        <w:rPr>
          <w:rFonts w:ascii="Lucida Sans" w:eastAsia="Times" w:hAnsi="Lucida Sans" w:cs="Times New Roman"/>
          <w:b/>
          <w:sz w:val="18"/>
          <w:szCs w:val="18"/>
        </w:rPr>
        <w:t>: how to use them safely and effectively</w:t>
      </w:r>
      <w:r w:rsidR="00380AE3" w:rsidRPr="006F0C0A">
        <w:rPr>
          <w:rFonts w:ascii="Lucida Sans" w:eastAsia="Times" w:hAnsi="Lucida Sans" w:cs="Times New Roman"/>
          <w:sz w:val="18"/>
          <w:szCs w:val="18"/>
        </w:rPr>
        <w:t xml:space="preserve"> </w:t>
      </w:r>
    </w:p>
    <w:p w14:paraId="69790CCD" w14:textId="77777777" w:rsidR="00DF062F" w:rsidRPr="006F0C0A" w:rsidRDefault="00380AE3" w:rsidP="006F0C0A">
      <w:pPr>
        <w:spacing w:line="360" w:lineRule="auto"/>
        <w:rPr>
          <w:rFonts w:ascii="Lucida Sans" w:eastAsia="Times" w:hAnsi="Lucida Sans" w:cs="Times New Roman"/>
          <w:sz w:val="18"/>
          <w:szCs w:val="18"/>
        </w:rPr>
      </w:pPr>
      <w:r w:rsidRPr="006F0C0A">
        <w:rPr>
          <w:rFonts w:ascii="Lucida Sans" w:eastAsia="Times" w:hAnsi="Lucida Sans" w:cs="Times New Roman"/>
          <w:sz w:val="18"/>
          <w:szCs w:val="18"/>
        </w:rPr>
        <w:t xml:space="preserve"> </w:t>
      </w:r>
    </w:p>
    <w:p w14:paraId="63ECF55A" w14:textId="77777777" w:rsidR="00DF062F" w:rsidRPr="006F0C0A" w:rsidRDefault="00380AE3" w:rsidP="006F0C0A">
      <w:pPr>
        <w:spacing w:line="360" w:lineRule="auto"/>
        <w:rPr>
          <w:rFonts w:ascii="Lucida Sans" w:eastAsia="Times" w:hAnsi="Lucida Sans" w:cs="Times New Roman"/>
          <w:sz w:val="18"/>
          <w:szCs w:val="18"/>
          <w:vertAlign w:val="superscript"/>
        </w:rPr>
      </w:pPr>
      <w:r w:rsidRPr="006F0C0A">
        <w:rPr>
          <w:rFonts w:ascii="Lucida Sans" w:eastAsia="Times" w:hAnsi="Lucida Sans" w:cs="Times New Roman"/>
          <w:sz w:val="18"/>
          <w:szCs w:val="18"/>
        </w:rPr>
        <w:t>Samuel R Chamberlain</w:t>
      </w:r>
      <w:r w:rsidR="00071800">
        <w:rPr>
          <w:rFonts w:ascii="Lucida Sans" w:eastAsia="Times" w:hAnsi="Lucida Sans" w:cs="Times New Roman"/>
          <w:sz w:val="18"/>
          <w:szCs w:val="18"/>
        </w:rPr>
        <w:t xml:space="preserve"> </w:t>
      </w:r>
      <w:r w:rsidRPr="006F0C0A">
        <w:rPr>
          <w:rFonts w:ascii="Lucida Sans" w:eastAsia="Times" w:hAnsi="Lucida Sans" w:cs="Times New Roman"/>
          <w:sz w:val="18"/>
          <w:szCs w:val="18"/>
          <w:vertAlign w:val="superscript"/>
        </w:rPr>
        <w:t>1,2</w:t>
      </w:r>
      <w:r w:rsidR="00B54E7B">
        <w:rPr>
          <w:rFonts w:ascii="Lucida Sans" w:eastAsia="Times" w:hAnsi="Lucida Sans" w:cs="Times New Roman"/>
          <w:sz w:val="18"/>
          <w:szCs w:val="18"/>
          <w:vertAlign w:val="superscript"/>
        </w:rPr>
        <w:t>,3,4</w:t>
      </w:r>
      <w:r w:rsidRPr="006F0C0A">
        <w:rPr>
          <w:rFonts w:ascii="Lucida Sans" w:eastAsia="Times" w:hAnsi="Lucida Sans" w:cs="Times New Roman"/>
          <w:sz w:val="18"/>
          <w:szCs w:val="18"/>
        </w:rPr>
        <w:t xml:space="preserve">, </w:t>
      </w:r>
      <w:r w:rsidR="00A322F4" w:rsidRPr="006F0C0A">
        <w:rPr>
          <w:rFonts w:ascii="Lucida Sans" w:eastAsia="Times" w:hAnsi="Lucida Sans" w:cs="Times New Roman"/>
          <w:sz w:val="18"/>
          <w:szCs w:val="18"/>
        </w:rPr>
        <w:t xml:space="preserve">David </w:t>
      </w:r>
      <w:r w:rsidR="00B54E7B">
        <w:rPr>
          <w:rFonts w:ascii="Lucida Sans" w:eastAsia="Times" w:hAnsi="Lucida Sans" w:cs="Times New Roman"/>
          <w:sz w:val="18"/>
          <w:szCs w:val="18"/>
        </w:rPr>
        <w:t xml:space="preserve">S. </w:t>
      </w:r>
      <w:r w:rsidR="00A322F4" w:rsidRPr="006F0C0A">
        <w:rPr>
          <w:rFonts w:ascii="Lucida Sans" w:eastAsia="Times" w:hAnsi="Lucida Sans" w:cs="Times New Roman"/>
          <w:sz w:val="18"/>
          <w:szCs w:val="18"/>
        </w:rPr>
        <w:t>Baldwin</w:t>
      </w:r>
      <w:r w:rsidR="00071800">
        <w:rPr>
          <w:rFonts w:ascii="Lucida Sans" w:eastAsia="Times" w:hAnsi="Lucida Sans" w:cs="Times New Roman"/>
          <w:sz w:val="18"/>
          <w:szCs w:val="18"/>
        </w:rPr>
        <w:t xml:space="preserve"> </w:t>
      </w:r>
      <w:r w:rsidR="00A322F4" w:rsidRPr="006F0C0A">
        <w:rPr>
          <w:rFonts w:ascii="Lucida Sans" w:eastAsia="Times" w:hAnsi="Lucida Sans" w:cs="Times New Roman"/>
          <w:sz w:val="18"/>
          <w:szCs w:val="18"/>
          <w:vertAlign w:val="superscript"/>
        </w:rPr>
        <w:t>1</w:t>
      </w:r>
      <w:r w:rsidR="00B54E7B">
        <w:rPr>
          <w:rFonts w:ascii="Lucida Sans" w:eastAsia="Times" w:hAnsi="Lucida Sans" w:cs="Times New Roman"/>
          <w:sz w:val="18"/>
          <w:szCs w:val="18"/>
          <w:vertAlign w:val="superscript"/>
        </w:rPr>
        <w:t>, 2, 5</w:t>
      </w:r>
    </w:p>
    <w:p w14:paraId="148D7895" w14:textId="77777777" w:rsidR="00DF062F" w:rsidRPr="006F0C0A" w:rsidRDefault="00380AE3" w:rsidP="006F0C0A">
      <w:pPr>
        <w:spacing w:line="360" w:lineRule="auto"/>
        <w:rPr>
          <w:rFonts w:ascii="Lucida Sans" w:eastAsia="Times" w:hAnsi="Lucida Sans" w:cs="Times New Roman"/>
          <w:sz w:val="18"/>
          <w:szCs w:val="18"/>
          <w:highlight w:val="yellow"/>
        </w:rPr>
      </w:pPr>
      <w:r w:rsidRPr="006F0C0A">
        <w:rPr>
          <w:rFonts w:ascii="Lucida Sans" w:eastAsia="Times" w:hAnsi="Lucida Sans" w:cs="Times New Roman"/>
          <w:sz w:val="18"/>
          <w:szCs w:val="18"/>
        </w:rPr>
        <w:t xml:space="preserve"> </w:t>
      </w:r>
    </w:p>
    <w:p w14:paraId="12579B69" w14:textId="5F53D578" w:rsidR="00B54E7B" w:rsidRDefault="00380AE3" w:rsidP="006F0C0A">
      <w:pPr>
        <w:spacing w:line="360" w:lineRule="auto"/>
        <w:rPr>
          <w:rFonts w:ascii="Lucida Sans" w:eastAsia="Times" w:hAnsi="Lucida Sans" w:cs="Times New Roman"/>
          <w:sz w:val="18"/>
          <w:szCs w:val="18"/>
        </w:rPr>
      </w:pPr>
      <w:r w:rsidRPr="006F0C0A">
        <w:rPr>
          <w:rFonts w:ascii="Lucida Sans" w:eastAsia="Times" w:hAnsi="Lucida Sans" w:cs="Times New Roman"/>
          <w:sz w:val="18"/>
          <w:szCs w:val="18"/>
          <w:vertAlign w:val="superscript"/>
        </w:rPr>
        <w:t>1</w:t>
      </w:r>
      <w:r w:rsidR="00B54E7B">
        <w:rPr>
          <w:rFonts w:ascii="Lucida Sans" w:eastAsia="Times" w:hAnsi="Lucida Sans" w:cs="Times New Roman"/>
          <w:sz w:val="18"/>
          <w:szCs w:val="18"/>
          <w:vertAlign w:val="superscript"/>
        </w:rPr>
        <w:t xml:space="preserve"> </w:t>
      </w:r>
      <w:r w:rsidR="00B54E7B">
        <w:rPr>
          <w:rFonts w:ascii="Lucida Sans" w:eastAsia="Times" w:hAnsi="Lucida Sans" w:cs="Times New Roman"/>
          <w:sz w:val="18"/>
          <w:szCs w:val="18"/>
        </w:rPr>
        <w:t>Clinical and Experimental Sciences,</w:t>
      </w:r>
      <w:r w:rsidRPr="006F0C0A">
        <w:rPr>
          <w:rFonts w:ascii="Lucida Sans" w:eastAsia="Times" w:hAnsi="Lucida Sans" w:cs="Times New Roman"/>
          <w:sz w:val="18"/>
          <w:szCs w:val="18"/>
        </w:rPr>
        <w:t xml:space="preserve"> </w:t>
      </w:r>
      <w:r w:rsidR="00B54E7B">
        <w:rPr>
          <w:rFonts w:ascii="Lucida Sans" w:eastAsia="Times" w:hAnsi="Lucida Sans" w:cs="Times New Roman"/>
          <w:sz w:val="18"/>
          <w:szCs w:val="18"/>
        </w:rPr>
        <w:t xml:space="preserve">Faculty of Medicine, </w:t>
      </w:r>
      <w:r w:rsidRPr="006F0C0A">
        <w:rPr>
          <w:rFonts w:ascii="Lucida Sans" w:eastAsia="Times" w:hAnsi="Lucida Sans" w:cs="Times New Roman"/>
          <w:sz w:val="18"/>
          <w:szCs w:val="18"/>
        </w:rPr>
        <w:t>University of Southampton, UK</w:t>
      </w:r>
    </w:p>
    <w:p w14:paraId="45F1D639" w14:textId="23E93F0C" w:rsidR="00DF062F" w:rsidRPr="006F0C0A" w:rsidRDefault="00B54E7B" w:rsidP="00B35813">
      <w:pPr>
        <w:tabs>
          <w:tab w:val="left" w:pos="6275"/>
        </w:tabs>
        <w:spacing w:line="360" w:lineRule="auto"/>
        <w:rPr>
          <w:rFonts w:ascii="Lucida Sans" w:eastAsia="Times" w:hAnsi="Lucida Sans" w:cs="Times New Roman"/>
          <w:sz w:val="18"/>
          <w:szCs w:val="18"/>
        </w:rPr>
      </w:pPr>
      <w:r>
        <w:rPr>
          <w:rFonts w:ascii="Lucida Sans" w:eastAsia="Times" w:hAnsi="Lucida Sans" w:cs="Times New Roman"/>
          <w:sz w:val="18"/>
          <w:szCs w:val="18"/>
          <w:vertAlign w:val="superscript"/>
        </w:rPr>
        <w:t xml:space="preserve">2 </w:t>
      </w:r>
      <w:r w:rsidR="004D091C" w:rsidRPr="006F0C0A">
        <w:rPr>
          <w:rFonts w:ascii="Lucida Sans" w:eastAsia="Times" w:hAnsi="Lucida Sans" w:cs="Times New Roman"/>
          <w:sz w:val="18"/>
          <w:szCs w:val="18"/>
        </w:rPr>
        <w:t>Southern Health NHS Fou</w:t>
      </w:r>
      <w:r>
        <w:rPr>
          <w:rFonts w:ascii="Lucida Sans" w:eastAsia="Times" w:hAnsi="Lucida Sans" w:cs="Times New Roman"/>
          <w:sz w:val="18"/>
          <w:szCs w:val="18"/>
        </w:rPr>
        <w:t>ndation Trust, Southampton, UK</w:t>
      </w:r>
      <w:r w:rsidR="00FC5647">
        <w:rPr>
          <w:rFonts w:ascii="Lucida Sans" w:eastAsia="Times" w:hAnsi="Lucida Sans" w:cs="Times New Roman"/>
          <w:sz w:val="18"/>
          <w:szCs w:val="18"/>
        </w:rPr>
        <w:tab/>
      </w:r>
    </w:p>
    <w:p w14:paraId="69B422B2" w14:textId="0168A630" w:rsidR="00B54E7B" w:rsidRDefault="00B54E7B" w:rsidP="006F0C0A">
      <w:pPr>
        <w:spacing w:line="360" w:lineRule="auto"/>
        <w:rPr>
          <w:rFonts w:ascii="Lucida Sans" w:eastAsia="Times" w:hAnsi="Lucida Sans" w:cs="Times New Roman"/>
          <w:sz w:val="18"/>
          <w:szCs w:val="18"/>
        </w:rPr>
      </w:pPr>
      <w:r>
        <w:rPr>
          <w:rFonts w:ascii="Lucida Sans" w:eastAsia="Times" w:hAnsi="Lucida Sans" w:cs="Times New Roman"/>
          <w:sz w:val="18"/>
          <w:szCs w:val="18"/>
          <w:vertAlign w:val="superscript"/>
        </w:rPr>
        <w:t xml:space="preserve">3 </w:t>
      </w:r>
      <w:r w:rsidR="00380AE3" w:rsidRPr="006F0C0A">
        <w:rPr>
          <w:rFonts w:ascii="Lucida Sans" w:eastAsia="Times" w:hAnsi="Lucida Sans" w:cs="Times New Roman"/>
          <w:sz w:val="18"/>
          <w:szCs w:val="18"/>
        </w:rPr>
        <w:t xml:space="preserve">Department of Psychiatry, University of Cambridge, </w:t>
      </w:r>
      <w:r w:rsidR="00AC76BD">
        <w:rPr>
          <w:rFonts w:ascii="Lucida Sans" w:eastAsia="Times" w:hAnsi="Lucida Sans" w:cs="Times New Roman"/>
          <w:sz w:val="18"/>
          <w:szCs w:val="18"/>
        </w:rPr>
        <w:t xml:space="preserve">Cambridge, </w:t>
      </w:r>
      <w:r w:rsidR="00380AE3" w:rsidRPr="006F0C0A">
        <w:rPr>
          <w:rFonts w:ascii="Lucida Sans" w:eastAsia="Times" w:hAnsi="Lucida Sans" w:cs="Times New Roman"/>
          <w:sz w:val="18"/>
          <w:szCs w:val="18"/>
        </w:rPr>
        <w:t>UK</w:t>
      </w:r>
    </w:p>
    <w:p w14:paraId="3EA3E646" w14:textId="77777777" w:rsidR="00DF062F" w:rsidRDefault="00B54E7B" w:rsidP="006F0C0A">
      <w:pPr>
        <w:spacing w:line="360" w:lineRule="auto"/>
        <w:rPr>
          <w:rFonts w:ascii="Lucida Sans" w:eastAsia="Times" w:hAnsi="Lucida Sans" w:cs="Times New Roman"/>
          <w:sz w:val="18"/>
          <w:szCs w:val="18"/>
        </w:rPr>
      </w:pPr>
      <w:r>
        <w:rPr>
          <w:rFonts w:ascii="Lucida Sans" w:eastAsia="Times" w:hAnsi="Lucida Sans" w:cs="Times New Roman"/>
          <w:sz w:val="18"/>
          <w:szCs w:val="18"/>
          <w:vertAlign w:val="superscript"/>
        </w:rPr>
        <w:t xml:space="preserve">4 </w:t>
      </w:r>
      <w:r w:rsidR="004D091C" w:rsidRPr="006F0C0A">
        <w:rPr>
          <w:rFonts w:ascii="Lucida Sans" w:eastAsia="Times" w:hAnsi="Lucida Sans" w:cs="Times New Roman"/>
          <w:sz w:val="18"/>
          <w:szCs w:val="18"/>
        </w:rPr>
        <w:t xml:space="preserve">Cambridgeshire and Peterborough NHS Foundation </w:t>
      </w:r>
      <w:r>
        <w:rPr>
          <w:rFonts w:ascii="Lucida Sans" w:eastAsia="Times" w:hAnsi="Lucida Sans" w:cs="Times New Roman"/>
          <w:sz w:val="18"/>
          <w:szCs w:val="18"/>
        </w:rPr>
        <w:t>Trust, Cambridge, UK</w:t>
      </w:r>
    </w:p>
    <w:p w14:paraId="30C5DC94" w14:textId="77777777" w:rsidR="00DF062F" w:rsidRPr="006F0C0A" w:rsidRDefault="00B54E7B" w:rsidP="006F0C0A">
      <w:pPr>
        <w:spacing w:line="360" w:lineRule="auto"/>
        <w:rPr>
          <w:rFonts w:ascii="Lucida Sans" w:eastAsia="Times" w:hAnsi="Lucida Sans" w:cs="Times New Roman"/>
          <w:b/>
          <w:sz w:val="18"/>
          <w:szCs w:val="18"/>
        </w:rPr>
      </w:pPr>
      <w:r>
        <w:rPr>
          <w:rFonts w:ascii="Lucida Sans" w:eastAsia="Times" w:hAnsi="Lucida Sans" w:cs="Times New Roman"/>
          <w:sz w:val="18"/>
          <w:szCs w:val="18"/>
          <w:vertAlign w:val="superscript"/>
        </w:rPr>
        <w:t xml:space="preserve">5 </w:t>
      </w:r>
      <w:r>
        <w:rPr>
          <w:rFonts w:ascii="Lucida Sans" w:eastAsia="Times" w:hAnsi="Lucida Sans" w:cs="Times New Roman"/>
          <w:sz w:val="18"/>
          <w:szCs w:val="18"/>
        </w:rPr>
        <w:t>University Department of Psychiatry and Mental Health, University of Cape Town, Cape Town, South Africa</w:t>
      </w:r>
      <w:r w:rsidR="00380AE3" w:rsidRPr="006F0C0A">
        <w:rPr>
          <w:rFonts w:ascii="Lucida Sans" w:eastAsia="Times" w:hAnsi="Lucida Sans" w:cs="Times New Roman"/>
          <w:b/>
          <w:sz w:val="18"/>
          <w:szCs w:val="18"/>
        </w:rPr>
        <w:t xml:space="preserve"> </w:t>
      </w:r>
    </w:p>
    <w:p w14:paraId="31ABE8BE" w14:textId="77777777" w:rsidR="00DF062F" w:rsidRPr="006F0C0A" w:rsidRDefault="00DF062F" w:rsidP="006F0C0A">
      <w:pPr>
        <w:spacing w:line="360" w:lineRule="auto"/>
        <w:rPr>
          <w:rFonts w:ascii="Lucida Sans" w:hAnsi="Lucida Sans" w:cs="Times New Roman"/>
          <w:sz w:val="18"/>
          <w:szCs w:val="18"/>
        </w:rPr>
      </w:pPr>
    </w:p>
    <w:p w14:paraId="2B0C85BC" w14:textId="77777777" w:rsidR="00DF062F" w:rsidRPr="006F0C0A" w:rsidRDefault="00380AE3" w:rsidP="006F0C0A">
      <w:pPr>
        <w:spacing w:line="360" w:lineRule="auto"/>
        <w:rPr>
          <w:rFonts w:ascii="Lucida Sans" w:eastAsia="Times" w:hAnsi="Lucida Sans" w:cs="Times New Roman"/>
          <w:b/>
          <w:sz w:val="18"/>
          <w:szCs w:val="18"/>
        </w:rPr>
      </w:pPr>
      <w:r w:rsidRPr="006F0C0A">
        <w:rPr>
          <w:rFonts w:ascii="Lucida Sans" w:eastAsia="Times" w:hAnsi="Lucida Sans" w:cs="Times New Roman"/>
          <w:b/>
          <w:sz w:val="18"/>
          <w:szCs w:val="18"/>
        </w:rPr>
        <w:t xml:space="preserve"> </w:t>
      </w:r>
    </w:p>
    <w:p w14:paraId="1A73466E" w14:textId="77777777" w:rsidR="00DF062F" w:rsidRPr="006F0C0A" w:rsidRDefault="005922AA" w:rsidP="006F0C0A">
      <w:pPr>
        <w:spacing w:line="360" w:lineRule="auto"/>
        <w:rPr>
          <w:rFonts w:ascii="Lucida Sans" w:eastAsia="Times" w:hAnsi="Lucida Sans" w:cs="Times New Roman"/>
          <w:sz w:val="18"/>
          <w:szCs w:val="18"/>
        </w:rPr>
      </w:pPr>
      <w:r>
        <w:rPr>
          <w:rFonts w:ascii="Lucida Sans" w:eastAsia="Times" w:hAnsi="Lucida Sans" w:cs="Times New Roman"/>
          <w:sz w:val="18"/>
          <w:szCs w:val="18"/>
        </w:rPr>
        <w:t>Address for c</w:t>
      </w:r>
      <w:r w:rsidR="004D091C" w:rsidRPr="006F0C0A">
        <w:rPr>
          <w:rFonts w:ascii="Lucida Sans" w:eastAsia="Times" w:hAnsi="Lucida Sans" w:cs="Times New Roman"/>
          <w:sz w:val="18"/>
          <w:szCs w:val="18"/>
        </w:rPr>
        <w:t xml:space="preserve">orrespondence: Professor </w:t>
      </w:r>
      <w:r w:rsidR="00973239" w:rsidRPr="006F0C0A">
        <w:rPr>
          <w:rFonts w:ascii="Lucida Sans" w:eastAsia="Times" w:hAnsi="Lucida Sans" w:cs="Times New Roman"/>
          <w:sz w:val="18"/>
          <w:szCs w:val="18"/>
        </w:rPr>
        <w:t>David Baldwin</w:t>
      </w:r>
      <w:r w:rsidR="004D091C" w:rsidRPr="006F0C0A">
        <w:rPr>
          <w:rFonts w:ascii="Lucida Sans" w:eastAsia="Times" w:hAnsi="Lucida Sans" w:cs="Times New Roman"/>
          <w:sz w:val="18"/>
          <w:szCs w:val="18"/>
        </w:rPr>
        <w:t xml:space="preserve">, </w:t>
      </w:r>
      <w:r>
        <w:rPr>
          <w:rFonts w:ascii="Lucida Sans" w:eastAsia="Times" w:hAnsi="Lucida Sans" w:cs="Times New Roman"/>
          <w:sz w:val="18"/>
          <w:szCs w:val="18"/>
        </w:rPr>
        <w:t xml:space="preserve">University </w:t>
      </w:r>
      <w:r w:rsidR="004D091C" w:rsidRPr="006F0C0A">
        <w:rPr>
          <w:rFonts w:ascii="Lucida Sans" w:eastAsia="Times" w:hAnsi="Lucida Sans" w:cs="Times New Roman"/>
          <w:sz w:val="18"/>
          <w:szCs w:val="18"/>
        </w:rPr>
        <w:t>Department of Psychiatry, University of Southampton, Colleg</w:t>
      </w:r>
      <w:r>
        <w:rPr>
          <w:rFonts w:ascii="Lucida Sans" w:eastAsia="Times" w:hAnsi="Lucida Sans" w:cs="Times New Roman"/>
          <w:sz w:val="18"/>
          <w:szCs w:val="18"/>
        </w:rPr>
        <w:t xml:space="preserve">e Keep, 4-12 Terminus Terrace, </w:t>
      </w:r>
      <w:r w:rsidR="004D091C" w:rsidRPr="006F0C0A">
        <w:rPr>
          <w:rFonts w:ascii="Lucida Sans" w:eastAsia="Times" w:hAnsi="Lucida Sans" w:cs="Times New Roman"/>
          <w:sz w:val="18"/>
          <w:szCs w:val="18"/>
        </w:rPr>
        <w:t>Southampton</w:t>
      </w:r>
      <w:r>
        <w:rPr>
          <w:rFonts w:ascii="Lucida Sans" w:eastAsia="Times" w:hAnsi="Lucida Sans" w:cs="Times New Roman"/>
          <w:sz w:val="18"/>
          <w:szCs w:val="18"/>
        </w:rPr>
        <w:t>, UK</w:t>
      </w:r>
      <w:r w:rsidR="004D091C" w:rsidRPr="006F0C0A">
        <w:rPr>
          <w:rFonts w:ascii="Lucida Sans" w:eastAsia="Times" w:hAnsi="Lucida Sans" w:cs="Times New Roman"/>
          <w:sz w:val="18"/>
          <w:szCs w:val="18"/>
        </w:rPr>
        <w:t xml:space="preserve">. SO14 3DT. </w:t>
      </w:r>
      <w:r>
        <w:rPr>
          <w:rFonts w:ascii="Lucida Sans" w:eastAsia="Times" w:hAnsi="Lucida Sans" w:cs="Times New Roman"/>
          <w:sz w:val="18"/>
          <w:szCs w:val="18"/>
        </w:rPr>
        <w:t xml:space="preserve">Tel: +44 2382 310 764; Fax: +44 2382 310 766; </w:t>
      </w:r>
      <w:r w:rsidR="00973239" w:rsidRPr="006F0C0A">
        <w:rPr>
          <w:rFonts w:ascii="Lucida Sans" w:hAnsi="Lucida Sans" w:cs="Times New Roman"/>
          <w:sz w:val="18"/>
          <w:szCs w:val="18"/>
        </w:rPr>
        <w:t>d.s.baldwin@soton.ac.uk</w:t>
      </w:r>
      <w:r>
        <w:rPr>
          <w:rFonts w:ascii="Lucida Sans" w:hAnsi="Lucida Sans" w:cs="Times New Roman"/>
          <w:sz w:val="18"/>
          <w:szCs w:val="18"/>
        </w:rPr>
        <w:t>.</w:t>
      </w:r>
    </w:p>
    <w:p w14:paraId="5361A83A" w14:textId="77777777" w:rsidR="00DF062F" w:rsidRPr="006F0C0A" w:rsidRDefault="00DF062F" w:rsidP="006F0C0A">
      <w:pPr>
        <w:spacing w:line="360" w:lineRule="auto"/>
        <w:rPr>
          <w:rFonts w:ascii="Lucida Sans" w:eastAsia="Times" w:hAnsi="Lucida Sans" w:cs="Times New Roman"/>
          <w:b/>
          <w:sz w:val="18"/>
          <w:szCs w:val="18"/>
        </w:rPr>
      </w:pPr>
    </w:p>
    <w:p w14:paraId="647F90BC" w14:textId="77777777" w:rsidR="00DF062F" w:rsidRPr="006F0C0A" w:rsidRDefault="00DF062F" w:rsidP="006F0C0A">
      <w:pPr>
        <w:spacing w:line="360" w:lineRule="auto"/>
        <w:rPr>
          <w:rFonts w:ascii="Lucida Sans" w:eastAsia="Times" w:hAnsi="Lucida Sans" w:cs="Times New Roman"/>
          <w:b/>
          <w:sz w:val="18"/>
          <w:szCs w:val="18"/>
        </w:rPr>
      </w:pPr>
    </w:p>
    <w:p w14:paraId="1851EBFD" w14:textId="2BE56DC7" w:rsidR="006B4CA2" w:rsidRPr="006F0C0A" w:rsidRDefault="004D091C" w:rsidP="006F0C0A">
      <w:pPr>
        <w:spacing w:line="360" w:lineRule="auto"/>
        <w:rPr>
          <w:rFonts w:ascii="Lucida Sans" w:eastAsia="Times" w:hAnsi="Lucida Sans" w:cs="Times New Roman"/>
          <w:sz w:val="18"/>
          <w:szCs w:val="18"/>
        </w:rPr>
      </w:pPr>
      <w:r w:rsidRPr="006F0C0A">
        <w:rPr>
          <w:rFonts w:ascii="Lucida Sans" w:eastAsia="Times" w:hAnsi="Lucida Sans" w:cs="Times New Roman"/>
          <w:sz w:val="18"/>
          <w:szCs w:val="18"/>
          <w:u w:val="single"/>
        </w:rPr>
        <w:t>Abstract</w:t>
      </w:r>
      <w:r w:rsidRPr="006F0C0A">
        <w:rPr>
          <w:rFonts w:ascii="Lucida Sans" w:eastAsia="Times" w:hAnsi="Lucida Sans" w:cs="Times New Roman"/>
          <w:sz w:val="18"/>
          <w:szCs w:val="18"/>
        </w:rPr>
        <w:t xml:space="preserve"> </w:t>
      </w:r>
    </w:p>
    <w:p w14:paraId="19D70C46" w14:textId="03B06392" w:rsidR="004D091C" w:rsidRPr="006F0C0A" w:rsidRDefault="004D091C" w:rsidP="006F0C0A">
      <w:pPr>
        <w:spacing w:line="360" w:lineRule="auto"/>
        <w:rPr>
          <w:rFonts w:ascii="Lucida Sans" w:eastAsia="Times" w:hAnsi="Lucida Sans" w:cs="Times New Roman"/>
          <w:sz w:val="18"/>
          <w:szCs w:val="18"/>
        </w:rPr>
      </w:pPr>
      <w:r w:rsidRPr="006F0C0A">
        <w:rPr>
          <w:rFonts w:ascii="Lucida Sans" w:eastAsia="Times" w:hAnsi="Lucida Sans" w:cs="Times New Roman"/>
          <w:sz w:val="18"/>
          <w:szCs w:val="18"/>
        </w:rPr>
        <w:t xml:space="preserve">Monoamine </w:t>
      </w:r>
      <w:r w:rsidR="005922AA">
        <w:rPr>
          <w:rFonts w:ascii="Lucida Sans" w:eastAsia="Times" w:hAnsi="Lucida Sans" w:cs="Times New Roman"/>
          <w:sz w:val="18"/>
          <w:szCs w:val="18"/>
        </w:rPr>
        <w:t>o</w:t>
      </w:r>
      <w:r w:rsidRPr="006F0C0A">
        <w:rPr>
          <w:rFonts w:ascii="Lucida Sans" w:eastAsia="Times" w:hAnsi="Lucida Sans" w:cs="Times New Roman"/>
          <w:sz w:val="18"/>
          <w:szCs w:val="18"/>
        </w:rPr>
        <w:t xml:space="preserve">xidase inhibitors (MAOIs) </w:t>
      </w:r>
      <w:r w:rsidR="005922AA">
        <w:rPr>
          <w:rFonts w:ascii="Lucida Sans" w:eastAsia="Times" w:hAnsi="Lucida Sans" w:cs="Times New Roman"/>
          <w:sz w:val="18"/>
          <w:szCs w:val="18"/>
        </w:rPr>
        <w:t xml:space="preserve">were among </w:t>
      </w:r>
      <w:r w:rsidRPr="006F0C0A">
        <w:rPr>
          <w:rFonts w:ascii="Lucida Sans" w:eastAsia="Times" w:hAnsi="Lucida Sans" w:cs="Times New Roman"/>
          <w:sz w:val="18"/>
          <w:szCs w:val="18"/>
        </w:rPr>
        <w:t>the first licensed pharmacological treatment</w:t>
      </w:r>
      <w:r w:rsidR="005922AA">
        <w:rPr>
          <w:rFonts w:ascii="Lucida Sans" w:eastAsia="Times" w:hAnsi="Lucida Sans" w:cs="Times New Roman"/>
          <w:sz w:val="18"/>
          <w:szCs w:val="18"/>
        </w:rPr>
        <w:t>s</w:t>
      </w:r>
      <w:r w:rsidRPr="006F0C0A">
        <w:rPr>
          <w:rFonts w:ascii="Lucida Sans" w:eastAsia="Times" w:hAnsi="Lucida Sans" w:cs="Times New Roman"/>
          <w:sz w:val="18"/>
          <w:szCs w:val="18"/>
        </w:rPr>
        <w:t xml:space="preserve"> for </w:t>
      </w:r>
      <w:r w:rsidR="005922AA">
        <w:rPr>
          <w:rFonts w:ascii="Lucida Sans" w:eastAsia="Times" w:hAnsi="Lucida Sans" w:cs="Times New Roman"/>
          <w:sz w:val="18"/>
          <w:szCs w:val="18"/>
        </w:rPr>
        <w:t xml:space="preserve">patients with </w:t>
      </w:r>
      <w:r w:rsidRPr="006F0C0A">
        <w:rPr>
          <w:rFonts w:ascii="Lucida Sans" w:eastAsia="Times" w:hAnsi="Lucida Sans" w:cs="Times New Roman"/>
          <w:sz w:val="18"/>
          <w:szCs w:val="18"/>
        </w:rPr>
        <w:t xml:space="preserve">depression, </w:t>
      </w:r>
      <w:r w:rsidR="005922AA">
        <w:rPr>
          <w:rFonts w:ascii="Lucida Sans" w:eastAsia="Times" w:hAnsi="Lucida Sans" w:cs="Times New Roman"/>
          <w:sz w:val="18"/>
          <w:szCs w:val="18"/>
        </w:rPr>
        <w:t>but</w:t>
      </w:r>
      <w:r w:rsidR="00973239" w:rsidRPr="006F0C0A">
        <w:rPr>
          <w:rFonts w:ascii="Lucida Sans" w:eastAsia="Times" w:hAnsi="Lucida Sans" w:cs="Times New Roman"/>
          <w:sz w:val="18"/>
          <w:szCs w:val="18"/>
        </w:rPr>
        <w:t xml:space="preserve"> </w:t>
      </w:r>
      <w:r w:rsidR="00F94FC5">
        <w:rPr>
          <w:rFonts w:ascii="Lucida Sans" w:eastAsia="Times" w:hAnsi="Lucida Sans" w:cs="Times New Roman"/>
          <w:sz w:val="18"/>
          <w:szCs w:val="18"/>
        </w:rPr>
        <w:t xml:space="preserve">over time </w:t>
      </w:r>
      <w:r w:rsidRPr="006F0C0A">
        <w:rPr>
          <w:rFonts w:ascii="Lucida Sans" w:eastAsia="Times" w:hAnsi="Lucida Sans" w:cs="Times New Roman"/>
          <w:sz w:val="18"/>
          <w:szCs w:val="18"/>
        </w:rPr>
        <w:t>have fallen out of mainstr</w:t>
      </w:r>
      <w:r w:rsidR="00973239" w:rsidRPr="006F0C0A">
        <w:rPr>
          <w:rFonts w:ascii="Lucida Sans" w:eastAsia="Times" w:hAnsi="Lucida Sans" w:cs="Times New Roman"/>
          <w:sz w:val="18"/>
          <w:szCs w:val="18"/>
        </w:rPr>
        <w:t xml:space="preserve">eam clinical use. This has led to a loss of clinician training opportunities </w:t>
      </w:r>
      <w:r w:rsidR="00CA6CC7">
        <w:rPr>
          <w:rFonts w:ascii="Lucida Sans" w:eastAsia="Times" w:hAnsi="Lucida Sans" w:cs="Times New Roman"/>
          <w:sz w:val="18"/>
          <w:szCs w:val="18"/>
        </w:rPr>
        <w:t xml:space="preserve">and </w:t>
      </w:r>
      <w:r w:rsidR="00973239" w:rsidRPr="006F0C0A">
        <w:rPr>
          <w:rFonts w:ascii="Lucida Sans" w:eastAsia="Times" w:hAnsi="Lucida Sans" w:cs="Times New Roman"/>
          <w:sz w:val="18"/>
          <w:szCs w:val="18"/>
        </w:rPr>
        <w:t xml:space="preserve">reduced availability of MAOIs for prescribing. </w:t>
      </w:r>
      <w:r w:rsidRPr="006F0C0A">
        <w:rPr>
          <w:rFonts w:ascii="Lucida Sans" w:eastAsia="Times" w:hAnsi="Lucida Sans" w:cs="Times New Roman"/>
          <w:sz w:val="18"/>
          <w:szCs w:val="18"/>
        </w:rPr>
        <w:t xml:space="preserve">This article </w:t>
      </w:r>
      <w:r w:rsidR="00CA6CC7">
        <w:rPr>
          <w:rFonts w:ascii="Lucida Sans" w:eastAsia="Times" w:hAnsi="Lucida Sans" w:cs="Times New Roman"/>
          <w:sz w:val="18"/>
          <w:szCs w:val="18"/>
        </w:rPr>
        <w:t>provides</w:t>
      </w:r>
      <w:r w:rsidRPr="006F0C0A">
        <w:rPr>
          <w:rFonts w:ascii="Lucida Sans" w:eastAsia="Times" w:hAnsi="Lucida Sans" w:cs="Times New Roman"/>
          <w:sz w:val="18"/>
          <w:szCs w:val="18"/>
        </w:rPr>
        <w:t xml:space="preserve"> a concise </w:t>
      </w:r>
      <w:r w:rsidR="00CA6CC7">
        <w:rPr>
          <w:rFonts w:ascii="Lucida Sans" w:eastAsia="Times" w:hAnsi="Lucida Sans" w:cs="Times New Roman"/>
          <w:sz w:val="18"/>
          <w:szCs w:val="18"/>
        </w:rPr>
        <w:t xml:space="preserve">and </w:t>
      </w:r>
      <w:r w:rsidRPr="006F0C0A">
        <w:rPr>
          <w:rFonts w:ascii="Lucida Sans" w:eastAsia="Times" w:hAnsi="Lucida Sans" w:cs="Times New Roman"/>
          <w:sz w:val="18"/>
          <w:szCs w:val="18"/>
        </w:rPr>
        <w:t>practical overview o</w:t>
      </w:r>
      <w:r w:rsidR="00CA6CC7">
        <w:rPr>
          <w:rFonts w:ascii="Lucida Sans" w:eastAsia="Times" w:hAnsi="Lucida Sans" w:cs="Times New Roman"/>
          <w:sz w:val="18"/>
          <w:szCs w:val="18"/>
        </w:rPr>
        <w:t xml:space="preserve">f how to use MAOIs </w:t>
      </w:r>
      <w:r w:rsidR="006B4CA2" w:rsidRPr="006F0C0A">
        <w:rPr>
          <w:rFonts w:ascii="Lucida Sans" w:eastAsia="Times" w:hAnsi="Lucida Sans" w:cs="Times New Roman"/>
          <w:sz w:val="18"/>
          <w:szCs w:val="18"/>
        </w:rPr>
        <w:t>safely and effectively</w:t>
      </w:r>
      <w:r w:rsidR="006B4CA2">
        <w:rPr>
          <w:rFonts w:ascii="Lucida Sans" w:eastAsia="Times" w:hAnsi="Lucida Sans" w:cs="Times New Roman"/>
          <w:sz w:val="18"/>
          <w:szCs w:val="18"/>
        </w:rPr>
        <w:t xml:space="preserve"> </w:t>
      </w:r>
      <w:r w:rsidR="00CA6CC7">
        <w:rPr>
          <w:rFonts w:ascii="Lucida Sans" w:eastAsia="Times" w:hAnsi="Lucida Sans" w:cs="Times New Roman"/>
          <w:sz w:val="18"/>
          <w:szCs w:val="18"/>
        </w:rPr>
        <w:t>in psychiatric practice</w:t>
      </w:r>
      <w:r w:rsidRPr="006F0C0A">
        <w:rPr>
          <w:rFonts w:ascii="Lucida Sans" w:eastAsia="Times" w:hAnsi="Lucida Sans" w:cs="Times New Roman"/>
          <w:sz w:val="18"/>
          <w:szCs w:val="18"/>
        </w:rPr>
        <w:t xml:space="preserve">. We consider the history of MAOIs, why they are not used more frequently, </w:t>
      </w:r>
      <w:r w:rsidR="00CA6CC7">
        <w:rPr>
          <w:rFonts w:ascii="Lucida Sans" w:eastAsia="Times" w:hAnsi="Lucida Sans" w:cs="Times New Roman"/>
          <w:sz w:val="18"/>
          <w:szCs w:val="18"/>
        </w:rPr>
        <w:t xml:space="preserve">their </w:t>
      </w:r>
      <w:r w:rsidRPr="006F0C0A">
        <w:rPr>
          <w:rFonts w:ascii="Lucida Sans" w:eastAsia="Times" w:hAnsi="Lucida Sans" w:cs="Times New Roman"/>
          <w:sz w:val="18"/>
          <w:szCs w:val="18"/>
        </w:rPr>
        <w:t>mechanisms of action, availability, indications and efficacy, general tolerability, withdrawal symp</w:t>
      </w:r>
      <w:r w:rsidR="00FC3E6D" w:rsidRPr="006F0C0A">
        <w:rPr>
          <w:rFonts w:ascii="Lucida Sans" w:eastAsia="Times" w:hAnsi="Lucida Sans" w:cs="Times New Roman"/>
          <w:sz w:val="18"/>
          <w:szCs w:val="18"/>
        </w:rPr>
        <w:t xml:space="preserve">toms, and safety considerations (including hypertensive reactions and serotonin syndrome). Practical advice is given in terms of dietary restrictions, interactions with other medications (both prescribed and non-prescribed), and how prescribers can </w:t>
      </w:r>
      <w:r w:rsidRPr="006F0C0A">
        <w:rPr>
          <w:rFonts w:ascii="Lucida Sans" w:eastAsia="Times" w:hAnsi="Lucida Sans" w:cs="Times New Roman"/>
          <w:sz w:val="18"/>
          <w:szCs w:val="18"/>
        </w:rPr>
        <w:t xml:space="preserve">stop and switch </w:t>
      </w:r>
      <w:r w:rsidR="006B4CA2">
        <w:rPr>
          <w:rFonts w:ascii="Lucida Sans" w:eastAsia="Times" w:hAnsi="Lucida Sans" w:cs="Times New Roman"/>
          <w:sz w:val="18"/>
          <w:szCs w:val="18"/>
        </w:rPr>
        <w:t>MAOIs</w:t>
      </w:r>
      <w:r w:rsidRPr="006F0C0A">
        <w:rPr>
          <w:rFonts w:ascii="Lucida Sans" w:eastAsia="Times" w:hAnsi="Lucida Sans" w:cs="Times New Roman"/>
          <w:sz w:val="18"/>
          <w:szCs w:val="18"/>
        </w:rPr>
        <w:t xml:space="preserve">, both within the drug class and outside of it. </w:t>
      </w:r>
      <w:r w:rsidR="004017EA" w:rsidRPr="006F0C0A">
        <w:rPr>
          <w:rFonts w:ascii="Lucida Sans" w:eastAsia="Times" w:hAnsi="Lucida Sans" w:cs="Times New Roman"/>
          <w:sz w:val="18"/>
          <w:szCs w:val="18"/>
        </w:rPr>
        <w:t xml:space="preserve">We also provide advice on choice of MAOI and treatment sequencing. </w:t>
      </w:r>
      <w:r w:rsidRPr="006F0C0A">
        <w:rPr>
          <w:rFonts w:ascii="Lucida Sans" w:eastAsia="Times" w:hAnsi="Lucida Sans" w:cs="Times New Roman"/>
          <w:sz w:val="18"/>
          <w:szCs w:val="18"/>
        </w:rPr>
        <w:t>Lastly we consider emerging directions</w:t>
      </w:r>
      <w:r w:rsidR="00CA6CC7">
        <w:rPr>
          <w:rFonts w:ascii="Lucida Sans" w:eastAsia="Times" w:hAnsi="Lucida Sans" w:cs="Times New Roman"/>
          <w:sz w:val="18"/>
          <w:szCs w:val="18"/>
        </w:rPr>
        <w:t xml:space="preserve"> and potential </w:t>
      </w:r>
      <w:r w:rsidR="00335CAA">
        <w:rPr>
          <w:rFonts w:ascii="Lucida Sans" w:eastAsia="Times" w:hAnsi="Lucida Sans" w:cs="Times New Roman"/>
          <w:sz w:val="18"/>
          <w:szCs w:val="18"/>
        </w:rPr>
        <w:t>additional</w:t>
      </w:r>
      <w:r w:rsidR="00CA6CC7">
        <w:rPr>
          <w:rFonts w:ascii="Lucida Sans" w:eastAsia="Times" w:hAnsi="Lucida Sans" w:cs="Times New Roman"/>
          <w:sz w:val="18"/>
          <w:szCs w:val="18"/>
        </w:rPr>
        <w:t xml:space="preserve"> indications</w:t>
      </w:r>
      <w:r w:rsidR="004017EA" w:rsidRPr="006F0C0A">
        <w:rPr>
          <w:rFonts w:ascii="Lucida Sans" w:eastAsia="Times" w:hAnsi="Lucida Sans" w:cs="Times New Roman"/>
          <w:sz w:val="18"/>
          <w:szCs w:val="18"/>
        </w:rPr>
        <w:t xml:space="preserve">. </w:t>
      </w:r>
      <w:r w:rsidR="006B4CA2">
        <w:rPr>
          <w:rFonts w:ascii="Lucida Sans" w:eastAsia="Times" w:hAnsi="Lucida Sans" w:cs="Times New Roman"/>
          <w:sz w:val="18"/>
          <w:szCs w:val="18"/>
        </w:rPr>
        <w:t>(149 words)</w:t>
      </w:r>
    </w:p>
    <w:p w14:paraId="69FE9838" w14:textId="77777777" w:rsidR="004D091C" w:rsidRPr="006F0C0A" w:rsidRDefault="004D091C" w:rsidP="006F0C0A">
      <w:pPr>
        <w:spacing w:line="360" w:lineRule="auto"/>
        <w:rPr>
          <w:rFonts w:ascii="Lucida Sans" w:eastAsia="Times" w:hAnsi="Lucida Sans" w:cs="Times New Roman"/>
          <w:sz w:val="18"/>
          <w:szCs w:val="18"/>
        </w:rPr>
      </w:pPr>
    </w:p>
    <w:p w14:paraId="07E1FF16" w14:textId="77777777" w:rsidR="00615C72" w:rsidRDefault="00615C72" w:rsidP="006F0C0A">
      <w:pPr>
        <w:spacing w:line="360" w:lineRule="auto"/>
        <w:rPr>
          <w:rFonts w:ascii="Lucida Sans" w:eastAsia="Times" w:hAnsi="Lucida Sans" w:cs="Times New Roman"/>
          <w:sz w:val="18"/>
          <w:szCs w:val="18"/>
        </w:rPr>
      </w:pPr>
    </w:p>
    <w:p w14:paraId="0403937C" w14:textId="183DC122" w:rsidR="00615C72" w:rsidRDefault="00615C72" w:rsidP="006F0C0A">
      <w:pPr>
        <w:spacing w:line="360" w:lineRule="auto"/>
        <w:rPr>
          <w:rFonts w:ascii="Lucida Sans" w:eastAsia="Times" w:hAnsi="Lucida Sans" w:cs="Times New Roman"/>
          <w:sz w:val="18"/>
          <w:szCs w:val="18"/>
        </w:rPr>
      </w:pPr>
      <w:r w:rsidRPr="00615C72">
        <w:rPr>
          <w:rFonts w:ascii="Lucida Sans" w:eastAsia="Times" w:hAnsi="Lucida Sans" w:cs="Times New Roman"/>
          <w:sz w:val="18"/>
          <w:szCs w:val="18"/>
          <w:u w:val="single"/>
        </w:rPr>
        <w:t>Key points</w:t>
      </w:r>
      <w:r>
        <w:rPr>
          <w:rFonts w:ascii="Lucida Sans" w:eastAsia="Times" w:hAnsi="Lucida Sans" w:cs="Times New Roman"/>
          <w:sz w:val="18"/>
          <w:szCs w:val="18"/>
        </w:rPr>
        <w:t>:</w:t>
      </w:r>
    </w:p>
    <w:p w14:paraId="1426FAF7" w14:textId="77777777" w:rsidR="00615C72" w:rsidRDefault="00615C72" w:rsidP="006F0C0A">
      <w:pPr>
        <w:spacing w:line="360" w:lineRule="auto"/>
        <w:rPr>
          <w:rFonts w:ascii="Lucida Sans" w:eastAsia="Times" w:hAnsi="Lucida Sans" w:cs="Times New Roman"/>
          <w:sz w:val="18"/>
          <w:szCs w:val="18"/>
        </w:rPr>
      </w:pPr>
    </w:p>
    <w:p w14:paraId="36767F64" w14:textId="464678E8" w:rsidR="00615C72" w:rsidRDefault="00615C72" w:rsidP="00615C72">
      <w:pPr>
        <w:pStyle w:val="ListParagraph"/>
        <w:numPr>
          <w:ilvl w:val="0"/>
          <w:numId w:val="5"/>
        </w:numPr>
        <w:spacing w:line="360" w:lineRule="auto"/>
        <w:rPr>
          <w:rFonts w:ascii="Lucida Sans" w:eastAsia="Times" w:hAnsi="Lucida Sans" w:cs="Times New Roman"/>
          <w:sz w:val="18"/>
          <w:szCs w:val="18"/>
        </w:rPr>
      </w:pPr>
      <w:r>
        <w:rPr>
          <w:rFonts w:ascii="Lucida Sans" w:eastAsia="Times" w:hAnsi="Lucida Sans" w:cs="Times New Roman"/>
          <w:sz w:val="18"/>
          <w:szCs w:val="18"/>
        </w:rPr>
        <w:t xml:space="preserve">MAOIs </w:t>
      </w:r>
      <w:r w:rsidR="00E32B4E">
        <w:rPr>
          <w:rFonts w:ascii="Lucida Sans" w:eastAsia="Times" w:hAnsi="Lucida Sans" w:cs="Times New Roman"/>
          <w:sz w:val="18"/>
          <w:szCs w:val="18"/>
        </w:rPr>
        <w:t>can be</w:t>
      </w:r>
      <w:r>
        <w:rPr>
          <w:rFonts w:ascii="Lucida Sans" w:eastAsia="Times" w:hAnsi="Lucida Sans" w:cs="Times New Roman"/>
          <w:sz w:val="18"/>
          <w:szCs w:val="18"/>
        </w:rPr>
        <w:t xml:space="preserve"> </w:t>
      </w:r>
      <w:r w:rsidR="00E32B4E">
        <w:rPr>
          <w:rFonts w:ascii="Lucida Sans" w:eastAsia="Times" w:hAnsi="Lucida Sans" w:cs="Times New Roman"/>
          <w:sz w:val="18"/>
          <w:szCs w:val="18"/>
        </w:rPr>
        <w:t>beneficial</w:t>
      </w:r>
      <w:r>
        <w:rPr>
          <w:rFonts w:ascii="Lucida Sans" w:eastAsia="Times" w:hAnsi="Lucida Sans" w:cs="Times New Roman"/>
          <w:sz w:val="18"/>
          <w:szCs w:val="18"/>
        </w:rPr>
        <w:t xml:space="preserve"> in the pharmacological treatment of some patients with previously treatment-resistant depression, </w:t>
      </w:r>
      <w:r w:rsidR="00E32B4E">
        <w:rPr>
          <w:rFonts w:ascii="Lucida Sans" w:eastAsia="Times" w:hAnsi="Lucida Sans" w:cs="Times New Roman"/>
          <w:sz w:val="18"/>
          <w:szCs w:val="18"/>
        </w:rPr>
        <w:t>or</w:t>
      </w:r>
      <w:r>
        <w:rPr>
          <w:rFonts w:ascii="Lucida Sans" w:eastAsia="Times" w:hAnsi="Lucida Sans" w:cs="Times New Roman"/>
          <w:sz w:val="18"/>
          <w:szCs w:val="18"/>
        </w:rPr>
        <w:t xml:space="preserve"> </w:t>
      </w:r>
      <w:r w:rsidR="00E32B4E">
        <w:rPr>
          <w:rFonts w:ascii="Lucida Sans" w:eastAsia="Times" w:hAnsi="Lucida Sans" w:cs="Times New Roman"/>
          <w:sz w:val="18"/>
          <w:szCs w:val="18"/>
        </w:rPr>
        <w:t xml:space="preserve">with </w:t>
      </w:r>
      <w:r>
        <w:rPr>
          <w:rFonts w:ascii="Lucida Sans" w:eastAsia="Times" w:hAnsi="Lucida Sans" w:cs="Times New Roman"/>
          <w:sz w:val="18"/>
          <w:szCs w:val="18"/>
        </w:rPr>
        <w:t xml:space="preserve">certain </w:t>
      </w:r>
      <w:r w:rsidR="00E32B4E">
        <w:rPr>
          <w:rFonts w:ascii="Lucida Sans" w:eastAsia="Times" w:hAnsi="Lucida Sans" w:cs="Times New Roman"/>
          <w:sz w:val="18"/>
          <w:szCs w:val="18"/>
        </w:rPr>
        <w:t>other conditions, including social anxiety disorder and post-traumatic stress disorder</w:t>
      </w:r>
    </w:p>
    <w:p w14:paraId="527F2BB3" w14:textId="1899499B" w:rsidR="00E32B4E" w:rsidRPr="00615C72" w:rsidRDefault="00E32B4E" w:rsidP="00E32B4E">
      <w:pPr>
        <w:pStyle w:val="ListParagraph"/>
        <w:numPr>
          <w:ilvl w:val="0"/>
          <w:numId w:val="5"/>
        </w:numPr>
        <w:spacing w:line="360" w:lineRule="auto"/>
        <w:rPr>
          <w:rFonts w:ascii="Lucida Sans" w:eastAsia="Times" w:hAnsi="Lucida Sans" w:cs="Times New Roman"/>
          <w:sz w:val="18"/>
          <w:szCs w:val="18"/>
        </w:rPr>
      </w:pPr>
      <w:r>
        <w:rPr>
          <w:rFonts w:ascii="Lucida Sans" w:eastAsia="Times" w:hAnsi="Lucida Sans" w:cs="Times New Roman"/>
          <w:sz w:val="18"/>
          <w:szCs w:val="18"/>
        </w:rPr>
        <w:t>MAOIs have become over-looked in clinical practice, but psychiatrists should remain familiar with their pharmacological properties and potential applications</w:t>
      </w:r>
    </w:p>
    <w:p w14:paraId="6EF56A30" w14:textId="4B379BE9" w:rsidR="00E32B4E" w:rsidRDefault="00E32B4E" w:rsidP="00615C72">
      <w:pPr>
        <w:pStyle w:val="ListParagraph"/>
        <w:numPr>
          <w:ilvl w:val="0"/>
          <w:numId w:val="5"/>
        </w:numPr>
        <w:spacing w:line="360" w:lineRule="auto"/>
        <w:rPr>
          <w:rFonts w:ascii="Lucida Sans" w:eastAsia="Times" w:hAnsi="Lucida Sans" w:cs="Times New Roman"/>
          <w:sz w:val="18"/>
          <w:szCs w:val="18"/>
        </w:rPr>
      </w:pPr>
      <w:r>
        <w:rPr>
          <w:rFonts w:ascii="Lucida Sans" w:eastAsia="Times" w:hAnsi="Lucida Sans" w:cs="Times New Roman"/>
          <w:sz w:val="18"/>
          <w:szCs w:val="18"/>
        </w:rPr>
        <w:t xml:space="preserve">Although there are important tolerability and safety considerations with MAOIs before, during and immediately after treatment, including the potential for drug interactions, </w:t>
      </w:r>
      <w:r w:rsidR="00C009A2">
        <w:rPr>
          <w:rFonts w:ascii="Lucida Sans" w:eastAsia="Times" w:hAnsi="Lucida Sans" w:cs="Times New Roman"/>
          <w:sz w:val="18"/>
          <w:szCs w:val="18"/>
        </w:rPr>
        <w:t xml:space="preserve">potential </w:t>
      </w:r>
      <w:r>
        <w:rPr>
          <w:rFonts w:ascii="Lucida Sans" w:eastAsia="Times" w:hAnsi="Lucida Sans" w:cs="Times New Roman"/>
          <w:sz w:val="18"/>
          <w:szCs w:val="18"/>
        </w:rPr>
        <w:t xml:space="preserve">MAOI treatment </w:t>
      </w:r>
      <w:r w:rsidR="00C009A2">
        <w:rPr>
          <w:rFonts w:ascii="Lucida Sans" w:eastAsia="Times" w:hAnsi="Lucida Sans" w:cs="Times New Roman"/>
          <w:sz w:val="18"/>
          <w:szCs w:val="18"/>
        </w:rPr>
        <w:t>should still be considered as an option in some patient groups</w:t>
      </w:r>
    </w:p>
    <w:p w14:paraId="3158EC85" w14:textId="77777777" w:rsidR="004D091C" w:rsidRPr="006F0C0A" w:rsidRDefault="004D091C" w:rsidP="006F0C0A">
      <w:pPr>
        <w:spacing w:line="360" w:lineRule="auto"/>
        <w:rPr>
          <w:rFonts w:ascii="Lucida Sans" w:eastAsia="Times" w:hAnsi="Lucida Sans" w:cs="Times New Roman"/>
          <w:sz w:val="18"/>
          <w:szCs w:val="18"/>
        </w:rPr>
      </w:pPr>
    </w:p>
    <w:p w14:paraId="4DB5B8D2" w14:textId="34F68759" w:rsidR="00FC3E6D" w:rsidRPr="0025000B" w:rsidRDefault="004D091C" w:rsidP="008F0793">
      <w:pPr>
        <w:pStyle w:val="ListParagraph"/>
        <w:numPr>
          <w:ilvl w:val="0"/>
          <w:numId w:val="3"/>
        </w:numPr>
        <w:spacing w:line="360" w:lineRule="auto"/>
        <w:rPr>
          <w:rFonts w:ascii="Lucida Sans" w:hAnsi="Lucida Sans" w:cs="Times New Roman"/>
          <w:b/>
          <w:sz w:val="18"/>
          <w:szCs w:val="18"/>
          <w:lang w:val="en-US"/>
        </w:rPr>
      </w:pPr>
      <w:r w:rsidRPr="0025000B">
        <w:rPr>
          <w:rFonts w:ascii="Lucida Sans" w:hAnsi="Lucida Sans" w:cs="Times New Roman"/>
          <w:b/>
          <w:sz w:val="18"/>
          <w:szCs w:val="18"/>
          <w:lang w:val="en-US"/>
        </w:rPr>
        <w:t>Introduction</w:t>
      </w:r>
    </w:p>
    <w:p w14:paraId="4F803EA8" w14:textId="7535FCB1" w:rsidR="00390D88" w:rsidRDefault="006B4CA2" w:rsidP="001B3CAB">
      <w:pPr>
        <w:spacing w:line="360" w:lineRule="auto"/>
        <w:rPr>
          <w:rFonts w:ascii="Lucida Sans" w:hAnsi="Lucida Sans" w:cs="Times New Roman"/>
          <w:sz w:val="18"/>
          <w:szCs w:val="18"/>
          <w:lang w:val="en-US"/>
        </w:rPr>
      </w:pPr>
      <w:r>
        <w:rPr>
          <w:rFonts w:ascii="Lucida Sans" w:hAnsi="Lucida Sans" w:cs="Times New Roman"/>
          <w:sz w:val="18"/>
          <w:szCs w:val="18"/>
          <w:lang w:val="en-US"/>
        </w:rPr>
        <w:t>A</w:t>
      </w:r>
      <w:r w:rsidRPr="006F0C0A">
        <w:rPr>
          <w:rFonts w:ascii="Lucida Sans" w:hAnsi="Lucida Sans" w:cs="Times New Roman"/>
          <w:sz w:val="18"/>
          <w:szCs w:val="18"/>
          <w:lang w:val="en-US"/>
        </w:rPr>
        <w:t xml:space="preserve">s with many psychiatric treatments, the realization that </w:t>
      </w:r>
      <w:r>
        <w:rPr>
          <w:rFonts w:ascii="Lucida Sans" w:hAnsi="Lucida Sans" w:cs="Times New Roman"/>
          <w:sz w:val="18"/>
          <w:szCs w:val="18"/>
          <w:lang w:val="en-US"/>
        </w:rPr>
        <w:t>m</w:t>
      </w:r>
      <w:r w:rsidRPr="006F0C0A">
        <w:rPr>
          <w:rFonts w:ascii="Lucida Sans" w:hAnsi="Lucida Sans" w:cs="Times New Roman"/>
          <w:sz w:val="18"/>
          <w:szCs w:val="18"/>
          <w:lang w:val="en-US"/>
        </w:rPr>
        <w:t>onoamine oxidase inhibitors (MAOIs)</w:t>
      </w:r>
      <w:r>
        <w:rPr>
          <w:rFonts w:ascii="Lucida Sans" w:hAnsi="Lucida Sans" w:cs="Times New Roman"/>
          <w:sz w:val="18"/>
          <w:szCs w:val="18"/>
          <w:lang w:val="en-US"/>
        </w:rPr>
        <w:t xml:space="preserve"> might</w:t>
      </w:r>
      <w:r w:rsidRPr="006F0C0A">
        <w:rPr>
          <w:rFonts w:ascii="Lucida Sans" w:hAnsi="Lucida Sans" w:cs="Times New Roman"/>
          <w:sz w:val="18"/>
          <w:szCs w:val="18"/>
          <w:lang w:val="en-US"/>
        </w:rPr>
        <w:t xml:space="preserve"> show efficacy was serendipitous</w:t>
      </w:r>
      <w:r w:rsidR="001B3CAB">
        <w:rPr>
          <w:rFonts w:ascii="Lucida Sans" w:hAnsi="Lucida Sans" w:cs="Times New Roman"/>
          <w:sz w:val="18"/>
          <w:szCs w:val="18"/>
          <w:lang w:val="en-US"/>
        </w:rPr>
        <w:t xml:space="preserve">. Iproniazid was developed and explored as a treatment for tuberculosis, but </w:t>
      </w:r>
      <w:r>
        <w:rPr>
          <w:rFonts w:ascii="Lucida Sans" w:hAnsi="Lucida Sans" w:cs="Times New Roman"/>
          <w:sz w:val="18"/>
          <w:szCs w:val="18"/>
          <w:lang w:val="en-US"/>
        </w:rPr>
        <w:t xml:space="preserve">was found to have </w:t>
      </w:r>
      <w:r w:rsidRPr="006F0C0A">
        <w:rPr>
          <w:rFonts w:ascii="Lucida Sans" w:hAnsi="Lucida Sans" w:cs="Times New Roman"/>
          <w:sz w:val="18"/>
          <w:szCs w:val="18"/>
          <w:lang w:val="en-US"/>
        </w:rPr>
        <w:t xml:space="preserve">incidental </w:t>
      </w:r>
      <w:r w:rsidR="003471C1">
        <w:rPr>
          <w:rFonts w:ascii="Lucida Sans" w:hAnsi="Lucida Sans" w:cs="Times New Roman"/>
          <w:sz w:val="18"/>
          <w:szCs w:val="18"/>
          <w:lang w:val="en-US"/>
        </w:rPr>
        <w:t xml:space="preserve">and unexpectedly </w:t>
      </w:r>
      <w:r>
        <w:rPr>
          <w:rFonts w:ascii="Lucida Sans" w:hAnsi="Lucida Sans" w:cs="Times New Roman"/>
          <w:sz w:val="18"/>
          <w:szCs w:val="18"/>
          <w:lang w:val="en-US"/>
        </w:rPr>
        <w:t xml:space="preserve">beneficial </w:t>
      </w:r>
      <w:r w:rsidRPr="006F0C0A">
        <w:rPr>
          <w:rFonts w:ascii="Lucida Sans" w:hAnsi="Lucida Sans" w:cs="Times New Roman"/>
          <w:sz w:val="18"/>
          <w:szCs w:val="18"/>
          <w:lang w:val="en-US"/>
        </w:rPr>
        <w:t xml:space="preserve">effects on mood in </w:t>
      </w:r>
      <w:r>
        <w:rPr>
          <w:rFonts w:ascii="Lucida Sans" w:hAnsi="Lucida Sans" w:cs="Times New Roman"/>
          <w:sz w:val="18"/>
          <w:szCs w:val="18"/>
          <w:lang w:val="en-US"/>
        </w:rPr>
        <w:t>treated</w:t>
      </w:r>
      <w:r w:rsidRPr="006F0C0A">
        <w:rPr>
          <w:rFonts w:ascii="Lucida Sans" w:hAnsi="Lucida Sans" w:cs="Times New Roman"/>
          <w:sz w:val="18"/>
          <w:szCs w:val="18"/>
          <w:lang w:val="en-US"/>
        </w:rPr>
        <w:t xml:space="preserve"> patients</w:t>
      </w:r>
      <w:r>
        <w:rPr>
          <w:rFonts w:ascii="Lucida Sans" w:hAnsi="Lucida Sans" w:cs="Times New Roman"/>
          <w:sz w:val="18"/>
          <w:szCs w:val="18"/>
          <w:lang w:val="en-US"/>
        </w:rPr>
        <w:t>.</w:t>
      </w:r>
      <w:r w:rsidRPr="006F0C0A">
        <w:rPr>
          <w:rFonts w:ascii="Lucida Sans" w:hAnsi="Lucida Sans" w:cs="Times New Roman"/>
          <w:sz w:val="18"/>
          <w:szCs w:val="18"/>
          <w:lang w:val="en-US"/>
        </w:rPr>
        <w:t xml:space="preserve"> </w:t>
      </w:r>
      <w:r>
        <w:rPr>
          <w:rFonts w:ascii="Lucida Sans" w:hAnsi="Lucida Sans" w:cs="Times New Roman"/>
          <w:sz w:val="18"/>
          <w:szCs w:val="18"/>
          <w:lang w:val="en-US"/>
        </w:rPr>
        <w:t>An</w:t>
      </w:r>
      <w:r w:rsidRPr="006F0C0A">
        <w:rPr>
          <w:rFonts w:ascii="Lucida Sans" w:hAnsi="Lucida Sans" w:cs="Times New Roman"/>
          <w:sz w:val="18"/>
          <w:szCs w:val="18"/>
          <w:lang w:val="en-US"/>
        </w:rPr>
        <w:t xml:space="preserve"> initial clinical </w:t>
      </w:r>
      <w:r w:rsidRPr="006F0C0A">
        <w:rPr>
          <w:rFonts w:ascii="Lucida Sans" w:hAnsi="Lucida Sans" w:cs="Times New Roman"/>
          <w:sz w:val="18"/>
          <w:szCs w:val="18"/>
          <w:lang w:val="en-US"/>
        </w:rPr>
        <w:lastRenderedPageBreak/>
        <w:t>trial</w:t>
      </w:r>
      <w:r>
        <w:rPr>
          <w:rFonts w:ascii="Lucida Sans" w:hAnsi="Lucida Sans" w:cs="Times New Roman"/>
          <w:sz w:val="18"/>
          <w:szCs w:val="18"/>
          <w:lang w:val="en-US"/>
        </w:rPr>
        <w:t xml:space="preserve"> </w:t>
      </w:r>
      <w:r w:rsidRPr="006F0C0A">
        <w:rPr>
          <w:rFonts w:ascii="Lucida Sans" w:hAnsi="Lucida Sans" w:cs="Times New Roman"/>
          <w:sz w:val="18"/>
          <w:szCs w:val="18"/>
          <w:lang w:val="en-US"/>
        </w:rPr>
        <w:t>in 1958 show</w:t>
      </w:r>
      <w:r>
        <w:rPr>
          <w:rFonts w:ascii="Lucida Sans" w:hAnsi="Lucida Sans" w:cs="Times New Roman"/>
          <w:sz w:val="18"/>
          <w:szCs w:val="18"/>
          <w:lang w:val="en-US"/>
        </w:rPr>
        <w:t>ed</w:t>
      </w:r>
      <w:r w:rsidRPr="006F0C0A">
        <w:rPr>
          <w:rFonts w:ascii="Lucida Sans" w:hAnsi="Lucida Sans" w:cs="Times New Roman"/>
          <w:sz w:val="18"/>
          <w:szCs w:val="18"/>
          <w:lang w:val="en-US"/>
        </w:rPr>
        <w:t xml:space="preserve"> that iproniazid</w:t>
      </w:r>
      <w:r w:rsidR="00323970">
        <w:rPr>
          <w:rFonts w:ascii="Lucida Sans" w:hAnsi="Lucida Sans" w:cs="Times New Roman"/>
          <w:sz w:val="18"/>
          <w:szCs w:val="18"/>
          <w:lang w:val="en-US"/>
        </w:rPr>
        <w:t xml:space="preserve"> </w:t>
      </w:r>
      <w:r w:rsidRPr="006F0C0A">
        <w:rPr>
          <w:rFonts w:ascii="Lucida Sans" w:hAnsi="Lucida Sans" w:cs="Times New Roman"/>
          <w:sz w:val="18"/>
          <w:szCs w:val="18"/>
          <w:lang w:val="en-US"/>
        </w:rPr>
        <w:t xml:space="preserve">had efficacy as “a psychic energizer” in the treatment of depression </w:t>
      </w:r>
      <w:r w:rsidRPr="006F0C0A">
        <w:rPr>
          <w:rFonts w:ascii="Lucida Sans" w:hAnsi="Lucida Sans" w:cs="Times New Roman"/>
          <w:sz w:val="18"/>
          <w:szCs w:val="18"/>
          <w:lang w:val="en-US"/>
        </w:rPr>
        <w:fldChar w:fldCharType="begin"/>
      </w:r>
      <w:r w:rsidR="008E1EA2">
        <w:rPr>
          <w:rFonts w:ascii="Lucida Sans" w:hAnsi="Lucida Sans" w:cs="Times New Roman"/>
          <w:sz w:val="18"/>
          <w:szCs w:val="18"/>
          <w:lang w:val="en-US"/>
        </w:rPr>
        <w:instrText xml:space="preserve"> ADDIN EN.CITE &lt;EndNote&gt;&lt;Cite&gt;&lt;Author&gt;Loomer&lt;/Author&gt;&lt;Year&gt;1957&lt;/Year&gt;&lt;RecNum&gt;389&lt;/RecNum&gt;&lt;IDText&gt;A clinical and pharmacodynamic evaluation of iproniazid as a psychic energizer&lt;/IDText&gt;&lt;DisplayText&gt;[1]&lt;/DisplayText&gt;&lt;record&gt;&lt;rec-number&gt;389&lt;/rec-number&gt;&lt;foreign-keys&gt;&lt;key app="EN" db-id="2xwpd9xwpest5ue9rwa5etrr9fzzxded9vfx" timestamp="0"&gt;389&lt;/key&gt;&lt;/foreign-keys&gt;&lt;ref-type name="Journal Article"&gt;17&lt;/ref-type&gt;&lt;contributors&gt;&lt;authors&gt;&lt;author&gt;Loomer, Harry P&lt;/author&gt;&lt;author&gt;Saunders, John C&lt;/author&gt;&lt;author&gt;Kline, Nathan S&lt;/author&gt;&lt;/authors&gt;&lt;/contributors&gt;&lt;titles&gt;&lt;title&gt;A clinical and pharmacodynamic evaluation of iproniazid as a psychic energizer&lt;/title&gt;&lt;secondary-title&gt;Psychiatric research reports&lt;/secondary-title&gt;&lt;/titles&gt;&lt;pages&gt;129-141&lt;/pages&gt;&lt;volume&gt;8&lt;/volume&gt;&lt;dates&gt;&lt;year&gt;1957&lt;/year&gt;&lt;pub-dates&gt;&lt;date&gt;&amp;#xD;&lt;/date&gt;&lt;/pub-dates&gt;&lt;/dates&gt;&lt;urls&gt;&lt;related-urls&gt;&lt;url&gt;https://psycnet.apa.org/record/1959-03981-001&lt;/url&gt;&lt;/related-urls&gt;&lt;/urls&gt;&lt;/record&gt;&lt;/Cite&gt;&lt;/EndNote&gt;</w:instrText>
      </w:r>
      <w:r w:rsidRPr="006F0C0A">
        <w:rPr>
          <w:rFonts w:ascii="Lucida Sans" w:hAnsi="Lucida Sans" w:cs="Times New Roman"/>
          <w:sz w:val="18"/>
          <w:szCs w:val="18"/>
          <w:lang w:val="en-US"/>
        </w:rPr>
        <w:fldChar w:fldCharType="separate"/>
      </w:r>
      <w:r w:rsidR="008E1EA2">
        <w:rPr>
          <w:rFonts w:ascii="Lucida Sans" w:hAnsi="Lucida Sans" w:cs="Times New Roman"/>
          <w:noProof/>
          <w:sz w:val="18"/>
          <w:szCs w:val="18"/>
          <w:lang w:val="en-US"/>
        </w:rPr>
        <w:t>[1]</w:t>
      </w:r>
      <w:r w:rsidRPr="006F0C0A">
        <w:rPr>
          <w:rFonts w:ascii="Lucida Sans" w:hAnsi="Lucida Sans" w:cs="Times New Roman"/>
          <w:sz w:val="18"/>
          <w:szCs w:val="18"/>
          <w:lang w:val="en-US"/>
        </w:rPr>
        <w:fldChar w:fldCharType="end"/>
      </w:r>
      <w:r w:rsidR="00390D88">
        <w:rPr>
          <w:rFonts w:ascii="Lucida Sans" w:hAnsi="Lucida Sans" w:cs="Times New Roman"/>
          <w:sz w:val="18"/>
          <w:szCs w:val="18"/>
          <w:lang w:val="en-US"/>
        </w:rPr>
        <w:t xml:space="preserve">, and </w:t>
      </w:r>
      <w:r w:rsidR="00323970">
        <w:rPr>
          <w:rFonts w:ascii="Lucida Sans" w:hAnsi="Lucida Sans" w:cs="Times New Roman"/>
          <w:sz w:val="18"/>
          <w:szCs w:val="18"/>
          <w:lang w:val="en-US"/>
        </w:rPr>
        <w:t xml:space="preserve">it was granted a license for the treatment of that condition. </w:t>
      </w:r>
      <w:r w:rsidR="00390D88">
        <w:rPr>
          <w:rFonts w:ascii="Lucida Sans" w:hAnsi="Lucida Sans" w:cs="Times New Roman"/>
          <w:sz w:val="18"/>
          <w:szCs w:val="18"/>
          <w:lang w:val="en-US"/>
        </w:rPr>
        <w:t>MAOIs</w:t>
      </w:r>
      <w:r w:rsidR="00D1426F" w:rsidRPr="006F0C0A">
        <w:rPr>
          <w:rFonts w:ascii="Lucida Sans" w:hAnsi="Lucida Sans" w:cs="Times New Roman"/>
          <w:sz w:val="18"/>
          <w:szCs w:val="18"/>
          <w:lang w:val="en-US"/>
        </w:rPr>
        <w:t xml:space="preserve"> were </w:t>
      </w:r>
      <w:r>
        <w:rPr>
          <w:rFonts w:ascii="Lucida Sans" w:hAnsi="Lucida Sans" w:cs="Times New Roman"/>
          <w:sz w:val="18"/>
          <w:szCs w:val="18"/>
          <w:lang w:val="en-US"/>
        </w:rPr>
        <w:t xml:space="preserve">among </w:t>
      </w:r>
      <w:r w:rsidR="00D1426F" w:rsidRPr="006F0C0A">
        <w:rPr>
          <w:rFonts w:ascii="Lucida Sans" w:hAnsi="Lucida Sans" w:cs="Times New Roman"/>
          <w:sz w:val="18"/>
          <w:szCs w:val="18"/>
          <w:lang w:val="en-US"/>
        </w:rPr>
        <w:t>the first licensed pharmacological treatment</w:t>
      </w:r>
      <w:r>
        <w:rPr>
          <w:rFonts w:ascii="Lucida Sans" w:hAnsi="Lucida Sans" w:cs="Times New Roman"/>
          <w:sz w:val="18"/>
          <w:szCs w:val="18"/>
          <w:lang w:val="en-US"/>
        </w:rPr>
        <w:t>s</w:t>
      </w:r>
      <w:r w:rsidR="00D1426F" w:rsidRPr="006F0C0A">
        <w:rPr>
          <w:rFonts w:ascii="Lucida Sans" w:hAnsi="Lucida Sans" w:cs="Times New Roman"/>
          <w:sz w:val="18"/>
          <w:szCs w:val="18"/>
          <w:lang w:val="en-US"/>
        </w:rPr>
        <w:t xml:space="preserve"> for depression</w:t>
      </w:r>
      <w:r w:rsidR="000504D8">
        <w:rPr>
          <w:rFonts w:ascii="Lucida Sans" w:hAnsi="Lucida Sans" w:cs="Times New Roman"/>
          <w:sz w:val="18"/>
          <w:szCs w:val="18"/>
          <w:lang w:val="en-US"/>
        </w:rPr>
        <w:t xml:space="preserve"> (amphetamine had been licensed for ‘mild depression’ two decades previously)</w:t>
      </w:r>
      <w:r w:rsidR="00D1426F" w:rsidRPr="006F0C0A">
        <w:rPr>
          <w:rFonts w:ascii="Lucida Sans" w:hAnsi="Lucida Sans" w:cs="Times New Roman"/>
          <w:sz w:val="18"/>
          <w:szCs w:val="18"/>
          <w:lang w:val="en-US"/>
        </w:rPr>
        <w:t xml:space="preserve">. </w:t>
      </w:r>
      <w:r w:rsidR="00390D88">
        <w:rPr>
          <w:rFonts w:ascii="Lucida Sans" w:hAnsi="Lucida Sans" w:cs="Times New Roman"/>
          <w:sz w:val="18"/>
          <w:szCs w:val="18"/>
          <w:lang w:val="en-US"/>
        </w:rPr>
        <w:t>Alt</w:t>
      </w:r>
      <w:r w:rsidR="00AF1E35" w:rsidRPr="006F0C0A">
        <w:rPr>
          <w:rFonts w:ascii="Lucida Sans" w:hAnsi="Lucida Sans" w:cs="Times New Roman"/>
          <w:sz w:val="18"/>
          <w:szCs w:val="18"/>
          <w:lang w:val="en-US"/>
        </w:rPr>
        <w:t xml:space="preserve">hough iproniazid was </w:t>
      </w:r>
      <w:r w:rsidR="00390D88">
        <w:rPr>
          <w:rFonts w:ascii="Lucida Sans" w:hAnsi="Lucida Sans" w:cs="Times New Roman"/>
          <w:sz w:val="18"/>
          <w:szCs w:val="18"/>
          <w:lang w:val="en-US"/>
        </w:rPr>
        <w:t xml:space="preserve">later </w:t>
      </w:r>
      <w:r w:rsidR="00AF1E35" w:rsidRPr="006F0C0A">
        <w:rPr>
          <w:rFonts w:ascii="Lucida Sans" w:hAnsi="Lucida Sans" w:cs="Times New Roman"/>
          <w:sz w:val="18"/>
          <w:szCs w:val="18"/>
          <w:lang w:val="en-US"/>
        </w:rPr>
        <w:t>withdrawn</w:t>
      </w:r>
      <w:r w:rsidR="00390D88">
        <w:rPr>
          <w:rFonts w:ascii="Lucida Sans" w:hAnsi="Lucida Sans" w:cs="Times New Roman"/>
          <w:sz w:val="18"/>
          <w:szCs w:val="18"/>
          <w:lang w:val="en-US"/>
        </w:rPr>
        <w:t xml:space="preserve"> </w:t>
      </w:r>
      <w:r w:rsidR="00AF1E35" w:rsidRPr="006F0C0A">
        <w:rPr>
          <w:rFonts w:ascii="Lucida Sans" w:hAnsi="Lucida Sans" w:cs="Times New Roman"/>
          <w:sz w:val="18"/>
          <w:szCs w:val="18"/>
          <w:lang w:val="en-US"/>
        </w:rPr>
        <w:t>due to hepatotoxicity</w:t>
      </w:r>
      <w:r>
        <w:rPr>
          <w:rFonts w:ascii="Lucida Sans" w:hAnsi="Lucida Sans" w:cs="Times New Roman"/>
          <w:sz w:val="18"/>
          <w:szCs w:val="18"/>
          <w:lang w:val="en-US"/>
        </w:rPr>
        <w:t xml:space="preserve"> concerns</w:t>
      </w:r>
      <w:r w:rsidR="00AF1E35" w:rsidRPr="006F0C0A">
        <w:rPr>
          <w:rFonts w:ascii="Lucida Sans" w:hAnsi="Lucida Sans" w:cs="Times New Roman"/>
          <w:sz w:val="18"/>
          <w:szCs w:val="18"/>
          <w:lang w:val="en-US"/>
        </w:rPr>
        <w:t xml:space="preserve">, this </w:t>
      </w:r>
      <w:r w:rsidR="00390D88">
        <w:rPr>
          <w:rFonts w:ascii="Lucida Sans" w:hAnsi="Lucida Sans" w:cs="Times New Roman"/>
          <w:sz w:val="18"/>
          <w:szCs w:val="18"/>
          <w:lang w:val="en-US"/>
        </w:rPr>
        <w:t xml:space="preserve">pivotal </w:t>
      </w:r>
      <w:r w:rsidR="000504D8">
        <w:rPr>
          <w:rFonts w:ascii="Lucida Sans" w:hAnsi="Lucida Sans" w:cs="Times New Roman"/>
          <w:sz w:val="18"/>
          <w:szCs w:val="18"/>
          <w:lang w:val="en-US"/>
        </w:rPr>
        <w:t xml:space="preserve">clinical </w:t>
      </w:r>
      <w:r>
        <w:rPr>
          <w:rFonts w:ascii="Lucida Sans" w:hAnsi="Lucida Sans" w:cs="Times New Roman"/>
          <w:sz w:val="18"/>
          <w:szCs w:val="18"/>
          <w:lang w:val="en-US"/>
        </w:rPr>
        <w:t>observation</w:t>
      </w:r>
      <w:r w:rsidR="00AF1E35" w:rsidRPr="006F0C0A">
        <w:rPr>
          <w:rFonts w:ascii="Lucida Sans" w:hAnsi="Lucida Sans" w:cs="Times New Roman"/>
          <w:sz w:val="18"/>
          <w:szCs w:val="18"/>
          <w:lang w:val="en-US"/>
        </w:rPr>
        <w:t xml:space="preserve"> led to the development of </w:t>
      </w:r>
      <w:r w:rsidR="00932411" w:rsidRPr="006F0C0A">
        <w:rPr>
          <w:rFonts w:ascii="Lucida Sans" w:hAnsi="Lucida Sans" w:cs="Times New Roman"/>
          <w:sz w:val="18"/>
          <w:szCs w:val="18"/>
          <w:lang w:val="en-US"/>
        </w:rPr>
        <w:t xml:space="preserve">a </w:t>
      </w:r>
      <w:r>
        <w:rPr>
          <w:rFonts w:ascii="Lucida Sans" w:hAnsi="Lucida Sans" w:cs="Times New Roman"/>
          <w:sz w:val="18"/>
          <w:szCs w:val="18"/>
          <w:lang w:val="en-US"/>
        </w:rPr>
        <w:t>number</w:t>
      </w:r>
      <w:r w:rsidR="00932411" w:rsidRPr="006F0C0A">
        <w:rPr>
          <w:rFonts w:ascii="Lucida Sans" w:hAnsi="Lucida Sans" w:cs="Times New Roman"/>
          <w:sz w:val="18"/>
          <w:szCs w:val="18"/>
          <w:lang w:val="en-US"/>
        </w:rPr>
        <w:t xml:space="preserve"> of </w:t>
      </w:r>
      <w:r w:rsidR="00AF1E35" w:rsidRPr="006F0C0A">
        <w:rPr>
          <w:rFonts w:ascii="Lucida Sans" w:hAnsi="Lucida Sans" w:cs="Times New Roman"/>
          <w:sz w:val="18"/>
          <w:szCs w:val="18"/>
          <w:lang w:val="en-US"/>
        </w:rPr>
        <w:t>other MAOIs</w:t>
      </w:r>
      <w:r w:rsidR="00390D88">
        <w:rPr>
          <w:rFonts w:ascii="Lucida Sans" w:hAnsi="Lucida Sans" w:cs="Times New Roman"/>
          <w:sz w:val="18"/>
          <w:szCs w:val="18"/>
          <w:lang w:val="en-US"/>
        </w:rPr>
        <w:t xml:space="preserve">, including isocarboxazid, phenelzine and tranylcypromine. </w:t>
      </w:r>
    </w:p>
    <w:p w14:paraId="05F0A23B" w14:textId="77777777" w:rsidR="00390D88" w:rsidRDefault="00390D88" w:rsidP="006F0C0A">
      <w:pPr>
        <w:spacing w:line="360" w:lineRule="auto"/>
        <w:rPr>
          <w:rFonts w:ascii="Lucida Sans" w:hAnsi="Lucida Sans" w:cs="Times New Roman"/>
          <w:sz w:val="18"/>
          <w:szCs w:val="18"/>
          <w:lang w:val="en-US"/>
        </w:rPr>
      </w:pPr>
    </w:p>
    <w:p w14:paraId="7B8C53D3" w14:textId="0AFB64AD" w:rsidR="00F64682" w:rsidRDefault="00390D88" w:rsidP="009A76B2">
      <w:pPr>
        <w:spacing w:line="360" w:lineRule="auto"/>
        <w:rPr>
          <w:rFonts w:ascii="Lucida Sans" w:hAnsi="Lucida Sans" w:cs="Times New Roman"/>
          <w:sz w:val="18"/>
          <w:szCs w:val="18"/>
          <w:lang w:val="en-US"/>
        </w:rPr>
      </w:pPr>
      <w:r>
        <w:rPr>
          <w:rFonts w:ascii="Lucida Sans" w:hAnsi="Lucida Sans" w:cs="Times New Roman"/>
          <w:sz w:val="18"/>
          <w:szCs w:val="18"/>
          <w:lang w:val="en-US"/>
        </w:rPr>
        <w:t>Currently</w:t>
      </w:r>
      <w:r w:rsidR="00AF1E35" w:rsidRPr="006F0C0A">
        <w:rPr>
          <w:rFonts w:ascii="Lucida Sans" w:hAnsi="Lucida Sans" w:cs="Times New Roman"/>
          <w:sz w:val="18"/>
          <w:szCs w:val="18"/>
          <w:lang w:val="en-US"/>
        </w:rPr>
        <w:t xml:space="preserve">, a </w:t>
      </w:r>
      <w:r>
        <w:rPr>
          <w:rFonts w:ascii="Lucida Sans" w:hAnsi="Lucida Sans" w:cs="Times New Roman"/>
          <w:sz w:val="18"/>
          <w:szCs w:val="18"/>
          <w:lang w:val="en-US"/>
        </w:rPr>
        <w:t>range</w:t>
      </w:r>
      <w:r w:rsidR="00AF1E35" w:rsidRPr="006F0C0A">
        <w:rPr>
          <w:rFonts w:ascii="Lucida Sans" w:hAnsi="Lucida Sans" w:cs="Times New Roman"/>
          <w:sz w:val="18"/>
          <w:szCs w:val="18"/>
          <w:lang w:val="en-US"/>
        </w:rPr>
        <w:t xml:space="preserve"> of MAOIs are available for clinical use, which differ in their mechanism of action (preferen</w:t>
      </w:r>
      <w:r w:rsidR="00932411" w:rsidRPr="006F0C0A">
        <w:rPr>
          <w:rFonts w:ascii="Lucida Sans" w:hAnsi="Lucida Sans" w:cs="Times New Roman"/>
          <w:sz w:val="18"/>
          <w:szCs w:val="18"/>
          <w:lang w:val="en-US"/>
        </w:rPr>
        <w:t xml:space="preserve">ce for one, the other, or both </w:t>
      </w:r>
      <w:r w:rsidR="00AF1E35" w:rsidRPr="006F0C0A">
        <w:rPr>
          <w:rFonts w:ascii="Lucida Sans" w:hAnsi="Lucida Sans" w:cs="Times New Roman"/>
          <w:sz w:val="18"/>
          <w:szCs w:val="18"/>
          <w:lang w:val="en-US"/>
        </w:rPr>
        <w:t>isoforms</w:t>
      </w:r>
      <w:r w:rsidR="00932411" w:rsidRPr="006F0C0A">
        <w:rPr>
          <w:rFonts w:ascii="Lucida Sans" w:hAnsi="Lucida Sans" w:cs="Times New Roman"/>
          <w:sz w:val="18"/>
          <w:szCs w:val="18"/>
          <w:lang w:val="en-US"/>
        </w:rPr>
        <w:t xml:space="preserve"> of the monoamine oxidase enzyme</w:t>
      </w:r>
      <w:r w:rsidR="00AF1E35" w:rsidRPr="006F0C0A">
        <w:rPr>
          <w:rFonts w:ascii="Lucida Sans" w:hAnsi="Lucida Sans" w:cs="Times New Roman"/>
          <w:sz w:val="18"/>
          <w:szCs w:val="18"/>
          <w:lang w:val="en-US"/>
        </w:rPr>
        <w:t xml:space="preserve">) and in whether they reversibly or irreversibly bind to </w:t>
      </w:r>
      <w:r w:rsidR="00932411" w:rsidRPr="006F0C0A">
        <w:rPr>
          <w:rFonts w:ascii="Lucida Sans" w:hAnsi="Lucida Sans" w:cs="Times New Roman"/>
          <w:sz w:val="18"/>
          <w:szCs w:val="18"/>
          <w:lang w:val="en-US"/>
        </w:rPr>
        <w:t>this e</w:t>
      </w:r>
      <w:r w:rsidR="00AF1E35" w:rsidRPr="006F0C0A">
        <w:rPr>
          <w:rFonts w:ascii="Lucida Sans" w:hAnsi="Lucida Sans" w:cs="Times New Roman"/>
          <w:sz w:val="18"/>
          <w:szCs w:val="18"/>
          <w:lang w:val="en-US"/>
        </w:rPr>
        <w:t>nzyme</w:t>
      </w:r>
      <w:r>
        <w:rPr>
          <w:rFonts w:ascii="Lucida Sans" w:hAnsi="Lucida Sans" w:cs="Times New Roman"/>
          <w:sz w:val="18"/>
          <w:szCs w:val="18"/>
          <w:lang w:val="en-US"/>
        </w:rPr>
        <w:t>:</w:t>
      </w:r>
      <w:r w:rsidR="00AF1E35" w:rsidRPr="006F0C0A">
        <w:rPr>
          <w:rFonts w:ascii="Lucida Sans" w:hAnsi="Lucida Sans" w:cs="Times New Roman"/>
          <w:sz w:val="18"/>
          <w:szCs w:val="18"/>
          <w:lang w:val="en-US"/>
        </w:rPr>
        <w:t xml:space="preserve"> </w:t>
      </w:r>
      <w:r>
        <w:rPr>
          <w:rFonts w:ascii="Lucida Sans" w:hAnsi="Lucida Sans" w:cs="Times New Roman"/>
          <w:sz w:val="18"/>
          <w:szCs w:val="18"/>
          <w:lang w:val="en-US"/>
        </w:rPr>
        <w:t>t</w:t>
      </w:r>
      <w:r w:rsidR="00AF1E35" w:rsidRPr="006F0C0A">
        <w:rPr>
          <w:rFonts w:ascii="Lucida Sans" w:hAnsi="Lucida Sans" w:cs="Times New Roman"/>
          <w:sz w:val="18"/>
          <w:szCs w:val="18"/>
          <w:lang w:val="en-US"/>
        </w:rPr>
        <w:t>he</w:t>
      </w:r>
      <w:r>
        <w:rPr>
          <w:rFonts w:ascii="Lucida Sans" w:hAnsi="Lucida Sans" w:cs="Times New Roman"/>
          <w:sz w:val="18"/>
          <w:szCs w:val="18"/>
          <w:lang w:val="en-US"/>
        </w:rPr>
        <w:t>ir</w:t>
      </w:r>
      <w:r w:rsidR="00AF1E35" w:rsidRPr="006F0C0A">
        <w:rPr>
          <w:rFonts w:ascii="Lucida Sans" w:hAnsi="Lucida Sans" w:cs="Times New Roman"/>
          <w:sz w:val="18"/>
          <w:szCs w:val="18"/>
          <w:lang w:val="en-US"/>
        </w:rPr>
        <w:t xml:space="preserve"> mechanisms of action </w:t>
      </w:r>
      <w:r>
        <w:rPr>
          <w:rFonts w:ascii="Lucida Sans" w:hAnsi="Lucida Sans" w:cs="Times New Roman"/>
          <w:sz w:val="18"/>
          <w:szCs w:val="18"/>
          <w:lang w:val="en-US"/>
        </w:rPr>
        <w:t>are</w:t>
      </w:r>
      <w:r w:rsidR="00AF1E35" w:rsidRPr="006F0C0A">
        <w:rPr>
          <w:rFonts w:ascii="Lucida Sans" w:hAnsi="Lucida Sans" w:cs="Times New Roman"/>
          <w:sz w:val="18"/>
          <w:szCs w:val="18"/>
          <w:lang w:val="en-US"/>
        </w:rPr>
        <w:t xml:space="preserve"> </w:t>
      </w:r>
      <w:r>
        <w:rPr>
          <w:rFonts w:ascii="Lucida Sans" w:hAnsi="Lucida Sans" w:cs="Times New Roman"/>
          <w:sz w:val="18"/>
          <w:szCs w:val="18"/>
          <w:lang w:val="en-US"/>
        </w:rPr>
        <w:t>addressed</w:t>
      </w:r>
      <w:r w:rsidR="00AF1E35" w:rsidRPr="006F0C0A">
        <w:rPr>
          <w:rFonts w:ascii="Lucida Sans" w:hAnsi="Lucida Sans" w:cs="Times New Roman"/>
          <w:sz w:val="18"/>
          <w:szCs w:val="18"/>
          <w:lang w:val="en-US"/>
        </w:rPr>
        <w:t xml:space="preserve"> later. </w:t>
      </w:r>
      <w:r w:rsidR="009A76B2" w:rsidRPr="009A76B2">
        <w:rPr>
          <w:rFonts w:ascii="Lucida Sans" w:hAnsi="Lucida Sans" w:cs="Times New Roman"/>
          <w:sz w:val="18"/>
          <w:szCs w:val="18"/>
          <w:lang w:val="en-US"/>
        </w:rPr>
        <w:t xml:space="preserve">MAOIs are recommended as a potential treatment option in patients with refractory depression in </w:t>
      </w:r>
      <w:r w:rsidR="00986D2F">
        <w:rPr>
          <w:rFonts w:ascii="Lucida Sans" w:hAnsi="Lucida Sans" w:cs="Times New Roman"/>
          <w:sz w:val="18"/>
          <w:szCs w:val="18"/>
          <w:lang w:val="en-US"/>
        </w:rPr>
        <w:t>National Institute for Health and Care Excellence (</w:t>
      </w:r>
      <w:r w:rsidR="009A76B2" w:rsidRPr="009A76B2">
        <w:rPr>
          <w:rFonts w:ascii="Lucida Sans" w:hAnsi="Lucida Sans" w:cs="Times New Roman"/>
          <w:sz w:val="18"/>
          <w:szCs w:val="18"/>
          <w:lang w:val="en-US"/>
        </w:rPr>
        <w:t>NICE</w:t>
      </w:r>
      <w:r w:rsidR="00986D2F">
        <w:rPr>
          <w:rFonts w:ascii="Lucida Sans" w:hAnsi="Lucida Sans" w:cs="Times New Roman"/>
          <w:sz w:val="18"/>
          <w:szCs w:val="18"/>
          <w:lang w:val="en-US"/>
        </w:rPr>
        <w:t>)</w:t>
      </w:r>
      <w:r w:rsidR="009A76B2" w:rsidRPr="009A76B2">
        <w:rPr>
          <w:rFonts w:ascii="Lucida Sans" w:hAnsi="Lucida Sans" w:cs="Times New Roman"/>
          <w:sz w:val="18"/>
          <w:szCs w:val="18"/>
          <w:lang w:val="en-US"/>
        </w:rPr>
        <w:t xml:space="preserve"> and </w:t>
      </w:r>
      <w:r w:rsidR="00986D2F">
        <w:rPr>
          <w:rFonts w:ascii="Lucida Sans" w:hAnsi="Lucida Sans" w:cs="Times New Roman"/>
          <w:sz w:val="18"/>
          <w:szCs w:val="18"/>
          <w:lang w:val="en-US"/>
        </w:rPr>
        <w:t>British Association for Psychopharmacology (</w:t>
      </w:r>
      <w:r w:rsidR="009A76B2" w:rsidRPr="009A76B2">
        <w:rPr>
          <w:rFonts w:ascii="Lucida Sans" w:hAnsi="Lucida Sans" w:cs="Times New Roman"/>
          <w:sz w:val="18"/>
          <w:szCs w:val="18"/>
          <w:lang w:val="en-US"/>
        </w:rPr>
        <w:t>BAP</w:t>
      </w:r>
      <w:r w:rsidR="00986D2F">
        <w:rPr>
          <w:rFonts w:ascii="Lucida Sans" w:hAnsi="Lucida Sans" w:cs="Times New Roman"/>
          <w:sz w:val="18"/>
          <w:szCs w:val="18"/>
          <w:lang w:val="en-US"/>
        </w:rPr>
        <w:t>)</w:t>
      </w:r>
      <w:r w:rsidR="009A76B2" w:rsidRPr="009A76B2">
        <w:rPr>
          <w:rFonts w:ascii="Lucida Sans" w:hAnsi="Lucida Sans" w:cs="Times New Roman"/>
          <w:sz w:val="18"/>
          <w:szCs w:val="18"/>
          <w:lang w:val="en-US"/>
        </w:rPr>
        <w:t xml:space="preserve"> guidelines </w:t>
      </w:r>
      <w:r w:rsidR="000F17A9">
        <w:rPr>
          <w:rFonts w:ascii="Lucida Sans" w:hAnsi="Lucida Sans" w:cs="Times New Roman"/>
          <w:sz w:val="18"/>
          <w:szCs w:val="18"/>
          <w:lang w:val="en-US"/>
        </w:rPr>
        <w:fldChar w:fldCharType="begin"/>
      </w:r>
      <w:r w:rsidR="008E1EA2">
        <w:rPr>
          <w:rFonts w:ascii="Lucida Sans" w:hAnsi="Lucida Sans" w:cs="Times New Roman"/>
          <w:sz w:val="18"/>
          <w:szCs w:val="18"/>
          <w:lang w:val="en-US"/>
        </w:rPr>
        <w:instrText xml:space="preserve"> ADDIN EN.CITE &lt;EndNote&gt;&lt;Cite&gt;&lt;Author&gt;National Institute for Health and Care Excellence&lt;/Author&gt;&lt;Year&gt;2009&lt;/Year&gt;&lt;RecNum&gt;385&lt;/RecNum&gt;&lt;DisplayText&gt;[2, 3]&lt;/DisplayText&gt;&lt;record&gt;&lt;rec-number&gt;385&lt;/rec-number&gt;&lt;foreign-keys&gt;&lt;key app="EN" db-id="2xwpd9xwpest5ue9rwa5etrr9fzzxded9vfx" timestamp="0"&gt;385&lt;/key&gt;&lt;/foreign-keys&gt;&lt;ref-type name="Report"&gt;27&lt;/ref-type&gt;&lt;contributors&gt;&lt;authors&gt;&lt;author&gt;National Institute for Health and Care Excellence, &lt;/author&gt;&lt;/authors&gt;&lt;/contributors&gt;&lt;titles&gt;&lt;title&gt;Depression in adults: recognition and management,&lt;/title&gt;&lt;secondary-title&gt;Clinical Guidelines CG90&lt;/secondary-title&gt;&lt;/titles&gt;&lt;number&gt;CG90,&lt;/number&gt;&lt;dates&gt;&lt;year&gt;2009&lt;/year&gt;&lt;/dates&gt;&lt;isbn&gt;CG90,&lt;/isbn&gt;&lt;urls&gt;&lt;related-urls&gt;&lt;url&gt;www.nice.org.uk/guidance/cg90 &lt;/url&gt;&lt;/related-urls&gt;&lt;/urls&gt;&lt;custom6&gt;ISBN: 978-1-4731-2712-8&lt;/custom6&gt;&lt;/record&gt;&lt;/Cite&gt;&lt;Cite&gt;&lt;Author&gt;Cleare&lt;/Author&gt;&lt;Year&gt;2015&lt;/Year&gt;&lt;RecNum&gt;386&lt;/RecNum&gt;&lt;record&gt;&lt;rec-number&gt;386&lt;/rec-number&gt;&lt;foreign-keys&gt;&lt;key app="EN" db-id="2xwpd9xwpest5ue9rwa5etrr9fzzxded9vfx" timestamp="0"&gt;386&lt;/key&gt;&lt;/foreign-keys&gt;&lt;ref-type name="Journal Article"&gt;17&lt;/ref-type&gt;&lt;contributors&gt;&lt;authors&gt;&lt;author&gt;Cleare, Anthony&lt;/author&gt;&lt;author&gt;Pariante, Carmine M&lt;/author&gt;&lt;author&gt;Young, Alan H&lt;/author&gt;&lt;author&gt;Anderson, Ian M&lt;/author&gt;&lt;author&gt;Christmas, David&lt;/author&gt;&lt;author&gt;Cowen, Phillip J&lt;/author&gt;&lt;author&gt;Dickens, C&lt;/author&gt;&lt;author&gt;Ferrier, IN&lt;/author&gt;&lt;author&gt;Geddes, J&lt;/author&gt;&lt;author&gt;Gilbody, S&lt;/author&gt;&lt;/authors&gt;&lt;/contributors&gt;&lt;titles&gt;&lt;title&gt;Evidence-based guidelines for treating depressive disorders with antidepressants: a revision of the 2008 British Association for Psychopharmacology guidelines&lt;/title&gt;&lt;secondary-title&gt;Journal of Psychopharmacology&lt;/secondary-title&gt;&lt;/titles&gt;&lt;periodical&gt;&lt;full-title&gt;Journal of Psychopharmacology&lt;/full-title&gt;&lt;/periodical&gt;&lt;pages&gt;459-525&lt;/pages&gt;&lt;volume&gt;29&lt;/volume&gt;&lt;number&gt;5&lt;/number&gt;&lt;dates&gt;&lt;year&gt;2015&lt;/year&gt;&lt;/dates&gt;&lt;isbn&gt;0269-8811&lt;/isbn&gt;&lt;urls&gt;&lt;/urls&gt;&lt;/record&gt;&lt;/Cite&gt;&lt;/EndNote&gt;</w:instrText>
      </w:r>
      <w:r w:rsidR="000F17A9">
        <w:rPr>
          <w:rFonts w:ascii="Lucida Sans" w:hAnsi="Lucida Sans" w:cs="Times New Roman"/>
          <w:sz w:val="18"/>
          <w:szCs w:val="18"/>
          <w:lang w:val="en-US"/>
        </w:rPr>
        <w:fldChar w:fldCharType="separate"/>
      </w:r>
      <w:r w:rsidR="008E1EA2">
        <w:rPr>
          <w:rFonts w:ascii="Lucida Sans" w:hAnsi="Lucida Sans" w:cs="Times New Roman"/>
          <w:noProof/>
          <w:sz w:val="18"/>
          <w:szCs w:val="18"/>
          <w:lang w:val="en-US"/>
        </w:rPr>
        <w:t>[2, 3]</w:t>
      </w:r>
      <w:r w:rsidR="000F17A9">
        <w:rPr>
          <w:rFonts w:ascii="Lucida Sans" w:hAnsi="Lucida Sans" w:cs="Times New Roman"/>
          <w:sz w:val="18"/>
          <w:szCs w:val="18"/>
          <w:lang w:val="en-US"/>
        </w:rPr>
        <w:fldChar w:fldCharType="end"/>
      </w:r>
      <w:r w:rsidR="00986D2F">
        <w:rPr>
          <w:rFonts w:ascii="Lucida Sans" w:hAnsi="Lucida Sans" w:cs="Times New Roman"/>
          <w:sz w:val="18"/>
          <w:szCs w:val="18"/>
          <w:lang w:val="en-US"/>
        </w:rPr>
        <w:t>.</w:t>
      </w:r>
      <w:r w:rsidR="000F17A9">
        <w:rPr>
          <w:rFonts w:ascii="Lucida Sans" w:hAnsi="Lucida Sans" w:cs="Times New Roman"/>
          <w:sz w:val="18"/>
          <w:szCs w:val="18"/>
          <w:lang w:val="en-US"/>
        </w:rPr>
        <w:t xml:space="preserve"> </w:t>
      </w:r>
      <w:r w:rsidR="009C4C22">
        <w:rPr>
          <w:rFonts w:ascii="Lucida Sans" w:hAnsi="Lucida Sans" w:cs="Times New Roman"/>
          <w:sz w:val="18"/>
          <w:szCs w:val="18"/>
          <w:lang w:val="en-US"/>
        </w:rPr>
        <w:t xml:space="preserve">American Psychiatric Association (APA) </w:t>
      </w:r>
      <w:r w:rsidR="0032136A">
        <w:rPr>
          <w:rFonts w:ascii="Lucida Sans" w:hAnsi="Lucida Sans" w:cs="Times New Roman"/>
          <w:sz w:val="18"/>
          <w:szCs w:val="18"/>
          <w:lang w:val="en-US"/>
        </w:rPr>
        <w:t xml:space="preserve">depression guidelines </w:t>
      </w:r>
      <w:r w:rsidR="009C4C22">
        <w:rPr>
          <w:rFonts w:ascii="Lucida Sans" w:hAnsi="Lucida Sans" w:cs="Times New Roman"/>
          <w:sz w:val="18"/>
          <w:szCs w:val="18"/>
          <w:lang w:val="en-US"/>
        </w:rPr>
        <w:t xml:space="preserve">indicate that MAOIs should in general be reserved for use in patients who have not responded to other treatments </w:t>
      </w:r>
      <w:r w:rsidR="001F03FD">
        <w:rPr>
          <w:rFonts w:ascii="Lucida Sans" w:hAnsi="Lucida Sans" w:cs="Times New Roman"/>
          <w:sz w:val="18"/>
          <w:szCs w:val="18"/>
          <w:lang w:val="en-US"/>
        </w:rPr>
        <w:fldChar w:fldCharType="begin"/>
      </w:r>
      <w:r w:rsidR="001F03FD">
        <w:rPr>
          <w:rFonts w:ascii="Lucida Sans" w:hAnsi="Lucida Sans" w:cs="Times New Roman"/>
          <w:sz w:val="18"/>
          <w:szCs w:val="18"/>
          <w:lang w:val="en-US"/>
        </w:rPr>
        <w:instrText xml:space="preserve"> ADDIN EN.CITE &lt;EndNote&gt;&lt;Cite&gt;&lt;Author&gt;Gelenberg&lt;/Author&gt;&lt;Year&gt;2010&lt;/Year&gt;&lt;RecNum&gt;614&lt;/RecNum&gt;&lt;DisplayText&gt;[4]&lt;/DisplayText&gt;&lt;record&gt;&lt;rec-number&gt;614&lt;/rec-number&gt;&lt;foreign-keys&gt;&lt;key app="EN" db-id="2xwpd9xwpest5ue9rwa5etrr9fzzxded9vfx" timestamp="1621509596"&gt;614&lt;/key&gt;&lt;/foreign-keys&gt;&lt;ref-type name="Journal Article"&gt;17&lt;/ref-type&gt;&lt;contributors&gt;&lt;authors&gt;&lt;author&gt;Gelenberg, AJ&lt;/author&gt;&lt;author&gt;Freeman, MP&lt;/author&gt;&lt;author&gt;Markowitz, JC&lt;/author&gt;&lt;author&gt;Rosenbaum, JF&lt;/author&gt;&lt;author&gt;Thase, ME&lt;/author&gt;&lt;author&gt;Trivedi, MH&lt;/author&gt;&lt;author&gt;Van Rhoads, RS&lt;/author&gt;&lt;/authors&gt;&lt;/contributors&gt;&lt;titles&gt;&lt;title&gt;American Psychiatric Association practice guidelines for the treatment of patients with major depressive disorder&lt;/title&gt;&lt;secondary-title&gt;Am J Psychiatry&lt;/secondary-title&gt;&lt;/titles&gt;&lt;periodical&gt;&lt;full-title&gt;Am J Psychiatry&lt;/full-title&gt;&lt;/periodical&gt;&lt;pages&gt;9-118&lt;/pages&gt;&lt;volume&gt;167&lt;/volume&gt;&lt;number&gt;Suppl 10&lt;/number&gt;&lt;dates&gt;&lt;year&gt;2010&lt;/year&gt;&lt;/dates&gt;&lt;urls&gt;&lt;/urls&gt;&lt;/record&gt;&lt;/Cite&gt;&lt;/EndNote&gt;</w:instrText>
      </w:r>
      <w:r w:rsidR="001F03FD">
        <w:rPr>
          <w:rFonts w:ascii="Lucida Sans" w:hAnsi="Lucida Sans" w:cs="Times New Roman"/>
          <w:sz w:val="18"/>
          <w:szCs w:val="18"/>
          <w:lang w:val="en-US"/>
        </w:rPr>
        <w:fldChar w:fldCharType="separate"/>
      </w:r>
      <w:r w:rsidR="001F03FD">
        <w:rPr>
          <w:rFonts w:ascii="Lucida Sans" w:hAnsi="Lucida Sans" w:cs="Times New Roman"/>
          <w:noProof/>
          <w:sz w:val="18"/>
          <w:szCs w:val="18"/>
          <w:lang w:val="en-US"/>
        </w:rPr>
        <w:t>[4]</w:t>
      </w:r>
      <w:r w:rsidR="001F03FD">
        <w:rPr>
          <w:rFonts w:ascii="Lucida Sans" w:hAnsi="Lucida Sans" w:cs="Times New Roman"/>
          <w:sz w:val="18"/>
          <w:szCs w:val="18"/>
          <w:lang w:val="en-US"/>
        </w:rPr>
        <w:fldChar w:fldCharType="end"/>
      </w:r>
      <w:r w:rsidR="00271279">
        <w:rPr>
          <w:rFonts w:ascii="Lucida Sans" w:hAnsi="Lucida Sans" w:cs="Times New Roman"/>
          <w:sz w:val="18"/>
          <w:szCs w:val="18"/>
          <w:lang w:val="en-US"/>
        </w:rPr>
        <w:t>.</w:t>
      </w:r>
      <w:r w:rsidR="009C4C22">
        <w:rPr>
          <w:rFonts w:ascii="Lucida Sans" w:hAnsi="Lucida Sans" w:cs="Times New Roman"/>
          <w:sz w:val="18"/>
          <w:szCs w:val="18"/>
          <w:lang w:val="en-US"/>
        </w:rPr>
        <w:t xml:space="preserve"> </w:t>
      </w:r>
      <w:r w:rsidR="007134D2">
        <w:rPr>
          <w:rFonts w:ascii="Lucida Sans" w:hAnsi="Lucida Sans" w:cs="Times New Roman"/>
          <w:sz w:val="18"/>
          <w:szCs w:val="18"/>
          <w:lang w:val="en-US"/>
        </w:rPr>
        <w:t xml:space="preserve">MAOIs are listed as third-line treatment options for depression in the </w:t>
      </w:r>
      <w:r w:rsidR="0026013B">
        <w:rPr>
          <w:rFonts w:ascii="Lucida Sans" w:hAnsi="Lucida Sans" w:cs="Times New Roman"/>
          <w:sz w:val="18"/>
          <w:szCs w:val="18"/>
          <w:lang w:val="en-US"/>
        </w:rPr>
        <w:t xml:space="preserve">Canadian Network for Mood and Anxiety Treatments (CAMAT) </w:t>
      </w:r>
      <w:r w:rsidR="0032136A">
        <w:rPr>
          <w:rFonts w:ascii="Lucida Sans" w:hAnsi="Lucida Sans" w:cs="Times New Roman"/>
          <w:sz w:val="18"/>
          <w:szCs w:val="18"/>
          <w:lang w:val="en-US"/>
        </w:rPr>
        <w:t xml:space="preserve">depression </w:t>
      </w:r>
      <w:r w:rsidR="007C1C2B">
        <w:rPr>
          <w:rFonts w:ascii="Lucida Sans" w:hAnsi="Lucida Sans" w:cs="Times New Roman"/>
          <w:sz w:val="18"/>
          <w:szCs w:val="18"/>
          <w:lang w:val="en-US"/>
        </w:rPr>
        <w:t>guidelines</w:t>
      </w:r>
      <w:r w:rsidR="001F03FD">
        <w:rPr>
          <w:rFonts w:ascii="Lucida Sans" w:hAnsi="Lucida Sans" w:cs="Times New Roman"/>
          <w:sz w:val="18"/>
          <w:szCs w:val="18"/>
          <w:lang w:val="en-US"/>
        </w:rPr>
        <w:t xml:space="preserve"> </w:t>
      </w:r>
      <w:r w:rsidR="00271279">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&lt;EndNote&gt;&lt;Cite&gt;&lt;Author&gt;Kennedy&lt;/Author&gt;&lt;Year&gt;2016&lt;/Year&gt;&lt;RecNum&gt;616&lt;/RecNum&gt;&lt;DisplayText&gt;[5, 6]&lt;/DisplayText&gt;&lt;record&gt;&lt;rec-number&gt;616&lt;/rec-number&gt;&lt;foreign-keys&gt;&lt;key app="EN" db-id="2xwpd9xwpest5ue9rwa5etrr9fzzxded9vfx" timestamp="1621509983"&gt;616&lt;/key&gt;&lt;/foreign-keys&gt;&lt;ref-type name="Journal Article"&gt;17&lt;/ref-type&gt;&lt;contributors&gt;&lt;authors&gt;&lt;author&gt;Kennedy, Sidney H&lt;/author&gt;&lt;author&gt;Lam, Raymond W&lt;/author&gt;&lt;author&gt;McIntyre, Roger S&lt;/author&gt;&lt;author&gt;Tourjman, S Valérie&lt;/author&gt;&lt;author&gt;Bhat, Venkat&lt;/author&gt;&lt;author&gt;Blier, Pierre&lt;/author&gt;&lt;author&gt;Hasnain, Mehrul&lt;/author&gt;&lt;author&gt;Jollant, Fabrice&lt;/author&gt;&lt;author&gt;Levitt, Anthony J&lt;/author&gt;&lt;author&gt;MacQueen, Glenda M&lt;/author&gt;&lt;/authors&gt;&lt;/contributors&gt;&lt;titles&gt;&lt;title&gt;Canadian Network for Mood and Anxiety Treatments (CANMAT) 2016 clinical guidelines for the management of adults with major depressive disorder: section 3. Pharmacological treatments&lt;/title&gt;&lt;secondary-title&gt;The Canadian Journal of Psychiatry&lt;/secondary-title&gt;&lt;/titles&gt;&lt;periodical&gt;&lt;full-title&gt;The Canadian Journal of Psychiatry&lt;/full-title&gt;&lt;/periodical&gt;&lt;pages&gt;540-560&lt;/pages&gt;&lt;volume&gt;61&lt;/volume&gt;&lt;number&gt;9&lt;/number&gt;&lt;dates&gt;&lt;year&gt;2016&lt;/year&gt;&lt;/dates&gt;&lt;isbn&gt;0706-7437&lt;/isbn&gt;&lt;urls&gt;&lt;/urls&gt;&lt;/record&gt;&lt;/Cite&gt;&lt;Cite&gt;&lt;Year&gt;2017&lt;/Year&gt;&lt;RecNum&gt;615&lt;/RecNum&gt;&lt;record&gt;&lt;rec-number&gt;615&lt;/rec-number&gt;&lt;foreign-keys&gt;&lt;key app="EN" db-id="2xwpd9xwpest5ue9rwa5etrr9fzzxded9vfx" timestamp="1621509878"&gt;615&lt;/key&gt;&lt;/foreign-keys&gt;&lt;ref-type name="Journal Article"&gt;17&lt;/ref-type&gt;&lt;contributors&gt;&lt;/contributors&gt;&lt;titles&gt;&lt;title&gt;Corrigendum&lt;/title&gt;&lt;secondary-title&gt;The Canadian Journal of Psychiatry&lt;/secondary-title&gt;&lt;/titles&gt;&lt;periodical&gt;&lt;full-title&gt;The Canadian Journal of Psychiatry&lt;/full-title&gt;&lt;/periodical&gt;&lt;pages&gt;356-356&lt;/pages&gt;&lt;volume&gt;62&lt;/volume&gt;&lt;number&gt;5&lt;/number&gt;&lt;dates&gt;&lt;year&gt;2017&lt;/year&gt;&lt;/dates&gt;&lt;accession-num&gt;28525730&lt;/accession-num&gt;&lt;urls&gt;&lt;related-urls&gt;&lt;url&gt;https://journals.sagepub.com/doi/abs/10.1177/0706743717708346&lt;/url&gt;&lt;/related-urls&gt;&lt;/urls&gt;&lt;electronic-resource-num&gt;10.1177/0706743717708346&lt;/electronic-resource-num&gt;&lt;/record&gt;&lt;/Cite&gt;&lt;/EndNote&gt;</w:instrText>
      </w:r>
      <w:r w:rsidR="00271279">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[5, 6]</w:t>
      </w:r>
      <w:r w:rsidR="00271279">
        <w:rPr>
          <w:rFonts w:ascii="Lucida Sans" w:hAnsi="Lucida Sans" w:cs="Times New Roman"/>
          <w:sz w:val="18"/>
          <w:szCs w:val="18"/>
          <w:lang w:val="en-US"/>
        </w:rPr>
        <w:fldChar w:fldCharType="end"/>
      </w:r>
      <w:r w:rsidR="007C1C2B">
        <w:rPr>
          <w:rFonts w:ascii="Lucida Sans" w:hAnsi="Lucida Sans" w:cs="Times New Roman"/>
          <w:sz w:val="18"/>
          <w:szCs w:val="18"/>
          <w:lang w:val="en-US"/>
        </w:rPr>
        <w:t xml:space="preserve"> </w:t>
      </w:r>
      <w:r w:rsidR="007134D2">
        <w:rPr>
          <w:rFonts w:ascii="Lucida Sans" w:hAnsi="Lucida Sans" w:cs="Times New Roman"/>
          <w:sz w:val="18"/>
          <w:szCs w:val="18"/>
          <w:lang w:val="en-US"/>
        </w:rPr>
        <w:t xml:space="preserve">and in the Royal Australian and New Zealand College of Psychiatrists (RANZCP) </w:t>
      </w:r>
      <w:r w:rsidR="0032136A">
        <w:rPr>
          <w:rFonts w:ascii="Lucida Sans" w:hAnsi="Lucida Sans" w:cs="Times New Roman"/>
          <w:sz w:val="18"/>
          <w:szCs w:val="18"/>
          <w:lang w:val="en-US"/>
        </w:rPr>
        <w:t xml:space="preserve">depression </w:t>
      </w:r>
      <w:r w:rsidR="007134D2">
        <w:rPr>
          <w:rFonts w:ascii="Lucida Sans" w:hAnsi="Lucida Sans" w:cs="Times New Roman"/>
          <w:sz w:val="18"/>
          <w:szCs w:val="18"/>
          <w:lang w:val="en-US"/>
        </w:rPr>
        <w:t xml:space="preserve">guidelines </w:t>
      </w:r>
      <w:r w:rsidR="00271279">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&lt;EndNote&gt;&lt;Cite&gt;&lt;Author&gt;Malhi&lt;/Author&gt;&lt;Year&gt;2015&lt;/Year&gt;&lt;RecNum&gt;345&lt;/RecNum&gt;&lt;DisplayText&gt;[7]&lt;/DisplayText&gt;&lt;record&gt;&lt;rec-number&gt;345&lt;/rec-number&gt;&lt;foreign-keys&gt;&lt;key app="EN" db-id="2xwpd9xwpest5ue9rwa5etrr9fzzxded9vfx" timestamp="0"&gt;345&lt;/key&gt;&lt;/foreign-keys&gt;&lt;ref-type name="Journal Article"&gt;17&lt;/ref-type&gt;&lt;contributors&gt;&lt;authors&gt;&lt;author&gt;Malhi, Gin S&lt;/author&gt;&lt;author&gt;Bassett, Darryl&lt;/author&gt;&lt;author&gt;Boyce, Philip&lt;/author&gt;&lt;author&gt;Bryant, Richard&lt;/author&gt;&lt;author&gt;Fitzgerald, Paul B&lt;/author&gt;&lt;author&gt;Fritz, Kristina&lt;/author&gt;&lt;author&gt;Hopwood, Malcolm&lt;/author&gt;&lt;author&gt;Lyndon, Bill&lt;/author&gt;&lt;author&gt;Mulder, Roger&lt;/author&gt;&lt;author&gt;Murray, Greg&lt;/author&gt;&lt;/authors&gt;&lt;/contributors&gt;&lt;titles&gt;&lt;title&gt;Royal Australian and New Zealand College of Psychiatrists clinical practice guidelines for mood disorders&lt;/title&gt;&lt;secondary-title&gt;Australian &amp;amp; New Zealand Journal of Psychiatry&lt;/secondary-title&gt;&lt;/titles&gt;&lt;periodical&gt;&lt;full-title&gt;Australian &amp;amp; New Zealand Journal of Psychiatry&lt;/full-title&gt;&lt;/periodical&gt;&lt;pages&gt;1087-1206&lt;/pages&gt;&lt;volume&gt;49&lt;/volume&gt;&lt;number&gt;12&lt;/number&gt;&lt;dates&gt;&lt;year&gt;2015&lt;/year&gt;&lt;/dates&gt;&lt;isbn&gt;0004-8674&lt;/isbn&gt;&lt;urls&gt;&lt;/urls&gt;&lt;/record&gt;&lt;/Cite&gt;&lt;/EndNote&gt;</w:instrText>
      </w:r>
      <w:r w:rsidR="00271279">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[7]</w:t>
      </w:r>
      <w:r w:rsidR="00271279">
        <w:rPr>
          <w:rFonts w:ascii="Lucida Sans" w:hAnsi="Lucida Sans" w:cs="Times New Roman"/>
          <w:sz w:val="18"/>
          <w:szCs w:val="18"/>
          <w:lang w:val="en-US"/>
        </w:rPr>
        <w:fldChar w:fldCharType="end"/>
      </w:r>
      <w:r w:rsidR="00271279">
        <w:rPr>
          <w:rFonts w:ascii="Lucida Sans" w:hAnsi="Lucida Sans" w:cs="Times New Roman"/>
          <w:sz w:val="18"/>
          <w:szCs w:val="18"/>
          <w:lang w:val="en-US"/>
        </w:rPr>
        <w:t>.</w:t>
      </w:r>
      <w:r w:rsidR="007134D2">
        <w:rPr>
          <w:rFonts w:ascii="Lucida Sans" w:hAnsi="Lucida Sans" w:cs="Times New Roman"/>
          <w:sz w:val="18"/>
          <w:szCs w:val="18"/>
          <w:lang w:val="en-US"/>
        </w:rPr>
        <w:t xml:space="preserve"> </w:t>
      </w:r>
      <w:r w:rsidR="007C464E">
        <w:rPr>
          <w:rFonts w:ascii="Lucida Sans" w:hAnsi="Lucida Sans" w:cs="Times New Roman"/>
          <w:sz w:val="18"/>
          <w:szCs w:val="18"/>
          <w:lang w:val="en-US"/>
        </w:rPr>
        <w:t>Therapeutic use of MAOIs  is</w:t>
      </w:r>
      <w:r>
        <w:rPr>
          <w:rFonts w:ascii="Lucida Sans" w:hAnsi="Lucida Sans" w:cs="Times New Roman"/>
          <w:sz w:val="18"/>
          <w:szCs w:val="18"/>
          <w:lang w:val="en-US"/>
        </w:rPr>
        <w:t xml:space="preserve"> dwindling </w:t>
      </w:r>
      <w:r w:rsidR="00986D2F">
        <w:rPr>
          <w:rFonts w:ascii="Lucida Sans" w:hAnsi="Lucida Sans" w:cs="Times New Roman"/>
          <w:sz w:val="18"/>
          <w:szCs w:val="18"/>
          <w:lang w:val="en-US"/>
        </w:rPr>
        <w:t xml:space="preserve">in the United Kingdom and </w:t>
      </w:r>
      <w:r>
        <w:rPr>
          <w:rFonts w:ascii="Lucida Sans" w:hAnsi="Lucida Sans" w:cs="Times New Roman"/>
          <w:sz w:val="18"/>
          <w:szCs w:val="18"/>
          <w:lang w:val="en-US"/>
        </w:rPr>
        <w:t xml:space="preserve">worldwide. </w:t>
      </w:r>
      <w:r w:rsidR="00585768">
        <w:rPr>
          <w:rFonts w:ascii="Lucida Sans" w:hAnsi="Lucida Sans" w:cs="Times New Roman"/>
          <w:sz w:val="18"/>
          <w:szCs w:val="18"/>
          <w:lang w:val="en-US"/>
        </w:rPr>
        <w:t>A</w:t>
      </w:r>
      <w:r w:rsidR="001E4218" w:rsidRPr="006F0C0A">
        <w:rPr>
          <w:rFonts w:ascii="Lucida Sans" w:hAnsi="Lucida Sans" w:cs="Times New Roman"/>
          <w:sz w:val="18"/>
          <w:szCs w:val="18"/>
          <w:lang w:val="en-US"/>
        </w:rPr>
        <w:t xml:space="preserve"> recent study conducted in European tertiary psychiatric treatment centres</w:t>
      </w:r>
      <w:r w:rsidR="00872CF4">
        <w:rPr>
          <w:rFonts w:ascii="Lucida Sans" w:hAnsi="Lucida Sans" w:cs="Times New Roman"/>
          <w:sz w:val="18"/>
          <w:szCs w:val="18"/>
          <w:lang w:val="en-US"/>
        </w:rPr>
        <w:t xml:space="preserve"> found that</w:t>
      </w:r>
      <w:r w:rsidR="001E4218" w:rsidRPr="006F0C0A">
        <w:rPr>
          <w:rFonts w:ascii="Lucida Sans" w:hAnsi="Lucida Sans" w:cs="Times New Roman"/>
          <w:sz w:val="18"/>
          <w:szCs w:val="18"/>
          <w:lang w:val="en-US"/>
        </w:rPr>
        <w:t xml:space="preserve"> MAOIs were used as the primary treatment in </w:t>
      </w:r>
      <w:r w:rsidR="00872CF4">
        <w:rPr>
          <w:rFonts w:ascii="Lucida Sans" w:hAnsi="Lucida Sans" w:cs="Times New Roman"/>
          <w:sz w:val="18"/>
          <w:szCs w:val="18"/>
          <w:lang w:val="en-US"/>
        </w:rPr>
        <w:t>only</w:t>
      </w:r>
      <w:r w:rsidR="001E4218" w:rsidRPr="006F0C0A">
        <w:rPr>
          <w:rFonts w:ascii="Lucida Sans" w:hAnsi="Lucida Sans" w:cs="Times New Roman"/>
          <w:sz w:val="18"/>
          <w:szCs w:val="18"/>
          <w:lang w:val="en-US"/>
        </w:rPr>
        <w:t xml:space="preserve"> 0.3% of patients with unipolar depression </w:t>
      </w:r>
      <w:r w:rsidR="001E4218" w:rsidRPr="006F0C0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&lt;EndNote&gt;&lt;Cite&gt;&lt;Author&gt;Dold&lt;/Author&gt;&lt;Year&gt;2016&lt;/Year&gt;&lt;RecNum&gt;391&lt;/RecNum&gt;&lt;IDText&gt;Pharmacological treatment strategies in unipolar depression in European tertiary psychiatric treatment centers–A pharmacoepidemiological cross-sectional multicenter study&lt;/IDText&gt;&lt;DisplayText&gt;[8]&lt;/DisplayText&gt;&lt;record&gt;&lt;rec-number&gt;391&lt;/rec-number&gt;&lt;foreign-keys&gt;&lt;key app="EN" db-id="2xwpd9xwpest5ue9rwa5etrr9fzzxded9vfx" timestamp="0"&gt;391&lt;/key&gt;&lt;/foreign-keys&gt;&lt;ref-type name="Journal Article"&gt;17&lt;/ref-type&gt;&lt;contributors&gt;&lt;authors&gt;&lt;author&gt;Dold, Markus&lt;/author&gt;&lt;author&gt;Kautzky, Alexander&lt;/author&gt;&lt;author&gt;Bartova, Lucie&lt;/author&gt;&lt;author&gt;Rabl, Ulrich&lt;/author&gt;&lt;author&gt;Souery, Daniel&lt;/author&gt;&lt;author&gt;Mendlewicz, Julien&lt;/author&gt;&lt;author&gt;Porcelli, Stefano&lt;/author&gt;&lt;author&gt;Serretti, Alessandro&lt;/author&gt;&lt;author&gt;Zohar, Joseph&lt;/author&gt;&lt;author&gt;Montgomery, Stuart&lt;/author&gt;&lt;/authors&gt;&lt;/contributors&gt;&lt;titles&gt;&lt;title&gt;Pharmacological treatment strategies in unipolar depression in European tertiary psychiatric treatment centers–A pharmacoepidemiological cross-sectional multicenter study&lt;/title&gt;&lt;secondary-title&gt;European Neuropsychopharmacology&lt;/secondary-title&gt;&lt;/titles&gt;&lt;periodical&gt;&lt;full-title&gt;European Neuropsychopharmacology&lt;/full-title&gt;&lt;/periodical&gt;&lt;pages&gt;1960-1971&lt;/pages&gt;&lt;volume&gt;26&lt;/volume&gt;&lt;number&gt;12&lt;/number&gt;&lt;dates&gt;&lt;year&gt;2016&lt;/year&gt;&lt;/dates&gt;&lt;isbn&gt;0924-977X&lt;/isbn&gt;&lt;urls&gt;&lt;/urls&gt;&lt;/record&gt;&lt;/Cite&gt;&lt;/EndNote&gt;</w:instrText>
      </w:r>
      <w:r w:rsidR="001E4218" w:rsidRPr="006F0C0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[8]</w:t>
      </w:r>
      <w:r w:rsidR="001E4218" w:rsidRPr="006F0C0A">
        <w:rPr>
          <w:rFonts w:ascii="Lucida Sans" w:hAnsi="Lucida Sans" w:cs="Times New Roman"/>
          <w:sz w:val="18"/>
          <w:szCs w:val="18"/>
          <w:lang w:val="en-US"/>
        </w:rPr>
        <w:fldChar w:fldCharType="end"/>
      </w:r>
      <w:r w:rsidR="001E4218" w:rsidRPr="006F0C0A">
        <w:rPr>
          <w:rFonts w:ascii="Lucida Sans" w:hAnsi="Lucida Sans" w:cs="Times New Roman"/>
          <w:sz w:val="18"/>
          <w:szCs w:val="18"/>
          <w:lang w:val="en-US"/>
        </w:rPr>
        <w:t xml:space="preserve">. </w:t>
      </w:r>
      <w:r w:rsidR="00585768">
        <w:rPr>
          <w:rFonts w:ascii="Lucida Sans" w:hAnsi="Lucida Sans" w:cs="Times New Roman"/>
          <w:sz w:val="18"/>
          <w:szCs w:val="18"/>
          <w:lang w:val="en-US"/>
        </w:rPr>
        <w:t xml:space="preserve">A UK-based clinical audit </w:t>
      </w:r>
      <w:r w:rsidR="00585768" w:rsidRPr="00585768">
        <w:rPr>
          <w:rFonts w:ascii="Lucida Sans" w:hAnsi="Lucida Sans" w:cs="Times New Roman"/>
          <w:sz w:val="18"/>
          <w:szCs w:val="18"/>
          <w:lang w:val="en-US"/>
        </w:rPr>
        <w:t>of patient records from 55 mental health services (n=2082) indicate</w:t>
      </w:r>
      <w:r w:rsidR="00986D2F">
        <w:rPr>
          <w:rFonts w:ascii="Lucida Sans" w:hAnsi="Lucida Sans" w:cs="Times New Roman"/>
          <w:sz w:val="18"/>
          <w:szCs w:val="18"/>
          <w:lang w:val="en-US"/>
        </w:rPr>
        <w:t>d</w:t>
      </w:r>
      <w:r w:rsidR="00585768" w:rsidRPr="00585768">
        <w:rPr>
          <w:rFonts w:ascii="Lucida Sans" w:hAnsi="Lucida Sans" w:cs="Times New Roman"/>
          <w:sz w:val="18"/>
          <w:szCs w:val="18"/>
          <w:lang w:val="en-US"/>
        </w:rPr>
        <w:t xml:space="preserve"> </w:t>
      </w:r>
      <w:r w:rsidR="00585768">
        <w:rPr>
          <w:rFonts w:ascii="Lucida Sans" w:hAnsi="Lucida Sans" w:cs="Times New Roman"/>
          <w:sz w:val="18"/>
          <w:szCs w:val="18"/>
          <w:lang w:val="en-US"/>
        </w:rPr>
        <w:t xml:space="preserve">that </w:t>
      </w:r>
      <w:r w:rsidR="00585768" w:rsidRPr="00585768">
        <w:rPr>
          <w:rFonts w:ascii="Lucida Sans" w:hAnsi="Lucida Sans" w:cs="Times New Roman"/>
          <w:sz w:val="18"/>
          <w:szCs w:val="18"/>
          <w:lang w:val="en-US"/>
        </w:rPr>
        <w:t>MAOIs were prescribed to less than 1% of patients</w:t>
      </w:r>
      <w:r w:rsidR="00585768">
        <w:rPr>
          <w:rFonts w:ascii="Lucida Sans" w:hAnsi="Lucida Sans" w:cs="Times New Roman"/>
          <w:sz w:val="18"/>
          <w:szCs w:val="18"/>
          <w:lang w:val="en-US"/>
        </w:rPr>
        <w:t xml:space="preserve"> </w:t>
      </w:r>
      <w:r w:rsidR="00790682">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&lt;EndNote&gt;&lt;Cite&gt;&lt;Author&gt;Paton&lt;/Author&gt;&lt;Year&gt;2020&lt;/Year&gt;&lt;RecNum&gt;382&lt;/RecNum&gt;&lt;DisplayText&gt;[9]&lt;/DisplayText&gt;&lt;record&gt;&lt;rec-number&gt;382&lt;/rec-number&gt;&lt;foreign-keys&gt;&lt;key app="EN" db-id="2xwpd9xwpest5ue9rwa5etrr9fzzxded9vfx" timestamp="0"&gt;382&lt;/key&gt;&lt;/foreign-keys&gt;&lt;ref-type name="Journal Article"&gt;17&lt;/ref-type&gt;&lt;contributors&gt;&lt;authors&gt;&lt;author&gt;Paton, Carol&lt;/author&gt;&lt;author&gt;Anderson, Ian M&lt;/author&gt;&lt;author&gt;Cowen, Philip J&lt;/author&gt;&lt;author&gt;Delgado, Oriana&lt;/author&gt;&lt;author&gt;Barnes, Thomas RE&lt;/author&gt;&lt;/authors&gt;&lt;/contributors&gt;&lt;titles&gt;&lt;title&gt;Prescribing for moderate or severe unipolar depression in patients under the long-term care of UK adult mental health services&lt;/title&gt;&lt;secondary-title&gt;Therapeutic Advances in Psychopharmacology&lt;/secondary-title&gt;&lt;/titles&gt;&lt;pages&gt;2045125320930492&lt;/pages&gt;&lt;volume&gt;10&lt;/volume&gt;&lt;dates&gt;&lt;year&gt;2020&lt;/year&gt;&lt;/dates&gt;&lt;isbn&gt;2045-1253&lt;/isbn&gt;&lt;urls&gt;&lt;/urls&gt;&lt;/record&gt;&lt;/Cite&gt;&lt;/EndNote&gt;</w:instrText>
      </w:r>
      <w:r w:rsidR="00790682">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[9]</w:t>
      </w:r>
      <w:r w:rsidR="00790682">
        <w:rPr>
          <w:rFonts w:ascii="Lucida Sans" w:hAnsi="Lucida Sans" w:cs="Times New Roman"/>
          <w:sz w:val="18"/>
          <w:szCs w:val="18"/>
          <w:lang w:val="en-US"/>
        </w:rPr>
        <w:fldChar w:fldCharType="end"/>
      </w:r>
      <w:r w:rsidR="00585768">
        <w:rPr>
          <w:rFonts w:ascii="Lucida Sans" w:hAnsi="Lucida Sans" w:cs="Times New Roman"/>
          <w:sz w:val="18"/>
          <w:szCs w:val="18"/>
          <w:lang w:val="en-US"/>
        </w:rPr>
        <w:t>.</w:t>
      </w:r>
      <w:r w:rsidR="00585768" w:rsidRPr="00585768">
        <w:rPr>
          <w:rFonts w:ascii="Lucida Sans" w:hAnsi="Lucida Sans" w:cs="Times New Roman"/>
          <w:sz w:val="18"/>
          <w:szCs w:val="18"/>
          <w:lang w:val="en-US"/>
        </w:rPr>
        <w:t xml:space="preserve"> </w:t>
      </w:r>
      <w:r w:rsidR="00F4255D" w:rsidRPr="006F0C0A">
        <w:rPr>
          <w:rFonts w:ascii="Lucida Sans" w:hAnsi="Lucida Sans" w:cs="Times New Roman"/>
          <w:sz w:val="18"/>
          <w:szCs w:val="18"/>
          <w:lang w:val="en-US"/>
        </w:rPr>
        <w:t xml:space="preserve">Declining rates of MAOI prescribing have been observed in other geographical areas such as in New Zealand </w:t>
      </w:r>
      <w:r w:rsidR="00F573D1" w:rsidRPr="006F0C0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&lt;EndNote&gt;&lt;Cite&gt;&lt;Author&gt;Menkes&lt;/Author&gt;&lt;Year&gt;2016&lt;/Year&gt;&lt;RecNum&gt;387&lt;/RecNum&gt;&lt;IDText&gt;MAOIs–does the evidence warrant their resurrection?&lt;/IDText&gt;&lt;DisplayText&gt;[10]&lt;/DisplayText&gt;&lt;record&gt;&lt;rec-number&gt;387&lt;/rec-number&gt;&lt;foreign-keys&gt;&lt;key app="EN" db-id="2xwpd9xwpest5ue9rwa5etrr9fzzxded9vfx" timestamp="0"&gt;387&lt;/key&gt;&lt;/foreign-keys&gt;&lt;ref-type name="Journal Article"&gt;17&lt;/ref-type&gt;&lt;contributors&gt;&lt;authors&gt;&lt;author&gt;Menkes, David&lt;/author&gt;&lt;author&gt;Bosanac, Peter&lt;/author&gt;&lt;author&gt;Castle, David&lt;/author&gt;&lt;/authors&gt;&lt;/contributors&gt;&lt;titles&gt;&lt;title&gt;MAOIs–does the evidence warrant their resurrection?&lt;/title&gt;&lt;secondary-title&gt;Australasian Psychiatry&lt;/secondary-title&gt;&lt;/titles&gt;&lt;pages&gt;371-373&lt;/pages&gt;&lt;volume&gt;24&lt;/volume&gt;&lt;number&gt;4&lt;/number&gt;&lt;dates&gt;&lt;year&gt;2016&lt;/year&gt;&lt;/dates&gt;&lt;isbn&gt;1039-8562&lt;/isbn&gt;&lt;urls&gt;&lt;/urls&gt;&lt;/record&gt;&lt;/Cite&gt;&lt;/EndNote&gt;</w:instrText>
      </w:r>
      <w:r w:rsidR="00F573D1" w:rsidRPr="006F0C0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[10]</w:t>
      </w:r>
      <w:r w:rsidR="00F573D1" w:rsidRPr="006F0C0A">
        <w:rPr>
          <w:rFonts w:ascii="Lucida Sans" w:hAnsi="Lucida Sans" w:cs="Times New Roman"/>
          <w:sz w:val="18"/>
          <w:szCs w:val="18"/>
          <w:lang w:val="en-US"/>
        </w:rPr>
        <w:fldChar w:fldCharType="end"/>
      </w:r>
      <w:r w:rsidR="00F573D1" w:rsidRPr="006F0C0A">
        <w:rPr>
          <w:rFonts w:ascii="Lucida Sans" w:hAnsi="Lucida Sans" w:cs="Times New Roman"/>
          <w:sz w:val="18"/>
          <w:szCs w:val="18"/>
          <w:lang w:val="en-US"/>
        </w:rPr>
        <w:t>, though</w:t>
      </w:r>
      <w:r w:rsidR="0092708F" w:rsidRPr="006F0C0A">
        <w:rPr>
          <w:rFonts w:ascii="Lucida Sans" w:hAnsi="Lucida Sans" w:cs="Times New Roman"/>
          <w:sz w:val="18"/>
          <w:szCs w:val="18"/>
          <w:lang w:val="en-US"/>
        </w:rPr>
        <w:t xml:space="preserve"> objective</w:t>
      </w:r>
      <w:r w:rsidR="00F573D1" w:rsidRPr="006F0C0A">
        <w:rPr>
          <w:rFonts w:ascii="Lucida Sans" w:hAnsi="Lucida Sans" w:cs="Times New Roman"/>
          <w:sz w:val="18"/>
          <w:szCs w:val="18"/>
          <w:lang w:val="en-US"/>
        </w:rPr>
        <w:t xml:space="preserve"> data are lacking in many regions</w:t>
      </w:r>
      <w:r w:rsidR="00F4255D" w:rsidRPr="006F0C0A">
        <w:rPr>
          <w:rFonts w:ascii="Lucida Sans" w:hAnsi="Lucida Sans" w:cs="Times New Roman"/>
          <w:sz w:val="18"/>
          <w:szCs w:val="18"/>
          <w:lang w:val="en-US"/>
        </w:rPr>
        <w:t xml:space="preserve">. </w:t>
      </w:r>
    </w:p>
    <w:p w14:paraId="5178ADCD" w14:textId="77777777" w:rsidR="00F64682" w:rsidRDefault="00F64682" w:rsidP="009A76B2">
      <w:pPr>
        <w:spacing w:line="360" w:lineRule="auto"/>
        <w:rPr>
          <w:rFonts w:ascii="Lucida Sans" w:hAnsi="Lucida Sans" w:cs="Times New Roman"/>
          <w:sz w:val="18"/>
          <w:szCs w:val="18"/>
          <w:lang w:val="en-US"/>
        </w:rPr>
      </w:pPr>
    </w:p>
    <w:p w14:paraId="1DB07DE5" w14:textId="6254FCD5" w:rsidR="002E7298" w:rsidRPr="006F0C0A" w:rsidRDefault="00F5399B" w:rsidP="00EB11F2">
      <w:pPr>
        <w:spacing w:line="360" w:lineRule="auto"/>
        <w:rPr>
          <w:rFonts w:ascii="Lucida Sans" w:hAnsi="Lucida Sans" w:cs="Times New Roman"/>
          <w:i/>
          <w:sz w:val="18"/>
          <w:szCs w:val="18"/>
          <w:lang w:val="en-US"/>
        </w:rPr>
      </w:pPr>
      <w:r w:rsidRPr="006F0C0A">
        <w:rPr>
          <w:rFonts w:ascii="Lucida Sans" w:hAnsi="Lucida Sans" w:cs="Times New Roman"/>
          <w:sz w:val="18"/>
          <w:szCs w:val="18"/>
          <w:lang w:val="en-US"/>
        </w:rPr>
        <w:t xml:space="preserve">The reasons for </w:t>
      </w:r>
      <w:r w:rsidR="00335CAA">
        <w:rPr>
          <w:rFonts w:ascii="Lucida Sans" w:hAnsi="Lucida Sans" w:cs="Times New Roman"/>
          <w:sz w:val="18"/>
          <w:szCs w:val="18"/>
          <w:lang w:val="en-US"/>
        </w:rPr>
        <w:t xml:space="preserve">these </w:t>
      </w:r>
      <w:r w:rsidR="00872CF4">
        <w:rPr>
          <w:rFonts w:ascii="Lucida Sans" w:hAnsi="Lucida Sans" w:cs="Times New Roman"/>
          <w:sz w:val="18"/>
          <w:szCs w:val="18"/>
          <w:lang w:val="en-US"/>
        </w:rPr>
        <w:t>diminishing</w:t>
      </w:r>
      <w:r w:rsidRPr="006F0C0A">
        <w:rPr>
          <w:rFonts w:ascii="Lucida Sans" w:hAnsi="Lucida Sans" w:cs="Times New Roman"/>
          <w:sz w:val="18"/>
          <w:szCs w:val="18"/>
          <w:lang w:val="en-US"/>
        </w:rPr>
        <w:t xml:space="preserve"> prescribing rates are multifold, but include the need for careful safety considerations, relative complexity of prescribing, </w:t>
      </w:r>
      <w:r w:rsidR="00872CF4">
        <w:rPr>
          <w:rFonts w:ascii="Lucida Sans" w:hAnsi="Lucida Sans" w:cs="Times New Roman"/>
          <w:sz w:val="18"/>
          <w:szCs w:val="18"/>
          <w:lang w:val="en-US"/>
        </w:rPr>
        <w:t>in</w:t>
      </w:r>
      <w:r w:rsidRPr="006F0C0A">
        <w:rPr>
          <w:rFonts w:ascii="Lucida Sans" w:hAnsi="Lucida Sans" w:cs="Times New Roman"/>
          <w:sz w:val="18"/>
          <w:szCs w:val="18"/>
          <w:lang w:val="en-US"/>
        </w:rPr>
        <w:t>sufficient clinical training</w:t>
      </w:r>
      <w:r w:rsidR="00932411" w:rsidRPr="006F0C0A">
        <w:rPr>
          <w:rFonts w:ascii="Lucida Sans" w:hAnsi="Lucida Sans" w:cs="Times New Roman"/>
          <w:sz w:val="18"/>
          <w:szCs w:val="18"/>
          <w:lang w:val="en-US"/>
        </w:rPr>
        <w:t xml:space="preserve"> and </w:t>
      </w:r>
      <w:r w:rsidR="00872CF4">
        <w:rPr>
          <w:rFonts w:ascii="Lucida Sans" w:hAnsi="Lucida Sans" w:cs="Times New Roman"/>
          <w:sz w:val="18"/>
          <w:szCs w:val="18"/>
          <w:lang w:val="en-US"/>
        </w:rPr>
        <w:t>sharing</w:t>
      </w:r>
      <w:r w:rsidR="00932411" w:rsidRPr="006F0C0A">
        <w:rPr>
          <w:rFonts w:ascii="Lucida Sans" w:hAnsi="Lucida Sans" w:cs="Times New Roman"/>
          <w:sz w:val="18"/>
          <w:szCs w:val="18"/>
          <w:lang w:val="en-US"/>
        </w:rPr>
        <w:t xml:space="preserve"> of clinical experience </w:t>
      </w:r>
      <w:r w:rsidR="005F3333">
        <w:rPr>
          <w:rFonts w:ascii="Lucida Sans" w:hAnsi="Lucida Sans" w:cs="Times New Roman"/>
          <w:sz w:val="18"/>
          <w:szCs w:val="18"/>
          <w:lang w:val="en-US"/>
        </w:rPr>
        <w:t>with</w:t>
      </w:r>
      <w:r w:rsidR="00932411" w:rsidRPr="006F0C0A">
        <w:rPr>
          <w:rFonts w:ascii="Lucida Sans" w:hAnsi="Lucida Sans" w:cs="Times New Roman"/>
          <w:sz w:val="18"/>
          <w:szCs w:val="18"/>
          <w:lang w:val="en-US"/>
        </w:rPr>
        <w:t xml:space="preserve"> others</w:t>
      </w:r>
      <w:r w:rsidR="00EB11F2">
        <w:rPr>
          <w:rFonts w:ascii="Lucida Sans" w:hAnsi="Lucida Sans" w:cs="Times New Roman"/>
          <w:sz w:val="18"/>
          <w:szCs w:val="18"/>
          <w:lang w:val="en-US"/>
        </w:rPr>
        <w:t xml:space="preserve">, and </w:t>
      </w:r>
      <w:r w:rsidR="00B82D17">
        <w:rPr>
          <w:rFonts w:ascii="Lucida Sans" w:hAnsi="Lucida Sans" w:cs="Times New Roman"/>
          <w:sz w:val="18"/>
          <w:szCs w:val="18"/>
          <w:lang w:val="en-US"/>
        </w:rPr>
        <w:t xml:space="preserve">the </w:t>
      </w:r>
      <w:r w:rsidR="00EB11F2">
        <w:rPr>
          <w:rFonts w:ascii="Lucida Sans" w:hAnsi="Lucida Sans" w:cs="Times New Roman"/>
          <w:sz w:val="18"/>
          <w:szCs w:val="18"/>
          <w:lang w:val="en-US"/>
        </w:rPr>
        <w:t>growing availability of other pharmacological options</w:t>
      </w:r>
      <w:r w:rsidR="00E54928">
        <w:rPr>
          <w:rFonts w:ascii="Lucida Sans" w:hAnsi="Lucida Sans" w:cs="Times New Roman"/>
          <w:sz w:val="18"/>
          <w:szCs w:val="18"/>
          <w:lang w:val="en-US"/>
        </w:rPr>
        <w:t xml:space="preserve"> (some with potential safety advantages)</w:t>
      </w:r>
      <w:r w:rsidR="001656C4">
        <w:rPr>
          <w:rFonts w:ascii="Lucida Sans" w:hAnsi="Lucida Sans" w:cs="Times New Roman"/>
          <w:sz w:val="18"/>
          <w:szCs w:val="18"/>
          <w:lang w:val="en-US"/>
        </w:rPr>
        <w:t xml:space="preserve"> </w:t>
      </w:r>
      <w:r w:rsidRPr="006F0C0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&lt;EndNote&gt;&lt;Cite&gt;&lt;Author&gt;Shulman&lt;/Author&gt;&lt;Year&gt;2013&lt;/Year&gt;&lt;RecNum&gt;394&lt;/RecNum&gt;&lt;IDText&gt;Current place of monoamine oxidase inhibitors in the treatment of depression&lt;/IDText&gt;&lt;DisplayText&gt;[11]&lt;/DisplayText&gt;&lt;record&gt;&lt;rec-number&gt;394&lt;/rec-number&gt;&lt;foreign-keys&gt;&lt;key app="EN" db-id="2xwpd9xwpest5ue9rwa5etrr9fzzxded9vfx" timestamp="0"&gt;394&lt;/key&gt;&lt;/foreign-keys&gt;&lt;ref-type name="Journal Article"&gt;17&lt;/ref-type&gt;&lt;contributors&gt;&lt;authors&gt;&lt;author&gt;Shulman, Kenneth I&lt;/author&gt;&lt;author&gt;Herrmann, Nathan&lt;/author&gt;&lt;author&gt;Walker, Scott E&lt;/author&gt;&lt;/authors&gt;&lt;/contributors&gt;&lt;titles&gt;&lt;title&gt;Current place of monoamine oxidase inhibitors in the treatment of depression&lt;/title&gt;&lt;secondary-title&gt;CNS drugs&lt;/secondary-title&gt;&lt;/titles&gt;&lt;periodical&gt;&lt;full-title&gt;CNS Drugs&lt;/full-title&gt;&lt;/periodical&gt;&lt;pages&gt;789-797&lt;/pages&gt;&lt;volume&gt;27&lt;/volume&gt;&lt;number&gt;10&lt;/number&gt;&lt;dates&gt;&lt;year&gt;2013&lt;/year&gt;&lt;/dates&gt;&lt;isbn&gt;1172-7047&lt;/isbn&gt;&lt;urls&gt;&lt;/urls&gt;&lt;/record&gt;&lt;/Cite&gt;&lt;/EndNote&gt;</w:instrText>
      </w:r>
      <w:r w:rsidRPr="006F0C0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[11]</w:t>
      </w:r>
      <w:r w:rsidRPr="006F0C0A">
        <w:rPr>
          <w:rFonts w:ascii="Lucida Sans" w:hAnsi="Lucida Sans" w:cs="Times New Roman"/>
          <w:sz w:val="18"/>
          <w:szCs w:val="18"/>
          <w:lang w:val="en-US"/>
        </w:rPr>
        <w:fldChar w:fldCharType="end"/>
      </w:r>
      <w:r w:rsidRPr="006F0C0A">
        <w:rPr>
          <w:rFonts w:ascii="Lucida Sans" w:hAnsi="Lucida Sans" w:cs="Times New Roman"/>
          <w:sz w:val="18"/>
          <w:szCs w:val="18"/>
          <w:lang w:val="en-US"/>
        </w:rPr>
        <w:t>.</w:t>
      </w:r>
      <w:r w:rsidR="00EB11F2">
        <w:rPr>
          <w:rFonts w:ascii="Lucida Sans" w:hAnsi="Lucida Sans" w:cs="Times New Roman"/>
          <w:sz w:val="18"/>
          <w:szCs w:val="18"/>
          <w:lang w:val="en-US"/>
        </w:rPr>
        <w:t xml:space="preserve"> </w:t>
      </w:r>
      <w:r w:rsidR="002D3F64">
        <w:rPr>
          <w:rFonts w:ascii="Lucida Sans" w:hAnsi="Lucida Sans" w:cs="Times New Roman"/>
          <w:sz w:val="18"/>
          <w:szCs w:val="18"/>
          <w:lang w:val="en-US"/>
        </w:rPr>
        <w:t>A</w:t>
      </w:r>
      <w:r w:rsidR="00EB11F2">
        <w:rPr>
          <w:rFonts w:ascii="Lucida Sans" w:hAnsi="Lucida Sans" w:cs="Times New Roman"/>
          <w:sz w:val="18"/>
          <w:szCs w:val="18"/>
          <w:lang w:val="en-US"/>
        </w:rPr>
        <w:t>dditionally,</w:t>
      </w:r>
      <w:r w:rsidR="001656C4">
        <w:rPr>
          <w:rFonts w:ascii="Lucida Sans" w:hAnsi="Lucida Sans" w:cs="Times New Roman"/>
          <w:sz w:val="18"/>
          <w:szCs w:val="18"/>
          <w:lang w:val="en-US"/>
        </w:rPr>
        <w:t xml:space="preserve"> the </w:t>
      </w:r>
      <w:r w:rsidR="00E54928">
        <w:rPr>
          <w:rFonts w:ascii="Lucida Sans" w:hAnsi="Lucida Sans" w:cs="Times New Roman"/>
          <w:sz w:val="18"/>
          <w:szCs w:val="18"/>
          <w:lang w:val="en-US"/>
        </w:rPr>
        <w:t xml:space="preserve">modern </w:t>
      </w:r>
      <w:r w:rsidR="001656C4">
        <w:rPr>
          <w:rFonts w:ascii="Lucida Sans" w:hAnsi="Lucida Sans" w:cs="Times New Roman"/>
          <w:sz w:val="18"/>
          <w:szCs w:val="18"/>
          <w:lang w:val="en-US"/>
        </w:rPr>
        <w:t xml:space="preserve">widespread use of </w:t>
      </w:r>
      <w:r w:rsidR="00B82D17">
        <w:rPr>
          <w:rFonts w:ascii="Lucida Sans" w:hAnsi="Lucida Sans" w:cs="Times New Roman"/>
          <w:sz w:val="18"/>
          <w:szCs w:val="18"/>
          <w:lang w:val="en-US"/>
        </w:rPr>
        <w:t>selective serotonin reuptake inhibitors (</w:t>
      </w:r>
      <w:r w:rsidR="001656C4">
        <w:rPr>
          <w:rFonts w:ascii="Lucida Sans" w:hAnsi="Lucida Sans" w:cs="Times New Roman"/>
          <w:sz w:val="18"/>
          <w:szCs w:val="18"/>
          <w:lang w:val="en-US"/>
        </w:rPr>
        <w:t>SSRIs</w:t>
      </w:r>
      <w:r w:rsidR="00B82D17">
        <w:rPr>
          <w:rFonts w:ascii="Lucida Sans" w:hAnsi="Lucida Sans" w:cs="Times New Roman"/>
          <w:sz w:val="18"/>
          <w:szCs w:val="18"/>
          <w:lang w:val="en-US"/>
        </w:rPr>
        <w:t>)</w:t>
      </w:r>
      <w:r w:rsidR="001656C4">
        <w:rPr>
          <w:rFonts w:ascii="Lucida Sans" w:hAnsi="Lucida Sans" w:cs="Times New Roman"/>
          <w:sz w:val="18"/>
          <w:szCs w:val="18"/>
          <w:lang w:val="en-US"/>
        </w:rPr>
        <w:t xml:space="preserve"> makes use of MAOIs more challenging, because of the wash out and prescribing gap needed between stopping SSRIs and commencing </w:t>
      </w:r>
      <w:r w:rsidR="00B82D17">
        <w:rPr>
          <w:rFonts w:ascii="Lucida Sans" w:hAnsi="Lucida Sans" w:cs="Times New Roman"/>
          <w:sz w:val="18"/>
          <w:szCs w:val="18"/>
          <w:lang w:val="en-US"/>
        </w:rPr>
        <w:t xml:space="preserve">an </w:t>
      </w:r>
      <w:r w:rsidR="001656C4">
        <w:rPr>
          <w:rFonts w:ascii="Lucida Sans" w:hAnsi="Lucida Sans" w:cs="Times New Roman"/>
          <w:sz w:val="18"/>
          <w:szCs w:val="18"/>
          <w:lang w:val="en-US"/>
        </w:rPr>
        <w:t xml:space="preserve">MAOI. </w:t>
      </w:r>
      <w:r w:rsidR="00872CF4">
        <w:rPr>
          <w:rFonts w:ascii="Lucida Sans" w:hAnsi="Lucida Sans" w:cs="Times New Roman"/>
          <w:sz w:val="18"/>
          <w:szCs w:val="18"/>
          <w:lang w:val="en-US"/>
        </w:rPr>
        <w:t>Th</w:t>
      </w:r>
      <w:r w:rsidR="00335CAA">
        <w:rPr>
          <w:rFonts w:ascii="Lucida Sans" w:hAnsi="Lucida Sans" w:cs="Times New Roman"/>
          <w:sz w:val="18"/>
          <w:szCs w:val="18"/>
          <w:lang w:val="en-US"/>
        </w:rPr>
        <w:t>e</w:t>
      </w:r>
      <w:r w:rsidR="00872CF4">
        <w:rPr>
          <w:rFonts w:ascii="Lucida Sans" w:hAnsi="Lucida Sans" w:cs="Times New Roman"/>
          <w:sz w:val="18"/>
          <w:szCs w:val="18"/>
          <w:lang w:val="en-US"/>
        </w:rPr>
        <w:t xml:space="preserve"> </w:t>
      </w:r>
      <w:r w:rsidR="00B82D17">
        <w:rPr>
          <w:rFonts w:ascii="Lucida Sans" w:hAnsi="Lucida Sans" w:cs="Times New Roman"/>
          <w:sz w:val="18"/>
          <w:szCs w:val="18"/>
          <w:lang w:val="en-US"/>
        </w:rPr>
        <w:t xml:space="preserve">great </w:t>
      </w:r>
      <w:r w:rsidR="00872CF4">
        <w:rPr>
          <w:rFonts w:ascii="Lucida Sans" w:hAnsi="Lucida Sans" w:cs="Times New Roman"/>
          <w:sz w:val="18"/>
          <w:szCs w:val="18"/>
          <w:lang w:val="en-US"/>
        </w:rPr>
        <w:t xml:space="preserve">reduction in clinical use </w:t>
      </w:r>
      <w:r w:rsidR="001656C4">
        <w:rPr>
          <w:rFonts w:ascii="Lucida Sans" w:hAnsi="Lucida Sans" w:cs="Times New Roman"/>
          <w:sz w:val="18"/>
          <w:szCs w:val="18"/>
          <w:lang w:val="en-US"/>
        </w:rPr>
        <w:t xml:space="preserve">of MAOIs </w:t>
      </w:r>
      <w:r w:rsidRPr="006F0C0A">
        <w:rPr>
          <w:rFonts w:ascii="Lucida Sans" w:hAnsi="Lucida Sans" w:cs="Times New Roman"/>
          <w:sz w:val="18"/>
          <w:szCs w:val="18"/>
          <w:lang w:val="en-US"/>
        </w:rPr>
        <w:t xml:space="preserve">is unfortunate </w:t>
      </w:r>
      <w:r w:rsidR="00872CF4">
        <w:rPr>
          <w:rFonts w:ascii="Lucida Sans" w:hAnsi="Lucida Sans" w:cs="Times New Roman"/>
          <w:sz w:val="18"/>
          <w:szCs w:val="18"/>
          <w:lang w:val="en-US"/>
        </w:rPr>
        <w:t>as</w:t>
      </w:r>
      <w:r w:rsidRPr="006F0C0A">
        <w:rPr>
          <w:rFonts w:ascii="Lucida Sans" w:hAnsi="Lucida Sans" w:cs="Times New Roman"/>
          <w:sz w:val="18"/>
          <w:szCs w:val="18"/>
          <w:lang w:val="en-US"/>
        </w:rPr>
        <w:t xml:space="preserve"> evidence supports </w:t>
      </w:r>
      <w:r w:rsidR="001656C4">
        <w:rPr>
          <w:rFonts w:ascii="Lucida Sans" w:hAnsi="Lucida Sans" w:cs="Times New Roman"/>
          <w:sz w:val="18"/>
          <w:szCs w:val="18"/>
          <w:lang w:val="en-US"/>
        </w:rPr>
        <w:t>their use</w:t>
      </w:r>
      <w:r w:rsidRPr="006F0C0A">
        <w:rPr>
          <w:rFonts w:ascii="Lucida Sans" w:hAnsi="Lucida Sans" w:cs="Times New Roman"/>
          <w:sz w:val="18"/>
          <w:szCs w:val="18"/>
          <w:lang w:val="en-US"/>
        </w:rPr>
        <w:t xml:space="preserve"> in the context of treatment-resistant and </w:t>
      </w:r>
      <w:r w:rsidR="00872CF4">
        <w:rPr>
          <w:rFonts w:ascii="Lucida Sans" w:hAnsi="Lucida Sans" w:cs="Times New Roman"/>
          <w:sz w:val="18"/>
          <w:szCs w:val="18"/>
          <w:lang w:val="en-US"/>
        </w:rPr>
        <w:t>‘</w:t>
      </w:r>
      <w:r w:rsidRPr="006F0C0A">
        <w:rPr>
          <w:rFonts w:ascii="Lucida Sans" w:hAnsi="Lucida Sans" w:cs="Times New Roman"/>
          <w:sz w:val="18"/>
          <w:szCs w:val="18"/>
          <w:lang w:val="en-US"/>
        </w:rPr>
        <w:t>atypical</w:t>
      </w:r>
      <w:r w:rsidR="00872CF4">
        <w:rPr>
          <w:rFonts w:ascii="Lucida Sans" w:hAnsi="Lucida Sans" w:cs="Times New Roman"/>
          <w:sz w:val="18"/>
          <w:szCs w:val="18"/>
          <w:lang w:val="en-US"/>
        </w:rPr>
        <w:t>’</w:t>
      </w:r>
      <w:r w:rsidRPr="006F0C0A">
        <w:rPr>
          <w:rFonts w:ascii="Lucida Sans" w:hAnsi="Lucida Sans" w:cs="Times New Roman"/>
          <w:sz w:val="18"/>
          <w:szCs w:val="18"/>
          <w:lang w:val="en-US"/>
        </w:rPr>
        <w:t xml:space="preserve"> depression, </w:t>
      </w:r>
      <w:r w:rsidR="00872CF4">
        <w:rPr>
          <w:rFonts w:ascii="Lucida Sans" w:hAnsi="Lucida Sans" w:cs="Times New Roman"/>
          <w:sz w:val="18"/>
          <w:szCs w:val="18"/>
          <w:lang w:val="en-US"/>
        </w:rPr>
        <w:t xml:space="preserve">certain </w:t>
      </w:r>
      <w:r w:rsidRPr="006F0C0A">
        <w:rPr>
          <w:rFonts w:ascii="Lucida Sans" w:hAnsi="Lucida Sans" w:cs="Times New Roman"/>
          <w:sz w:val="18"/>
          <w:szCs w:val="18"/>
          <w:lang w:val="en-US"/>
        </w:rPr>
        <w:t xml:space="preserve">anxiety disorders, and post-traumatic stress disorder (PTSD). </w:t>
      </w:r>
      <w:r w:rsidR="002E7298" w:rsidRPr="006F0C0A">
        <w:rPr>
          <w:rFonts w:ascii="Lucida Sans" w:hAnsi="Lucida Sans" w:cs="Times New Roman"/>
          <w:sz w:val="18"/>
          <w:szCs w:val="18"/>
          <w:lang w:val="en-US"/>
        </w:rPr>
        <w:t xml:space="preserve">In addition to </w:t>
      </w:r>
      <w:r w:rsidR="00872CF4">
        <w:rPr>
          <w:rFonts w:ascii="Lucida Sans" w:hAnsi="Lucida Sans" w:cs="Times New Roman"/>
          <w:sz w:val="18"/>
          <w:szCs w:val="18"/>
          <w:lang w:val="en-US"/>
        </w:rPr>
        <w:t>reduced</w:t>
      </w:r>
      <w:r w:rsidR="002E7298" w:rsidRPr="006F0C0A">
        <w:rPr>
          <w:rFonts w:ascii="Lucida Sans" w:hAnsi="Lucida Sans" w:cs="Times New Roman"/>
          <w:sz w:val="18"/>
          <w:szCs w:val="18"/>
          <w:lang w:val="en-US"/>
        </w:rPr>
        <w:t xml:space="preserve"> rates of prescribing</w:t>
      </w:r>
      <w:r w:rsidR="00872CF4">
        <w:rPr>
          <w:rFonts w:ascii="Lucida Sans" w:hAnsi="Lucida Sans" w:cs="Times New Roman"/>
          <w:sz w:val="18"/>
          <w:szCs w:val="18"/>
          <w:lang w:val="en-US"/>
        </w:rPr>
        <w:t xml:space="preserve"> in clinical practice</w:t>
      </w:r>
      <w:r w:rsidR="002E7298" w:rsidRPr="006F0C0A">
        <w:rPr>
          <w:rFonts w:ascii="Lucida Sans" w:hAnsi="Lucida Sans" w:cs="Times New Roman"/>
          <w:sz w:val="18"/>
          <w:szCs w:val="18"/>
          <w:lang w:val="en-US"/>
        </w:rPr>
        <w:t xml:space="preserve">, the number of clinical trials being conducted on existing and </w:t>
      </w:r>
      <w:r w:rsidR="00872CF4">
        <w:rPr>
          <w:rFonts w:ascii="Lucida Sans" w:hAnsi="Lucida Sans" w:cs="Times New Roman"/>
          <w:sz w:val="18"/>
          <w:szCs w:val="18"/>
          <w:lang w:val="en-US"/>
        </w:rPr>
        <w:t>novel</w:t>
      </w:r>
      <w:r w:rsidR="002E7298" w:rsidRPr="006F0C0A">
        <w:rPr>
          <w:rFonts w:ascii="Lucida Sans" w:hAnsi="Lucida Sans" w:cs="Times New Roman"/>
          <w:sz w:val="18"/>
          <w:szCs w:val="18"/>
          <w:lang w:val="en-US"/>
        </w:rPr>
        <w:t xml:space="preserve"> MAOIs </w:t>
      </w:r>
      <w:r w:rsidR="005F3333">
        <w:rPr>
          <w:rFonts w:ascii="Lucida Sans" w:hAnsi="Lucida Sans" w:cs="Times New Roman"/>
          <w:sz w:val="18"/>
          <w:szCs w:val="18"/>
          <w:lang w:val="en-US"/>
        </w:rPr>
        <w:t xml:space="preserve">for psychiatric indications </w:t>
      </w:r>
      <w:r w:rsidR="002E7298" w:rsidRPr="006F0C0A">
        <w:rPr>
          <w:rFonts w:ascii="Lucida Sans" w:hAnsi="Lucida Sans" w:cs="Times New Roman"/>
          <w:sz w:val="18"/>
          <w:szCs w:val="18"/>
          <w:lang w:val="en-US"/>
        </w:rPr>
        <w:t>has decline</w:t>
      </w:r>
      <w:r w:rsidR="00872CF4">
        <w:rPr>
          <w:rFonts w:ascii="Lucida Sans" w:hAnsi="Lucida Sans" w:cs="Times New Roman"/>
          <w:sz w:val="18"/>
          <w:szCs w:val="18"/>
          <w:lang w:val="en-US"/>
        </w:rPr>
        <w:t>d</w:t>
      </w:r>
      <w:r w:rsidR="002E7298" w:rsidRPr="006F0C0A">
        <w:rPr>
          <w:rFonts w:ascii="Lucida Sans" w:hAnsi="Lucida Sans" w:cs="Times New Roman"/>
          <w:sz w:val="18"/>
          <w:szCs w:val="18"/>
          <w:lang w:val="en-US"/>
        </w:rPr>
        <w:t xml:space="preserve"> </w:t>
      </w:r>
      <w:r w:rsidR="00872CF4">
        <w:rPr>
          <w:rFonts w:ascii="Lucida Sans" w:hAnsi="Lucida Sans" w:cs="Times New Roman"/>
          <w:sz w:val="18"/>
          <w:szCs w:val="18"/>
          <w:lang w:val="en-US"/>
        </w:rPr>
        <w:t xml:space="preserve">markedly </w:t>
      </w:r>
      <w:r w:rsidR="002E7298" w:rsidRPr="006F0C0A">
        <w:rPr>
          <w:rFonts w:ascii="Lucida Sans" w:hAnsi="Lucida Sans" w:cs="Times New Roman"/>
          <w:sz w:val="18"/>
          <w:szCs w:val="18"/>
          <w:lang w:val="en-US"/>
        </w:rPr>
        <w:t>(</w:t>
      </w:r>
      <w:r w:rsidR="002E7298" w:rsidRPr="006F0C0A">
        <w:rPr>
          <w:rFonts w:ascii="Lucida Sans" w:hAnsi="Lucida Sans" w:cs="Times New Roman"/>
          <w:b/>
          <w:sz w:val="18"/>
          <w:szCs w:val="18"/>
          <w:lang w:val="en-US"/>
        </w:rPr>
        <w:t>Figure 1</w:t>
      </w:r>
      <w:r w:rsidR="002E7298" w:rsidRPr="006F0C0A">
        <w:rPr>
          <w:rFonts w:ascii="Lucida Sans" w:hAnsi="Lucida Sans" w:cs="Times New Roman"/>
          <w:sz w:val="18"/>
          <w:szCs w:val="18"/>
          <w:lang w:val="en-US"/>
        </w:rPr>
        <w:t xml:space="preserve">), though the exploration of MAOIs for </w:t>
      </w:r>
      <w:r w:rsidR="00872CF4">
        <w:rPr>
          <w:rFonts w:ascii="Lucida Sans" w:hAnsi="Lucida Sans" w:cs="Times New Roman"/>
          <w:sz w:val="18"/>
          <w:szCs w:val="18"/>
          <w:lang w:val="en-US"/>
        </w:rPr>
        <w:t xml:space="preserve">potential </w:t>
      </w:r>
      <w:r w:rsidR="002E7298" w:rsidRPr="006F0C0A">
        <w:rPr>
          <w:rFonts w:ascii="Lucida Sans" w:hAnsi="Lucida Sans" w:cs="Times New Roman"/>
          <w:sz w:val="18"/>
          <w:szCs w:val="18"/>
          <w:lang w:val="en-US"/>
        </w:rPr>
        <w:t>non-psychiatric indications is seeing a resurgence</w:t>
      </w:r>
      <w:r w:rsidR="00552E7A" w:rsidRPr="006F0C0A">
        <w:rPr>
          <w:rFonts w:ascii="Lucida Sans" w:hAnsi="Lucida Sans" w:cs="Times New Roman"/>
          <w:sz w:val="18"/>
          <w:szCs w:val="18"/>
          <w:lang w:val="en-US"/>
        </w:rPr>
        <w:t>, which may aid in retaining their availability in prescribing formularies</w:t>
      </w:r>
      <w:r w:rsidR="002E7298" w:rsidRPr="006F0C0A">
        <w:rPr>
          <w:rFonts w:ascii="Lucida Sans" w:hAnsi="Lucida Sans" w:cs="Times New Roman"/>
          <w:sz w:val="18"/>
          <w:szCs w:val="18"/>
          <w:lang w:val="en-US"/>
        </w:rPr>
        <w:t xml:space="preserve">. </w:t>
      </w:r>
    </w:p>
    <w:p w14:paraId="16DA8DAA" w14:textId="77777777" w:rsidR="002E7298" w:rsidRPr="006F0C0A" w:rsidRDefault="002E7298" w:rsidP="006F0C0A">
      <w:pPr>
        <w:spacing w:line="360" w:lineRule="auto"/>
        <w:rPr>
          <w:rFonts w:ascii="Lucida Sans" w:hAnsi="Lucida Sans" w:cs="Times New Roman"/>
          <w:sz w:val="18"/>
          <w:szCs w:val="18"/>
          <w:u w:val="single"/>
          <w:lang w:val="en-US"/>
        </w:rPr>
      </w:pPr>
    </w:p>
    <w:p w14:paraId="59797392" w14:textId="027D7B33" w:rsidR="00F5399B" w:rsidRPr="0025000B" w:rsidRDefault="004D091C" w:rsidP="0025000B">
      <w:pPr>
        <w:pStyle w:val="ListParagraph"/>
        <w:numPr>
          <w:ilvl w:val="0"/>
          <w:numId w:val="3"/>
        </w:numPr>
        <w:spacing w:line="360" w:lineRule="auto"/>
        <w:rPr>
          <w:rFonts w:ascii="Lucida Sans" w:hAnsi="Lucida Sans" w:cs="Times New Roman"/>
          <w:b/>
          <w:sz w:val="18"/>
          <w:szCs w:val="18"/>
          <w:lang w:val="en-US"/>
        </w:rPr>
      </w:pPr>
      <w:r w:rsidRPr="0025000B">
        <w:rPr>
          <w:rFonts w:ascii="Lucida Sans" w:hAnsi="Lucida Sans" w:cs="Times New Roman"/>
          <w:b/>
          <w:sz w:val="18"/>
          <w:szCs w:val="18"/>
          <w:lang w:val="en-US"/>
        </w:rPr>
        <w:t>Mechanisms of action</w:t>
      </w:r>
      <w:r w:rsidR="00F5399B" w:rsidRPr="0025000B">
        <w:rPr>
          <w:rFonts w:ascii="Lucida Sans" w:hAnsi="Lucida Sans" w:cs="Times New Roman"/>
          <w:b/>
          <w:sz w:val="18"/>
          <w:szCs w:val="18"/>
          <w:lang w:val="en-US"/>
        </w:rPr>
        <w:t xml:space="preserve"> and currently available MAOIs</w:t>
      </w:r>
    </w:p>
    <w:p w14:paraId="0B0AD171" w14:textId="25AB02D9" w:rsidR="006056C6" w:rsidRDefault="00886EE8" w:rsidP="006F0C0A">
      <w:pPr>
        <w:spacing w:line="360" w:lineRule="auto"/>
        <w:rPr>
          <w:rFonts w:ascii="Lucida Sans" w:hAnsi="Lucida Sans" w:cs="Times New Roman"/>
          <w:sz w:val="18"/>
          <w:szCs w:val="18"/>
        </w:rPr>
      </w:pPr>
      <w:r w:rsidRPr="006F0C0A">
        <w:rPr>
          <w:rFonts w:ascii="Lucida Sans" w:hAnsi="Lucida Sans" w:cs="Times New Roman"/>
          <w:sz w:val="18"/>
          <w:szCs w:val="18"/>
        </w:rPr>
        <w:t xml:space="preserve">Monoamine oxidase (MAO) is an important enzyme in the degradation pathway of the monoamines (serotonin [5-hydroxytryptamine], dopamine, and noradrenaline), and exists in two forms (isomers): MAO-A and MAO-B. </w:t>
      </w:r>
    </w:p>
    <w:p w14:paraId="614940F7" w14:textId="5DA04BC2" w:rsidR="00581970" w:rsidRPr="00581970" w:rsidRDefault="003471C1" w:rsidP="00581970">
      <w:pPr>
        <w:spacing w:line="360" w:lineRule="auto"/>
        <w:rPr>
          <w:rFonts w:ascii="Lucida Sans" w:hAnsi="Lucida Sans" w:cs="Times New Roman"/>
          <w:sz w:val="18"/>
          <w:szCs w:val="18"/>
        </w:rPr>
      </w:pPr>
      <w:r w:rsidRPr="006F0C0A">
        <w:rPr>
          <w:rFonts w:ascii="Lucida Sans" w:hAnsi="Lucida Sans" w:cs="Times New Roman"/>
          <w:sz w:val="18"/>
          <w:szCs w:val="18"/>
        </w:rPr>
        <w:t>MAOIs differ in their propensity to act on each isoform.</w:t>
      </w:r>
      <w:r>
        <w:rPr>
          <w:rFonts w:ascii="Lucida Sans" w:hAnsi="Lucida Sans" w:cs="Times New Roman"/>
          <w:sz w:val="18"/>
          <w:szCs w:val="18"/>
        </w:rPr>
        <w:t xml:space="preserve"> </w:t>
      </w:r>
      <w:r w:rsidR="00886EE8" w:rsidRPr="006F0C0A">
        <w:rPr>
          <w:rFonts w:ascii="Lucida Sans" w:hAnsi="Lucida Sans" w:cs="Times New Roman"/>
          <w:sz w:val="18"/>
          <w:szCs w:val="18"/>
        </w:rPr>
        <w:t>Both isomers degrade dopamine and tyramine, whereas MAO-A has additional effects serving to deactivate serotonin, noradrenaline, and melatonin</w:t>
      </w:r>
      <w:r w:rsidR="00E62BC4" w:rsidRPr="006F0C0A">
        <w:rPr>
          <w:rFonts w:ascii="Lucida Sans" w:hAnsi="Lucida Sans" w:cs="Times New Roman"/>
          <w:sz w:val="18"/>
          <w:szCs w:val="18"/>
        </w:rPr>
        <w:t xml:space="preserve"> </w:t>
      </w:r>
      <w:r w:rsidR="00E62BC4"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&lt;EndNote&gt;&lt;Cite&gt;&lt;Author&gt;Shulman&lt;/Author&gt;&lt;Year&gt;2013&lt;/Year&gt;&lt;RecNum&gt;394&lt;/RecNum&gt;&lt;IDText&gt;Current place of monoamine oxidase inhibitors in the treatment of depression&lt;/IDText&gt;&lt;DisplayText&gt;[11]&lt;/DisplayText&gt;&lt;record&gt;&lt;rec-number&gt;394&lt;/rec-number&gt;&lt;foreign-keys&gt;&lt;key app="EN" db-id="2xwpd9xwpest5ue9rwa5etrr9fzzxded9vfx" timestamp="0"&gt;394&lt;/key&gt;&lt;/foreign-keys&gt;&lt;ref-type name="Journal Article"&gt;17&lt;/ref-type&gt;&lt;contributors&gt;&lt;authors&gt;&lt;author&gt;Shulman, Kenneth I&lt;/author&gt;&lt;author&gt;Herrmann, Nathan&lt;/author&gt;&lt;author&gt;Walker, Scott E&lt;/author&gt;&lt;/authors&gt;&lt;/contributors&gt;&lt;titles&gt;&lt;title&gt;Current place of monoamine oxidase inhibitors in the treatment of depression&lt;/title&gt;&lt;secondary-title&gt;CNS drugs&lt;/secondary-title&gt;&lt;/titles&gt;&lt;periodical&gt;&lt;full-title&gt;CNS Drugs&lt;/full-title&gt;&lt;/periodical&gt;&lt;pages&gt;789-797&lt;/pages&gt;&lt;volume&gt;27&lt;/volume&gt;&lt;number&gt;10&lt;/number&gt;&lt;dates&gt;&lt;year&gt;2013&lt;/year&gt;&lt;/dates&gt;&lt;isbn&gt;1172-7047&lt;/isbn&gt;&lt;urls&gt;&lt;/urls&gt;&lt;/record&gt;&lt;/Cite&gt;&lt;/EndNote&gt;</w:instrText>
      </w:r>
      <w:r w:rsidR="00E62BC4" w:rsidRPr="006F0C0A">
        <w:rPr>
          <w:rFonts w:ascii="Lucida Sans" w:hAnsi="Lucida Sans" w:cs="Times New Roman"/>
          <w:sz w:val="18"/>
          <w:szCs w:val="18"/>
        </w:rPr>
        <w:fldChar w:fldCharType="separate"/>
      </w:r>
      <w:r w:rsidR="00271279">
        <w:rPr>
          <w:rFonts w:ascii="Lucida Sans" w:hAnsi="Lucida Sans" w:cs="Times New Roman"/>
          <w:noProof/>
          <w:sz w:val="18"/>
          <w:szCs w:val="18"/>
        </w:rPr>
        <w:t>[11]</w:t>
      </w:r>
      <w:r w:rsidR="00E62BC4" w:rsidRPr="006F0C0A">
        <w:rPr>
          <w:rFonts w:ascii="Lucida Sans" w:hAnsi="Lucida Sans" w:cs="Times New Roman"/>
          <w:sz w:val="18"/>
          <w:szCs w:val="18"/>
        </w:rPr>
        <w:fldChar w:fldCharType="end"/>
      </w:r>
      <w:r w:rsidR="00886EE8" w:rsidRPr="006F0C0A">
        <w:rPr>
          <w:rFonts w:ascii="Lucida Sans" w:hAnsi="Lucida Sans" w:cs="Times New Roman"/>
          <w:sz w:val="18"/>
          <w:szCs w:val="18"/>
        </w:rPr>
        <w:t xml:space="preserve">. Different MAOIs are available: some </w:t>
      </w:r>
      <w:r w:rsidR="00886EE8" w:rsidRPr="003471C1">
        <w:rPr>
          <w:rFonts w:ascii="Lucida Sans" w:hAnsi="Lucida Sans" w:cs="Times New Roman"/>
          <w:sz w:val="18"/>
          <w:szCs w:val="18"/>
          <w:u w:val="single"/>
        </w:rPr>
        <w:t>irreversibly</w:t>
      </w:r>
      <w:r w:rsidR="00886EE8" w:rsidRPr="006F0C0A">
        <w:rPr>
          <w:rFonts w:ascii="Lucida Sans" w:hAnsi="Lucida Sans" w:cs="Times New Roman"/>
          <w:sz w:val="18"/>
          <w:szCs w:val="18"/>
        </w:rPr>
        <w:t xml:space="preserve"> deactivate the enzyme (e.g. phenelzine), whereas others </w:t>
      </w:r>
      <w:r>
        <w:rPr>
          <w:rFonts w:ascii="Lucida Sans" w:hAnsi="Lucida Sans" w:cs="Times New Roman"/>
          <w:sz w:val="18"/>
          <w:szCs w:val="18"/>
        </w:rPr>
        <w:t xml:space="preserve">do so </w:t>
      </w:r>
      <w:r w:rsidRPr="003471C1">
        <w:rPr>
          <w:rFonts w:ascii="Lucida Sans" w:hAnsi="Lucida Sans" w:cs="Times New Roman"/>
          <w:sz w:val="18"/>
          <w:szCs w:val="18"/>
          <w:u w:val="single"/>
        </w:rPr>
        <w:t>reversibly</w:t>
      </w:r>
      <w:r w:rsidR="00886EE8" w:rsidRPr="006F0C0A">
        <w:rPr>
          <w:rFonts w:ascii="Lucida Sans" w:hAnsi="Lucida Sans" w:cs="Times New Roman"/>
          <w:sz w:val="18"/>
          <w:szCs w:val="18"/>
        </w:rPr>
        <w:t xml:space="preserve"> (e.g. moclobemide); </w:t>
      </w:r>
      <w:r>
        <w:rPr>
          <w:rFonts w:ascii="Lucida Sans" w:hAnsi="Lucida Sans" w:cs="Times New Roman"/>
          <w:sz w:val="18"/>
          <w:szCs w:val="18"/>
        </w:rPr>
        <w:t xml:space="preserve">in addition, </w:t>
      </w:r>
      <w:r w:rsidR="00886EE8" w:rsidRPr="006F0C0A">
        <w:rPr>
          <w:rFonts w:ascii="Lucida Sans" w:hAnsi="Lucida Sans" w:cs="Times New Roman"/>
          <w:sz w:val="18"/>
          <w:szCs w:val="18"/>
        </w:rPr>
        <w:t xml:space="preserve">some are non-selective (e.g. phenelzine), whereas others </w:t>
      </w:r>
      <w:r>
        <w:rPr>
          <w:rFonts w:ascii="Lucida Sans" w:hAnsi="Lucida Sans" w:cs="Times New Roman"/>
          <w:sz w:val="18"/>
          <w:szCs w:val="18"/>
        </w:rPr>
        <w:t xml:space="preserve">are </w:t>
      </w:r>
      <w:r w:rsidR="00886EE8" w:rsidRPr="006F0C0A">
        <w:rPr>
          <w:rFonts w:ascii="Lucida Sans" w:hAnsi="Lucida Sans" w:cs="Times New Roman"/>
          <w:sz w:val="18"/>
          <w:szCs w:val="18"/>
        </w:rPr>
        <w:t>selective</w:t>
      </w:r>
      <w:r>
        <w:rPr>
          <w:rFonts w:ascii="Lucida Sans" w:hAnsi="Lucida Sans" w:cs="Times New Roman"/>
          <w:sz w:val="18"/>
          <w:szCs w:val="18"/>
        </w:rPr>
        <w:t>,</w:t>
      </w:r>
      <w:r w:rsidR="00886EE8" w:rsidRPr="006F0C0A">
        <w:rPr>
          <w:rFonts w:ascii="Lucida Sans" w:hAnsi="Lucida Sans" w:cs="Times New Roman"/>
          <w:sz w:val="18"/>
          <w:szCs w:val="18"/>
        </w:rPr>
        <w:t xml:space="preserve"> inhibit</w:t>
      </w:r>
      <w:r>
        <w:rPr>
          <w:rFonts w:ascii="Lucida Sans" w:hAnsi="Lucida Sans" w:cs="Times New Roman"/>
          <w:sz w:val="18"/>
          <w:szCs w:val="18"/>
        </w:rPr>
        <w:t>ing</w:t>
      </w:r>
      <w:r w:rsidR="00886EE8" w:rsidRPr="006F0C0A">
        <w:rPr>
          <w:rFonts w:ascii="Lucida Sans" w:hAnsi="Lucida Sans" w:cs="Times New Roman"/>
          <w:sz w:val="18"/>
          <w:szCs w:val="18"/>
        </w:rPr>
        <w:t xml:space="preserve"> either MAO-A (e.g. moclobemide) or MAO-B (e.g. selegiline,</w:t>
      </w:r>
      <w:r w:rsidR="00581970">
        <w:rPr>
          <w:rFonts w:ascii="Lucida Sans" w:hAnsi="Lucida Sans" w:cs="Times New Roman"/>
          <w:sz w:val="18"/>
          <w:szCs w:val="18"/>
        </w:rPr>
        <w:t xml:space="preserve"> also known as </w:t>
      </w:r>
      <w:r w:rsidR="00581970" w:rsidRPr="00581970">
        <w:rPr>
          <w:rFonts w:ascii="Lucida Sans" w:hAnsi="Lucida Sans" w:cs="Times New Roman"/>
          <w:sz w:val="18"/>
          <w:szCs w:val="18"/>
        </w:rPr>
        <w:t>deprenyl</w:t>
      </w:r>
      <w:r w:rsidR="000D6C6C">
        <w:rPr>
          <w:rFonts w:ascii="Lucida Sans" w:hAnsi="Lucida Sans" w:cs="Times New Roman"/>
          <w:sz w:val="18"/>
          <w:szCs w:val="18"/>
        </w:rPr>
        <w:t>,</w:t>
      </w:r>
      <w:r w:rsidR="00886EE8" w:rsidRPr="006F0C0A">
        <w:rPr>
          <w:rFonts w:ascii="Lucida Sans" w:hAnsi="Lucida Sans" w:cs="Times New Roman"/>
          <w:sz w:val="18"/>
          <w:szCs w:val="18"/>
        </w:rPr>
        <w:t xml:space="preserve"> when given in standard dosages).  MAO-A inhibition is thought to be important for antidepressant properties (</w:t>
      </w:r>
      <w:r w:rsidR="00096847" w:rsidRPr="006F0C0A">
        <w:rPr>
          <w:rFonts w:ascii="Lucida Sans" w:hAnsi="Lucida Sans" w:cs="Times New Roman"/>
          <w:b/>
          <w:sz w:val="18"/>
          <w:szCs w:val="18"/>
        </w:rPr>
        <w:t>Figure 2</w:t>
      </w:r>
      <w:r w:rsidR="00A67BEA" w:rsidRPr="006F0C0A">
        <w:rPr>
          <w:rFonts w:ascii="Lucida Sans" w:hAnsi="Lucida Sans" w:cs="Times New Roman"/>
          <w:sz w:val="18"/>
          <w:szCs w:val="18"/>
        </w:rPr>
        <w:t>)</w:t>
      </w:r>
      <w:r w:rsidR="00A67BEA">
        <w:rPr>
          <w:rFonts w:ascii="Lucida Sans" w:hAnsi="Lucida Sans" w:cs="Times New Roman"/>
          <w:sz w:val="18"/>
          <w:szCs w:val="18"/>
        </w:rPr>
        <w:t>:</w:t>
      </w:r>
      <w:r w:rsidR="00A67BEA" w:rsidRPr="006F0C0A">
        <w:rPr>
          <w:rFonts w:ascii="Lucida Sans" w:hAnsi="Lucida Sans" w:cs="Times New Roman"/>
          <w:sz w:val="18"/>
          <w:szCs w:val="18"/>
        </w:rPr>
        <w:t xml:space="preserve"> </w:t>
      </w:r>
      <w:r w:rsidR="00A67BEA">
        <w:rPr>
          <w:rFonts w:ascii="Lucida Sans" w:hAnsi="Lucida Sans" w:cs="Times New Roman"/>
          <w:sz w:val="18"/>
          <w:szCs w:val="18"/>
        </w:rPr>
        <w:t xml:space="preserve">using platelet MAO inhibition as a </w:t>
      </w:r>
      <w:r w:rsidR="0071285A">
        <w:rPr>
          <w:rFonts w:ascii="Lucida Sans" w:hAnsi="Lucida Sans" w:cs="Times New Roman"/>
          <w:sz w:val="18"/>
          <w:szCs w:val="18"/>
        </w:rPr>
        <w:t>proxy</w:t>
      </w:r>
      <w:r w:rsidR="00A67BEA">
        <w:rPr>
          <w:rFonts w:ascii="Lucida Sans" w:hAnsi="Lucida Sans" w:cs="Times New Roman"/>
          <w:sz w:val="18"/>
          <w:szCs w:val="18"/>
        </w:rPr>
        <w:t xml:space="preserve"> </w:t>
      </w:r>
      <w:r w:rsidR="0071285A">
        <w:rPr>
          <w:rFonts w:ascii="Lucida Sans" w:hAnsi="Lucida Sans" w:cs="Times New Roman"/>
          <w:sz w:val="18"/>
          <w:szCs w:val="18"/>
        </w:rPr>
        <w:t xml:space="preserve">marker </w:t>
      </w:r>
      <w:r w:rsidR="00A67BEA">
        <w:rPr>
          <w:rFonts w:ascii="Lucida Sans" w:hAnsi="Lucida Sans" w:cs="Times New Roman"/>
          <w:sz w:val="18"/>
          <w:szCs w:val="18"/>
        </w:rPr>
        <w:t xml:space="preserve">for the </w:t>
      </w:r>
      <w:r w:rsidR="0071285A">
        <w:rPr>
          <w:rFonts w:ascii="Lucida Sans" w:hAnsi="Lucida Sans" w:cs="Times New Roman"/>
          <w:sz w:val="18"/>
          <w:szCs w:val="18"/>
        </w:rPr>
        <w:t xml:space="preserve">presumed </w:t>
      </w:r>
      <w:r w:rsidR="00A67BEA">
        <w:rPr>
          <w:rFonts w:ascii="Lucida Sans" w:hAnsi="Lucida Sans" w:cs="Times New Roman"/>
          <w:sz w:val="18"/>
          <w:szCs w:val="18"/>
        </w:rPr>
        <w:t xml:space="preserve">degree of central nervous </w:t>
      </w:r>
      <w:r w:rsidR="00A67BEA">
        <w:rPr>
          <w:rFonts w:ascii="Lucida Sans" w:hAnsi="Lucida Sans" w:cs="Times New Roman"/>
          <w:sz w:val="18"/>
          <w:szCs w:val="18"/>
        </w:rPr>
        <w:lastRenderedPageBreak/>
        <w:t xml:space="preserve">system MAO inhibition, antidepressant efficacy appears optimal when between 80-90% MAO inhibition is achieved </w:t>
      </w:r>
      <w:r w:rsidR="009154C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&lt;EndNote&gt;&lt;Cite&gt;&lt;Author&gt;Raft&lt;/Author&gt;&lt;Year&gt;1981&lt;/Year&gt;&lt;RecNum&gt;486&lt;/RecNum&gt;&lt;DisplayText&gt;[12]&lt;/DisplayText&gt;&lt;record&gt;&lt;rec-number&gt;486&lt;/rec-number&gt;&lt;foreign-keys&gt;&lt;key app="EN" db-id="2xwpd9xwpest5ue9rwa5etrr9fzzxded9vfx" timestamp="1618999658"&gt;486&lt;/key&gt;&lt;/foreign-keys&gt;&lt;ref-type name="Journal Article"&gt;17&lt;/ref-type&gt;&lt;contributors&gt;&lt;authors&gt;&lt;author&gt;Raft, David&lt;/author&gt;&lt;author&gt;Davidson, Jonathan&lt;/author&gt;&lt;author&gt;Wasik, John&lt;/author&gt;&lt;author&gt;Mattox, Albert&lt;/author&gt;&lt;/authors&gt;&lt;/contributors&gt;&lt;titles&gt;&lt;title&gt;Relationship between response to phenelzine and MAO inhibition in a clinical trial of phenelzine, amitriptyline and placebo&lt;/title&gt;&lt;secondary-title&gt;Neuropsychobiology&lt;/secondary-title&gt;&lt;/titles&gt;&lt;periodical&gt;&lt;full-title&gt;Neuropsychobiology&lt;/full-title&gt;&lt;/periodical&gt;&lt;pages&gt;122-126&lt;/pages&gt;&lt;volume&gt;7&lt;/volume&gt;&lt;number&gt;3&lt;/number&gt;&lt;dates&gt;&lt;year&gt;1981&lt;/year&gt;&lt;/dates&gt;&lt;isbn&gt;0302-282X&lt;/isbn&gt;&lt;urls&gt;&lt;/urls&gt;&lt;/record&gt;&lt;/Cite&gt;&lt;/EndNote&gt;</w:instrText>
      </w:r>
      <w:r w:rsidR="009154CE">
        <w:rPr>
          <w:rFonts w:ascii="Lucida Sans" w:hAnsi="Lucida Sans" w:cs="Times New Roman"/>
          <w:sz w:val="18"/>
          <w:szCs w:val="18"/>
        </w:rPr>
        <w:fldChar w:fldCharType="separate"/>
      </w:r>
      <w:r w:rsidR="00271279">
        <w:rPr>
          <w:rFonts w:ascii="Lucida Sans" w:hAnsi="Lucida Sans" w:cs="Times New Roman"/>
          <w:noProof/>
          <w:sz w:val="18"/>
          <w:szCs w:val="18"/>
        </w:rPr>
        <w:t>[12]</w:t>
      </w:r>
      <w:r w:rsidR="009154CE">
        <w:rPr>
          <w:rFonts w:ascii="Lucida Sans" w:hAnsi="Lucida Sans" w:cs="Times New Roman"/>
          <w:sz w:val="18"/>
          <w:szCs w:val="18"/>
        </w:rPr>
        <w:fldChar w:fldCharType="end"/>
      </w:r>
      <w:r w:rsidR="00557E4D">
        <w:rPr>
          <w:rFonts w:ascii="Lucida Sans" w:hAnsi="Lucida Sans" w:cs="Times New Roman"/>
          <w:sz w:val="18"/>
          <w:szCs w:val="18"/>
        </w:rPr>
        <w:t xml:space="preserve">. </w:t>
      </w:r>
      <w:r w:rsidR="006056C6">
        <w:rPr>
          <w:rFonts w:ascii="Lucida Sans" w:hAnsi="Lucida Sans" w:cs="Times New Roman"/>
          <w:sz w:val="18"/>
          <w:szCs w:val="18"/>
        </w:rPr>
        <w:t xml:space="preserve">MAO-A is mostly found in the liver, gastrointestinal tract, and respiratory epithelium; whereas MAO-B is mostly located in blood platelets. However, both are found throughout the body, including in the central nervous system. </w:t>
      </w:r>
      <w:r w:rsidR="00BF2566" w:rsidRPr="00CE4BE3">
        <w:rPr>
          <w:rFonts w:ascii="Lucida Sans" w:hAnsi="Lucida Sans" w:cs="Times New Roman"/>
          <w:sz w:val="18"/>
          <w:szCs w:val="18"/>
        </w:rPr>
        <w:t xml:space="preserve">As will be considered later, </w:t>
      </w:r>
      <w:r w:rsidR="00CA2A90" w:rsidRPr="00CE4BE3">
        <w:rPr>
          <w:rFonts w:ascii="Lucida Sans" w:hAnsi="Lucida Sans" w:cs="Times New Roman"/>
          <w:sz w:val="18"/>
          <w:szCs w:val="18"/>
        </w:rPr>
        <w:t>MAO</w:t>
      </w:r>
      <w:r w:rsidR="00BF2566" w:rsidRPr="00CE4BE3">
        <w:rPr>
          <w:rFonts w:ascii="Lucida Sans" w:hAnsi="Lucida Sans" w:cs="Times New Roman"/>
          <w:sz w:val="18"/>
          <w:szCs w:val="18"/>
        </w:rPr>
        <w:t xml:space="preserve"> </w:t>
      </w:r>
      <w:r w:rsidR="00CA2A90" w:rsidRPr="00CE4BE3">
        <w:rPr>
          <w:rFonts w:ascii="Lucida Sans" w:hAnsi="Lucida Sans" w:cs="Times New Roman"/>
          <w:sz w:val="18"/>
          <w:szCs w:val="18"/>
        </w:rPr>
        <w:t xml:space="preserve">enzymes (primarily MAO-A) </w:t>
      </w:r>
      <w:r w:rsidR="00BF2566" w:rsidRPr="00CE4BE3">
        <w:rPr>
          <w:rFonts w:ascii="Lucida Sans" w:hAnsi="Lucida Sans" w:cs="Times New Roman"/>
          <w:sz w:val="18"/>
          <w:szCs w:val="18"/>
        </w:rPr>
        <w:t xml:space="preserve">degrade tyramine, and so patients taking </w:t>
      </w:r>
      <w:r w:rsidR="00CA2A90" w:rsidRPr="00CE4BE3">
        <w:rPr>
          <w:rFonts w:ascii="Lucida Sans" w:hAnsi="Lucida Sans" w:cs="Times New Roman"/>
          <w:sz w:val="18"/>
          <w:szCs w:val="18"/>
        </w:rPr>
        <w:t>non-selective MAOIs</w:t>
      </w:r>
      <w:r w:rsidR="00BF2566" w:rsidRPr="00CE4BE3">
        <w:rPr>
          <w:rFonts w:ascii="Lucida Sans" w:hAnsi="Lucida Sans" w:cs="Times New Roman"/>
          <w:sz w:val="18"/>
          <w:szCs w:val="18"/>
        </w:rPr>
        <w:t xml:space="preserve"> need to follow </w:t>
      </w:r>
      <w:r w:rsidR="00902E21">
        <w:rPr>
          <w:rFonts w:ascii="Lucida Sans" w:hAnsi="Lucida Sans" w:cs="Times New Roman"/>
          <w:sz w:val="18"/>
          <w:szCs w:val="18"/>
        </w:rPr>
        <w:t xml:space="preserve">certain </w:t>
      </w:r>
      <w:r w:rsidR="00BF2566" w:rsidRPr="00CE4BE3">
        <w:rPr>
          <w:rFonts w:ascii="Lucida Sans" w:hAnsi="Lucida Sans" w:cs="Times New Roman"/>
          <w:sz w:val="18"/>
          <w:szCs w:val="18"/>
        </w:rPr>
        <w:t xml:space="preserve">dietary restrictions </w:t>
      </w:r>
      <w:r w:rsidR="00CA2A90" w:rsidRPr="00CE4BE3">
        <w:rPr>
          <w:rFonts w:ascii="Lucida Sans" w:hAnsi="Lucida Sans" w:cs="Times New Roman"/>
          <w:sz w:val="18"/>
          <w:szCs w:val="18"/>
        </w:rPr>
        <w:t xml:space="preserve">(including avoidance of tyramine-containing cheese) </w:t>
      </w:r>
      <w:r w:rsidR="00BF2566" w:rsidRPr="00CE4BE3">
        <w:rPr>
          <w:rFonts w:ascii="Lucida Sans" w:hAnsi="Lucida Sans" w:cs="Times New Roman"/>
          <w:sz w:val="18"/>
          <w:szCs w:val="18"/>
        </w:rPr>
        <w:t>to avoid the so-termed ‘cheese effect’ (</w:t>
      </w:r>
      <w:r w:rsidR="00CA2A90" w:rsidRPr="00CE4BE3">
        <w:rPr>
          <w:rFonts w:ascii="Lucida Sans" w:hAnsi="Lucida Sans" w:cs="Times New Roman"/>
          <w:sz w:val="18"/>
          <w:szCs w:val="18"/>
        </w:rPr>
        <w:t xml:space="preserve">ranging from headache to </w:t>
      </w:r>
      <w:r w:rsidR="00BF2566" w:rsidRPr="00CE4BE3">
        <w:rPr>
          <w:rFonts w:ascii="Lucida Sans" w:hAnsi="Lucida Sans" w:cs="Times New Roman"/>
          <w:sz w:val="18"/>
          <w:szCs w:val="18"/>
        </w:rPr>
        <w:t>hypertensive crisis).</w:t>
      </w:r>
      <w:r w:rsidR="00BF2566">
        <w:rPr>
          <w:rFonts w:ascii="Lucida Sans" w:hAnsi="Lucida Sans" w:cs="Times New Roman"/>
          <w:sz w:val="18"/>
          <w:szCs w:val="18"/>
        </w:rPr>
        <w:t xml:space="preserve"> </w:t>
      </w:r>
    </w:p>
    <w:p w14:paraId="5659BE85" w14:textId="77777777" w:rsidR="000247EF" w:rsidRPr="006F0C0A" w:rsidRDefault="000247EF" w:rsidP="006F0C0A">
      <w:pPr>
        <w:spacing w:line="360" w:lineRule="auto"/>
        <w:rPr>
          <w:rFonts w:ascii="Lucida Sans" w:hAnsi="Lucida Sans" w:cs="Times New Roman"/>
          <w:sz w:val="18"/>
          <w:szCs w:val="18"/>
        </w:rPr>
      </w:pPr>
    </w:p>
    <w:p w14:paraId="4ABA7BCD" w14:textId="1017160A" w:rsidR="002F13D3" w:rsidRDefault="002F13D3" w:rsidP="002F13D3">
      <w:pPr>
        <w:spacing w:line="360" w:lineRule="auto"/>
        <w:rPr>
          <w:rFonts w:ascii="Lucida Sans" w:hAnsi="Lucida Sans" w:cs="Times New Roman"/>
          <w:sz w:val="18"/>
          <w:szCs w:val="18"/>
        </w:rPr>
      </w:pPr>
    </w:p>
    <w:p w14:paraId="4F0233CB" w14:textId="60B52904" w:rsidR="002F13D3" w:rsidRDefault="002F13D3" w:rsidP="003807A9">
      <w:pPr>
        <w:spacing w:line="360" w:lineRule="auto"/>
        <w:rPr>
          <w:rFonts w:ascii="Lucida Sans" w:hAnsi="Lucida Sans" w:cs="Times New Roman"/>
          <w:sz w:val="18"/>
          <w:szCs w:val="18"/>
        </w:rPr>
      </w:pPr>
    </w:p>
    <w:p w14:paraId="4BEEDEDD" w14:textId="2DF73B40" w:rsidR="00932411" w:rsidRDefault="000247EF" w:rsidP="003807A9">
      <w:pPr>
        <w:spacing w:line="360" w:lineRule="auto"/>
        <w:rPr>
          <w:rFonts w:ascii="Lucida Sans" w:hAnsi="Lucida Sans" w:cs="Times New Roman"/>
          <w:sz w:val="18"/>
          <w:szCs w:val="18"/>
        </w:rPr>
      </w:pPr>
      <w:r w:rsidRPr="006F0C0A">
        <w:rPr>
          <w:rFonts w:ascii="Lucida Sans" w:hAnsi="Lucida Sans" w:cs="Times New Roman"/>
          <w:sz w:val="18"/>
          <w:szCs w:val="18"/>
        </w:rPr>
        <w:t xml:space="preserve">At present, phenelzine is more than ten times cheaper to prescribe </w:t>
      </w:r>
      <w:r w:rsidR="000863F2">
        <w:rPr>
          <w:rFonts w:ascii="Lucida Sans" w:hAnsi="Lucida Sans" w:cs="Times New Roman"/>
          <w:sz w:val="18"/>
          <w:szCs w:val="18"/>
        </w:rPr>
        <w:t>in</w:t>
      </w:r>
      <w:r w:rsidRPr="006F0C0A">
        <w:rPr>
          <w:rFonts w:ascii="Lucida Sans" w:hAnsi="Lucida Sans" w:cs="Times New Roman"/>
          <w:sz w:val="18"/>
          <w:szCs w:val="18"/>
        </w:rPr>
        <w:t xml:space="preserve"> NHS </w:t>
      </w:r>
      <w:r w:rsidR="000863F2">
        <w:rPr>
          <w:rFonts w:ascii="Lucida Sans" w:hAnsi="Lucida Sans" w:cs="Times New Roman"/>
          <w:sz w:val="18"/>
          <w:szCs w:val="18"/>
        </w:rPr>
        <w:t xml:space="preserve">settings </w:t>
      </w:r>
      <w:r w:rsidRPr="006F0C0A">
        <w:rPr>
          <w:rFonts w:ascii="Lucida Sans" w:hAnsi="Lucida Sans" w:cs="Times New Roman"/>
          <w:sz w:val="18"/>
          <w:szCs w:val="18"/>
        </w:rPr>
        <w:t>than either tranylcypromine or isocarboxazid</w:t>
      </w:r>
      <w:r w:rsidR="000863F2">
        <w:rPr>
          <w:rFonts w:ascii="Lucida Sans" w:hAnsi="Lucida Sans" w:cs="Times New Roman"/>
          <w:sz w:val="18"/>
          <w:szCs w:val="18"/>
        </w:rPr>
        <w:t>:</w:t>
      </w:r>
      <w:r w:rsidRPr="006F0C0A">
        <w:rPr>
          <w:rFonts w:ascii="Lucida Sans" w:hAnsi="Lucida Sans" w:cs="Times New Roman"/>
          <w:sz w:val="18"/>
          <w:szCs w:val="18"/>
        </w:rPr>
        <w:t xml:space="preserve"> </w:t>
      </w:r>
      <w:r w:rsidR="000863F2">
        <w:rPr>
          <w:rFonts w:ascii="Lucida Sans" w:hAnsi="Lucida Sans" w:cs="Times New Roman"/>
          <w:sz w:val="18"/>
          <w:szCs w:val="18"/>
        </w:rPr>
        <w:t>c</w:t>
      </w:r>
      <w:r w:rsidR="0033751E">
        <w:rPr>
          <w:rFonts w:ascii="Lucida Sans" w:hAnsi="Lucida Sans" w:cs="Times New Roman"/>
          <w:sz w:val="18"/>
          <w:szCs w:val="18"/>
        </w:rPr>
        <w:t>linicians</w:t>
      </w:r>
      <w:r w:rsidRPr="006F0C0A">
        <w:rPr>
          <w:rFonts w:ascii="Lucida Sans" w:hAnsi="Lucida Sans" w:cs="Times New Roman"/>
          <w:sz w:val="18"/>
          <w:szCs w:val="18"/>
        </w:rPr>
        <w:t xml:space="preserve"> </w:t>
      </w:r>
      <w:r w:rsidR="0033751E">
        <w:rPr>
          <w:rFonts w:ascii="Lucida Sans" w:hAnsi="Lucida Sans" w:cs="Times New Roman"/>
          <w:sz w:val="18"/>
          <w:szCs w:val="18"/>
        </w:rPr>
        <w:t>should</w:t>
      </w:r>
      <w:r w:rsidRPr="006F0C0A">
        <w:rPr>
          <w:rFonts w:ascii="Lucida Sans" w:hAnsi="Lucida Sans" w:cs="Times New Roman"/>
          <w:sz w:val="18"/>
          <w:szCs w:val="18"/>
        </w:rPr>
        <w:t xml:space="preserve"> co</w:t>
      </w:r>
      <w:r w:rsidR="00B10D97" w:rsidRPr="006F0C0A">
        <w:rPr>
          <w:rFonts w:ascii="Lucida Sans" w:hAnsi="Lucida Sans" w:cs="Times New Roman"/>
          <w:sz w:val="18"/>
          <w:szCs w:val="18"/>
        </w:rPr>
        <w:t>nsult the latest edition of the country</w:t>
      </w:r>
      <w:r w:rsidR="0033751E">
        <w:rPr>
          <w:rFonts w:ascii="Lucida Sans" w:hAnsi="Lucida Sans" w:cs="Times New Roman"/>
          <w:sz w:val="18"/>
          <w:szCs w:val="18"/>
        </w:rPr>
        <w:t>-</w:t>
      </w:r>
      <w:r w:rsidR="00B10D97" w:rsidRPr="006F0C0A">
        <w:rPr>
          <w:rFonts w:ascii="Lucida Sans" w:hAnsi="Lucida Sans" w:cs="Times New Roman"/>
          <w:sz w:val="18"/>
          <w:szCs w:val="18"/>
        </w:rPr>
        <w:t xml:space="preserve">specific formulary for accurate pricing, such as the </w:t>
      </w:r>
      <w:r w:rsidRPr="0033751E">
        <w:rPr>
          <w:rFonts w:ascii="Lucida Sans" w:hAnsi="Lucida Sans" w:cs="Times New Roman"/>
          <w:i/>
          <w:sz w:val="18"/>
          <w:szCs w:val="18"/>
        </w:rPr>
        <w:t>British National Formulary</w:t>
      </w:r>
      <w:r w:rsidRPr="006F0C0A">
        <w:rPr>
          <w:rFonts w:ascii="Lucida Sans" w:hAnsi="Lucida Sans" w:cs="Times New Roman"/>
          <w:sz w:val="18"/>
          <w:szCs w:val="18"/>
        </w:rPr>
        <w:t xml:space="preserve"> (BNF) </w:t>
      </w:r>
      <w:r w:rsidR="00B10D97" w:rsidRPr="006F0C0A">
        <w:rPr>
          <w:rFonts w:ascii="Lucida Sans" w:hAnsi="Lucida Sans" w:cs="Times New Roman"/>
          <w:sz w:val="18"/>
          <w:szCs w:val="18"/>
        </w:rPr>
        <w:t>in the UK</w:t>
      </w:r>
      <w:r w:rsidRPr="006F0C0A">
        <w:rPr>
          <w:rFonts w:ascii="Lucida Sans" w:hAnsi="Lucida Sans" w:cs="Times New Roman"/>
          <w:sz w:val="18"/>
          <w:szCs w:val="18"/>
        </w:rPr>
        <w:t xml:space="preserve">. The acquisition cost of MAOI antidepressants is often high (and higher than with alternative antidepressants), and supplies of MAOIs to pharmacies </w:t>
      </w:r>
      <w:r w:rsidR="000D6C6C">
        <w:rPr>
          <w:rFonts w:ascii="Lucida Sans" w:hAnsi="Lucida Sans" w:cs="Times New Roman"/>
          <w:sz w:val="18"/>
          <w:szCs w:val="18"/>
        </w:rPr>
        <w:t>can be unpredictable</w:t>
      </w:r>
      <w:r w:rsidRPr="006F0C0A">
        <w:rPr>
          <w:rFonts w:ascii="Lucida Sans" w:hAnsi="Lucida Sans" w:cs="Times New Roman"/>
          <w:sz w:val="18"/>
          <w:szCs w:val="18"/>
        </w:rPr>
        <w:t xml:space="preserve">: patients who are benefiting from MAOI treatment should be encouraged to ensure that prescriptions are regularly filled, so that treatment interruptions can be avoided. </w:t>
      </w:r>
      <w:r w:rsidR="00DD7632" w:rsidRPr="006F0C0A">
        <w:rPr>
          <w:rFonts w:ascii="Lucida Sans" w:hAnsi="Lucida Sans" w:cs="Times New Roman"/>
          <w:sz w:val="18"/>
          <w:szCs w:val="18"/>
        </w:rPr>
        <w:t>While data are limited, there are some differences between the MAOIs in terms of likelihood of particular side effects</w:t>
      </w:r>
      <w:r w:rsidR="000863F2">
        <w:rPr>
          <w:rFonts w:ascii="Lucida Sans" w:hAnsi="Lucida Sans" w:cs="Times New Roman"/>
          <w:sz w:val="18"/>
          <w:szCs w:val="18"/>
        </w:rPr>
        <w:t>:</w:t>
      </w:r>
      <w:r w:rsidR="00DD7632" w:rsidRPr="006F0C0A">
        <w:rPr>
          <w:rFonts w:ascii="Lucida Sans" w:hAnsi="Lucida Sans" w:cs="Times New Roman"/>
          <w:sz w:val="18"/>
          <w:szCs w:val="18"/>
        </w:rPr>
        <w:t xml:space="preserve"> </w:t>
      </w:r>
      <w:r w:rsidR="000863F2">
        <w:rPr>
          <w:rFonts w:ascii="Lucida Sans" w:hAnsi="Lucida Sans" w:cs="Times New Roman"/>
          <w:sz w:val="18"/>
          <w:szCs w:val="18"/>
        </w:rPr>
        <w:t>f</w:t>
      </w:r>
      <w:r w:rsidR="00DD7632" w:rsidRPr="006F0C0A">
        <w:rPr>
          <w:rFonts w:ascii="Lucida Sans" w:hAnsi="Lucida Sans" w:cs="Times New Roman"/>
          <w:sz w:val="18"/>
          <w:szCs w:val="18"/>
        </w:rPr>
        <w:t>or example, phenelzine appears relatively more likely to lead to weight gain, a</w:t>
      </w:r>
      <w:r w:rsidR="003119B6" w:rsidRPr="006F0C0A">
        <w:rPr>
          <w:rFonts w:ascii="Lucida Sans" w:hAnsi="Lucida Sans" w:cs="Times New Roman"/>
          <w:sz w:val="18"/>
          <w:szCs w:val="18"/>
        </w:rPr>
        <w:t xml:space="preserve">nd tranylcypromine less likely </w:t>
      </w:r>
      <w:r w:rsidR="003119B6"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&lt;EndNote&gt;&lt;Cite&gt;&lt;Author&gt;Cantú&lt;/Author&gt;&lt;Year&gt;1988&lt;/Year&gt;&lt;RecNum&gt;0&lt;/RecNum&gt;&lt;IDText&gt;Monoamine oxidase inhibitors and weight gain&lt;/IDText&gt;&lt;DisplayText&gt;[13]&lt;/DisplayText&gt;&lt;record&gt;&lt;dates&gt;&lt;pub-dates&gt;&lt;date&gt;Oct&lt;/date&gt;&lt;/pub-dates&gt;&lt;year&gt;1988&lt;/year&gt;&lt;/dates&gt;&lt;keywords&gt;&lt;keyword&gt;Humans&lt;/keyword&gt;&lt;keyword&gt;Monoamine Oxidase Inhibitors&lt;/keyword&gt;&lt;keyword&gt;Weight Gain&lt;/keyword&gt;&lt;/keywords&gt;&lt;urls&gt;&lt;related-urls&gt;&lt;url&gt;https://www.ncbi.nlm.nih.gov/pubmed/3068037&lt;/url&gt;&lt;/related-urls&gt;&lt;/urls&gt;&lt;isbn&gt;0012-6578&lt;/isbn&gt;&lt;titles&gt;&lt;title&gt;Monoamine oxidase inhibitors and weight gain&lt;/title&gt;&lt;secondary-title&gt;Drug Intell Clin Pharm&lt;/secondary-title&gt;&lt;/titles&gt;&lt;pages&gt;755-9&lt;/pages&gt;&lt;number&gt;10&lt;/number&gt;&lt;contributors&gt;&lt;authors&gt;&lt;author&gt;Cantú, T. G.&lt;/author&gt;&lt;author&gt;Korek, J. S.&lt;/author&gt;&lt;/authors&gt;&lt;/contributors&gt;&lt;language&gt;eng&lt;/language&gt;&lt;added-date format="utc"&gt;1600941589&lt;/added-date&gt;&lt;ref-type name="Journal Article"&gt;17&lt;/ref-type&gt;&lt;rec-number&gt;9983&lt;/rec-number&gt;&lt;last-updated-date format="utc"&gt;1600941589&lt;/last-updated-date&gt;&lt;accession-num&gt;3068037&lt;/accession-num&gt;&lt;electronic-resource-num&gt;10.1177/106002808802201002&lt;/electronic-resource-num&gt;&lt;volume&gt;22&lt;/volume&gt;&lt;/record&gt;&lt;/Cite&gt;&lt;/EndNote&gt;</w:instrText>
      </w:r>
      <w:r w:rsidR="003119B6" w:rsidRPr="006F0C0A">
        <w:rPr>
          <w:rFonts w:ascii="Lucida Sans" w:hAnsi="Lucida Sans" w:cs="Times New Roman"/>
          <w:sz w:val="18"/>
          <w:szCs w:val="18"/>
        </w:rPr>
        <w:fldChar w:fldCharType="separate"/>
      </w:r>
      <w:r w:rsidR="00271279">
        <w:rPr>
          <w:rFonts w:ascii="Lucida Sans" w:hAnsi="Lucida Sans" w:cs="Times New Roman"/>
          <w:noProof/>
          <w:sz w:val="18"/>
          <w:szCs w:val="18"/>
        </w:rPr>
        <w:t>[13]</w:t>
      </w:r>
      <w:r w:rsidR="003119B6" w:rsidRPr="006F0C0A">
        <w:rPr>
          <w:rFonts w:ascii="Lucida Sans" w:hAnsi="Lucida Sans" w:cs="Times New Roman"/>
          <w:sz w:val="18"/>
          <w:szCs w:val="18"/>
        </w:rPr>
        <w:fldChar w:fldCharType="end"/>
      </w:r>
      <w:r w:rsidR="003119B6" w:rsidRPr="006F0C0A">
        <w:rPr>
          <w:rFonts w:ascii="Lucida Sans" w:hAnsi="Lucida Sans" w:cs="Times New Roman"/>
          <w:sz w:val="18"/>
          <w:szCs w:val="18"/>
        </w:rPr>
        <w:t xml:space="preserve">. </w:t>
      </w:r>
    </w:p>
    <w:p w14:paraId="25E8A95E" w14:textId="77777777" w:rsidR="00F64682" w:rsidRDefault="00F64682" w:rsidP="003807A9">
      <w:pPr>
        <w:spacing w:line="360" w:lineRule="auto"/>
        <w:rPr>
          <w:rFonts w:ascii="Lucida Sans" w:hAnsi="Lucida Sans" w:cs="Times New Roman"/>
          <w:sz w:val="18"/>
          <w:szCs w:val="18"/>
        </w:rPr>
      </w:pPr>
    </w:p>
    <w:p w14:paraId="69B62FE5" w14:textId="49B3597C" w:rsidR="00F64682" w:rsidRDefault="00F64682" w:rsidP="00F64682">
      <w:pPr>
        <w:spacing w:line="360" w:lineRule="auto"/>
        <w:rPr>
          <w:rFonts w:ascii="Lucida Sans" w:hAnsi="Lucida Sans" w:cs="Times New Roman"/>
          <w:sz w:val="18"/>
          <w:szCs w:val="18"/>
        </w:rPr>
      </w:pPr>
      <w:r>
        <w:rPr>
          <w:rFonts w:ascii="Lucida Sans" w:hAnsi="Lucida Sans" w:cs="Times New Roman"/>
          <w:sz w:val="18"/>
          <w:szCs w:val="18"/>
        </w:rPr>
        <w:t xml:space="preserve">Phenelzine is a </w:t>
      </w:r>
      <w:r w:rsidRPr="00D10D4F">
        <w:rPr>
          <w:rFonts w:ascii="Lucida Sans" w:hAnsi="Lucida Sans" w:cs="Times New Roman"/>
          <w:sz w:val="18"/>
          <w:szCs w:val="18"/>
        </w:rPr>
        <w:t>non-selective and irreversible inhibitor of monoamine oxidase</w:t>
      </w:r>
      <w:r>
        <w:rPr>
          <w:rFonts w:ascii="Lucida Sans" w:hAnsi="Lucida Sans" w:cs="Times New Roman"/>
          <w:sz w:val="18"/>
          <w:szCs w:val="18"/>
        </w:rPr>
        <w:t xml:space="preserve"> which </w:t>
      </w:r>
      <w:r w:rsidRPr="00D10D4F">
        <w:rPr>
          <w:rFonts w:ascii="Lucida Sans" w:hAnsi="Lucida Sans" w:cs="Times New Roman"/>
          <w:sz w:val="18"/>
          <w:szCs w:val="18"/>
        </w:rPr>
        <w:t xml:space="preserve">prevents </w:t>
      </w:r>
      <w:r>
        <w:rPr>
          <w:rFonts w:ascii="Lucida Sans" w:hAnsi="Lucida Sans" w:cs="Times New Roman"/>
          <w:sz w:val="18"/>
          <w:szCs w:val="18"/>
        </w:rPr>
        <w:t xml:space="preserve">the </w:t>
      </w:r>
      <w:r w:rsidRPr="00D10D4F">
        <w:rPr>
          <w:rFonts w:ascii="Lucida Sans" w:hAnsi="Lucida Sans" w:cs="Times New Roman"/>
          <w:sz w:val="18"/>
          <w:szCs w:val="18"/>
        </w:rPr>
        <w:t xml:space="preserve">breakdown of </w:t>
      </w:r>
      <w:r>
        <w:rPr>
          <w:rFonts w:ascii="Lucida Sans" w:hAnsi="Lucida Sans" w:cs="Times New Roman"/>
          <w:sz w:val="18"/>
          <w:szCs w:val="18"/>
        </w:rPr>
        <w:t xml:space="preserve">the monoamine </w:t>
      </w:r>
      <w:r w:rsidRPr="00D10D4F">
        <w:rPr>
          <w:rFonts w:ascii="Lucida Sans" w:hAnsi="Lucida Sans" w:cs="Times New Roman"/>
          <w:sz w:val="18"/>
          <w:szCs w:val="18"/>
        </w:rPr>
        <w:t xml:space="preserve">neurotransmitters 5-HT, </w:t>
      </w:r>
      <w:r>
        <w:rPr>
          <w:rFonts w:ascii="Lucida Sans" w:hAnsi="Lucida Sans" w:cs="Times New Roman"/>
          <w:sz w:val="18"/>
          <w:szCs w:val="18"/>
        </w:rPr>
        <w:t>adrenaline</w:t>
      </w:r>
      <w:r w:rsidRPr="00D10D4F">
        <w:rPr>
          <w:rFonts w:ascii="Lucida Sans" w:hAnsi="Lucida Sans" w:cs="Times New Roman"/>
          <w:sz w:val="18"/>
          <w:szCs w:val="18"/>
        </w:rPr>
        <w:t xml:space="preserve">, </w:t>
      </w:r>
      <w:r>
        <w:rPr>
          <w:rFonts w:ascii="Lucida Sans" w:hAnsi="Lucida Sans" w:cs="Times New Roman"/>
          <w:sz w:val="18"/>
          <w:szCs w:val="18"/>
        </w:rPr>
        <w:t>noradrenaline</w:t>
      </w:r>
      <w:r w:rsidRPr="00D10D4F">
        <w:rPr>
          <w:rFonts w:ascii="Lucida Sans" w:hAnsi="Lucida Sans" w:cs="Times New Roman"/>
          <w:sz w:val="18"/>
          <w:szCs w:val="18"/>
        </w:rPr>
        <w:t xml:space="preserve">, </w:t>
      </w:r>
      <w:r>
        <w:rPr>
          <w:rFonts w:ascii="Lucida Sans" w:hAnsi="Lucida Sans" w:cs="Times New Roman"/>
          <w:sz w:val="18"/>
          <w:szCs w:val="18"/>
        </w:rPr>
        <w:t xml:space="preserve">dopamine </w:t>
      </w:r>
      <w:r w:rsidRPr="00D10D4F">
        <w:rPr>
          <w:rFonts w:ascii="Lucida Sans" w:hAnsi="Lucida Sans" w:cs="Times New Roman"/>
          <w:sz w:val="18"/>
          <w:szCs w:val="18"/>
        </w:rPr>
        <w:t>and melatonin</w:t>
      </w:r>
      <w:r w:rsidR="00596F5D">
        <w:rPr>
          <w:rFonts w:ascii="Lucida Sans" w:hAnsi="Lucida Sans" w:cs="Times New Roman"/>
          <w:sz w:val="18"/>
          <w:szCs w:val="18"/>
        </w:rPr>
        <w:t xml:space="preserve">. </w:t>
      </w:r>
      <w:r w:rsidR="00953ED9">
        <w:rPr>
          <w:rFonts w:ascii="Lucida Sans" w:hAnsi="Lucida Sans" w:cs="Times New Roman"/>
          <w:sz w:val="18"/>
          <w:szCs w:val="18"/>
        </w:rPr>
        <w:t>It</w:t>
      </w:r>
      <w:r>
        <w:rPr>
          <w:rFonts w:ascii="Lucida Sans" w:hAnsi="Lucida Sans" w:cs="Times New Roman"/>
          <w:sz w:val="18"/>
          <w:szCs w:val="18"/>
        </w:rPr>
        <w:t xml:space="preserve"> also prevent</w:t>
      </w:r>
      <w:r w:rsidR="00596F5D">
        <w:rPr>
          <w:rFonts w:ascii="Lucida Sans" w:hAnsi="Lucida Sans" w:cs="Times New Roman"/>
          <w:sz w:val="18"/>
          <w:szCs w:val="18"/>
        </w:rPr>
        <w:t>s</w:t>
      </w:r>
      <w:r w:rsidRPr="00D10D4F">
        <w:rPr>
          <w:rFonts w:ascii="Lucida Sans" w:hAnsi="Lucida Sans" w:cs="Times New Roman"/>
          <w:sz w:val="18"/>
          <w:szCs w:val="18"/>
        </w:rPr>
        <w:t xml:space="preserve"> </w:t>
      </w:r>
      <w:r>
        <w:rPr>
          <w:rFonts w:ascii="Lucida Sans" w:hAnsi="Lucida Sans" w:cs="Times New Roman"/>
          <w:sz w:val="18"/>
          <w:szCs w:val="18"/>
        </w:rPr>
        <w:t xml:space="preserve">the </w:t>
      </w:r>
      <w:r w:rsidRPr="00D10D4F">
        <w:rPr>
          <w:rFonts w:ascii="Lucida Sans" w:hAnsi="Lucida Sans" w:cs="Times New Roman"/>
          <w:sz w:val="18"/>
          <w:szCs w:val="18"/>
        </w:rPr>
        <w:t>breakdown of</w:t>
      </w:r>
      <w:r>
        <w:rPr>
          <w:rFonts w:ascii="Lucida Sans" w:hAnsi="Lucida Sans" w:cs="Times New Roman"/>
          <w:sz w:val="18"/>
          <w:szCs w:val="18"/>
        </w:rPr>
        <w:t xml:space="preserve"> ‘trace amine neuromodulators’ such as phenylethylamine and </w:t>
      </w:r>
      <w:r w:rsidRPr="00D10D4F">
        <w:rPr>
          <w:rFonts w:ascii="Lucida Sans" w:hAnsi="Lucida Sans" w:cs="Times New Roman"/>
          <w:sz w:val="18"/>
          <w:szCs w:val="18"/>
        </w:rPr>
        <w:t>tyramine</w:t>
      </w:r>
      <w:r>
        <w:rPr>
          <w:rFonts w:ascii="Lucida Sans" w:hAnsi="Lucida Sans" w:cs="Times New Roman"/>
          <w:sz w:val="18"/>
          <w:szCs w:val="18"/>
        </w:rPr>
        <w:t xml:space="preserve">. A </w:t>
      </w:r>
      <w:r w:rsidRPr="00D10D4F">
        <w:rPr>
          <w:rFonts w:ascii="Lucida Sans" w:hAnsi="Lucida Sans" w:cs="Times New Roman"/>
          <w:sz w:val="18"/>
          <w:szCs w:val="18"/>
        </w:rPr>
        <w:t>metabolite (PEH) inhibits GABA-transaminase and increases GABA levels</w:t>
      </w:r>
      <w:r>
        <w:rPr>
          <w:rFonts w:ascii="Lucida Sans" w:hAnsi="Lucida Sans" w:cs="Times New Roman"/>
          <w:sz w:val="18"/>
          <w:szCs w:val="18"/>
        </w:rPr>
        <w:t xml:space="preserve">, but the clinical significance of this is uncertain. It is </w:t>
      </w:r>
      <w:r w:rsidRPr="00D10D4F">
        <w:rPr>
          <w:rFonts w:ascii="Lucida Sans" w:hAnsi="Lucida Sans" w:cs="Times New Roman"/>
          <w:sz w:val="18"/>
          <w:szCs w:val="18"/>
        </w:rPr>
        <w:t>efficacious in dysthymia</w:t>
      </w:r>
      <w:r>
        <w:rPr>
          <w:rFonts w:ascii="Lucida Sans" w:hAnsi="Lucida Sans" w:cs="Times New Roman"/>
          <w:sz w:val="18"/>
          <w:szCs w:val="18"/>
        </w:rPr>
        <w:t>,</w:t>
      </w:r>
      <w:r w:rsidR="00A366C0">
        <w:rPr>
          <w:rFonts w:ascii="Lucida Sans" w:hAnsi="Lucida Sans" w:cs="Times New Roman"/>
          <w:sz w:val="18"/>
          <w:szCs w:val="18"/>
        </w:rPr>
        <w:t xml:space="preserve"> unipolar depression, and bipolar depression,</w:t>
      </w:r>
      <w:r>
        <w:rPr>
          <w:rFonts w:ascii="Lucida Sans" w:hAnsi="Lucida Sans" w:cs="Times New Roman"/>
          <w:sz w:val="18"/>
          <w:szCs w:val="18"/>
        </w:rPr>
        <w:t xml:space="preserve"> though </w:t>
      </w:r>
      <w:r w:rsidRPr="00D10D4F">
        <w:rPr>
          <w:rFonts w:ascii="Lucida Sans" w:hAnsi="Lucida Sans" w:cs="Times New Roman"/>
          <w:sz w:val="18"/>
          <w:szCs w:val="18"/>
        </w:rPr>
        <w:t>probably less effective than tricyclic antidepressants in severely depressed inpatients</w:t>
      </w:r>
      <w:r>
        <w:rPr>
          <w:rFonts w:ascii="Lucida Sans" w:hAnsi="Lucida Sans" w:cs="Times New Roman"/>
          <w:sz w:val="18"/>
          <w:szCs w:val="18"/>
        </w:rPr>
        <w:t xml:space="preserve">: it has been thought to have </w:t>
      </w:r>
      <w:r w:rsidRPr="00D10D4F">
        <w:rPr>
          <w:rFonts w:ascii="Lucida Sans" w:hAnsi="Lucida Sans" w:cs="Times New Roman"/>
          <w:sz w:val="18"/>
          <w:szCs w:val="18"/>
        </w:rPr>
        <w:t xml:space="preserve">possible superiority in </w:t>
      </w:r>
      <w:r>
        <w:rPr>
          <w:rFonts w:ascii="Lucida Sans" w:hAnsi="Lucida Sans" w:cs="Times New Roman"/>
          <w:sz w:val="18"/>
          <w:szCs w:val="18"/>
        </w:rPr>
        <w:t xml:space="preserve">patients with </w:t>
      </w:r>
      <w:r w:rsidR="00335CAA">
        <w:rPr>
          <w:rFonts w:ascii="Lucida Sans" w:hAnsi="Lucida Sans" w:cs="Times New Roman"/>
          <w:sz w:val="18"/>
          <w:szCs w:val="18"/>
        </w:rPr>
        <w:t>‘</w:t>
      </w:r>
      <w:r w:rsidRPr="00D10D4F">
        <w:rPr>
          <w:rFonts w:ascii="Lucida Sans" w:hAnsi="Lucida Sans" w:cs="Times New Roman"/>
          <w:sz w:val="18"/>
          <w:szCs w:val="18"/>
        </w:rPr>
        <w:t>atypical depression</w:t>
      </w:r>
      <w:r w:rsidR="00335CAA">
        <w:rPr>
          <w:rFonts w:ascii="Lucida Sans" w:hAnsi="Lucida Sans" w:cs="Times New Roman"/>
          <w:sz w:val="18"/>
          <w:szCs w:val="18"/>
        </w:rPr>
        <w:t>’ (see below)</w:t>
      </w:r>
      <w:r w:rsidR="00A366C0">
        <w:rPr>
          <w:rFonts w:ascii="Lucida Sans" w:hAnsi="Lucida Sans" w:cs="Times New Roman"/>
          <w:sz w:val="18"/>
          <w:szCs w:val="18"/>
        </w:rPr>
        <w:t xml:space="preserve"> </w:t>
      </w:r>
      <w:r w:rsidR="009154C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&lt;EndNote&gt;&lt;Cite&gt;&lt;Author&gt;Thase&lt;/Author&gt;&lt;Year&gt;1995&lt;/Year&gt;&lt;RecNum&gt;487&lt;/RecNum&gt;&lt;DisplayText&gt;[14, 15]&lt;/DisplayText&gt;&lt;record&gt;&lt;rec-number&gt;487&lt;/rec-number&gt;&lt;foreign-keys&gt;&lt;key app="EN" db-id="2xwpd9xwpest5ue9rwa5etrr9fzzxded9vfx" timestamp="1619000347"&gt;487&lt;/key&gt;&lt;/foreign-keys&gt;&lt;ref-type name="Journal Article"&gt;17&lt;/ref-type&gt;&lt;contributors&gt;&lt;authors&gt;&lt;author&gt;Thase, Michael E&lt;/author&gt;&lt;author&gt;Trivedi, Madhukar H&lt;/author&gt;&lt;author&gt;Rush, A John&lt;/author&gt;&lt;/authors&gt;&lt;/contributors&gt;&lt;titles&gt;&lt;title&gt;MAOIs in the contemporary treatment of depression&lt;/title&gt;&lt;secondary-title&gt;Neuropsychopharmacology&lt;/secondary-title&gt;&lt;/titles&gt;&lt;periodical&gt;&lt;full-title&gt;Neuropsychopharmacology&lt;/full-title&gt;&lt;/periodical&gt;&lt;pages&gt;185-219&lt;/pages&gt;&lt;volume&gt;12&lt;/volume&gt;&lt;number&gt;3&lt;/number&gt;&lt;dates&gt;&lt;year&gt;1995&lt;/year&gt;&lt;/dates&gt;&lt;isbn&gt;1740-634X&lt;/isbn&gt;&lt;urls&gt;&lt;/urls&gt;&lt;/record&gt;&lt;/Cite&gt;&lt;Cite&gt;&lt;Author&gt;Meister&lt;/Author&gt;&lt;Year&gt;2016&lt;/Year&gt;&lt;RecNum&gt;488&lt;/RecNum&gt;&lt;record&gt;&lt;rec-number&gt;488&lt;/rec-number&gt;&lt;foreign-keys&gt;&lt;key app="EN" db-id="2xwpd9xwpest5ue9rwa5etrr9fzzxded9vfx" timestamp="1619000635"&gt;488&lt;/key&gt;&lt;/foreign-keys&gt;&lt;ref-type name="Journal Article"&gt;17&lt;/ref-type&gt;&lt;contributors&gt;&lt;authors&gt;&lt;author&gt;Meister, Ramona&lt;/author&gt;&lt;author&gt;von Wolff, Alessa&lt;/author&gt;&lt;author&gt;Mohr, Hannes&lt;/author&gt;&lt;author&gt;Härter, Martin&lt;/author&gt;&lt;author&gt;Nestoriuc, Yvonne&lt;/author&gt;&lt;author&gt;Hölzel, Lars&lt;/author&gt;&lt;author&gt;Kriston, Levente&lt;/author&gt;&lt;/authors&gt;&lt;/contributors&gt;&lt;titles&gt;&lt;title&gt;Comparative safety of pharmacologic treatments for persistent depressive disorder: A systematic review and network meta-analysis&lt;/title&gt;&lt;secondary-title&gt;PloS one&lt;/secondary-title&gt;&lt;/titles&gt;&lt;periodical&gt;&lt;full-title&gt;PloS one&lt;/full-title&gt;&lt;/periodical&gt;&lt;pages&gt;e0153380&lt;/pages&gt;&lt;volume&gt;11&lt;/volume&gt;&lt;number&gt;5&lt;/number&gt;&lt;dates&gt;&lt;year&gt;2016&lt;/year&gt;&lt;/dates&gt;&lt;isbn&gt;1932-6203&lt;/isbn&gt;&lt;urls&gt;&lt;/urls&gt;&lt;/record&gt;&lt;/Cite&gt;&lt;/EndNote&gt;</w:instrText>
      </w:r>
      <w:r w:rsidR="009154CE">
        <w:rPr>
          <w:rFonts w:ascii="Lucida Sans" w:hAnsi="Lucida Sans" w:cs="Times New Roman"/>
          <w:sz w:val="18"/>
          <w:szCs w:val="18"/>
        </w:rPr>
        <w:fldChar w:fldCharType="separate"/>
      </w:r>
      <w:r w:rsidR="00271279">
        <w:rPr>
          <w:rFonts w:ascii="Lucida Sans" w:hAnsi="Lucida Sans" w:cs="Times New Roman"/>
          <w:noProof/>
          <w:sz w:val="18"/>
          <w:szCs w:val="18"/>
        </w:rPr>
        <w:t>[14, 15]</w:t>
      </w:r>
      <w:r w:rsidR="009154CE">
        <w:rPr>
          <w:rFonts w:ascii="Lucida Sans" w:hAnsi="Lucida Sans" w:cs="Times New Roman"/>
          <w:sz w:val="18"/>
          <w:szCs w:val="18"/>
        </w:rPr>
        <w:fldChar w:fldCharType="end"/>
      </w:r>
      <w:r>
        <w:rPr>
          <w:rFonts w:ascii="Lucida Sans" w:hAnsi="Lucida Sans" w:cs="Times New Roman"/>
          <w:sz w:val="18"/>
          <w:szCs w:val="18"/>
        </w:rPr>
        <w:t xml:space="preserve">. It is also </w:t>
      </w:r>
      <w:r w:rsidRPr="00D10D4F">
        <w:rPr>
          <w:rFonts w:ascii="Lucida Sans" w:hAnsi="Lucida Sans" w:cs="Times New Roman"/>
          <w:sz w:val="18"/>
          <w:szCs w:val="18"/>
        </w:rPr>
        <w:t xml:space="preserve">efficacious in panic disorder, social phobia, </w:t>
      </w:r>
      <w:r w:rsidR="00B34BF1">
        <w:rPr>
          <w:rFonts w:ascii="Lucida Sans" w:hAnsi="Lucida Sans" w:cs="Times New Roman"/>
          <w:sz w:val="18"/>
          <w:szCs w:val="18"/>
        </w:rPr>
        <w:t xml:space="preserve">and </w:t>
      </w:r>
      <w:r w:rsidRPr="00D10D4F">
        <w:rPr>
          <w:rFonts w:ascii="Lucida Sans" w:hAnsi="Lucida Sans" w:cs="Times New Roman"/>
          <w:sz w:val="18"/>
          <w:szCs w:val="18"/>
        </w:rPr>
        <w:t>PTSD</w:t>
      </w:r>
      <w:r w:rsidR="004A2227">
        <w:rPr>
          <w:rFonts w:ascii="Lucida Sans" w:hAnsi="Lucida Sans" w:cs="Times New Roman"/>
          <w:sz w:val="18"/>
          <w:szCs w:val="18"/>
        </w:rPr>
        <w:t xml:space="preserve"> </w:t>
      </w:r>
      <w:r w:rsidR="004A2227">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&lt;EndNote&gt;&lt;Cite&gt;&lt;Author&gt;Baldwin&lt;/Author&gt;&lt;Year&gt;2014&lt;/Year&gt;&lt;RecNum&gt;45&lt;/RecNum&gt;&lt;DisplayText&gt;[16]&lt;/DisplayText&gt;&lt;record&gt;&lt;rec-number&gt;45&lt;/rec-number&gt;&lt;foreign-keys&gt;&lt;key app="EN" db-id="2xwpd9xwpest5ue9rwa5etrr9fzzxded9vfx" timestamp="0"&gt;45&lt;/key&gt;&lt;/foreign-keys&gt;&lt;ref-type name="Journal Article"&gt;17&lt;/ref-type&gt;&lt;contributors&gt;&lt;authors&gt;&lt;author&gt;Baldwin, David S.,&lt;/author&gt;&lt;author&gt;Anderson, Ian M.,&lt;/author&gt;&lt;author&gt;Nutt, David J.,&lt;/author&gt;&lt;author&gt;Allgulander, Christer,&lt;/author&gt;&lt;author&gt;Bandelow, Borwin,&lt;/author&gt;&lt;author&gt;den Boer, Johan A.,&lt;/author&gt;&lt;author&gt;Christmas, David M., &lt;/author&gt;&lt;author&gt;Davies, Simon, &lt;/author&gt;&lt;author&gt;Fineberg, Naomi,&lt;/author&gt;&lt;author&gt;Lidbetter, Nicky,&lt;/author&gt;&lt;author&gt;Malizia, Andrea, &lt;/author&gt;&lt;author&gt;McCrone, Pau,l&lt;/author&gt;&lt;author&gt;Nabarro, Daniel, &lt;/author&gt;&lt;author&gt;O’Neill, Catherine,&lt;/author&gt;&lt;author&gt;Scott, Jan,&lt;/author&gt;&lt;author&gt; van der Wee, Nic,&lt;/author&gt;&lt;author&gt;Wittchen, Hans-Ulrich,&lt;/author&gt;&lt;/authors&gt;&lt;/contributors&gt;&lt;titles&gt;&lt;title&gt;Evidence-based pharmacological treatment of anxiety disorders, post-traumatic stress disorder and obsessive-compulsive disorder: A revision of the 2005 guidelines from the British Association for Psychopharmacology&lt;/title&gt;&lt;secondary-title&gt;Journal of Psychopharmacology&lt;/secondary-title&gt;&lt;/titles&gt;&lt;periodical&gt;&lt;full-title&gt;Journal of Psychopharmacology&lt;/full-title&gt;&lt;/periodical&gt;&lt;pages&gt;403-439&lt;/pages&gt;&lt;volume&gt;28&lt;/volume&gt;&lt;number&gt;5&lt;/number&gt;&lt;keywords&gt;&lt;keyword&gt;Anticonvulsants,antidepressants,antipsychotics,anxiety disorders,anxiolytics,benzodiazepines,cognitive behaviour therapy,evidence-based guidelines,generalised anxiety disorder,obsessive-compulsive disorder,panic disorder,post-traumatic stress disorder,p&lt;/keyword&gt;&lt;/keywords&gt;&lt;dates&gt;&lt;year&gt;2014&lt;/year&gt;&lt;/dates&gt;&lt;accession-num&gt;24713617&lt;/accession-num&gt;&lt;urls&gt;&lt;related-urls&gt;&lt;url&gt;http://journals.sagepub.com/doi/abs/10.1177/0269881114525674&lt;/url&gt;&lt;/related-urls&gt;&lt;/urls&gt;&lt;electronic-resource-num&gt;10.1177/0269881114525674&lt;/electronic-resource-num&gt;&lt;/record&gt;&lt;/Cite&gt;&lt;/EndNote&gt;</w:instrText>
      </w:r>
      <w:r w:rsidR="004A2227">
        <w:rPr>
          <w:rFonts w:ascii="Lucida Sans" w:hAnsi="Lucida Sans" w:cs="Times New Roman"/>
          <w:sz w:val="18"/>
          <w:szCs w:val="18"/>
        </w:rPr>
        <w:fldChar w:fldCharType="separate"/>
      </w:r>
      <w:r w:rsidR="00271279">
        <w:rPr>
          <w:rFonts w:ascii="Lucida Sans" w:hAnsi="Lucida Sans" w:cs="Times New Roman"/>
          <w:noProof/>
          <w:sz w:val="18"/>
          <w:szCs w:val="18"/>
        </w:rPr>
        <w:t>[16]</w:t>
      </w:r>
      <w:r w:rsidR="004A2227">
        <w:rPr>
          <w:rFonts w:ascii="Lucida Sans" w:hAnsi="Lucida Sans" w:cs="Times New Roman"/>
          <w:sz w:val="18"/>
          <w:szCs w:val="18"/>
        </w:rPr>
        <w:fldChar w:fldCharType="end"/>
      </w:r>
      <w:r>
        <w:rPr>
          <w:rFonts w:ascii="Lucida Sans" w:hAnsi="Lucida Sans" w:cs="Times New Roman"/>
          <w:sz w:val="18"/>
          <w:szCs w:val="18"/>
        </w:rPr>
        <w:t>E</w:t>
      </w:r>
      <w:r w:rsidRPr="00D10D4F">
        <w:rPr>
          <w:rFonts w:ascii="Lucida Sans" w:hAnsi="Lucida Sans" w:cs="Times New Roman"/>
          <w:sz w:val="18"/>
          <w:szCs w:val="18"/>
        </w:rPr>
        <w:t xml:space="preserve">arly recognition of </w:t>
      </w:r>
      <w:r>
        <w:rPr>
          <w:rFonts w:ascii="Lucida Sans" w:hAnsi="Lucida Sans" w:cs="Times New Roman"/>
          <w:sz w:val="18"/>
          <w:szCs w:val="18"/>
        </w:rPr>
        <w:t xml:space="preserve">a </w:t>
      </w:r>
      <w:r w:rsidRPr="00D10D4F">
        <w:rPr>
          <w:rFonts w:ascii="Lucida Sans" w:hAnsi="Lucida Sans" w:cs="Times New Roman"/>
          <w:sz w:val="18"/>
          <w:szCs w:val="18"/>
        </w:rPr>
        <w:t xml:space="preserve">high incidence of dizziness and hypotension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&lt;EndNote&gt;&lt;Cite&gt;&lt;Author&gt;Davies&lt;/Author&gt;&lt;Year&gt;1960&lt;/Year&gt;&lt;RecNum&gt;400&lt;/RecNum&gt;&lt;DisplayText&gt;[17]&lt;/DisplayText&gt;&lt;record&gt;&lt;rec-number&gt;400&lt;/rec-number&gt;&lt;foreign-keys&gt;&lt;key app="EN" db-id="2xwpd9xwpest5ue9rwa5etrr9fzzxded9vfx" timestamp="0"&gt;400&lt;/key&gt;&lt;/foreign-keys&gt;&lt;ref-type name="Journal Article"&gt;17&lt;/ref-type&gt;&lt;contributors&gt;&lt;authors&gt;&lt;author&gt;Davies, Glyn&lt;/author&gt;&lt;/authors&gt;&lt;/contributors&gt;&lt;titles&gt;&lt;title&gt;Side-effects of phenelzine&lt;/title&gt;&lt;secondary-title&gt;British Medical Journal&lt;/secondary-title&gt;&lt;/titles&gt;&lt;pages&gt;1019&lt;/pages&gt;&lt;volume&gt;2&lt;/volume&gt;&lt;number&gt;5204&lt;/number&gt;&lt;dates&gt;&lt;year&gt;1960&lt;/year&gt;&lt;/dates&gt;&lt;urls&gt;&lt;/urls&gt;&lt;/record&gt;&lt;/Cite&gt;&lt;/EndNote&gt;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[17]</w:t>
      </w:r>
      <w:r w:rsidR="006B7504">
        <w:rPr>
          <w:rFonts w:ascii="Lucida Sans" w:hAnsi="Lucida Sans" w:cs="Times New Roman"/>
          <w:sz w:val="18"/>
          <w:szCs w:val="18"/>
        </w:rPr>
        <w:fldChar w:fldCharType="end"/>
      </w:r>
      <w:r>
        <w:rPr>
          <w:rFonts w:ascii="Lucida Sans" w:hAnsi="Lucida Sans" w:cs="Times New Roman"/>
          <w:sz w:val="18"/>
          <w:szCs w:val="18"/>
        </w:rPr>
        <w:t xml:space="preserve"> was followed swiftly by awareness of the risk of </w:t>
      </w:r>
      <w:r w:rsidRPr="00D10D4F">
        <w:rPr>
          <w:rFonts w:ascii="Lucida Sans" w:hAnsi="Lucida Sans" w:cs="Times New Roman"/>
          <w:sz w:val="18"/>
          <w:szCs w:val="18"/>
        </w:rPr>
        <w:t>severe hypertensive reaction</w:t>
      </w:r>
      <w:r>
        <w:rPr>
          <w:rFonts w:ascii="Lucida Sans" w:hAnsi="Lucida Sans" w:cs="Times New Roman"/>
          <w:sz w:val="18"/>
          <w:szCs w:val="18"/>
        </w:rPr>
        <w:t xml:space="preserve">s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&lt;EndNote&gt;&lt;Cite&gt;&lt;Author&gt;MacLeod&lt;/Author&gt;&lt;Year&gt;1965&lt;/Year&gt;&lt;RecNum&gt;401&lt;/RecNum&gt;&lt;DisplayText&gt;[18]&lt;/DisplayText&gt;&lt;record&gt;&lt;rec-number&gt;401&lt;/rec-number&gt;&lt;foreign-keys&gt;&lt;key app="EN" db-id="2xwpd9xwpest5ue9rwa5etrr9fzzxded9vfx" timestamp="0"&gt;401&lt;/key&gt;&lt;/foreign-keys&gt;&lt;ref-type name="Journal Article"&gt;17&lt;/ref-type&gt;&lt;contributors&gt;&lt;authors&gt;&lt;author&gt;MacLeod, Ian&lt;/author&gt;&lt;/authors&gt;&lt;/contributors&gt;&lt;titles&gt;&lt;title&gt;Fatal reaction to phenelzine&lt;/title&gt;&lt;secondary-title&gt;British medical journal&lt;/secondary-title&gt;&lt;/titles&gt;&lt;pages&gt;1554&lt;/pages&gt;&lt;volume&gt;1&lt;/volume&gt;&lt;number&gt;5449&lt;/number&gt;&lt;dates&gt;&lt;year&gt;1965&lt;/year&gt;&lt;/dates&gt;&lt;urls&gt;&lt;/urls&gt;&lt;/record&gt;&lt;/Cite&gt;&lt;/EndNote&gt;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[18]</w:t>
      </w:r>
      <w:r w:rsidR="006B7504">
        <w:rPr>
          <w:rFonts w:ascii="Lucida Sans" w:hAnsi="Lucida Sans" w:cs="Times New Roman"/>
          <w:sz w:val="18"/>
          <w:szCs w:val="18"/>
        </w:rPr>
        <w:fldChar w:fldCharType="end"/>
      </w:r>
      <w:r>
        <w:rPr>
          <w:rFonts w:ascii="Lucida Sans" w:hAnsi="Lucida Sans" w:cs="Times New Roman"/>
          <w:sz w:val="18"/>
          <w:szCs w:val="18"/>
        </w:rPr>
        <w:t xml:space="preserve">. Its </w:t>
      </w:r>
      <w:r w:rsidRPr="00D10D4F">
        <w:rPr>
          <w:rFonts w:ascii="Lucida Sans" w:hAnsi="Lucida Sans" w:cs="Times New Roman"/>
          <w:sz w:val="18"/>
          <w:szCs w:val="18"/>
        </w:rPr>
        <w:t xml:space="preserve">overall tolerability </w:t>
      </w:r>
      <w:r>
        <w:rPr>
          <w:rFonts w:ascii="Lucida Sans" w:hAnsi="Lucida Sans" w:cs="Times New Roman"/>
          <w:sz w:val="18"/>
          <w:szCs w:val="18"/>
        </w:rPr>
        <w:t xml:space="preserve">is </w:t>
      </w:r>
      <w:r w:rsidRPr="00D10D4F">
        <w:rPr>
          <w:rFonts w:ascii="Lucida Sans" w:hAnsi="Lucida Sans" w:cs="Times New Roman"/>
          <w:sz w:val="18"/>
          <w:szCs w:val="18"/>
        </w:rPr>
        <w:t xml:space="preserve">comparable to that </w:t>
      </w:r>
      <w:r w:rsidR="00B82D17">
        <w:rPr>
          <w:rFonts w:ascii="Lucida Sans" w:hAnsi="Lucida Sans" w:cs="Times New Roman"/>
          <w:sz w:val="18"/>
          <w:szCs w:val="18"/>
        </w:rPr>
        <w:t>of</w:t>
      </w:r>
      <w:r w:rsidR="00B82D17" w:rsidRPr="00D10D4F">
        <w:rPr>
          <w:rFonts w:ascii="Lucida Sans" w:hAnsi="Lucida Sans" w:cs="Times New Roman"/>
          <w:sz w:val="18"/>
          <w:szCs w:val="18"/>
        </w:rPr>
        <w:t xml:space="preserve"> </w:t>
      </w:r>
      <w:r w:rsidRPr="00D10D4F">
        <w:rPr>
          <w:rFonts w:ascii="Lucida Sans" w:hAnsi="Lucida Sans" w:cs="Times New Roman"/>
          <w:sz w:val="18"/>
          <w:szCs w:val="18"/>
        </w:rPr>
        <w:t>tricyclic antidepressants</w:t>
      </w:r>
      <w:r w:rsidR="006B7504">
        <w:rPr>
          <w:rFonts w:ascii="Lucida Sans" w:hAnsi="Lucida Sans" w:cs="Times New Roman"/>
          <w:sz w:val="18"/>
          <w:szCs w:val="18"/>
        </w:rPr>
        <w:t xml:space="preserve">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&lt;EndNote&gt;&lt;Cite&gt;&lt;Author&gt;Thase&lt;/Author&gt;&lt;Year&gt;1995&lt;/Year&gt;&lt;RecNum&gt;487&lt;/RecNum&gt;&lt;DisplayText&gt;[14]&lt;/DisplayText&gt;&lt;record&gt;&lt;rec-number&gt;487&lt;/rec-number&gt;&lt;foreign-keys&gt;&lt;key app="EN" db-id="2xwpd9xwpest5ue9rwa5etrr9fzzxded9vfx" timestamp="1619000347"&gt;487&lt;/key&gt;&lt;/foreign-keys&gt;&lt;ref-type name="Journal Article"&gt;17&lt;/ref-type&gt;&lt;contributors&gt;&lt;authors&gt;&lt;author&gt;Thase, Michael E&lt;/author&gt;&lt;author&gt;Trivedi, Madhukar H&lt;/author&gt;&lt;author&gt;Rush, A John&lt;/author&gt;&lt;/authors&gt;&lt;/contributors&gt;&lt;titles&gt;&lt;title&gt;MAOIs in the contemporary treatment of depression&lt;/title&gt;&lt;secondary-title&gt;Neuropsychopharmacology&lt;/secondary-title&gt;&lt;/titles&gt;&lt;periodical&gt;&lt;full-title&gt;Neuropsychopharmacology&lt;/full-title&gt;&lt;/periodical&gt;&lt;pages&gt;185-219&lt;/pages&gt;&lt;volume&gt;12&lt;/volume&gt;&lt;number&gt;3&lt;/number&gt;&lt;dates&gt;&lt;year&gt;1995&lt;/year&gt;&lt;/dates&gt;&lt;isbn&gt;1740-634X&lt;/isbn&gt;&lt;urls&gt;&lt;/urls&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[14]</w:t>
      </w:r>
      <w:r w:rsidR="006B7504">
        <w:rPr>
          <w:rFonts w:ascii="Lucida Sans" w:hAnsi="Lucida Sans" w:cs="Times New Roman"/>
          <w:sz w:val="18"/>
          <w:szCs w:val="18"/>
        </w:rPr>
        <w:fldChar w:fldCharType="end"/>
      </w:r>
      <w:r>
        <w:rPr>
          <w:rFonts w:ascii="Lucida Sans" w:hAnsi="Lucida Sans" w:cs="Times New Roman"/>
          <w:sz w:val="18"/>
          <w:szCs w:val="18"/>
        </w:rPr>
        <w:t xml:space="preserve">, and its </w:t>
      </w:r>
      <w:r w:rsidRPr="00D10D4F">
        <w:rPr>
          <w:rFonts w:ascii="Lucida Sans" w:hAnsi="Lucida Sans" w:cs="Times New Roman"/>
          <w:sz w:val="18"/>
          <w:szCs w:val="18"/>
        </w:rPr>
        <w:t xml:space="preserve">longer-term tolerability in </w:t>
      </w:r>
      <w:r>
        <w:rPr>
          <w:rFonts w:ascii="Lucida Sans" w:hAnsi="Lucida Sans" w:cs="Times New Roman"/>
          <w:sz w:val="18"/>
          <w:szCs w:val="18"/>
        </w:rPr>
        <w:t xml:space="preserve">patients with </w:t>
      </w:r>
      <w:r w:rsidRPr="00D10D4F">
        <w:rPr>
          <w:rFonts w:ascii="Lucida Sans" w:hAnsi="Lucida Sans" w:cs="Times New Roman"/>
          <w:sz w:val="18"/>
          <w:szCs w:val="18"/>
        </w:rPr>
        <w:t xml:space="preserve">persistent depression </w:t>
      </w:r>
      <w:r>
        <w:rPr>
          <w:rFonts w:ascii="Lucida Sans" w:hAnsi="Lucida Sans" w:cs="Times New Roman"/>
          <w:sz w:val="18"/>
          <w:szCs w:val="18"/>
        </w:rPr>
        <w:t xml:space="preserve">is </w:t>
      </w:r>
      <w:r w:rsidRPr="00D10D4F">
        <w:rPr>
          <w:rFonts w:ascii="Lucida Sans" w:hAnsi="Lucida Sans" w:cs="Times New Roman"/>
          <w:sz w:val="18"/>
          <w:szCs w:val="18"/>
        </w:rPr>
        <w:t xml:space="preserve">comparable to </w:t>
      </w:r>
      <w:r>
        <w:rPr>
          <w:rFonts w:ascii="Lucida Sans" w:hAnsi="Lucida Sans" w:cs="Times New Roman"/>
          <w:sz w:val="18"/>
          <w:szCs w:val="18"/>
        </w:rPr>
        <w:t xml:space="preserve">that of </w:t>
      </w:r>
      <w:r w:rsidR="009C3518">
        <w:rPr>
          <w:rFonts w:ascii="Lucida Sans" w:hAnsi="Lucida Sans" w:cs="Times New Roman"/>
          <w:sz w:val="18"/>
          <w:szCs w:val="18"/>
        </w:rPr>
        <w:t>SSRIs</w:t>
      </w:r>
      <w:r w:rsidR="006B7504">
        <w:rPr>
          <w:rFonts w:ascii="Lucida Sans" w:hAnsi="Lucida Sans" w:cs="Times New Roman"/>
          <w:sz w:val="18"/>
          <w:szCs w:val="18"/>
        </w:rPr>
        <w:t xml:space="preserve">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&lt;EndNote&gt;&lt;Cite&gt;&lt;Author&gt;Meister&lt;/Author&gt;&lt;Year&gt;2016&lt;/Year&gt;&lt;RecNum&gt;488&lt;/RecNum&gt;&lt;DisplayText&gt;[15]&lt;/DisplayText&gt;&lt;record&gt;&lt;rec-number&gt;488&lt;/rec-number&gt;&lt;foreign-keys&gt;&lt;key app="EN" db-id="2xwpd9xwpest5ue9rwa5etrr9fzzxded9vfx" timestamp="1619000635"&gt;488&lt;/key&gt;&lt;/foreign-keys&gt;&lt;ref-type name="Journal Article"&gt;17&lt;/ref-type&gt;&lt;contributors&gt;&lt;authors&gt;&lt;author&gt;Meister, Ramona&lt;/author&gt;&lt;author&gt;von Wolff, Alessa&lt;/author&gt;&lt;author&gt;Mohr, Hannes&lt;/author&gt;&lt;author&gt;Härter, Martin&lt;/author&gt;&lt;author&gt;Nestoriuc, Yvonne&lt;/author&gt;&lt;author&gt;Hölzel, Lars&lt;/author&gt;&lt;author&gt;Kriston, Levente&lt;/author&gt;&lt;/authors&gt;&lt;/contributors&gt;&lt;titles&gt;&lt;title&gt;Comparative safety of pharmacologic treatments for persistent depressive disorder: A systematic review and network meta-analysis&lt;/title&gt;&lt;secondary-title&gt;PloS one&lt;/secondary-title&gt;&lt;/titles&gt;&lt;periodical&gt;&lt;full-title&gt;PloS one&lt;/full-title&gt;&lt;/periodical&gt;&lt;pages&gt;e0153380&lt;/pages&gt;&lt;volume&gt;11&lt;/volume&gt;&lt;number&gt;5&lt;/number&gt;&lt;dates&gt;&lt;year&gt;2016&lt;/year&gt;&lt;/dates&gt;&lt;isbn&gt;1932-6203&lt;/isbn&gt;&lt;urls&gt;&lt;/urls&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[15]</w:t>
      </w:r>
      <w:r w:rsidR="006B7504">
        <w:rPr>
          <w:rFonts w:ascii="Lucida Sans" w:hAnsi="Lucida Sans" w:cs="Times New Roman"/>
          <w:sz w:val="18"/>
          <w:szCs w:val="18"/>
        </w:rPr>
        <w:fldChar w:fldCharType="end"/>
      </w:r>
      <w:r>
        <w:rPr>
          <w:rFonts w:ascii="Lucida Sans" w:hAnsi="Lucida Sans" w:cs="Times New Roman"/>
          <w:sz w:val="18"/>
          <w:szCs w:val="18"/>
        </w:rPr>
        <w:t xml:space="preserve">. It is occasionally associated with </w:t>
      </w:r>
      <w:r w:rsidRPr="00D10D4F">
        <w:rPr>
          <w:rFonts w:ascii="Lucida Sans" w:hAnsi="Lucida Sans" w:cs="Times New Roman"/>
          <w:sz w:val="18"/>
          <w:szCs w:val="18"/>
        </w:rPr>
        <w:t xml:space="preserve">hepatoxicity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&lt;EndNote&gt;&lt;Cite&gt;&lt;Author&gt;Rabkin&lt;/Author&gt;&lt;Year&gt;1985&lt;/Year&gt;&lt;RecNum&gt;404&lt;/RecNum&gt;&lt;DisplayText&gt;[19]&lt;/DisplayText&gt;&lt;record&gt;&lt;rec-number&gt;404&lt;/rec-number&gt;&lt;foreign-keys&gt;&lt;key app="EN" db-id="2xwpd9xwpest5ue9rwa5etrr9fzzxded9vfx" timestamp="0"&gt;404&lt;/key&gt;&lt;/foreign-keys&gt;&lt;ref-type name="Journal Article"&gt;17&lt;/ref-type&gt;&lt;contributors&gt;&lt;authors&gt;&lt;author&gt;Rabkin, Judith G&lt;/author&gt;&lt;author&gt;Quitkin, Frederic M&lt;/author&gt;&lt;author&gt;McGrath, Patrick&lt;/author&gt;&lt;author&gt;Harrison, Wilma&lt;/author&gt;&lt;author&gt;Tricamo, Elaine&lt;/author&gt;&lt;/authors&gt;&lt;/contributors&gt;&lt;titles&gt;&lt;title&gt;Adverse reactions to monoamine oxidase inhibitors. Part II. Treatment correlates and clinical management&lt;/title&gt;&lt;secondary-title&gt;Journal of clinical psychopharmacology&lt;/secondary-title&gt;&lt;/titles&gt;&lt;periodical&gt;&lt;full-title&gt;Journal of Clinical Psychopharmacology&lt;/full-title&gt;&lt;/periodical&gt;&lt;pages&gt;2-9&lt;/pages&gt;&lt;volume&gt;5&lt;/volume&gt;&lt;number&gt;1&lt;/number&gt;&lt;dates&gt;&lt;year&gt;1985&lt;/year&gt;&lt;/dates&gt;&lt;isbn&gt;0271-0749&lt;/isbn&gt;&lt;urls&gt;&lt;/urls&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[19]</w:t>
      </w:r>
      <w:r w:rsidR="006B7504">
        <w:rPr>
          <w:rFonts w:ascii="Lucida Sans" w:hAnsi="Lucida Sans" w:cs="Times New Roman"/>
          <w:sz w:val="18"/>
          <w:szCs w:val="18"/>
        </w:rPr>
        <w:fldChar w:fldCharType="end"/>
      </w:r>
      <w:r w:rsidRPr="00D10D4F">
        <w:rPr>
          <w:rFonts w:ascii="Lucida Sans" w:hAnsi="Lucida Sans" w:cs="Times New Roman"/>
          <w:sz w:val="18"/>
          <w:szCs w:val="18"/>
        </w:rPr>
        <w:t xml:space="preserve"> and vitamin B6 (pyridoxine) deficiency</w:t>
      </w:r>
      <w:r w:rsidR="006B7504">
        <w:rPr>
          <w:rFonts w:ascii="Lucida Sans" w:hAnsi="Lucida Sans" w:cs="Times New Roman"/>
          <w:sz w:val="18"/>
          <w:szCs w:val="18"/>
        </w:rPr>
        <w:t xml:space="preserve">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&lt;EndNote&gt;&lt;Cite&gt;&lt;Author&gt;Stewart&lt;/Author&gt;&lt;Year&gt;1984&lt;/Year&gt;&lt;RecNum&gt;405&lt;/RecNum&gt;&lt;DisplayText&gt;[20]&lt;/DisplayText&gt;&lt;record&gt;&lt;rec-number&gt;405&lt;/rec-number&gt;&lt;foreign-keys&gt;&lt;key app="EN" db-id="2xwpd9xwpest5ue9rwa5etrr9fzzxded9vfx" timestamp="0"&gt;405&lt;/key&gt;&lt;/foreign-keys&gt;&lt;ref-type name="Journal Article"&gt;17&lt;/ref-type&gt;&lt;contributors&gt;&lt;authors&gt;&lt;author&gt;Stewart, JONATHAN W&lt;/author&gt;&lt;author&gt;Harrison, WILMA&lt;/author&gt;&lt;author&gt;Quitkin, FREDERIC&lt;/author&gt;&lt;author&gt;Liebowitz, MICHAEL R&lt;/author&gt;&lt;/authors&gt;&lt;/contributors&gt;&lt;titles&gt;&lt;title&gt;Phenelzine-induced pyridoxine deficiency&lt;/title&gt;&lt;secondary-title&gt;Journal of clinical psychopharmacology&lt;/secondary-title&gt;&lt;/titles&gt;&lt;periodical&gt;&lt;full-title&gt;Journal of Clinical Psychopharmacology&lt;/full-title&gt;&lt;/periodical&gt;&lt;pages&gt;225-226&lt;/pages&gt;&lt;volume&gt;4&lt;/volume&gt;&lt;number&gt;4&lt;/number&gt;&lt;dates&gt;&lt;year&gt;1984&lt;/year&gt;&lt;/dates&gt;&lt;isbn&gt;0271-0749&lt;/isbn&gt;&lt;urls&gt;&lt;/urls&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[20]</w:t>
      </w:r>
      <w:r w:rsidR="006B7504">
        <w:rPr>
          <w:rFonts w:ascii="Lucida Sans" w:hAnsi="Lucida Sans" w:cs="Times New Roman"/>
          <w:sz w:val="18"/>
          <w:szCs w:val="18"/>
        </w:rPr>
        <w:fldChar w:fldCharType="end"/>
      </w:r>
      <w:r>
        <w:rPr>
          <w:rFonts w:ascii="Lucida Sans" w:hAnsi="Lucida Sans" w:cs="Times New Roman"/>
          <w:sz w:val="18"/>
          <w:szCs w:val="18"/>
        </w:rPr>
        <w:t xml:space="preserve">. </w:t>
      </w:r>
    </w:p>
    <w:p w14:paraId="0D585F9A" w14:textId="77777777" w:rsidR="00F64682" w:rsidRDefault="00F64682" w:rsidP="00F64682">
      <w:pPr>
        <w:spacing w:line="360" w:lineRule="auto"/>
        <w:rPr>
          <w:rFonts w:ascii="Lucida Sans" w:hAnsi="Lucida Sans" w:cs="Times New Roman"/>
          <w:sz w:val="18"/>
          <w:szCs w:val="18"/>
        </w:rPr>
      </w:pPr>
    </w:p>
    <w:p w14:paraId="125850A5" w14:textId="063F42EB" w:rsidR="00F64682" w:rsidRDefault="00F64682" w:rsidP="00F64682">
      <w:pPr>
        <w:spacing w:line="360" w:lineRule="auto"/>
        <w:rPr>
          <w:rFonts w:ascii="Lucida Sans" w:hAnsi="Lucida Sans" w:cs="Times New Roman"/>
          <w:sz w:val="18"/>
          <w:szCs w:val="18"/>
        </w:rPr>
      </w:pPr>
      <w:r>
        <w:rPr>
          <w:rFonts w:ascii="Lucida Sans" w:hAnsi="Lucida Sans" w:cs="Times New Roman"/>
          <w:sz w:val="18"/>
          <w:szCs w:val="18"/>
        </w:rPr>
        <w:t xml:space="preserve">Tranylcypromine is a </w:t>
      </w:r>
      <w:r w:rsidRPr="00EA08ED">
        <w:rPr>
          <w:rFonts w:ascii="Lucida Sans" w:hAnsi="Lucida Sans" w:cs="Times New Roman"/>
          <w:sz w:val="18"/>
          <w:szCs w:val="18"/>
        </w:rPr>
        <w:t>non-selective and irreversible inhibitor of monoamine oxidase</w:t>
      </w:r>
      <w:r>
        <w:rPr>
          <w:rFonts w:ascii="Lucida Sans" w:hAnsi="Lucida Sans" w:cs="Times New Roman"/>
          <w:sz w:val="18"/>
          <w:szCs w:val="18"/>
        </w:rPr>
        <w:t xml:space="preserve">, and </w:t>
      </w:r>
      <w:r w:rsidRPr="00EA08ED">
        <w:rPr>
          <w:rFonts w:ascii="Lucida Sans" w:hAnsi="Lucida Sans" w:cs="Times New Roman"/>
          <w:sz w:val="18"/>
          <w:szCs w:val="18"/>
        </w:rPr>
        <w:t xml:space="preserve">‘substituted amphetamine’ (but </w:t>
      </w:r>
      <w:r>
        <w:rPr>
          <w:rFonts w:ascii="Lucida Sans" w:hAnsi="Lucida Sans" w:cs="Times New Roman"/>
          <w:sz w:val="18"/>
          <w:szCs w:val="18"/>
        </w:rPr>
        <w:t xml:space="preserve">with </w:t>
      </w:r>
      <w:r w:rsidRPr="00EA08ED">
        <w:rPr>
          <w:rFonts w:ascii="Lucida Sans" w:hAnsi="Lucida Sans" w:cs="Times New Roman"/>
          <w:sz w:val="18"/>
          <w:szCs w:val="18"/>
        </w:rPr>
        <w:t xml:space="preserve">low potency as </w:t>
      </w:r>
      <w:r>
        <w:rPr>
          <w:rFonts w:ascii="Lucida Sans" w:hAnsi="Lucida Sans" w:cs="Times New Roman"/>
          <w:sz w:val="18"/>
          <w:szCs w:val="18"/>
        </w:rPr>
        <w:t xml:space="preserve">a </w:t>
      </w:r>
      <w:r w:rsidRPr="00EA08ED">
        <w:rPr>
          <w:rFonts w:ascii="Lucida Sans" w:hAnsi="Lucida Sans" w:cs="Times New Roman"/>
          <w:sz w:val="18"/>
          <w:szCs w:val="18"/>
        </w:rPr>
        <w:t>dopamine releasing agent)</w:t>
      </w:r>
      <w:r>
        <w:rPr>
          <w:rFonts w:ascii="Lucida Sans" w:hAnsi="Lucida Sans" w:cs="Times New Roman"/>
          <w:sz w:val="18"/>
          <w:szCs w:val="18"/>
        </w:rPr>
        <w:t xml:space="preserve">, and possesses </w:t>
      </w:r>
      <w:r w:rsidRPr="00EA08ED">
        <w:rPr>
          <w:rFonts w:ascii="Lucida Sans" w:hAnsi="Lucida Sans" w:cs="Times New Roman"/>
          <w:sz w:val="18"/>
          <w:szCs w:val="18"/>
        </w:rPr>
        <w:t>noradrenaline reuptake inhibitory properties at higher doses (40/60 mg/day)</w:t>
      </w:r>
      <w:r w:rsidR="006B7504">
        <w:rPr>
          <w:rFonts w:ascii="Lucida Sans" w:hAnsi="Lucida Sans" w:cs="Times New Roman"/>
          <w:sz w:val="18"/>
          <w:szCs w:val="18"/>
        </w:rPr>
        <w:t xml:space="preserve">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&lt;EndNote&gt;&lt;Cite&gt;&lt;Author&gt;Ulrich&lt;/Author&gt;&lt;Year&gt;2017&lt;/Year&gt;&lt;RecNum&gt;406&lt;/RecNum&gt;&lt;DisplayText&gt;[21]&lt;/DisplayText&gt;&lt;record&gt;&lt;rec-number&gt;406&lt;/rec-number&gt;&lt;foreign-keys&gt;&lt;key app="EN" db-id="2xwpd9xwpest5ue9rwa5etrr9fzzxded9vfx" timestamp="0"&gt;406&lt;/key&gt;&lt;/foreign-keys&gt;&lt;ref-type name="Journal Article"&gt;17&lt;/ref-type&gt;&lt;contributors&gt;&lt;authors&gt;&lt;author&gt;Ulrich, Sven&lt;/author&gt;&lt;author&gt;Ricken, Roland&lt;/author&gt;&lt;author&gt;Adli, Mazda&lt;/author&gt;&lt;/authors&gt;&lt;/contributors&gt;&lt;titles&gt;&lt;title&gt;Tranylcypromine in mind (Part I): Review of pharmacology&lt;/title&gt;&lt;secondary-title&gt;European Neuropsychopharmacology&lt;/secondary-title&gt;&lt;/titles&gt;&lt;periodical&gt;&lt;full-title&gt;European Neuropsychopharmacology&lt;/full-title&gt;&lt;/periodical&gt;&lt;pages&gt;697-713&lt;/pages&gt;&lt;volume&gt;27&lt;/volume&gt;&lt;number&gt;8&lt;/number&gt;&lt;dates&gt;&lt;year&gt;2017&lt;/year&gt;&lt;/dates&gt;&lt;isbn&gt;0924-977X&lt;/isbn&gt;&lt;urls&gt;&lt;/urls&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[21]</w:t>
      </w:r>
      <w:r w:rsidR="006B7504">
        <w:rPr>
          <w:rFonts w:ascii="Lucida Sans" w:hAnsi="Lucida Sans" w:cs="Times New Roman"/>
          <w:sz w:val="18"/>
          <w:szCs w:val="18"/>
        </w:rPr>
        <w:fldChar w:fldCharType="end"/>
      </w:r>
      <w:r>
        <w:rPr>
          <w:rFonts w:ascii="Lucida Sans" w:hAnsi="Lucida Sans" w:cs="Times New Roman"/>
          <w:sz w:val="18"/>
          <w:szCs w:val="18"/>
        </w:rPr>
        <w:t xml:space="preserve">. It has broadly </w:t>
      </w:r>
      <w:r w:rsidRPr="00EA08ED">
        <w:rPr>
          <w:rFonts w:ascii="Lucida Sans" w:hAnsi="Lucida Sans" w:cs="Times New Roman"/>
          <w:sz w:val="18"/>
          <w:szCs w:val="18"/>
        </w:rPr>
        <w:t>comparable efficacy to other</w:t>
      </w:r>
      <w:r>
        <w:rPr>
          <w:rFonts w:ascii="Lucida Sans" w:hAnsi="Lucida Sans" w:cs="Times New Roman"/>
          <w:sz w:val="18"/>
          <w:szCs w:val="18"/>
        </w:rPr>
        <w:t xml:space="preserve"> </w:t>
      </w:r>
      <w:r w:rsidRPr="00EA08ED">
        <w:rPr>
          <w:rFonts w:ascii="Lucida Sans" w:hAnsi="Lucida Sans" w:cs="Times New Roman"/>
          <w:sz w:val="18"/>
          <w:szCs w:val="18"/>
        </w:rPr>
        <w:t xml:space="preserve">antidepressants in </w:t>
      </w:r>
      <w:r>
        <w:rPr>
          <w:rFonts w:ascii="Lucida Sans" w:hAnsi="Lucida Sans" w:cs="Times New Roman"/>
          <w:sz w:val="18"/>
          <w:szCs w:val="18"/>
        </w:rPr>
        <w:t xml:space="preserve">patients with </w:t>
      </w:r>
      <w:r w:rsidRPr="00EA08ED">
        <w:rPr>
          <w:rFonts w:ascii="Lucida Sans" w:hAnsi="Lucida Sans" w:cs="Times New Roman"/>
          <w:sz w:val="18"/>
          <w:szCs w:val="18"/>
        </w:rPr>
        <w:t>(non-treatment-resistant) depression</w:t>
      </w:r>
      <w:r>
        <w:rPr>
          <w:rFonts w:ascii="Lucida Sans" w:hAnsi="Lucida Sans" w:cs="Times New Roman"/>
          <w:sz w:val="18"/>
          <w:szCs w:val="18"/>
        </w:rPr>
        <w:t xml:space="preserve"> and has </w:t>
      </w:r>
      <w:r w:rsidRPr="00EA08ED">
        <w:rPr>
          <w:rFonts w:ascii="Lucida Sans" w:hAnsi="Lucida Sans" w:cs="Times New Roman"/>
          <w:sz w:val="18"/>
          <w:szCs w:val="18"/>
        </w:rPr>
        <w:t xml:space="preserve">efficacy in treatment-resistant depression (following </w:t>
      </w:r>
      <w:r w:rsidR="00335CAA">
        <w:rPr>
          <w:rFonts w:ascii="Lucida Sans" w:hAnsi="Lucida Sans" w:cs="Times New Roman"/>
          <w:sz w:val="18"/>
          <w:szCs w:val="18"/>
        </w:rPr>
        <w:t xml:space="preserve">tricyclic antidepressant </w:t>
      </w:r>
      <w:r w:rsidRPr="00EA08ED">
        <w:rPr>
          <w:rFonts w:ascii="Lucida Sans" w:hAnsi="Lucida Sans" w:cs="Times New Roman"/>
          <w:sz w:val="18"/>
          <w:szCs w:val="18"/>
        </w:rPr>
        <w:t>and SSRI</w:t>
      </w:r>
      <w:r>
        <w:rPr>
          <w:rFonts w:ascii="Lucida Sans" w:hAnsi="Lucida Sans" w:cs="Times New Roman"/>
          <w:sz w:val="18"/>
          <w:szCs w:val="18"/>
        </w:rPr>
        <w:t xml:space="preserve"> treatment</w:t>
      </w:r>
      <w:r w:rsidRPr="00EA08ED">
        <w:rPr>
          <w:rFonts w:ascii="Lucida Sans" w:hAnsi="Lucida Sans" w:cs="Times New Roman"/>
          <w:sz w:val="18"/>
          <w:szCs w:val="18"/>
        </w:rPr>
        <w:t>)</w:t>
      </w:r>
      <w:r>
        <w:rPr>
          <w:rFonts w:ascii="Lucida Sans" w:hAnsi="Lucida Sans" w:cs="Times New Roman"/>
          <w:sz w:val="18"/>
          <w:szCs w:val="18"/>
        </w:rPr>
        <w:t xml:space="preserve"> with a</w:t>
      </w:r>
      <w:r w:rsidRPr="00EA08ED">
        <w:rPr>
          <w:rFonts w:ascii="Lucida Sans" w:hAnsi="Lucida Sans" w:cs="Times New Roman"/>
          <w:sz w:val="18"/>
          <w:szCs w:val="18"/>
        </w:rPr>
        <w:t xml:space="preserve"> response rate </w:t>
      </w:r>
      <w:r>
        <w:rPr>
          <w:rFonts w:ascii="Lucida Sans" w:hAnsi="Lucida Sans" w:cs="Times New Roman"/>
          <w:sz w:val="18"/>
          <w:szCs w:val="18"/>
        </w:rPr>
        <w:t xml:space="preserve">of </w:t>
      </w:r>
      <w:r w:rsidRPr="00EA08ED">
        <w:rPr>
          <w:rFonts w:ascii="Lucida Sans" w:hAnsi="Lucida Sans" w:cs="Times New Roman"/>
          <w:sz w:val="18"/>
          <w:szCs w:val="18"/>
        </w:rPr>
        <w:t>58.1%</w:t>
      </w:r>
      <w:r w:rsidR="006B7504">
        <w:rPr>
          <w:rFonts w:ascii="Lucida Sans" w:hAnsi="Lucida Sans" w:cs="Times New Roman"/>
          <w:sz w:val="18"/>
          <w:szCs w:val="18"/>
        </w:rPr>
        <w:t xml:space="preserve">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&lt;EndNote&gt;&lt;Cite&gt;&lt;Author&gt;Ricken&lt;/Author&gt;&lt;Year&gt;2017&lt;/Year&gt;&lt;RecNum&gt;407&lt;/RecNum&gt;&lt;DisplayText&gt;[22]&lt;/DisplayText&gt;&lt;record&gt;&lt;rec-number&gt;407&lt;/rec-number&gt;&lt;foreign-keys&gt;&lt;key app="EN" db-id="2xwpd9xwpest5ue9rwa5etrr9fzzxded9vfx" timestamp="0"&gt;407&lt;/key&gt;&lt;/foreign-keys&gt;&lt;ref-type name="Journal Article"&gt;17&lt;/ref-type&gt;&lt;contributors&gt;&lt;authors&gt;&lt;author&gt;Ricken, Roland&lt;/author&gt;&lt;author&gt;Ulrich, Sven&lt;/author&gt;&lt;author&gt;Schlattmann, Peter&lt;/author&gt;&lt;author&gt;Adli, Mazda&lt;/author&gt;&lt;/authors&gt;&lt;/contributors&gt;&lt;titles&gt;&lt;title&gt;Tranylcypromine in mind (Part II): Review of clinical pharmacology and meta-analysis of controlled studies in depression&lt;/title&gt;&lt;secondary-title&gt;European Neuropsychopharmacology&lt;/secondary-title&gt;&lt;/titles&gt;&lt;periodical&gt;&lt;full-title&gt;European Neuropsychopharmacology&lt;/full-title&gt;&lt;/periodical&gt;&lt;pages&gt;714-731&lt;/pages&gt;&lt;volume&gt;27&lt;/volume&gt;&lt;number&gt;8&lt;/number&gt;&lt;keywords&gt;&lt;keyword&gt;Tranylcypromine&lt;/keyword&gt;&lt;keyword&gt;Monoamine oxidase inhibitors&lt;/keyword&gt;&lt;keyword&gt;Monoamine oxidase&lt;/keyword&gt;&lt;keyword&gt;Depression&lt;/keyword&gt;&lt;keyword&gt;Depressive disorder&lt;/keyword&gt;&lt;keyword&gt;Treatment-resistant&lt;/keyword&gt;&lt;/keywords&gt;&lt;dates&gt;&lt;year&gt;2017&lt;/year&gt;&lt;pub-dates&gt;&lt;date&gt;2017/08/01/&lt;/date&gt;&lt;/pub-dates&gt;&lt;/dates&gt;&lt;isbn&gt;0924-977X&lt;/isbn&gt;&lt;urls&gt;&lt;related-urls&gt;&lt;url&gt;http://www.sciencedirect.com/science/article/pii/S0924977X17302304&lt;/url&gt;&lt;/related-urls&gt;&lt;/urls&gt;&lt;electronic-resource-num&gt;https://doi.org/10.1016/j.euroneuro.2017.04.003&lt;/electronic-resource-num&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[22]</w:t>
      </w:r>
      <w:r w:rsidR="006B7504">
        <w:rPr>
          <w:rFonts w:ascii="Lucida Sans" w:hAnsi="Lucida Sans" w:cs="Times New Roman"/>
          <w:sz w:val="18"/>
          <w:szCs w:val="18"/>
        </w:rPr>
        <w:fldChar w:fldCharType="end"/>
      </w:r>
      <w:r w:rsidR="006B7504">
        <w:rPr>
          <w:rFonts w:ascii="Lucida Sans" w:hAnsi="Lucida Sans" w:cs="Times New Roman"/>
          <w:sz w:val="18"/>
          <w:szCs w:val="18"/>
        </w:rPr>
        <w:t xml:space="preserve"> </w:t>
      </w:r>
      <w:r>
        <w:rPr>
          <w:rFonts w:ascii="Lucida Sans" w:hAnsi="Lucida Sans" w:cs="Times New Roman"/>
          <w:sz w:val="18"/>
          <w:szCs w:val="18"/>
        </w:rPr>
        <w:t xml:space="preserve">– although a </w:t>
      </w:r>
      <w:r w:rsidRPr="00EA08ED">
        <w:rPr>
          <w:rFonts w:ascii="Lucida Sans" w:hAnsi="Lucida Sans" w:cs="Times New Roman"/>
          <w:sz w:val="18"/>
          <w:szCs w:val="18"/>
        </w:rPr>
        <w:t xml:space="preserve">lower response rate </w:t>
      </w:r>
      <w:r>
        <w:rPr>
          <w:rFonts w:ascii="Lucida Sans" w:hAnsi="Lucida Sans" w:cs="Times New Roman"/>
          <w:sz w:val="18"/>
          <w:szCs w:val="18"/>
        </w:rPr>
        <w:t xml:space="preserve">was seen </w:t>
      </w:r>
      <w:r w:rsidRPr="00EA08ED">
        <w:rPr>
          <w:rFonts w:ascii="Lucida Sans" w:hAnsi="Lucida Sans" w:cs="Times New Roman"/>
          <w:sz w:val="18"/>
          <w:szCs w:val="18"/>
        </w:rPr>
        <w:t xml:space="preserve">in </w:t>
      </w:r>
      <w:r>
        <w:rPr>
          <w:rFonts w:ascii="Lucida Sans" w:hAnsi="Lucida Sans" w:cs="Times New Roman"/>
          <w:sz w:val="18"/>
          <w:szCs w:val="18"/>
        </w:rPr>
        <w:t xml:space="preserve">the </w:t>
      </w:r>
      <w:r w:rsidR="001B5A4D" w:rsidRPr="006F0C0A">
        <w:rPr>
          <w:rFonts w:ascii="Lucida Sans" w:hAnsi="Lucida Sans" w:cs="Times New Roman"/>
          <w:sz w:val="18"/>
          <w:szCs w:val="18"/>
        </w:rPr>
        <w:t xml:space="preserve">Sequenced Treatment Alternatives to Relieve Depression (STAR*D) </w:t>
      </w:r>
      <w:r>
        <w:rPr>
          <w:rFonts w:ascii="Lucida Sans" w:hAnsi="Lucida Sans" w:cs="Times New Roman"/>
          <w:sz w:val="18"/>
          <w:szCs w:val="18"/>
        </w:rPr>
        <w:t>study (</w:t>
      </w:r>
      <w:r w:rsidRPr="00EA08ED">
        <w:rPr>
          <w:rFonts w:ascii="Lucida Sans" w:hAnsi="Lucida Sans" w:cs="Times New Roman"/>
          <w:sz w:val="18"/>
          <w:szCs w:val="18"/>
        </w:rPr>
        <w:t xml:space="preserve">12.1% response </w:t>
      </w:r>
      <w:r w:rsidRPr="00335CAA">
        <w:rPr>
          <w:rFonts w:ascii="Lucida Sans" w:hAnsi="Lucida Sans" w:cs="Times New Roman"/>
          <w:i/>
          <w:sz w:val="18"/>
          <w:szCs w:val="18"/>
        </w:rPr>
        <w:t>vs</w:t>
      </w:r>
      <w:r w:rsidRPr="00EA08ED">
        <w:rPr>
          <w:rFonts w:ascii="Lucida Sans" w:hAnsi="Lucida Sans" w:cs="Times New Roman"/>
          <w:sz w:val="18"/>
          <w:szCs w:val="18"/>
        </w:rPr>
        <w:t xml:space="preserve">. </w:t>
      </w:r>
      <w:r>
        <w:rPr>
          <w:rFonts w:ascii="Lucida Sans" w:hAnsi="Lucida Sans" w:cs="Times New Roman"/>
          <w:sz w:val="18"/>
          <w:szCs w:val="18"/>
        </w:rPr>
        <w:t xml:space="preserve">the </w:t>
      </w:r>
      <w:r w:rsidRPr="00EA08ED">
        <w:rPr>
          <w:rFonts w:ascii="Lucida Sans" w:hAnsi="Lucida Sans" w:cs="Times New Roman"/>
          <w:sz w:val="18"/>
          <w:szCs w:val="18"/>
        </w:rPr>
        <w:t xml:space="preserve">24% </w:t>
      </w:r>
      <w:r>
        <w:rPr>
          <w:rFonts w:ascii="Lucida Sans" w:hAnsi="Lucida Sans" w:cs="Times New Roman"/>
          <w:sz w:val="18"/>
          <w:szCs w:val="18"/>
        </w:rPr>
        <w:t>response seen with the combination of venlafaxine and mirtazapine)</w:t>
      </w:r>
      <w:r w:rsidRPr="00EA08ED">
        <w:rPr>
          <w:rFonts w:ascii="Lucida Sans" w:hAnsi="Lucida Sans" w:cs="Times New Roman"/>
          <w:sz w:val="18"/>
          <w:szCs w:val="18"/>
        </w:rPr>
        <w:t xml:space="preserve">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&lt;EndNote&gt;&lt;Cite&gt;&lt;Author&gt;McGrath&lt;/Author&gt;&lt;Year&gt;2006&lt;/Year&gt;&lt;RecNum&gt;408&lt;/RecNum&gt;&lt;DisplayText&gt;[23]&lt;/DisplayText&gt;&lt;record&gt;&lt;rec-number&gt;408&lt;/rec-number&gt;&lt;foreign-keys&gt;&lt;key app="EN" db-id="2xwpd9xwpest5ue9rwa5etrr9fzzxded9vfx" timestamp="0"&gt;408&lt;/key&gt;&lt;/foreign-keys&gt;&lt;ref-type name="Journal Article"&gt;17&lt;/ref-type&gt;&lt;contributors&gt;&lt;authors&gt;&lt;author&gt;McGrath, Patrick J&lt;/author&gt;&lt;author&gt;Stewart, Jonathan W&lt;/author&gt;&lt;author&gt;Fava, Maurizio&lt;/author&gt;&lt;author&gt;Trivedi, Madhukar H&lt;/author&gt;&lt;author&gt;Wisniewski, Stephen R&lt;/author&gt;&lt;author&gt;Nierenberg, Andrew A&lt;/author&gt;&lt;author&gt;Thase, Michael E&lt;/author&gt;&lt;author&gt;Davis, Lori&lt;/author&gt;&lt;author&gt;Biggs, Melanie M&lt;/author&gt;&lt;author&gt;Shores-Wilson, Kathy&lt;/author&gt;&lt;/authors&gt;&lt;/contributors&gt;&lt;titles&gt;&lt;title&gt;Tranylcypromine versus venlafaxine plus mirtazapine following three failed antidepressant medication trials for depression: a STAR* D report&lt;/title&gt;&lt;secondary-title&gt;American Journal of Psychiatry&lt;/secondary-title&gt;&lt;/titles&gt;&lt;periodical&gt;&lt;full-title&gt;American journal of psychiatry&lt;/full-title&gt;&lt;/periodical&gt;&lt;pages&gt;1531-1541&lt;/pages&gt;&lt;volume&gt;163&lt;/volume&gt;&lt;number&gt;9&lt;/number&gt;&lt;dates&gt;&lt;year&gt;2006&lt;/year&gt;&lt;/dates&gt;&lt;isbn&gt;0002-953X&lt;/isbn&gt;&lt;urls&gt;&lt;/urls&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[23]</w:t>
      </w:r>
      <w:r w:rsidR="006B7504">
        <w:rPr>
          <w:rFonts w:ascii="Lucida Sans" w:hAnsi="Lucida Sans" w:cs="Times New Roman"/>
          <w:sz w:val="18"/>
          <w:szCs w:val="18"/>
        </w:rPr>
        <w:fldChar w:fldCharType="end"/>
      </w:r>
      <w:r>
        <w:rPr>
          <w:rFonts w:ascii="Lucida Sans" w:hAnsi="Lucida Sans" w:cs="Times New Roman"/>
          <w:sz w:val="18"/>
          <w:szCs w:val="18"/>
        </w:rPr>
        <w:t>. It acts as a</w:t>
      </w:r>
      <w:r w:rsidR="009C3518">
        <w:rPr>
          <w:rFonts w:ascii="Lucida Sans" w:hAnsi="Lucida Sans" w:cs="Times New Roman"/>
          <w:sz w:val="18"/>
          <w:szCs w:val="18"/>
        </w:rPr>
        <w:t>n</w:t>
      </w:r>
      <w:r>
        <w:rPr>
          <w:rFonts w:ascii="Lucida Sans" w:hAnsi="Lucida Sans" w:cs="Times New Roman"/>
          <w:sz w:val="18"/>
          <w:szCs w:val="18"/>
        </w:rPr>
        <w:t xml:space="preserve"> </w:t>
      </w:r>
      <w:r w:rsidRPr="003A78D4">
        <w:rPr>
          <w:rFonts w:ascii="Lucida Sans" w:hAnsi="Lucida Sans" w:cs="Times New Roman"/>
          <w:sz w:val="18"/>
          <w:szCs w:val="18"/>
        </w:rPr>
        <w:t xml:space="preserve">MAOI at </w:t>
      </w:r>
      <w:r>
        <w:rPr>
          <w:rFonts w:ascii="Lucida Sans" w:hAnsi="Lucida Sans" w:cs="Times New Roman"/>
          <w:sz w:val="18"/>
          <w:szCs w:val="18"/>
        </w:rPr>
        <w:t xml:space="preserve">doses of </w:t>
      </w:r>
      <w:r w:rsidRPr="003A78D4">
        <w:rPr>
          <w:rFonts w:ascii="Lucida Sans" w:hAnsi="Lucida Sans" w:cs="Times New Roman"/>
          <w:sz w:val="18"/>
          <w:szCs w:val="18"/>
        </w:rPr>
        <w:t xml:space="preserve">10-20 mg/day, </w:t>
      </w:r>
      <w:r>
        <w:rPr>
          <w:rFonts w:ascii="Lucida Sans" w:hAnsi="Lucida Sans" w:cs="Times New Roman"/>
          <w:sz w:val="18"/>
          <w:szCs w:val="18"/>
        </w:rPr>
        <w:t>noradrenaline reuptake inhibitory effects are seen</w:t>
      </w:r>
      <w:r w:rsidRPr="003A78D4">
        <w:rPr>
          <w:rFonts w:ascii="Lucida Sans" w:hAnsi="Lucida Sans" w:cs="Times New Roman"/>
          <w:sz w:val="18"/>
          <w:szCs w:val="18"/>
        </w:rPr>
        <w:t xml:space="preserve"> at 40-60 mg/day, </w:t>
      </w:r>
      <w:r>
        <w:rPr>
          <w:rFonts w:ascii="Lucida Sans" w:hAnsi="Lucida Sans" w:cs="Times New Roman"/>
          <w:sz w:val="18"/>
          <w:szCs w:val="18"/>
        </w:rPr>
        <w:t>and acts as a dopamine</w:t>
      </w:r>
      <w:r w:rsidRPr="003A78D4">
        <w:rPr>
          <w:rFonts w:ascii="Lucida Sans" w:hAnsi="Lucida Sans" w:cs="Times New Roman"/>
          <w:sz w:val="18"/>
          <w:szCs w:val="18"/>
        </w:rPr>
        <w:t xml:space="preserve">-releaser at </w:t>
      </w:r>
      <w:r>
        <w:rPr>
          <w:rFonts w:ascii="Lucida Sans" w:hAnsi="Lucida Sans" w:cs="Times New Roman"/>
          <w:sz w:val="18"/>
          <w:szCs w:val="18"/>
        </w:rPr>
        <w:t xml:space="preserve">dose of around </w:t>
      </w:r>
      <w:r w:rsidRPr="003A78D4">
        <w:rPr>
          <w:rFonts w:ascii="Lucida Sans" w:hAnsi="Lucida Sans" w:cs="Times New Roman"/>
          <w:sz w:val="18"/>
          <w:szCs w:val="18"/>
        </w:rPr>
        <w:t>100 mg/day</w:t>
      </w:r>
      <w:r w:rsidR="006B7504">
        <w:rPr>
          <w:rFonts w:ascii="Lucida Sans" w:hAnsi="Lucida Sans" w:cs="Times New Roman"/>
          <w:sz w:val="18"/>
          <w:szCs w:val="18"/>
        </w:rPr>
        <w:t xml:space="preserve">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&lt;EndNote&gt;&lt;Cite&gt;&lt;Author&gt;Ricken&lt;/Author&gt;&lt;Year&gt;2017&lt;/Year&gt;&lt;RecNum&gt;407&lt;/RecNum&gt;&lt;DisplayText&gt;[22]&lt;/DisplayText&gt;&lt;record&gt;&lt;rec-number&gt;407&lt;/rec-number&gt;&lt;foreign-keys&gt;&lt;key app="EN" db-id="2xwpd9xwpest5ue9rwa5etrr9fzzxded9vfx" timestamp="0"&gt;407&lt;/key&gt;&lt;/foreign-keys&gt;&lt;ref-type name="Journal Article"&gt;17&lt;/ref-type&gt;&lt;contributors&gt;&lt;authors&gt;&lt;author&gt;Ricken, Roland&lt;/author&gt;&lt;author&gt;Ulrich, Sven&lt;/author&gt;&lt;author&gt;Schlattmann, Peter&lt;/author&gt;&lt;author&gt;Adli, Mazda&lt;/author&gt;&lt;/authors&gt;&lt;/contributors&gt;&lt;titles&gt;&lt;title&gt;Tranylcypromine in mind (Part II): Review of clinical pharmacology and meta-analysis of controlled studies in depression&lt;/title&gt;&lt;secondary-title&gt;European Neuropsychopharmacology&lt;/secondary-title&gt;&lt;/titles&gt;&lt;periodical&gt;&lt;full-title&gt;European Neuropsychopharmacology&lt;/full-title&gt;&lt;/periodical&gt;&lt;pages&gt;714-731&lt;/pages&gt;&lt;volume&gt;27&lt;/volume&gt;&lt;number&gt;8&lt;/number&gt;&lt;keywords&gt;&lt;keyword&gt;Tranylcypromine&lt;/keyword&gt;&lt;keyword&gt;Monoamine oxidase inhibitors&lt;/keyword&gt;&lt;keyword&gt;Monoamine oxidase&lt;/keyword&gt;&lt;keyword&gt;Depression&lt;/keyword&gt;&lt;keyword&gt;Depressive disorder&lt;/keyword&gt;&lt;keyword&gt;Treatment-resistant&lt;/keyword&gt;&lt;/keywords&gt;&lt;dates&gt;&lt;year&gt;2017&lt;/year&gt;&lt;pub-dates&gt;&lt;date&gt;2017/08/01/&lt;/date&gt;&lt;/pub-dates&gt;&lt;/dates&gt;&lt;isbn&gt;0924-977X&lt;/isbn&gt;&lt;urls&gt;&lt;related-urls&gt;&lt;url&gt;http://www.sciencedirect.com/science/article/pii/S0924977X17302304&lt;/url&gt;&lt;/related-urls&gt;&lt;/urls&gt;&lt;electronic-resource-num&gt;https://doi.org/10.1016/j.euroneuro.2017.04.003&lt;/electronic-resource-num&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[22]</w:t>
      </w:r>
      <w:r w:rsidR="006B7504">
        <w:rPr>
          <w:rFonts w:ascii="Lucida Sans" w:hAnsi="Lucida Sans" w:cs="Times New Roman"/>
          <w:sz w:val="18"/>
          <w:szCs w:val="18"/>
        </w:rPr>
        <w:fldChar w:fldCharType="end"/>
      </w:r>
      <w:r>
        <w:rPr>
          <w:rFonts w:ascii="Lucida Sans" w:hAnsi="Lucida Sans" w:cs="Times New Roman"/>
          <w:sz w:val="18"/>
          <w:szCs w:val="18"/>
        </w:rPr>
        <w:t xml:space="preserve">. An </w:t>
      </w:r>
      <w:r w:rsidRPr="003A78D4">
        <w:rPr>
          <w:rFonts w:ascii="Lucida Sans" w:hAnsi="Lucida Sans" w:cs="Times New Roman"/>
          <w:sz w:val="18"/>
          <w:szCs w:val="18"/>
        </w:rPr>
        <w:t xml:space="preserve">optimal response </w:t>
      </w:r>
      <w:r>
        <w:rPr>
          <w:rFonts w:ascii="Lucida Sans" w:hAnsi="Lucida Sans" w:cs="Times New Roman"/>
          <w:sz w:val="18"/>
          <w:szCs w:val="18"/>
        </w:rPr>
        <w:t xml:space="preserve">is </w:t>
      </w:r>
      <w:r w:rsidR="000D7520">
        <w:rPr>
          <w:rFonts w:ascii="Lucida Sans" w:hAnsi="Lucida Sans" w:cs="Times New Roman"/>
          <w:sz w:val="18"/>
          <w:szCs w:val="18"/>
        </w:rPr>
        <w:t xml:space="preserve">typically </w:t>
      </w:r>
      <w:r w:rsidRPr="003A78D4">
        <w:rPr>
          <w:rFonts w:ascii="Lucida Sans" w:hAnsi="Lucida Sans" w:cs="Times New Roman"/>
          <w:sz w:val="18"/>
          <w:szCs w:val="18"/>
        </w:rPr>
        <w:t xml:space="preserve">obtained in patients who can tolerate </w:t>
      </w:r>
      <w:r>
        <w:rPr>
          <w:rFonts w:ascii="Lucida Sans" w:hAnsi="Lucida Sans" w:cs="Times New Roman"/>
          <w:sz w:val="18"/>
          <w:szCs w:val="18"/>
        </w:rPr>
        <w:t xml:space="preserve">doses of between </w:t>
      </w:r>
      <w:r w:rsidRPr="003A78D4">
        <w:rPr>
          <w:rFonts w:ascii="Lucida Sans" w:hAnsi="Lucida Sans" w:cs="Times New Roman"/>
          <w:sz w:val="18"/>
          <w:szCs w:val="18"/>
        </w:rPr>
        <w:t>40-60 mg/day</w:t>
      </w:r>
      <w:r w:rsidR="006B7504">
        <w:rPr>
          <w:rFonts w:ascii="Lucida Sans" w:hAnsi="Lucida Sans" w:cs="Times New Roman"/>
          <w:sz w:val="18"/>
          <w:szCs w:val="18"/>
        </w:rPr>
        <w:t xml:space="preserve"> </w:t>
      </w:r>
      <w:r w:rsidR="006B7504">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&lt;EndNote&gt;&lt;Cite&gt;&lt;Author&gt;Thase&lt;/Author&gt;&lt;Year&gt;1995&lt;/Year&gt;&lt;RecNum&gt;487&lt;/RecNum&gt;&lt;DisplayText&gt;[14]&lt;/DisplayText&gt;&lt;record&gt;&lt;rec-number&gt;487&lt;/rec-number&gt;&lt;foreign-keys&gt;&lt;key app="EN" db-id="2xwpd9xwpest5ue9rwa5etrr9fzzxded9vfx" timestamp="1619000347"&gt;487&lt;/key&gt;&lt;/foreign-keys&gt;&lt;ref-type name="Journal Article"&gt;17&lt;/ref-type&gt;&lt;contributors&gt;&lt;authors&gt;&lt;author&gt;Thase, Michael E&lt;/author&gt;&lt;author&gt;Trivedi, Madhukar H&lt;/author&gt;&lt;author&gt;Rush, A John&lt;/author&gt;&lt;/authors&gt;&lt;/contributors&gt;&lt;titles&gt;&lt;title&gt;MAOIs in the contemporary treatment of depression&lt;/title&gt;&lt;secondary-title&gt;Neuropsychopharmacology&lt;/secondary-title&gt;&lt;/titles&gt;&lt;periodical&gt;&lt;full-title&gt;Neuropsychopharmacology&lt;/full-title&gt;&lt;/periodical&gt;&lt;pages&gt;185-219&lt;/pages&gt;&lt;volume&gt;12&lt;/volume&gt;&lt;number&gt;3&lt;/number&gt;&lt;dates&gt;&lt;year&gt;1995&lt;/year&gt;&lt;/dates&gt;&lt;isbn&gt;1740-634X&lt;/isbn&gt;&lt;urls&gt;&lt;/urls&gt;&lt;/record&gt;&lt;/Cite&gt;&lt;/EndNote&gt;</w:instrText>
      </w:r>
      <w:r w:rsidR="006B7504">
        <w:rPr>
          <w:rFonts w:ascii="Lucida Sans" w:hAnsi="Lucida Sans" w:cs="Times New Roman"/>
          <w:sz w:val="18"/>
          <w:szCs w:val="18"/>
        </w:rPr>
        <w:fldChar w:fldCharType="separate"/>
      </w:r>
      <w:r w:rsidR="00271279">
        <w:rPr>
          <w:rFonts w:ascii="Lucida Sans" w:hAnsi="Lucida Sans" w:cs="Times New Roman"/>
          <w:noProof/>
          <w:sz w:val="18"/>
          <w:szCs w:val="18"/>
        </w:rPr>
        <w:t>[14]</w:t>
      </w:r>
      <w:r w:rsidR="006B7504">
        <w:rPr>
          <w:rFonts w:ascii="Lucida Sans" w:hAnsi="Lucida Sans" w:cs="Times New Roman"/>
          <w:sz w:val="18"/>
          <w:szCs w:val="18"/>
        </w:rPr>
        <w:fldChar w:fldCharType="end"/>
      </w:r>
      <w:r>
        <w:rPr>
          <w:rFonts w:ascii="Lucida Sans" w:hAnsi="Lucida Sans" w:cs="Times New Roman"/>
          <w:sz w:val="18"/>
          <w:szCs w:val="18"/>
        </w:rPr>
        <w:t xml:space="preserve">. </w:t>
      </w:r>
      <w:r w:rsidRPr="003A78D4">
        <w:rPr>
          <w:rFonts w:ascii="Lucida Sans" w:hAnsi="Lucida Sans" w:cs="Times New Roman"/>
          <w:sz w:val="18"/>
          <w:szCs w:val="18"/>
        </w:rPr>
        <w:t>‘</w:t>
      </w:r>
      <w:r>
        <w:rPr>
          <w:rFonts w:ascii="Lucida Sans" w:hAnsi="Lucida Sans" w:cs="Times New Roman"/>
          <w:sz w:val="18"/>
          <w:szCs w:val="18"/>
        </w:rPr>
        <w:t>D</w:t>
      </w:r>
      <w:r w:rsidRPr="003A78D4">
        <w:rPr>
          <w:rFonts w:ascii="Lucida Sans" w:hAnsi="Lucida Sans" w:cs="Times New Roman"/>
          <w:sz w:val="18"/>
          <w:szCs w:val="18"/>
        </w:rPr>
        <w:t xml:space="preserve">izziness’ relating to postural hypotension is </w:t>
      </w:r>
      <w:r>
        <w:rPr>
          <w:rFonts w:ascii="Lucida Sans" w:hAnsi="Lucida Sans" w:cs="Times New Roman"/>
          <w:sz w:val="18"/>
          <w:szCs w:val="18"/>
        </w:rPr>
        <w:t xml:space="preserve">the </w:t>
      </w:r>
      <w:r w:rsidRPr="003A78D4">
        <w:rPr>
          <w:rFonts w:ascii="Lucida Sans" w:hAnsi="Lucida Sans" w:cs="Times New Roman"/>
          <w:sz w:val="18"/>
          <w:szCs w:val="18"/>
        </w:rPr>
        <w:t>most common reason for stopping</w:t>
      </w:r>
      <w:r>
        <w:rPr>
          <w:rFonts w:ascii="Lucida Sans" w:hAnsi="Lucida Sans" w:cs="Times New Roman"/>
          <w:sz w:val="18"/>
          <w:szCs w:val="18"/>
        </w:rPr>
        <w:t xml:space="preserve"> treatment, and</w:t>
      </w:r>
      <w:r w:rsidR="000A64FA">
        <w:rPr>
          <w:rFonts w:ascii="Lucida Sans" w:hAnsi="Lucida Sans" w:cs="Times New Roman"/>
          <w:sz w:val="18"/>
          <w:szCs w:val="18"/>
        </w:rPr>
        <w:t xml:space="preserve"> other</w:t>
      </w:r>
      <w:r>
        <w:rPr>
          <w:rFonts w:ascii="Lucida Sans" w:hAnsi="Lucida Sans" w:cs="Times New Roman"/>
          <w:sz w:val="18"/>
          <w:szCs w:val="18"/>
        </w:rPr>
        <w:t xml:space="preserve"> </w:t>
      </w:r>
      <w:r w:rsidRPr="003A78D4">
        <w:rPr>
          <w:rFonts w:ascii="Lucida Sans" w:hAnsi="Lucida Sans" w:cs="Times New Roman"/>
          <w:sz w:val="18"/>
          <w:szCs w:val="18"/>
        </w:rPr>
        <w:t xml:space="preserve">common adverse effects include insomnia, increased anxiety, agitation, </w:t>
      </w:r>
      <w:r>
        <w:rPr>
          <w:rFonts w:ascii="Lucida Sans" w:hAnsi="Lucida Sans" w:cs="Times New Roman"/>
          <w:sz w:val="18"/>
          <w:szCs w:val="18"/>
        </w:rPr>
        <w:t xml:space="preserve">and </w:t>
      </w:r>
      <w:r w:rsidRPr="003A78D4">
        <w:rPr>
          <w:rFonts w:ascii="Lucida Sans" w:hAnsi="Lucida Sans" w:cs="Times New Roman"/>
          <w:sz w:val="18"/>
          <w:szCs w:val="18"/>
        </w:rPr>
        <w:t>dry mouth</w:t>
      </w:r>
      <w:r w:rsidR="000D7520">
        <w:rPr>
          <w:rFonts w:ascii="Lucida Sans" w:hAnsi="Lucida Sans" w:cs="Times New Roman"/>
          <w:sz w:val="18"/>
          <w:szCs w:val="18"/>
        </w:rPr>
        <w:t>. W</w:t>
      </w:r>
      <w:r>
        <w:rPr>
          <w:rFonts w:ascii="Lucida Sans" w:hAnsi="Lucida Sans" w:cs="Times New Roman"/>
          <w:sz w:val="18"/>
          <w:szCs w:val="18"/>
        </w:rPr>
        <w:t xml:space="preserve">eight gain and </w:t>
      </w:r>
      <w:r w:rsidRPr="003A78D4">
        <w:rPr>
          <w:rFonts w:ascii="Lucida Sans" w:hAnsi="Lucida Sans" w:cs="Times New Roman"/>
          <w:sz w:val="18"/>
          <w:szCs w:val="18"/>
        </w:rPr>
        <w:t xml:space="preserve">sexual dysfunction </w:t>
      </w:r>
      <w:r>
        <w:rPr>
          <w:rFonts w:ascii="Lucida Sans" w:hAnsi="Lucida Sans" w:cs="Times New Roman"/>
          <w:sz w:val="18"/>
          <w:szCs w:val="18"/>
        </w:rPr>
        <w:t xml:space="preserve">are </w:t>
      </w:r>
      <w:r w:rsidRPr="003A78D4">
        <w:rPr>
          <w:rFonts w:ascii="Lucida Sans" w:hAnsi="Lucida Sans" w:cs="Times New Roman"/>
          <w:sz w:val="18"/>
          <w:szCs w:val="18"/>
        </w:rPr>
        <w:t>infrequent</w:t>
      </w:r>
      <w:r>
        <w:rPr>
          <w:rFonts w:ascii="Lucida Sans" w:hAnsi="Lucida Sans" w:cs="Times New Roman"/>
          <w:sz w:val="18"/>
          <w:szCs w:val="18"/>
        </w:rPr>
        <w:t xml:space="preserve">. A </w:t>
      </w:r>
      <w:r w:rsidRPr="003A78D4">
        <w:rPr>
          <w:rFonts w:ascii="Lucida Sans" w:hAnsi="Lucida Sans" w:cs="Times New Roman"/>
          <w:sz w:val="18"/>
          <w:szCs w:val="18"/>
        </w:rPr>
        <w:t xml:space="preserve">tyramine-restricted </w:t>
      </w:r>
      <w:r w:rsidRPr="0073378F">
        <w:rPr>
          <w:rFonts w:ascii="Lucida Sans" w:hAnsi="Lucida Sans" w:cs="Times New Roman"/>
          <w:sz w:val="18"/>
          <w:szCs w:val="18"/>
        </w:rPr>
        <w:t xml:space="preserve">diet is essential during and after tranylcypromine treatment. </w:t>
      </w:r>
      <w:r w:rsidRPr="0073378F">
        <w:rPr>
          <w:rFonts w:ascii="Lucida Sans" w:hAnsi="Lucida Sans" w:cs="Times New Roman"/>
          <w:sz w:val="18"/>
          <w:szCs w:val="18"/>
        </w:rPr>
        <w:lastRenderedPageBreak/>
        <w:t xml:space="preserve">The </w:t>
      </w:r>
      <w:r w:rsidR="000D7520" w:rsidRPr="0073378F">
        <w:rPr>
          <w:rFonts w:ascii="Lucida Sans" w:hAnsi="Lucida Sans" w:cs="Times New Roman"/>
          <w:sz w:val="18"/>
          <w:szCs w:val="18"/>
        </w:rPr>
        <w:t>actua</w:t>
      </w:r>
      <w:r w:rsidR="00953ED9" w:rsidRPr="0073378F">
        <w:rPr>
          <w:rFonts w:ascii="Lucida Sans" w:hAnsi="Lucida Sans" w:cs="Times New Roman"/>
          <w:sz w:val="18"/>
          <w:szCs w:val="18"/>
        </w:rPr>
        <w:t>ria</w:t>
      </w:r>
      <w:r w:rsidR="000D7520" w:rsidRPr="0073378F">
        <w:rPr>
          <w:rFonts w:ascii="Lucida Sans" w:hAnsi="Lucida Sans" w:cs="Times New Roman"/>
          <w:sz w:val="18"/>
          <w:szCs w:val="18"/>
        </w:rPr>
        <w:t xml:space="preserve">l </w:t>
      </w:r>
      <w:r w:rsidRPr="0073378F">
        <w:rPr>
          <w:rFonts w:ascii="Lucida Sans" w:hAnsi="Lucida Sans" w:cs="Times New Roman"/>
          <w:sz w:val="18"/>
          <w:szCs w:val="18"/>
        </w:rPr>
        <w:t xml:space="preserve">risk of </w:t>
      </w:r>
      <w:r w:rsidR="00D95DA5" w:rsidRPr="009A7D3F">
        <w:rPr>
          <w:rFonts w:ascii="Lucida Sans" w:hAnsi="Lucida Sans" w:cs="Times New Roman"/>
          <w:sz w:val="18"/>
          <w:szCs w:val="18"/>
        </w:rPr>
        <w:t xml:space="preserve">severe cerebrovascular </w:t>
      </w:r>
      <w:r w:rsidR="00A340D1" w:rsidRPr="009A7D3F">
        <w:rPr>
          <w:rFonts w:ascii="Lucida Sans" w:hAnsi="Lucida Sans" w:cs="Times New Roman"/>
          <w:sz w:val="18"/>
          <w:szCs w:val="18"/>
        </w:rPr>
        <w:t>events</w:t>
      </w:r>
      <w:r w:rsidR="00D95DA5" w:rsidRPr="009A7D3F">
        <w:rPr>
          <w:rFonts w:ascii="Lucida Sans" w:hAnsi="Lucida Sans" w:cs="Times New Roman"/>
          <w:sz w:val="18"/>
          <w:szCs w:val="18"/>
        </w:rPr>
        <w:t xml:space="preserve"> (including </w:t>
      </w:r>
      <w:r w:rsidRPr="0073378F">
        <w:rPr>
          <w:rFonts w:ascii="Lucida Sans" w:hAnsi="Lucida Sans" w:cs="Times New Roman"/>
          <w:sz w:val="18"/>
          <w:szCs w:val="18"/>
        </w:rPr>
        <w:t>death</w:t>
      </w:r>
      <w:r w:rsidR="00D95DA5" w:rsidRPr="009A7D3F">
        <w:rPr>
          <w:rFonts w:ascii="Lucida Sans" w:hAnsi="Lucida Sans" w:cs="Times New Roman"/>
          <w:sz w:val="18"/>
          <w:szCs w:val="18"/>
        </w:rPr>
        <w:t>s)</w:t>
      </w:r>
      <w:r w:rsidRPr="0073378F">
        <w:rPr>
          <w:rFonts w:ascii="Lucida Sans" w:hAnsi="Lucida Sans" w:cs="Times New Roman"/>
          <w:sz w:val="18"/>
          <w:szCs w:val="18"/>
        </w:rPr>
        <w:t xml:space="preserve"> due to hypertensive reactions </w:t>
      </w:r>
      <w:r w:rsidR="00D95DA5" w:rsidRPr="009A7D3F">
        <w:rPr>
          <w:rFonts w:ascii="Lucida Sans" w:hAnsi="Lucida Sans" w:cs="Times New Roman"/>
          <w:sz w:val="18"/>
          <w:szCs w:val="18"/>
        </w:rPr>
        <w:t xml:space="preserve">is low, variously </w:t>
      </w:r>
      <w:r w:rsidRPr="0073378F">
        <w:rPr>
          <w:rFonts w:ascii="Lucida Sans" w:hAnsi="Lucida Sans" w:cs="Times New Roman"/>
          <w:sz w:val="18"/>
          <w:szCs w:val="18"/>
        </w:rPr>
        <w:t xml:space="preserve">estimated </w:t>
      </w:r>
      <w:r w:rsidR="00D95DA5" w:rsidRPr="0073378F">
        <w:rPr>
          <w:rFonts w:ascii="Lucida Sans" w:hAnsi="Lucida Sans" w:cs="Times New Roman"/>
          <w:sz w:val="18"/>
          <w:szCs w:val="18"/>
        </w:rPr>
        <w:t>a</w:t>
      </w:r>
      <w:r w:rsidR="00D95DA5" w:rsidRPr="009A7D3F">
        <w:rPr>
          <w:rFonts w:ascii="Lucida Sans" w:hAnsi="Lucida Sans" w:cs="Times New Roman"/>
          <w:sz w:val="18"/>
          <w:szCs w:val="18"/>
        </w:rPr>
        <w:t>s</w:t>
      </w:r>
      <w:r w:rsidR="00D95DA5" w:rsidRPr="0073378F">
        <w:rPr>
          <w:rFonts w:ascii="Lucida Sans" w:hAnsi="Lucida Sans" w:cs="Times New Roman"/>
          <w:sz w:val="18"/>
          <w:szCs w:val="18"/>
        </w:rPr>
        <w:t xml:space="preserve"> </w:t>
      </w:r>
      <w:r w:rsidR="00D95DA5" w:rsidRPr="009A7D3F">
        <w:rPr>
          <w:rFonts w:ascii="Lucida Sans" w:hAnsi="Lucida Sans" w:cs="Times New Roman"/>
          <w:sz w:val="18"/>
          <w:szCs w:val="18"/>
        </w:rPr>
        <w:t xml:space="preserve">lying </w:t>
      </w:r>
      <w:r w:rsidRPr="0073378F">
        <w:rPr>
          <w:rFonts w:ascii="Lucida Sans" w:hAnsi="Lucida Sans" w:cs="Times New Roman"/>
          <w:sz w:val="18"/>
          <w:szCs w:val="18"/>
        </w:rPr>
        <w:t>between 0.</w:t>
      </w:r>
      <w:r w:rsidR="00D95DA5" w:rsidRPr="0073378F">
        <w:rPr>
          <w:rFonts w:ascii="Lucida Sans" w:hAnsi="Lucida Sans" w:cs="Times New Roman"/>
          <w:sz w:val="18"/>
          <w:szCs w:val="18"/>
        </w:rPr>
        <w:t>00</w:t>
      </w:r>
      <w:r w:rsidR="00D95DA5" w:rsidRPr="009A7D3F">
        <w:rPr>
          <w:rFonts w:ascii="Lucida Sans" w:hAnsi="Lucida Sans" w:cs="Times New Roman"/>
          <w:sz w:val="18"/>
          <w:szCs w:val="18"/>
        </w:rPr>
        <w:t>1</w:t>
      </w:r>
      <w:r w:rsidR="00D95DA5" w:rsidRPr="0073378F">
        <w:rPr>
          <w:rFonts w:ascii="Lucida Sans" w:hAnsi="Lucida Sans" w:cs="Times New Roman"/>
          <w:sz w:val="18"/>
          <w:szCs w:val="18"/>
        </w:rPr>
        <w:t>4</w:t>
      </w:r>
      <w:r w:rsidRPr="0073378F">
        <w:rPr>
          <w:rFonts w:ascii="Lucida Sans" w:hAnsi="Lucida Sans" w:cs="Times New Roman"/>
          <w:sz w:val="18"/>
          <w:szCs w:val="18"/>
        </w:rPr>
        <w:t>-</w:t>
      </w:r>
      <w:r w:rsidR="00771808" w:rsidRPr="0073378F">
        <w:rPr>
          <w:rFonts w:ascii="Lucida Sans" w:hAnsi="Lucida Sans" w:cs="Times New Roman"/>
          <w:sz w:val="18"/>
          <w:szCs w:val="18"/>
        </w:rPr>
        <w:t>0.</w:t>
      </w:r>
      <w:r w:rsidR="00D95DA5" w:rsidRPr="0073378F">
        <w:rPr>
          <w:rFonts w:ascii="Lucida Sans" w:hAnsi="Lucida Sans" w:cs="Times New Roman"/>
          <w:sz w:val="18"/>
          <w:szCs w:val="18"/>
        </w:rPr>
        <w:t>00</w:t>
      </w:r>
      <w:r w:rsidR="00D95DA5" w:rsidRPr="009A7D3F">
        <w:rPr>
          <w:rFonts w:ascii="Lucida Sans" w:hAnsi="Lucida Sans" w:cs="Times New Roman"/>
          <w:sz w:val="18"/>
          <w:szCs w:val="18"/>
        </w:rPr>
        <w:t>7</w:t>
      </w:r>
      <w:r w:rsidR="00D95DA5" w:rsidRPr="0073378F">
        <w:rPr>
          <w:rFonts w:ascii="Lucida Sans" w:hAnsi="Lucida Sans" w:cs="Times New Roman"/>
          <w:sz w:val="18"/>
          <w:szCs w:val="18"/>
        </w:rPr>
        <w:t xml:space="preserve"> </w:t>
      </w:r>
      <w:r w:rsidR="00771808" w:rsidRPr="0073378F">
        <w:rPr>
          <w:rFonts w:ascii="Lucida Sans" w:hAnsi="Lucida Sans" w:cs="Times New Roman"/>
          <w:sz w:val="18"/>
          <w:szCs w:val="18"/>
        </w:rPr>
        <w:t>per</w:t>
      </w:r>
      <w:r w:rsidR="00335CAA" w:rsidRPr="0073378F">
        <w:rPr>
          <w:rFonts w:ascii="Lucida Sans" w:hAnsi="Lucida Sans" w:cs="Times New Roman"/>
          <w:sz w:val="18"/>
          <w:szCs w:val="18"/>
        </w:rPr>
        <w:t xml:space="preserve"> </w:t>
      </w:r>
      <w:r w:rsidR="00771808" w:rsidRPr="0073378F">
        <w:rPr>
          <w:rFonts w:ascii="Lucida Sans" w:hAnsi="Lucida Sans" w:cs="Times New Roman"/>
          <w:sz w:val="18"/>
          <w:szCs w:val="18"/>
        </w:rPr>
        <w:t>cent</w:t>
      </w:r>
      <w:r w:rsidR="00D06D89" w:rsidRPr="0073378F">
        <w:rPr>
          <w:rFonts w:ascii="Lucida Sans" w:hAnsi="Lucida Sans" w:cs="Times New Roman"/>
          <w:sz w:val="18"/>
          <w:szCs w:val="18"/>
        </w:rPr>
        <w:t xml:space="preserve"> </w:t>
      </w:r>
      <w:r w:rsidR="006B1E39" w:rsidRPr="009A7D3F">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&lt;EndNote&gt;&lt;Cite&gt;&lt;Author&gt;Pare&lt;/Author&gt;&lt;Year&gt;1985&lt;/Year&gt;&lt;RecNum&gt;409&lt;/RecNum&gt;&lt;DisplayText&gt;[24-26]&lt;/DisplayText&gt;&lt;record&gt;&lt;rec-number&gt;409&lt;/rec-number&gt;&lt;foreign-keys&gt;&lt;key app="EN" db-id="2xwpd9xwpest5ue9rwa5etrr9fzzxded9vfx" timestamp="0"&gt;409&lt;/key&gt;&lt;/foreign-keys&gt;&lt;ref-type name="Journal Article"&gt;17&lt;/ref-type&gt;&lt;contributors&gt;&lt;authors&gt;&lt;author&gt;Pare, CMB&lt;/author&gt;&lt;/authors&gt;&lt;/contributors&gt;&lt;titles&gt;&lt;title&gt;The present status of monoamine oxidase inhibitors&lt;/title&gt;&lt;secondary-title&gt;The British Journal of Psychiatry&lt;/secondary-title&gt;&lt;/titles&gt;&lt;periodical&gt;&lt;full-title&gt;The British Journal of Psychiatry&lt;/full-title&gt;&lt;/periodical&gt;&lt;pages&gt;576-584&lt;/pages&gt;&lt;volume&gt;146&lt;/volume&gt;&lt;number&gt;6&lt;/number&gt;&lt;dates&gt;&lt;year&gt;1985&lt;/year&gt;&lt;/dates&gt;&lt;isbn&gt;0007-1250&lt;/isbn&gt;&lt;urls&gt;&lt;/urls&gt;&lt;/record&gt;&lt;/Cite&gt;&lt;Cite&gt;&lt;Author&gt;Baldessarini&lt;/Author&gt;&lt;Year&gt;1996&lt;/Year&gt;&lt;RecNum&gt;410&lt;/RecNum&gt;&lt;record&gt;&lt;rec-number&gt;410&lt;/rec-number&gt;&lt;foreign-keys&gt;&lt;key app="EN" db-id="2xwpd9xwpest5ue9rwa5etrr9fzzxded9vfx" timestamp="0"&gt;410&lt;/key&gt;&lt;/foreign-keys&gt;&lt;ref-type name="Journal Article"&gt;17&lt;/ref-type&gt;&lt;contributors&gt;&lt;authors&gt;&lt;author&gt;Baldessarini, RJ&lt;/author&gt;&lt;/authors&gt;&lt;/contributors&gt;&lt;titles&gt;&lt;title&gt;Drugs and the treatment of psychiatric disorders; psychosis and anxiety&lt;/title&gt;&lt;secondary-title&gt;The Pharmacological Basis of Therapeutics.&lt;/secondary-title&gt;&lt;/titles&gt;&lt;pages&gt;399-430&lt;/pages&gt;&lt;dates&gt;&lt;year&gt;1996&lt;/year&gt;&lt;/dates&gt;&lt;urls&gt;&lt;/urls&gt;&lt;/record&gt;&lt;/Cite&gt;&lt;Cite&gt;&lt;Author&gt;Haase&lt;/Author&gt;&lt;Year&gt;1973&lt;/Year&gt;&lt;RecNum&gt;411&lt;/RecNum&gt;&lt;record&gt;&lt;rec-number&gt;411&lt;/rec-number&gt;&lt;foreign-keys&gt;&lt;key app="EN" db-id="2xwpd9xwpest5ue9rwa5etrr9fzzxded9vfx" timestamp="0"&gt;411&lt;/key&gt;&lt;/foreign-keys&gt;&lt;ref-type name="Journal Article"&gt;17&lt;/ref-type&gt;&lt;contributors&gt;&lt;authors&gt;&lt;author&gt;Haase, H.J.,&lt;/author&gt;&lt;author&gt;BUHR H.J.,&lt;/author&gt;&lt;/authors&gt;&lt;/contributors&gt;&lt;titles&gt;&lt;title&gt;UNTERSUCHUNGEN ZUR VERTRAEGLICHKEIT DES ANTIDEPRESSIVUMS JATROSOM&lt;/title&gt;&lt;secondary-title&gt;MED. WELT; DTSCH.; DA. &lt;/secondary-title&gt;&lt;/titles&gt;&lt;pages&gt;221-224&lt;/pages&gt;&lt;volume&gt;6&lt;/volume&gt;&lt;dates&gt;&lt;year&gt;1973&lt;/year&gt;&lt;/dates&gt;&lt;urls&gt;&lt;/urls&gt;&lt;custom7&gt;PASCAL733309238&lt;/custom7&gt;&lt;/record&gt;&lt;/Cite&gt;&lt;/EndNote&gt;</w:instrText>
      </w:r>
      <w:r w:rsidR="006B1E39" w:rsidRPr="009A7D3F">
        <w:rPr>
          <w:rFonts w:ascii="Lucida Sans" w:hAnsi="Lucida Sans" w:cs="Times New Roman"/>
          <w:sz w:val="18"/>
          <w:szCs w:val="18"/>
        </w:rPr>
        <w:fldChar w:fldCharType="separate"/>
      </w:r>
      <w:r w:rsidR="00271279">
        <w:rPr>
          <w:rFonts w:ascii="Lucida Sans" w:hAnsi="Lucida Sans" w:cs="Times New Roman"/>
          <w:noProof/>
          <w:sz w:val="18"/>
          <w:szCs w:val="18"/>
        </w:rPr>
        <w:t>[24-26]</w:t>
      </w:r>
      <w:r w:rsidR="006B1E39" w:rsidRPr="009A7D3F">
        <w:rPr>
          <w:rFonts w:ascii="Lucida Sans" w:hAnsi="Lucida Sans" w:cs="Times New Roman"/>
          <w:sz w:val="18"/>
          <w:szCs w:val="18"/>
        </w:rPr>
        <w:fldChar w:fldCharType="end"/>
      </w:r>
      <w:r w:rsidR="006B1E39" w:rsidRPr="009A7D3F">
        <w:rPr>
          <w:rFonts w:ascii="Lucida Sans" w:hAnsi="Lucida Sans" w:cs="Times New Roman"/>
          <w:sz w:val="18"/>
          <w:szCs w:val="18"/>
        </w:rPr>
        <w:t xml:space="preserve"> </w:t>
      </w:r>
      <w:r w:rsidR="00D06D89" w:rsidRPr="0073378F">
        <w:rPr>
          <w:rFonts w:ascii="Lucida Sans" w:hAnsi="Lucida Sans" w:cs="Times New Roman"/>
          <w:sz w:val="18"/>
          <w:szCs w:val="18"/>
        </w:rPr>
        <w:t>(i.e.</w:t>
      </w:r>
      <w:r w:rsidR="00D06D89" w:rsidRPr="0073378F">
        <w:t xml:space="preserve"> </w:t>
      </w:r>
      <w:r w:rsidR="00A340D1" w:rsidRPr="009A7D3F">
        <w:rPr>
          <w:rFonts w:ascii="Lucida Sans" w:hAnsi="Lucida Sans" w:cs="Times New Roman"/>
          <w:sz w:val="18"/>
          <w:szCs w:val="18"/>
        </w:rPr>
        <w:t>140-700</w:t>
      </w:r>
      <w:r w:rsidR="00D06D89" w:rsidRPr="0073378F">
        <w:rPr>
          <w:rFonts w:ascii="Lucida Sans" w:hAnsi="Lucida Sans" w:cs="Times New Roman"/>
          <w:sz w:val="18"/>
          <w:szCs w:val="18"/>
        </w:rPr>
        <w:t xml:space="preserve"> </w:t>
      </w:r>
      <w:r w:rsidR="00A340D1" w:rsidRPr="009A7D3F">
        <w:rPr>
          <w:rFonts w:ascii="Lucida Sans" w:hAnsi="Lucida Sans" w:cs="Times New Roman"/>
          <w:sz w:val="18"/>
          <w:szCs w:val="18"/>
        </w:rPr>
        <w:t>events</w:t>
      </w:r>
      <w:r w:rsidR="00D06D89" w:rsidRPr="0073378F">
        <w:rPr>
          <w:rFonts w:ascii="Lucida Sans" w:hAnsi="Lucida Sans" w:cs="Times New Roman"/>
          <w:sz w:val="18"/>
          <w:szCs w:val="18"/>
        </w:rPr>
        <w:t xml:space="preserve"> per </w:t>
      </w:r>
      <w:r w:rsidR="00D95DA5" w:rsidRPr="009A7D3F">
        <w:rPr>
          <w:rFonts w:ascii="Lucida Sans" w:hAnsi="Lucida Sans" w:cs="Times New Roman"/>
          <w:sz w:val="18"/>
          <w:szCs w:val="18"/>
        </w:rPr>
        <w:t>100,000</w:t>
      </w:r>
      <w:r w:rsidR="00D06D89" w:rsidRPr="0073378F">
        <w:rPr>
          <w:rFonts w:ascii="Lucida Sans" w:hAnsi="Lucida Sans" w:cs="Times New Roman"/>
          <w:sz w:val="18"/>
          <w:szCs w:val="18"/>
        </w:rPr>
        <w:t xml:space="preserve"> patients treated)</w:t>
      </w:r>
      <w:r w:rsidR="0073378F">
        <w:rPr>
          <w:rFonts w:ascii="Lucida Sans" w:hAnsi="Lucida Sans" w:cs="Times New Roman"/>
          <w:sz w:val="18"/>
          <w:szCs w:val="18"/>
        </w:rPr>
        <w:t xml:space="preserve"> </w:t>
      </w:r>
      <w:r w:rsidRPr="0073378F">
        <w:rPr>
          <w:rFonts w:ascii="Lucida Sans" w:hAnsi="Lucida Sans" w:cs="Times New Roman"/>
          <w:sz w:val="18"/>
          <w:szCs w:val="18"/>
        </w:rPr>
        <w:t>.</w:t>
      </w:r>
      <w:r>
        <w:rPr>
          <w:rFonts w:ascii="Lucida Sans" w:hAnsi="Lucida Sans" w:cs="Times New Roman"/>
          <w:sz w:val="18"/>
          <w:szCs w:val="18"/>
        </w:rPr>
        <w:t xml:space="preserve"> </w:t>
      </w:r>
    </w:p>
    <w:p w14:paraId="611A782C" w14:textId="77777777" w:rsidR="00F64682" w:rsidRDefault="00F64682" w:rsidP="00F64682">
      <w:pPr>
        <w:spacing w:line="360" w:lineRule="auto"/>
        <w:rPr>
          <w:rFonts w:ascii="Lucida Sans" w:hAnsi="Lucida Sans" w:cs="Times New Roman"/>
          <w:sz w:val="18"/>
          <w:szCs w:val="18"/>
        </w:rPr>
      </w:pPr>
    </w:p>
    <w:p w14:paraId="4F810C98" w14:textId="3D4916BF" w:rsidR="00F64682" w:rsidRDefault="00F64682" w:rsidP="00F64682">
      <w:pPr>
        <w:spacing w:line="360" w:lineRule="auto"/>
        <w:rPr>
          <w:rFonts w:ascii="Lucida Sans" w:hAnsi="Lucida Sans" w:cs="Times New Roman"/>
          <w:sz w:val="18"/>
          <w:szCs w:val="18"/>
        </w:rPr>
      </w:pPr>
      <w:r>
        <w:rPr>
          <w:rFonts w:ascii="Lucida Sans" w:hAnsi="Lucida Sans" w:cs="Times New Roman"/>
          <w:sz w:val="18"/>
          <w:szCs w:val="18"/>
        </w:rPr>
        <w:t xml:space="preserve">Isocarboxazid is an </w:t>
      </w:r>
      <w:r w:rsidRPr="00930133">
        <w:rPr>
          <w:rFonts w:ascii="Lucida Sans" w:hAnsi="Lucida Sans" w:cs="Times New Roman"/>
          <w:sz w:val="18"/>
          <w:szCs w:val="18"/>
        </w:rPr>
        <w:t>irreversible non-selective inhibit</w:t>
      </w:r>
      <w:r>
        <w:rPr>
          <w:rFonts w:ascii="Lucida Sans" w:hAnsi="Lucida Sans" w:cs="Times New Roman"/>
          <w:sz w:val="18"/>
          <w:szCs w:val="18"/>
        </w:rPr>
        <w:t>or</w:t>
      </w:r>
      <w:r w:rsidRPr="00930133">
        <w:rPr>
          <w:rFonts w:ascii="Lucida Sans" w:hAnsi="Lucida Sans" w:cs="Times New Roman"/>
          <w:sz w:val="18"/>
          <w:szCs w:val="18"/>
        </w:rPr>
        <w:t xml:space="preserve"> of MAO</w:t>
      </w:r>
      <w:r>
        <w:rPr>
          <w:rFonts w:ascii="Lucida Sans" w:hAnsi="Lucida Sans" w:cs="Times New Roman"/>
          <w:sz w:val="18"/>
          <w:szCs w:val="18"/>
        </w:rPr>
        <w:t xml:space="preserve"> enzymes. E</w:t>
      </w:r>
      <w:r w:rsidRPr="00930133">
        <w:rPr>
          <w:rFonts w:ascii="Lucida Sans" w:hAnsi="Lucida Sans" w:cs="Times New Roman"/>
          <w:sz w:val="18"/>
          <w:szCs w:val="18"/>
        </w:rPr>
        <w:t xml:space="preserve">arly randomised controlled trials did not establish </w:t>
      </w:r>
      <w:r>
        <w:rPr>
          <w:rFonts w:ascii="Lucida Sans" w:hAnsi="Lucida Sans" w:cs="Times New Roman"/>
          <w:sz w:val="18"/>
          <w:szCs w:val="18"/>
        </w:rPr>
        <w:t xml:space="preserve">its </w:t>
      </w:r>
      <w:r w:rsidRPr="00930133">
        <w:rPr>
          <w:rFonts w:ascii="Lucida Sans" w:hAnsi="Lucida Sans" w:cs="Times New Roman"/>
          <w:sz w:val="18"/>
          <w:szCs w:val="18"/>
        </w:rPr>
        <w:t>efficacy</w:t>
      </w:r>
      <w:r>
        <w:rPr>
          <w:rFonts w:ascii="Lucida Sans" w:hAnsi="Lucida Sans" w:cs="Times New Roman"/>
          <w:sz w:val="18"/>
          <w:szCs w:val="18"/>
        </w:rPr>
        <w:t xml:space="preserve"> in depressed patients, though it was </w:t>
      </w:r>
      <w:r w:rsidRPr="00930133">
        <w:rPr>
          <w:rFonts w:ascii="Lucida Sans" w:hAnsi="Lucida Sans" w:cs="Times New Roman"/>
          <w:sz w:val="18"/>
          <w:szCs w:val="18"/>
        </w:rPr>
        <w:t xml:space="preserve">marginally superior to moclobemide in </w:t>
      </w:r>
      <w:r>
        <w:rPr>
          <w:rFonts w:ascii="Lucida Sans" w:hAnsi="Lucida Sans" w:cs="Times New Roman"/>
          <w:sz w:val="18"/>
          <w:szCs w:val="18"/>
        </w:rPr>
        <w:t xml:space="preserve">a </w:t>
      </w:r>
      <w:r w:rsidRPr="00930133">
        <w:rPr>
          <w:rFonts w:ascii="Lucida Sans" w:hAnsi="Lucida Sans" w:cs="Times New Roman"/>
          <w:sz w:val="18"/>
          <w:szCs w:val="18"/>
        </w:rPr>
        <w:t xml:space="preserve">clomipramine-controlled study </w:t>
      </w:r>
      <w:r w:rsidR="00F200E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&lt;EndNote&gt;&lt;Cite&gt;&lt;Author&gt;Larsen&lt;/Author&gt;&lt;Year&gt;1991&lt;/Year&gt;&lt;RecNum&gt;412&lt;/RecNum&gt;&lt;DisplayText&gt;[27]&lt;/DisplayText&gt;&lt;record&gt;&lt;rec-number&gt;412&lt;/rec-number&gt;&lt;foreign-keys&gt;&lt;key app="EN" db-id="2xwpd9xwpest5ue9rwa5etrr9fzzxded9vfx" timestamp="0"&gt;412&lt;/key&gt;&lt;/foreign-keys&gt;&lt;ref-type name="Journal Article"&gt;17&lt;/ref-type&gt;&lt;contributors&gt;&lt;authors&gt;&lt;author&gt;Larsen, JK&lt;/author&gt;&lt;author&gt;Gjerris, A&lt;/author&gt;&lt;author&gt;Holm, P&lt;/author&gt;&lt;author&gt;Andersen, J&lt;/author&gt;&lt;author&gt;Bille, A&lt;/author&gt;&lt;author&gt;Christensen, EM&lt;/author&gt;&lt;author&gt;Høyer, E&lt;/author&gt;&lt;author&gt;Jensen, H&lt;/author&gt;&lt;author&gt;Mejlhede, A&lt;/author&gt;&lt;author&gt;Langagergaard, A&lt;/author&gt;&lt;/authors&gt;&lt;/contributors&gt;&lt;titles&gt;&lt;title&gt;Moclobemide in depression: a randomized, multicentre trial against isocarboxazide and clomipramine emphasizing atypical depression&lt;/title&gt;&lt;secondary-title&gt;Acta Psychiatrica Scandinavica&lt;/secondary-title&gt;&lt;/titles&gt;&lt;periodical&gt;&lt;full-title&gt;Acta Psychiatrica Scandinavica&lt;/full-title&gt;&lt;/periodical&gt;&lt;pages&gt;564-570&lt;/pages&gt;&lt;volume&gt;84&lt;/volume&gt;&lt;number&gt;6&lt;/number&gt;&lt;dates&gt;&lt;year&gt;1991&lt;/year&gt;&lt;/dates&gt;&lt;isbn&gt;0001-690X&lt;/isbn&gt;&lt;urls&gt;&lt;/urls&gt;&lt;/record&gt;&lt;/Cite&gt;&lt;/EndNote&gt;</w:instrText>
      </w:r>
      <w:r w:rsidR="00F200EC">
        <w:rPr>
          <w:rFonts w:ascii="Lucida Sans" w:hAnsi="Lucida Sans" w:cs="Times New Roman"/>
          <w:sz w:val="18"/>
          <w:szCs w:val="18"/>
        </w:rPr>
        <w:fldChar w:fldCharType="separate"/>
      </w:r>
      <w:r w:rsidR="00271279">
        <w:rPr>
          <w:rFonts w:ascii="Lucida Sans" w:hAnsi="Lucida Sans" w:cs="Times New Roman"/>
          <w:noProof/>
          <w:sz w:val="18"/>
          <w:szCs w:val="18"/>
        </w:rPr>
        <w:t>[27]</w:t>
      </w:r>
      <w:r w:rsidR="00F200EC">
        <w:rPr>
          <w:rFonts w:ascii="Lucida Sans" w:hAnsi="Lucida Sans" w:cs="Times New Roman"/>
          <w:sz w:val="18"/>
          <w:szCs w:val="18"/>
        </w:rPr>
        <w:fldChar w:fldCharType="end"/>
      </w:r>
      <w:r>
        <w:rPr>
          <w:rFonts w:ascii="Lucida Sans" w:hAnsi="Lucida Sans" w:cs="Times New Roman"/>
          <w:sz w:val="18"/>
          <w:szCs w:val="18"/>
        </w:rPr>
        <w:t xml:space="preserve">. It is </w:t>
      </w:r>
      <w:r w:rsidRPr="00930133">
        <w:rPr>
          <w:rFonts w:ascii="Lucida Sans" w:hAnsi="Lucida Sans" w:cs="Times New Roman"/>
          <w:sz w:val="18"/>
          <w:szCs w:val="18"/>
        </w:rPr>
        <w:t>used only rarely, in patients with treatment-resistant depression</w:t>
      </w:r>
      <w:r w:rsidR="00F200EC">
        <w:rPr>
          <w:rFonts w:ascii="Lucida Sans" w:hAnsi="Lucida Sans" w:cs="Times New Roman"/>
          <w:sz w:val="18"/>
          <w:szCs w:val="18"/>
        </w:rPr>
        <w:t xml:space="preserve"> </w:t>
      </w:r>
      <w:r w:rsidR="00F200E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&lt;EndNote&gt;&lt;Cite&gt;&lt;Author&gt;Larsen&lt;/Author&gt;&lt;Year&gt;2016&lt;/Year&gt;&lt;RecNum&gt;414&lt;/RecNum&gt;&lt;DisplayText&gt;[28]&lt;/DisplayText&gt;&lt;record&gt;&lt;rec-number&gt;414&lt;/rec-number&gt;&lt;foreign-keys&gt;&lt;key app="EN" db-id="2xwpd9xwpest5ue9rwa5etrr9fzzxded9vfx" timestamp="0"&gt;414&lt;/key&gt;&lt;/foreign-keys&gt;&lt;ref-type name="Journal Article"&gt;17&lt;/ref-type&gt;&lt;contributors&gt;&lt;authors&gt;&lt;author&gt;Larsen, Jens Knud&lt;/author&gt;&lt;author&gt;Krogh-Nielsen, Lene&lt;/author&gt;&lt;author&gt;Brøsen, Kim&lt;/author&gt;&lt;/authors&gt;&lt;/contributors&gt;&lt;titles&gt;&lt;title&gt;The Monoamine Oxidase Inhibitor Isocarboxazid is a Relevant Treatment Option in Treatment-Resistant Depression-Experience-Based Strategies in Danish Psychiatry&lt;/title&gt;&lt;secondary-title&gt;Health Care: Current Reviews&lt;/secondary-title&gt;&lt;/titles&gt;&lt;pages&gt;1-4&lt;/pages&gt;&lt;dates&gt;&lt;year&gt;2016&lt;/year&gt;&lt;/dates&gt;&lt;isbn&gt;2375-4273&lt;/isbn&gt;&lt;urls&gt;&lt;/urls&gt;&lt;/record&gt;&lt;/Cite&gt;&lt;/EndNote&gt;</w:instrText>
      </w:r>
      <w:r w:rsidR="00F200EC">
        <w:rPr>
          <w:rFonts w:ascii="Lucida Sans" w:hAnsi="Lucida Sans" w:cs="Times New Roman"/>
          <w:sz w:val="18"/>
          <w:szCs w:val="18"/>
        </w:rPr>
        <w:fldChar w:fldCharType="separate"/>
      </w:r>
      <w:r w:rsidR="00271279">
        <w:rPr>
          <w:rFonts w:ascii="Lucida Sans" w:hAnsi="Lucida Sans" w:cs="Times New Roman"/>
          <w:noProof/>
          <w:sz w:val="18"/>
          <w:szCs w:val="18"/>
        </w:rPr>
        <w:t>[28]</w:t>
      </w:r>
      <w:r w:rsidR="00F200EC">
        <w:rPr>
          <w:rFonts w:ascii="Lucida Sans" w:hAnsi="Lucida Sans" w:cs="Times New Roman"/>
          <w:sz w:val="18"/>
          <w:szCs w:val="18"/>
        </w:rPr>
        <w:fldChar w:fldCharType="end"/>
      </w:r>
      <w:r>
        <w:rPr>
          <w:rFonts w:ascii="Lucida Sans" w:hAnsi="Lucida Sans" w:cs="Times New Roman"/>
          <w:sz w:val="18"/>
          <w:szCs w:val="18"/>
        </w:rPr>
        <w:t>. A</w:t>
      </w:r>
      <w:r w:rsidRPr="00930133">
        <w:rPr>
          <w:rFonts w:ascii="Lucida Sans" w:hAnsi="Lucida Sans" w:cs="Times New Roman"/>
          <w:sz w:val="18"/>
          <w:szCs w:val="18"/>
        </w:rPr>
        <w:t xml:space="preserve">dverse effects include dizziness, orthostatic hypotension, headache, </w:t>
      </w:r>
      <w:r>
        <w:rPr>
          <w:rFonts w:ascii="Lucida Sans" w:hAnsi="Lucida Sans" w:cs="Times New Roman"/>
          <w:sz w:val="18"/>
          <w:szCs w:val="18"/>
        </w:rPr>
        <w:t xml:space="preserve">and </w:t>
      </w:r>
      <w:r w:rsidRPr="00930133">
        <w:rPr>
          <w:rFonts w:ascii="Lucida Sans" w:hAnsi="Lucida Sans" w:cs="Times New Roman"/>
          <w:sz w:val="18"/>
          <w:szCs w:val="18"/>
        </w:rPr>
        <w:t>oedema</w:t>
      </w:r>
      <w:r>
        <w:rPr>
          <w:rFonts w:ascii="Lucida Sans" w:hAnsi="Lucida Sans" w:cs="Times New Roman"/>
          <w:sz w:val="18"/>
          <w:szCs w:val="18"/>
        </w:rPr>
        <w:t xml:space="preserve">. It </w:t>
      </w:r>
      <w:r w:rsidRPr="00930133">
        <w:rPr>
          <w:rFonts w:ascii="Lucida Sans" w:hAnsi="Lucida Sans" w:cs="Times New Roman"/>
          <w:sz w:val="18"/>
          <w:szCs w:val="18"/>
        </w:rPr>
        <w:t>inhibits ac</w:t>
      </w:r>
      <w:r>
        <w:rPr>
          <w:rFonts w:ascii="Lucida Sans" w:hAnsi="Lucida Sans" w:cs="Times New Roman"/>
          <w:sz w:val="18"/>
          <w:szCs w:val="18"/>
        </w:rPr>
        <w:t xml:space="preserve">tivation of pyridoxine to </w:t>
      </w:r>
      <w:r w:rsidR="009C3518">
        <w:rPr>
          <w:rFonts w:ascii="Lucida Sans" w:hAnsi="Lucida Sans" w:cs="Times New Roman"/>
          <w:sz w:val="18"/>
          <w:szCs w:val="18"/>
        </w:rPr>
        <w:t>p</w:t>
      </w:r>
      <w:r w:rsidR="009C3518" w:rsidRPr="009C3518">
        <w:rPr>
          <w:rFonts w:ascii="Lucida Sans" w:hAnsi="Lucida Sans" w:cs="Times New Roman"/>
          <w:sz w:val="18"/>
          <w:szCs w:val="18"/>
        </w:rPr>
        <w:t>yridoxal 5</w:t>
      </w:r>
      <w:r w:rsidR="009C3518" w:rsidRPr="009C3518">
        <w:rPr>
          <w:sz w:val="18"/>
          <w:szCs w:val="18"/>
        </w:rPr>
        <w:t>′</w:t>
      </w:r>
      <w:r w:rsidR="009C3518" w:rsidRPr="009C3518">
        <w:rPr>
          <w:rFonts w:ascii="Lucida Sans" w:hAnsi="Lucida Sans" w:cs="Times New Roman"/>
          <w:sz w:val="18"/>
          <w:szCs w:val="18"/>
        </w:rPr>
        <w:t>-phosphate</w:t>
      </w:r>
      <w:r w:rsidR="009C3518">
        <w:rPr>
          <w:rFonts w:ascii="Lucida Sans" w:hAnsi="Lucida Sans" w:cs="Times New Roman"/>
          <w:sz w:val="18"/>
          <w:szCs w:val="18"/>
        </w:rPr>
        <w:t xml:space="preserve"> (</w:t>
      </w:r>
      <w:r>
        <w:rPr>
          <w:rFonts w:ascii="Lucida Sans" w:hAnsi="Lucida Sans" w:cs="Times New Roman"/>
          <w:sz w:val="18"/>
          <w:szCs w:val="18"/>
        </w:rPr>
        <w:t xml:space="preserve">PLP, </w:t>
      </w:r>
      <w:r w:rsidR="009C3518">
        <w:rPr>
          <w:rFonts w:ascii="Lucida Sans" w:hAnsi="Lucida Sans" w:cs="Times New Roman"/>
          <w:sz w:val="18"/>
          <w:szCs w:val="18"/>
        </w:rPr>
        <w:t xml:space="preserve">the active metabolite) </w:t>
      </w:r>
      <w:r>
        <w:rPr>
          <w:rFonts w:ascii="Lucida Sans" w:hAnsi="Lucida Sans" w:cs="Times New Roman"/>
          <w:sz w:val="18"/>
          <w:szCs w:val="18"/>
        </w:rPr>
        <w:t xml:space="preserve">and </w:t>
      </w:r>
      <w:r w:rsidRPr="00930133">
        <w:rPr>
          <w:rFonts w:ascii="Lucida Sans" w:hAnsi="Lucida Sans" w:cs="Times New Roman"/>
          <w:sz w:val="18"/>
          <w:szCs w:val="18"/>
        </w:rPr>
        <w:t xml:space="preserve">B6 supplementation reduces </w:t>
      </w:r>
      <w:r>
        <w:rPr>
          <w:rFonts w:ascii="Lucida Sans" w:hAnsi="Lucida Sans" w:cs="Times New Roman"/>
          <w:sz w:val="18"/>
          <w:szCs w:val="18"/>
        </w:rPr>
        <w:t xml:space="preserve">treatment-emergent </w:t>
      </w:r>
      <w:r w:rsidRPr="00930133">
        <w:rPr>
          <w:rFonts w:ascii="Lucida Sans" w:hAnsi="Lucida Sans" w:cs="Times New Roman"/>
          <w:sz w:val="18"/>
          <w:szCs w:val="18"/>
        </w:rPr>
        <w:t xml:space="preserve">oedema </w:t>
      </w:r>
      <w:r w:rsidR="00F200E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&lt;EndNote&gt;&lt;Cite&gt;&lt;Author&gt;Larsen&lt;/Author&gt;&lt;Year&gt;2011&lt;/Year&gt;&lt;RecNum&gt;413&lt;/RecNum&gt;&lt;DisplayText&gt;[29]&lt;/DisplayText&gt;&lt;record&gt;&lt;rec-number&gt;413&lt;/rec-number&gt;&lt;foreign-keys&gt;&lt;key app="EN" db-id="2xwpd9xwpest5ue9rwa5etrr9fzzxded9vfx" timestamp="0"&gt;413&lt;/key&gt;&lt;/foreign-keys&gt;&lt;ref-type name="Journal Article"&gt;17&lt;/ref-type&gt;&lt;contributors&gt;&lt;authors&gt;&lt;author&gt;Larsen, J. K.&lt;/author&gt;&lt;author&gt;Bendsen, B. B.&lt;/author&gt;&lt;author&gt;Bech, P.&lt;/author&gt;&lt;/authors&gt;&lt;/contributors&gt;&lt;titles&gt;&lt;title&gt;Vitamin B6 treatment of oedema induced by mirtazapine and isocarboxazid&lt;/title&gt;&lt;secondary-title&gt;Acta Psychiatrica Scandinavica&lt;/secondary-title&gt;&lt;/titles&gt;&lt;periodical&gt;&lt;full-title&gt;Acta Psychiatrica Scandinavica&lt;/full-title&gt;&lt;/periodical&gt;&lt;pages&gt;76-77&lt;/pages&gt;&lt;volume&gt;124&lt;/volume&gt;&lt;number&gt;1&lt;/number&gt;&lt;dates&gt;&lt;year&gt;2011&lt;/year&gt;&lt;/dates&gt;&lt;isbn&gt;0001-690X&lt;/isbn&gt;&lt;urls&gt;&lt;related-urls&gt;&lt;url&gt;https://onlinelibrary.wiley.com/doi/abs/10.1111/j.1600-0447.2011.01695.x&lt;/url&gt;&lt;/related-urls&gt;&lt;/urls&gt;&lt;electronic-resource-num&gt;10.1111/j.1600-0447.2011.01695.x&lt;/electronic-resource-num&gt;&lt;/record&gt;&lt;/Cite&gt;&lt;/EndNote&gt;</w:instrText>
      </w:r>
      <w:r w:rsidR="00F200EC">
        <w:rPr>
          <w:rFonts w:ascii="Lucida Sans" w:hAnsi="Lucida Sans" w:cs="Times New Roman"/>
          <w:sz w:val="18"/>
          <w:szCs w:val="18"/>
        </w:rPr>
        <w:fldChar w:fldCharType="separate"/>
      </w:r>
      <w:r w:rsidR="00271279">
        <w:rPr>
          <w:rFonts w:ascii="Lucida Sans" w:hAnsi="Lucida Sans" w:cs="Times New Roman"/>
          <w:noProof/>
          <w:sz w:val="18"/>
          <w:szCs w:val="18"/>
        </w:rPr>
        <w:t>[29]</w:t>
      </w:r>
      <w:r w:rsidR="00F200EC">
        <w:rPr>
          <w:rFonts w:ascii="Lucida Sans" w:hAnsi="Lucida Sans" w:cs="Times New Roman"/>
          <w:sz w:val="18"/>
          <w:szCs w:val="18"/>
        </w:rPr>
        <w:fldChar w:fldCharType="end"/>
      </w:r>
      <w:r>
        <w:rPr>
          <w:rFonts w:ascii="Lucida Sans" w:hAnsi="Lucida Sans" w:cs="Times New Roman"/>
          <w:sz w:val="18"/>
          <w:szCs w:val="18"/>
        </w:rPr>
        <w:t xml:space="preserve">. </w:t>
      </w:r>
    </w:p>
    <w:p w14:paraId="24CD108B" w14:textId="77777777" w:rsidR="00F64682" w:rsidRDefault="00F64682" w:rsidP="00F64682">
      <w:pPr>
        <w:spacing w:line="360" w:lineRule="auto"/>
        <w:rPr>
          <w:rFonts w:ascii="Lucida Sans" w:hAnsi="Lucida Sans" w:cs="Times New Roman"/>
          <w:sz w:val="18"/>
          <w:szCs w:val="18"/>
        </w:rPr>
      </w:pPr>
    </w:p>
    <w:p w14:paraId="6A00587E" w14:textId="1050F1E3" w:rsidR="00F64682" w:rsidRDefault="00F64682" w:rsidP="00F64682">
      <w:pPr>
        <w:spacing w:line="360" w:lineRule="auto"/>
        <w:rPr>
          <w:rFonts w:ascii="Lucida Sans" w:hAnsi="Lucida Sans" w:cs="Times New Roman"/>
          <w:sz w:val="18"/>
          <w:szCs w:val="18"/>
        </w:rPr>
      </w:pPr>
      <w:r>
        <w:rPr>
          <w:rFonts w:ascii="Lucida Sans" w:hAnsi="Lucida Sans" w:cs="Times New Roman"/>
          <w:sz w:val="18"/>
          <w:szCs w:val="18"/>
        </w:rPr>
        <w:t xml:space="preserve">Moclobemide </w:t>
      </w:r>
      <w:r w:rsidR="00B34BF1">
        <w:rPr>
          <w:rFonts w:ascii="Lucida Sans" w:hAnsi="Lucida Sans" w:cs="Times New Roman"/>
          <w:sz w:val="18"/>
          <w:szCs w:val="18"/>
        </w:rPr>
        <w:t xml:space="preserve">(not currently available in the USA) </w:t>
      </w:r>
      <w:r>
        <w:rPr>
          <w:rFonts w:ascii="Lucida Sans" w:hAnsi="Lucida Sans" w:cs="Times New Roman"/>
          <w:sz w:val="18"/>
          <w:szCs w:val="18"/>
        </w:rPr>
        <w:t xml:space="preserve">is a </w:t>
      </w:r>
      <w:r w:rsidRPr="00107958">
        <w:rPr>
          <w:rFonts w:ascii="Lucida Sans" w:hAnsi="Lucida Sans" w:cs="Times New Roman"/>
          <w:sz w:val="18"/>
          <w:szCs w:val="18"/>
        </w:rPr>
        <w:t>reversible inhibitor of monoamine oxidase-A (RIMA), inhibition last</w:t>
      </w:r>
      <w:r>
        <w:rPr>
          <w:rFonts w:ascii="Lucida Sans" w:hAnsi="Lucida Sans" w:cs="Times New Roman"/>
          <w:sz w:val="18"/>
          <w:szCs w:val="18"/>
        </w:rPr>
        <w:t>ing</w:t>
      </w:r>
      <w:r w:rsidRPr="00107958">
        <w:rPr>
          <w:rFonts w:ascii="Lucida Sans" w:hAnsi="Lucida Sans" w:cs="Times New Roman"/>
          <w:sz w:val="18"/>
          <w:szCs w:val="18"/>
        </w:rPr>
        <w:t xml:space="preserve"> less than 24 hrs</w:t>
      </w:r>
      <w:r w:rsidR="004A2227">
        <w:rPr>
          <w:rFonts w:ascii="Lucida Sans" w:hAnsi="Lucida Sans" w:cs="Times New Roman"/>
          <w:sz w:val="18"/>
          <w:szCs w:val="18"/>
        </w:rPr>
        <w:t xml:space="preserve"> </w:t>
      </w:r>
      <w:r w:rsidR="004A2227">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&lt;EndNote&gt;&lt;Cite&gt;&lt;Author&gt;Keller&lt;/Author&gt;&lt;Year&gt;1987&lt;/Year&gt;&lt;RecNum&gt;607&lt;/RecNum&gt;&lt;DisplayText&gt;[30]&lt;/DisplayText&gt;&lt;record&gt;&lt;rec-number&gt;607&lt;/rec-number&gt;&lt;foreign-keys&gt;&lt;key app="EN" db-id="2xwpd9xwpest5ue9rwa5etrr9fzzxded9vfx" timestamp="1621505478"&gt;607&lt;/key&gt;&lt;/foreign-keys&gt;&lt;ref-type name="Journal Article"&gt;17&lt;/ref-type&gt;&lt;contributors&gt;&lt;authors&gt;&lt;author&gt;Keller, H. H.&lt;/author&gt;&lt;author&gt;Kettler, R.&lt;/author&gt;&lt;author&gt;Keller, G.&lt;/author&gt;&lt;author&gt;Daprada, M.&lt;/author&gt;&lt;/authors&gt;&lt;/contributors&gt;&lt;auth-address&gt;KELLER, HH (corresponding author), F HOFFMANN LA ROCHE &amp;amp; CO LTD,PHARMACEUT RES DEPT,CH-4002 BASEL,SWITZERLAND.&lt;/auth-address&gt;&lt;titles&gt;&lt;title&gt;SHORT-ACTING NOVEL MAO INHIBITORS - INVITRO EVIDENCE FOR THE REVERSIBILITY OF MAO INHIBITION BY MOCLOBEMIDE AND RO 16-6491&lt;/title&gt;&lt;secondary-title&gt;Naunyn-Schmiedebergs Archives of Pharmacology&lt;/secondary-title&gt;&lt;alt-title&gt;Naunyn-Schmiedebergs Arch. Pharmacol.&lt;/alt-title&gt;&lt;/titles&gt;&lt;periodical&gt;&lt;full-title&gt;Naunyn-Schmiedebergs Archives of Pharmacology&lt;/full-title&gt;&lt;abbr-1&gt;Naunyn-Schmiedebergs Arch. Pharmacol.&lt;/abbr-1&gt;&lt;/periodical&gt;&lt;alt-periodical&gt;&lt;full-title&gt;Naunyn-Schmiedebergs Archives of Pharmacology&lt;/full-title&gt;&lt;abbr-1&gt;Naunyn-Schmiedebergs Arch. Pharmacol.&lt;/abbr-1&gt;&lt;/alt-periodical&gt;&lt;pages&gt;12-20&lt;/pages&gt;&lt;volume&gt;335&lt;/volume&gt;&lt;number&gt;1&lt;/number&gt;&lt;keywords&gt;&lt;keyword&gt;Pharmacology &amp;amp; Pharmacy&lt;/keyword&gt;&lt;/keywords&gt;&lt;dates&gt;&lt;year&gt;1987&lt;/year&gt;&lt;pub-dates&gt;&lt;date&gt;Jan&lt;/date&gt;&lt;/pub-dates&gt;&lt;/dates&gt;&lt;isbn&gt;0028-1298&lt;/isbn&gt;&lt;accession-num&gt;WOS:A1987F551200003&lt;/accession-num&gt;&lt;work-type&gt;Article&lt;/work-type&gt;&lt;urls&gt;&lt;related-urls&gt;&lt;url&gt;&amp;lt;Go to ISI&amp;gt;://WOS:A1987F551200003&lt;/url&gt;&lt;/related-urls&gt;&lt;/urls&gt;&lt;electronic-resource-num&gt;10.1007/bf00165029&lt;/electronic-resource-num&gt;&lt;language&gt;English&lt;/language&gt;&lt;/record&gt;&lt;/Cite&gt;&lt;/EndNote&gt;</w:instrText>
      </w:r>
      <w:r w:rsidR="004A2227">
        <w:rPr>
          <w:rFonts w:ascii="Lucida Sans" w:hAnsi="Lucida Sans" w:cs="Times New Roman"/>
          <w:sz w:val="18"/>
          <w:szCs w:val="18"/>
        </w:rPr>
        <w:fldChar w:fldCharType="separate"/>
      </w:r>
      <w:r w:rsidR="00271279">
        <w:rPr>
          <w:rFonts w:ascii="Lucida Sans" w:hAnsi="Lucida Sans" w:cs="Times New Roman"/>
          <w:noProof/>
          <w:sz w:val="18"/>
          <w:szCs w:val="18"/>
        </w:rPr>
        <w:t>[30]</w:t>
      </w:r>
      <w:r w:rsidR="004A2227">
        <w:rPr>
          <w:rFonts w:ascii="Lucida Sans" w:hAnsi="Lucida Sans" w:cs="Times New Roman"/>
          <w:sz w:val="18"/>
          <w:szCs w:val="18"/>
        </w:rPr>
        <w:fldChar w:fldCharType="end"/>
      </w:r>
      <w:r w:rsidR="0050323A">
        <w:rPr>
          <w:rFonts w:ascii="Lucida Sans" w:hAnsi="Lucida Sans" w:cs="Times New Roman"/>
          <w:sz w:val="18"/>
          <w:szCs w:val="18"/>
        </w:rPr>
        <w:t>.</w:t>
      </w:r>
      <w:r w:rsidR="00B34BF1">
        <w:rPr>
          <w:rFonts w:ascii="Lucida Sans" w:hAnsi="Lucida Sans" w:cs="Times New Roman"/>
          <w:sz w:val="18"/>
          <w:szCs w:val="18"/>
        </w:rPr>
        <w:t xml:space="preserve"> </w:t>
      </w:r>
      <w:r>
        <w:rPr>
          <w:rFonts w:ascii="Lucida Sans" w:hAnsi="Lucida Sans" w:cs="Times New Roman"/>
          <w:sz w:val="18"/>
          <w:szCs w:val="18"/>
        </w:rPr>
        <w:t xml:space="preserve">It is somewhat </w:t>
      </w:r>
      <w:r w:rsidRPr="00107958">
        <w:rPr>
          <w:rFonts w:ascii="Lucida Sans" w:hAnsi="Lucida Sans" w:cs="Times New Roman"/>
          <w:sz w:val="18"/>
          <w:szCs w:val="18"/>
        </w:rPr>
        <w:t>selective</w:t>
      </w:r>
      <w:r>
        <w:rPr>
          <w:rFonts w:ascii="Lucida Sans" w:hAnsi="Lucida Sans" w:cs="Times New Roman"/>
          <w:sz w:val="18"/>
          <w:szCs w:val="18"/>
        </w:rPr>
        <w:t>,</w:t>
      </w:r>
      <w:r w:rsidRPr="00107958">
        <w:rPr>
          <w:rFonts w:ascii="Lucida Sans" w:hAnsi="Lucida Sans" w:cs="Times New Roman"/>
          <w:sz w:val="18"/>
          <w:szCs w:val="18"/>
        </w:rPr>
        <w:t xml:space="preserve"> </w:t>
      </w:r>
      <w:r>
        <w:rPr>
          <w:rFonts w:ascii="Lucida Sans" w:hAnsi="Lucida Sans" w:cs="Times New Roman"/>
          <w:sz w:val="18"/>
          <w:szCs w:val="18"/>
        </w:rPr>
        <w:t xml:space="preserve">as a </w:t>
      </w:r>
      <w:r w:rsidRPr="00107958">
        <w:rPr>
          <w:rFonts w:ascii="Lucida Sans" w:hAnsi="Lucida Sans" w:cs="Times New Roman"/>
          <w:sz w:val="18"/>
          <w:szCs w:val="18"/>
        </w:rPr>
        <w:t xml:space="preserve">300 mg dose </w:t>
      </w:r>
      <w:r>
        <w:rPr>
          <w:rFonts w:ascii="Lucida Sans" w:hAnsi="Lucida Sans" w:cs="Times New Roman"/>
          <w:sz w:val="18"/>
          <w:szCs w:val="18"/>
        </w:rPr>
        <w:t xml:space="preserve">of moclobemide </w:t>
      </w:r>
      <w:r w:rsidRPr="00107958">
        <w:rPr>
          <w:rFonts w:ascii="Lucida Sans" w:hAnsi="Lucida Sans" w:cs="Times New Roman"/>
          <w:sz w:val="18"/>
          <w:szCs w:val="18"/>
        </w:rPr>
        <w:t xml:space="preserve">inhibits 80% </w:t>
      </w:r>
      <w:r>
        <w:rPr>
          <w:rFonts w:ascii="Lucida Sans" w:hAnsi="Lucida Sans" w:cs="Times New Roman"/>
          <w:sz w:val="18"/>
          <w:szCs w:val="18"/>
        </w:rPr>
        <w:t xml:space="preserve">of </w:t>
      </w:r>
      <w:r w:rsidRPr="00107958">
        <w:rPr>
          <w:rFonts w:ascii="Lucida Sans" w:hAnsi="Lucida Sans" w:cs="Times New Roman"/>
          <w:sz w:val="18"/>
          <w:szCs w:val="18"/>
        </w:rPr>
        <w:t xml:space="preserve">MAO-A </w:t>
      </w:r>
      <w:r>
        <w:rPr>
          <w:rFonts w:ascii="Lucida Sans" w:hAnsi="Lucida Sans" w:cs="Times New Roman"/>
          <w:sz w:val="18"/>
          <w:szCs w:val="18"/>
        </w:rPr>
        <w:t>but only</w:t>
      </w:r>
      <w:r w:rsidRPr="00107958">
        <w:rPr>
          <w:rFonts w:ascii="Lucida Sans" w:hAnsi="Lucida Sans" w:cs="Times New Roman"/>
          <w:sz w:val="18"/>
          <w:szCs w:val="18"/>
        </w:rPr>
        <w:t xml:space="preserve"> 30% </w:t>
      </w:r>
      <w:r>
        <w:rPr>
          <w:rFonts w:ascii="Lucida Sans" w:hAnsi="Lucida Sans" w:cs="Times New Roman"/>
          <w:sz w:val="18"/>
          <w:szCs w:val="18"/>
        </w:rPr>
        <w:t xml:space="preserve">of </w:t>
      </w:r>
      <w:r w:rsidRPr="00107958">
        <w:rPr>
          <w:rFonts w:ascii="Lucida Sans" w:hAnsi="Lucida Sans" w:cs="Times New Roman"/>
          <w:sz w:val="18"/>
          <w:szCs w:val="18"/>
        </w:rPr>
        <w:t>MAO-B</w:t>
      </w:r>
      <w:r w:rsidR="002D6C8D">
        <w:rPr>
          <w:rFonts w:ascii="Lucida Sans" w:hAnsi="Lucida Sans" w:cs="Times New Roman"/>
          <w:sz w:val="18"/>
          <w:szCs w:val="18"/>
        </w:rPr>
        <w:t xml:space="preserve"> </w:t>
      </w:r>
      <w:r w:rsidR="004A2227">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&lt;EndNote&gt;&lt;Cite&gt;&lt;Author&gt;Haefely&lt;/Author&gt;&lt;Year&gt;1992&lt;/Year&gt;&lt;RecNum&gt;608&lt;/RecNum&gt;&lt;DisplayText&gt;[31]&lt;/DisplayText&gt;&lt;record&gt;&lt;rec-number&gt;608&lt;/rec-number&gt;&lt;foreign-keys&gt;&lt;key app="EN" db-id="2xwpd9xwpest5ue9rwa5etrr9fzzxded9vfx" timestamp="1621505594"&gt;608&lt;/key&gt;&lt;/foreign-keys&gt;&lt;ref-type name="Journal Article"&gt;17&lt;/ref-type&gt;&lt;contributors&gt;&lt;authors&gt;&lt;author&gt;Haefely, W&lt;/author&gt;&lt;author&gt;Burkard, WP&lt;/author&gt;&lt;author&gt;Cesura, AM&lt;/author&gt;&lt;author&gt;Kettler, R&lt;/author&gt;&lt;author&gt;Lorez, HP&lt;/author&gt;&lt;author&gt;Martin, JR&lt;/author&gt;&lt;author&gt;Richards, JG&lt;/author&gt;&lt;author&gt;Scherschlicht, R&lt;/author&gt;&lt;author&gt;Da Prada, M&lt;/author&gt;&lt;/authors&gt;&lt;/contributors&gt;&lt;titles&gt;&lt;title&gt;Biochemistry and pharmacology of moclobemide, a prototype RIMA&lt;/title&gt;&lt;secondary-title&gt;Psychopharmacology&lt;/secondary-title&gt;&lt;/titles&gt;&lt;periodical&gt;&lt;full-title&gt;Psychopharmacology&lt;/full-title&gt;&lt;/periodical&gt;&lt;pages&gt;S6-S14&lt;/pages&gt;&lt;volume&gt;106&lt;/volume&gt;&lt;number&gt;1&lt;/number&gt;&lt;dates&gt;&lt;year&gt;1992&lt;/year&gt;&lt;/dates&gt;&lt;isbn&gt;1432-2072&lt;/isbn&gt;&lt;urls&gt;&lt;/urls&gt;&lt;/record&gt;&lt;/Cite&gt;&lt;/EndNote&gt;</w:instrText>
      </w:r>
      <w:r w:rsidR="004A2227">
        <w:rPr>
          <w:rFonts w:ascii="Lucida Sans" w:hAnsi="Lucida Sans" w:cs="Times New Roman"/>
          <w:sz w:val="18"/>
          <w:szCs w:val="18"/>
        </w:rPr>
        <w:fldChar w:fldCharType="separate"/>
      </w:r>
      <w:r w:rsidR="00271279">
        <w:rPr>
          <w:rFonts w:ascii="Lucida Sans" w:hAnsi="Lucida Sans" w:cs="Times New Roman"/>
          <w:noProof/>
          <w:sz w:val="18"/>
          <w:szCs w:val="18"/>
        </w:rPr>
        <w:t>[31]</w:t>
      </w:r>
      <w:r w:rsidR="004A2227">
        <w:rPr>
          <w:rFonts w:ascii="Lucida Sans" w:hAnsi="Lucida Sans" w:cs="Times New Roman"/>
          <w:sz w:val="18"/>
          <w:szCs w:val="18"/>
        </w:rPr>
        <w:fldChar w:fldCharType="end"/>
      </w:r>
      <w:r w:rsidR="00EF3C4D">
        <w:rPr>
          <w:rFonts w:ascii="Lucida Sans" w:hAnsi="Lucida Sans" w:cs="Times New Roman"/>
          <w:sz w:val="18"/>
          <w:szCs w:val="18"/>
        </w:rPr>
        <w:t xml:space="preserve">. </w:t>
      </w:r>
      <w:r>
        <w:rPr>
          <w:rFonts w:ascii="Lucida Sans" w:hAnsi="Lucida Sans" w:cs="Times New Roman"/>
          <w:sz w:val="18"/>
          <w:szCs w:val="18"/>
        </w:rPr>
        <w:t xml:space="preserve">The </w:t>
      </w:r>
      <w:r w:rsidRPr="00107958">
        <w:rPr>
          <w:rFonts w:ascii="Lucida Sans" w:hAnsi="Lucida Sans" w:cs="Times New Roman"/>
          <w:sz w:val="18"/>
          <w:szCs w:val="18"/>
        </w:rPr>
        <w:t xml:space="preserve">potentiation of </w:t>
      </w:r>
      <w:r>
        <w:rPr>
          <w:rFonts w:ascii="Lucida Sans" w:hAnsi="Lucida Sans" w:cs="Times New Roman"/>
          <w:sz w:val="18"/>
          <w:szCs w:val="18"/>
        </w:rPr>
        <w:t xml:space="preserve">the </w:t>
      </w:r>
      <w:r w:rsidRPr="00107958">
        <w:rPr>
          <w:rFonts w:ascii="Lucida Sans" w:hAnsi="Lucida Sans" w:cs="Times New Roman"/>
          <w:sz w:val="18"/>
          <w:szCs w:val="18"/>
        </w:rPr>
        <w:t xml:space="preserve">pressor effect of </w:t>
      </w:r>
      <w:r w:rsidRPr="00B35813">
        <w:rPr>
          <w:rFonts w:ascii="Lucida Sans" w:hAnsi="Lucida Sans" w:cs="Times New Roman"/>
          <w:sz w:val="18"/>
          <w:szCs w:val="18"/>
        </w:rPr>
        <w:t xml:space="preserve">tyramine is approximately 12% of that with irreversible MAOIs, and a hypertensive reaction is </w:t>
      </w:r>
      <w:r w:rsidR="000A41E6" w:rsidRPr="00B35813">
        <w:rPr>
          <w:rFonts w:ascii="Lucida Sans" w:hAnsi="Lucida Sans" w:cs="Times New Roman"/>
          <w:sz w:val="18"/>
          <w:szCs w:val="18"/>
        </w:rPr>
        <w:t xml:space="preserve">deemed </w:t>
      </w:r>
      <w:r w:rsidRPr="00B35813">
        <w:rPr>
          <w:rFonts w:ascii="Lucida Sans" w:hAnsi="Lucida Sans" w:cs="Times New Roman"/>
          <w:sz w:val="18"/>
          <w:szCs w:val="18"/>
        </w:rPr>
        <w:t xml:space="preserve">unlikely if it is taken with tyramine-containing foodstuffs </w:t>
      </w:r>
      <w:r w:rsidR="008514ED" w:rsidRPr="00B35813">
        <w:rPr>
          <w:rFonts w:ascii="Lucida Sans" w:hAnsi="Lucida Sans" w:cs="Times New Roman"/>
          <w:sz w:val="18"/>
          <w:szCs w:val="18"/>
        </w:rPr>
        <w:t>(24)</w:t>
      </w:r>
      <w:r w:rsidRPr="00B35813">
        <w:rPr>
          <w:rFonts w:ascii="Lucida Sans" w:hAnsi="Lucida Sans" w:cs="Times New Roman"/>
          <w:sz w:val="18"/>
          <w:szCs w:val="18"/>
        </w:rPr>
        <w:t xml:space="preserve">. </w:t>
      </w:r>
      <w:r w:rsidR="0098443C" w:rsidRPr="00B35813">
        <w:rPr>
          <w:rFonts w:ascii="Lucida Sans" w:hAnsi="Lucida Sans" w:cs="Times New Roman"/>
          <w:sz w:val="18"/>
          <w:szCs w:val="18"/>
        </w:rPr>
        <w:t>In individuals taking 600 mg per day of moclobemide, significant rises in systolic blood pressure (30 mmHg or more) are seen following administration of 250 mg of tyramine (</w:t>
      </w:r>
      <w:r w:rsidR="001F6103" w:rsidRPr="00B35813">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&lt;EndNote&gt;&lt;Cite&gt;&lt;Author&gt;Audebert&lt;/Author&gt;&lt;Year&gt;1992&lt;/Year&gt;&lt;RecNum&gt;504&lt;/RecNum&gt;&lt;DisplayText&gt;[32]&lt;/DisplayText&gt;&lt;record&gt;&lt;rec-number&gt;504&lt;/rec-number&gt;&lt;foreign-keys&gt;&lt;key app="EN" db-id="2xwpd9xwpest5ue9rwa5etrr9fzzxded9vfx" timestamp="1619082431"&gt;504&lt;/key&gt;&lt;/foreign-keys&gt;&lt;ref-type name="Journal Article"&gt;17&lt;/ref-type&gt;&lt;contributors&gt;&lt;authors&gt;&lt;author&gt;Audebert, C&lt;/author&gt;&lt;author&gt;Blint, O&lt;/author&gt;&lt;author&gt;Monjanel-Mouterde, S&lt;/author&gt;&lt;author&gt;Auquier, P&lt;/author&gt;&lt;author&gt;Pedarriosse, AM&lt;/author&gt;&lt;author&gt;Dingemanse, J&lt;/author&gt;&lt;author&gt;Durand, A&lt;/author&gt;&lt;author&gt;Canot, JP&lt;/author&gt;&lt;/authors&gt;&lt;/contributors&gt;&lt;titles&gt;&lt;title&gt;Influence of food on the tyramine pressor effect during chronic moclobemide treatment of healthy volunteers&lt;/title&gt;&lt;secondary-title&gt;European journal of clinical pharmacology&lt;/secondary-title&gt;&lt;/titles&gt;&lt;periodical&gt;&lt;full-title&gt;European journal of clinical pharmacology&lt;/full-title&gt;&lt;/periodical&gt;&lt;pages&gt;507-512&lt;/pages&gt;&lt;volume&gt;43&lt;/volume&gt;&lt;number&gt;5&lt;/number&gt;&lt;dates&gt;&lt;year&gt;1992&lt;/year&gt;&lt;/dates&gt;&lt;isbn&gt;1432-1041&lt;/isbn&gt;&lt;urls&gt;&lt;/urls&gt;&lt;/record&gt;&lt;/Cite&gt;&lt;/EndNote&gt;</w:instrText>
      </w:r>
      <w:r w:rsidR="001F6103" w:rsidRPr="00B35813">
        <w:rPr>
          <w:rFonts w:ascii="Lucida Sans" w:hAnsi="Lucida Sans" w:cs="Times New Roman"/>
          <w:sz w:val="18"/>
          <w:szCs w:val="18"/>
        </w:rPr>
        <w:fldChar w:fldCharType="separate"/>
      </w:r>
      <w:r w:rsidR="00271279">
        <w:rPr>
          <w:rFonts w:ascii="Lucida Sans" w:hAnsi="Lucida Sans" w:cs="Times New Roman"/>
          <w:noProof/>
          <w:sz w:val="18"/>
          <w:szCs w:val="18"/>
        </w:rPr>
        <w:t>[32]</w:t>
      </w:r>
      <w:r w:rsidR="001F6103" w:rsidRPr="00B35813">
        <w:rPr>
          <w:rFonts w:ascii="Lucida Sans" w:hAnsi="Lucida Sans" w:cs="Times New Roman"/>
          <w:sz w:val="18"/>
          <w:szCs w:val="18"/>
        </w:rPr>
        <w:fldChar w:fldCharType="end"/>
      </w:r>
      <w:r w:rsidR="0098443C" w:rsidRPr="00B35813">
        <w:rPr>
          <w:rFonts w:ascii="Lucida Sans" w:hAnsi="Lucida Sans" w:cs="Times New Roman"/>
          <w:sz w:val="18"/>
          <w:szCs w:val="18"/>
        </w:rPr>
        <w:t>:</w:t>
      </w:r>
      <w:r w:rsidR="00124540" w:rsidRPr="00B35813">
        <w:rPr>
          <w:rFonts w:ascii="Lucida Sans" w:hAnsi="Lucida Sans" w:cs="Times New Roman"/>
          <w:sz w:val="18"/>
          <w:szCs w:val="18"/>
        </w:rPr>
        <w:t xml:space="preserve"> </w:t>
      </w:r>
      <w:r w:rsidR="00411857" w:rsidRPr="00B35813">
        <w:rPr>
          <w:rFonts w:ascii="Lucida Sans" w:hAnsi="Lucida Sans" w:cs="Times New Roman"/>
          <w:sz w:val="18"/>
          <w:szCs w:val="18"/>
        </w:rPr>
        <w:t>Cheddar cheese typically contains approximately 0.25 mg/g of tyramine, so around 1 kg of cheese would have to be eaten to achieve this pressor effect</w:t>
      </w:r>
      <w:r w:rsidR="0098443C" w:rsidRPr="00B35813">
        <w:rPr>
          <w:rFonts w:ascii="Lucida Sans" w:hAnsi="Lucida Sans" w:cs="Times New Roman"/>
          <w:sz w:val="18"/>
          <w:szCs w:val="18"/>
        </w:rPr>
        <w:t xml:space="preserve"> </w:t>
      </w:r>
      <w:r w:rsidR="00411857" w:rsidRPr="00B35813">
        <w:rPr>
          <w:rFonts w:ascii="Lucida Sans" w:hAnsi="Lucida Sans" w:cs="Times New Roman"/>
          <w:sz w:val="18"/>
          <w:szCs w:val="18"/>
        </w:rPr>
        <w:t>(</w:t>
      </w:r>
      <w:r w:rsidR="001F6103" w:rsidRPr="00B35813">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&lt;EndNote&gt;&lt;Cite&gt;&lt;Author&gt;Audebert&lt;/Author&gt;&lt;Year&gt;1992&lt;/Year&gt;&lt;RecNum&gt;504&lt;/RecNum&gt;&lt;DisplayText&gt;[32]&lt;/DisplayText&gt;&lt;record&gt;&lt;rec-number&gt;504&lt;/rec-number&gt;&lt;foreign-keys&gt;&lt;key app="EN" db-id="2xwpd9xwpest5ue9rwa5etrr9fzzxded9vfx" timestamp="1619082431"&gt;504&lt;/key&gt;&lt;/foreign-keys&gt;&lt;ref-type name="Journal Article"&gt;17&lt;/ref-type&gt;&lt;contributors&gt;&lt;authors&gt;&lt;author&gt;Audebert, C&lt;/author&gt;&lt;author&gt;Blint, O&lt;/author&gt;&lt;author&gt;Monjanel-Mouterde, S&lt;/author&gt;&lt;author&gt;Auquier, P&lt;/author&gt;&lt;author&gt;Pedarriosse, AM&lt;/author&gt;&lt;author&gt;Dingemanse, J&lt;/author&gt;&lt;author&gt;Durand, A&lt;/author&gt;&lt;author&gt;Canot, JP&lt;/author&gt;&lt;/authors&gt;&lt;/contributors&gt;&lt;titles&gt;&lt;title&gt;Influence of food on the tyramine pressor effect during chronic moclobemide treatment of healthy volunteers&lt;/title&gt;&lt;secondary-title&gt;European journal of clinical pharmacology&lt;/secondary-title&gt;&lt;/titles&gt;&lt;periodical&gt;&lt;full-title&gt;European journal of clinical pharmacology&lt;/full-title&gt;&lt;/periodical&gt;&lt;pages&gt;507-512&lt;/pages&gt;&lt;volume&gt;43&lt;/volume&gt;&lt;number&gt;5&lt;/number&gt;&lt;dates&gt;&lt;year&gt;1992&lt;/year&gt;&lt;/dates&gt;&lt;isbn&gt;1432-1041&lt;/isbn&gt;&lt;urls&gt;&lt;/urls&gt;&lt;/record&gt;&lt;/Cite&gt;&lt;/EndNote&gt;</w:instrText>
      </w:r>
      <w:r w:rsidR="001F6103" w:rsidRPr="00B35813">
        <w:rPr>
          <w:rFonts w:ascii="Lucida Sans" w:hAnsi="Lucida Sans" w:cs="Times New Roman"/>
          <w:sz w:val="18"/>
          <w:szCs w:val="18"/>
        </w:rPr>
        <w:fldChar w:fldCharType="separate"/>
      </w:r>
      <w:r w:rsidR="00271279">
        <w:rPr>
          <w:rFonts w:ascii="Lucida Sans" w:hAnsi="Lucida Sans" w:cs="Times New Roman"/>
          <w:noProof/>
          <w:sz w:val="18"/>
          <w:szCs w:val="18"/>
        </w:rPr>
        <w:t>[32]</w:t>
      </w:r>
      <w:r w:rsidR="001F6103" w:rsidRPr="00B35813">
        <w:rPr>
          <w:rFonts w:ascii="Lucida Sans" w:hAnsi="Lucida Sans" w:cs="Times New Roman"/>
          <w:sz w:val="18"/>
          <w:szCs w:val="18"/>
        </w:rPr>
        <w:fldChar w:fldCharType="end"/>
      </w:r>
      <w:r w:rsidR="00411857" w:rsidRPr="00B35813">
        <w:rPr>
          <w:rFonts w:ascii="Lucida Sans" w:hAnsi="Lucida Sans" w:cs="Times New Roman"/>
          <w:sz w:val="18"/>
          <w:szCs w:val="18"/>
        </w:rPr>
        <w:t xml:space="preserve">. </w:t>
      </w:r>
      <w:r w:rsidRPr="00B35813">
        <w:rPr>
          <w:rFonts w:ascii="Lucida Sans" w:hAnsi="Lucida Sans" w:cs="Times New Roman"/>
          <w:sz w:val="18"/>
          <w:szCs w:val="18"/>
        </w:rPr>
        <w:t>It is efficacious</w:t>
      </w:r>
      <w:r>
        <w:rPr>
          <w:rFonts w:ascii="Lucida Sans" w:hAnsi="Lucida Sans" w:cs="Times New Roman"/>
          <w:sz w:val="18"/>
          <w:szCs w:val="18"/>
        </w:rPr>
        <w:t xml:space="preserve"> in unipolar</w:t>
      </w:r>
      <w:r w:rsidRPr="00107958">
        <w:rPr>
          <w:rFonts w:ascii="Lucida Sans" w:hAnsi="Lucida Sans" w:cs="Times New Roman"/>
          <w:sz w:val="18"/>
          <w:szCs w:val="18"/>
        </w:rPr>
        <w:t xml:space="preserve"> </w:t>
      </w:r>
      <w:r>
        <w:rPr>
          <w:rFonts w:ascii="Lucida Sans" w:hAnsi="Lucida Sans" w:cs="Times New Roman"/>
          <w:sz w:val="18"/>
          <w:szCs w:val="18"/>
        </w:rPr>
        <w:t xml:space="preserve">and </w:t>
      </w:r>
      <w:r w:rsidRPr="00107958">
        <w:rPr>
          <w:rFonts w:ascii="Lucida Sans" w:hAnsi="Lucida Sans" w:cs="Times New Roman"/>
          <w:sz w:val="18"/>
          <w:szCs w:val="18"/>
        </w:rPr>
        <w:t>bipolar depressi</w:t>
      </w:r>
      <w:r>
        <w:rPr>
          <w:rFonts w:ascii="Lucida Sans" w:hAnsi="Lucida Sans" w:cs="Times New Roman"/>
          <w:sz w:val="18"/>
          <w:szCs w:val="18"/>
        </w:rPr>
        <w:t>ve</w:t>
      </w:r>
      <w:r w:rsidRPr="00107958">
        <w:rPr>
          <w:rFonts w:ascii="Lucida Sans" w:hAnsi="Lucida Sans" w:cs="Times New Roman"/>
          <w:sz w:val="18"/>
          <w:szCs w:val="18"/>
        </w:rPr>
        <w:t xml:space="preserve"> </w:t>
      </w:r>
      <w:r>
        <w:rPr>
          <w:rFonts w:ascii="Lucida Sans" w:hAnsi="Lucida Sans" w:cs="Times New Roman"/>
          <w:sz w:val="18"/>
          <w:szCs w:val="18"/>
        </w:rPr>
        <w:t xml:space="preserve">episodes and in </w:t>
      </w:r>
      <w:r w:rsidRPr="00107958">
        <w:rPr>
          <w:rFonts w:ascii="Lucida Sans" w:hAnsi="Lucida Sans" w:cs="Times New Roman"/>
          <w:sz w:val="18"/>
          <w:szCs w:val="18"/>
        </w:rPr>
        <w:t>dysthymia</w:t>
      </w:r>
      <w:r>
        <w:rPr>
          <w:rFonts w:ascii="Lucida Sans" w:hAnsi="Lucida Sans" w:cs="Times New Roman"/>
          <w:sz w:val="18"/>
          <w:szCs w:val="18"/>
        </w:rPr>
        <w:t xml:space="preserve">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&lt;EndNote&gt;&lt;Cite&gt;&lt;Author&gt;Bonnet&lt;/Author&gt;&lt;Year&gt;2003&lt;/Year&gt;&lt;RecNum&gt;415&lt;/RecNum&gt;&lt;DisplayText&gt;[33]&lt;/DisplayText&gt;&lt;record&gt;&lt;rec-number&gt;415&lt;/rec-number&gt;&lt;foreign-keys&gt;&lt;key app="EN" db-id="2xwpd9xwpest5ue9rwa5etrr9fzzxded9vfx" timestamp="0"&gt;415&lt;/key&gt;&lt;/foreign-keys&gt;&lt;ref-type name="Journal Article"&gt;17&lt;/ref-type&gt;&lt;contributors&gt;&lt;authors&gt;&lt;author&gt;Bonnet, Udo&lt;/author&gt;&lt;/authors&gt;&lt;/contributors&gt;&lt;titles&gt;&lt;title&gt;Moclobemide: therapeutic use and clinical studies&lt;/title&gt;&lt;secondary-title&gt;CNS drug reviews&lt;/secondary-title&gt;&lt;/titles&gt;&lt;pages&gt;97-140&lt;/pages&gt;&lt;volume&gt;9&lt;/volume&gt;&lt;number&gt;1&lt;/number&gt;&lt;dates&gt;&lt;year&gt;2003&lt;/year&gt;&lt;/dates&gt;&lt;isbn&gt;1080-563X&lt;/isbn&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[33]</w:t>
      </w:r>
      <w:r w:rsidR="00362AFC">
        <w:rPr>
          <w:rFonts w:ascii="Lucida Sans" w:hAnsi="Lucida Sans" w:cs="Times New Roman"/>
          <w:sz w:val="18"/>
          <w:szCs w:val="18"/>
        </w:rPr>
        <w:fldChar w:fldCharType="end"/>
      </w:r>
      <w:r w:rsidR="004862B6">
        <w:rPr>
          <w:rFonts w:ascii="Lucida Sans" w:hAnsi="Lucida Sans" w:cs="Times New Roman"/>
          <w:sz w:val="18"/>
          <w:szCs w:val="18"/>
        </w:rPr>
        <w:t>,</w:t>
      </w:r>
      <w:r>
        <w:rPr>
          <w:rFonts w:ascii="Lucida Sans" w:hAnsi="Lucida Sans" w:cs="Times New Roman"/>
          <w:sz w:val="18"/>
          <w:szCs w:val="18"/>
        </w:rPr>
        <w:t xml:space="preserve"> has </w:t>
      </w:r>
      <w:r w:rsidRPr="00107958">
        <w:rPr>
          <w:rFonts w:ascii="Lucida Sans" w:hAnsi="Lucida Sans" w:cs="Times New Roman"/>
          <w:sz w:val="18"/>
          <w:szCs w:val="18"/>
        </w:rPr>
        <w:t>comparable efficacy to imipramine and clomipramine in hospitalised patients</w:t>
      </w:r>
      <w:r w:rsidR="00362AFC">
        <w:rPr>
          <w:rFonts w:ascii="Lucida Sans" w:hAnsi="Lucida Sans" w:cs="Times New Roman"/>
          <w:sz w:val="18"/>
          <w:szCs w:val="18"/>
        </w:rPr>
        <w:t xml:space="preserve">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&lt;EndNote&gt;&lt;Cite&gt;&lt;Author&gt;Angst&lt;/Author&gt;&lt;Year&gt;1995&lt;/Year&gt;&lt;RecNum&gt;416&lt;/RecNum&gt;&lt;DisplayText&gt;[34]&lt;/DisplayText&gt;&lt;record&gt;&lt;rec-number&gt;416&lt;/rec-number&gt;&lt;foreign-keys&gt;&lt;key app="EN" db-id="2xwpd9xwpest5ue9rwa5etrr9fzzxded9vfx" timestamp="0"&gt;416&lt;/key&gt;&lt;/foreign-keys&gt;&lt;ref-type name="Journal Article"&gt;17&lt;/ref-type&gt;&lt;contributors&gt;&lt;authors&gt;&lt;author&gt;Angst, Jules&lt;/author&gt;&lt;author&gt;Amrein, Roman&lt;/author&gt;&lt;author&gt;Stabl, Max&lt;/author&gt;&lt;/authors&gt;&lt;/contributors&gt;&lt;titles&gt;&lt;title&gt;Moclobemide and tricyclic antidepressants in severe depression: meta-analysis and prospective studies&lt;/title&gt;&lt;secondary-title&gt;Journal of clinical psychopharmacology&lt;/secondary-title&gt;&lt;/titles&gt;&lt;periodical&gt;&lt;full-title&gt;Journal of Clinical Psychopharmacology&lt;/full-title&gt;&lt;/periodical&gt;&lt;pages&gt;16S-23S&lt;/pages&gt;&lt;volume&gt;15&lt;/volume&gt;&lt;number&gt;4&lt;/number&gt;&lt;dates&gt;&lt;year&gt;1995&lt;/year&gt;&lt;/dates&gt;&lt;isbn&gt;0271-0749&lt;/isbn&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[34]</w:t>
      </w:r>
      <w:r w:rsidR="00362AFC">
        <w:rPr>
          <w:rFonts w:ascii="Lucida Sans" w:hAnsi="Lucida Sans" w:cs="Times New Roman"/>
          <w:sz w:val="18"/>
          <w:szCs w:val="18"/>
        </w:rPr>
        <w:fldChar w:fldCharType="end"/>
      </w:r>
      <w:r w:rsidR="004862B6">
        <w:rPr>
          <w:rFonts w:ascii="Lucida Sans" w:hAnsi="Lucida Sans" w:cs="Times New Roman"/>
          <w:sz w:val="18"/>
          <w:szCs w:val="18"/>
        </w:rPr>
        <w:t xml:space="preserve">, but is not efficacious in recurrent brief depression </w:t>
      </w:r>
      <w:r w:rsidR="00623106" w:rsidRPr="00623106">
        <w:rPr>
          <w:rFonts w:ascii="Lucida Sans" w:hAnsi="Lucida Sans" w:cs="Times New Roman"/>
          <w:sz w:val="18"/>
          <w:szCs w:val="18"/>
        </w:rPr>
        <w:fldChar w:fldCharType="begin">
          <w:fldData xml:space="preserve">PEVuZE5vdGU+PENpdGU+PEF1dGhvcj5CYWxkd2luPC9BdXRob3I+PFllYXI+MjAxNDwvWWVhcj48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</w:fldData>
        </w:fldChar>
      </w:r>
      <w:r w:rsidR="00271279">
        <w:rPr>
          <w:rFonts w:ascii="Lucida Sans" w:hAnsi="Lucida Sans" w:cs="Times New Roman"/>
          <w:sz w:val="18"/>
          <w:szCs w:val="18"/>
        </w:rPr>
        <w:instrText xml:space="preserve"> ADDIN EN.CITE </w:instrText>
      </w:r>
      <w:r w:rsidR="00271279">
        <w:rPr>
          <w:rFonts w:ascii="Lucida Sans" w:hAnsi="Lucida Sans" w:cs="Times New Roman"/>
          <w:sz w:val="18"/>
          <w:szCs w:val="18"/>
        </w:rPr>
        <w:fldChar w:fldCharType="begin">
          <w:fldData xml:space="preserve">PEVuZE5vdGU+PENpdGU+PEF1dGhvcj5CYWxkd2luPC9BdXRob3I+PFllYXI+MjAxNDwvWWVhcj48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</w:fldData>
        </w:fldChar>
      </w:r>
      <w:r w:rsidR="00271279">
        <w:rPr>
          <w:rFonts w:ascii="Lucida Sans" w:hAnsi="Lucida Sans" w:cs="Times New Roman"/>
          <w:sz w:val="18"/>
          <w:szCs w:val="18"/>
        </w:rPr>
        <w:instrText xml:space="preserve"> ADDIN EN.CITE.DATA </w:instrText>
      </w:r>
      <w:r w:rsidR="00271279">
        <w:rPr>
          <w:rFonts w:ascii="Lucida Sans" w:hAnsi="Lucida Sans" w:cs="Times New Roman"/>
          <w:sz w:val="18"/>
          <w:szCs w:val="18"/>
        </w:rPr>
      </w:r>
      <w:r w:rsidR="00271279">
        <w:rPr>
          <w:rFonts w:ascii="Lucida Sans" w:hAnsi="Lucida Sans" w:cs="Times New Roman"/>
          <w:sz w:val="18"/>
          <w:szCs w:val="18"/>
        </w:rPr>
        <w:fldChar w:fldCharType="end"/>
      </w:r>
      <w:r w:rsidR="00623106" w:rsidRPr="00623106">
        <w:rPr>
          <w:rFonts w:ascii="Lucida Sans" w:hAnsi="Lucida Sans" w:cs="Times New Roman"/>
          <w:sz w:val="18"/>
          <w:szCs w:val="18"/>
        </w:rPr>
      </w:r>
      <w:r w:rsidR="00623106" w:rsidRPr="00623106">
        <w:rPr>
          <w:rFonts w:ascii="Lucida Sans" w:hAnsi="Lucida Sans" w:cs="Times New Roman"/>
          <w:sz w:val="18"/>
          <w:szCs w:val="18"/>
        </w:rPr>
        <w:fldChar w:fldCharType="separate"/>
      </w:r>
      <w:r w:rsidR="00271279">
        <w:rPr>
          <w:rFonts w:ascii="Lucida Sans" w:hAnsi="Lucida Sans" w:cs="Times New Roman"/>
          <w:noProof/>
          <w:sz w:val="18"/>
          <w:szCs w:val="18"/>
        </w:rPr>
        <w:t>[35]</w:t>
      </w:r>
      <w:r w:rsidR="00623106" w:rsidRPr="00623106">
        <w:rPr>
          <w:rFonts w:ascii="Lucida Sans" w:hAnsi="Lucida Sans" w:cs="Times New Roman"/>
          <w:sz w:val="18"/>
          <w:szCs w:val="18"/>
        </w:rPr>
        <w:fldChar w:fldCharType="end"/>
      </w:r>
      <w:r>
        <w:rPr>
          <w:rFonts w:ascii="Lucida Sans" w:hAnsi="Lucida Sans" w:cs="Times New Roman"/>
          <w:sz w:val="18"/>
          <w:szCs w:val="18"/>
        </w:rPr>
        <w:t xml:space="preserve">. There is </w:t>
      </w:r>
      <w:r w:rsidRPr="00107958">
        <w:rPr>
          <w:rFonts w:ascii="Lucida Sans" w:hAnsi="Lucida Sans" w:cs="Times New Roman"/>
          <w:sz w:val="18"/>
          <w:szCs w:val="18"/>
        </w:rPr>
        <w:t xml:space="preserve">some evidence of </w:t>
      </w:r>
      <w:r>
        <w:rPr>
          <w:rFonts w:ascii="Lucida Sans" w:hAnsi="Lucida Sans" w:cs="Times New Roman"/>
          <w:sz w:val="18"/>
          <w:szCs w:val="18"/>
        </w:rPr>
        <w:t xml:space="preserve">a </w:t>
      </w:r>
      <w:r w:rsidRPr="00107958">
        <w:rPr>
          <w:rFonts w:ascii="Lucida Sans" w:hAnsi="Lucida Sans" w:cs="Times New Roman"/>
          <w:sz w:val="18"/>
          <w:szCs w:val="18"/>
        </w:rPr>
        <w:t xml:space="preserve">dose-response relationship in </w:t>
      </w:r>
      <w:r>
        <w:rPr>
          <w:rFonts w:ascii="Lucida Sans" w:hAnsi="Lucida Sans" w:cs="Times New Roman"/>
          <w:sz w:val="18"/>
          <w:szCs w:val="18"/>
        </w:rPr>
        <w:t xml:space="preserve">patients with </w:t>
      </w:r>
      <w:r w:rsidRPr="00107958">
        <w:rPr>
          <w:rFonts w:ascii="Lucida Sans" w:hAnsi="Lucida Sans" w:cs="Times New Roman"/>
          <w:sz w:val="18"/>
          <w:szCs w:val="18"/>
        </w:rPr>
        <w:t>severe depression</w:t>
      </w:r>
      <w:r>
        <w:rPr>
          <w:rFonts w:ascii="Lucida Sans" w:hAnsi="Lucida Sans" w:cs="Times New Roman"/>
          <w:sz w:val="18"/>
          <w:szCs w:val="18"/>
        </w:rPr>
        <w:t xml:space="preserve">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&lt;EndNote&gt;&lt;Cite&gt;&lt;Author&gt;Lotufo-Neto&lt;/Author&gt;&lt;Year&gt;1999&lt;/Year&gt;&lt;RecNum&gt;417&lt;/RecNum&gt;&lt;DisplayText&gt;[36]&lt;/DisplayText&gt;&lt;record&gt;&lt;rec-number&gt;417&lt;/rec-number&gt;&lt;foreign-keys&gt;&lt;key app="EN" db-id="2xwpd9xwpest5ue9rwa5etrr9fzzxded9vfx" timestamp="0"&gt;417&lt;/key&gt;&lt;/foreign-keys&gt;&lt;ref-type name="Journal Article"&gt;17&lt;/ref-type&gt;&lt;contributors&gt;&lt;authors&gt;&lt;author&gt;Lotufo-Neto, Francisco&lt;/author&gt;&lt;author&gt;Trivedi, Madhukar&lt;/author&gt;&lt;author&gt;Thase, Michael E&lt;/author&gt;&lt;/authors&gt;&lt;/contributors&gt;&lt;titles&gt;&lt;title&gt;Meta-analysis of the reversible inhibitors of monoamine oxidase type A moclobemide and brofaromine for the treatment of depression&lt;/title&gt;&lt;secondary-title&gt;Neuropsychopharmacology&lt;/secondary-title&gt;&lt;/titles&gt;&lt;periodical&gt;&lt;full-title&gt;Neuropsychopharmacology&lt;/full-title&gt;&lt;/periodical&gt;&lt;pages&gt;226-247&lt;/pages&gt;&lt;volume&gt;20&lt;/volume&gt;&lt;number&gt;3&lt;/number&gt;&lt;dates&gt;&lt;year&gt;1999&lt;/year&gt;&lt;/dates&gt;&lt;isbn&gt;0893-133X&lt;/isbn&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[36]</w:t>
      </w:r>
      <w:r w:rsidR="00362AFC">
        <w:rPr>
          <w:rFonts w:ascii="Lucida Sans" w:hAnsi="Lucida Sans" w:cs="Times New Roman"/>
          <w:sz w:val="18"/>
          <w:szCs w:val="18"/>
        </w:rPr>
        <w:fldChar w:fldCharType="end"/>
      </w:r>
      <w:r>
        <w:rPr>
          <w:rFonts w:ascii="Lucida Sans" w:hAnsi="Lucida Sans" w:cs="Times New Roman"/>
          <w:sz w:val="18"/>
          <w:szCs w:val="18"/>
        </w:rPr>
        <w:t xml:space="preserve">. It is also </w:t>
      </w:r>
      <w:r w:rsidRPr="00107958">
        <w:rPr>
          <w:rFonts w:ascii="Lucida Sans" w:hAnsi="Lucida Sans" w:cs="Times New Roman"/>
          <w:sz w:val="18"/>
          <w:szCs w:val="18"/>
        </w:rPr>
        <w:t>efficacious in social phobia</w:t>
      </w:r>
      <w:r>
        <w:rPr>
          <w:rFonts w:ascii="Lucida Sans" w:hAnsi="Lucida Sans" w:cs="Times New Roman"/>
          <w:sz w:val="18"/>
          <w:szCs w:val="18"/>
        </w:rPr>
        <w:t xml:space="preserve">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&lt;EndNote&gt;&lt;Cite&gt;&lt;Author&gt;Mayo-Wilson&lt;/Author&gt;&lt;Year&gt;2014&lt;/Year&gt;&lt;RecNum&gt;418&lt;/RecNum&gt;&lt;DisplayText&gt;[37]&lt;/DisplayText&gt;&lt;record&gt;&lt;rec-number&gt;418&lt;/rec-number&gt;&lt;foreign-keys&gt;&lt;key app="EN" db-id="2xwpd9xwpest5ue9rwa5etrr9fzzxded9vfx" timestamp="0"&gt;418&lt;/key&gt;&lt;/foreign-keys&gt;&lt;ref-type name="Journal Article"&gt;17&lt;/ref-type&gt;&lt;contributors&gt;&lt;authors&gt;&lt;author&gt;Mayo-Wilson, Evan&lt;/author&gt;&lt;author&gt;Dias, Sofia&lt;/author&gt;&lt;author&gt;Mavranezouli, Ifigeneia&lt;/author&gt;&lt;author&gt;Kew, Kayleigh&lt;/author&gt;&lt;author&gt;Clark, David M&lt;/author&gt;&lt;author&gt;Ades, AE&lt;/author&gt;&lt;author&gt;Pilling, Stephen&lt;/author&gt;&lt;/authors&gt;&lt;/contributors&gt;&lt;titles&gt;&lt;title&gt;Psychological and pharmacological interventions for social anxiety disorder in adults: a systematic review and network meta-analysis&lt;/title&gt;&lt;secondary-title&gt;The Lancet Psychiatry&lt;/secondary-title&gt;&lt;/titles&gt;&lt;pages&gt;368-376&lt;/pages&gt;&lt;volume&gt;1&lt;/volume&gt;&lt;number&gt;5&lt;/number&gt;&lt;dates&gt;&lt;year&gt;2014&lt;/year&gt;&lt;/dates&gt;&lt;isbn&gt;2215-0366&lt;/isbn&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[37]</w:t>
      </w:r>
      <w:r w:rsidR="00362AFC">
        <w:rPr>
          <w:rFonts w:ascii="Lucida Sans" w:hAnsi="Lucida Sans" w:cs="Times New Roman"/>
          <w:sz w:val="18"/>
          <w:szCs w:val="18"/>
        </w:rPr>
        <w:fldChar w:fldCharType="end"/>
      </w:r>
      <w:r w:rsidRPr="00107958">
        <w:rPr>
          <w:rFonts w:ascii="Lucida Sans" w:hAnsi="Lucida Sans" w:cs="Times New Roman"/>
          <w:sz w:val="18"/>
          <w:szCs w:val="18"/>
        </w:rPr>
        <w:t xml:space="preserve">, </w:t>
      </w:r>
      <w:r>
        <w:rPr>
          <w:rFonts w:ascii="Lucida Sans" w:hAnsi="Lucida Sans" w:cs="Times New Roman"/>
          <w:sz w:val="18"/>
          <w:szCs w:val="18"/>
        </w:rPr>
        <w:t xml:space="preserve">and has </w:t>
      </w:r>
      <w:r w:rsidRPr="00107958">
        <w:rPr>
          <w:rFonts w:ascii="Lucida Sans" w:hAnsi="Lucida Sans" w:cs="Times New Roman"/>
          <w:sz w:val="18"/>
          <w:szCs w:val="18"/>
        </w:rPr>
        <w:t>possible efficacy at higher dosage</w:t>
      </w:r>
      <w:r>
        <w:rPr>
          <w:rFonts w:ascii="Lucida Sans" w:hAnsi="Lucida Sans" w:cs="Times New Roman"/>
          <w:sz w:val="18"/>
          <w:szCs w:val="18"/>
        </w:rPr>
        <w:t>s</w:t>
      </w:r>
      <w:r w:rsidRPr="00107958">
        <w:rPr>
          <w:rFonts w:ascii="Lucida Sans" w:hAnsi="Lucida Sans" w:cs="Times New Roman"/>
          <w:sz w:val="18"/>
          <w:szCs w:val="18"/>
        </w:rPr>
        <w:t xml:space="preserve"> in panic disorder</w:t>
      </w:r>
      <w:r w:rsidR="00362AFC">
        <w:rPr>
          <w:rFonts w:ascii="Lucida Sans" w:hAnsi="Lucida Sans" w:cs="Times New Roman"/>
          <w:sz w:val="18"/>
          <w:szCs w:val="18"/>
        </w:rPr>
        <w:t xml:space="preserve">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&lt;EndNote&gt;&lt;Cite&gt;&lt;Author&gt;Uhlenhuth&lt;/Author&gt;&lt;Year&gt;2002&lt;/Year&gt;&lt;RecNum&gt;419&lt;/RecNum&gt;&lt;DisplayText&gt;[38]&lt;/DisplayText&gt;&lt;record&gt;&lt;rec-number&gt;419&lt;/rec-number&gt;&lt;foreign-keys&gt;&lt;key app="EN" db-id="2xwpd9xwpest5ue9rwa5etrr9fzzxded9vfx" timestamp="0"&gt;419&lt;/key&gt;&lt;/foreign-keys&gt;&lt;ref-type name="Journal Article"&gt;17&lt;/ref-type&gt;&lt;contributors&gt;&lt;authors&gt;&lt;author&gt;Uhlenhuth, EH&lt;/author&gt;&lt;author&gt;Warner, Teddy D&lt;/author&gt;&lt;author&gt;Matuzas, William&lt;/author&gt;&lt;/authors&gt;&lt;/contributors&gt;&lt;titles&gt;&lt;title&gt;Interactive model of therapeutic response in panic disorder: moclobemide, a case in point&lt;/title&gt;&lt;secondary-title&gt;Journal of clinical psychopharmacology&lt;/secondary-title&gt;&lt;/titles&gt;&lt;periodical&gt;&lt;full-title&gt;Journal of Clinical Psychopharmacology&lt;/full-title&gt;&lt;/periodical&gt;&lt;pages&gt;275-284&lt;/pages&gt;&lt;volume&gt;22&lt;/volume&gt;&lt;number&gt;3&lt;/number&gt;&lt;dates&gt;&lt;year&gt;2002&lt;/year&gt;&lt;/dates&gt;&lt;isbn&gt;0271-0749&lt;/isbn&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[38]</w:t>
      </w:r>
      <w:r w:rsidR="00362AFC">
        <w:rPr>
          <w:rFonts w:ascii="Lucida Sans" w:hAnsi="Lucida Sans" w:cs="Times New Roman"/>
          <w:sz w:val="18"/>
          <w:szCs w:val="18"/>
        </w:rPr>
        <w:fldChar w:fldCharType="end"/>
      </w:r>
      <w:r>
        <w:rPr>
          <w:rFonts w:ascii="Lucida Sans" w:hAnsi="Lucida Sans" w:cs="Times New Roman"/>
          <w:sz w:val="18"/>
          <w:szCs w:val="18"/>
        </w:rPr>
        <w:t xml:space="preserve">. Its </w:t>
      </w:r>
      <w:r w:rsidRPr="00AD7F98">
        <w:rPr>
          <w:rFonts w:ascii="Lucida Sans" w:hAnsi="Lucida Sans" w:cs="Times New Roman"/>
          <w:sz w:val="18"/>
          <w:szCs w:val="18"/>
        </w:rPr>
        <w:t>more common adverse effects include dizziness, nausea,</w:t>
      </w:r>
      <w:r>
        <w:rPr>
          <w:rFonts w:ascii="Lucida Sans" w:hAnsi="Lucida Sans" w:cs="Times New Roman"/>
          <w:sz w:val="18"/>
          <w:szCs w:val="18"/>
        </w:rPr>
        <w:t xml:space="preserve"> and </w:t>
      </w:r>
      <w:r w:rsidRPr="00AD7F98">
        <w:rPr>
          <w:rFonts w:ascii="Lucida Sans" w:hAnsi="Lucida Sans" w:cs="Times New Roman"/>
          <w:sz w:val="18"/>
          <w:szCs w:val="18"/>
        </w:rPr>
        <w:t xml:space="preserve">insomnia </w:t>
      </w:r>
      <w:r w:rsidR="00AF5A93">
        <w:rPr>
          <w:rFonts w:ascii="Lucida Sans" w:hAnsi="Lucida Sans" w:cs="Times New Roman"/>
          <w:sz w:val="18"/>
          <w:szCs w:val="18"/>
        </w:rPr>
        <w:t>(24)</w:t>
      </w:r>
      <w:r w:rsidR="00362AFC">
        <w:rPr>
          <w:rFonts w:ascii="Lucida Sans" w:hAnsi="Lucida Sans" w:cs="Times New Roman"/>
          <w:sz w:val="18"/>
          <w:szCs w:val="18"/>
        </w:rPr>
        <w:t xml:space="preserve"> </w:t>
      </w:r>
      <w:r>
        <w:rPr>
          <w:rFonts w:ascii="Lucida Sans" w:hAnsi="Lucida Sans" w:cs="Times New Roman"/>
          <w:sz w:val="18"/>
          <w:szCs w:val="18"/>
        </w:rPr>
        <w:t>but treatment-</w:t>
      </w:r>
      <w:r w:rsidRPr="00AD7F98">
        <w:rPr>
          <w:rFonts w:ascii="Lucida Sans" w:hAnsi="Lucida Sans" w:cs="Times New Roman"/>
          <w:sz w:val="18"/>
          <w:szCs w:val="18"/>
        </w:rPr>
        <w:t xml:space="preserve">emergent sexual dysfunction </w:t>
      </w:r>
      <w:r>
        <w:rPr>
          <w:rFonts w:ascii="Lucida Sans" w:hAnsi="Lucida Sans" w:cs="Times New Roman"/>
          <w:sz w:val="18"/>
          <w:szCs w:val="18"/>
        </w:rPr>
        <w:t xml:space="preserve">is </w:t>
      </w:r>
      <w:r w:rsidRPr="00AD7F98">
        <w:rPr>
          <w:rFonts w:ascii="Lucida Sans" w:hAnsi="Lucida Sans" w:cs="Times New Roman"/>
          <w:sz w:val="18"/>
          <w:szCs w:val="18"/>
        </w:rPr>
        <w:t>less frequent (1.9%) than with SSRIs (21.6%)</w:t>
      </w:r>
      <w:r w:rsidR="00362AFC">
        <w:rPr>
          <w:rFonts w:ascii="Lucida Sans" w:hAnsi="Lucida Sans" w:cs="Times New Roman"/>
          <w:sz w:val="18"/>
          <w:szCs w:val="18"/>
        </w:rPr>
        <w:t xml:space="preserve">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&lt;EndNote&gt;&lt;Cite&gt;&lt;Author&gt;Philipp&lt;/Author&gt;&lt;Year&gt;2000&lt;/Year&gt;&lt;RecNum&gt;420&lt;/RecNum&gt;&lt;DisplayText&gt;[39]&lt;/DisplayText&gt;&lt;record&gt;&lt;rec-number&gt;420&lt;/rec-number&gt;&lt;foreign-keys&gt;&lt;key app="EN" db-id="2xwpd9xwpest5ue9rwa5etrr9fzzxded9vfx" timestamp="0"&gt;420&lt;/key&gt;&lt;/foreign-keys&gt;&lt;ref-type name="Journal Article"&gt;17&lt;/ref-type&gt;&lt;contributors&gt;&lt;authors&gt;&lt;author&gt;Philipp, M&lt;/author&gt;&lt;author&gt;Tiller, JW&lt;/author&gt;&lt;author&gt;Baier, D&lt;/author&gt;&lt;/authors&gt;&lt;/contributors&gt;&lt;titles&gt;&lt;title&gt;for the The Australian and German Study Groups. Comparison of moclobemide with selective serotonin reuptake inhibitors (SSRIs) on sexual function in depressed adults&lt;/title&gt;&lt;secondary-title&gt;Eur Neuropsychopharmacol&lt;/secondary-title&gt;&lt;/titles&gt;&lt;pages&gt;305-314&lt;/pages&gt;&lt;volume&gt;10&lt;/volume&gt;&lt;number&gt;5&lt;/number&gt;&lt;dates&gt;&lt;year&gt;2000&lt;/year&gt;&lt;/dates&gt;&lt;urls&gt;&lt;/urls&gt;&lt;/record&gt;&lt;/Cite&gt;&lt;/EndNote&gt;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[39]</w:t>
      </w:r>
      <w:r w:rsidR="00362AFC">
        <w:rPr>
          <w:rFonts w:ascii="Lucida Sans" w:hAnsi="Lucida Sans" w:cs="Times New Roman"/>
          <w:sz w:val="18"/>
          <w:szCs w:val="18"/>
        </w:rPr>
        <w:fldChar w:fldCharType="end"/>
      </w:r>
      <w:r>
        <w:rPr>
          <w:rFonts w:ascii="Lucida Sans" w:hAnsi="Lucida Sans" w:cs="Times New Roman"/>
          <w:sz w:val="18"/>
          <w:szCs w:val="18"/>
        </w:rPr>
        <w:t>. A</w:t>
      </w:r>
      <w:r w:rsidRPr="00AD7F98">
        <w:rPr>
          <w:rFonts w:ascii="Lucida Sans" w:hAnsi="Lucida Sans" w:cs="Times New Roman"/>
          <w:sz w:val="18"/>
          <w:szCs w:val="18"/>
        </w:rPr>
        <w:t xml:space="preserve">nimal models suggest </w:t>
      </w:r>
      <w:r>
        <w:rPr>
          <w:rFonts w:ascii="Lucida Sans" w:hAnsi="Lucida Sans" w:cs="Times New Roman"/>
          <w:sz w:val="18"/>
          <w:szCs w:val="18"/>
        </w:rPr>
        <w:t xml:space="preserve">it may </w:t>
      </w:r>
      <w:r w:rsidRPr="00AD7F98">
        <w:rPr>
          <w:rFonts w:ascii="Lucida Sans" w:hAnsi="Lucida Sans" w:cs="Times New Roman"/>
          <w:sz w:val="18"/>
          <w:szCs w:val="18"/>
        </w:rPr>
        <w:t>potentiat</w:t>
      </w:r>
      <w:r>
        <w:rPr>
          <w:rFonts w:ascii="Lucida Sans" w:hAnsi="Lucida Sans" w:cs="Times New Roman"/>
          <w:sz w:val="18"/>
          <w:szCs w:val="18"/>
        </w:rPr>
        <w:t>e</w:t>
      </w:r>
      <w:r w:rsidRPr="00AD7F98">
        <w:rPr>
          <w:rFonts w:ascii="Lucida Sans" w:hAnsi="Lucida Sans" w:cs="Times New Roman"/>
          <w:sz w:val="18"/>
          <w:szCs w:val="18"/>
        </w:rPr>
        <w:t xml:space="preserve"> </w:t>
      </w:r>
      <w:r>
        <w:rPr>
          <w:rFonts w:ascii="Lucida Sans" w:hAnsi="Lucida Sans" w:cs="Times New Roman"/>
          <w:sz w:val="18"/>
          <w:szCs w:val="18"/>
        </w:rPr>
        <w:t>the</w:t>
      </w:r>
      <w:r w:rsidRPr="00AD7F98">
        <w:rPr>
          <w:rFonts w:ascii="Lucida Sans" w:hAnsi="Lucida Sans" w:cs="Times New Roman"/>
          <w:sz w:val="18"/>
          <w:szCs w:val="18"/>
        </w:rPr>
        <w:t xml:space="preserve"> effects of pethidine</w:t>
      </w:r>
      <w:r w:rsidR="006E7B1A">
        <w:rPr>
          <w:rFonts w:ascii="Lucida Sans" w:hAnsi="Lucida Sans" w:cs="Times New Roman"/>
          <w:sz w:val="18"/>
          <w:szCs w:val="18"/>
        </w:rPr>
        <w:t xml:space="preserve"> (meperidine)</w:t>
      </w:r>
      <w:r w:rsidR="00362AFC">
        <w:rPr>
          <w:rFonts w:ascii="Lucida Sans" w:hAnsi="Lucida Sans" w:cs="Times New Roman"/>
          <w:sz w:val="18"/>
          <w:szCs w:val="18"/>
        </w:rPr>
        <w:t xml:space="preserve">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&lt;EndNote&gt;&lt;Cite&gt;&lt;Author&gt;Amrein&lt;/Author&gt;&lt;Year&gt;1992&lt;/Year&gt;&lt;RecNum&gt;422&lt;/RecNum&gt;&lt;DisplayText&gt;[40]&lt;/DisplayText&gt;&lt;record&gt;&lt;rec-number&gt;422&lt;/rec-number&gt;&lt;foreign-keys&gt;&lt;key app="EN" db-id="2xwpd9xwpest5ue9rwa5etrr9fzzxded9vfx" timestamp="0"&gt;422&lt;/key&gt;&lt;/foreign-keys&gt;&lt;ref-type name="Journal Article"&gt;17&lt;/ref-type&gt;&lt;contributors&gt;&lt;authors&gt;&lt;author&gt;Amrein, R&lt;/author&gt;&lt;author&gt;Güntert, TW&lt;/author&gt;&lt;author&gt;Dingemanse, J&lt;/author&gt;&lt;author&gt;Lorscheid, T&lt;/author&gt;&lt;author&gt;Stabl, M&lt;/author&gt;&lt;author&gt;Schmid-Burgk, W&lt;/author&gt;&lt;/authors&gt;&lt;/contributors&gt;&lt;titles&gt;&lt;title&gt;Interactions of moclobemide with concomitantly administered medication: evidence from pharmacological and clinical studies&lt;/title&gt;&lt;secondary-title&gt;Psychopharmacology&lt;/secondary-title&gt;&lt;/titles&gt;&lt;periodical&gt;&lt;full-title&gt;Psychopharmacology&lt;/full-title&gt;&lt;/periodical&gt;&lt;pages&gt;S24-S31&lt;/pages&gt;&lt;volume&gt;106&lt;/volume&gt;&lt;number&gt;1&lt;/number&gt;&lt;dates&gt;&lt;year&gt;1992&lt;/year&gt;&lt;/dates&gt;&lt;isbn&gt;0033-3158&lt;/isbn&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[40]</w:t>
      </w:r>
      <w:r w:rsidR="00362AFC">
        <w:rPr>
          <w:rFonts w:ascii="Lucida Sans" w:hAnsi="Lucida Sans" w:cs="Times New Roman"/>
          <w:sz w:val="18"/>
          <w:szCs w:val="18"/>
        </w:rPr>
        <w:fldChar w:fldCharType="end"/>
      </w:r>
      <w:r w:rsidRPr="00AD7F98">
        <w:rPr>
          <w:rFonts w:ascii="Lucida Sans" w:hAnsi="Lucida Sans" w:cs="Times New Roman"/>
          <w:sz w:val="18"/>
          <w:szCs w:val="18"/>
        </w:rPr>
        <w:t xml:space="preserve"> </w:t>
      </w:r>
      <w:r>
        <w:rPr>
          <w:rFonts w:ascii="Lucida Sans" w:hAnsi="Lucida Sans" w:cs="Times New Roman"/>
          <w:sz w:val="18"/>
          <w:szCs w:val="18"/>
        </w:rPr>
        <w:t xml:space="preserve">and there are occasional </w:t>
      </w:r>
      <w:r w:rsidRPr="00AD7F98">
        <w:rPr>
          <w:rFonts w:ascii="Lucida Sans" w:hAnsi="Lucida Sans" w:cs="Times New Roman"/>
          <w:sz w:val="18"/>
          <w:szCs w:val="18"/>
        </w:rPr>
        <w:t>reports of serotonin syndrome if combined with clomipramine</w:t>
      </w:r>
      <w:r w:rsidR="00362AFC">
        <w:rPr>
          <w:rFonts w:ascii="Lucida Sans" w:hAnsi="Lucida Sans" w:cs="Times New Roman"/>
          <w:sz w:val="18"/>
          <w:szCs w:val="18"/>
        </w:rPr>
        <w:t xml:space="preserve">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&lt;EndNote&gt;&lt;Cite&gt;&lt;Author&gt;Spigset&lt;/Author&gt;&lt;Year&gt;1993&lt;/Year&gt;&lt;RecNum&gt;423&lt;/RecNum&gt;&lt;DisplayText&gt;[41]&lt;/DisplayText&gt;&lt;record&gt;&lt;rec-number&gt;423&lt;/rec-number&gt;&lt;foreign-keys&gt;&lt;key app="EN" db-id="2xwpd9xwpest5ue9rwa5etrr9fzzxded9vfx" timestamp="0"&gt;423&lt;/key&gt;&lt;/foreign-keys&gt;&lt;ref-type name="Journal Article"&gt;17&lt;/ref-type&gt;&lt;contributors&gt;&lt;authors&gt;&lt;author&gt;Spigset, Olav&lt;/author&gt;&lt;author&gt;Mjörndal, Tom&lt;/author&gt;&lt;author&gt;Lövheim, Olof&lt;/author&gt;&lt;/authors&gt;&lt;/contributors&gt;&lt;titles&gt;&lt;title&gt;Serotonin syndrome caused by a moclobemide-clomipramine interaction&lt;/title&gt;&lt;secondary-title&gt;BMJ: British Medical Journal&lt;/secondary-title&gt;&lt;/titles&gt;&lt;pages&gt;248&lt;/pages&gt;&lt;volume&gt;306&lt;/volume&gt;&lt;number&gt;6872&lt;/number&gt;&lt;dates&gt;&lt;year&gt;1993&lt;/year&gt;&lt;/dates&gt;&lt;urls&gt;&lt;/urls&gt;&lt;/record&gt;&lt;/Cite&gt;&lt;/EndNote&gt;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[41]</w:t>
      </w:r>
      <w:r w:rsidR="00362AFC">
        <w:rPr>
          <w:rFonts w:ascii="Lucida Sans" w:hAnsi="Lucida Sans" w:cs="Times New Roman"/>
          <w:sz w:val="18"/>
          <w:szCs w:val="18"/>
        </w:rPr>
        <w:fldChar w:fldCharType="end"/>
      </w:r>
      <w:r w:rsidRPr="00AD7F98">
        <w:rPr>
          <w:rFonts w:ascii="Lucida Sans" w:hAnsi="Lucida Sans" w:cs="Times New Roman"/>
          <w:sz w:val="18"/>
          <w:szCs w:val="18"/>
        </w:rPr>
        <w:t xml:space="preserve"> or SSRIs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&lt;EndNote&gt;&lt;Cite&gt;&lt;Author&gt;Benazzi&lt;/Author&gt;&lt;Year&gt;1996&lt;/Year&gt;&lt;RecNum&gt;424&lt;/RecNum&gt;&lt;DisplayText&gt;[42, 43]&lt;/DisplayText&gt;&lt;record&gt;&lt;rec-number&gt;424&lt;/rec-number&gt;&lt;foreign-keys&gt;&lt;key app="EN" db-id="2xwpd9xwpest5ue9rwa5etrr9fzzxded9vfx" timestamp="0"&gt;424&lt;/key&gt;&lt;/foreign-keys&gt;&lt;ref-type name="Journal Article"&gt;17&lt;/ref-type&gt;&lt;contributors&gt;&lt;authors&gt;&lt;author&gt;Benazzi, F&lt;/author&gt;&lt;/authors&gt;&lt;/contributors&gt;&lt;titles&gt;&lt;title&gt;Serotonin syndrome with moclobemide-fluoxetine combination&lt;/title&gt;&lt;secondary-title&gt;Pharmacopsychiatry&lt;/secondary-title&gt;&lt;/titles&gt;&lt;pages&gt;162-162&lt;/pages&gt;&lt;volume&gt;29&lt;/volume&gt;&lt;number&gt;04&lt;/number&gt;&lt;dates&gt;&lt;year&gt;1996&lt;/year&gt;&lt;/dates&gt;&lt;isbn&gt;0176-3679&lt;/isbn&gt;&lt;urls&gt;&lt;/urls&gt;&lt;/record&gt;&lt;/Cite&gt;&lt;Cite&gt;&lt;Author&gt;Chan&lt;/Author&gt;&lt;Year&gt;1998&lt;/Year&gt;&lt;RecNum&gt;425&lt;/RecNum&gt;&lt;record&gt;&lt;rec-number&gt;425&lt;/rec-number&gt;&lt;foreign-keys&gt;&lt;key app="EN" db-id="2xwpd9xwpest5ue9rwa5etrr9fzzxded9vfx" timestamp="0"&gt;425&lt;/key&gt;&lt;/foreign-keys&gt;&lt;ref-type name="Journal Article"&gt;17&lt;/ref-type&gt;&lt;contributors&gt;&lt;authors&gt;&lt;author&gt;Chan, Betty SH&lt;/author&gt;&lt;author&gt;Graudins, Andis&lt;/author&gt;&lt;author&gt;Whyte, Ian M&lt;/author&gt;&lt;author&gt;Dawson, Andrew H&lt;/author&gt;&lt;author&gt;Braitberg, George&lt;/author&gt;&lt;author&gt;Duggin, Geoffrey G&lt;/author&gt;&lt;/authors&gt;&lt;/contributors&gt;&lt;titles&gt;&lt;title&gt;Serotonin syndrome resulting from drug interactions&lt;/title&gt;&lt;secondary-title&gt;Medical journal of Australia&lt;/secondary-title&gt;&lt;/titles&gt;&lt;pages&gt;523-525&lt;/pages&gt;&lt;volume&gt;169&lt;/volume&gt;&lt;number&gt;10&lt;/number&gt;&lt;dates&gt;&lt;year&gt;1998&lt;/year&gt;&lt;/dates&gt;&lt;isbn&gt;0025-729X&lt;/isbn&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[42, 43]</w:t>
      </w:r>
      <w:r w:rsidR="00362AFC">
        <w:rPr>
          <w:rFonts w:ascii="Lucida Sans" w:hAnsi="Lucida Sans" w:cs="Times New Roman"/>
          <w:sz w:val="18"/>
          <w:szCs w:val="18"/>
        </w:rPr>
        <w:fldChar w:fldCharType="end"/>
      </w:r>
      <w:r>
        <w:rPr>
          <w:rFonts w:ascii="Lucida Sans" w:hAnsi="Lucida Sans" w:cs="Times New Roman"/>
          <w:sz w:val="18"/>
          <w:szCs w:val="18"/>
        </w:rPr>
        <w:t>,</w:t>
      </w:r>
      <w:r w:rsidRPr="00AD7F98">
        <w:rPr>
          <w:rFonts w:ascii="Lucida Sans" w:hAnsi="Lucida Sans" w:cs="Times New Roman"/>
          <w:sz w:val="18"/>
          <w:szCs w:val="18"/>
        </w:rPr>
        <w:t xml:space="preserve"> </w:t>
      </w:r>
      <w:r>
        <w:rPr>
          <w:rFonts w:ascii="Lucida Sans" w:hAnsi="Lucida Sans" w:cs="Times New Roman"/>
          <w:sz w:val="18"/>
          <w:szCs w:val="18"/>
        </w:rPr>
        <w:t>though</w:t>
      </w:r>
      <w:r w:rsidRPr="00AD7F98">
        <w:rPr>
          <w:rFonts w:ascii="Lucida Sans" w:hAnsi="Lucida Sans" w:cs="Times New Roman"/>
          <w:sz w:val="18"/>
          <w:szCs w:val="18"/>
        </w:rPr>
        <w:t xml:space="preserve"> most c</w:t>
      </w:r>
      <w:r>
        <w:rPr>
          <w:rFonts w:ascii="Lucida Sans" w:hAnsi="Lucida Sans" w:cs="Times New Roman"/>
          <w:sz w:val="18"/>
          <w:szCs w:val="18"/>
        </w:rPr>
        <w:t xml:space="preserve">ases occur following deliberate or inadvertent overdose rather than therapeutic use. </w:t>
      </w:r>
    </w:p>
    <w:p w14:paraId="2A4FDC3A" w14:textId="77777777" w:rsidR="00F64682" w:rsidRDefault="00F64682" w:rsidP="00F64682">
      <w:pPr>
        <w:spacing w:line="360" w:lineRule="auto"/>
        <w:rPr>
          <w:rFonts w:ascii="Lucida Sans" w:hAnsi="Lucida Sans" w:cs="Times New Roman"/>
          <w:sz w:val="18"/>
          <w:szCs w:val="18"/>
        </w:rPr>
      </w:pPr>
    </w:p>
    <w:p w14:paraId="30D5F94D" w14:textId="660FC6CA" w:rsidR="002F13D3" w:rsidRDefault="00F64682" w:rsidP="003807A9">
      <w:pPr>
        <w:spacing w:line="360" w:lineRule="auto"/>
        <w:rPr>
          <w:rFonts w:ascii="Lucida Sans" w:hAnsi="Lucida Sans" w:cs="Times New Roman"/>
          <w:sz w:val="18"/>
          <w:szCs w:val="18"/>
        </w:rPr>
      </w:pPr>
      <w:r>
        <w:rPr>
          <w:rFonts w:ascii="Lucida Sans" w:hAnsi="Lucida Sans" w:cs="Times New Roman"/>
          <w:sz w:val="18"/>
          <w:szCs w:val="18"/>
        </w:rPr>
        <w:t>Selegiline is</w:t>
      </w:r>
      <w:r w:rsidR="007A7DD3">
        <w:rPr>
          <w:rFonts w:ascii="Lucida Sans" w:hAnsi="Lucida Sans" w:cs="Times New Roman"/>
          <w:sz w:val="18"/>
          <w:szCs w:val="18"/>
        </w:rPr>
        <w:t xml:space="preserve"> a</w:t>
      </w:r>
      <w:r>
        <w:rPr>
          <w:rFonts w:ascii="Lucida Sans" w:hAnsi="Lucida Sans" w:cs="Times New Roman"/>
          <w:sz w:val="18"/>
          <w:szCs w:val="18"/>
        </w:rPr>
        <w:t xml:space="preserve"> </w:t>
      </w:r>
      <w:r w:rsidRPr="003A5F60">
        <w:rPr>
          <w:rFonts w:ascii="Lucida Sans" w:hAnsi="Lucida Sans" w:cs="Times New Roman"/>
          <w:sz w:val="18"/>
          <w:szCs w:val="18"/>
        </w:rPr>
        <w:t>‘selective’ but irreversible inhibitor of MAO-B (</w:t>
      </w:r>
      <w:r w:rsidR="00335CAA">
        <w:rPr>
          <w:rFonts w:ascii="Lucida Sans" w:hAnsi="Lucida Sans" w:cs="Times New Roman"/>
          <w:sz w:val="18"/>
          <w:szCs w:val="18"/>
        </w:rPr>
        <w:t xml:space="preserve">although </w:t>
      </w:r>
      <w:r>
        <w:rPr>
          <w:rFonts w:ascii="Lucida Sans" w:hAnsi="Lucida Sans" w:cs="Times New Roman"/>
          <w:sz w:val="18"/>
          <w:szCs w:val="18"/>
        </w:rPr>
        <w:t xml:space="preserve">it inhibits </w:t>
      </w:r>
      <w:r w:rsidRPr="003A5F60">
        <w:rPr>
          <w:rFonts w:ascii="Lucida Sans" w:hAnsi="Lucida Sans" w:cs="Times New Roman"/>
          <w:sz w:val="18"/>
          <w:szCs w:val="18"/>
        </w:rPr>
        <w:t>MAO-A at high dosage</w:t>
      </w:r>
      <w:r w:rsidR="00E14268">
        <w:rPr>
          <w:rFonts w:ascii="Lucida Sans" w:hAnsi="Lucida Sans" w:cs="Times New Roman"/>
          <w:sz w:val="18"/>
          <w:szCs w:val="18"/>
        </w:rPr>
        <w:t>s</w:t>
      </w:r>
      <w:r w:rsidRPr="003A5F60">
        <w:rPr>
          <w:rFonts w:ascii="Lucida Sans" w:hAnsi="Lucida Sans" w:cs="Times New Roman"/>
          <w:sz w:val="18"/>
          <w:szCs w:val="18"/>
        </w:rPr>
        <w:t>)</w:t>
      </w:r>
      <w:r>
        <w:rPr>
          <w:rFonts w:ascii="Lucida Sans" w:hAnsi="Lucida Sans" w:cs="Times New Roman"/>
          <w:sz w:val="18"/>
          <w:szCs w:val="18"/>
        </w:rPr>
        <w:t xml:space="preserve">. It exerts </w:t>
      </w:r>
      <w:r w:rsidRPr="003A5F60">
        <w:rPr>
          <w:rFonts w:ascii="Lucida Sans" w:hAnsi="Lucida Sans" w:cs="Times New Roman"/>
          <w:sz w:val="18"/>
          <w:szCs w:val="18"/>
        </w:rPr>
        <w:t>neuroprotective effects through inhibition of free radicals</w:t>
      </w:r>
      <w:r>
        <w:rPr>
          <w:rFonts w:ascii="Lucida Sans" w:hAnsi="Lucida Sans" w:cs="Times New Roman"/>
          <w:sz w:val="18"/>
          <w:szCs w:val="18"/>
        </w:rPr>
        <w:t xml:space="preserve"> and has </w:t>
      </w:r>
      <w:r w:rsidRPr="003A5F60">
        <w:rPr>
          <w:rFonts w:ascii="Lucida Sans" w:hAnsi="Lucida Sans" w:cs="Times New Roman"/>
          <w:sz w:val="18"/>
          <w:szCs w:val="18"/>
        </w:rPr>
        <w:t>high affinity for sigma-1 receptors</w:t>
      </w:r>
      <w:r>
        <w:rPr>
          <w:rFonts w:ascii="Lucida Sans" w:hAnsi="Lucida Sans" w:cs="Times New Roman"/>
          <w:sz w:val="18"/>
          <w:szCs w:val="18"/>
        </w:rPr>
        <w:t xml:space="preserve">. Its </w:t>
      </w:r>
      <w:r w:rsidRPr="003A5F60">
        <w:rPr>
          <w:rFonts w:ascii="Lucida Sans" w:hAnsi="Lucida Sans" w:cs="Times New Roman"/>
          <w:sz w:val="18"/>
          <w:szCs w:val="18"/>
        </w:rPr>
        <w:t>metabolites include levomethamphetamine and levoamphetamine</w:t>
      </w:r>
      <w:r>
        <w:rPr>
          <w:rFonts w:ascii="Lucida Sans" w:hAnsi="Lucida Sans" w:cs="Times New Roman"/>
          <w:sz w:val="18"/>
          <w:szCs w:val="18"/>
        </w:rPr>
        <w:t xml:space="preserve">. Selegiline </w:t>
      </w:r>
      <w:r w:rsidR="008F0793">
        <w:rPr>
          <w:rFonts w:ascii="Lucida Sans" w:hAnsi="Lucida Sans" w:cs="Times New Roman"/>
          <w:sz w:val="18"/>
          <w:szCs w:val="18"/>
        </w:rPr>
        <w:t xml:space="preserve">was originally developed for the </w:t>
      </w:r>
      <w:r>
        <w:rPr>
          <w:rFonts w:ascii="Lucida Sans" w:hAnsi="Lucida Sans" w:cs="Times New Roman"/>
          <w:sz w:val="18"/>
          <w:szCs w:val="18"/>
        </w:rPr>
        <w:t xml:space="preserve">treatment </w:t>
      </w:r>
      <w:r w:rsidR="008F0793">
        <w:rPr>
          <w:rFonts w:ascii="Lucida Sans" w:hAnsi="Lucida Sans" w:cs="Times New Roman"/>
          <w:sz w:val="18"/>
          <w:szCs w:val="18"/>
        </w:rPr>
        <w:t xml:space="preserve">of Parkinson’s disease </w:t>
      </w:r>
      <w:r w:rsidR="00120C7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&lt;EndNote&gt;&lt;Cite&gt;&lt;Author&gt;Robakis&lt;/Author&gt;&lt;Year&gt;2015&lt;/Year&gt;&lt;RecNum&gt;483&lt;/RecNum&gt;&lt;DisplayText&gt;[44]&lt;/DisplayText&gt;&lt;record&gt;&lt;rec-number&gt;483&lt;/rec-number&gt;&lt;foreign-keys&gt;&lt;key app="EN" db-id="2xwpd9xwpest5ue9rwa5etrr9fzzxded9vfx" timestamp="1611229778"&gt;483&lt;/key&gt;&lt;/foreign-keys&gt;&lt;ref-type name="Journal Article"&gt;17&lt;/ref-type&gt;&lt;contributors&gt;&lt;authors&gt;&lt;author&gt;Robakis, Daphne&lt;/author&gt;&lt;author&gt;Fahn, Stanley&lt;/author&gt;&lt;/authors&gt;&lt;/contributors&gt;&lt;titles&gt;&lt;title&gt;Defining the Role of the Monoamine Oxidase-B Inhibitors for Parkinson’s Disease&lt;/title&gt;&lt;secondary-title&gt;CNS Drugs&lt;/secondary-title&gt;&lt;/titles&gt;&lt;periodical&gt;&lt;full-title&gt;CNS Drugs&lt;/full-title&gt;&lt;/periodical&gt;&lt;pages&gt;433-441&lt;/pages&gt;&lt;volume&gt;29&lt;/volume&gt;&lt;number&gt;6&lt;/number&gt;&lt;dates&gt;&lt;year&gt;2015&lt;/year&gt;&lt;pub-dates&gt;&lt;date&gt;2015/06/01&lt;/date&gt;&lt;/pub-dates&gt;&lt;/dates&gt;&lt;isbn&gt;1179-1934&lt;/isbn&gt;&lt;urls&gt;&lt;related-urls&gt;&lt;url&gt;https://doi.org/10.1007/s40263-015-0249-8&lt;/url&gt;&lt;/related-urls&gt;&lt;/urls&gt;&lt;electronic-resource-num&gt;10.1007/s40263-015-0249-8&lt;/electronic-resource-num&gt;&lt;/record&gt;&lt;/Cite&gt;&lt;/EndNote&gt;</w:instrText>
      </w:r>
      <w:r w:rsidR="00120C7E">
        <w:rPr>
          <w:rFonts w:ascii="Lucida Sans" w:hAnsi="Lucida Sans" w:cs="Times New Roman"/>
          <w:sz w:val="18"/>
          <w:szCs w:val="18"/>
        </w:rPr>
        <w:fldChar w:fldCharType="separate"/>
      </w:r>
      <w:r w:rsidR="00271279">
        <w:rPr>
          <w:rFonts w:ascii="Lucida Sans" w:hAnsi="Lucida Sans" w:cs="Times New Roman"/>
          <w:noProof/>
          <w:sz w:val="18"/>
          <w:szCs w:val="18"/>
        </w:rPr>
        <w:t>[44]</w:t>
      </w:r>
      <w:r w:rsidR="00120C7E">
        <w:rPr>
          <w:rFonts w:ascii="Lucida Sans" w:hAnsi="Lucida Sans" w:cs="Times New Roman"/>
          <w:sz w:val="18"/>
          <w:szCs w:val="18"/>
        </w:rPr>
        <w:fldChar w:fldCharType="end"/>
      </w:r>
      <w:r w:rsidR="008F0793">
        <w:rPr>
          <w:rFonts w:ascii="Lucida Sans" w:hAnsi="Lucida Sans" w:cs="Times New Roman"/>
          <w:sz w:val="18"/>
          <w:szCs w:val="18"/>
        </w:rPr>
        <w:t xml:space="preserve"> where it </w:t>
      </w:r>
      <w:r w:rsidRPr="003A5F60">
        <w:rPr>
          <w:rFonts w:ascii="Lucida Sans" w:hAnsi="Lucida Sans" w:cs="Times New Roman"/>
          <w:sz w:val="18"/>
          <w:szCs w:val="18"/>
        </w:rPr>
        <w:t xml:space="preserve">delays </w:t>
      </w:r>
      <w:r>
        <w:rPr>
          <w:rFonts w:ascii="Lucida Sans" w:hAnsi="Lucida Sans" w:cs="Times New Roman"/>
          <w:sz w:val="18"/>
          <w:szCs w:val="18"/>
        </w:rPr>
        <w:t xml:space="preserve">the </w:t>
      </w:r>
      <w:r w:rsidRPr="003A5F60">
        <w:rPr>
          <w:rFonts w:ascii="Lucida Sans" w:hAnsi="Lucida Sans" w:cs="Times New Roman"/>
          <w:sz w:val="18"/>
          <w:szCs w:val="18"/>
        </w:rPr>
        <w:t xml:space="preserve">need for and </w:t>
      </w:r>
      <w:r>
        <w:rPr>
          <w:rFonts w:ascii="Lucida Sans" w:hAnsi="Lucida Sans" w:cs="Times New Roman"/>
          <w:sz w:val="18"/>
          <w:szCs w:val="18"/>
        </w:rPr>
        <w:t xml:space="preserve">the </w:t>
      </w:r>
      <w:r w:rsidRPr="003A5F60">
        <w:rPr>
          <w:rFonts w:ascii="Lucida Sans" w:hAnsi="Lucida Sans" w:cs="Times New Roman"/>
          <w:sz w:val="18"/>
          <w:szCs w:val="18"/>
        </w:rPr>
        <w:t>dosage of levodopa treatment</w:t>
      </w:r>
      <w:r>
        <w:rPr>
          <w:rFonts w:ascii="Lucida Sans" w:hAnsi="Lucida Sans" w:cs="Times New Roman"/>
          <w:sz w:val="18"/>
          <w:szCs w:val="18"/>
        </w:rPr>
        <w:t xml:space="preserve">. There are risks of </w:t>
      </w:r>
      <w:r w:rsidRPr="003A5F60">
        <w:rPr>
          <w:rFonts w:ascii="Lucida Sans" w:hAnsi="Lucida Sans" w:cs="Times New Roman"/>
          <w:sz w:val="18"/>
          <w:szCs w:val="18"/>
        </w:rPr>
        <w:t xml:space="preserve">serotonin syndrome </w:t>
      </w:r>
      <w:r>
        <w:rPr>
          <w:rFonts w:ascii="Lucida Sans" w:hAnsi="Lucida Sans" w:cs="Times New Roman"/>
          <w:sz w:val="18"/>
          <w:szCs w:val="18"/>
        </w:rPr>
        <w:t xml:space="preserve">if combined </w:t>
      </w:r>
      <w:r w:rsidRPr="003A5F60">
        <w:rPr>
          <w:rFonts w:ascii="Lucida Sans" w:hAnsi="Lucida Sans" w:cs="Times New Roman"/>
          <w:sz w:val="18"/>
          <w:szCs w:val="18"/>
        </w:rPr>
        <w:t xml:space="preserve">with </w:t>
      </w:r>
      <w:r>
        <w:rPr>
          <w:rFonts w:ascii="Lucida Sans" w:hAnsi="Lucida Sans" w:cs="Times New Roman"/>
          <w:sz w:val="18"/>
          <w:szCs w:val="18"/>
        </w:rPr>
        <w:t xml:space="preserve">an </w:t>
      </w:r>
      <w:r w:rsidRPr="003A5F60">
        <w:rPr>
          <w:rFonts w:ascii="Lucida Sans" w:hAnsi="Lucida Sans" w:cs="Times New Roman"/>
          <w:sz w:val="18"/>
          <w:szCs w:val="18"/>
        </w:rPr>
        <w:t>SSRI</w:t>
      </w:r>
      <w:r>
        <w:rPr>
          <w:rFonts w:ascii="Lucida Sans" w:hAnsi="Lucida Sans" w:cs="Times New Roman"/>
          <w:sz w:val="18"/>
          <w:szCs w:val="18"/>
        </w:rPr>
        <w:t>,</w:t>
      </w:r>
      <w:r w:rsidRPr="003A5F60">
        <w:rPr>
          <w:rFonts w:ascii="Lucida Sans" w:hAnsi="Lucida Sans" w:cs="Times New Roman"/>
          <w:sz w:val="18"/>
          <w:szCs w:val="18"/>
        </w:rPr>
        <w:t xml:space="preserve"> and </w:t>
      </w:r>
      <w:r>
        <w:rPr>
          <w:rFonts w:ascii="Lucida Sans" w:hAnsi="Lucida Sans" w:cs="Times New Roman"/>
          <w:sz w:val="18"/>
          <w:szCs w:val="18"/>
        </w:rPr>
        <w:t xml:space="preserve">of </w:t>
      </w:r>
      <w:r w:rsidRPr="003A5F60">
        <w:rPr>
          <w:rFonts w:ascii="Lucida Sans" w:hAnsi="Lucida Sans" w:cs="Times New Roman"/>
          <w:sz w:val="18"/>
          <w:szCs w:val="18"/>
        </w:rPr>
        <w:t>hypertensive reaction</w:t>
      </w:r>
      <w:r>
        <w:rPr>
          <w:rFonts w:ascii="Lucida Sans" w:hAnsi="Lucida Sans" w:cs="Times New Roman"/>
          <w:sz w:val="18"/>
          <w:szCs w:val="18"/>
        </w:rPr>
        <w:t>s</w:t>
      </w:r>
      <w:r w:rsidRPr="003A5F60">
        <w:rPr>
          <w:rFonts w:ascii="Lucida Sans" w:hAnsi="Lucida Sans" w:cs="Times New Roman"/>
          <w:sz w:val="18"/>
          <w:szCs w:val="18"/>
        </w:rPr>
        <w:t xml:space="preserve"> with tyramine</w:t>
      </w:r>
      <w:r w:rsidR="003D1949">
        <w:rPr>
          <w:rFonts w:ascii="Lucida Sans" w:hAnsi="Lucida Sans" w:cs="Times New Roman"/>
          <w:sz w:val="18"/>
          <w:szCs w:val="18"/>
        </w:rPr>
        <w:t>, especially with higher doses of selegiline (i.e. &gt;10 mg / day)</w:t>
      </w:r>
      <w:r>
        <w:rPr>
          <w:rFonts w:ascii="Lucida Sans" w:hAnsi="Lucida Sans" w:cs="Times New Roman"/>
          <w:sz w:val="18"/>
          <w:szCs w:val="18"/>
        </w:rPr>
        <w:t>.</w:t>
      </w:r>
      <w:r w:rsidR="003D1949">
        <w:rPr>
          <w:rFonts w:ascii="Lucida Sans" w:hAnsi="Lucida Sans" w:cs="Times New Roman"/>
          <w:sz w:val="18"/>
          <w:szCs w:val="18"/>
        </w:rPr>
        <w:t xml:space="preserve"> </w:t>
      </w:r>
      <w:r w:rsidRPr="006F0C0A">
        <w:rPr>
          <w:rFonts w:ascii="Lucida Sans" w:hAnsi="Lucida Sans" w:cs="Times New Roman"/>
          <w:sz w:val="18"/>
          <w:szCs w:val="18"/>
        </w:rPr>
        <w:t>The selegiline transdermal system (admini</w:t>
      </w:r>
      <w:r>
        <w:rPr>
          <w:rFonts w:ascii="Lucida Sans" w:hAnsi="Lucida Sans" w:cs="Times New Roman"/>
          <w:sz w:val="18"/>
          <w:szCs w:val="18"/>
        </w:rPr>
        <w:t xml:space="preserve">stered via a skin patch, </w:t>
      </w:r>
      <w:r w:rsidRPr="006F0C0A">
        <w:rPr>
          <w:rFonts w:ascii="Lucida Sans" w:hAnsi="Lucida Sans" w:cs="Times New Roman"/>
          <w:sz w:val="18"/>
          <w:szCs w:val="18"/>
        </w:rPr>
        <w:t xml:space="preserve">replaced every 24h) shows efficacy in the treatment of depression and is licensed for depression in the USA </w:t>
      </w:r>
      <w:r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&lt;EndNote&gt;&lt;Cite&gt;&lt;Author&gt;Bied&lt;/Author&gt;&lt;Year&gt;2015&lt;/Year&gt;&lt;RecNum&gt;0&lt;/RecNum&gt;&lt;IDText&gt;A critical appraisal of the selegiline transdermal system for major depressive disorder&lt;/IDText&gt;&lt;DisplayText&gt;[45]&lt;/DisplayText&gt;&lt;record&gt;&lt;keywords&gt;&lt;keyword&gt;Administration, Cutaneous&lt;/keyword&gt;&lt;keyword&gt;Antidepressive Agents&lt;/keyword&gt;&lt;keyword&gt;Depressive Disorder, Major&lt;/keyword&gt;&lt;keyword&gt;Drug Liberation&lt;/keyword&gt;&lt;keyword&gt;Humans&lt;/keyword&gt;&lt;keyword&gt;Hypertension&lt;/keyword&gt;&lt;keyword&gt;Medication Adherence&lt;/keyword&gt;&lt;keyword&gt;Selegiline&lt;/keyword&gt;&lt;keyword&gt;Transdermal Patch&lt;/keyword&gt;&lt;keyword&gt;MAO inhibitor&lt;/keyword&gt;&lt;keyword&gt;antidepressive agents&lt;/keyword&gt;&lt;keyword&gt;major depressive disorder&lt;/keyword&gt;&lt;keyword&gt;pharmacodynamics&lt;/keyword&gt;&lt;keyword&gt;pharmacokinetics&lt;/keyword&gt;&lt;keyword&gt;selegiline&lt;/keyword&gt;&lt;keyword&gt;transdermal system&lt;/keyword&gt;&lt;/keywords&gt;&lt;urls&gt;&lt;related-urls&gt;&lt;url&gt;https://www.ncbi.nlm.nih.gov/pubmed/26427518&lt;/url&gt;&lt;/related-urls&gt;&lt;/urls&gt;&lt;isbn&gt;1751-2441&lt;/isbn&gt;&lt;titles&gt;&lt;title&gt;A critical appraisal of the selegiline transdermal system for major depressive disorder&lt;/title&gt;&lt;secondary-title&gt;Expert Rev Clin Pharmacol&lt;/secondary-title&gt;&lt;/titles&gt;&lt;pages&gt;673-81&lt;/pages&gt;&lt;number&gt;6&lt;/number&gt;&lt;contributors&gt;&lt;authors&gt;&lt;author&gt;Bied, A. M.&lt;/author&gt;&lt;author&gt;Kim, J.&lt;/author&gt;&lt;author&gt;Schwartz, T. L.&lt;/author&gt;&lt;/authors&gt;&lt;/contributors&gt;&lt;edition&gt;2015/10/01&lt;/edition&gt;&lt;language&gt;eng&lt;/language&gt;&lt;added-date format="utc"&gt;1600859776&lt;/added-date&gt;&lt;ref-type name="Journal Article"&gt;17&lt;/ref-type&gt;&lt;dates&gt;&lt;year&gt;2015&lt;/year&gt;&lt;/dates&gt;&lt;rec-number&gt;9980&lt;/rec-number&gt;&lt;last-updated-date format="utc"&gt;1600859776&lt;/last-updated-date&gt;&lt;accession-num&gt;26427518&lt;/accession-num&gt;&lt;electronic-resource-num&gt;10.1586/17512433.2016.1093416&lt;/electronic-resource-num&gt;&lt;volume&gt;8&lt;/volume&gt;&lt;/record&gt;&lt;/Cite&gt;&lt;/EndNote&gt;</w:instrText>
      </w:r>
      <w:r w:rsidRPr="006F0C0A">
        <w:rPr>
          <w:rFonts w:ascii="Lucida Sans" w:hAnsi="Lucida Sans" w:cs="Times New Roman"/>
          <w:sz w:val="18"/>
          <w:szCs w:val="18"/>
        </w:rPr>
        <w:fldChar w:fldCharType="separate"/>
      </w:r>
      <w:r w:rsidR="00271279">
        <w:rPr>
          <w:rFonts w:ascii="Lucida Sans" w:hAnsi="Lucida Sans" w:cs="Times New Roman"/>
          <w:noProof/>
          <w:sz w:val="18"/>
          <w:szCs w:val="18"/>
        </w:rPr>
        <w:t>[45]</w:t>
      </w:r>
      <w:r w:rsidRPr="006F0C0A">
        <w:rPr>
          <w:rFonts w:ascii="Lucida Sans" w:hAnsi="Lucida Sans" w:cs="Times New Roman"/>
          <w:sz w:val="18"/>
          <w:szCs w:val="18"/>
        </w:rPr>
        <w:fldChar w:fldCharType="end"/>
      </w:r>
      <w:r w:rsidRPr="006F0C0A">
        <w:rPr>
          <w:rFonts w:ascii="Lucida Sans" w:hAnsi="Lucida Sans" w:cs="Times New Roman"/>
          <w:sz w:val="18"/>
          <w:szCs w:val="18"/>
        </w:rPr>
        <w:t xml:space="preserve">. </w:t>
      </w:r>
      <w:r>
        <w:rPr>
          <w:rFonts w:ascii="Lucida Sans" w:hAnsi="Lucida Sans" w:cs="Times New Roman"/>
          <w:sz w:val="18"/>
          <w:szCs w:val="18"/>
        </w:rPr>
        <w:t xml:space="preserve">The </w:t>
      </w:r>
      <w:r w:rsidRPr="000A3704">
        <w:rPr>
          <w:rFonts w:ascii="Lucida Sans" w:hAnsi="Lucida Sans" w:cs="Times New Roman"/>
          <w:sz w:val="18"/>
          <w:szCs w:val="18"/>
        </w:rPr>
        <w:t xml:space="preserve">transdermal system increases </w:t>
      </w:r>
      <w:r>
        <w:rPr>
          <w:rFonts w:ascii="Lucida Sans" w:hAnsi="Lucida Sans" w:cs="Times New Roman"/>
          <w:sz w:val="18"/>
          <w:szCs w:val="18"/>
        </w:rPr>
        <w:t xml:space="preserve">its </w:t>
      </w:r>
      <w:r w:rsidRPr="000A3704">
        <w:rPr>
          <w:rFonts w:ascii="Lucida Sans" w:hAnsi="Lucida Sans" w:cs="Times New Roman"/>
          <w:sz w:val="18"/>
          <w:szCs w:val="18"/>
        </w:rPr>
        <w:t>bioavailability to 73% (from 4%)</w:t>
      </w:r>
      <w:r>
        <w:rPr>
          <w:rFonts w:ascii="Lucida Sans" w:hAnsi="Lucida Sans" w:cs="Times New Roman"/>
          <w:sz w:val="18"/>
          <w:szCs w:val="18"/>
        </w:rPr>
        <w:t xml:space="preserve"> which </w:t>
      </w:r>
      <w:r w:rsidRPr="000A3704">
        <w:rPr>
          <w:rFonts w:ascii="Lucida Sans" w:hAnsi="Lucida Sans" w:cs="Times New Roman"/>
          <w:sz w:val="18"/>
          <w:szCs w:val="18"/>
        </w:rPr>
        <w:t>results in non-selective inhibition of MAO-A and MAO-B</w:t>
      </w:r>
      <w:r>
        <w:rPr>
          <w:rFonts w:ascii="Lucida Sans" w:hAnsi="Lucida Sans" w:cs="Times New Roman"/>
          <w:sz w:val="18"/>
          <w:szCs w:val="18"/>
        </w:rPr>
        <w:t xml:space="preserve">, </w:t>
      </w:r>
      <w:r w:rsidRPr="000A3704">
        <w:rPr>
          <w:rFonts w:ascii="Lucida Sans" w:hAnsi="Lucida Sans" w:cs="Times New Roman"/>
          <w:sz w:val="18"/>
          <w:szCs w:val="18"/>
        </w:rPr>
        <w:t xml:space="preserve">although MAO-A in </w:t>
      </w:r>
      <w:r>
        <w:rPr>
          <w:rFonts w:ascii="Lucida Sans" w:hAnsi="Lucida Sans" w:cs="Times New Roman"/>
          <w:sz w:val="18"/>
          <w:szCs w:val="18"/>
        </w:rPr>
        <w:t xml:space="preserve">the </w:t>
      </w:r>
      <w:r w:rsidRPr="000A3704">
        <w:rPr>
          <w:rFonts w:ascii="Lucida Sans" w:hAnsi="Lucida Sans" w:cs="Times New Roman"/>
          <w:sz w:val="18"/>
          <w:szCs w:val="18"/>
        </w:rPr>
        <w:t>gastro</w:t>
      </w:r>
      <w:r>
        <w:rPr>
          <w:rFonts w:ascii="Lucida Sans" w:hAnsi="Lucida Sans" w:cs="Times New Roman"/>
          <w:sz w:val="18"/>
          <w:szCs w:val="18"/>
        </w:rPr>
        <w:t>-</w:t>
      </w:r>
      <w:r w:rsidRPr="000A3704">
        <w:rPr>
          <w:rFonts w:ascii="Lucida Sans" w:hAnsi="Lucida Sans" w:cs="Times New Roman"/>
          <w:sz w:val="18"/>
          <w:szCs w:val="18"/>
        </w:rPr>
        <w:t>intestinal tract is available to metabolize tyramine</w:t>
      </w:r>
      <w:r>
        <w:rPr>
          <w:rFonts w:ascii="Lucida Sans" w:hAnsi="Lucida Sans" w:cs="Times New Roman"/>
          <w:sz w:val="18"/>
          <w:szCs w:val="18"/>
        </w:rPr>
        <w:t xml:space="preserve">. It is </w:t>
      </w:r>
      <w:r w:rsidRPr="000A3704">
        <w:rPr>
          <w:rFonts w:ascii="Lucida Sans" w:hAnsi="Lucida Sans" w:cs="Times New Roman"/>
          <w:sz w:val="18"/>
          <w:szCs w:val="18"/>
        </w:rPr>
        <w:t xml:space="preserve">efficacious in both acute treatment </w:t>
      </w:r>
      <w:r w:rsidR="00362AFC">
        <w:rPr>
          <w:rFonts w:ascii="Lucida Sans" w:hAnsi="Lucida Sans" w:cs="Times New Roman"/>
          <w:sz w:val="18"/>
          <w:szCs w:val="18"/>
        </w:rPr>
        <w:fldChar w:fldCharType="begin">
          <w:fldData xml:space="preserve">PEVuZE5vdGU+PENpdGU+PEF1dGhvcj5BbXN0ZXJkYW08L0F1dGhvcj48WWVhcj4yMDA2PC9ZZWFy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</w:fldData>
        </w:fldChar>
      </w:r>
      <w:r w:rsidR="00271279">
        <w:rPr>
          <w:rFonts w:ascii="Lucida Sans" w:hAnsi="Lucida Sans" w:cs="Times New Roman"/>
          <w:sz w:val="18"/>
          <w:szCs w:val="18"/>
        </w:rPr>
        <w:instrText xml:space="preserve"> ADDIN EN.CITE </w:instrText>
      </w:r>
      <w:r w:rsidR="00271279">
        <w:rPr>
          <w:rFonts w:ascii="Lucida Sans" w:hAnsi="Lucida Sans" w:cs="Times New Roman"/>
          <w:sz w:val="18"/>
          <w:szCs w:val="18"/>
        </w:rPr>
        <w:fldChar w:fldCharType="begin">
          <w:fldData xml:space="preserve">PEVuZE5vdGU+PENpdGU+PEF1dGhvcj5BbXN0ZXJkYW08L0F1dGhvcj48WWVhcj4yMDA2PC9ZZWFy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</w:fldData>
        </w:fldChar>
      </w:r>
      <w:r w:rsidR="00271279">
        <w:rPr>
          <w:rFonts w:ascii="Lucida Sans" w:hAnsi="Lucida Sans" w:cs="Times New Roman"/>
          <w:sz w:val="18"/>
          <w:szCs w:val="18"/>
        </w:rPr>
        <w:instrText xml:space="preserve"> ADDIN EN.CITE.DATA </w:instrText>
      </w:r>
      <w:r w:rsidR="00271279">
        <w:rPr>
          <w:rFonts w:ascii="Lucida Sans" w:hAnsi="Lucida Sans" w:cs="Times New Roman"/>
          <w:sz w:val="18"/>
          <w:szCs w:val="18"/>
        </w:rPr>
      </w:r>
      <w:r w:rsidR="00271279">
        <w:rPr>
          <w:rFonts w:ascii="Lucida Sans" w:hAnsi="Lucida Sans" w:cs="Times New Roman"/>
          <w:sz w:val="18"/>
          <w:szCs w:val="18"/>
        </w:rPr>
        <w:fldChar w:fldCharType="end"/>
      </w:r>
      <w:r w:rsidR="00362AFC">
        <w:rPr>
          <w:rFonts w:ascii="Lucida Sans" w:hAnsi="Lucida Sans" w:cs="Times New Roman"/>
          <w:sz w:val="18"/>
          <w:szCs w:val="18"/>
        </w:rPr>
      </w:r>
      <w:r w:rsidR="00362AFC">
        <w:rPr>
          <w:rFonts w:ascii="Lucida Sans" w:hAnsi="Lucida Sans" w:cs="Times New Roman"/>
          <w:sz w:val="18"/>
          <w:szCs w:val="18"/>
        </w:rPr>
        <w:fldChar w:fldCharType="separate"/>
      </w:r>
      <w:r w:rsidR="00271279">
        <w:rPr>
          <w:rFonts w:ascii="Lucida Sans" w:hAnsi="Lucida Sans" w:cs="Times New Roman"/>
          <w:noProof/>
          <w:sz w:val="18"/>
          <w:szCs w:val="18"/>
        </w:rPr>
        <w:t>[46-48]</w:t>
      </w:r>
      <w:r w:rsidR="00362AFC">
        <w:rPr>
          <w:rFonts w:ascii="Lucida Sans" w:hAnsi="Lucida Sans" w:cs="Times New Roman"/>
          <w:sz w:val="18"/>
          <w:szCs w:val="18"/>
        </w:rPr>
        <w:fldChar w:fldCharType="end"/>
      </w:r>
      <w:r w:rsidR="00952CE1">
        <w:rPr>
          <w:rFonts w:ascii="Lucida Sans" w:hAnsi="Lucida Sans" w:cs="Times New Roman"/>
          <w:sz w:val="18"/>
          <w:szCs w:val="18"/>
        </w:rPr>
        <w:t xml:space="preserve"> </w:t>
      </w:r>
      <w:r w:rsidRPr="000A3704">
        <w:rPr>
          <w:rFonts w:ascii="Lucida Sans" w:hAnsi="Lucida Sans" w:cs="Times New Roman"/>
          <w:sz w:val="18"/>
          <w:szCs w:val="18"/>
        </w:rPr>
        <w:t xml:space="preserve">and in </w:t>
      </w:r>
      <w:r>
        <w:rPr>
          <w:rFonts w:ascii="Lucida Sans" w:hAnsi="Lucida Sans" w:cs="Times New Roman"/>
          <w:sz w:val="18"/>
          <w:szCs w:val="18"/>
        </w:rPr>
        <w:t xml:space="preserve">the </w:t>
      </w:r>
      <w:r w:rsidRPr="000A3704">
        <w:rPr>
          <w:rFonts w:ascii="Lucida Sans" w:hAnsi="Lucida Sans" w:cs="Times New Roman"/>
          <w:sz w:val="18"/>
          <w:szCs w:val="18"/>
        </w:rPr>
        <w:t xml:space="preserve">prevention of relapse </w:t>
      </w:r>
      <w:r w:rsidR="00952CE1">
        <w:rPr>
          <w:rFonts w:ascii="Lucida Sans" w:hAnsi="Lucida Sans" w:cs="Times New Roman"/>
          <w:sz w:val="18"/>
          <w:szCs w:val="18"/>
        </w:rPr>
        <w:t>(38)</w:t>
      </w:r>
      <w:r w:rsidR="00A30E23">
        <w:rPr>
          <w:rFonts w:ascii="Lucida Sans" w:hAnsi="Lucida Sans" w:cs="Times New Roman"/>
          <w:sz w:val="18"/>
          <w:szCs w:val="18"/>
        </w:rPr>
        <w:t xml:space="preserve"> of depression</w:t>
      </w:r>
      <w:r>
        <w:rPr>
          <w:rFonts w:ascii="Lucida Sans" w:hAnsi="Lucida Sans" w:cs="Times New Roman"/>
          <w:sz w:val="18"/>
          <w:szCs w:val="18"/>
        </w:rPr>
        <w:t>. The ‘number needed to treat’</w:t>
      </w:r>
      <w:r w:rsidRPr="000A3704">
        <w:rPr>
          <w:rFonts w:ascii="Lucida Sans" w:hAnsi="Lucida Sans" w:cs="Times New Roman"/>
          <w:sz w:val="18"/>
          <w:szCs w:val="18"/>
        </w:rPr>
        <w:t xml:space="preserve"> for symptom reduction </w:t>
      </w:r>
      <w:r>
        <w:rPr>
          <w:rFonts w:ascii="Lucida Sans" w:hAnsi="Lucida Sans" w:cs="Times New Roman"/>
          <w:sz w:val="18"/>
          <w:szCs w:val="18"/>
        </w:rPr>
        <w:t xml:space="preserve">is around </w:t>
      </w:r>
      <w:r w:rsidRPr="000A3704">
        <w:rPr>
          <w:rFonts w:ascii="Lucida Sans" w:hAnsi="Lucida Sans" w:cs="Times New Roman"/>
          <w:sz w:val="18"/>
          <w:szCs w:val="18"/>
        </w:rPr>
        <w:t xml:space="preserve">11, </w:t>
      </w:r>
      <w:r>
        <w:rPr>
          <w:rFonts w:ascii="Lucida Sans" w:hAnsi="Lucida Sans" w:cs="Times New Roman"/>
          <w:sz w:val="18"/>
          <w:szCs w:val="18"/>
        </w:rPr>
        <w:t xml:space="preserve">and </w:t>
      </w:r>
      <w:r w:rsidRPr="000A3704">
        <w:rPr>
          <w:rFonts w:ascii="Lucida Sans" w:hAnsi="Lucida Sans" w:cs="Times New Roman"/>
          <w:sz w:val="18"/>
          <w:szCs w:val="18"/>
        </w:rPr>
        <w:t xml:space="preserve">for remission </w:t>
      </w:r>
      <w:r>
        <w:rPr>
          <w:rFonts w:ascii="Lucida Sans" w:hAnsi="Lucida Sans" w:cs="Times New Roman"/>
          <w:sz w:val="18"/>
          <w:szCs w:val="18"/>
        </w:rPr>
        <w:t>is around 9</w:t>
      </w:r>
      <w:r w:rsidR="000C6BFC">
        <w:rPr>
          <w:rFonts w:ascii="Lucida Sans" w:hAnsi="Lucida Sans" w:cs="Times New Roman"/>
          <w:sz w:val="18"/>
          <w:szCs w:val="18"/>
        </w:rPr>
        <w:t>. I</w:t>
      </w:r>
      <w:r>
        <w:rPr>
          <w:rFonts w:ascii="Lucida Sans" w:hAnsi="Lucida Sans" w:cs="Times New Roman"/>
          <w:sz w:val="18"/>
          <w:szCs w:val="18"/>
        </w:rPr>
        <w:t xml:space="preserve">t is </w:t>
      </w:r>
      <w:r w:rsidRPr="000A3704">
        <w:rPr>
          <w:rFonts w:ascii="Lucida Sans" w:hAnsi="Lucida Sans" w:cs="Times New Roman"/>
          <w:sz w:val="18"/>
          <w:szCs w:val="18"/>
        </w:rPr>
        <w:t>3.6 times more likely to lead to remission than to drop-out due to adverse effects</w:t>
      </w:r>
      <w:r w:rsidR="00362AFC">
        <w:rPr>
          <w:rFonts w:ascii="Lucida Sans" w:hAnsi="Lucida Sans" w:cs="Times New Roman"/>
          <w:sz w:val="18"/>
          <w:szCs w:val="18"/>
        </w:rPr>
        <w:t xml:space="preserve"> </w:t>
      </w:r>
      <w:r w:rsidR="00362AF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&lt;EndNote&gt;&lt;Cite&gt;&lt;Author&gt;Citrome&lt;/Author&gt;&lt;Year&gt;2013&lt;/Year&gt;&lt;RecNum&gt;439&lt;/RecNum&gt;&lt;DisplayText&gt;[49]&lt;/DisplayText&gt;&lt;record&gt;&lt;rec-number&gt;439&lt;/rec-number&gt;&lt;foreign-keys&gt;&lt;key app="EN" db-id="2xwpd9xwpest5ue9rwa5etrr9fzzxded9vfx" timestamp="0"&gt;439&lt;/key&gt;&lt;/foreign-keys&gt;&lt;ref-type name="Journal Article"&gt;17&lt;/ref-type&gt;&lt;contributors&gt;&lt;authors&gt;&lt;author&gt;Citrome, Leslie&lt;/author&gt;&lt;author&gt;Goldberg, Joseph F&lt;/author&gt;&lt;author&gt;Portland, Kimberly Blanchard&lt;/author&gt;&lt;/authors&gt;&lt;/contributors&gt;&lt;titles&gt;&lt;title&gt;Placing transdermal selegiline for major depressive disorder into clinical context: number needed to treat, number needed to harm, and likelihood to be helped or harmed&lt;/title&gt;&lt;secondary-title&gt;Journal of affective disorders&lt;/secondary-title&gt;&lt;/titles&gt;&lt;periodical&gt;&lt;full-title&gt;Journal of Affective Disorders&lt;/full-title&gt;&lt;/periodical&gt;&lt;pages&gt;409-417&lt;/pages&gt;&lt;volume&gt;151&lt;/volume&gt;&lt;number&gt;2&lt;/number&gt;&lt;dates&gt;&lt;year&gt;2013&lt;/year&gt;&lt;/dates&gt;&lt;isbn&gt;0165-0327&lt;/isbn&gt;&lt;urls&gt;&lt;/urls&gt;&lt;/record&gt;&lt;/Cite&gt;&lt;/EndNote&gt;</w:instrText>
      </w:r>
      <w:r w:rsidR="00362AFC">
        <w:rPr>
          <w:rFonts w:ascii="Lucida Sans" w:hAnsi="Lucida Sans" w:cs="Times New Roman"/>
          <w:sz w:val="18"/>
          <w:szCs w:val="18"/>
        </w:rPr>
        <w:fldChar w:fldCharType="separate"/>
      </w:r>
      <w:r w:rsidR="00271279">
        <w:rPr>
          <w:rFonts w:ascii="Lucida Sans" w:hAnsi="Lucida Sans" w:cs="Times New Roman"/>
          <w:noProof/>
          <w:sz w:val="18"/>
          <w:szCs w:val="18"/>
        </w:rPr>
        <w:t>[49]</w:t>
      </w:r>
      <w:r w:rsidR="00362AFC">
        <w:rPr>
          <w:rFonts w:ascii="Lucida Sans" w:hAnsi="Lucida Sans" w:cs="Times New Roman"/>
          <w:sz w:val="18"/>
          <w:szCs w:val="18"/>
        </w:rPr>
        <w:fldChar w:fldCharType="end"/>
      </w:r>
      <w:r>
        <w:rPr>
          <w:rFonts w:ascii="Lucida Sans" w:hAnsi="Lucida Sans" w:cs="Times New Roman"/>
          <w:sz w:val="18"/>
          <w:szCs w:val="18"/>
        </w:rPr>
        <w:t xml:space="preserve">. There is </w:t>
      </w:r>
      <w:r w:rsidRPr="000A3704">
        <w:rPr>
          <w:rFonts w:ascii="Lucida Sans" w:hAnsi="Lucida Sans" w:cs="Times New Roman"/>
          <w:sz w:val="18"/>
          <w:szCs w:val="18"/>
        </w:rPr>
        <w:t xml:space="preserve">no difference from placebo in </w:t>
      </w:r>
      <w:r>
        <w:rPr>
          <w:rFonts w:ascii="Lucida Sans" w:hAnsi="Lucida Sans" w:cs="Times New Roman"/>
          <w:sz w:val="18"/>
          <w:szCs w:val="18"/>
        </w:rPr>
        <w:t xml:space="preserve">the incidence of </w:t>
      </w:r>
      <w:r w:rsidRPr="000A3704">
        <w:rPr>
          <w:rFonts w:ascii="Lucida Sans" w:hAnsi="Lucida Sans" w:cs="Times New Roman"/>
          <w:sz w:val="18"/>
          <w:szCs w:val="18"/>
        </w:rPr>
        <w:t>weight gain or sexual dysfunction</w:t>
      </w:r>
      <w:r>
        <w:rPr>
          <w:rFonts w:ascii="Lucida Sans" w:hAnsi="Lucida Sans" w:cs="Times New Roman"/>
          <w:sz w:val="18"/>
          <w:szCs w:val="18"/>
        </w:rPr>
        <w:t>.</w:t>
      </w:r>
      <w:r w:rsidR="002F13D3">
        <w:rPr>
          <w:rFonts w:ascii="Lucida Sans" w:hAnsi="Lucida Sans" w:cs="Times New Roman"/>
          <w:sz w:val="18"/>
          <w:szCs w:val="18"/>
        </w:rPr>
        <w:t xml:space="preserve"> </w:t>
      </w:r>
      <w:r w:rsidR="00D8058D">
        <w:rPr>
          <w:rFonts w:ascii="Lucida Sans" w:hAnsi="Lucida Sans" w:cs="Times New Roman"/>
          <w:sz w:val="18"/>
          <w:szCs w:val="18"/>
        </w:rPr>
        <w:t xml:space="preserve">The selegiline transdermal system </w:t>
      </w:r>
      <w:r w:rsidRPr="006F0C0A">
        <w:rPr>
          <w:rFonts w:ascii="Lucida Sans" w:hAnsi="Lucida Sans" w:cs="Times New Roman"/>
          <w:sz w:val="18"/>
          <w:szCs w:val="18"/>
        </w:rPr>
        <w:t>is not currently available for licensed use in the UK, for this indication. Prescribers are advised to consult the Royal College of</w:t>
      </w:r>
      <w:r>
        <w:rPr>
          <w:rFonts w:ascii="Lucida Sans" w:hAnsi="Lucida Sans" w:cs="Times New Roman"/>
          <w:sz w:val="18"/>
          <w:szCs w:val="18"/>
        </w:rPr>
        <w:t xml:space="preserve"> Psychiatrist’s College Report ‘</w:t>
      </w:r>
      <w:r w:rsidRPr="009A7D3F">
        <w:rPr>
          <w:rFonts w:ascii="Lucida Sans" w:hAnsi="Lucida Sans" w:cs="Times New Roman"/>
          <w:i/>
          <w:sz w:val="18"/>
          <w:szCs w:val="18"/>
        </w:rPr>
        <w:t>Use of licensed medicines for unlicensed applications in psychiatric practice</w:t>
      </w:r>
      <w:r>
        <w:rPr>
          <w:rFonts w:ascii="Lucida Sans" w:hAnsi="Lucida Sans" w:cs="Times New Roman"/>
          <w:sz w:val="18"/>
          <w:szCs w:val="18"/>
        </w:rPr>
        <w:t>’</w:t>
      </w:r>
      <w:r w:rsidRPr="006F0C0A">
        <w:rPr>
          <w:rFonts w:ascii="Lucida Sans" w:hAnsi="Lucida Sans" w:cs="Times New Roman"/>
          <w:sz w:val="18"/>
          <w:szCs w:val="18"/>
        </w:rPr>
        <w:t xml:space="preserve"> (CR210, December 2017), for advice about provisions relating to prescribing outside the terms of marketing authorisation (</w:t>
      </w:r>
      <w:r w:rsidR="009C3518">
        <w:rPr>
          <w:rFonts w:ascii="Lucida Sans" w:hAnsi="Lucida Sans" w:cs="Times New Roman"/>
          <w:sz w:val="18"/>
          <w:szCs w:val="18"/>
        </w:rPr>
        <w:t>‘</w:t>
      </w:r>
      <w:r w:rsidRPr="006F0C0A">
        <w:rPr>
          <w:rFonts w:ascii="Lucida Sans" w:hAnsi="Lucida Sans" w:cs="Times New Roman"/>
          <w:sz w:val="18"/>
          <w:szCs w:val="18"/>
        </w:rPr>
        <w:t>product licence</w:t>
      </w:r>
      <w:r w:rsidR="009C3518">
        <w:rPr>
          <w:rFonts w:ascii="Lucida Sans" w:hAnsi="Lucida Sans" w:cs="Times New Roman"/>
          <w:sz w:val="18"/>
          <w:szCs w:val="18"/>
        </w:rPr>
        <w:t>’</w:t>
      </w:r>
      <w:r w:rsidRPr="006F0C0A">
        <w:rPr>
          <w:rFonts w:ascii="Lucida Sans" w:hAnsi="Lucida Sans" w:cs="Times New Roman"/>
          <w:sz w:val="18"/>
          <w:szCs w:val="18"/>
        </w:rPr>
        <w:t xml:space="preserve">). </w:t>
      </w:r>
    </w:p>
    <w:p w14:paraId="1FFB2E2A" w14:textId="3112FCC0" w:rsidR="002F13D3" w:rsidRDefault="002F13D3" w:rsidP="003807A9">
      <w:pPr>
        <w:spacing w:line="360" w:lineRule="auto"/>
        <w:rPr>
          <w:rFonts w:ascii="Lucida Sans" w:hAnsi="Lucida Sans" w:cs="Times New Roman"/>
          <w:sz w:val="18"/>
          <w:szCs w:val="18"/>
        </w:rPr>
      </w:pPr>
    </w:p>
    <w:p w14:paraId="40771F9A" w14:textId="49FC0CD5" w:rsidR="00486B26" w:rsidRDefault="00486B26" w:rsidP="003807A9">
      <w:pPr>
        <w:spacing w:line="360" w:lineRule="auto"/>
        <w:rPr>
          <w:rFonts w:ascii="Lucida Sans" w:hAnsi="Lucida Sans" w:cs="Times New Roman"/>
          <w:sz w:val="18"/>
          <w:szCs w:val="18"/>
        </w:rPr>
      </w:pPr>
      <w:r>
        <w:rPr>
          <w:rFonts w:ascii="Lucida Sans" w:hAnsi="Lucida Sans" w:cs="Times New Roman"/>
          <w:sz w:val="18"/>
          <w:szCs w:val="18"/>
        </w:rPr>
        <w:t>The availability of and licensing arrangements for MAOIs are likely to differ between countries, and change over time within a country</w:t>
      </w:r>
      <w:r w:rsidR="009C3518">
        <w:rPr>
          <w:rFonts w:ascii="Lucida Sans" w:hAnsi="Lucida Sans" w:cs="Times New Roman"/>
          <w:sz w:val="18"/>
          <w:szCs w:val="18"/>
        </w:rPr>
        <w:t>:</w:t>
      </w:r>
      <w:r w:rsidR="00307EA8">
        <w:rPr>
          <w:rFonts w:ascii="Lucida Sans" w:hAnsi="Lucida Sans" w:cs="Times New Roman"/>
          <w:sz w:val="18"/>
          <w:szCs w:val="18"/>
        </w:rPr>
        <w:t xml:space="preserve"> </w:t>
      </w:r>
      <w:r w:rsidR="009C3518">
        <w:rPr>
          <w:rFonts w:ascii="Lucida Sans" w:hAnsi="Lucida Sans" w:cs="Times New Roman"/>
          <w:sz w:val="18"/>
          <w:szCs w:val="18"/>
        </w:rPr>
        <w:t>a</w:t>
      </w:r>
      <w:r>
        <w:rPr>
          <w:rFonts w:ascii="Lucida Sans" w:hAnsi="Lucida Sans" w:cs="Times New Roman"/>
          <w:sz w:val="18"/>
          <w:szCs w:val="18"/>
        </w:rPr>
        <w:t xml:space="preserve">s such, it is always recommended to consult locale specific guidelines periodically. </w:t>
      </w:r>
    </w:p>
    <w:p w14:paraId="723AACE1" w14:textId="77777777" w:rsidR="00096847" w:rsidRPr="006F0C0A" w:rsidRDefault="00096847" w:rsidP="006F0C0A">
      <w:pPr>
        <w:spacing w:line="360" w:lineRule="auto"/>
        <w:rPr>
          <w:rFonts w:ascii="Lucida Sans" w:hAnsi="Lucida Sans" w:cs="Times New Roman"/>
          <w:sz w:val="18"/>
          <w:szCs w:val="18"/>
          <w:lang w:val="en-US"/>
        </w:rPr>
      </w:pPr>
    </w:p>
    <w:p w14:paraId="50073391" w14:textId="64208419" w:rsidR="00D10D4F" w:rsidRPr="0025000B" w:rsidRDefault="00D10D4F" w:rsidP="0025000B">
      <w:pPr>
        <w:pStyle w:val="ListParagraph"/>
        <w:numPr>
          <w:ilvl w:val="0"/>
          <w:numId w:val="3"/>
        </w:numPr>
        <w:spacing w:line="360" w:lineRule="auto"/>
        <w:rPr>
          <w:rFonts w:ascii="Lucida Sans" w:hAnsi="Lucida Sans" w:cs="Times New Roman"/>
          <w:b/>
          <w:sz w:val="18"/>
          <w:szCs w:val="18"/>
        </w:rPr>
      </w:pPr>
      <w:r w:rsidRPr="0025000B">
        <w:rPr>
          <w:rFonts w:ascii="Lucida Sans" w:hAnsi="Lucida Sans" w:cs="Times New Roman"/>
          <w:b/>
          <w:sz w:val="18"/>
          <w:szCs w:val="18"/>
        </w:rPr>
        <w:t>Indications for MAOI treatment</w:t>
      </w:r>
    </w:p>
    <w:p w14:paraId="50301903" w14:textId="1255EABC" w:rsidR="00A649C0" w:rsidRPr="00945CA6" w:rsidRDefault="004B10CB" w:rsidP="00531296">
      <w:pPr>
        <w:spacing w:line="360" w:lineRule="auto"/>
        <w:rPr>
          <w:rFonts w:ascii="Lucida Sans" w:hAnsi="Lucida Sans" w:cs="Times New Roman"/>
          <w:sz w:val="18"/>
          <w:szCs w:val="18"/>
          <w:lang w:val="en-US"/>
        </w:rPr>
      </w:pPr>
      <w:r>
        <w:rPr>
          <w:rFonts w:ascii="Lucida Sans" w:hAnsi="Lucida Sans" w:cs="Times New Roman"/>
          <w:sz w:val="18"/>
          <w:szCs w:val="18"/>
        </w:rPr>
        <w:t xml:space="preserve">MAOI antidepressants slowly came to be niched for the treatment of patients with </w:t>
      </w:r>
      <w:r w:rsidR="00945CA6">
        <w:rPr>
          <w:rFonts w:ascii="Lucida Sans" w:hAnsi="Lucida Sans" w:cs="Times New Roman"/>
          <w:sz w:val="18"/>
          <w:szCs w:val="18"/>
        </w:rPr>
        <w:t>‘</w:t>
      </w:r>
      <w:r>
        <w:rPr>
          <w:rFonts w:ascii="Lucida Sans" w:hAnsi="Lucida Sans" w:cs="Times New Roman"/>
          <w:sz w:val="18"/>
          <w:szCs w:val="18"/>
        </w:rPr>
        <w:t>a</w:t>
      </w:r>
      <w:r w:rsidR="00945CA6">
        <w:rPr>
          <w:rFonts w:ascii="Lucida Sans" w:hAnsi="Lucida Sans" w:cs="Times New Roman"/>
          <w:sz w:val="18"/>
          <w:szCs w:val="18"/>
        </w:rPr>
        <w:t>typical depression’</w:t>
      </w:r>
      <w:r>
        <w:rPr>
          <w:rFonts w:ascii="Lucida Sans" w:hAnsi="Lucida Sans" w:cs="Times New Roman"/>
          <w:sz w:val="18"/>
          <w:szCs w:val="18"/>
        </w:rPr>
        <w:t>, but the precise nature of this condition has been disputed for decades. Current criteria</w:t>
      </w:r>
      <w:r w:rsidR="002965C9">
        <w:rPr>
          <w:rFonts w:ascii="Lucida Sans" w:hAnsi="Lucida Sans" w:cs="Times New Roman"/>
          <w:sz w:val="18"/>
          <w:szCs w:val="18"/>
        </w:rPr>
        <w:t xml:space="preserve"> for atypical depression (i.e. depression with atypical features in DSM-5)</w:t>
      </w:r>
      <w:r>
        <w:rPr>
          <w:rFonts w:ascii="Lucida Sans" w:hAnsi="Lucida Sans" w:cs="Times New Roman"/>
          <w:sz w:val="18"/>
          <w:szCs w:val="18"/>
        </w:rPr>
        <w:t xml:space="preserve"> require the presence of </w:t>
      </w:r>
      <w:r w:rsidR="00945CA6" w:rsidRPr="00945CA6">
        <w:rPr>
          <w:rFonts w:ascii="Lucida Sans" w:hAnsi="Lucida Sans" w:cs="Times New Roman"/>
          <w:sz w:val="18"/>
          <w:szCs w:val="18"/>
          <w:lang w:val="en-US"/>
        </w:rPr>
        <w:t>mood reactivity (i.e. mood brightens in response to actual or potential positive events)</w:t>
      </w:r>
      <w:r>
        <w:rPr>
          <w:rFonts w:ascii="Lucida Sans" w:hAnsi="Lucida Sans" w:cs="Times New Roman"/>
          <w:sz w:val="18"/>
          <w:szCs w:val="18"/>
          <w:lang w:val="en-US"/>
        </w:rPr>
        <w:t xml:space="preserve">, together with </w:t>
      </w:r>
      <w:r w:rsidR="00945CA6" w:rsidRPr="00945CA6">
        <w:rPr>
          <w:rFonts w:ascii="Lucida Sans" w:hAnsi="Lucida Sans" w:cs="Times New Roman"/>
          <w:sz w:val="18"/>
          <w:szCs w:val="18"/>
          <w:lang w:val="en-US"/>
        </w:rPr>
        <w:t>two or more of the following features:</w:t>
      </w:r>
      <w:r>
        <w:rPr>
          <w:rFonts w:ascii="Lucida Sans" w:hAnsi="Lucida Sans" w:cs="Times New Roman"/>
          <w:sz w:val="18"/>
          <w:szCs w:val="18"/>
          <w:lang w:val="en-US"/>
        </w:rPr>
        <w:t xml:space="preserve"> </w:t>
      </w:r>
      <w:r w:rsidR="00945CA6" w:rsidRPr="00945CA6">
        <w:rPr>
          <w:rFonts w:ascii="Lucida Sans" w:hAnsi="Lucida Sans" w:cs="Times New Roman"/>
          <w:sz w:val="18"/>
          <w:szCs w:val="18"/>
          <w:lang w:val="en-US"/>
        </w:rPr>
        <w:t>significant weight gain or increase in appetite</w:t>
      </w:r>
      <w:r>
        <w:rPr>
          <w:rFonts w:ascii="Lucida Sans" w:hAnsi="Lucida Sans" w:cs="Times New Roman"/>
          <w:sz w:val="18"/>
          <w:szCs w:val="18"/>
          <w:lang w:val="en-US"/>
        </w:rPr>
        <w:t xml:space="preserve">; </w:t>
      </w:r>
      <w:r w:rsidR="00945CA6" w:rsidRPr="00945CA6">
        <w:rPr>
          <w:rFonts w:ascii="Lucida Sans" w:hAnsi="Lucida Sans" w:cs="Times New Roman"/>
          <w:sz w:val="18"/>
          <w:szCs w:val="18"/>
          <w:lang w:val="en-US"/>
        </w:rPr>
        <w:t>hypersomnia (at least 10 h</w:t>
      </w:r>
      <w:r>
        <w:rPr>
          <w:rFonts w:ascii="Lucida Sans" w:hAnsi="Lucida Sans" w:cs="Times New Roman"/>
          <w:sz w:val="18"/>
          <w:szCs w:val="18"/>
          <w:lang w:val="en-US"/>
        </w:rPr>
        <w:t>ou</w:t>
      </w:r>
      <w:r w:rsidR="00945CA6" w:rsidRPr="00945CA6">
        <w:rPr>
          <w:rFonts w:ascii="Lucida Sans" w:hAnsi="Lucida Sans" w:cs="Times New Roman"/>
          <w:sz w:val="18"/>
          <w:szCs w:val="18"/>
          <w:lang w:val="en-US"/>
        </w:rPr>
        <w:t>rs/day or 2 h</w:t>
      </w:r>
      <w:r>
        <w:rPr>
          <w:rFonts w:ascii="Lucida Sans" w:hAnsi="Lucida Sans" w:cs="Times New Roman"/>
          <w:sz w:val="18"/>
          <w:szCs w:val="18"/>
          <w:lang w:val="en-US"/>
        </w:rPr>
        <w:t>ou</w:t>
      </w:r>
      <w:r w:rsidR="00945CA6" w:rsidRPr="00945CA6">
        <w:rPr>
          <w:rFonts w:ascii="Lucida Sans" w:hAnsi="Lucida Sans" w:cs="Times New Roman"/>
          <w:sz w:val="18"/>
          <w:szCs w:val="18"/>
          <w:lang w:val="en-US"/>
        </w:rPr>
        <w:t>rs more than when not depressed)</w:t>
      </w:r>
      <w:r>
        <w:rPr>
          <w:rFonts w:ascii="Lucida Sans" w:hAnsi="Lucida Sans" w:cs="Times New Roman"/>
          <w:sz w:val="18"/>
          <w:szCs w:val="18"/>
          <w:lang w:val="en-US"/>
        </w:rPr>
        <w:t xml:space="preserve">; </w:t>
      </w:r>
      <w:r w:rsidR="00945CA6" w:rsidRPr="00945CA6">
        <w:rPr>
          <w:rFonts w:ascii="Lucida Sans" w:hAnsi="Lucida Sans" w:cs="Times New Roman"/>
          <w:sz w:val="18"/>
          <w:szCs w:val="18"/>
          <w:lang w:val="en-US"/>
        </w:rPr>
        <w:t>leaden paralysis (i.e. heavy, leaden feelings in arms or legs, for at least an hour per day)</w:t>
      </w:r>
      <w:r>
        <w:rPr>
          <w:rFonts w:ascii="Lucida Sans" w:hAnsi="Lucida Sans" w:cs="Times New Roman"/>
          <w:sz w:val="18"/>
          <w:szCs w:val="18"/>
          <w:lang w:val="en-US"/>
        </w:rPr>
        <w:t xml:space="preserve">; and a </w:t>
      </w:r>
      <w:r w:rsidR="00945CA6" w:rsidRPr="00945CA6">
        <w:rPr>
          <w:rFonts w:ascii="Lucida Sans" w:hAnsi="Lucida Sans" w:cs="Times New Roman"/>
          <w:sz w:val="18"/>
          <w:szCs w:val="18"/>
          <w:lang w:val="en-US"/>
        </w:rPr>
        <w:t>long-standing pattern of interpersonal rejection sensitivity (not limited to episodes of mood disturbance) that results in significant social or occupational impairment</w:t>
      </w:r>
      <w:r>
        <w:rPr>
          <w:rFonts w:ascii="Lucida Sans" w:hAnsi="Lucida Sans" w:cs="Times New Roman"/>
          <w:sz w:val="18"/>
          <w:szCs w:val="18"/>
          <w:lang w:val="en-US"/>
        </w:rPr>
        <w:t xml:space="preserve"> (this being a </w:t>
      </w:r>
      <w:r w:rsidR="00945CA6" w:rsidRPr="00945CA6">
        <w:rPr>
          <w:rFonts w:ascii="Lucida Sans" w:hAnsi="Lucida Sans" w:cs="Times New Roman"/>
          <w:sz w:val="18"/>
          <w:szCs w:val="18"/>
          <w:lang w:val="en-US"/>
        </w:rPr>
        <w:t>trait with early onset and persists throughout most of adult life</w:t>
      </w:r>
      <w:r>
        <w:rPr>
          <w:rFonts w:ascii="Lucida Sans" w:hAnsi="Lucida Sans" w:cs="Times New Roman"/>
          <w:sz w:val="18"/>
          <w:szCs w:val="18"/>
          <w:lang w:val="en-US"/>
        </w:rPr>
        <w:t xml:space="preserve">). It is important that the </w:t>
      </w:r>
      <w:r w:rsidR="00945CA6" w:rsidRPr="00945CA6">
        <w:rPr>
          <w:rFonts w:ascii="Lucida Sans" w:hAnsi="Lucida Sans" w:cs="Times New Roman"/>
          <w:sz w:val="18"/>
          <w:szCs w:val="18"/>
          <w:lang w:val="en-US"/>
        </w:rPr>
        <w:t>criteria are not met for melancholic or catatonic features</w:t>
      </w:r>
      <w:r w:rsidR="00352888">
        <w:rPr>
          <w:rFonts w:ascii="Lucida Sans" w:hAnsi="Lucida Sans" w:cs="Times New Roman"/>
          <w:sz w:val="18"/>
          <w:szCs w:val="18"/>
          <w:lang w:val="en-US"/>
        </w:rPr>
        <w:t xml:space="preserve"> </w:t>
      </w:r>
      <w:r w:rsidR="00352888">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&lt;EndNote&gt;&lt;Cite&gt;&lt;Author&gt;American Psychiatric Association&lt;/Author&gt;&lt;Year&gt;2013&lt;/Year&gt;&lt;RecNum&gt;14&lt;/RecNum&gt;&lt;DisplayText&gt;[50]&lt;/DisplayText&gt;&lt;record&gt;&lt;rec-number&gt;14&lt;/rec-number&gt;&lt;foreign-keys&gt;&lt;key app="EN" db-id="2xwpd9xwpest5ue9rwa5etrr9fzzxded9vfx" timestamp="0"&gt;14&lt;/key&gt;&lt;/foreign-keys&gt;&lt;ref-type name="Book"&gt;6&lt;/ref-type&gt;&lt;contributors&gt;&lt;authors&gt;&lt;author&gt;American Psychiatric Association,&lt;/author&gt;&lt;/authors&gt;&lt;/contributors&gt;&lt;titles&gt;&lt;title&gt;Desk reference to the diagnostic criteria from DSM-5™&lt;/title&gt;&lt;/titles&gt;&lt;keywords&gt;&lt;keyword&gt;DSM-5&lt;/keyword&gt;&lt;keyword&gt;diagnosis of mental disorders&lt;/keyword&gt;&lt;keyword&gt;subtypes&lt;/keyword&gt;&lt;keyword&gt;ICD-9-CM&lt;/keyword&gt;&lt;keyword&gt;ICD-I0-CM&lt;/keyword&gt;&lt;keyword&gt;assessment measures&lt;/keyword&gt;&lt;keyword&gt;2013&lt;/keyword&gt;&lt;keyword&gt;Diagnostic and Statistical Manual&lt;/keyword&gt;&lt;keyword&gt;Diagnosis&lt;/keyword&gt;&lt;keyword&gt;Measurement&lt;/keyword&gt;&lt;keyword&gt;Mental Disorders&lt;/keyword&gt;&lt;keyword&gt;Subtypes (Disorders)&lt;/keyword&gt;&lt;keyword&gt;Diagnostic Criteria&lt;/keyword&gt;&lt;/keywords&gt;&lt;dates&gt;&lt;year&gt;2013&lt;/year&gt;&lt;/dates&gt;&lt;pub-location&gt;Arlington, VA, US&lt;/pub-location&gt;&lt;publisher&gt;American Psychiatric Publishing, Inc.&lt;/publisher&gt;&lt;isbn&gt;978-0-89042-556-5&lt;/isbn&gt;&lt;accession-num&gt;2013-21550-000&lt;/accession-num&gt;&lt;urls&gt;&lt;related-urls&gt;&lt;url&gt;http://search.ebscohost.com/login.aspx?direct=true&amp;amp;db=psyh&amp;amp;AN=2013-21550-000&amp;amp;site=eds-live&lt;/url&gt;&lt;/related-urls&gt;&lt;/urls&gt;&lt;remote-database-name&gt;psyh&lt;/remote-database-name&gt;&lt;remote-database-provider&gt;EBSCOhost&lt;/remote-database-provider&gt;&lt;/record&gt;&lt;/Cite&gt;&lt;/EndNote&gt;</w:instrText>
      </w:r>
      <w:r w:rsidR="00352888">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[50]</w:t>
      </w:r>
      <w:r w:rsidR="00352888">
        <w:rPr>
          <w:rFonts w:ascii="Lucida Sans" w:hAnsi="Lucida Sans" w:cs="Times New Roman"/>
          <w:sz w:val="18"/>
          <w:szCs w:val="18"/>
          <w:lang w:val="en-US"/>
        </w:rPr>
        <w:fldChar w:fldCharType="end"/>
      </w:r>
      <w:r>
        <w:rPr>
          <w:rFonts w:ascii="Lucida Sans" w:hAnsi="Lucida Sans" w:cs="Times New Roman"/>
          <w:sz w:val="18"/>
          <w:szCs w:val="18"/>
          <w:lang w:val="en-US"/>
        </w:rPr>
        <w:t xml:space="preserve">. </w:t>
      </w:r>
      <w:r w:rsidR="00531296" w:rsidRPr="006F0C0A">
        <w:rPr>
          <w:rFonts w:ascii="Lucida Sans" w:hAnsi="Lucida Sans" w:cs="Times New Roman"/>
          <w:sz w:val="18"/>
          <w:szCs w:val="18"/>
        </w:rPr>
        <w:t xml:space="preserve">MAOIs may provide advantages for the treatment of depression with atypical features. A 2006 meta-analysis indicated that MAOIs had greater efficacy than placebo in the treatment of atypical depression, with medium-large effect sizes </w:t>
      </w:r>
      <w:r w:rsidR="00531296"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&lt;EndNote&gt;&lt;Cite&gt;&lt;Author&gt;Henkel&lt;/Author&gt;&lt;Year&gt;2006&lt;/Year&gt;&lt;RecNum&gt;397&lt;/RecNum&gt;&lt;IDText&gt;Treatment of depression with atypical features: a meta-analytic approach&lt;/IDText&gt;&lt;DisplayText&gt;[51]&lt;/DisplayText&gt;&lt;record&gt;&lt;rec-number&gt;397&lt;/rec-number&gt;&lt;foreign-keys&gt;&lt;key app="EN" db-id="2xwpd9xwpest5ue9rwa5etrr9fzzxded9vfx" timestamp="0"&gt;397&lt;/key&gt;&lt;/foreign-keys&gt;&lt;ref-type name="Journal Article"&gt;17&lt;/ref-type&gt;&lt;contributors&gt;&lt;authors&gt;&lt;author&gt;Henkel, Verena&lt;/author&gt;&lt;author&gt;Mergl, Roland&lt;/author&gt;&lt;author&gt;Allgaier, Antje-Kathrin&lt;/author&gt;&lt;author&gt;Kohnen, Ralph&lt;/author&gt;&lt;author&gt;Möller, Hans-Jürgen&lt;/author&gt;&lt;author&gt;Hegerl, Ulrich&lt;/author&gt;&lt;/authors&gt;&lt;/contributors&gt;&lt;titles&gt;&lt;title&gt;Treatment of depression with atypical features: a meta-analytic approach&lt;/title&gt;&lt;secondary-title&gt;Psychiatry research&lt;/secondary-title&gt;&lt;/titles&gt;&lt;periodical&gt;&lt;full-title&gt;Psychiatry research&lt;/full-title&gt;&lt;/periodical&gt;&lt;pages&gt;89-101&lt;/pages&gt;&lt;volume&gt;141&lt;/volume&gt;&lt;number&gt;1&lt;/number&gt;&lt;dates&gt;&lt;year&gt;2006&lt;/year&gt;&lt;/dates&gt;&lt;isbn&gt;0165-1781&lt;/isbn&gt;&lt;urls&gt;&lt;/urls&gt;&lt;/record&gt;&lt;/Cite&gt;&lt;/EndNote&gt;</w:instrText>
      </w:r>
      <w:r w:rsidR="00531296" w:rsidRPr="006F0C0A">
        <w:rPr>
          <w:rFonts w:ascii="Lucida Sans" w:hAnsi="Lucida Sans" w:cs="Times New Roman"/>
          <w:sz w:val="18"/>
          <w:szCs w:val="18"/>
        </w:rPr>
        <w:fldChar w:fldCharType="separate"/>
      </w:r>
      <w:r w:rsidR="00271279">
        <w:rPr>
          <w:rFonts w:ascii="Lucida Sans" w:hAnsi="Lucida Sans" w:cs="Times New Roman"/>
          <w:noProof/>
          <w:sz w:val="18"/>
          <w:szCs w:val="18"/>
        </w:rPr>
        <w:t>[51]</w:t>
      </w:r>
      <w:r w:rsidR="00531296" w:rsidRPr="006F0C0A">
        <w:rPr>
          <w:rFonts w:ascii="Lucida Sans" w:hAnsi="Lucida Sans" w:cs="Times New Roman"/>
          <w:sz w:val="18"/>
          <w:szCs w:val="18"/>
        </w:rPr>
        <w:fldChar w:fldCharType="end"/>
      </w:r>
      <w:r w:rsidR="00531296" w:rsidRPr="006F0C0A">
        <w:rPr>
          <w:rFonts w:ascii="Lucida Sans" w:hAnsi="Lucida Sans" w:cs="Times New Roman"/>
          <w:sz w:val="18"/>
          <w:szCs w:val="18"/>
        </w:rPr>
        <w:t xml:space="preserve">. MAOI efficacy effect sizes were higher than for tricyclic </w:t>
      </w:r>
      <w:r w:rsidR="00531296">
        <w:rPr>
          <w:rFonts w:ascii="Lucida Sans" w:hAnsi="Lucida Sans" w:cs="Times New Roman"/>
          <w:sz w:val="18"/>
          <w:szCs w:val="18"/>
        </w:rPr>
        <w:t>antidepressants</w:t>
      </w:r>
      <w:r w:rsidR="00531296" w:rsidRPr="006F0C0A">
        <w:rPr>
          <w:rFonts w:ascii="Lucida Sans" w:hAnsi="Lucida Sans" w:cs="Times New Roman"/>
          <w:sz w:val="18"/>
          <w:szCs w:val="18"/>
        </w:rPr>
        <w:t xml:space="preserve"> and were similar to those with SSRIs. However, the number of </w:t>
      </w:r>
      <w:r w:rsidR="00531296">
        <w:rPr>
          <w:rFonts w:ascii="Lucida Sans" w:hAnsi="Lucida Sans" w:cs="Times New Roman"/>
          <w:sz w:val="18"/>
          <w:szCs w:val="18"/>
        </w:rPr>
        <w:t>randomised controlled</w:t>
      </w:r>
      <w:r w:rsidR="00531296" w:rsidRPr="006F0C0A">
        <w:rPr>
          <w:rFonts w:ascii="Lucida Sans" w:hAnsi="Lucida Sans" w:cs="Times New Roman"/>
          <w:sz w:val="18"/>
          <w:szCs w:val="18"/>
        </w:rPr>
        <w:t xml:space="preserve"> trials was relatively small. </w:t>
      </w:r>
      <w:r w:rsidR="00531296">
        <w:rPr>
          <w:rFonts w:ascii="Lucida Sans" w:hAnsi="Lucida Sans" w:cs="Times New Roman"/>
          <w:sz w:val="18"/>
          <w:szCs w:val="18"/>
          <w:lang w:val="en-US"/>
        </w:rPr>
        <w:t>Furthermore, the notion that MAOIs as a class have preferential efficacy over other antidepressants in treating patients with atypical depression is somewhat erroneous: phenelzine may have superiority over the tricyclic imipramine, but comparative randomised controlled trials are limited in number and of</w:t>
      </w:r>
      <w:r w:rsidR="000A64FA">
        <w:rPr>
          <w:rFonts w:ascii="Lucida Sans" w:hAnsi="Lucida Sans" w:cs="Times New Roman"/>
          <w:sz w:val="18"/>
          <w:szCs w:val="18"/>
          <w:lang w:val="en-US"/>
        </w:rPr>
        <w:t xml:space="preserve"> relatively</w:t>
      </w:r>
      <w:r w:rsidR="00531296">
        <w:rPr>
          <w:rFonts w:ascii="Lucida Sans" w:hAnsi="Lucida Sans" w:cs="Times New Roman"/>
          <w:sz w:val="18"/>
          <w:szCs w:val="18"/>
          <w:lang w:val="en-US"/>
        </w:rPr>
        <w:t xml:space="preserve"> small size</w:t>
      </w:r>
      <w:r w:rsidR="004862B6">
        <w:rPr>
          <w:rFonts w:ascii="Lucida Sans" w:hAnsi="Lucida Sans" w:cs="Times New Roman"/>
          <w:sz w:val="18"/>
          <w:szCs w:val="18"/>
          <w:lang w:val="en-US"/>
        </w:rPr>
        <w:t xml:space="preserve"> </w:t>
      </w:r>
      <w:r w:rsidR="004862B6">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&lt;EndNote&gt;&lt;Cite&gt;&lt;Author&gt;Henkel&lt;/Author&gt;&lt;Year&gt;2006&lt;/Year&gt;&lt;RecNum&gt;397&lt;/RecNum&gt;&lt;DisplayText&gt;[51]&lt;/DisplayText&gt;&lt;record&gt;&lt;rec-number&gt;397&lt;/rec-number&gt;&lt;foreign-keys&gt;&lt;key app="EN" db-id="2xwpd9xwpest5ue9rwa5etrr9fzzxded9vfx" timestamp="0"&gt;397&lt;/key&gt;&lt;/foreign-keys&gt;&lt;ref-type name="Journal Article"&gt;17&lt;/ref-type&gt;&lt;contributors&gt;&lt;authors&gt;&lt;author&gt;Henkel, Verena&lt;/author&gt;&lt;author&gt;Mergl, Roland&lt;/author&gt;&lt;author&gt;Allgaier, Antje-Kathrin&lt;/author&gt;&lt;author&gt;Kohnen, Ralph&lt;/author&gt;&lt;author&gt;Möller, Hans-Jürgen&lt;/author&gt;&lt;author&gt;Hegerl, Ulrich&lt;/author&gt;&lt;/authors&gt;&lt;/contributors&gt;&lt;titles&gt;&lt;title&gt;Treatment of depression with atypical features: a meta-analytic approach&lt;/title&gt;&lt;secondary-title&gt;Psychiatry research&lt;/secondary-title&gt;&lt;/titles&gt;&lt;periodical&gt;&lt;full-title&gt;Psychiatry research&lt;/full-title&gt;&lt;/periodical&gt;&lt;pages&gt;89-101&lt;/pages&gt;&lt;volume&gt;141&lt;/volume&gt;&lt;number&gt;1&lt;/number&gt;&lt;dates&gt;&lt;year&gt;2006&lt;/year&gt;&lt;/dates&gt;&lt;isbn&gt;0165-1781&lt;/isbn&gt;&lt;urls&gt;&lt;/urls&gt;&lt;/record&gt;&lt;/Cite&gt;&lt;/EndNote&gt;</w:instrText>
      </w:r>
      <w:r w:rsidR="004862B6">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[51]</w:t>
      </w:r>
      <w:r w:rsidR="004862B6">
        <w:rPr>
          <w:rFonts w:ascii="Lucida Sans" w:hAnsi="Lucida Sans" w:cs="Times New Roman"/>
          <w:sz w:val="18"/>
          <w:szCs w:val="18"/>
          <w:lang w:val="en-US"/>
        </w:rPr>
        <w:fldChar w:fldCharType="end"/>
      </w:r>
      <w:r w:rsidR="00531296">
        <w:rPr>
          <w:rFonts w:ascii="Lucida Sans" w:hAnsi="Lucida Sans" w:cs="Times New Roman"/>
          <w:sz w:val="18"/>
          <w:szCs w:val="18"/>
          <w:lang w:val="en-US"/>
        </w:rPr>
        <w:t xml:space="preserve">, and not </w:t>
      </w:r>
      <w:r w:rsidR="00531296" w:rsidRPr="00531296">
        <w:rPr>
          <w:rFonts w:ascii="Lucida Sans" w:hAnsi="Lucida Sans" w:cs="Times New Roman"/>
          <w:sz w:val="18"/>
          <w:szCs w:val="18"/>
          <w:lang w:val="en-US"/>
        </w:rPr>
        <w:t xml:space="preserve">all studies included </w:t>
      </w:r>
      <w:r w:rsidR="00531296">
        <w:rPr>
          <w:rFonts w:ascii="Lucida Sans" w:hAnsi="Lucida Sans" w:cs="Times New Roman"/>
          <w:sz w:val="18"/>
          <w:szCs w:val="18"/>
          <w:lang w:val="en-US"/>
        </w:rPr>
        <w:t xml:space="preserve">the </w:t>
      </w:r>
      <w:r w:rsidR="00531296" w:rsidRPr="00531296">
        <w:rPr>
          <w:rFonts w:ascii="Lucida Sans" w:hAnsi="Lucida Sans" w:cs="Times New Roman"/>
          <w:sz w:val="18"/>
          <w:szCs w:val="18"/>
          <w:lang w:val="en-US"/>
        </w:rPr>
        <w:t>placebo arm</w:t>
      </w:r>
      <w:r w:rsidR="004862B6">
        <w:rPr>
          <w:rFonts w:ascii="Lucida Sans" w:hAnsi="Lucida Sans" w:cs="Times New Roman"/>
          <w:sz w:val="18"/>
          <w:szCs w:val="18"/>
          <w:lang w:val="en-US"/>
        </w:rPr>
        <w:t xml:space="preserve"> which is necessary for establishing efficacy </w:t>
      </w:r>
      <w:r w:rsidR="00C740E3">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&lt;EndNote&gt;&lt;Cite&gt;&lt;Author&gt;Baldwin&lt;/Author&gt;&lt;Year&gt;2003&lt;/Year&gt;&lt;RecNum&gt;485&lt;/RecNum&gt;&lt;DisplayText&gt;[52]&lt;/DisplayText&gt;&lt;record&gt;&lt;rec-number&gt;485&lt;/rec-number&gt;&lt;foreign-keys&gt;&lt;key app="EN" db-id="2xwpd9xwpest5ue9rwa5etrr9fzzxded9vfx" timestamp="1611230754"&gt;485&lt;/key&gt;&lt;/foreign-keys&gt;&lt;ref-type name="Journal Article"&gt;17&lt;/ref-type&gt;&lt;contributors&gt;&lt;authors&gt;&lt;author&gt;Baldwin, David&lt;/author&gt;&lt;author&gt;Broich, Karl&lt;/author&gt;&lt;author&gt;Fritze, Jürgen&lt;/author&gt;&lt;author&gt;Kasper, Siegfried&lt;/author&gt;&lt;author&gt;Westenberg, Herman&lt;/author&gt;&lt;author&gt;Möller, Hans-Jürgen&lt;/author&gt;&lt;/authors&gt;&lt;/contributors&gt;&lt;titles&gt;&lt;title&gt;Placebo-controlled studies in depression: necessary, ethical and feasible&lt;/title&gt;&lt;secondary-title&gt;European Archives of Psychiatry and Clinical Neuroscience&lt;/secondary-title&gt;&lt;/titles&gt;&lt;periodical&gt;&lt;full-title&gt;European Archives of Psychiatry and Clinical Neuroscience&lt;/full-title&gt;&lt;/periodical&gt;&lt;pages&gt;22-28&lt;/pages&gt;&lt;volume&gt;253&lt;/volume&gt;&lt;number&gt;1&lt;/number&gt;&lt;dates&gt;&lt;year&gt;2003&lt;/year&gt;&lt;pub-dates&gt;&lt;date&gt;2003/02/01&lt;/date&gt;&lt;/pub-dates&gt;&lt;/dates&gt;&lt;isbn&gt;1433-8491&lt;/isbn&gt;&lt;urls&gt;&lt;related-urls&gt;&lt;url&gt;https://doi.org/10.1007/s00406-003-0400-2&lt;/url&gt;&lt;/related-urls&gt;&lt;/urls&gt;&lt;electronic-resource-num&gt;10.1007/s00406-003-0400-2&lt;/electronic-resource-num&gt;&lt;/record&gt;&lt;/Cite&gt;&lt;/EndNote&gt;</w:instrText>
      </w:r>
      <w:r w:rsidR="00C740E3">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[52]</w:t>
      </w:r>
      <w:r w:rsidR="00C740E3">
        <w:rPr>
          <w:rFonts w:ascii="Lucida Sans" w:hAnsi="Lucida Sans" w:cs="Times New Roman"/>
          <w:sz w:val="18"/>
          <w:szCs w:val="18"/>
          <w:lang w:val="en-US"/>
        </w:rPr>
        <w:fldChar w:fldCharType="end"/>
      </w:r>
      <w:r w:rsidR="00531296">
        <w:rPr>
          <w:rFonts w:ascii="Lucida Sans" w:hAnsi="Lucida Sans" w:cs="Times New Roman"/>
          <w:sz w:val="18"/>
          <w:szCs w:val="18"/>
          <w:lang w:val="en-US"/>
        </w:rPr>
        <w:t xml:space="preserve">. </w:t>
      </w:r>
    </w:p>
    <w:p w14:paraId="603C6752" w14:textId="77777777" w:rsidR="00945CA6" w:rsidRDefault="00945CA6" w:rsidP="00945CA6">
      <w:pPr>
        <w:spacing w:line="360" w:lineRule="auto"/>
        <w:rPr>
          <w:rFonts w:ascii="Lucida Sans" w:hAnsi="Lucida Sans" w:cs="Times New Roman"/>
          <w:sz w:val="18"/>
          <w:szCs w:val="18"/>
          <w:highlight w:val="yellow"/>
          <w:lang w:val="en-US"/>
        </w:rPr>
      </w:pPr>
    </w:p>
    <w:p w14:paraId="39C44325" w14:textId="5E4380B7" w:rsidR="00760B8F" w:rsidRPr="006F0C0A" w:rsidRDefault="00531296">
      <w:pPr>
        <w:spacing w:line="360" w:lineRule="auto"/>
        <w:rPr>
          <w:rFonts w:ascii="Lucida Sans" w:hAnsi="Lucida Sans" w:cs="Times New Roman"/>
          <w:sz w:val="18"/>
          <w:szCs w:val="18"/>
        </w:rPr>
      </w:pPr>
      <w:r w:rsidRPr="006F0C0A">
        <w:rPr>
          <w:rFonts w:ascii="Lucida Sans" w:hAnsi="Lucida Sans" w:cs="Times New Roman"/>
          <w:sz w:val="18"/>
          <w:szCs w:val="18"/>
        </w:rPr>
        <w:t xml:space="preserve">The 2015 </w:t>
      </w:r>
      <w:r w:rsidR="00335CAA">
        <w:rPr>
          <w:rFonts w:ascii="Lucida Sans" w:hAnsi="Lucida Sans" w:cs="Times New Roman"/>
          <w:sz w:val="18"/>
          <w:szCs w:val="18"/>
        </w:rPr>
        <w:t>BAP</w:t>
      </w:r>
      <w:r w:rsidRPr="006F0C0A">
        <w:rPr>
          <w:rFonts w:ascii="Lucida Sans" w:hAnsi="Lucida Sans" w:cs="Times New Roman"/>
          <w:sz w:val="18"/>
          <w:szCs w:val="18"/>
        </w:rPr>
        <w:t xml:space="preserve"> guidelines for depression recommend that MAOI treatment is generally reserved for patients where first-line antidepressant therapy has not been effective</w:t>
      </w:r>
      <w:r>
        <w:rPr>
          <w:rFonts w:ascii="Lucida Sans" w:hAnsi="Lucida Sans" w:cs="Times New Roman"/>
          <w:sz w:val="18"/>
          <w:szCs w:val="18"/>
        </w:rPr>
        <w:t>,</w:t>
      </w:r>
      <w:r w:rsidRPr="006F0C0A">
        <w:rPr>
          <w:rFonts w:ascii="Lucida Sans" w:hAnsi="Lucida Sans" w:cs="Times New Roman"/>
          <w:sz w:val="18"/>
          <w:szCs w:val="18"/>
        </w:rPr>
        <w:t xml:space="preserve"> and should only be initiated by practitioners with expertise in treating mood disorders </w:t>
      </w:r>
      <w:r w:rsidRPr="006F0C0A">
        <w:rPr>
          <w:rFonts w:ascii="Lucida Sans" w:hAnsi="Lucida Sans" w:cs="Times New Roman"/>
          <w:sz w:val="18"/>
          <w:szCs w:val="18"/>
        </w:rPr>
        <w:fldChar w:fldCharType="begin"/>
      </w:r>
      <w:r w:rsidR="008E1EA2">
        <w:rPr>
          <w:rFonts w:ascii="Lucida Sans" w:hAnsi="Lucida Sans" w:cs="Times New Roman"/>
          <w:sz w:val="18"/>
          <w:szCs w:val="18"/>
        </w:rPr>
        <w:instrText xml:space="preserve"> ADDIN EN.CITE &lt;EndNote&gt;&lt;Cite&gt;&lt;Author&gt;Cleare&lt;/Author&gt;&lt;Year&gt;2015&lt;/Year&gt;&lt;RecNum&gt;386&lt;/RecNum&gt;&lt;IDText&gt;Evidence-based guidelines for treating depressive disorders with antidepressants: a revision of the 2008 British Association for Psychopharmacology guidelines&lt;/IDText&gt;&lt;DisplayText&gt;[3]&lt;/DisplayText&gt;&lt;record&gt;&lt;rec-number&gt;386&lt;/rec-number&gt;&lt;foreign-keys&gt;&lt;key app="EN" db-id="2xwpd9xwpest5ue9rwa5etrr9fzzxded9vfx" timestamp="0"&gt;386&lt;/key&gt;&lt;/foreign-keys&gt;&lt;ref-type name="Journal Article"&gt;17&lt;/ref-type&gt;&lt;contributors&gt;&lt;authors&gt;&lt;author&gt;Cleare, Anthony&lt;/author&gt;&lt;author&gt;Pariante, Carmine M&lt;/author&gt;&lt;author&gt;Young, Alan H&lt;/author&gt;&lt;author&gt;Anderson, Ian M&lt;/author&gt;&lt;author&gt;Christmas, David&lt;/author&gt;&lt;author&gt;Cowen, Phillip J&lt;/author&gt;&lt;author&gt;Dickens, C&lt;/author&gt;&lt;author&gt;Ferrier, IN&lt;/author&gt;&lt;author&gt;Geddes, J&lt;/author&gt;&lt;author&gt;Gilbody, S&lt;/author&gt;&lt;/authors&gt;&lt;/contributors&gt;&lt;titles&gt;&lt;title&gt;Evidence-based guidelines for treating depressive disorders with antidepressants: a revision of the 2008 British Association for Psychopharmacology guidelines&lt;/title&gt;&lt;secondary-title&gt;Journal of Psychopharmacology&lt;/secondary-title&gt;&lt;/titles&gt;&lt;periodical&gt;&lt;full-title&gt;Journal of Psychopharmacology&lt;/full-title&gt;&lt;/periodical&gt;&lt;pages&gt;459-525&lt;/pages&gt;&lt;volume&gt;29&lt;/volume&gt;&lt;number&gt;5&lt;/number&gt;&lt;dates&gt;&lt;year&gt;2015&lt;/year&gt;&lt;/dates&gt;&lt;isbn&gt;0269-8811&lt;/isbn&gt;&lt;urls&gt;&lt;/urls&gt;&lt;/record&gt;&lt;/Cite&gt;&lt;/EndNote&gt;</w:instrText>
      </w:r>
      <w:r w:rsidRPr="006F0C0A">
        <w:rPr>
          <w:rFonts w:ascii="Lucida Sans" w:hAnsi="Lucida Sans" w:cs="Times New Roman"/>
          <w:sz w:val="18"/>
          <w:szCs w:val="18"/>
        </w:rPr>
        <w:fldChar w:fldCharType="separate"/>
      </w:r>
      <w:r w:rsidR="008E1EA2">
        <w:rPr>
          <w:rFonts w:ascii="Lucida Sans" w:hAnsi="Lucida Sans" w:cs="Times New Roman"/>
          <w:noProof/>
          <w:sz w:val="18"/>
          <w:szCs w:val="18"/>
        </w:rPr>
        <w:t>[3]</w:t>
      </w:r>
      <w:r w:rsidRPr="006F0C0A">
        <w:rPr>
          <w:rFonts w:ascii="Lucida Sans" w:hAnsi="Lucida Sans" w:cs="Times New Roman"/>
          <w:sz w:val="18"/>
          <w:szCs w:val="18"/>
        </w:rPr>
        <w:fldChar w:fldCharType="end"/>
      </w:r>
      <w:r w:rsidRPr="006F0C0A">
        <w:rPr>
          <w:rFonts w:ascii="Lucida Sans" w:hAnsi="Lucida Sans" w:cs="Times New Roman"/>
          <w:sz w:val="18"/>
          <w:szCs w:val="18"/>
        </w:rPr>
        <w:t>. In people with treatment</w:t>
      </w:r>
      <w:r w:rsidR="000A64FA">
        <w:rPr>
          <w:rFonts w:ascii="Lucida Sans" w:hAnsi="Lucida Sans" w:cs="Times New Roman"/>
          <w:sz w:val="18"/>
          <w:szCs w:val="18"/>
        </w:rPr>
        <w:t>-</w:t>
      </w:r>
      <w:r w:rsidRPr="006F0C0A">
        <w:rPr>
          <w:rFonts w:ascii="Lucida Sans" w:hAnsi="Lucida Sans" w:cs="Times New Roman"/>
          <w:sz w:val="18"/>
          <w:szCs w:val="18"/>
        </w:rPr>
        <w:t xml:space="preserve">resistant depression, a paper from the STAR*D group </w:t>
      </w:r>
      <w:r>
        <w:rPr>
          <w:rFonts w:ascii="Lucida Sans" w:hAnsi="Lucida Sans" w:cs="Times New Roman"/>
          <w:sz w:val="18"/>
          <w:szCs w:val="18"/>
        </w:rPr>
        <w:t xml:space="preserve">in the USA </w:t>
      </w:r>
      <w:r w:rsidRPr="006F0C0A">
        <w:rPr>
          <w:rFonts w:ascii="Lucida Sans" w:hAnsi="Lucida Sans" w:cs="Times New Roman"/>
          <w:sz w:val="18"/>
          <w:szCs w:val="18"/>
        </w:rPr>
        <w:t>found that, in those patients who had not achieved remission from three previous antidepressant trials, 6.9% remitted after being treated with the MAOI tranylcypromine, compared to 13.7% who remitted on the combination of extended</w:t>
      </w:r>
      <w:r w:rsidR="000A64FA">
        <w:rPr>
          <w:rFonts w:ascii="Lucida Sans" w:hAnsi="Lucida Sans" w:cs="Times New Roman"/>
          <w:sz w:val="18"/>
          <w:szCs w:val="18"/>
        </w:rPr>
        <w:t>-</w:t>
      </w:r>
      <w:r w:rsidRPr="006F0C0A">
        <w:rPr>
          <w:rFonts w:ascii="Lucida Sans" w:hAnsi="Lucida Sans" w:cs="Times New Roman"/>
          <w:sz w:val="18"/>
          <w:szCs w:val="18"/>
        </w:rPr>
        <w:t xml:space="preserve">release venlafaxine plus mirtazapine </w:t>
      </w:r>
      <w:r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&lt;EndNote&gt;&lt;Cite&gt;&lt;Author&gt;McGrath&lt;/Author&gt;&lt;Year&gt;2006&lt;/Year&gt;&lt;RecNum&gt;0&lt;/RecNum&gt;&lt;IDText&gt;Tranylcypromine versus venlafaxine plus mirtazapine following three failed antidepressant medication trials for depression: a STAR* D report&lt;/IDText&gt;&lt;DisplayText&gt;[23]&lt;/DisplayText&gt;&lt;record&gt;&lt;isbn&gt;0002-953X&lt;/isbn&gt;&lt;titles&gt;&lt;title&gt;Tranylcypromine versus venlafaxine plus mirtazapine following three failed antidepressant medication trials for depression: a STAR* D report&lt;/title&gt;&lt;secondary-title&gt;American Journal of Psychiatry&lt;/secondary-title&gt;&lt;/titles&gt;&lt;pages&gt;1531-1541&lt;/pages&gt;&lt;number&gt;9&lt;/number&gt;&lt;contributors&gt;&lt;authors&gt;&lt;author&gt;McGrath, Patrick J&lt;/author&gt;&lt;author&gt;Stewart, Jonathan W&lt;/author&gt;&lt;author&gt;Fava, Maurizio&lt;/author&gt;&lt;author&gt;Trivedi, Madhukar H&lt;/author&gt;&lt;author&gt;Wisniewski, Stephen R&lt;/author&gt;&lt;author&gt;Nierenberg, Andrew A&lt;/author&gt;&lt;author&gt;Thase, Michael E&lt;/author&gt;&lt;author&gt;Davis, Lori&lt;/author&gt;&lt;author&gt;Biggs, Melanie M&lt;/author&gt;&lt;author&gt;Shores-Wilson, Kathy&lt;/author&gt;&lt;/authors&gt;&lt;/contributors&gt;&lt;added-date format="utc"&gt;1599556962&lt;/added-date&gt;&lt;ref-type name="Journal Article"&gt;17&lt;/ref-type&gt;&lt;dates&gt;&lt;year&gt;2006&lt;/year&gt;&lt;/dates&gt;&lt;rec-number&gt;9903&lt;/rec-number&gt;&lt;last-updated-date format="utc"&gt;1599556962&lt;/last-updated-date&gt;&lt;volume&gt;163&lt;/volume&gt;&lt;/record&gt;&lt;/Cite&gt;&lt;/EndNote&gt;</w:instrText>
      </w:r>
      <w:r w:rsidRPr="006F0C0A">
        <w:rPr>
          <w:rFonts w:ascii="Lucida Sans" w:hAnsi="Lucida Sans" w:cs="Times New Roman"/>
          <w:sz w:val="18"/>
          <w:szCs w:val="18"/>
        </w:rPr>
        <w:fldChar w:fldCharType="separate"/>
      </w:r>
      <w:r w:rsidR="00271279">
        <w:rPr>
          <w:rFonts w:ascii="Lucida Sans" w:hAnsi="Lucida Sans" w:cs="Times New Roman"/>
          <w:noProof/>
          <w:sz w:val="18"/>
          <w:szCs w:val="18"/>
        </w:rPr>
        <w:t>[23]</w:t>
      </w:r>
      <w:r w:rsidRPr="006F0C0A">
        <w:rPr>
          <w:rFonts w:ascii="Lucida Sans" w:hAnsi="Lucida Sans" w:cs="Times New Roman"/>
          <w:sz w:val="18"/>
          <w:szCs w:val="18"/>
        </w:rPr>
        <w:fldChar w:fldCharType="end"/>
      </w:r>
      <w:r>
        <w:rPr>
          <w:rFonts w:ascii="Lucida Sans" w:hAnsi="Lucida Sans" w:cs="Times New Roman"/>
          <w:sz w:val="18"/>
          <w:szCs w:val="18"/>
        </w:rPr>
        <w:t>:</w:t>
      </w:r>
      <w:r w:rsidRPr="006F0C0A">
        <w:rPr>
          <w:rFonts w:ascii="Lucida Sans" w:hAnsi="Lucida Sans" w:cs="Times New Roman"/>
          <w:sz w:val="18"/>
          <w:szCs w:val="18"/>
        </w:rPr>
        <w:t xml:space="preserve"> </w:t>
      </w:r>
      <w:r>
        <w:rPr>
          <w:rFonts w:ascii="Lucida Sans" w:hAnsi="Lucida Sans" w:cs="Times New Roman"/>
          <w:sz w:val="18"/>
          <w:szCs w:val="18"/>
        </w:rPr>
        <w:t>however, t</w:t>
      </w:r>
      <w:r w:rsidRPr="006F0C0A">
        <w:rPr>
          <w:rFonts w:ascii="Lucida Sans" w:hAnsi="Lucida Sans" w:cs="Times New Roman"/>
          <w:sz w:val="18"/>
          <w:szCs w:val="18"/>
        </w:rPr>
        <w:t xml:space="preserve">his difference in remission between the two groups was not statistically significant. A </w:t>
      </w:r>
      <w:r>
        <w:rPr>
          <w:rFonts w:ascii="Lucida Sans" w:hAnsi="Lucida Sans" w:cs="Times New Roman"/>
          <w:sz w:val="18"/>
          <w:szCs w:val="18"/>
        </w:rPr>
        <w:t xml:space="preserve">UK-based </w:t>
      </w:r>
      <w:r w:rsidRPr="006F0C0A">
        <w:rPr>
          <w:rFonts w:ascii="Lucida Sans" w:hAnsi="Lucida Sans" w:cs="Times New Roman"/>
          <w:sz w:val="18"/>
          <w:szCs w:val="18"/>
        </w:rPr>
        <w:t>study of people with treatment</w:t>
      </w:r>
      <w:r w:rsidR="000A64FA">
        <w:rPr>
          <w:rFonts w:ascii="Lucida Sans" w:hAnsi="Lucida Sans" w:cs="Times New Roman"/>
          <w:sz w:val="18"/>
          <w:szCs w:val="18"/>
        </w:rPr>
        <w:t>-</w:t>
      </w:r>
      <w:r w:rsidRPr="006F0C0A">
        <w:rPr>
          <w:rFonts w:ascii="Lucida Sans" w:hAnsi="Lucida Sans" w:cs="Times New Roman"/>
          <w:sz w:val="18"/>
          <w:szCs w:val="18"/>
        </w:rPr>
        <w:t xml:space="preserve">resistant depression found that inpatient use of MAOIs was associated with higher remission at discharge, especially in </w:t>
      </w:r>
      <w:r>
        <w:rPr>
          <w:rFonts w:ascii="Lucida Sans" w:hAnsi="Lucida Sans" w:cs="Times New Roman"/>
          <w:sz w:val="18"/>
          <w:szCs w:val="18"/>
        </w:rPr>
        <w:t xml:space="preserve">patients with </w:t>
      </w:r>
      <w:r w:rsidRPr="006F0C0A">
        <w:rPr>
          <w:rFonts w:ascii="Lucida Sans" w:hAnsi="Lucida Sans" w:cs="Times New Roman"/>
          <w:sz w:val="18"/>
          <w:szCs w:val="18"/>
        </w:rPr>
        <w:t xml:space="preserve">treatment-resistant illness </w:t>
      </w:r>
      <w:r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&lt;EndNote&gt;&lt;Cite&gt;&lt;Author&gt;Fekadu&lt;/Author&gt;&lt;Year&gt;2012&lt;/Year&gt;&lt;RecNum&gt;383&lt;/RecNum&gt;&lt;IDText&gt;Prediction of longer-term outcome of treatment-resistant depression in tertiary care&lt;/IDText&gt;&lt;DisplayText&gt;[53]&lt;/DisplayText&gt;&lt;record&gt;&lt;rec-number&gt;383&lt;/rec-number&gt;&lt;foreign-keys&gt;&lt;key app="EN" db-id="2xwpd9xwpest5ue9rwa5etrr9fzzxded9vfx" timestamp="0"&gt;383&lt;/key&gt;&lt;/foreign-keys&gt;&lt;ref-type name="Journal Article"&gt;17&lt;/ref-type&gt;&lt;contributors&gt;&lt;authors&gt;&lt;author&gt;Fekadu, Abebaw&lt;/author&gt;&lt;author&gt;Rane, Lena J&lt;/author&gt;&lt;author&gt;Wooderson, Sarah C&lt;/author&gt;&lt;author&gt;Markopoulou, Kalypso&lt;/author&gt;&lt;author&gt;Poon, Lucia&lt;/author&gt;&lt;author&gt;Cleare, Anthony J&lt;/author&gt;&lt;/authors&gt;&lt;/contributors&gt;&lt;titles&gt;&lt;title&gt;Prediction of longer-term outcome of treatment-resistant depression in tertiary care&lt;/title&gt;&lt;secondary-title&gt;The British Journal of Psychiatry&lt;/secondary-title&gt;&lt;/titles&gt;&lt;periodical&gt;&lt;full-title&gt;The British Journal of Psychiatry&lt;/full-title&gt;&lt;/periodical&gt;&lt;pages&gt;369-375&lt;/pages&gt;&lt;volume&gt;201&lt;/volume&gt;&lt;number&gt;5&lt;/number&gt;&lt;dates&gt;&lt;year&gt;2012&lt;/year&gt;&lt;/dates&gt;&lt;isbn&gt;0007-1250&lt;/isbn&gt;&lt;urls&gt;&lt;/urls&gt;&lt;/record&gt;&lt;/Cite&gt;&lt;/EndNote&gt;</w:instrText>
      </w:r>
      <w:r w:rsidRPr="006F0C0A">
        <w:rPr>
          <w:rFonts w:ascii="Lucida Sans" w:hAnsi="Lucida Sans" w:cs="Times New Roman"/>
          <w:sz w:val="18"/>
          <w:szCs w:val="18"/>
        </w:rPr>
        <w:fldChar w:fldCharType="separate"/>
      </w:r>
      <w:r w:rsidR="00271279">
        <w:rPr>
          <w:rFonts w:ascii="Lucida Sans" w:hAnsi="Lucida Sans" w:cs="Times New Roman"/>
          <w:noProof/>
          <w:sz w:val="18"/>
          <w:szCs w:val="18"/>
        </w:rPr>
        <w:t>[53]</w:t>
      </w:r>
      <w:r w:rsidRPr="006F0C0A">
        <w:rPr>
          <w:rFonts w:ascii="Lucida Sans" w:hAnsi="Lucida Sans" w:cs="Times New Roman"/>
          <w:sz w:val="18"/>
          <w:szCs w:val="18"/>
        </w:rPr>
        <w:fldChar w:fldCharType="end"/>
      </w:r>
      <w:r w:rsidRPr="006F0C0A">
        <w:rPr>
          <w:rFonts w:ascii="Lucida Sans" w:hAnsi="Lucida Sans" w:cs="Times New Roman"/>
          <w:sz w:val="18"/>
          <w:szCs w:val="18"/>
        </w:rPr>
        <w:t>.</w:t>
      </w:r>
      <w:r w:rsidR="00A26C5E">
        <w:rPr>
          <w:rFonts w:ascii="Lucida Sans" w:hAnsi="Lucida Sans" w:cs="Times New Roman"/>
          <w:sz w:val="18"/>
          <w:szCs w:val="18"/>
        </w:rPr>
        <w:t xml:space="preserve"> In a recent network meta-analysis of treatment trials for depressive disorders, phenelzine showed the highest efficacy across all treatments considered (including non-MAOIs such as SSRIs); furthermore, the four MAOIs considered had favourable efficacy and tolerability versus those </w:t>
      </w:r>
      <w:r w:rsidR="009C3518">
        <w:rPr>
          <w:rFonts w:ascii="Lucida Sans" w:hAnsi="Lucida Sans" w:cs="Times New Roman"/>
          <w:sz w:val="18"/>
          <w:szCs w:val="18"/>
        </w:rPr>
        <w:t xml:space="preserve">for </w:t>
      </w:r>
      <w:r w:rsidR="00A26C5E">
        <w:rPr>
          <w:rFonts w:ascii="Lucida Sans" w:hAnsi="Lucida Sans" w:cs="Times New Roman"/>
          <w:sz w:val="18"/>
          <w:szCs w:val="18"/>
        </w:rPr>
        <w:t xml:space="preserve">other treatments </w:t>
      </w:r>
      <w:r w:rsidR="00BB2B5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&lt;EndNote&gt;&lt;Cite&gt;&lt;Author&gt;Suchting&lt;/Author&gt;&lt;Year&gt;2021&lt;/Year&gt;&lt;RecNum&gt;489&lt;/RecNum&gt;&lt;DisplayText&gt;[54]&lt;/DisplayText&gt;&lt;record&gt;&lt;rec-number&gt;489&lt;/rec-number&gt;&lt;foreign-keys&gt;&lt;key app="EN" db-id="2xwpd9xwpest5ue9rwa5etrr9fzzxded9vfx" timestamp="1619000948"&gt;489&lt;/key&gt;&lt;/foreign-keys&gt;&lt;ref-type name="Journal Article"&gt;17&lt;/ref-type&gt;&lt;contributors&gt;&lt;authors&gt;&lt;author&gt;Suchting, Robert&lt;/author&gt;&lt;author&gt;Tirumalajaru, Vaishali&lt;/author&gt;&lt;author&gt;Gareeb, Rida&lt;/author&gt;&lt;author&gt;Bockmann, Taya&lt;/author&gt;&lt;author&gt;de Dios, Constanza&lt;/author&gt;&lt;author&gt;Aickareth, Jacob&lt;/author&gt;&lt;author&gt;Pinjari, Omar&lt;/author&gt;&lt;author&gt;Soares, Jair C&lt;/author&gt;&lt;author&gt;Cowen, Phil J&lt;/author&gt;&lt;author&gt;Selvaraj, Sudhakar&lt;/author&gt;&lt;/authors&gt;&lt;/contributors&gt;&lt;titles&gt;&lt;title&gt;Revisiting monoamine oxidase inhibitors for the treatment of depressive disorders: A systematic review and network meta-analysis&lt;/title&gt;&lt;secondary-title&gt;Journal of Affective Disorders&lt;/secondary-title&gt;&lt;/titles&gt;&lt;periodical&gt;&lt;full-title&gt;Journal of Affective Disorders&lt;/full-title&gt;&lt;/periodical&gt;&lt;dates&gt;&lt;year&gt;2021&lt;/year&gt;&lt;/dates&gt;&lt;isbn&gt;0165-0327&lt;/isbn&gt;&lt;urls&gt;&lt;/urls&gt;&lt;/record&gt;&lt;/Cite&gt;&lt;/EndNote&gt;</w:instrText>
      </w:r>
      <w:r w:rsidR="00BB2B5C">
        <w:rPr>
          <w:rFonts w:ascii="Lucida Sans" w:hAnsi="Lucida Sans" w:cs="Times New Roman"/>
          <w:sz w:val="18"/>
          <w:szCs w:val="18"/>
        </w:rPr>
        <w:fldChar w:fldCharType="separate"/>
      </w:r>
      <w:r w:rsidR="00271279">
        <w:rPr>
          <w:rFonts w:ascii="Lucida Sans" w:hAnsi="Lucida Sans" w:cs="Times New Roman"/>
          <w:noProof/>
          <w:sz w:val="18"/>
          <w:szCs w:val="18"/>
        </w:rPr>
        <w:t>[54]</w:t>
      </w:r>
      <w:r w:rsidR="00BB2B5C">
        <w:rPr>
          <w:rFonts w:ascii="Lucida Sans" w:hAnsi="Lucida Sans" w:cs="Times New Roman"/>
          <w:sz w:val="18"/>
          <w:szCs w:val="18"/>
        </w:rPr>
        <w:fldChar w:fldCharType="end"/>
      </w:r>
      <w:r w:rsidR="00A26C5E">
        <w:rPr>
          <w:rFonts w:ascii="Lucida Sans" w:hAnsi="Lucida Sans" w:cs="Times New Roman"/>
          <w:sz w:val="18"/>
          <w:szCs w:val="18"/>
        </w:rPr>
        <w:t xml:space="preserve">. </w:t>
      </w:r>
      <w:r w:rsidR="00D3154D">
        <w:rPr>
          <w:rFonts w:ascii="Lucida Sans" w:hAnsi="Lucida Sans" w:cs="Times New Roman"/>
          <w:sz w:val="18"/>
          <w:szCs w:val="18"/>
        </w:rPr>
        <w:t xml:space="preserve">The authors highlighted the need to revisit MAOIs as a treatment for depressive disorders. </w:t>
      </w:r>
    </w:p>
    <w:p w14:paraId="33E9EEDF" w14:textId="77777777" w:rsidR="00531296" w:rsidRPr="00BF3A25" w:rsidRDefault="00531296" w:rsidP="00945CA6">
      <w:pPr>
        <w:spacing w:line="360" w:lineRule="auto"/>
        <w:rPr>
          <w:rFonts w:ascii="Lucida Sans" w:hAnsi="Lucida Sans" w:cs="Times New Roman"/>
          <w:sz w:val="18"/>
          <w:szCs w:val="18"/>
          <w:highlight w:val="yellow"/>
          <w:lang w:val="en-US"/>
        </w:rPr>
      </w:pPr>
    </w:p>
    <w:p w14:paraId="307DA3D9" w14:textId="010402CB" w:rsidR="009E2A8E" w:rsidRDefault="009E2A8E" w:rsidP="00D42CB9">
      <w:pPr>
        <w:spacing w:line="360" w:lineRule="auto"/>
        <w:rPr>
          <w:rFonts w:ascii="Lucida Sans" w:hAnsi="Lucida Sans" w:cs="Times New Roman"/>
          <w:sz w:val="18"/>
          <w:szCs w:val="18"/>
        </w:rPr>
      </w:pPr>
      <w:r w:rsidRPr="006F0C0A">
        <w:rPr>
          <w:rFonts w:ascii="Lucida Sans" w:hAnsi="Lucida Sans" w:cs="Times New Roman"/>
          <w:sz w:val="18"/>
          <w:szCs w:val="18"/>
        </w:rPr>
        <w:t xml:space="preserve">A </w:t>
      </w:r>
      <w:r w:rsidRPr="00374581">
        <w:rPr>
          <w:rFonts w:ascii="Lucida Sans" w:hAnsi="Lucida Sans" w:cs="Times New Roman"/>
          <w:sz w:val="18"/>
          <w:szCs w:val="18"/>
        </w:rPr>
        <w:t xml:space="preserve">number of randomised controlled trials have indicated that MAOIs can also be effective in the treatment of patients with panic disorder, social anxiety disorder (social phobia), or </w:t>
      </w:r>
      <w:r w:rsidR="00335CAA">
        <w:rPr>
          <w:rFonts w:ascii="Lucida Sans" w:hAnsi="Lucida Sans" w:cs="Times New Roman"/>
          <w:sz w:val="18"/>
          <w:szCs w:val="18"/>
        </w:rPr>
        <w:t>PTSD</w:t>
      </w:r>
      <w:r w:rsidR="002D6C8D">
        <w:rPr>
          <w:rFonts w:ascii="Lucida Sans" w:hAnsi="Lucida Sans" w:cs="Times New Roman"/>
          <w:sz w:val="18"/>
          <w:szCs w:val="18"/>
        </w:rPr>
        <w:t xml:space="preserve"> </w:t>
      </w:r>
      <w:r w:rsidR="004A2227">
        <w:rPr>
          <w:rFonts w:ascii="Lucida Sans" w:hAnsi="Lucida Sans" w:cs="Times New Roman"/>
          <w:sz w:val="18"/>
          <w:szCs w:val="18"/>
        </w:rPr>
        <w:fldChar w:fldCharType="begin">
          <w:fldData xml:space="preserve">PEVuZE5vdGU+PENpdGU+PEF1dGhvcj5UaWxsZXI8L0F1dGhvcj48WWVhcj4xOTk3PC9ZZWFyPjxS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</w:fldData>
        </w:fldChar>
      </w:r>
      <w:r w:rsidR="00271279">
        <w:rPr>
          <w:rFonts w:ascii="Lucida Sans" w:hAnsi="Lucida Sans" w:cs="Times New Roman"/>
          <w:sz w:val="18"/>
          <w:szCs w:val="18"/>
        </w:rPr>
        <w:instrText xml:space="preserve"> ADDIN EN.CITE </w:instrText>
      </w:r>
      <w:r w:rsidR="00271279">
        <w:rPr>
          <w:rFonts w:ascii="Lucida Sans" w:hAnsi="Lucida Sans" w:cs="Times New Roman"/>
          <w:sz w:val="18"/>
          <w:szCs w:val="18"/>
        </w:rPr>
        <w:fldChar w:fldCharType="begin">
          <w:fldData xml:space="preserve">PEVuZE5vdGU+PENpdGU+PEF1dGhvcj5UaWxsZXI8L0F1dGhvcj48WWVhcj4xOTk3PC9ZZWFyPjxS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</w:fldData>
        </w:fldChar>
      </w:r>
      <w:r w:rsidR="00271279">
        <w:rPr>
          <w:rFonts w:ascii="Lucida Sans" w:hAnsi="Lucida Sans" w:cs="Times New Roman"/>
          <w:sz w:val="18"/>
          <w:szCs w:val="18"/>
        </w:rPr>
        <w:instrText xml:space="preserve"> ADDIN EN.CITE.DATA </w:instrText>
      </w:r>
      <w:r w:rsidR="00271279">
        <w:rPr>
          <w:rFonts w:ascii="Lucida Sans" w:hAnsi="Lucida Sans" w:cs="Times New Roman"/>
          <w:sz w:val="18"/>
          <w:szCs w:val="18"/>
        </w:rPr>
      </w:r>
      <w:r w:rsidR="00271279">
        <w:rPr>
          <w:rFonts w:ascii="Lucida Sans" w:hAnsi="Lucida Sans" w:cs="Times New Roman"/>
          <w:sz w:val="18"/>
          <w:szCs w:val="18"/>
        </w:rPr>
        <w:fldChar w:fldCharType="end"/>
      </w:r>
      <w:r w:rsidR="004A2227">
        <w:rPr>
          <w:rFonts w:ascii="Lucida Sans" w:hAnsi="Lucida Sans" w:cs="Times New Roman"/>
          <w:sz w:val="18"/>
          <w:szCs w:val="18"/>
        </w:rPr>
      </w:r>
      <w:r w:rsidR="004A2227">
        <w:rPr>
          <w:rFonts w:ascii="Lucida Sans" w:hAnsi="Lucida Sans" w:cs="Times New Roman"/>
          <w:sz w:val="18"/>
          <w:szCs w:val="18"/>
        </w:rPr>
        <w:fldChar w:fldCharType="separate"/>
      </w:r>
      <w:r w:rsidR="00271279">
        <w:rPr>
          <w:rFonts w:ascii="Lucida Sans" w:hAnsi="Lucida Sans" w:cs="Times New Roman"/>
          <w:noProof/>
          <w:sz w:val="18"/>
          <w:szCs w:val="18"/>
        </w:rPr>
        <w:t>[55-57]</w:t>
      </w:r>
      <w:r w:rsidR="004A2227">
        <w:rPr>
          <w:rFonts w:ascii="Lucida Sans" w:hAnsi="Lucida Sans" w:cs="Times New Roman"/>
          <w:sz w:val="18"/>
          <w:szCs w:val="18"/>
        </w:rPr>
        <w:fldChar w:fldCharType="end"/>
      </w:r>
      <w:r w:rsidR="00C04E44" w:rsidRPr="00374581">
        <w:rPr>
          <w:rFonts w:ascii="Lucida Sans" w:hAnsi="Lucida Sans" w:cs="Times New Roman"/>
          <w:sz w:val="18"/>
          <w:szCs w:val="18"/>
        </w:rPr>
        <w:t xml:space="preserve">. </w:t>
      </w:r>
      <w:r w:rsidRPr="00374581">
        <w:rPr>
          <w:rFonts w:ascii="Lucida Sans" w:hAnsi="Lucida Sans" w:cs="Times New Roman"/>
          <w:sz w:val="18"/>
          <w:szCs w:val="18"/>
        </w:rPr>
        <w:t xml:space="preserve">The 2014 </w:t>
      </w:r>
      <w:r w:rsidR="00335CAA">
        <w:rPr>
          <w:rFonts w:ascii="Lucida Sans" w:hAnsi="Lucida Sans" w:cs="Times New Roman"/>
          <w:sz w:val="18"/>
          <w:szCs w:val="18"/>
        </w:rPr>
        <w:t>BAP</w:t>
      </w:r>
      <w:r w:rsidRPr="00374581">
        <w:rPr>
          <w:rFonts w:ascii="Lucida Sans" w:hAnsi="Lucida Sans" w:cs="Times New Roman"/>
          <w:sz w:val="18"/>
          <w:szCs w:val="18"/>
        </w:rPr>
        <w:t xml:space="preserve"> guidelines for anxiety disorders recommend that MAOIs are considered as potential treatments after non-response to more conventional pharmacological (e.g. SSRI) and psychological (e.g. cognitive behaviour therapy) approaches</w:t>
      </w:r>
      <w:r w:rsidR="00C04E44" w:rsidRPr="00374581">
        <w:rPr>
          <w:rFonts w:ascii="Lucida Sans" w:hAnsi="Lucida Sans" w:cs="Times New Roman"/>
          <w:sz w:val="18"/>
          <w:szCs w:val="18"/>
        </w:rPr>
        <w:t xml:space="preserve"> </w:t>
      </w:r>
      <w:r w:rsidR="00C04E44" w:rsidRPr="00374581">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&lt;EndNote&gt;&lt;Cite&gt;&lt;Author&gt;Baldwin&lt;/Author&gt;&lt;Year&gt;2014&lt;/Year&gt;&lt;RecNum&gt;426&lt;/RecNum&gt;&lt;IDText&gt;Evidence-based pharmacological treatment of anxiety disorders, post-traumatic stress disorder and obsessive-compulsive disorder: a revision of the 2005 guidelines from the British Association for Psychopharmacology&lt;/IDText&gt;&lt;DisplayText&gt;[58]&lt;/DisplayText&gt;&lt;record&gt;&lt;rec-number&gt;426&lt;/rec-number&gt;&lt;foreign-keys&gt;&lt;key app="EN" db-id="2xwpd9xwpest5ue9rwa5etrr9fzzxded9vfx" timestamp="0"&gt;426&lt;/key&gt;&lt;/foreign-keys&gt;&lt;ref-type name="Journal Article"&gt;17&lt;/ref-type&gt;&lt;contributors&gt;&lt;authors&gt;&lt;author&gt;Baldwin, David S&lt;/author&gt;&lt;author&gt;Anderson, Ian M&lt;/author&gt;&lt;author&gt;Nutt, David J&lt;/author&gt;&lt;author&gt;Allgulander, Christer&lt;/author&gt;&lt;author&gt;Bandelow, Borwin&lt;/author&gt;&lt;author&gt;den Boer, Johan A&lt;/author&gt;&lt;author&gt;Christmas, David M&lt;/author&gt;&lt;author&gt;Davies, Simon&lt;/author&gt;&lt;author&gt;Fineberg, Naomi&lt;/author&gt;&lt;author&gt;Lidbetter, Nicky&lt;/author&gt;&lt;/authors&gt;&lt;/contributors&gt;&lt;titles&gt;&lt;title&gt;Evidence-based pharmacological treatment of anxiety disorders, post-traumatic stress disorder and obsessive-compulsive disorder: a revision of the 2005 guidelines from the British Association for Psychopharmacology&lt;/title&gt;&lt;secondary-title&gt;Journal of Psychopharmacology&lt;/secondary-title&gt;&lt;/titles&gt;&lt;periodical&gt;&lt;full-title&gt;Journal of Psychopharmacology&lt;/full-title&gt;&lt;/periodical&gt;&lt;pages&gt;403-439&lt;/pages&gt;&lt;volume&gt;28&lt;/volume&gt;&lt;number&gt;5&lt;/number&gt;&lt;dates&gt;&lt;year&gt;2014&lt;/year&gt;&lt;/dates&gt;&lt;isbn&gt;0269-8811&lt;/isbn&gt;&lt;urls&gt;&lt;/urls&gt;&lt;/record&gt;&lt;/Cite&gt;&lt;/EndNote&gt;</w:instrText>
      </w:r>
      <w:r w:rsidR="00C04E44" w:rsidRPr="00374581">
        <w:rPr>
          <w:rFonts w:ascii="Lucida Sans" w:hAnsi="Lucida Sans" w:cs="Times New Roman"/>
          <w:sz w:val="18"/>
          <w:szCs w:val="18"/>
        </w:rPr>
        <w:fldChar w:fldCharType="separate"/>
      </w:r>
      <w:r w:rsidR="00271279">
        <w:rPr>
          <w:rFonts w:ascii="Lucida Sans" w:hAnsi="Lucida Sans" w:cs="Times New Roman"/>
          <w:noProof/>
          <w:sz w:val="18"/>
          <w:szCs w:val="18"/>
        </w:rPr>
        <w:t>[58]</w:t>
      </w:r>
      <w:r w:rsidR="00C04E44" w:rsidRPr="00374581">
        <w:rPr>
          <w:rFonts w:ascii="Lucida Sans" w:hAnsi="Lucida Sans" w:cs="Times New Roman"/>
          <w:sz w:val="18"/>
          <w:szCs w:val="18"/>
        </w:rPr>
        <w:fldChar w:fldCharType="end"/>
      </w:r>
      <w:r w:rsidR="00C04E44" w:rsidRPr="00374581">
        <w:rPr>
          <w:rFonts w:ascii="Lucida Sans" w:hAnsi="Lucida Sans" w:cs="Times New Roman"/>
          <w:sz w:val="18"/>
          <w:szCs w:val="18"/>
        </w:rPr>
        <w:t>.</w:t>
      </w:r>
      <w:r w:rsidR="006971C0" w:rsidRPr="00374581">
        <w:rPr>
          <w:rFonts w:ascii="Lucida Sans" w:hAnsi="Lucida Sans" w:cs="Times New Roman"/>
          <w:sz w:val="18"/>
          <w:szCs w:val="18"/>
        </w:rPr>
        <w:t xml:space="preserve"> </w:t>
      </w:r>
      <w:r w:rsidR="006C4422" w:rsidRPr="00374581">
        <w:rPr>
          <w:rFonts w:ascii="Lucida Sans" w:hAnsi="Lucida Sans" w:cs="Times New Roman"/>
          <w:sz w:val="18"/>
          <w:szCs w:val="18"/>
        </w:rPr>
        <w:t>MAOIs may have a particular role in the treatment of patients with PTSD</w:t>
      </w:r>
      <w:r w:rsidR="002F0216">
        <w:rPr>
          <w:rFonts w:ascii="Lucida Sans" w:hAnsi="Lucida Sans" w:cs="Times New Roman"/>
          <w:sz w:val="18"/>
          <w:szCs w:val="18"/>
        </w:rPr>
        <w:t xml:space="preserve"> or social phobia</w:t>
      </w:r>
      <w:r w:rsidR="006C4422" w:rsidRPr="00374581">
        <w:rPr>
          <w:rFonts w:ascii="Lucida Sans" w:hAnsi="Lucida Sans" w:cs="Times New Roman"/>
          <w:sz w:val="18"/>
          <w:szCs w:val="18"/>
        </w:rPr>
        <w:t xml:space="preserve">. </w:t>
      </w:r>
      <w:r w:rsidR="006971C0" w:rsidRPr="00374581">
        <w:rPr>
          <w:rFonts w:ascii="Lucida Sans" w:hAnsi="Lucida Sans" w:cs="Times New Roman"/>
          <w:sz w:val="18"/>
          <w:szCs w:val="18"/>
        </w:rPr>
        <w:t>In a network meta-analysis involving 51 double-blind randomised controlled trials</w:t>
      </w:r>
      <w:r w:rsidR="002F0216">
        <w:rPr>
          <w:rFonts w:ascii="Lucida Sans" w:hAnsi="Lucida Sans" w:cs="Times New Roman"/>
          <w:sz w:val="18"/>
          <w:szCs w:val="18"/>
        </w:rPr>
        <w:t xml:space="preserve"> for PTSD</w:t>
      </w:r>
      <w:r w:rsidR="006971C0" w:rsidRPr="00374581">
        <w:rPr>
          <w:rFonts w:ascii="Lucida Sans" w:hAnsi="Lucida Sans" w:cs="Times New Roman"/>
          <w:sz w:val="18"/>
          <w:szCs w:val="18"/>
        </w:rPr>
        <w:t>, which included 25 differing interventions and a total of 6189 patients</w:t>
      </w:r>
      <w:r w:rsidR="0050323A">
        <w:rPr>
          <w:rFonts w:ascii="Lucida Sans" w:hAnsi="Lucida Sans" w:cs="Times New Roman"/>
          <w:sz w:val="18"/>
          <w:szCs w:val="18"/>
        </w:rPr>
        <w:t>,</w:t>
      </w:r>
      <w:r w:rsidR="006C4422" w:rsidRPr="00374581">
        <w:rPr>
          <w:rFonts w:ascii="Lucida Sans" w:hAnsi="Lucida Sans" w:cs="Times New Roman"/>
          <w:sz w:val="18"/>
          <w:szCs w:val="18"/>
        </w:rPr>
        <w:t xml:space="preserve"> phenelzine was superior to many other drugs (and was the only drug superior to placebo in terms of all-cause drop-outs from treatment): although the authors noted the findings were probably not </w:t>
      </w:r>
      <w:r w:rsidR="00E40457">
        <w:rPr>
          <w:rFonts w:ascii="Lucida Sans" w:hAnsi="Lucida Sans" w:cs="Times New Roman"/>
          <w:sz w:val="18"/>
          <w:szCs w:val="18"/>
        </w:rPr>
        <w:t>sufficient</w:t>
      </w:r>
      <w:r w:rsidR="00E40457" w:rsidRPr="00374581">
        <w:rPr>
          <w:rFonts w:ascii="Lucida Sans" w:hAnsi="Lucida Sans" w:cs="Times New Roman"/>
          <w:sz w:val="18"/>
          <w:szCs w:val="18"/>
        </w:rPr>
        <w:t xml:space="preserve"> </w:t>
      </w:r>
      <w:r w:rsidR="006C4422" w:rsidRPr="00374581">
        <w:rPr>
          <w:rFonts w:ascii="Lucida Sans" w:hAnsi="Lucida Sans" w:cs="Times New Roman"/>
          <w:sz w:val="18"/>
          <w:szCs w:val="18"/>
        </w:rPr>
        <w:t xml:space="preserve">to suggest phenelzine as a drug of choice for this condition, they felt they reinforced the idea that phenelzine should be prioritised in future trials </w:t>
      </w:r>
      <w:r w:rsidR="008B0FCA" w:rsidRPr="00374581">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&lt;EndNote&gt;&lt;Cite&gt;&lt;Author&gt;Cipriani&lt;/Author&gt;&lt;Year&gt;2018&lt;/Year&gt;&lt;RecNum&gt;399&lt;/RecNum&gt;&lt;DisplayText&gt;[57]&lt;/DisplayText&gt;&lt;record&gt;&lt;rec-number&gt;399&lt;/rec-number&gt;&lt;foreign-keys&gt;&lt;key app="EN" db-id="2xwpd9xwpest5ue9rwa5etrr9fzzxded9vfx" timestamp="0"&gt;399&lt;/key&gt;&lt;/foreign-keys&gt;&lt;ref-type name="Journal Article"&gt;17&lt;/ref-type&gt;&lt;contributors&gt;&lt;authors&gt;&lt;author&gt;Cipriani, Andrea&lt;/author&gt;&lt;author&gt;Williams, Taryn&lt;/author&gt;&lt;author&gt;Nikolakopoulou, Adriani&lt;/author&gt;&lt;author&gt;Salanti, Georgia&lt;/author&gt;&lt;author&gt;Chaimani, Anna&lt;/author&gt;&lt;author&gt;Ipser, Jonathan&lt;/author&gt;&lt;author&gt;Cowen, Phil J&lt;/author&gt;&lt;author&gt;Geddes, John R&lt;/author&gt;&lt;author&gt;Stein, Dan J&lt;/author&gt;&lt;/authors&gt;&lt;/contributors&gt;&lt;titles&gt;&lt;title&gt;Comparative efficacy and acceptability of pharmacological treatments for post-traumatic stress disorder in adults: a network meta-analysis&lt;/title&gt;&lt;secondary-title&gt;Psychological medicine&lt;/secondary-title&gt;&lt;/titles&gt;&lt;periodical&gt;&lt;full-title&gt;Psychological Medicine&lt;/full-title&gt;&lt;/periodical&gt;&lt;pages&gt;1975-1984&lt;/pages&gt;&lt;volume&gt;48&lt;/volume&gt;&lt;number&gt;12&lt;/number&gt;&lt;dates&gt;&lt;year&gt;2018&lt;/year&gt;&lt;/dates&gt;&lt;isbn&gt;0033-2917&lt;/isbn&gt;&lt;urls&gt;&lt;/urls&gt;&lt;/record&gt;&lt;/Cite&gt;&lt;/EndNote&gt;</w:instrText>
      </w:r>
      <w:r w:rsidR="008B0FCA" w:rsidRPr="00374581">
        <w:rPr>
          <w:rFonts w:ascii="Lucida Sans" w:hAnsi="Lucida Sans" w:cs="Times New Roman"/>
          <w:sz w:val="18"/>
          <w:szCs w:val="18"/>
        </w:rPr>
        <w:fldChar w:fldCharType="separate"/>
      </w:r>
      <w:r w:rsidR="00271279">
        <w:rPr>
          <w:rFonts w:ascii="Lucida Sans" w:hAnsi="Lucida Sans" w:cs="Times New Roman"/>
          <w:noProof/>
          <w:sz w:val="18"/>
          <w:szCs w:val="18"/>
        </w:rPr>
        <w:t>[57]</w:t>
      </w:r>
      <w:r w:rsidR="008B0FCA" w:rsidRPr="00374581">
        <w:rPr>
          <w:rFonts w:ascii="Lucida Sans" w:hAnsi="Lucida Sans" w:cs="Times New Roman"/>
          <w:sz w:val="18"/>
          <w:szCs w:val="18"/>
        </w:rPr>
        <w:fldChar w:fldCharType="end"/>
      </w:r>
      <w:r w:rsidR="006C4422" w:rsidRPr="00374581">
        <w:rPr>
          <w:rFonts w:ascii="Lucida Sans" w:hAnsi="Lucida Sans" w:cs="Times New Roman"/>
          <w:sz w:val="18"/>
          <w:szCs w:val="18"/>
        </w:rPr>
        <w:t xml:space="preserve">. </w:t>
      </w:r>
      <w:r w:rsidR="00D42CB9" w:rsidRPr="00374581">
        <w:rPr>
          <w:rFonts w:ascii="Lucida Sans" w:hAnsi="Lucida Sans" w:cs="Times New Roman"/>
          <w:sz w:val="18"/>
          <w:szCs w:val="18"/>
        </w:rPr>
        <w:t xml:space="preserve">In another network meta-analysis, of 101 trials of 41 interventions in social anxiety disorder, which included 13,164 patients, the authors emphasised the superiority of </w:t>
      </w:r>
      <w:r w:rsidR="00335CAA">
        <w:rPr>
          <w:rFonts w:ascii="Lucida Sans" w:hAnsi="Lucida Sans" w:cs="Times New Roman"/>
          <w:sz w:val="18"/>
          <w:szCs w:val="18"/>
        </w:rPr>
        <w:t>SSRI</w:t>
      </w:r>
      <w:r w:rsidR="00D42CB9" w:rsidRPr="00374581">
        <w:rPr>
          <w:rFonts w:ascii="Lucida Sans" w:hAnsi="Lucida Sans" w:cs="Times New Roman"/>
          <w:sz w:val="18"/>
          <w:szCs w:val="18"/>
        </w:rPr>
        <w:t xml:space="preserve"> and serotonin-noradrenaline reuptake (SNRI) medicines to pill placebo, and the superiority of cognitive behaviour therapy (CBT) to psychological placebo, but the largest effect size for pharmacological treatment was for MAOIs, mainly due to the robust effect size for phenelzine </w:t>
      </w:r>
      <w:r w:rsidR="008B0FCA" w:rsidRPr="00374581">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&lt;EndNote&gt;&lt;Cite&gt;&lt;Author&gt;Mayo-Wilson&lt;/Author&gt;&lt;Year&gt;2014&lt;/Year&gt;&lt;RecNum&gt;418&lt;/RecNum&gt;&lt;DisplayText&gt;[37]&lt;/DisplayText&gt;&lt;record&gt;&lt;rec-number&gt;418&lt;/rec-number&gt;&lt;foreign-keys&gt;&lt;key app="EN" db-id="2xwpd9xwpest5ue9rwa5etrr9fzzxded9vfx" timestamp="0"&gt;418&lt;/key&gt;&lt;/foreign-keys&gt;&lt;ref-type name="Journal Article"&gt;17&lt;/ref-type&gt;&lt;contributors&gt;&lt;authors&gt;&lt;author&gt;Mayo-Wilson, Evan&lt;/author&gt;&lt;author&gt;Dias, Sofia&lt;/author&gt;&lt;author&gt;Mavranezouli, Ifigeneia&lt;/author&gt;&lt;author&gt;Kew, Kayleigh&lt;/author&gt;&lt;author&gt;Clark, David M&lt;/author&gt;&lt;author&gt;Ades, AE&lt;/author&gt;&lt;author&gt;Pilling, Stephen&lt;/author&gt;&lt;/authors&gt;&lt;/contributors&gt;&lt;titles&gt;&lt;title&gt;Psychological and pharmacological interventions for social anxiety disorder in adults: a systematic review and network meta-analysis&lt;/title&gt;&lt;secondary-title&gt;The Lancet Psychiatry&lt;/secondary-title&gt;&lt;/titles&gt;&lt;pages&gt;368-376&lt;/pages&gt;&lt;volume&gt;1&lt;/volume&gt;&lt;number&gt;5&lt;/number&gt;&lt;dates&gt;&lt;year&gt;2014&lt;/year&gt;&lt;/dates&gt;&lt;isbn&gt;2215-0366&lt;/isbn&gt;&lt;urls&gt;&lt;/urls&gt;&lt;/record&gt;&lt;/Cite&gt;&lt;/EndNote&gt;</w:instrText>
      </w:r>
      <w:r w:rsidR="008B0FCA" w:rsidRPr="00374581">
        <w:rPr>
          <w:rFonts w:ascii="Lucida Sans" w:hAnsi="Lucida Sans" w:cs="Times New Roman"/>
          <w:sz w:val="18"/>
          <w:szCs w:val="18"/>
        </w:rPr>
        <w:fldChar w:fldCharType="separate"/>
      </w:r>
      <w:r w:rsidR="00271279">
        <w:rPr>
          <w:rFonts w:ascii="Lucida Sans" w:hAnsi="Lucida Sans" w:cs="Times New Roman"/>
          <w:noProof/>
          <w:sz w:val="18"/>
          <w:szCs w:val="18"/>
        </w:rPr>
        <w:t>[37]</w:t>
      </w:r>
      <w:r w:rsidR="008B0FCA" w:rsidRPr="00374581">
        <w:rPr>
          <w:rFonts w:ascii="Lucida Sans" w:hAnsi="Lucida Sans" w:cs="Times New Roman"/>
          <w:sz w:val="18"/>
          <w:szCs w:val="18"/>
        </w:rPr>
        <w:fldChar w:fldCharType="end"/>
      </w:r>
      <w:r w:rsidR="00D42CB9" w:rsidRPr="00374581">
        <w:rPr>
          <w:rFonts w:ascii="Lucida Sans" w:hAnsi="Lucida Sans" w:cs="Times New Roman"/>
          <w:sz w:val="18"/>
          <w:szCs w:val="18"/>
        </w:rPr>
        <w:t>.</w:t>
      </w:r>
    </w:p>
    <w:p w14:paraId="6DE135CE" w14:textId="3A7A3FCC" w:rsidR="00760B8F" w:rsidRDefault="00760B8F" w:rsidP="00D42CB9">
      <w:pPr>
        <w:spacing w:line="360" w:lineRule="auto"/>
        <w:rPr>
          <w:rFonts w:ascii="Lucida Sans" w:hAnsi="Lucida Sans" w:cs="Times New Roman"/>
          <w:sz w:val="18"/>
          <w:szCs w:val="18"/>
        </w:rPr>
      </w:pPr>
    </w:p>
    <w:p w14:paraId="4F604CF4" w14:textId="4A0529BB" w:rsidR="00FA2884" w:rsidRDefault="00760B8F" w:rsidP="00542E9C">
      <w:pPr>
        <w:spacing w:line="360" w:lineRule="auto"/>
        <w:rPr>
          <w:rFonts w:ascii="Lucida Sans" w:hAnsi="Lucida Sans" w:cs="Times New Roman"/>
          <w:sz w:val="18"/>
          <w:szCs w:val="18"/>
        </w:rPr>
      </w:pPr>
      <w:r>
        <w:rPr>
          <w:rFonts w:ascii="Lucida Sans" w:hAnsi="Lucida Sans" w:cs="Times New Roman"/>
          <w:sz w:val="18"/>
          <w:szCs w:val="18"/>
        </w:rPr>
        <w:t xml:space="preserve">Clinical trials using MAOIs in the treatment of obsessive-compulsive disorder (OCD) are few in number. In one </w:t>
      </w:r>
      <w:r w:rsidR="00FA2884">
        <w:rPr>
          <w:rFonts w:ascii="Lucida Sans" w:hAnsi="Lucida Sans" w:cs="Times New Roman"/>
          <w:sz w:val="18"/>
          <w:szCs w:val="18"/>
        </w:rPr>
        <w:t xml:space="preserve">double-blind </w:t>
      </w:r>
      <w:r>
        <w:rPr>
          <w:rFonts w:ascii="Lucida Sans" w:hAnsi="Lucida Sans" w:cs="Times New Roman"/>
          <w:sz w:val="18"/>
          <w:szCs w:val="18"/>
        </w:rPr>
        <w:t xml:space="preserve">study, OCD symptoms improved significantly and similarly following treatment with phenelzine or clomipramine (clomipramine has a strong evidence base in the treatment of OCD); and improvements between the two treatments did not differ significantly </w:t>
      </w:r>
      <w:r w:rsidR="00BB2B5C">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&lt;EndNote&gt;&lt;Cite&gt;&lt;Author&gt;Vallejo&lt;/Author&gt;&lt;Year&gt;1992&lt;/Year&gt;&lt;RecNum&gt;490&lt;/RecNum&gt;&lt;DisplayText&gt;[59]&lt;/DisplayText&gt;&lt;record&gt;&lt;rec-number&gt;490&lt;/rec-number&gt;&lt;foreign-keys&gt;&lt;key app="EN" db-id="2xwpd9xwpest5ue9rwa5etrr9fzzxded9vfx" timestamp="1619001159"&gt;490&lt;/key&gt;&lt;/foreign-keys&gt;&lt;ref-type name="Journal Article"&gt;17&lt;/ref-type&gt;&lt;contributors&gt;&lt;authors&gt;&lt;author&gt;Vallejo, J&lt;/author&gt;&lt;author&gt;Olivares, J&lt;/author&gt;&lt;author&gt;Marcos, T&lt;/author&gt;&lt;author&gt;Bulbena, A&lt;/author&gt;&lt;author&gt;Menchon, JM&lt;/author&gt;&lt;/authors&gt;&lt;/contributors&gt;&lt;titles&gt;&lt;title&gt;Clomipramine versus phenelzine in obsessive-compulsive disorder&lt;/title&gt;&lt;secondary-title&gt;A controlled clinical trial. Br J Psychiatry&lt;/secondary-title&gt;&lt;/titles&gt;&lt;periodical&gt;&lt;full-title&gt;A controlled clinical trial. Br J Psychiatry&lt;/full-title&gt;&lt;/periodical&gt;&lt;pages&gt;665-670&lt;/pages&gt;&lt;volume&gt;161&lt;/volume&gt;&lt;dates&gt;&lt;year&gt;1992&lt;/year&gt;&lt;/dates&gt;&lt;urls&gt;&lt;/urls&gt;&lt;/record&gt;&lt;/Cite&gt;&lt;/EndNote&gt;</w:instrText>
      </w:r>
      <w:r w:rsidR="00BB2B5C">
        <w:rPr>
          <w:rFonts w:ascii="Lucida Sans" w:hAnsi="Lucida Sans" w:cs="Times New Roman"/>
          <w:sz w:val="18"/>
          <w:szCs w:val="18"/>
        </w:rPr>
        <w:fldChar w:fldCharType="separate"/>
      </w:r>
      <w:r w:rsidR="00271279">
        <w:rPr>
          <w:rFonts w:ascii="Lucida Sans" w:hAnsi="Lucida Sans" w:cs="Times New Roman"/>
          <w:noProof/>
          <w:sz w:val="18"/>
          <w:szCs w:val="18"/>
        </w:rPr>
        <w:t>[59]</w:t>
      </w:r>
      <w:r w:rsidR="00BB2B5C">
        <w:rPr>
          <w:rFonts w:ascii="Lucida Sans" w:hAnsi="Lucida Sans" w:cs="Times New Roman"/>
          <w:sz w:val="18"/>
          <w:szCs w:val="18"/>
        </w:rPr>
        <w:fldChar w:fldCharType="end"/>
      </w:r>
      <w:r>
        <w:rPr>
          <w:rFonts w:ascii="Lucida Sans" w:hAnsi="Lucida Sans" w:cs="Times New Roman"/>
          <w:sz w:val="18"/>
          <w:szCs w:val="18"/>
        </w:rPr>
        <w:t>. In a</w:t>
      </w:r>
      <w:r w:rsidR="00FA2884">
        <w:rPr>
          <w:rFonts w:ascii="Lucida Sans" w:hAnsi="Lucida Sans" w:cs="Times New Roman"/>
          <w:sz w:val="18"/>
          <w:szCs w:val="18"/>
        </w:rPr>
        <w:t xml:space="preserve"> double-blind</w:t>
      </w:r>
      <w:r>
        <w:rPr>
          <w:rFonts w:ascii="Lucida Sans" w:hAnsi="Lucida Sans" w:cs="Times New Roman"/>
          <w:sz w:val="18"/>
          <w:szCs w:val="18"/>
        </w:rPr>
        <w:t xml:space="preserve"> study examining the MAOI </w:t>
      </w:r>
      <w:r w:rsidRPr="00760B8F">
        <w:rPr>
          <w:rFonts w:ascii="Lucida Sans" w:hAnsi="Lucida Sans" w:cs="Times New Roman"/>
          <w:sz w:val="18"/>
          <w:szCs w:val="18"/>
        </w:rPr>
        <w:t>clorgyline</w:t>
      </w:r>
      <w:r>
        <w:rPr>
          <w:rFonts w:ascii="Lucida Sans" w:hAnsi="Lucida Sans" w:cs="Times New Roman"/>
          <w:sz w:val="18"/>
          <w:szCs w:val="18"/>
        </w:rPr>
        <w:t xml:space="preserve"> versus clomipramine, only clomipramine showed significant benefit overall, though the authors noted some patients had benefited from the MAOI</w:t>
      </w:r>
      <w:r w:rsidR="007122DD">
        <w:rPr>
          <w:rFonts w:ascii="Lucida Sans" w:hAnsi="Lucida Sans" w:cs="Times New Roman"/>
          <w:sz w:val="18"/>
          <w:szCs w:val="18"/>
        </w:rPr>
        <w:t xml:space="preserve"> </w:t>
      </w:r>
      <w:r w:rsidR="007122DD">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&lt;EndNote&gt;&lt;Cite&gt;&lt;Author&gt;Insel&lt;/Author&gt;&lt;Year&gt;1983&lt;/Year&gt;&lt;RecNum&gt;491&lt;/RecNum&gt;&lt;DisplayText&gt;[60]&lt;/DisplayText&gt;&lt;record&gt;&lt;rec-number&gt;491&lt;/rec-number&gt;&lt;foreign-keys&gt;&lt;key app="EN" db-id="2xwpd9xwpest5ue9rwa5etrr9fzzxded9vfx" timestamp="1619001956"&gt;491&lt;/key&gt;&lt;/foreign-keys&gt;&lt;ref-type name="Journal Article"&gt;17&lt;/ref-type&gt;&lt;contributors&gt;&lt;authors&gt;&lt;author&gt;Insel, Thomas R&lt;/author&gt;&lt;author&gt;Murphy, Dennis L&lt;/author&gt;&lt;author&gt;Cohen, Robert M&lt;/author&gt;&lt;author&gt;Alterman, Ina&lt;/author&gt;&lt;author&gt;Kilts, Clinton&lt;/author&gt;&lt;author&gt;Linnoila, Markku&lt;/author&gt;&lt;/authors&gt;&lt;/contributors&gt;&lt;titles&gt;&lt;title&gt;Obsessive-compulsive disorder: a double-blind trial of clomipramine and clorgyline&lt;/title&gt;&lt;secondary-title&gt;Archives of General Psychiatry&lt;/secondary-title&gt;&lt;/titles&gt;&lt;periodical&gt;&lt;full-title&gt;Archives of General Psychiatry&lt;/full-title&gt;&lt;/periodical&gt;&lt;pages&gt;605-612&lt;/pages&gt;&lt;volume&gt;40&lt;/volume&gt;&lt;number&gt;6&lt;/number&gt;&lt;dates&gt;&lt;year&gt;1983&lt;/year&gt;&lt;/dates&gt;&lt;isbn&gt;0003-990X&lt;/isbn&gt;&lt;urls&gt;&lt;/urls&gt;&lt;/record&gt;&lt;/Cite&gt;&lt;/EndNote&gt;</w:instrText>
      </w:r>
      <w:r w:rsidR="007122DD">
        <w:rPr>
          <w:rFonts w:ascii="Lucida Sans" w:hAnsi="Lucida Sans" w:cs="Times New Roman"/>
          <w:sz w:val="18"/>
          <w:szCs w:val="18"/>
        </w:rPr>
        <w:fldChar w:fldCharType="separate"/>
      </w:r>
      <w:r w:rsidR="00271279">
        <w:rPr>
          <w:rFonts w:ascii="Lucida Sans" w:hAnsi="Lucida Sans" w:cs="Times New Roman"/>
          <w:noProof/>
          <w:sz w:val="18"/>
          <w:szCs w:val="18"/>
        </w:rPr>
        <w:t>[60]</w:t>
      </w:r>
      <w:r w:rsidR="007122DD">
        <w:rPr>
          <w:rFonts w:ascii="Lucida Sans" w:hAnsi="Lucida Sans" w:cs="Times New Roman"/>
          <w:sz w:val="18"/>
          <w:szCs w:val="18"/>
        </w:rPr>
        <w:fldChar w:fldCharType="end"/>
      </w:r>
      <w:r>
        <w:rPr>
          <w:rFonts w:ascii="Lucida Sans" w:hAnsi="Lucida Sans" w:cs="Times New Roman"/>
          <w:sz w:val="18"/>
          <w:szCs w:val="18"/>
        </w:rPr>
        <w:t>.</w:t>
      </w:r>
      <w:r w:rsidR="00FA2884">
        <w:rPr>
          <w:rFonts w:ascii="Lucida Sans" w:hAnsi="Lucida Sans" w:cs="Times New Roman"/>
          <w:sz w:val="18"/>
          <w:szCs w:val="18"/>
        </w:rPr>
        <w:t xml:space="preserve"> In another double-blind study compared placebo, phenelzine, or fluoxetine, findings were mixed. Specifically, only fluoxetine was associated with symptomatic improvement on one measure, whereas other outcome measures did not differentiate across treatment arms (including placebo)</w:t>
      </w:r>
      <w:r w:rsidR="00DD04E0">
        <w:rPr>
          <w:rFonts w:ascii="Lucida Sans" w:hAnsi="Lucida Sans" w:cs="Times New Roman"/>
          <w:sz w:val="18"/>
          <w:szCs w:val="18"/>
        </w:rPr>
        <w:t xml:space="preserve"> </w:t>
      </w:r>
      <w:r w:rsidR="00DD04E0">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&lt;EndNote&gt;&lt;Cite&gt;&lt;Author&gt;Jenike&lt;/Author&gt;&lt;Year&gt;1997&lt;/Year&gt;&lt;RecNum&gt;492&lt;/RecNum&gt;&lt;DisplayText&gt;[61]&lt;/DisplayText&gt;&lt;record&gt;&lt;rec-number&gt;492&lt;/rec-number&gt;&lt;foreign-keys&gt;&lt;key app="EN" db-id="2xwpd9xwpest5ue9rwa5etrr9fzzxded9vfx" timestamp="1619002063"&gt;492&lt;/key&gt;&lt;/foreign-keys&gt;&lt;ref-type name="Journal Article"&gt;17&lt;/ref-type&gt;&lt;contributors&gt;&lt;authors&gt;&lt;author&gt;Jenike, Michael A&lt;/author&gt;&lt;author&gt;Baer, Lee&lt;/author&gt;&lt;author&gt;Minichiello, William E&lt;/author&gt;&lt;author&gt;Rauch, Scott L&lt;/author&gt;&lt;author&gt;Buttolph, M Lynn&lt;/author&gt;&lt;/authors&gt;&lt;/contributors&gt;&lt;titles&gt;&lt;title&gt;Placebo-controlled trial of fluoxetine and phenelzine for obsessive-compulsive disorder&lt;/title&gt;&lt;secondary-title&gt;The American journal of psychiatry&lt;/secondary-title&gt;&lt;/titles&gt;&lt;periodical&gt;&lt;full-title&gt;The American journal of psychiatry&lt;/full-title&gt;&lt;/periodical&gt;&lt;dates&gt;&lt;year&gt;1997&lt;/year&gt;&lt;/dates&gt;&lt;isbn&gt;1535-7228&lt;/isbn&gt;&lt;urls&gt;&lt;/urls&gt;&lt;/record&gt;&lt;/Cite&gt;&lt;/EndNote&gt;</w:instrText>
      </w:r>
      <w:r w:rsidR="00DD04E0">
        <w:rPr>
          <w:rFonts w:ascii="Lucida Sans" w:hAnsi="Lucida Sans" w:cs="Times New Roman"/>
          <w:sz w:val="18"/>
          <w:szCs w:val="18"/>
        </w:rPr>
        <w:fldChar w:fldCharType="separate"/>
      </w:r>
      <w:r w:rsidR="00271279">
        <w:rPr>
          <w:rFonts w:ascii="Lucida Sans" w:hAnsi="Lucida Sans" w:cs="Times New Roman"/>
          <w:noProof/>
          <w:sz w:val="18"/>
          <w:szCs w:val="18"/>
        </w:rPr>
        <w:t>[61]</w:t>
      </w:r>
      <w:r w:rsidR="00DD04E0">
        <w:rPr>
          <w:rFonts w:ascii="Lucida Sans" w:hAnsi="Lucida Sans" w:cs="Times New Roman"/>
          <w:sz w:val="18"/>
          <w:szCs w:val="18"/>
        </w:rPr>
        <w:fldChar w:fldCharType="end"/>
      </w:r>
      <w:r w:rsidR="00FA2884">
        <w:rPr>
          <w:rFonts w:ascii="Lucida Sans" w:hAnsi="Lucida Sans" w:cs="Times New Roman"/>
          <w:sz w:val="18"/>
          <w:szCs w:val="18"/>
        </w:rPr>
        <w:t xml:space="preserve">. </w:t>
      </w:r>
      <w:r w:rsidR="00B2581B">
        <w:rPr>
          <w:rFonts w:ascii="Lucida Sans" w:hAnsi="Lucida Sans" w:cs="Times New Roman"/>
          <w:sz w:val="18"/>
          <w:szCs w:val="18"/>
        </w:rPr>
        <w:t>T</w:t>
      </w:r>
      <w:r w:rsidR="00FA2884">
        <w:rPr>
          <w:rFonts w:ascii="Lucida Sans" w:hAnsi="Lucida Sans" w:cs="Times New Roman"/>
          <w:sz w:val="18"/>
          <w:szCs w:val="18"/>
        </w:rPr>
        <w:t>he authors noted that a subset of patients did appear to benefit from phenelzine.</w:t>
      </w:r>
      <w:r w:rsidR="00B2581B">
        <w:rPr>
          <w:rFonts w:ascii="Lucida Sans" w:hAnsi="Lucida Sans" w:cs="Times New Roman"/>
          <w:sz w:val="18"/>
          <w:szCs w:val="18"/>
        </w:rPr>
        <w:t xml:space="preserve"> Lastly, i</w:t>
      </w:r>
      <w:r w:rsidR="008B2021">
        <w:rPr>
          <w:rFonts w:ascii="Lucida Sans" w:hAnsi="Lucida Sans" w:cs="Times New Roman"/>
          <w:sz w:val="18"/>
          <w:szCs w:val="18"/>
        </w:rPr>
        <w:t>n a recent small case series of nine OCD patients where</w:t>
      </w:r>
      <w:r w:rsidR="0027026F">
        <w:rPr>
          <w:rFonts w:ascii="Lucida Sans" w:hAnsi="Lucida Sans" w:cs="Times New Roman"/>
          <w:sz w:val="18"/>
          <w:szCs w:val="18"/>
        </w:rPr>
        <w:t xml:space="preserve"> extensive</w:t>
      </w:r>
      <w:r w:rsidR="008B2021">
        <w:rPr>
          <w:rFonts w:ascii="Lucida Sans" w:hAnsi="Lucida Sans" w:cs="Times New Roman"/>
          <w:sz w:val="18"/>
          <w:szCs w:val="18"/>
        </w:rPr>
        <w:t xml:space="preserve"> first-line treatments had not resulted in sufficient symptomatic improvement, three</w:t>
      </w:r>
      <w:r w:rsidR="00B2581B">
        <w:rPr>
          <w:rFonts w:ascii="Lucida Sans" w:hAnsi="Lucida Sans" w:cs="Times New Roman"/>
          <w:sz w:val="18"/>
          <w:szCs w:val="18"/>
        </w:rPr>
        <w:t xml:space="preserve"> patients</w:t>
      </w:r>
      <w:r w:rsidR="008B2021">
        <w:rPr>
          <w:rFonts w:ascii="Lucida Sans" w:hAnsi="Lucida Sans" w:cs="Times New Roman"/>
          <w:sz w:val="18"/>
          <w:szCs w:val="18"/>
        </w:rPr>
        <w:t xml:space="preserve"> experienced marked benefits after switching to phenelzine, three experienced some benefit, and three did not</w:t>
      </w:r>
      <w:r w:rsidR="00F67536">
        <w:rPr>
          <w:rFonts w:ascii="Lucida Sans" w:hAnsi="Lucida Sans" w:cs="Times New Roman"/>
          <w:sz w:val="18"/>
          <w:szCs w:val="18"/>
        </w:rPr>
        <w:t>:</w:t>
      </w:r>
      <w:r w:rsidR="008B2021">
        <w:rPr>
          <w:rFonts w:ascii="Lucida Sans" w:hAnsi="Lucida Sans" w:cs="Times New Roman"/>
          <w:sz w:val="18"/>
          <w:szCs w:val="18"/>
        </w:rPr>
        <w:t xml:space="preserve"> </w:t>
      </w:r>
      <w:r w:rsidR="00F67536">
        <w:rPr>
          <w:rFonts w:ascii="Lucida Sans" w:hAnsi="Lucida Sans" w:cs="Times New Roman"/>
          <w:sz w:val="18"/>
          <w:szCs w:val="18"/>
        </w:rPr>
        <w:t>o</w:t>
      </w:r>
      <w:r w:rsidR="008B2021">
        <w:rPr>
          <w:rFonts w:ascii="Lucida Sans" w:hAnsi="Lucida Sans" w:cs="Times New Roman"/>
          <w:sz w:val="18"/>
          <w:szCs w:val="18"/>
        </w:rPr>
        <w:t>f the three</w:t>
      </w:r>
      <w:r w:rsidR="00B2581B">
        <w:rPr>
          <w:rFonts w:ascii="Lucida Sans" w:hAnsi="Lucida Sans" w:cs="Times New Roman"/>
          <w:sz w:val="18"/>
          <w:szCs w:val="18"/>
        </w:rPr>
        <w:t xml:space="preserve"> patients</w:t>
      </w:r>
      <w:r w:rsidR="008B2021">
        <w:rPr>
          <w:rFonts w:ascii="Lucida Sans" w:hAnsi="Lucida Sans" w:cs="Times New Roman"/>
          <w:sz w:val="18"/>
          <w:szCs w:val="18"/>
        </w:rPr>
        <w:t xml:space="preserve"> who did not, two </w:t>
      </w:r>
      <w:r w:rsidR="00B2581B">
        <w:rPr>
          <w:rFonts w:ascii="Lucida Sans" w:hAnsi="Lucida Sans" w:cs="Times New Roman"/>
          <w:sz w:val="18"/>
          <w:szCs w:val="18"/>
        </w:rPr>
        <w:t xml:space="preserve">individuals had </w:t>
      </w:r>
      <w:r w:rsidR="008B2021">
        <w:rPr>
          <w:rFonts w:ascii="Lucida Sans" w:hAnsi="Lucida Sans" w:cs="Times New Roman"/>
          <w:sz w:val="18"/>
          <w:szCs w:val="18"/>
        </w:rPr>
        <w:t xml:space="preserve">discontinued due to side effects, and one </w:t>
      </w:r>
      <w:r w:rsidR="00B2581B">
        <w:rPr>
          <w:rFonts w:ascii="Lucida Sans" w:hAnsi="Lucida Sans" w:cs="Times New Roman"/>
          <w:sz w:val="18"/>
          <w:szCs w:val="18"/>
        </w:rPr>
        <w:t xml:space="preserve">had </w:t>
      </w:r>
      <w:r w:rsidR="008B2021">
        <w:rPr>
          <w:rFonts w:ascii="Lucida Sans" w:hAnsi="Lucida Sans" w:cs="Times New Roman"/>
          <w:sz w:val="18"/>
          <w:szCs w:val="18"/>
        </w:rPr>
        <w:t xml:space="preserve">discontinued relatively early (after four weeks) due to lack of benefit </w:t>
      </w:r>
      <w:r w:rsidR="00DD04E0">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&lt;EndNote&gt;&lt;Cite&gt;&lt;Author&gt;Grant JE&lt;/Author&gt;&lt;Year&gt;2021&lt;/Year&gt;&lt;RecNum&gt;493&lt;/RecNum&gt;&lt;DisplayText&gt;[62]&lt;/DisplayText&gt;&lt;record&gt;&lt;rec-number&gt;493&lt;/rec-number&gt;&lt;foreign-keys&gt;&lt;key app="EN" db-id="2xwpd9xwpest5ue9rwa5etrr9fzzxded9vfx" timestamp="1619002628"&gt;493&lt;/key&gt;&lt;/foreign-keys&gt;&lt;ref-type name="Unpublished Work"&gt;34&lt;/ref-type&gt;&lt;contributors&gt;&lt;authors&gt;&lt;author&gt;Grant JE, &lt;/author&gt;&lt;author&gt;Baldwin DS, &lt;/author&gt;&lt;author&gt;Chamberlain SR. &lt;/author&gt;&lt;/authors&gt;&lt;/contributors&gt;&lt;titles&gt;&lt;title&gt;Time to reconsider monoamine oxidase inhibitors (MAOIs) for Obsessive Compulsive Disorder? A case series using phenelzine.  &lt;/title&gt;&lt;/titles&gt;&lt;dates&gt;&lt;year&gt;2021&lt;/year&gt;&lt;/dates&gt;&lt;work-type&gt;Submitted case series&lt;/work-type&gt;&lt;urls&gt;&lt;/urls&gt;&lt;/record&gt;&lt;/Cite&gt;&lt;/EndNote&gt;</w:instrText>
      </w:r>
      <w:r w:rsidR="00DD04E0">
        <w:rPr>
          <w:rFonts w:ascii="Lucida Sans" w:hAnsi="Lucida Sans" w:cs="Times New Roman"/>
          <w:sz w:val="18"/>
          <w:szCs w:val="18"/>
        </w:rPr>
        <w:fldChar w:fldCharType="separate"/>
      </w:r>
      <w:r w:rsidR="00271279">
        <w:rPr>
          <w:rFonts w:ascii="Lucida Sans" w:hAnsi="Lucida Sans" w:cs="Times New Roman"/>
          <w:noProof/>
          <w:sz w:val="18"/>
          <w:szCs w:val="18"/>
        </w:rPr>
        <w:t>[62]</w:t>
      </w:r>
      <w:r w:rsidR="00DD04E0">
        <w:rPr>
          <w:rFonts w:ascii="Lucida Sans" w:hAnsi="Lucida Sans" w:cs="Times New Roman"/>
          <w:sz w:val="18"/>
          <w:szCs w:val="18"/>
        </w:rPr>
        <w:fldChar w:fldCharType="end"/>
      </w:r>
      <w:r w:rsidR="008B2021">
        <w:rPr>
          <w:rFonts w:ascii="Lucida Sans" w:hAnsi="Lucida Sans" w:cs="Times New Roman"/>
          <w:sz w:val="18"/>
          <w:szCs w:val="18"/>
        </w:rPr>
        <w:t>.</w:t>
      </w:r>
    </w:p>
    <w:p w14:paraId="17F7AF02" w14:textId="20F8CF20" w:rsidR="001B1C14" w:rsidRDefault="001B1C14">
      <w:pPr>
        <w:spacing w:line="360" w:lineRule="auto"/>
        <w:rPr>
          <w:rFonts w:ascii="Lucida Sans" w:hAnsi="Lucida Sans" w:cs="Times New Roman"/>
          <w:sz w:val="18"/>
          <w:szCs w:val="18"/>
        </w:rPr>
      </w:pPr>
    </w:p>
    <w:p w14:paraId="042EB5ED" w14:textId="4A5ED7B1" w:rsidR="001B1C14" w:rsidRPr="00453C4B" w:rsidRDefault="001B1C14">
      <w:pPr>
        <w:spacing w:line="360" w:lineRule="auto"/>
        <w:rPr>
          <w:rFonts w:ascii="Lucida Sans" w:hAnsi="Lucida Sans" w:cs="Times New Roman"/>
          <w:sz w:val="18"/>
          <w:szCs w:val="18"/>
        </w:rPr>
      </w:pPr>
      <w:r>
        <w:rPr>
          <w:rFonts w:ascii="Lucida Sans" w:hAnsi="Lucida Sans" w:cs="Times New Roman"/>
          <w:sz w:val="18"/>
          <w:szCs w:val="18"/>
        </w:rPr>
        <w:t xml:space="preserve">The use of MAOIs in the context of bipolar disorder has received relatively little research. As with other antidepressants such as SSRIs, the possibility or inducing a manic switch with treatment should be </w:t>
      </w:r>
      <w:r w:rsidR="00453C4B">
        <w:rPr>
          <w:rFonts w:ascii="Lucida Sans" w:hAnsi="Lucida Sans" w:cs="Times New Roman"/>
          <w:sz w:val="18"/>
          <w:szCs w:val="18"/>
        </w:rPr>
        <w:t xml:space="preserve">considered, particularly </w:t>
      </w:r>
      <w:r w:rsidR="00BA26B8">
        <w:rPr>
          <w:rFonts w:ascii="Lucida Sans" w:hAnsi="Lucida Sans" w:cs="Times New Roman"/>
          <w:sz w:val="18"/>
          <w:szCs w:val="18"/>
        </w:rPr>
        <w:t>in patients who are not taking</w:t>
      </w:r>
      <w:r w:rsidR="00453C4B">
        <w:rPr>
          <w:rFonts w:ascii="Lucida Sans" w:hAnsi="Lucida Sans" w:cs="Times New Roman"/>
          <w:sz w:val="18"/>
          <w:szCs w:val="18"/>
        </w:rPr>
        <w:t xml:space="preserve"> mood</w:t>
      </w:r>
      <w:r w:rsidR="00E40457">
        <w:rPr>
          <w:rFonts w:ascii="Lucida Sans" w:hAnsi="Lucida Sans" w:cs="Times New Roman"/>
          <w:sz w:val="18"/>
          <w:szCs w:val="18"/>
        </w:rPr>
        <w:t>-</w:t>
      </w:r>
      <w:r w:rsidR="00453C4B">
        <w:rPr>
          <w:rFonts w:ascii="Lucida Sans" w:hAnsi="Lucida Sans" w:cs="Times New Roman"/>
          <w:sz w:val="18"/>
          <w:szCs w:val="18"/>
        </w:rPr>
        <w:t xml:space="preserve">stabilising medication. In a </w:t>
      </w:r>
      <w:r w:rsidR="00BA26B8">
        <w:rPr>
          <w:rFonts w:ascii="Lucida Sans" w:hAnsi="Lucida Sans" w:cs="Times New Roman"/>
          <w:sz w:val="18"/>
          <w:szCs w:val="18"/>
        </w:rPr>
        <w:t xml:space="preserve">double-blind </w:t>
      </w:r>
      <w:r w:rsidR="00453C4B">
        <w:rPr>
          <w:rFonts w:ascii="Lucida Sans" w:hAnsi="Lucida Sans" w:cs="Times New Roman"/>
          <w:sz w:val="18"/>
          <w:szCs w:val="18"/>
        </w:rPr>
        <w:t>study of patients with bipolar disorder who were experiencing an</w:t>
      </w:r>
      <w:r w:rsidR="00BA26B8">
        <w:rPr>
          <w:rFonts w:ascii="Lucida Sans" w:hAnsi="Lucida Sans" w:cs="Times New Roman"/>
          <w:sz w:val="18"/>
          <w:szCs w:val="18"/>
        </w:rPr>
        <w:t xml:space="preserve"> episode of anergic depression,</w:t>
      </w:r>
      <w:r w:rsidR="00453C4B">
        <w:rPr>
          <w:rFonts w:ascii="Lucida Sans" w:hAnsi="Lucida Sans" w:cs="Times New Roman"/>
          <w:sz w:val="18"/>
          <w:szCs w:val="18"/>
        </w:rPr>
        <w:t xml:space="preserve"> </w:t>
      </w:r>
      <w:r w:rsidR="00453C4B" w:rsidRPr="00453C4B">
        <w:rPr>
          <w:rFonts w:ascii="Lucida Sans" w:hAnsi="Lucida Sans" w:cs="Times New Roman"/>
          <w:sz w:val="18"/>
          <w:szCs w:val="18"/>
        </w:rPr>
        <w:t>tranylcypromine</w:t>
      </w:r>
      <w:r w:rsidR="00453C4B">
        <w:rPr>
          <w:rFonts w:ascii="Lucida Sans" w:hAnsi="Lucida Sans" w:cs="Times New Roman"/>
          <w:sz w:val="18"/>
          <w:szCs w:val="18"/>
        </w:rPr>
        <w:t xml:space="preserve"> was associated with </w:t>
      </w:r>
      <w:r w:rsidR="00BA26B8">
        <w:rPr>
          <w:rFonts w:ascii="Lucida Sans" w:hAnsi="Lucida Sans" w:cs="Times New Roman"/>
          <w:sz w:val="18"/>
          <w:szCs w:val="18"/>
        </w:rPr>
        <w:t>symptomatic</w:t>
      </w:r>
      <w:r w:rsidR="00453C4B">
        <w:rPr>
          <w:rFonts w:ascii="Lucida Sans" w:hAnsi="Lucida Sans" w:cs="Times New Roman"/>
          <w:sz w:val="18"/>
          <w:szCs w:val="18"/>
        </w:rPr>
        <w:t xml:space="preserve"> improvements</w:t>
      </w:r>
      <w:r w:rsidR="00CA1A14">
        <w:rPr>
          <w:rFonts w:ascii="Lucida Sans" w:hAnsi="Lucida Sans" w:cs="Times New Roman"/>
          <w:sz w:val="18"/>
          <w:szCs w:val="18"/>
        </w:rPr>
        <w:t xml:space="preserve"> in depres</w:t>
      </w:r>
      <w:r w:rsidR="00E40457">
        <w:rPr>
          <w:rFonts w:ascii="Lucida Sans" w:hAnsi="Lucida Sans" w:cs="Times New Roman"/>
          <w:sz w:val="18"/>
          <w:szCs w:val="18"/>
        </w:rPr>
        <w:t>s</w:t>
      </w:r>
      <w:r w:rsidR="00CA1A14">
        <w:rPr>
          <w:rFonts w:ascii="Lucida Sans" w:hAnsi="Lucida Sans" w:cs="Times New Roman"/>
          <w:sz w:val="18"/>
          <w:szCs w:val="18"/>
        </w:rPr>
        <w:t>ion</w:t>
      </w:r>
      <w:r w:rsidR="00453C4B">
        <w:rPr>
          <w:rFonts w:ascii="Lucida Sans" w:hAnsi="Lucida Sans" w:cs="Times New Roman"/>
          <w:sz w:val="18"/>
          <w:szCs w:val="18"/>
        </w:rPr>
        <w:t xml:space="preserve"> versus imipramine, and no increased risk of treatment emerging hypomania/mania was detected</w:t>
      </w:r>
      <w:r w:rsidR="00DD04E0">
        <w:rPr>
          <w:rFonts w:ascii="Lucida Sans" w:hAnsi="Lucida Sans" w:cs="Times New Roman"/>
          <w:sz w:val="18"/>
          <w:szCs w:val="18"/>
        </w:rPr>
        <w:t xml:space="preserve"> </w:t>
      </w:r>
      <w:r w:rsidR="00DD04E0">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&lt;EndNote&gt;&lt;Cite&gt;&lt;Author&gt;Himmelhoch&lt;/Author&gt;&lt;Year&gt;1991&lt;/Year&gt;&lt;RecNum&gt;494&lt;/RecNum&gt;&lt;DisplayText&gt;[63]&lt;/DisplayText&gt;&lt;record&gt;&lt;rec-number&gt;494&lt;/rec-number&gt;&lt;foreign-keys&gt;&lt;key app="EN" db-id="2xwpd9xwpest5ue9rwa5etrr9fzzxded9vfx" timestamp="1619002745"&gt;494&lt;/key&gt;&lt;/foreign-keys&gt;&lt;ref-type name="Journal Article"&gt;17&lt;/ref-type&gt;&lt;contributors&gt;&lt;authors&gt;&lt;author&gt;Himmelhoch, Jonathan M&lt;/author&gt;&lt;author&gt;Thase, Michael E&lt;/author&gt;&lt;author&gt;Mallinger, Alan G&lt;/author&gt;&lt;author&gt;Houck, Patricia&lt;/author&gt;&lt;/authors&gt;&lt;/contributors&gt;&lt;titles&gt;&lt;title&gt;Tranylcypromine versus imipramine in anergic bipolar depression&lt;/title&gt;&lt;secondary-title&gt;The American journal of psychiatry&lt;/secondary-title&gt;&lt;/titles&gt;&lt;periodical&gt;&lt;full-title&gt;The American journal of psychiatry&lt;/full-title&gt;&lt;/periodical&gt;&lt;dates&gt;&lt;year&gt;1991&lt;/year&gt;&lt;/dates&gt;&lt;isbn&gt;1535-7228&lt;/isbn&gt;&lt;urls&gt;&lt;/urls&gt;&lt;/record&gt;&lt;/Cite&gt;&lt;/EndNote&gt;</w:instrText>
      </w:r>
      <w:r w:rsidR="00DD04E0">
        <w:rPr>
          <w:rFonts w:ascii="Lucida Sans" w:hAnsi="Lucida Sans" w:cs="Times New Roman"/>
          <w:sz w:val="18"/>
          <w:szCs w:val="18"/>
        </w:rPr>
        <w:fldChar w:fldCharType="separate"/>
      </w:r>
      <w:r w:rsidR="00271279">
        <w:rPr>
          <w:rFonts w:ascii="Lucida Sans" w:hAnsi="Lucida Sans" w:cs="Times New Roman"/>
          <w:noProof/>
          <w:sz w:val="18"/>
          <w:szCs w:val="18"/>
        </w:rPr>
        <w:t>[63]</w:t>
      </w:r>
      <w:r w:rsidR="00DD04E0">
        <w:rPr>
          <w:rFonts w:ascii="Lucida Sans" w:hAnsi="Lucida Sans" w:cs="Times New Roman"/>
          <w:sz w:val="18"/>
          <w:szCs w:val="18"/>
        </w:rPr>
        <w:fldChar w:fldCharType="end"/>
      </w:r>
      <w:r w:rsidR="00453C4B">
        <w:rPr>
          <w:rFonts w:ascii="Lucida Sans" w:hAnsi="Lucida Sans" w:cs="Times New Roman"/>
          <w:sz w:val="18"/>
          <w:szCs w:val="18"/>
        </w:rPr>
        <w:t xml:space="preserve">. </w:t>
      </w:r>
      <w:r w:rsidR="00BA26B8">
        <w:rPr>
          <w:rFonts w:ascii="Lucida Sans" w:hAnsi="Lucida Sans" w:cs="Times New Roman"/>
          <w:sz w:val="18"/>
          <w:szCs w:val="18"/>
        </w:rPr>
        <w:t xml:space="preserve">In a double-blind study comparing moclobemide versus imipramine, both treatments were associated with marked improvement of depressive symptoms in around 50-60% of the patients with bipolar disorder </w:t>
      </w:r>
      <w:r w:rsidR="00B36212">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&lt;EndNote&gt;&lt;Cite&gt;&lt;Author&gt;Baumhackl&lt;/Author&gt;&lt;Year&gt;1989&lt;/Year&gt;&lt;RecNum&gt;495&lt;/RecNum&gt;&lt;DisplayText&gt;[64]&lt;/DisplayText&gt;&lt;record&gt;&lt;rec-number&gt;495&lt;/rec-number&gt;&lt;foreign-keys&gt;&lt;key app="EN" db-id="2xwpd9xwpest5ue9rwa5etrr9fzzxded9vfx" timestamp="1619002852"&gt;495&lt;/key&gt;&lt;/foreign-keys&gt;&lt;ref-type name="Journal Article"&gt;17&lt;/ref-type&gt;&lt;contributors&gt;&lt;authors&gt;&lt;author&gt;Baumhackl, Ulf&lt;/author&gt;&lt;author&gt;Bizière, Kathleen&lt;/author&gt;&lt;author&gt;Fischbach, R&lt;/author&gt;&lt;author&gt;Geretsegger, CH&lt;/author&gt;&lt;author&gt;Hebenstreit, G&lt;/author&gt;&lt;author&gt;Radmayr, E&lt;/author&gt;&lt;author&gt;Stabl, M&lt;/author&gt;&lt;/authors&gt;&lt;/contributors&gt;&lt;titles&gt;&lt;title&gt;&lt;style face="normal" font="default" size="100%"&gt;Efficacy and Tolerability of Moclobemide Compared with Imipramine in Depressive Disorder (DSM-III): An Austrian Double-blind, Multicentre Study&lt;/style&gt;&lt;style face="normal" font="default" charset="1" size="100%"&gt;</w:instrText>
      </w:r>
      <w:r w:rsidR="00271279">
        <w:rPr>
          <w:rFonts w:ascii="Cambria Math" w:hAnsi="Cambria Math" w:cs="Cambria Math"/>
          <w:sz w:val="18"/>
          <w:szCs w:val="18"/>
        </w:rPr>
        <w:instrText>∗</w:instrText>
      </w:r>
      <w:r w:rsidR="00271279">
        <w:rPr>
          <w:rFonts w:ascii="Lucida Sans" w:hAnsi="Lucida Sans" w:cs="Times New Roman"/>
          <w:sz w:val="18"/>
          <w:szCs w:val="18"/>
        </w:rPr>
        <w:instrText>&lt;/style&gt;&lt;/title&gt;&lt;secondary-title&gt;The British Journal of Psychiatry&lt;/secondary-title&gt;&lt;/titles&gt;&lt;periodical&gt;&lt;full-title&gt;The British Journal of Psychiatry&lt;/full-title&gt;&lt;/periodical&gt;&lt;pages&gt;78-83&lt;/pages&gt;&lt;volume&gt;155&lt;/volume&gt;&lt;number&gt;S6&lt;/number&gt;&lt;dates&gt;&lt;year&gt;1989&lt;/year&gt;&lt;/dates&gt;&lt;isbn&gt;0007-1250&lt;/isbn&gt;&lt;urls&gt;&lt;/urls&gt;&lt;/record&gt;&lt;/Cite&gt;&lt;/EndNote&gt;</w:instrText>
      </w:r>
      <w:r w:rsidR="00B36212">
        <w:rPr>
          <w:rFonts w:ascii="Lucida Sans" w:hAnsi="Lucida Sans" w:cs="Times New Roman"/>
          <w:sz w:val="18"/>
          <w:szCs w:val="18"/>
        </w:rPr>
        <w:fldChar w:fldCharType="separate"/>
      </w:r>
      <w:r w:rsidR="00271279">
        <w:rPr>
          <w:rFonts w:ascii="Lucida Sans" w:hAnsi="Lucida Sans" w:cs="Times New Roman"/>
          <w:noProof/>
          <w:sz w:val="18"/>
          <w:szCs w:val="18"/>
        </w:rPr>
        <w:t>[64]</w:t>
      </w:r>
      <w:r w:rsidR="00B36212">
        <w:rPr>
          <w:rFonts w:ascii="Lucida Sans" w:hAnsi="Lucida Sans" w:cs="Times New Roman"/>
          <w:sz w:val="18"/>
          <w:szCs w:val="18"/>
        </w:rPr>
        <w:fldChar w:fldCharType="end"/>
      </w:r>
      <w:r w:rsidR="0027026F">
        <w:rPr>
          <w:rFonts w:ascii="Lucida Sans" w:hAnsi="Lucida Sans" w:cs="Times New Roman"/>
          <w:sz w:val="18"/>
          <w:szCs w:val="18"/>
        </w:rPr>
        <w:t xml:space="preserve"> </w:t>
      </w:r>
      <w:r w:rsidR="00E40457">
        <w:rPr>
          <w:rFonts w:ascii="Lucida Sans" w:hAnsi="Lucida Sans" w:cs="Times New Roman"/>
          <w:sz w:val="18"/>
          <w:szCs w:val="18"/>
        </w:rPr>
        <w:t xml:space="preserve">(based on </w:t>
      </w:r>
      <w:r w:rsidR="00BA26B8">
        <w:rPr>
          <w:rFonts w:ascii="Lucida Sans" w:hAnsi="Lucida Sans" w:cs="Times New Roman"/>
          <w:sz w:val="18"/>
          <w:szCs w:val="18"/>
        </w:rPr>
        <w:t xml:space="preserve">subgroup </w:t>
      </w:r>
      <w:r w:rsidR="00CA1A14">
        <w:rPr>
          <w:rFonts w:ascii="Lucida Sans" w:hAnsi="Lucida Sans" w:cs="Times New Roman"/>
          <w:sz w:val="18"/>
          <w:szCs w:val="18"/>
        </w:rPr>
        <w:t>analysis</w:t>
      </w:r>
      <w:r w:rsidR="00BA26B8">
        <w:rPr>
          <w:rFonts w:ascii="Lucida Sans" w:hAnsi="Lucida Sans" w:cs="Times New Roman"/>
          <w:sz w:val="18"/>
          <w:szCs w:val="18"/>
        </w:rPr>
        <w:t xml:space="preserve"> from a larger study of depressive disorders</w:t>
      </w:r>
      <w:r w:rsidR="00E40457">
        <w:rPr>
          <w:rFonts w:ascii="Lucida Sans" w:hAnsi="Lucida Sans" w:cs="Times New Roman"/>
          <w:sz w:val="18"/>
          <w:szCs w:val="18"/>
        </w:rPr>
        <w:t>)</w:t>
      </w:r>
      <w:r w:rsidR="00BA26B8">
        <w:rPr>
          <w:rFonts w:ascii="Lucida Sans" w:hAnsi="Lucida Sans" w:cs="Times New Roman"/>
          <w:sz w:val="18"/>
          <w:szCs w:val="18"/>
        </w:rPr>
        <w:t xml:space="preserve">. </w:t>
      </w:r>
      <w:r w:rsidR="00CA1A14">
        <w:rPr>
          <w:rFonts w:ascii="Lucida Sans" w:hAnsi="Lucida Sans" w:cs="Times New Roman"/>
          <w:sz w:val="18"/>
          <w:szCs w:val="18"/>
        </w:rPr>
        <w:t xml:space="preserve">Some caution is needed because manic switches may constitute a relatively uncommon event, and the sample sizes of patients with bipolar disorder </w:t>
      </w:r>
      <w:r w:rsidR="0027026F">
        <w:rPr>
          <w:rFonts w:ascii="Lucida Sans" w:hAnsi="Lucida Sans" w:cs="Times New Roman"/>
          <w:sz w:val="18"/>
          <w:szCs w:val="18"/>
        </w:rPr>
        <w:t xml:space="preserve">in these studies </w:t>
      </w:r>
      <w:r w:rsidR="00CA1A14">
        <w:rPr>
          <w:rFonts w:ascii="Lucida Sans" w:hAnsi="Lucida Sans" w:cs="Times New Roman"/>
          <w:sz w:val="18"/>
          <w:szCs w:val="18"/>
        </w:rPr>
        <w:t xml:space="preserve">were relatively small. </w:t>
      </w:r>
    </w:p>
    <w:p w14:paraId="55B47A62" w14:textId="1DC8BABA" w:rsidR="00DC7BDD" w:rsidRDefault="00DC7BDD">
      <w:pPr>
        <w:spacing w:line="360" w:lineRule="auto"/>
        <w:rPr>
          <w:rFonts w:ascii="Lucida Sans" w:hAnsi="Lucida Sans" w:cs="Times New Roman"/>
          <w:sz w:val="18"/>
          <w:szCs w:val="18"/>
        </w:rPr>
      </w:pPr>
    </w:p>
    <w:p w14:paraId="38B02EDD" w14:textId="77777777" w:rsidR="00DC7BDD" w:rsidRDefault="00DC7BDD">
      <w:pPr>
        <w:spacing w:line="360" w:lineRule="auto"/>
        <w:rPr>
          <w:rFonts w:ascii="Lucida Sans" w:hAnsi="Lucida Sans" w:cs="Times New Roman"/>
          <w:sz w:val="18"/>
          <w:szCs w:val="18"/>
        </w:rPr>
      </w:pPr>
    </w:p>
    <w:p w14:paraId="324EDE0E" w14:textId="77777777" w:rsidR="00FA2884" w:rsidRDefault="00FA2884">
      <w:pPr>
        <w:spacing w:line="360" w:lineRule="auto"/>
        <w:rPr>
          <w:rFonts w:ascii="Lucida Sans" w:hAnsi="Lucida Sans" w:cs="Times New Roman"/>
          <w:sz w:val="18"/>
          <w:szCs w:val="18"/>
        </w:rPr>
      </w:pPr>
    </w:p>
    <w:p w14:paraId="5F039692" w14:textId="77777777" w:rsidR="00C04E44" w:rsidRPr="006F0C0A" w:rsidRDefault="00C04E44" w:rsidP="006F0C0A">
      <w:pPr>
        <w:spacing w:line="360" w:lineRule="auto"/>
        <w:rPr>
          <w:rFonts w:ascii="Lucida Sans" w:hAnsi="Lucida Sans" w:cs="Times New Roman"/>
          <w:sz w:val="18"/>
          <w:szCs w:val="18"/>
        </w:rPr>
      </w:pPr>
    </w:p>
    <w:p w14:paraId="27B4379B" w14:textId="71E0D1CB" w:rsidR="009E2A8E" w:rsidRPr="00F94A14" w:rsidRDefault="009E2A8E" w:rsidP="00F94A14">
      <w:pPr>
        <w:pStyle w:val="ListParagraph"/>
        <w:numPr>
          <w:ilvl w:val="0"/>
          <w:numId w:val="3"/>
        </w:numPr>
        <w:spacing w:line="360" w:lineRule="auto"/>
        <w:rPr>
          <w:rFonts w:ascii="Lucida Sans" w:hAnsi="Lucida Sans" w:cs="Times New Roman"/>
          <w:b/>
          <w:sz w:val="18"/>
          <w:szCs w:val="18"/>
          <w:lang w:val="en-US"/>
        </w:rPr>
      </w:pPr>
      <w:r w:rsidRPr="00F94A14">
        <w:rPr>
          <w:rFonts w:ascii="Lucida Sans" w:hAnsi="Lucida Sans" w:cs="Times New Roman"/>
          <w:b/>
          <w:sz w:val="18"/>
          <w:szCs w:val="18"/>
          <w:lang w:val="en-US"/>
        </w:rPr>
        <w:t>General safety principles</w:t>
      </w:r>
    </w:p>
    <w:p w14:paraId="47C6039C" w14:textId="33856DE1" w:rsidR="009E2A8E" w:rsidRPr="006F0C0A" w:rsidRDefault="009E2A8E" w:rsidP="006F0C0A">
      <w:pPr>
        <w:spacing w:line="360" w:lineRule="auto"/>
        <w:rPr>
          <w:rFonts w:ascii="Lucida Sans" w:hAnsi="Lucida Sans" w:cs="Times New Roman"/>
          <w:sz w:val="18"/>
          <w:szCs w:val="18"/>
        </w:rPr>
      </w:pPr>
      <w:r w:rsidRPr="006F0C0A">
        <w:rPr>
          <w:rFonts w:ascii="Lucida Sans" w:hAnsi="Lucida Sans" w:cs="Times New Roman"/>
          <w:sz w:val="18"/>
          <w:szCs w:val="18"/>
          <w:lang w:val="en-US"/>
        </w:rPr>
        <w:t xml:space="preserve">As with prescribing any </w:t>
      </w:r>
      <w:r w:rsidR="00611827">
        <w:rPr>
          <w:rFonts w:ascii="Lucida Sans" w:hAnsi="Lucida Sans" w:cs="Times New Roman"/>
          <w:sz w:val="18"/>
          <w:szCs w:val="18"/>
          <w:lang w:val="en-US"/>
        </w:rPr>
        <w:t>psychotropic</w:t>
      </w:r>
      <w:r w:rsidRPr="006F0C0A">
        <w:rPr>
          <w:rFonts w:ascii="Lucida Sans" w:hAnsi="Lucida Sans" w:cs="Times New Roman"/>
          <w:sz w:val="18"/>
          <w:szCs w:val="18"/>
          <w:lang w:val="en-US"/>
        </w:rPr>
        <w:t xml:space="preserve"> medication, it is important to consider and discuss benefits and risks with the patient on an individual basis. </w:t>
      </w:r>
      <w:r w:rsidRPr="006F0C0A">
        <w:rPr>
          <w:rFonts w:ascii="Lucida Sans" w:hAnsi="Lucida Sans" w:cs="Times New Roman"/>
          <w:sz w:val="18"/>
          <w:szCs w:val="18"/>
        </w:rPr>
        <w:t xml:space="preserve">In a network meta-analysis, MAOIs did not differ significantly from SSRIs or </w:t>
      </w:r>
      <w:r w:rsidR="00374581">
        <w:rPr>
          <w:rFonts w:ascii="Lucida Sans" w:hAnsi="Lucida Sans" w:cs="Times New Roman"/>
          <w:sz w:val="18"/>
          <w:szCs w:val="18"/>
        </w:rPr>
        <w:t>SNRIs</w:t>
      </w:r>
      <w:r w:rsidRPr="006F0C0A">
        <w:rPr>
          <w:rFonts w:ascii="Lucida Sans" w:hAnsi="Lucida Sans" w:cs="Times New Roman"/>
          <w:sz w:val="18"/>
          <w:szCs w:val="18"/>
        </w:rPr>
        <w:t xml:space="preserve"> in how likely patients were to discontinue treatment due to adverse events</w:t>
      </w:r>
      <w:r w:rsidR="00216241" w:rsidRPr="006F0C0A">
        <w:rPr>
          <w:rFonts w:ascii="Lucida Sans" w:hAnsi="Lucida Sans" w:cs="Times New Roman"/>
          <w:sz w:val="18"/>
          <w:szCs w:val="18"/>
        </w:rPr>
        <w:t xml:space="preserve"> </w:t>
      </w:r>
      <w:r w:rsidR="00216241"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&lt;EndNote&gt;&lt;Cite&gt;&lt;Author&gt;Meister&lt;/Author&gt;&lt;Year&gt;2016&lt;/Year&gt;&lt;RecNum&gt;488&lt;/RecNum&gt;&lt;IDText&gt;Comparative safety of pharmacologic treatments for persistent depressive disorder: A systematic review and network meta-analysis&lt;/IDText&gt;&lt;DisplayText&gt;[15]&lt;/DisplayText&gt;&lt;record&gt;&lt;rec-number&gt;488&lt;/rec-number&gt;&lt;foreign-keys&gt;&lt;key app="EN" db-id="2xwpd9xwpest5ue9rwa5etrr9fzzxded9vfx" timestamp="1619000635"&gt;488&lt;/key&gt;&lt;/foreign-keys&gt;&lt;ref-type name="Journal Article"&gt;17&lt;/ref-type&gt;&lt;contributors&gt;&lt;authors&gt;&lt;author&gt;Meister, Ramona&lt;/author&gt;&lt;author&gt;von Wolff, Alessa&lt;/author&gt;&lt;author&gt;Mohr, Hannes&lt;/author&gt;&lt;author&gt;Härter, Martin&lt;/author&gt;&lt;author&gt;Nestoriuc, Yvonne&lt;/author&gt;&lt;author&gt;Hölzel, Lars&lt;/author&gt;&lt;author&gt;Kriston, Levente&lt;/author&gt;&lt;/authors&gt;&lt;/contributors&gt;&lt;titles&gt;&lt;title&gt;Comparative safety of pharmacologic treatments for persistent depressive disorder: A systematic review and network meta-analysis&lt;/title&gt;&lt;secondary-title&gt;PloS one&lt;/secondary-title&gt;&lt;/titles&gt;&lt;periodical&gt;&lt;full-title&gt;PloS one&lt;/full-title&gt;&lt;/periodical&gt;&lt;pages&gt;e0153380&lt;/pages&gt;&lt;volume&gt;11&lt;/volume&gt;&lt;number&gt;5&lt;/number&gt;&lt;dates&gt;&lt;year&gt;2016&lt;/year&gt;&lt;/dates&gt;&lt;isbn&gt;1932-6203&lt;/isbn&gt;&lt;urls&gt;&lt;/urls&gt;&lt;/record&gt;&lt;/Cite&gt;&lt;/EndNote&gt;</w:instrText>
      </w:r>
      <w:r w:rsidR="00216241" w:rsidRPr="006F0C0A">
        <w:rPr>
          <w:rFonts w:ascii="Lucida Sans" w:hAnsi="Lucida Sans" w:cs="Times New Roman"/>
          <w:sz w:val="18"/>
          <w:szCs w:val="18"/>
        </w:rPr>
        <w:fldChar w:fldCharType="separate"/>
      </w:r>
      <w:r w:rsidR="00271279">
        <w:rPr>
          <w:rFonts w:ascii="Lucida Sans" w:hAnsi="Lucida Sans" w:cs="Times New Roman"/>
          <w:noProof/>
          <w:sz w:val="18"/>
          <w:szCs w:val="18"/>
        </w:rPr>
        <w:t>[15]</w:t>
      </w:r>
      <w:r w:rsidR="00216241" w:rsidRPr="006F0C0A">
        <w:rPr>
          <w:rFonts w:ascii="Lucida Sans" w:hAnsi="Lucida Sans" w:cs="Times New Roman"/>
          <w:sz w:val="18"/>
          <w:szCs w:val="18"/>
        </w:rPr>
        <w:fldChar w:fldCharType="end"/>
      </w:r>
      <w:r w:rsidR="00216241" w:rsidRPr="006F0C0A">
        <w:rPr>
          <w:rFonts w:ascii="Lucida Sans" w:hAnsi="Lucida Sans" w:cs="Times New Roman"/>
          <w:sz w:val="18"/>
          <w:szCs w:val="18"/>
        </w:rPr>
        <w:t xml:space="preserve">. </w:t>
      </w:r>
      <w:r w:rsidRPr="006F0C0A">
        <w:rPr>
          <w:rFonts w:ascii="Lucida Sans" w:hAnsi="Lucida Sans" w:cs="Times New Roman"/>
          <w:sz w:val="18"/>
          <w:szCs w:val="18"/>
        </w:rPr>
        <w:t>Nonetheless, the differing classes of antidepressants vary in their characteristic side effect profiles. The most common adverse effects of MAOIs occurring early in treatment are orthostatic hypotension, daytime sleepiness, insomnia, and nausea; later common effects include weight gain, muscle pain, myoclonus, paraesthesia, and sexual dysfunction</w:t>
      </w:r>
      <w:r w:rsidR="00A31CCB" w:rsidRPr="006F0C0A">
        <w:rPr>
          <w:rFonts w:ascii="Lucida Sans" w:hAnsi="Lucida Sans" w:cs="Times New Roman"/>
          <w:sz w:val="18"/>
          <w:szCs w:val="18"/>
        </w:rPr>
        <w:t xml:space="preserve"> </w:t>
      </w:r>
      <w:r w:rsidR="00A31CCB"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&lt;EndNote&gt;&lt;Cite&gt;&lt;Author&gt;Fiedorowicz&lt;/Author&gt;&lt;Year&gt;2004&lt;/Year&gt;&lt;RecNum&gt;0&lt;/RecNum&gt;&lt;IDText&gt;The role of monoamine oxidase inhibitors in current psychiatric practice&lt;/IDText&gt;&lt;DisplayText&gt;[65]&lt;/DisplayText&gt;&lt;record&gt;&lt;dates&gt;&lt;pub-dates&gt;&lt;date&gt;Jul&lt;/date&gt;&lt;/pub-dates&gt;&lt;year&gt;2004&lt;/year&gt;&lt;/dates&gt;&lt;keywords&gt;&lt;keyword&gt;Depressive Disorder&lt;/keyword&gt;&lt;keyword&gt;Drug Interactions&lt;/keyword&gt;&lt;keyword&gt;Humans&lt;/keyword&gt;&lt;keyword&gt;Monoamine Oxidase Inhibitors&lt;/keyword&gt;&lt;keyword&gt;Practice Patterns, Physicians&amp;apos;&lt;/keyword&gt;&lt;keyword&gt;Treatment Outcome&lt;/keyword&gt;&lt;/keywords&gt;&lt;urls&gt;&lt;related-urls&gt;&lt;url&gt;https://www.ncbi.nlm.nih.gov/pubmed/15552546&lt;/url&gt;&lt;/related-urls&gt;&lt;/urls&gt;&lt;isbn&gt;1527-4160&lt;/isbn&gt;&lt;custom2&gt;PMC2075358&lt;/custom2&gt;&lt;titles&gt;&lt;title&gt;The role of monoamine oxidase inhibitors in current psychiatric practice&lt;/title&gt;&lt;secondary-title&gt;J Psychiatr Pract&lt;/secondary-title&gt;&lt;/titles&gt;&lt;pages&gt;239-48&lt;/pages&gt;&lt;number&gt;4&lt;/number&gt;&lt;contributors&gt;&lt;authors&gt;&lt;author&gt;Fiedorowicz, J. G.&lt;/author&gt;&lt;author&gt;Swartz, K. L.&lt;/author&gt;&lt;/authors&gt;&lt;/contributors&gt;&lt;language&gt;eng&lt;/language&gt;&lt;added-date format="utc"&gt;1600859328&lt;/added-date&gt;&lt;ref-type name="Journal Article"&gt;17&lt;/ref-type&gt;&lt;rec-number&gt;9975&lt;/rec-number&gt;&lt;last-updated-date format="utc"&gt;1600859328&lt;/last-updated-date&gt;&lt;accession-num&gt;15552546&lt;/accession-num&gt;&lt;electronic-resource-num&gt;10.1097/00131746-200407000-00005&lt;/electronic-resource-num&gt;&lt;volume&gt;10&lt;/volume&gt;&lt;/record&gt;&lt;/Cite&gt;&lt;/EndNote&gt;</w:instrText>
      </w:r>
      <w:r w:rsidR="00A31CCB" w:rsidRPr="006F0C0A">
        <w:rPr>
          <w:rFonts w:ascii="Lucida Sans" w:hAnsi="Lucida Sans" w:cs="Times New Roman"/>
          <w:sz w:val="18"/>
          <w:szCs w:val="18"/>
        </w:rPr>
        <w:fldChar w:fldCharType="separate"/>
      </w:r>
      <w:r w:rsidR="00271279">
        <w:rPr>
          <w:rFonts w:ascii="Lucida Sans" w:hAnsi="Lucida Sans" w:cs="Times New Roman"/>
          <w:noProof/>
          <w:sz w:val="18"/>
          <w:szCs w:val="18"/>
        </w:rPr>
        <w:t>[65]</w:t>
      </w:r>
      <w:r w:rsidR="00A31CCB" w:rsidRPr="006F0C0A">
        <w:rPr>
          <w:rFonts w:ascii="Lucida Sans" w:hAnsi="Lucida Sans" w:cs="Times New Roman"/>
          <w:sz w:val="18"/>
          <w:szCs w:val="18"/>
        </w:rPr>
        <w:fldChar w:fldCharType="end"/>
      </w:r>
      <w:r w:rsidRPr="006F0C0A">
        <w:rPr>
          <w:rFonts w:ascii="Lucida Sans" w:hAnsi="Lucida Sans" w:cs="Times New Roman"/>
          <w:sz w:val="18"/>
          <w:szCs w:val="18"/>
        </w:rPr>
        <w:t>. More serious adverse reactions include hypertensive crisis (see below), persistent hypotension</w:t>
      </w:r>
      <w:r w:rsidR="00611827">
        <w:rPr>
          <w:rFonts w:ascii="Lucida Sans" w:hAnsi="Lucida Sans" w:cs="Times New Roman"/>
          <w:sz w:val="18"/>
          <w:szCs w:val="18"/>
        </w:rPr>
        <w:t>,</w:t>
      </w:r>
      <w:r w:rsidRPr="006F0C0A">
        <w:rPr>
          <w:rFonts w:ascii="Lucida Sans" w:hAnsi="Lucida Sans" w:cs="Times New Roman"/>
          <w:sz w:val="18"/>
          <w:szCs w:val="18"/>
        </w:rPr>
        <w:t xml:space="preserve"> and </w:t>
      </w:r>
      <w:r w:rsidR="00611827">
        <w:rPr>
          <w:rFonts w:ascii="Lucida Sans" w:hAnsi="Lucida Sans" w:cs="Times New Roman"/>
          <w:sz w:val="18"/>
          <w:szCs w:val="18"/>
        </w:rPr>
        <w:t>‘</w:t>
      </w:r>
      <w:r w:rsidRPr="006F0C0A">
        <w:rPr>
          <w:rFonts w:ascii="Lucida Sans" w:hAnsi="Lucida Sans" w:cs="Times New Roman"/>
          <w:sz w:val="18"/>
          <w:szCs w:val="18"/>
        </w:rPr>
        <w:t>overstimulation</w:t>
      </w:r>
      <w:r w:rsidR="00611827">
        <w:rPr>
          <w:rFonts w:ascii="Lucida Sans" w:hAnsi="Lucida Sans" w:cs="Times New Roman"/>
          <w:sz w:val="18"/>
          <w:szCs w:val="18"/>
        </w:rPr>
        <w:t>’</w:t>
      </w:r>
      <w:r w:rsidRPr="006F0C0A">
        <w:rPr>
          <w:rFonts w:ascii="Lucida Sans" w:hAnsi="Lucida Sans" w:cs="Times New Roman"/>
          <w:sz w:val="18"/>
          <w:szCs w:val="18"/>
        </w:rPr>
        <w:t xml:space="preserve"> (</w:t>
      </w:r>
      <w:r w:rsidR="00611827">
        <w:rPr>
          <w:rFonts w:ascii="Lucida Sans" w:hAnsi="Lucida Sans" w:cs="Times New Roman"/>
          <w:sz w:val="18"/>
          <w:szCs w:val="18"/>
        </w:rPr>
        <w:t xml:space="preserve">i.e. </w:t>
      </w:r>
      <w:r w:rsidRPr="006F0C0A">
        <w:rPr>
          <w:rFonts w:ascii="Lucida Sans" w:hAnsi="Lucida Sans" w:cs="Times New Roman"/>
          <w:sz w:val="18"/>
          <w:szCs w:val="18"/>
        </w:rPr>
        <w:t xml:space="preserve">activation and </w:t>
      </w:r>
      <w:r w:rsidR="00611827">
        <w:rPr>
          <w:rFonts w:ascii="Lucida Sans" w:hAnsi="Lucida Sans" w:cs="Times New Roman"/>
          <w:sz w:val="18"/>
          <w:szCs w:val="18"/>
        </w:rPr>
        <w:t xml:space="preserve">increased </w:t>
      </w:r>
      <w:r w:rsidRPr="006F0C0A">
        <w:rPr>
          <w:rFonts w:ascii="Lucida Sans" w:hAnsi="Lucida Sans" w:cs="Times New Roman"/>
          <w:sz w:val="18"/>
          <w:szCs w:val="18"/>
        </w:rPr>
        <w:t xml:space="preserve">nervousness). Other important safety considerations include potential drug-drug interactions and the need for dietary restrictions. These </w:t>
      </w:r>
      <w:r w:rsidR="00CC51FF">
        <w:rPr>
          <w:rFonts w:ascii="Lucida Sans" w:hAnsi="Lucida Sans" w:cs="Times New Roman"/>
          <w:sz w:val="18"/>
          <w:szCs w:val="18"/>
        </w:rPr>
        <w:t xml:space="preserve">two topics </w:t>
      </w:r>
      <w:r w:rsidRPr="006F0C0A">
        <w:rPr>
          <w:rFonts w:ascii="Lucida Sans" w:hAnsi="Lucida Sans" w:cs="Times New Roman"/>
          <w:sz w:val="18"/>
          <w:szCs w:val="18"/>
        </w:rPr>
        <w:t xml:space="preserve">are considered </w:t>
      </w:r>
      <w:r w:rsidR="00CC51FF">
        <w:rPr>
          <w:rFonts w:ascii="Lucida Sans" w:hAnsi="Lucida Sans" w:cs="Times New Roman"/>
          <w:sz w:val="18"/>
          <w:szCs w:val="18"/>
        </w:rPr>
        <w:t xml:space="preserve">in further detail in sections 5 and 6. </w:t>
      </w:r>
    </w:p>
    <w:p w14:paraId="12854A65" w14:textId="77777777" w:rsidR="009E2A8E" w:rsidRPr="006F0C0A" w:rsidRDefault="009E2A8E" w:rsidP="006F0C0A">
      <w:pPr>
        <w:spacing w:line="360" w:lineRule="auto"/>
        <w:rPr>
          <w:rFonts w:ascii="Lucida Sans" w:hAnsi="Lucida Sans" w:cs="Times New Roman"/>
          <w:sz w:val="18"/>
          <w:szCs w:val="18"/>
        </w:rPr>
      </w:pPr>
    </w:p>
    <w:p w14:paraId="1E83CC8D" w14:textId="2AB8997E" w:rsidR="009E2A8E" w:rsidRPr="006F0C0A" w:rsidRDefault="009E2A8E" w:rsidP="006F0C0A">
      <w:pPr>
        <w:spacing w:line="360" w:lineRule="auto"/>
        <w:rPr>
          <w:rFonts w:ascii="Lucida Sans" w:hAnsi="Lucida Sans" w:cs="Times New Roman"/>
          <w:sz w:val="18"/>
          <w:szCs w:val="18"/>
        </w:rPr>
      </w:pPr>
      <w:r w:rsidRPr="006F0C0A">
        <w:rPr>
          <w:rFonts w:ascii="Lucida Sans" w:hAnsi="Lucida Sans" w:cs="Times New Roman"/>
          <w:sz w:val="18"/>
          <w:szCs w:val="18"/>
        </w:rPr>
        <w:t xml:space="preserve">Prior to </w:t>
      </w:r>
      <w:r w:rsidR="00335CAA">
        <w:rPr>
          <w:rFonts w:ascii="Lucida Sans" w:hAnsi="Lucida Sans" w:cs="Times New Roman"/>
          <w:sz w:val="18"/>
          <w:szCs w:val="18"/>
        </w:rPr>
        <w:t>prescribing</w:t>
      </w:r>
      <w:r w:rsidRPr="006F0C0A">
        <w:rPr>
          <w:rFonts w:ascii="Lucida Sans" w:hAnsi="Lucida Sans" w:cs="Times New Roman"/>
          <w:sz w:val="18"/>
          <w:szCs w:val="18"/>
        </w:rPr>
        <w:t xml:space="preserve"> MAOIs, there should be thoughtful consideration of a patient's </w:t>
      </w:r>
      <w:r w:rsidR="00611827">
        <w:rPr>
          <w:rFonts w:ascii="Lucida Sans" w:hAnsi="Lucida Sans" w:cs="Times New Roman"/>
          <w:sz w:val="18"/>
          <w:szCs w:val="18"/>
        </w:rPr>
        <w:t>willingness</w:t>
      </w:r>
      <w:r w:rsidR="005B4760">
        <w:rPr>
          <w:rFonts w:ascii="Lucida Sans" w:hAnsi="Lucida Sans" w:cs="Times New Roman"/>
          <w:sz w:val="18"/>
          <w:szCs w:val="18"/>
        </w:rPr>
        <w:t xml:space="preserve"> and ability</w:t>
      </w:r>
      <w:r w:rsidRPr="006F0C0A">
        <w:rPr>
          <w:rFonts w:ascii="Lucida Sans" w:hAnsi="Lucida Sans" w:cs="Times New Roman"/>
          <w:sz w:val="18"/>
          <w:szCs w:val="18"/>
        </w:rPr>
        <w:t xml:space="preserve"> to adhere to the necessary restrictions. For safety reasons, MAOIs should not generally be prescribed in people with a history of substance use disorders, over-use of prescribed medications, or overdoses</w:t>
      </w:r>
      <w:r w:rsidR="003F3CC9">
        <w:rPr>
          <w:rFonts w:ascii="Lucida Sans" w:hAnsi="Lucida Sans" w:cs="Times New Roman"/>
          <w:sz w:val="18"/>
          <w:szCs w:val="18"/>
        </w:rPr>
        <w:t>:</w:t>
      </w:r>
      <w:r w:rsidR="003F3CC9" w:rsidRPr="006F0C0A">
        <w:rPr>
          <w:rFonts w:ascii="Lucida Sans" w:hAnsi="Lucida Sans" w:cs="Times New Roman"/>
          <w:sz w:val="18"/>
          <w:szCs w:val="18"/>
        </w:rPr>
        <w:t xml:space="preserve"> </w:t>
      </w:r>
      <w:r w:rsidR="003F3CC9">
        <w:rPr>
          <w:rFonts w:ascii="Lucida Sans" w:hAnsi="Lucida Sans" w:cs="Times New Roman"/>
          <w:sz w:val="18"/>
          <w:szCs w:val="18"/>
        </w:rPr>
        <w:t xml:space="preserve">or who have marked impulsivity or hostility, or difficulty in understanding written information. </w:t>
      </w:r>
      <w:r w:rsidRPr="006F0C0A">
        <w:rPr>
          <w:rFonts w:ascii="Lucida Sans" w:hAnsi="Lucida Sans" w:cs="Times New Roman"/>
          <w:sz w:val="18"/>
          <w:szCs w:val="18"/>
        </w:rPr>
        <w:t xml:space="preserve">Other contraindications to MAOIs include cerebrovascular disease, history of recurrent or frequent headaches, </w:t>
      </w:r>
      <w:r w:rsidR="00611827">
        <w:rPr>
          <w:rFonts w:ascii="Lucida Sans" w:hAnsi="Lucida Sans" w:cs="Times New Roman"/>
          <w:sz w:val="18"/>
          <w:szCs w:val="18"/>
        </w:rPr>
        <w:t xml:space="preserve">hepatic disease or </w:t>
      </w:r>
      <w:r w:rsidRPr="006F0C0A">
        <w:rPr>
          <w:rFonts w:ascii="Lucida Sans" w:hAnsi="Lucida Sans" w:cs="Times New Roman"/>
          <w:sz w:val="18"/>
          <w:szCs w:val="18"/>
        </w:rPr>
        <w:t xml:space="preserve">dysfunction, blood dyscrasias, and phaeochromocytoma.  </w:t>
      </w:r>
    </w:p>
    <w:p w14:paraId="414AF81E" w14:textId="77777777" w:rsidR="009E2A8E" w:rsidRPr="006F0C0A" w:rsidRDefault="009E2A8E" w:rsidP="006F0C0A">
      <w:pPr>
        <w:spacing w:line="360" w:lineRule="auto"/>
        <w:rPr>
          <w:rFonts w:ascii="Lucida Sans" w:hAnsi="Lucida Sans" w:cs="Times New Roman"/>
          <w:sz w:val="18"/>
          <w:szCs w:val="18"/>
        </w:rPr>
      </w:pPr>
    </w:p>
    <w:p w14:paraId="741D67E5" w14:textId="77777777" w:rsidR="009E2A8E" w:rsidRPr="006F0C0A" w:rsidRDefault="009E2A8E" w:rsidP="006F0C0A">
      <w:pPr>
        <w:spacing w:line="360" w:lineRule="auto"/>
        <w:rPr>
          <w:rFonts w:ascii="Lucida Sans" w:hAnsi="Lucida Sans" w:cs="Times New Roman"/>
          <w:sz w:val="18"/>
          <w:szCs w:val="18"/>
        </w:rPr>
      </w:pPr>
      <w:r w:rsidRPr="006F0C0A">
        <w:rPr>
          <w:rFonts w:ascii="Lucida Sans" w:hAnsi="Lucida Sans" w:cs="Times New Roman"/>
          <w:sz w:val="18"/>
          <w:szCs w:val="18"/>
        </w:rPr>
        <w:t>MAOIs are not generally recommended for use in pregnant or breast-feeding patients, due to the lack of adequate safety data: more safety data are available for some other classes of antidepressant</w:t>
      </w:r>
      <w:r w:rsidR="00CF0A2A">
        <w:rPr>
          <w:rFonts w:ascii="Lucida Sans" w:hAnsi="Lucida Sans" w:cs="Times New Roman"/>
          <w:sz w:val="18"/>
          <w:szCs w:val="18"/>
        </w:rPr>
        <w:t xml:space="preserve"> medication</w:t>
      </w:r>
      <w:r w:rsidRPr="006F0C0A">
        <w:rPr>
          <w:rFonts w:ascii="Lucida Sans" w:hAnsi="Lucida Sans" w:cs="Times New Roman"/>
          <w:sz w:val="18"/>
          <w:szCs w:val="18"/>
        </w:rPr>
        <w:t xml:space="preserve">. Nonetheless, there may be some patients for whom the benefits of continuing a MAOI in pregnancy and/or lactation, with close monitoring (including of blood pressure) might outweigh the risks of continued treatment. Specialist advice is particularly needed in this situation. </w:t>
      </w:r>
    </w:p>
    <w:p w14:paraId="2727A398" w14:textId="77777777" w:rsidR="00FE1F44" w:rsidRPr="006F0C0A" w:rsidRDefault="00FE1F44" w:rsidP="006F0C0A">
      <w:pPr>
        <w:spacing w:line="360" w:lineRule="auto"/>
        <w:rPr>
          <w:rFonts w:ascii="Lucida Sans" w:hAnsi="Lucida Sans" w:cs="Times New Roman"/>
          <w:sz w:val="18"/>
          <w:szCs w:val="18"/>
        </w:rPr>
      </w:pPr>
    </w:p>
    <w:p w14:paraId="36BBCB2C" w14:textId="03A8767D" w:rsidR="000F5335" w:rsidRDefault="00FE1F44" w:rsidP="006F0C0A">
      <w:pPr>
        <w:spacing w:line="360" w:lineRule="auto"/>
        <w:rPr>
          <w:rFonts w:ascii="Lucida Sans" w:hAnsi="Lucida Sans" w:cs="Times New Roman"/>
          <w:sz w:val="18"/>
          <w:szCs w:val="18"/>
        </w:rPr>
      </w:pPr>
      <w:r w:rsidRPr="006F0C0A">
        <w:rPr>
          <w:rFonts w:ascii="Lucida Sans" w:hAnsi="Lucida Sans" w:cs="Times New Roman"/>
          <w:sz w:val="18"/>
          <w:szCs w:val="18"/>
        </w:rPr>
        <w:t xml:space="preserve">Two </w:t>
      </w:r>
      <w:r w:rsidR="00966B4A" w:rsidRPr="006F0C0A">
        <w:rPr>
          <w:rFonts w:ascii="Lucida Sans" w:hAnsi="Lucida Sans" w:cs="Times New Roman"/>
          <w:sz w:val="18"/>
          <w:szCs w:val="18"/>
        </w:rPr>
        <w:t>distinct important</w:t>
      </w:r>
      <w:r w:rsidRPr="006F0C0A">
        <w:rPr>
          <w:rFonts w:ascii="Lucida Sans" w:hAnsi="Lucida Sans" w:cs="Times New Roman"/>
          <w:sz w:val="18"/>
          <w:szCs w:val="18"/>
        </w:rPr>
        <w:t xml:space="preserve"> safety issues when considering prescribing MAOIs are </w:t>
      </w:r>
      <w:r w:rsidRPr="00E373EC">
        <w:rPr>
          <w:rFonts w:ascii="Lucida Sans" w:hAnsi="Lucida Sans" w:cs="Times New Roman"/>
          <w:sz w:val="18"/>
          <w:szCs w:val="18"/>
        </w:rPr>
        <w:t>serotonin syndrome</w:t>
      </w:r>
      <w:r w:rsidRPr="006F0C0A">
        <w:rPr>
          <w:rFonts w:ascii="Lucida Sans" w:hAnsi="Lucida Sans" w:cs="Times New Roman"/>
          <w:sz w:val="18"/>
          <w:szCs w:val="18"/>
        </w:rPr>
        <w:t xml:space="preserve"> and </w:t>
      </w:r>
      <w:r w:rsidRPr="00E373EC">
        <w:rPr>
          <w:rFonts w:ascii="Lucida Sans" w:hAnsi="Lucida Sans" w:cs="Times New Roman"/>
          <w:sz w:val="18"/>
          <w:szCs w:val="18"/>
        </w:rPr>
        <w:t>hypertensive effects</w:t>
      </w:r>
      <w:r w:rsidR="0040057D" w:rsidRPr="00E373EC">
        <w:rPr>
          <w:rFonts w:ascii="Lucida Sans" w:hAnsi="Lucida Sans" w:cs="Times New Roman"/>
          <w:sz w:val="18"/>
          <w:szCs w:val="18"/>
        </w:rPr>
        <w:t xml:space="preserve"> (including rare cases of hypertensive crisis)</w:t>
      </w:r>
      <w:r w:rsidR="0040057D" w:rsidRPr="006F0C0A">
        <w:rPr>
          <w:rFonts w:ascii="Lucida Sans" w:hAnsi="Lucida Sans" w:cs="Times New Roman"/>
          <w:sz w:val="18"/>
          <w:szCs w:val="18"/>
        </w:rPr>
        <w:t xml:space="preserve"> (</w:t>
      </w:r>
      <w:r w:rsidR="0040057D" w:rsidRPr="006F0C0A">
        <w:rPr>
          <w:rFonts w:ascii="Lucida Sans" w:hAnsi="Lucida Sans" w:cs="Times New Roman"/>
          <w:b/>
          <w:sz w:val="18"/>
          <w:szCs w:val="18"/>
        </w:rPr>
        <w:t xml:space="preserve">Table </w:t>
      </w:r>
      <w:r w:rsidR="00FE5372">
        <w:rPr>
          <w:rFonts w:ascii="Lucida Sans" w:hAnsi="Lucida Sans" w:cs="Times New Roman"/>
          <w:b/>
          <w:sz w:val="18"/>
          <w:szCs w:val="18"/>
        </w:rPr>
        <w:t>1</w:t>
      </w:r>
      <w:r w:rsidR="0040057D" w:rsidRPr="006F0C0A">
        <w:rPr>
          <w:rFonts w:ascii="Lucida Sans" w:hAnsi="Lucida Sans" w:cs="Times New Roman"/>
          <w:sz w:val="18"/>
          <w:szCs w:val="18"/>
        </w:rPr>
        <w:t xml:space="preserve">). </w:t>
      </w:r>
      <w:r w:rsidRPr="006F0C0A">
        <w:rPr>
          <w:rFonts w:ascii="Lucida Sans" w:hAnsi="Lucida Sans" w:cs="Times New Roman"/>
          <w:sz w:val="18"/>
          <w:szCs w:val="18"/>
        </w:rPr>
        <w:t>Serotonin syndrome is characterised by a combination of autonomic hyperactivity, neuromuscular hyperactivity, and/or mental state changes</w:t>
      </w:r>
      <w:r w:rsidR="00A31CCB" w:rsidRPr="006F0C0A">
        <w:rPr>
          <w:rFonts w:ascii="Lucida Sans" w:hAnsi="Lucida Sans" w:cs="Times New Roman"/>
          <w:sz w:val="18"/>
          <w:szCs w:val="18"/>
        </w:rPr>
        <w:t xml:space="preserve"> </w:t>
      </w:r>
      <w:r w:rsidR="003F3CC9"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&lt;EndNote&gt;&lt;Cite&gt;&lt;Author&gt;Volpi-Abadie&lt;/Author&gt;&lt;Year&gt;2013&lt;/Year&gt;&lt;RecNum&gt;0&lt;/RecNum&gt;&lt;IDText&gt;Serotonin syndrome&lt;/IDText&gt;&lt;DisplayText&gt;[66]&lt;/DisplayText&gt;&lt;record&gt;&lt;keywords&gt;&lt;keyword&gt;Drug toxicity&lt;/keyword&gt;&lt;keyword&gt;serotonin syndrome&lt;/keyword&gt;&lt;/keywords&gt;&lt;urls&gt;&lt;related-urls&gt;&lt;url&gt;https://www.ncbi.nlm.nih.gov/pubmed/24358002&lt;/url&gt;&lt;/related-urls&gt;&lt;/urls&gt;&lt;isbn&gt;1524-5012&lt;/isbn&gt;&lt;custom2&gt;PMC3865832&lt;/custom2&gt;&lt;titles&gt;&lt;title&gt;Serotonin syndrome&lt;/title&gt;&lt;secondary-title&gt;Ochsner J&lt;/secondary-title&gt;&lt;/titles&gt;&lt;pages&gt;533-40&lt;/pages&gt;&lt;number&gt;4&lt;/number&gt;&lt;contributors&gt;&lt;authors&gt;&lt;author&gt;Volpi-Abadie, J.&lt;/author&gt;&lt;author&gt;Kaye, A. M.&lt;/author&gt;&lt;author&gt;Kaye, A. D.&lt;/author&gt;&lt;/authors&gt;&lt;/contributors&gt;&lt;language&gt;eng&lt;/language&gt;&lt;added-date format="utc"&gt;1600859475&lt;/added-date&gt;&lt;ref-type name="Journal Article"&gt;17&lt;/ref-type&gt;&lt;dates&gt;&lt;year&gt;2013&lt;/year&gt;&lt;/dates&gt;&lt;rec-number&gt;9977&lt;/rec-number&gt;&lt;last-updated-date format="utc"&gt;1600859475&lt;/last-updated-date&gt;&lt;accession-num&gt;24358002&lt;/accession-num&gt;&lt;volume&gt;13&lt;/volume&gt;&lt;/record&gt;&lt;/Cite&gt;&lt;/EndNote&gt;</w:instrText>
      </w:r>
      <w:r w:rsidR="003F3CC9" w:rsidRPr="006F0C0A">
        <w:rPr>
          <w:rFonts w:ascii="Lucida Sans" w:hAnsi="Lucida Sans" w:cs="Times New Roman"/>
          <w:sz w:val="18"/>
          <w:szCs w:val="18"/>
        </w:rPr>
        <w:fldChar w:fldCharType="separate"/>
      </w:r>
      <w:r w:rsidR="00271279">
        <w:rPr>
          <w:rFonts w:ascii="Lucida Sans" w:hAnsi="Lucida Sans" w:cs="Times New Roman"/>
          <w:noProof/>
          <w:sz w:val="18"/>
          <w:szCs w:val="18"/>
        </w:rPr>
        <w:t>[66]</w:t>
      </w:r>
      <w:r w:rsidR="003F3CC9" w:rsidRPr="006F0C0A">
        <w:rPr>
          <w:rFonts w:ascii="Lucida Sans" w:hAnsi="Lucida Sans" w:cs="Times New Roman"/>
          <w:sz w:val="18"/>
          <w:szCs w:val="18"/>
        </w:rPr>
        <w:fldChar w:fldCharType="end"/>
      </w:r>
      <w:r w:rsidR="003F3CC9">
        <w:rPr>
          <w:rFonts w:ascii="Lucida Sans" w:hAnsi="Lucida Sans" w:cs="Times New Roman"/>
          <w:sz w:val="18"/>
          <w:szCs w:val="18"/>
        </w:rPr>
        <w:t>:</w:t>
      </w:r>
      <w:r w:rsidR="003F3CC9" w:rsidRPr="006F0C0A">
        <w:rPr>
          <w:rFonts w:ascii="Lucida Sans" w:hAnsi="Lucida Sans" w:cs="Times New Roman"/>
          <w:sz w:val="18"/>
          <w:szCs w:val="18"/>
        </w:rPr>
        <w:t xml:space="preserve"> </w:t>
      </w:r>
      <w:r w:rsidR="003F3CC9">
        <w:rPr>
          <w:rFonts w:ascii="Lucida Sans" w:hAnsi="Lucida Sans" w:cs="Times New Roman"/>
          <w:sz w:val="18"/>
          <w:szCs w:val="18"/>
        </w:rPr>
        <w:t>it</w:t>
      </w:r>
      <w:r w:rsidR="003F3CC9" w:rsidRPr="006F0C0A">
        <w:rPr>
          <w:rFonts w:ascii="Lucida Sans" w:hAnsi="Lucida Sans" w:cs="Times New Roman"/>
          <w:sz w:val="18"/>
          <w:szCs w:val="18"/>
        </w:rPr>
        <w:t xml:space="preserve"> </w:t>
      </w:r>
      <w:r w:rsidRPr="006F0C0A">
        <w:rPr>
          <w:rFonts w:ascii="Lucida Sans" w:hAnsi="Lucida Sans" w:cs="Times New Roman"/>
          <w:sz w:val="18"/>
          <w:szCs w:val="18"/>
        </w:rPr>
        <w:t xml:space="preserve">can occur when MAOIs are inappropriately combined with other medications or substances </w:t>
      </w:r>
      <w:r w:rsidRPr="00727DEE">
        <w:rPr>
          <w:rFonts w:ascii="Lucida Sans" w:hAnsi="Lucida Sans" w:cs="Times New Roman"/>
          <w:sz w:val="18"/>
          <w:szCs w:val="18"/>
        </w:rPr>
        <w:t xml:space="preserve">that have overlapping effects on activating the serotonin neurochemical system. </w:t>
      </w:r>
      <w:r w:rsidR="003F3CC9" w:rsidRPr="00727DEE">
        <w:rPr>
          <w:rFonts w:ascii="Lucida Sans" w:hAnsi="Lucida Sans" w:cs="Times New Roman"/>
          <w:sz w:val="18"/>
          <w:szCs w:val="18"/>
        </w:rPr>
        <w:t xml:space="preserve">Should it occur, </w:t>
      </w:r>
      <w:r w:rsidR="00FF3BEC" w:rsidRPr="00727DEE">
        <w:rPr>
          <w:rFonts w:ascii="Lucida Sans" w:hAnsi="Lucida Sans" w:cs="Times New Roman"/>
          <w:sz w:val="18"/>
          <w:szCs w:val="18"/>
        </w:rPr>
        <w:t xml:space="preserve">initial </w:t>
      </w:r>
      <w:r w:rsidR="003F3CC9" w:rsidRPr="00727DEE">
        <w:rPr>
          <w:rFonts w:ascii="Lucida Sans" w:hAnsi="Lucida Sans" w:cs="Times New Roman"/>
          <w:sz w:val="18"/>
          <w:szCs w:val="18"/>
        </w:rPr>
        <w:t>supportive measures (cooling</w:t>
      </w:r>
      <w:r w:rsidR="00FF3BEC" w:rsidRPr="00727DEE">
        <w:rPr>
          <w:rFonts w:ascii="Lucida Sans" w:hAnsi="Lucida Sans" w:cs="Times New Roman"/>
          <w:sz w:val="18"/>
          <w:szCs w:val="18"/>
        </w:rPr>
        <w:t>, administration of a benzodiazepine</w:t>
      </w:r>
      <w:r w:rsidR="003F3CC9" w:rsidRPr="00727DEE">
        <w:rPr>
          <w:rFonts w:ascii="Lucida Sans" w:hAnsi="Lucida Sans" w:cs="Times New Roman"/>
          <w:sz w:val="18"/>
          <w:szCs w:val="18"/>
        </w:rPr>
        <w:t xml:space="preserve">) may need to be </w:t>
      </w:r>
      <w:r w:rsidR="00FF3BEC" w:rsidRPr="00727DEE">
        <w:rPr>
          <w:rFonts w:ascii="Lucida Sans" w:hAnsi="Lucida Sans" w:cs="Times New Roman"/>
          <w:sz w:val="18"/>
          <w:szCs w:val="18"/>
        </w:rPr>
        <w:t>followed by hospital admission,</w:t>
      </w:r>
      <w:r w:rsidR="00551623" w:rsidRPr="00727DEE">
        <w:rPr>
          <w:rFonts w:ascii="Lucida Sans" w:hAnsi="Lucida Sans" w:cs="Times New Roman"/>
          <w:sz w:val="18"/>
          <w:szCs w:val="18"/>
        </w:rPr>
        <w:t xml:space="preserve"> intravenous (</w:t>
      </w:r>
      <w:r w:rsidR="00FF3BEC" w:rsidRPr="00727DEE">
        <w:rPr>
          <w:rFonts w:ascii="Lucida Sans" w:hAnsi="Lucida Sans" w:cs="Times New Roman"/>
          <w:sz w:val="18"/>
          <w:szCs w:val="18"/>
        </w:rPr>
        <w:t>IV</w:t>
      </w:r>
      <w:r w:rsidR="00551623" w:rsidRPr="00727DEE">
        <w:rPr>
          <w:rFonts w:ascii="Lucida Sans" w:hAnsi="Lucida Sans" w:cs="Times New Roman"/>
          <w:sz w:val="18"/>
          <w:szCs w:val="18"/>
        </w:rPr>
        <w:t>)</w:t>
      </w:r>
      <w:r w:rsidR="00FF3BEC" w:rsidRPr="00727DEE">
        <w:rPr>
          <w:rFonts w:ascii="Lucida Sans" w:hAnsi="Lucida Sans" w:cs="Times New Roman"/>
          <w:sz w:val="18"/>
          <w:szCs w:val="18"/>
        </w:rPr>
        <w:t xml:space="preserve"> fluids and</w:t>
      </w:r>
      <w:r w:rsidR="003F3CC9" w:rsidRPr="00727DEE">
        <w:rPr>
          <w:rFonts w:ascii="Lucida Sans" w:hAnsi="Lucida Sans" w:cs="Times New Roman"/>
          <w:sz w:val="18"/>
          <w:szCs w:val="18"/>
        </w:rPr>
        <w:t xml:space="preserve"> administration of </w:t>
      </w:r>
      <w:r w:rsidR="00FF3BEC" w:rsidRPr="00727DEE">
        <w:rPr>
          <w:rFonts w:ascii="Lucida Sans" w:hAnsi="Lucida Sans" w:cs="Times New Roman"/>
          <w:sz w:val="18"/>
          <w:szCs w:val="18"/>
        </w:rPr>
        <w:t xml:space="preserve">the </w:t>
      </w:r>
      <w:r w:rsidR="00464B41" w:rsidRPr="00727DEE">
        <w:rPr>
          <w:rFonts w:ascii="Lucida Sans" w:hAnsi="Lucida Sans" w:cs="Times New Roman"/>
          <w:sz w:val="18"/>
          <w:szCs w:val="18"/>
        </w:rPr>
        <w:t xml:space="preserve">potent </w:t>
      </w:r>
      <w:r w:rsidR="00FF3BEC" w:rsidRPr="00727DEE">
        <w:rPr>
          <w:rFonts w:ascii="Lucida Sans" w:hAnsi="Lucida Sans" w:cs="Times New Roman"/>
          <w:sz w:val="18"/>
          <w:szCs w:val="18"/>
        </w:rPr>
        <w:t>5-HT</w:t>
      </w:r>
      <w:r w:rsidR="00FF3BEC" w:rsidRPr="009A7D3F">
        <w:rPr>
          <w:rFonts w:ascii="Lucida Sans" w:hAnsi="Lucida Sans" w:cs="Times New Roman"/>
          <w:sz w:val="18"/>
          <w:szCs w:val="18"/>
          <w:vertAlign w:val="subscript"/>
        </w:rPr>
        <w:t>2</w:t>
      </w:r>
      <w:r w:rsidR="00FF3BEC" w:rsidRPr="00727DEE">
        <w:rPr>
          <w:rFonts w:ascii="Lucida Sans" w:hAnsi="Lucida Sans" w:cs="Times New Roman"/>
          <w:sz w:val="18"/>
          <w:szCs w:val="18"/>
        </w:rPr>
        <w:t xml:space="preserve"> antagonist </w:t>
      </w:r>
      <w:r w:rsidR="003F3CC9" w:rsidRPr="00727DEE">
        <w:rPr>
          <w:rFonts w:ascii="Lucida Sans" w:hAnsi="Lucida Sans" w:cs="Times New Roman"/>
          <w:sz w:val="18"/>
          <w:szCs w:val="18"/>
        </w:rPr>
        <w:t>cyproheptadine</w:t>
      </w:r>
      <w:r w:rsidR="00B36212" w:rsidRPr="00727DEE">
        <w:rPr>
          <w:rFonts w:ascii="Lucida Sans" w:hAnsi="Lucida Sans" w:cs="Times New Roman"/>
          <w:sz w:val="18"/>
          <w:szCs w:val="18"/>
        </w:rPr>
        <w:t xml:space="preserve">  </w:t>
      </w:r>
      <w:r w:rsidR="00B36212"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&lt;EndNote&gt;&lt;Cite&gt;&lt;Author&gt;Ables&lt;/Author&gt;&lt;Year&gt;2010&lt;/Year&gt;&lt;RecNum&gt;496&lt;/RecNum&gt;&lt;DisplayText&gt;[67]&lt;/DisplayText&gt;&lt;record&gt;&lt;rec-number&gt;496&lt;/rec-number&gt;&lt;foreign-keys&gt;&lt;key app="EN" db-id="2xwpd9xwpest5ue9rwa5etrr9fzzxded9vfx" timestamp="1619003240"&gt;496&lt;/key&gt;&lt;/foreign-keys&gt;&lt;ref-type name="Journal Article"&gt;17&lt;/ref-type&gt;&lt;contributors&gt;&lt;authors&gt;&lt;author&gt;Ables, Adrienne Z&lt;/author&gt;&lt;author&gt;Nagubilli, Raju&lt;/author&gt;&lt;/authors&gt;&lt;/contributors&gt;&lt;titles&gt;&lt;title&gt;Prevention, recognition, and management of serotonin syndrome&lt;/title&gt;&lt;secondary-title&gt;American family physician&lt;/secondary-title&gt;&lt;/titles&gt;&lt;periodical&gt;&lt;full-title&gt;American family physician&lt;/full-title&gt;&lt;/periodical&gt;&lt;pages&gt;1139-1142&lt;/pages&gt;&lt;volume&gt;81&lt;/volume&gt;&lt;number&gt;9&lt;/number&gt;&lt;dates&gt;&lt;year&gt;2010&lt;/year&gt;&lt;/dates&gt;&lt;isbn&gt;0002-838X&lt;/isbn&gt;&lt;urls&gt;&lt;/urls&gt;&lt;/record&gt;&lt;/Cite&gt;&lt;/EndNote&gt;</w:instrText>
      </w:r>
      <w:r w:rsidR="00B36212" w:rsidRPr="00727DEE">
        <w:rPr>
          <w:rFonts w:ascii="Lucida Sans" w:hAnsi="Lucida Sans" w:cs="Times New Roman"/>
          <w:sz w:val="18"/>
          <w:szCs w:val="18"/>
        </w:rPr>
        <w:fldChar w:fldCharType="separate"/>
      </w:r>
      <w:r w:rsidR="00271279">
        <w:rPr>
          <w:rFonts w:ascii="Lucida Sans" w:hAnsi="Lucida Sans" w:cs="Times New Roman"/>
          <w:noProof/>
          <w:sz w:val="18"/>
          <w:szCs w:val="18"/>
        </w:rPr>
        <w:t>[67]</w:t>
      </w:r>
      <w:r w:rsidR="00B36212" w:rsidRPr="00727DEE">
        <w:rPr>
          <w:rFonts w:ascii="Lucida Sans" w:hAnsi="Lucida Sans" w:cs="Times New Roman"/>
          <w:sz w:val="18"/>
          <w:szCs w:val="18"/>
        </w:rPr>
        <w:fldChar w:fldCharType="end"/>
      </w:r>
      <w:r w:rsidR="003F3CC9" w:rsidRPr="00727DEE">
        <w:rPr>
          <w:rFonts w:ascii="Lucida Sans" w:hAnsi="Lucida Sans" w:cs="Times New Roman"/>
          <w:sz w:val="18"/>
          <w:szCs w:val="18"/>
        </w:rPr>
        <w:t xml:space="preserve">. </w:t>
      </w:r>
      <w:r w:rsidRPr="00727DEE">
        <w:rPr>
          <w:rFonts w:ascii="Lucida Sans" w:hAnsi="Lucida Sans" w:cs="Times New Roman"/>
          <w:sz w:val="18"/>
          <w:szCs w:val="18"/>
        </w:rPr>
        <w:t xml:space="preserve">Hypertensive effects range from </w:t>
      </w:r>
      <w:r w:rsidR="00D702EF" w:rsidRPr="00727DEE">
        <w:rPr>
          <w:rFonts w:ascii="Lucida Sans" w:hAnsi="Lucida Sans" w:cs="Times New Roman"/>
          <w:sz w:val="18"/>
          <w:szCs w:val="18"/>
        </w:rPr>
        <w:t>mild</w:t>
      </w:r>
      <w:r w:rsidRPr="00727DEE">
        <w:rPr>
          <w:rFonts w:ascii="Lucida Sans" w:hAnsi="Lucida Sans" w:cs="Times New Roman"/>
          <w:sz w:val="18"/>
          <w:szCs w:val="18"/>
        </w:rPr>
        <w:t xml:space="preserve"> </w:t>
      </w:r>
      <w:r w:rsidR="00D702EF" w:rsidRPr="00727DEE">
        <w:rPr>
          <w:rFonts w:ascii="Lucida Sans" w:hAnsi="Lucida Sans" w:cs="Times New Roman"/>
          <w:sz w:val="18"/>
          <w:szCs w:val="18"/>
        </w:rPr>
        <w:t xml:space="preserve">and </w:t>
      </w:r>
      <w:r w:rsidRPr="00727DEE">
        <w:rPr>
          <w:rFonts w:ascii="Lucida Sans" w:hAnsi="Lucida Sans" w:cs="Times New Roman"/>
          <w:sz w:val="18"/>
          <w:szCs w:val="18"/>
        </w:rPr>
        <w:t xml:space="preserve">asymptomatic elevation of blood pressure, to rare cases of hypertensive crises (which are </w:t>
      </w:r>
      <w:r w:rsidR="00995FD2" w:rsidRPr="00727DEE">
        <w:rPr>
          <w:rFonts w:ascii="Lucida Sans" w:hAnsi="Lucida Sans" w:cs="Times New Roman"/>
          <w:sz w:val="18"/>
          <w:szCs w:val="18"/>
        </w:rPr>
        <w:t xml:space="preserve">potentially </w:t>
      </w:r>
      <w:r w:rsidRPr="00727DEE">
        <w:rPr>
          <w:rFonts w:ascii="Lucida Sans" w:hAnsi="Lucida Sans" w:cs="Times New Roman"/>
          <w:sz w:val="18"/>
          <w:szCs w:val="18"/>
        </w:rPr>
        <w:t>life</w:t>
      </w:r>
      <w:r w:rsidR="00D702EF" w:rsidRPr="00727DEE">
        <w:rPr>
          <w:rFonts w:ascii="Lucida Sans" w:hAnsi="Lucida Sans" w:cs="Times New Roman"/>
          <w:sz w:val="18"/>
          <w:szCs w:val="18"/>
        </w:rPr>
        <w:t>-</w:t>
      </w:r>
      <w:r w:rsidRPr="00727DEE">
        <w:rPr>
          <w:rFonts w:ascii="Lucida Sans" w:hAnsi="Lucida Sans" w:cs="Times New Roman"/>
          <w:sz w:val="18"/>
          <w:szCs w:val="18"/>
        </w:rPr>
        <w:t>threatening</w:t>
      </w:r>
      <w:r w:rsidR="00FF3BEC" w:rsidRPr="00727DEE">
        <w:rPr>
          <w:rFonts w:ascii="Lucida Sans" w:hAnsi="Lucida Sans" w:cs="Times New Roman"/>
          <w:sz w:val="18"/>
          <w:szCs w:val="18"/>
        </w:rPr>
        <w:t>): they</w:t>
      </w:r>
      <w:r w:rsidRPr="00727DEE">
        <w:rPr>
          <w:rFonts w:ascii="Lucida Sans" w:hAnsi="Lucida Sans" w:cs="Times New Roman"/>
          <w:sz w:val="18"/>
          <w:szCs w:val="18"/>
        </w:rPr>
        <w:t xml:space="preserve"> can occur when MAOIs are inappropriately combined with other medications or substances that have overlapping effects on the nora</w:t>
      </w:r>
      <w:r w:rsidR="00966B4A" w:rsidRPr="00727DEE">
        <w:rPr>
          <w:rFonts w:ascii="Lucida Sans" w:hAnsi="Lucida Sans" w:cs="Times New Roman"/>
          <w:sz w:val="18"/>
          <w:szCs w:val="18"/>
        </w:rPr>
        <w:t>drenaline neurochemical system</w:t>
      </w:r>
      <w:r w:rsidR="00725C5F">
        <w:rPr>
          <w:rFonts w:ascii="Lucida Sans" w:hAnsi="Lucida Sans" w:cs="Times New Roman"/>
          <w:sz w:val="18"/>
          <w:szCs w:val="18"/>
        </w:rPr>
        <w:t>, although</w:t>
      </w:r>
      <w:r w:rsidR="006531B4" w:rsidRPr="00727DEE">
        <w:rPr>
          <w:rFonts w:ascii="Lucida Sans" w:hAnsi="Lucida Sans" w:cs="Times New Roman"/>
          <w:sz w:val="18"/>
          <w:szCs w:val="18"/>
        </w:rPr>
        <w:t xml:space="preserve"> </w:t>
      </w:r>
      <w:r w:rsidR="00725C5F">
        <w:rPr>
          <w:rFonts w:ascii="Lucida Sans" w:hAnsi="Lucida Sans" w:cs="Times New Roman"/>
          <w:sz w:val="18"/>
          <w:szCs w:val="18"/>
        </w:rPr>
        <w:t>they</w:t>
      </w:r>
      <w:r w:rsidR="00E40457" w:rsidRPr="00727DEE">
        <w:rPr>
          <w:rFonts w:ascii="Lucida Sans" w:hAnsi="Lucida Sans" w:cs="Times New Roman"/>
          <w:sz w:val="18"/>
          <w:szCs w:val="18"/>
        </w:rPr>
        <w:t xml:space="preserve"> can occur</w:t>
      </w:r>
      <w:r w:rsidR="006531B4" w:rsidRPr="00727DEE">
        <w:rPr>
          <w:rFonts w:ascii="Lucida Sans" w:hAnsi="Lucida Sans" w:cs="Times New Roman"/>
          <w:sz w:val="18"/>
          <w:szCs w:val="18"/>
        </w:rPr>
        <w:t xml:space="preserve"> spontaneously</w:t>
      </w:r>
      <w:r w:rsidR="00E40457" w:rsidRPr="00727DEE">
        <w:rPr>
          <w:rFonts w:ascii="Lucida Sans" w:hAnsi="Lucida Sans" w:cs="Times New Roman"/>
          <w:sz w:val="18"/>
          <w:szCs w:val="18"/>
        </w:rPr>
        <w:t xml:space="preserve">, </w:t>
      </w:r>
      <w:r w:rsidR="00725C5F">
        <w:rPr>
          <w:rFonts w:ascii="Lucida Sans" w:hAnsi="Lucida Sans" w:cs="Times New Roman"/>
          <w:sz w:val="18"/>
          <w:szCs w:val="18"/>
        </w:rPr>
        <w:t xml:space="preserve">albeit </w:t>
      </w:r>
      <w:r w:rsidR="00E40457" w:rsidRPr="00727DEE">
        <w:rPr>
          <w:rFonts w:ascii="Lucida Sans" w:hAnsi="Lucida Sans" w:cs="Times New Roman"/>
          <w:sz w:val="18"/>
          <w:szCs w:val="18"/>
        </w:rPr>
        <w:t>very rarely</w:t>
      </w:r>
      <w:r w:rsidR="00725C5F">
        <w:rPr>
          <w:rFonts w:ascii="Lucida Sans" w:hAnsi="Lucida Sans" w:cs="Times New Roman"/>
          <w:sz w:val="18"/>
          <w:szCs w:val="18"/>
        </w:rPr>
        <w:t xml:space="preserve"> </w:t>
      </w:r>
      <w:r w:rsidR="000B422E" w:rsidRPr="00CE4BE3">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&lt;EndNote&gt;&lt;Cite&gt;&lt;Author&gt;Lavin&lt;/Author&gt;&lt;Year&gt;1993&lt;/Year&gt;&lt;RecNum&gt;610&lt;/RecNum&gt;&lt;DisplayText&gt;[68]&lt;/DisplayText&gt;&lt;record&gt;&lt;rec-number&gt;610&lt;/rec-number&gt;&lt;foreign-keys&gt;&lt;key app="EN" db-id="2xwpd9xwpest5ue9rwa5etrr9fzzxded9vfx" timestamp="1621505998"&gt;610&lt;/key&gt;&lt;/foreign-keys&gt;&lt;ref-type name="Journal Article"&gt;17&lt;/ref-type&gt;&lt;contributors&gt;&lt;authors&gt;&lt;author&gt;Lavin, Michael R&lt;/author&gt;&lt;author&gt;Mendelowitz, Alan&lt;/author&gt;&lt;author&gt;Kronig, Michael H&lt;/author&gt;&lt;/authors&gt;&lt;/contributors&gt;&lt;titles&gt;&lt;title&gt;Spontaneous hypertensive reactions with monoamine oxidase inhibitors&lt;/title&gt;&lt;secondary-title&gt;Biological psychiatry&lt;/secondary-title&gt;&lt;/titles&gt;&lt;periodical&gt;&lt;full-title&gt;Biological psychiatry&lt;/full-title&gt;&lt;/periodical&gt;&lt;pages&gt;146-151&lt;/pages&gt;&lt;volume&gt;34&lt;/volume&gt;&lt;number&gt;3&lt;/number&gt;&lt;dates&gt;&lt;year&gt;1993&lt;/year&gt;&lt;/dates&gt;&lt;isbn&gt;0006-3223&lt;/isbn&gt;&lt;urls&gt;&lt;/urls&gt;&lt;/record&gt;&lt;/Cite&gt;&lt;/EndNote&gt;</w:instrText>
      </w:r>
      <w:r w:rsidR="000B422E" w:rsidRPr="00CE4BE3">
        <w:rPr>
          <w:rFonts w:ascii="Lucida Sans" w:hAnsi="Lucida Sans" w:cs="Times New Roman"/>
          <w:sz w:val="18"/>
          <w:szCs w:val="18"/>
        </w:rPr>
        <w:fldChar w:fldCharType="separate"/>
      </w:r>
      <w:r w:rsidR="00271279">
        <w:rPr>
          <w:rFonts w:ascii="Lucida Sans" w:hAnsi="Lucida Sans" w:cs="Times New Roman"/>
          <w:noProof/>
          <w:sz w:val="18"/>
          <w:szCs w:val="18"/>
        </w:rPr>
        <w:t>[68]</w:t>
      </w:r>
      <w:r w:rsidR="000B422E" w:rsidRPr="00CE4BE3">
        <w:rPr>
          <w:rFonts w:ascii="Lucida Sans" w:hAnsi="Lucida Sans" w:cs="Times New Roman"/>
          <w:sz w:val="18"/>
          <w:szCs w:val="18"/>
        </w:rPr>
        <w:fldChar w:fldCharType="end"/>
      </w:r>
      <w:r w:rsidR="00EF3C4D">
        <w:rPr>
          <w:rFonts w:ascii="Lucida Sans" w:hAnsi="Lucida Sans" w:cs="Times New Roman"/>
          <w:sz w:val="18"/>
          <w:szCs w:val="18"/>
        </w:rPr>
        <w:t xml:space="preserve">. </w:t>
      </w:r>
      <w:r w:rsidR="00995FD2" w:rsidRPr="00727DEE">
        <w:rPr>
          <w:rFonts w:ascii="Lucida Sans" w:hAnsi="Lucida Sans" w:cs="Times New Roman"/>
          <w:sz w:val="18"/>
          <w:szCs w:val="18"/>
        </w:rPr>
        <w:t xml:space="preserve">Most instances of hypertension will resolve within a 1-2 hours, but if systolic blood pressure is raised above 180 mmHg patients should be admitted and blood pressure reduced steadily (not precipitously) </w:t>
      </w:r>
      <w:r w:rsidR="00B36212"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&lt;EndNote&gt;&lt;Cite&gt;&lt;Author&gt;Gillman&lt;/Author&gt;&lt;Year&gt;2018&lt;/Year&gt;&lt;RecNum&gt;497&lt;/RecNum&gt;&lt;DisplayText&gt;[69]&lt;/DisplayText&gt;&lt;record&gt;&lt;rec-number&gt;497&lt;/rec-number&gt;&lt;foreign-keys&gt;&lt;key app="EN" db-id="2xwpd9xwpest5ue9rwa5etrr9fzzxded9vfx" timestamp="1619003381"&gt;497&lt;/key&gt;&lt;/foreign-keys&gt;&lt;ref-type name="Journal Article"&gt;17&lt;/ref-type&gt;&lt;contributors&gt;&lt;authors&gt;&lt;author&gt;Gillman, Peter Kenneth&lt;/author&gt;&lt;/authors&gt;&lt;/contributors&gt;&lt;titles&gt;&lt;title&gt;A reassessment of the safety profile of monoamine oxidase inhibitors: elucidating tired old tyramine myths&lt;/title&gt;&lt;secondary-title&gt;Journal of Neural Transmission&lt;/secondary-title&gt;&lt;/titles&gt;&lt;periodical&gt;&lt;full-title&gt;Journal of Neural Transmission&lt;/full-title&gt;&lt;/periodical&gt;&lt;pages&gt;1707-1717&lt;/pages&gt;&lt;volume&gt;125&lt;/volume&gt;&lt;number&gt;11&lt;/number&gt;&lt;dates&gt;&lt;year&gt;2018&lt;/year&gt;&lt;/dates&gt;&lt;isbn&gt;1435-1463&lt;/isbn&gt;&lt;urls&gt;&lt;/urls&gt;&lt;/record&gt;&lt;/Cite&gt;&lt;/EndNote&gt;</w:instrText>
      </w:r>
      <w:r w:rsidR="00B36212" w:rsidRPr="00727DEE">
        <w:rPr>
          <w:rFonts w:ascii="Lucida Sans" w:hAnsi="Lucida Sans" w:cs="Times New Roman"/>
          <w:sz w:val="18"/>
          <w:szCs w:val="18"/>
        </w:rPr>
        <w:fldChar w:fldCharType="separate"/>
      </w:r>
      <w:r w:rsidR="00271279">
        <w:rPr>
          <w:rFonts w:ascii="Lucida Sans" w:hAnsi="Lucida Sans" w:cs="Times New Roman"/>
          <w:noProof/>
          <w:sz w:val="18"/>
          <w:szCs w:val="18"/>
        </w:rPr>
        <w:t>[69]</w:t>
      </w:r>
      <w:r w:rsidR="00B36212" w:rsidRPr="00727DEE">
        <w:rPr>
          <w:rFonts w:ascii="Lucida Sans" w:hAnsi="Lucida Sans" w:cs="Times New Roman"/>
          <w:sz w:val="18"/>
          <w:szCs w:val="18"/>
        </w:rPr>
        <w:fldChar w:fldCharType="end"/>
      </w:r>
      <w:r w:rsidR="00995FD2" w:rsidRPr="00727DEE">
        <w:rPr>
          <w:rFonts w:ascii="Lucida Sans" w:hAnsi="Lucida Sans" w:cs="Times New Roman"/>
          <w:sz w:val="18"/>
          <w:szCs w:val="18"/>
        </w:rPr>
        <w:t xml:space="preserve">. </w:t>
      </w:r>
      <w:r w:rsidR="003D7F3E" w:rsidRPr="00727DEE">
        <w:rPr>
          <w:rFonts w:ascii="Lucida Sans" w:hAnsi="Lucida Sans" w:cs="Times New Roman"/>
          <w:sz w:val="18"/>
          <w:szCs w:val="18"/>
        </w:rPr>
        <w:t>Partly because of this potential risk, but mainly due to the more common problem of hypotension during treatment, it has been argued that patients should be encouraged to monitor their blood pressure at home</w:t>
      </w:r>
      <w:r w:rsidR="008B2FFA" w:rsidRPr="00727DEE">
        <w:rPr>
          <w:rFonts w:ascii="Lucida Sans" w:hAnsi="Lucida Sans" w:cs="Times New Roman"/>
          <w:sz w:val="18"/>
          <w:szCs w:val="18"/>
        </w:rPr>
        <w:t xml:space="preserve"> </w:t>
      </w:r>
      <w:r w:rsidR="008B2FFA"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&lt;EndNote&gt;&lt;Cite&gt;&lt;Author&gt;Gillman&lt;/Author&gt;&lt;Year&gt;2018&lt;/Year&gt;&lt;RecNum&gt;497&lt;/RecNum&gt;&lt;DisplayText&gt;[69]&lt;/DisplayText&gt;&lt;record&gt;&lt;rec-number&gt;497&lt;/rec-number&gt;&lt;foreign-keys&gt;&lt;key app="EN" db-id="2xwpd9xwpest5ue9rwa5etrr9fzzxded9vfx" timestamp="1619003381"&gt;497&lt;/key&gt;&lt;/foreign-keys&gt;&lt;ref-type name="Journal Article"&gt;17&lt;/ref-type&gt;&lt;contributors&gt;&lt;authors&gt;&lt;author&gt;Gillman, Peter Kenneth&lt;/author&gt;&lt;/authors&gt;&lt;/contributors&gt;&lt;titles&gt;&lt;title&gt;A reassessment of the safety profile of monoamine oxidase inhibitors: elucidating tired old tyramine myths&lt;/title&gt;&lt;secondary-title&gt;Journal of Neural Transmission&lt;/secondary-title&gt;&lt;/titles&gt;&lt;periodical&gt;&lt;full-title&gt;Journal of Neural Transmission&lt;/full-title&gt;&lt;/periodical&gt;&lt;pages&gt;1707-1717&lt;/pages&gt;&lt;volume&gt;125&lt;/volume&gt;&lt;number&gt;11&lt;/number&gt;&lt;dates&gt;&lt;year&gt;2018&lt;/year&gt;&lt;/dates&gt;&lt;isbn&gt;1435-1463&lt;/isbn&gt;&lt;urls&gt;&lt;/urls&gt;&lt;/record&gt;&lt;/Cite&gt;&lt;/EndNote&gt;</w:instrText>
      </w:r>
      <w:r w:rsidR="008B2FFA" w:rsidRPr="00727DEE">
        <w:rPr>
          <w:rFonts w:ascii="Lucida Sans" w:hAnsi="Lucida Sans" w:cs="Times New Roman"/>
          <w:sz w:val="18"/>
          <w:szCs w:val="18"/>
        </w:rPr>
        <w:fldChar w:fldCharType="separate"/>
      </w:r>
      <w:r w:rsidR="00271279">
        <w:rPr>
          <w:rFonts w:ascii="Lucida Sans" w:hAnsi="Lucida Sans" w:cs="Times New Roman"/>
          <w:noProof/>
          <w:sz w:val="18"/>
          <w:szCs w:val="18"/>
        </w:rPr>
        <w:t>[69]</w:t>
      </w:r>
      <w:r w:rsidR="008B2FFA" w:rsidRPr="00727DEE">
        <w:rPr>
          <w:rFonts w:ascii="Lucida Sans" w:hAnsi="Lucida Sans" w:cs="Times New Roman"/>
          <w:sz w:val="18"/>
          <w:szCs w:val="18"/>
        </w:rPr>
        <w:fldChar w:fldCharType="end"/>
      </w:r>
      <w:r w:rsidR="003D7F3E" w:rsidRPr="00727DEE">
        <w:rPr>
          <w:rFonts w:ascii="Lucida Sans" w:hAnsi="Lucida Sans" w:cs="Times New Roman"/>
          <w:sz w:val="18"/>
          <w:szCs w:val="18"/>
        </w:rPr>
        <w:t xml:space="preserve">. </w:t>
      </w:r>
      <w:r w:rsidRPr="00727DEE">
        <w:rPr>
          <w:rFonts w:ascii="Lucida Sans" w:hAnsi="Lucida Sans" w:cs="Times New Roman"/>
          <w:sz w:val="18"/>
          <w:szCs w:val="18"/>
        </w:rPr>
        <w:t>If</w:t>
      </w:r>
      <w:r w:rsidRPr="006F0C0A">
        <w:rPr>
          <w:rFonts w:ascii="Lucida Sans" w:hAnsi="Lucida Sans" w:cs="Times New Roman"/>
          <w:sz w:val="18"/>
          <w:szCs w:val="18"/>
        </w:rPr>
        <w:t xml:space="preserve"> these principles</w:t>
      </w:r>
      <w:r w:rsidR="00966B4A" w:rsidRPr="006F0C0A">
        <w:rPr>
          <w:rFonts w:ascii="Lucida Sans" w:hAnsi="Lucida Sans" w:cs="Times New Roman"/>
          <w:sz w:val="18"/>
          <w:szCs w:val="18"/>
        </w:rPr>
        <w:t xml:space="preserve"> </w:t>
      </w:r>
      <w:r w:rsidR="00D702EF">
        <w:rPr>
          <w:rFonts w:ascii="Lucida Sans" w:hAnsi="Lucida Sans" w:cs="Times New Roman"/>
          <w:sz w:val="18"/>
          <w:szCs w:val="18"/>
        </w:rPr>
        <w:t xml:space="preserve">are borne </w:t>
      </w:r>
      <w:r w:rsidR="00966B4A" w:rsidRPr="006F0C0A">
        <w:rPr>
          <w:rFonts w:ascii="Lucida Sans" w:hAnsi="Lucida Sans" w:cs="Times New Roman"/>
          <w:sz w:val="18"/>
          <w:szCs w:val="18"/>
        </w:rPr>
        <w:t>in mind, many contraindicated medication</w:t>
      </w:r>
      <w:r w:rsidRPr="006F0C0A">
        <w:rPr>
          <w:rFonts w:ascii="Lucida Sans" w:hAnsi="Lucida Sans" w:cs="Times New Roman"/>
          <w:sz w:val="18"/>
          <w:szCs w:val="18"/>
        </w:rPr>
        <w:t xml:space="preserve"> combinations become easier to understand. </w:t>
      </w:r>
      <w:r w:rsidR="000F5335" w:rsidRPr="006F0C0A">
        <w:rPr>
          <w:rFonts w:ascii="Lucida Sans" w:hAnsi="Lucida Sans" w:cs="Times New Roman"/>
          <w:sz w:val="18"/>
          <w:szCs w:val="18"/>
        </w:rPr>
        <w:t xml:space="preserve">Also crucial is the need for patients to follow a </w:t>
      </w:r>
      <w:r w:rsidR="000F5335" w:rsidRPr="00F64682">
        <w:rPr>
          <w:rFonts w:ascii="Lucida Sans" w:hAnsi="Lucida Sans" w:cs="Times New Roman"/>
          <w:sz w:val="18"/>
          <w:szCs w:val="18"/>
        </w:rPr>
        <w:t>low tyramine diet</w:t>
      </w:r>
      <w:r w:rsidR="000F5335" w:rsidRPr="006F0C0A">
        <w:rPr>
          <w:rFonts w:ascii="Lucida Sans" w:hAnsi="Lucida Sans" w:cs="Times New Roman"/>
          <w:sz w:val="18"/>
          <w:szCs w:val="18"/>
        </w:rPr>
        <w:t xml:space="preserve"> to minimise the likelihood of hypertensive effects (including potential hypertensive crises). </w:t>
      </w:r>
    </w:p>
    <w:p w14:paraId="40D25A9C" w14:textId="77777777" w:rsidR="00DF7B87" w:rsidRDefault="00DF7B87" w:rsidP="006F0C0A">
      <w:pPr>
        <w:spacing w:line="360" w:lineRule="auto"/>
        <w:rPr>
          <w:rFonts w:ascii="Lucida Sans" w:hAnsi="Lucida Sans" w:cs="Times New Roman"/>
          <w:sz w:val="18"/>
          <w:szCs w:val="18"/>
        </w:rPr>
      </w:pPr>
    </w:p>
    <w:p w14:paraId="6DD4A4FA" w14:textId="45AC5134" w:rsidR="00DF7B87" w:rsidRPr="006F0C0A" w:rsidRDefault="005D0185" w:rsidP="006F0C0A">
      <w:pPr>
        <w:spacing w:line="360" w:lineRule="auto"/>
        <w:rPr>
          <w:rFonts w:ascii="Lucida Sans" w:hAnsi="Lucida Sans" w:cs="Times New Roman"/>
          <w:sz w:val="18"/>
          <w:szCs w:val="18"/>
        </w:rPr>
      </w:pPr>
      <w:r>
        <w:rPr>
          <w:rFonts w:ascii="Lucida Sans" w:hAnsi="Lucida Sans" w:cs="Times New Roman"/>
          <w:sz w:val="18"/>
          <w:szCs w:val="18"/>
        </w:rPr>
        <w:t xml:space="preserve">As treatment with phenelzine or isocarboxazid  is occasionally associated with pyridoxine (vitamin B6) deficiency - which can also appear during treatment of </w:t>
      </w:r>
      <w:r w:rsidR="00F17428">
        <w:rPr>
          <w:rFonts w:ascii="Lucida Sans" w:hAnsi="Lucida Sans" w:cs="Times New Roman"/>
          <w:sz w:val="18"/>
          <w:szCs w:val="18"/>
        </w:rPr>
        <w:t xml:space="preserve">TB </w:t>
      </w:r>
      <w:r>
        <w:rPr>
          <w:rFonts w:ascii="Lucida Sans" w:hAnsi="Lucida Sans" w:cs="Times New Roman"/>
          <w:sz w:val="18"/>
          <w:szCs w:val="18"/>
        </w:rPr>
        <w:t xml:space="preserve">patients </w:t>
      </w:r>
      <w:r w:rsidR="00F17428">
        <w:rPr>
          <w:rFonts w:ascii="Lucida Sans" w:hAnsi="Lucida Sans" w:cs="Times New Roman"/>
          <w:sz w:val="18"/>
          <w:szCs w:val="18"/>
        </w:rPr>
        <w:t xml:space="preserve">with isoniazid, which has mild MAO inhibitory effects – patients should be warned about this potential rare complication, and periodically reviewed for symptoms and signs of B6 deficiency such as skin rashes, glossitis and paraesthesia. </w:t>
      </w:r>
    </w:p>
    <w:p w14:paraId="5D6E1F5D" w14:textId="77777777" w:rsidR="0040057D" w:rsidRPr="006F0C0A" w:rsidRDefault="0040057D" w:rsidP="006F0C0A">
      <w:pPr>
        <w:spacing w:line="360" w:lineRule="auto"/>
        <w:rPr>
          <w:rFonts w:ascii="Lucida Sans" w:hAnsi="Lucida Sans" w:cs="Times New Roman"/>
          <w:sz w:val="18"/>
          <w:szCs w:val="18"/>
        </w:rPr>
      </w:pPr>
    </w:p>
    <w:p w14:paraId="64B61E75" w14:textId="66DCF785" w:rsidR="004E0092" w:rsidRPr="00F94A14" w:rsidRDefault="000F5335" w:rsidP="00F94A14">
      <w:pPr>
        <w:pStyle w:val="ListParagraph"/>
        <w:numPr>
          <w:ilvl w:val="0"/>
          <w:numId w:val="3"/>
        </w:numPr>
        <w:spacing w:line="360" w:lineRule="auto"/>
        <w:rPr>
          <w:rFonts w:ascii="Lucida Sans" w:hAnsi="Lucida Sans" w:cs="Times New Roman"/>
          <w:b/>
          <w:sz w:val="18"/>
          <w:szCs w:val="18"/>
          <w:lang w:val="en-US"/>
        </w:rPr>
      </w:pPr>
      <w:r w:rsidRPr="00F94A14">
        <w:rPr>
          <w:rFonts w:ascii="Lucida Sans" w:hAnsi="Lucida Sans" w:cs="Times New Roman"/>
          <w:b/>
          <w:sz w:val="18"/>
          <w:szCs w:val="18"/>
          <w:lang w:val="en-US"/>
        </w:rPr>
        <w:t>Drug-Drug interactions</w:t>
      </w:r>
    </w:p>
    <w:p w14:paraId="15E79538" w14:textId="113EA7D9" w:rsidR="00923BF3" w:rsidRDefault="000F5335" w:rsidP="006F0C0A">
      <w:pPr>
        <w:spacing w:line="360" w:lineRule="auto"/>
        <w:rPr>
          <w:rFonts w:ascii="Lucida Sans" w:hAnsi="Lucida Sans" w:cs="Times New Roman"/>
          <w:sz w:val="18"/>
          <w:szCs w:val="18"/>
        </w:rPr>
      </w:pPr>
      <w:r w:rsidRPr="006F0C0A">
        <w:rPr>
          <w:rFonts w:ascii="Lucida Sans" w:hAnsi="Lucida Sans" w:cs="Times New Roman"/>
          <w:sz w:val="18"/>
          <w:szCs w:val="18"/>
        </w:rPr>
        <w:t xml:space="preserve">MAOIs must not be prescribed alongside SSRIs, or other substances with </w:t>
      </w:r>
      <w:r w:rsidR="00DA5FEA">
        <w:rPr>
          <w:rFonts w:ascii="Lucida Sans" w:hAnsi="Lucida Sans" w:cs="Times New Roman"/>
          <w:sz w:val="18"/>
          <w:szCs w:val="18"/>
        </w:rPr>
        <w:t xml:space="preserve">significant </w:t>
      </w:r>
      <w:r w:rsidRPr="006F0C0A">
        <w:rPr>
          <w:rFonts w:ascii="Lucida Sans" w:hAnsi="Lucida Sans" w:cs="Times New Roman"/>
          <w:sz w:val="18"/>
          <w:szCs w:val="18"/>
        </w:rPr>
        <w:t>serotonin reuptake inhibition effects (</w:t>
      </w:r>
      <w:r w:rsidR="00AC7CCF">
        <w:rPr>
          <w:rFonts w:ascii="Lucida Sans" w:hAnsi="Lucida Sans" w:cs="Times New Roman"/>
          <w:sz w:val="18"/>
          <w:szCs w:val="18"/>
        </w:rPr>
        <w:t xml:space="preserve">including SNRIs, trazodone, </w:t>
      </w:r>
      <w:r w:rsidR="00335CAA">
        <w:rPr>
          <w:rFonts w:ascii="Lucida Sans" w:hAnsi="Lucida Sans" w:cs="Times New Roman"/>
          <w:sz w:val="18"/>
          <w:szCs w:val="18"/>
        </w:rPr>
        <w:t xml:space="preserve">and </w:t>
      </w:r>
      <w:r w:rsidRPr="006F0C0A">
        <w:rPr>
          <w:rFonts w:ascii="Lucida Sans" w:hAnsi="Lucida Sans" w:cs="Times New Roman"/>
          <w:sz w:val="18"/>
          <w:szCs w:val="18"/>
        </w:rPr>
        <w:t xml:space="preserve">clomipramine), due to the risk of inducing serotonin syndrome. Other medications that have serotonergic effects should also not be concomitantly prescribed, including certain analgesics, </w:t>
      </w:r>
      <w:r w:rsidR="004632C6">
        <w:rPr>
          <w:rFonts w:ascii="Lucida Sans" w:hAnsi="Lucida Sans" w:cs="Times New Roman"/>
          <w:sz w:val="18"/>
          <w:szCs w:val="18"/>
        </w:rPr>
        <w:t xml:space="preserve">and </w:t>
      </w:r>
      <w:r w:rsidRPr="006F0C0A">
        <w:rPr>
          <w:rFonts w:ascii="Lucida Sans" w:hAnsi="Lucida Sans" w:cs="Times New Roman"/>
          <w:sz w:val="18"/>
          <w:szCs w:val="18"/>
        </w:rPr>
        <w:t>opioids (e.g. tramadol)</w:t>
      </w:r>
      <w:r w:rsidR="004632C6">
        <w:rPr>
          <w:rFonts w:ascii="Lucida Sans" w:hAnsi="Lucida Sans" w:cs="Times New Roman"/>
          <w:sz w:val="18"/>
          <w:szCs w:val="18"/>
        </w:rPr>
        <w:t xml:space="preserve"> </w:t>
      </w:r>
      <w:r w:rsidR="00A31CCB"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&lt;EndNote&gt;&lt;Cite&gt;&lt;Author&gt;Culpepper&lt;/Author&gt;&lt;Year&gt;2013&lt;/Year&gt;&lt;RecNum&gt;0&lt;/RecNum&gt;&lt;IDText&gt;Reducing the Burden of Difficult-to-Treat Major Depressive Disorder: Revisiting Monoamine Oxidase Inhibitor Therapy&lt;/IDText&gt;&lt;DisplayText&gt;[70]&lt;/DisplayText&gt;&lt;record&gt;&lt;urls&gt;&lt;related-urls&gt;&lt;url&gt;https://www.ncbi.nlm.nih.gov/pubmed/24511450&lt;/url&gt;&lt;/related-urls&gt;&lt;/urls&gt;&lt;isbn&gt;2155-7772&lt;/isbn&gt;&lt;custom2&gt;PMC3907330&lt;/custom2&gt;&lt;titles&gt;&lt;title&gt;Reducing the Burden of Difficult-to-Treat Major Depressive Disorder: Revisiting Monoamine Oxidase Inhibitor Therapy&lt;/title&gt;&lt;secondary-title&gt;Prim Care Companion CNS Disord&lt;/secondary-title&gt;&lt;/titles&gt;&lt;number&gt;5&lt;/number&gt;&lt;contributors&gt;&lt;authors&gt;&lt;author&gt;Culpepper, L.&lt;/author&gt;&lt;/authors&gt;&lt;/contributors&gt;&lt;edition&gt;2013/10/31&lt;/edition&gt;&lt;language&gt;eng&lt;/language&gt;&lt;added-date format="utc"&gt;1600859548&lt;/added-date&gt;&lt;ref-type name="Journal Article"&gt;17&lt;/ref-type&gt;&lt;dates&gt;&lt;year&gt;2013&lt;/year&gt;&lt;/dates&gt;&lt;rec-number&gt;9978&lt;/rec-number&gt;&lt;last-updated-date format="utc"&gt;1600859548&lt;/last-updated-date&gt;&lt;accession-num&gt;24511450&lt;/accession-num&gt;&lt;electronic-resource-num&gt;10.4088/PCC.13r01515&lt;/electronic-resource-num&gt;&lt;volume&gt;15&lt;/volume&gt;&lt;/record&gt;&lt;/Cite&gt;&lt;/EndNote&gt;</w:instrText>
      </w:r>
      <w:r w:rsidR="00A31CCB" w:rsidRPr="006F0C0A">
        <w:rPr>
          <w:rFonts w:ascii="Lucida Sans" w:hAnsi="Lucida Sans" w:cs="Times New Roman"/>
          <w:sz w:val="18"/>
          <w:szCs w:val="18"/>
        </w:rPr>
        <w:fldChar w:fldCharType="separate"/>
      </w:r>
      <w:r w:rsidR="00271279">
        <w:rPr>
          <w:rFonts w:ascii="Lucida Sans" w:hAnsi="Lucida Sans" w:cs="Times New Roman"/>
          <w:noProof/>
          <w:sz w:val="18"/>
          <w:szCs w:val="18"/>
        </w:rPr>
        <w:t>[70]</w:t>
      </w:r>
      <w:r w:rsidR="00A31CCB" w:rsidRPr="006F0C0A">
        <w:rPr>
          <w:rFonts w:ascii="Lucida Sans" w:hAnsi="Lucida Sans" w:cs="Times New Roman"/>
          <w:sz w:val="18"/>
          <w:szCs w:val="18"/>
        </w:rPr>
        <w:fldChar w:fldCharType="end"/>
      </w:r>
      <w:r w:rsidRPr="006F0C0A">
        <w:rPr>
          <w:rFonts w:ascii="Lucida Sans" w:hAnsi="Lucida Sans" w:cs="Times New Roman"/>
          <w:sz w:val="18"/>
          <w:szCs w:val="18"/>
        </w:rPr>
        <w:t>.Some non-prescribed substances taken by patients have SSRI-like properties, including St John’s Wort, so also must be avoided.</w:t>
      </w:r>
      <w:r w:rsidR="00B07824" w:rsidRPr="006F0C0A">
        <w:rPr>
          <w:rFonts w:ascii="Lucida Sans" w:hAnsi="Lucida Sans" w:cs="Times New Roman"/>
          <w:sz w:val="18"/>
          <w:szCs w:val="18"/>
        </w:rPr>
        <w:t xml:space="preserve"> </w:t>
      </w:r>
      <w:r w:rsidR="00923BF3">
        <w:rPr>
          <w:rFonts w:ascii="Lucida Sans" w:hAnsi="Lucida Sans" w:cs="Times New Roman"/>
          <w:sz w:val="18"/>
          <w:szCs w:val="18"/>
        </w:rPr>
        <w:t>Triptans (used for migraines) are broken down in the body by MAO-A, and so their plasma levels can be increased by MAOIs</w:t>
      </w:r>
      <w:r w:rsidR="00E40457">
        <w:rPr>
          <w:rFonts w:ascii="Lucida Sans" w:hAnsi="Lucida Sans" w:cs="Times New Roman"/>
          <w:sz w:val="18"/>
          <w:szCs w:val="18"/>
        </w:rPr>
        <w:t>:</w:t>
      </w:r>
      <w:r w:rsidR="00307EA8">
        <w:rPr>
          <w:rFonts w:ascii="Lucida Sans" w:hAnsi="Lucida Sans" w:cs="Times New Roman"/>
          <w:sz w:val="18"/>
          <w:szCs w:val="18"/>
        </w:rPr>
        <w:t xml:space="preserve"> </w:t>
      </w:r>
      <w:r w:rsidR="00E40457">
        <w:rPr>
          <w:rFonts w:ascii="Lucida Sans" w:hAnsi="Lucida Sans" w:cs="Times New Roman"/>
          <w:sz w:val="18"/>
          <w:szCs w:val="18"/>
        </w:rPr>
        <w:t>t</w:t>
      </w:r>
      <w:r w:rsidR="00923BF3">
        <w:rPr>
          <w:rFonts w:ascii="Lucida Sans" w:hAnsi="Lucida Sans" w:cs="Times New Roman"/>
          <w:sz w:val="18"/>
          <w:szCs w:val="18"/>
        </w:rPr>
        <w:t xml:space="preserve">herefore, co-prescribing </w:t>
      </w:r>
      <w:r w:rsidR="00E40457">
        <w:rPr>
          <w:rFonts w:ascii="Lucida Sans" w:hAnsi="Lucida Sans" w:cs="Times New Roman"/>
          <w:sz w:val="18"/>
          <w:szCs w:val="18"/>
        </w:rPr>
        <w:t xml:space="preserve">a </w:t>
      </w:r>
      <w:r w:rsidR="00923BF3">
        <w:rPr>
          <w:rFonts w:ascii="Lucida Sans" w:hAnsi="Lucida Sans" w:cs="Times New Roman"/>
          <w:sz w:val="18"/>
          <w:szCs w:val="18"/>
        </w:rPr>
        <w:t xml:space="preserve">triptan and </w:t>
      </w:r>
      <w:r w:rsidR="00E40457">
        <w:rPr>
          <w:rFonts w:ascii="Lucida Sans" w:hAnsi="Lucida Sans" w:cs="Times New Roman"/>
          <w:sz w:val="18"/>
          <w:szCs w:val="18"/>
        </w:rPr>
        <w:t xml:space="preserve">an </w:t>
      </w:r>
      <w:r w:rsidR="00923BF3">
        <w:rPr>
          <w:rFonts w:ascii="Lucida Sans" w:hAnsi="Lucida Sans" w:cs="Times New Roman"/>
          <w:sz w:val="18"/>
          <w:szCs w:val="18"/>
        </w:rPr>
        <w:t xml:space="preserve">MAOI should be avoided. </w:t>
      </w:r>
    </w:p>
    <w:p w14:paraId="4DC4E754" w14:textId="208EE958" w:rsidR="00F17428" w:rsidRDefault="00F17428" w:rsidP="00F17428">
      <w:pPr>
        <w:spacing w:line="360" w:lineRule="auto"/>
        <w:rPr>
          <w:rFonts w:ascii="Lucida Sans" w:hAnsi="Lucida Sans" w:cs="Times New Roman"/>
          <w:sz w:val="18"/>
          <w:szCs w:val="18"/>
        </w:rPr>
      </w:pPr>
      <w:r w:rsidRPr="006F0C0A">
        <w:rPr>
          <w:rFonts w:ascii="Lucida Sans" w:hAnsi="Lucida Sans" w:cs="Times New Roman"/>
          <w:sz w:val="18"/>
          <w:szCs w:val="18"/>
        </w:rPr>
        <w:t>Opioids are potentially problematic</w:t>
      </w:r>
      <w:r>
        <w:rPr>
          <w:rFonts w:ascii="Lucida Sans" w:hAnsi="Lucida Sans" w:cs="Times New Roman"/>
          <w:sz w:val="18"/>
          <w:szCs w:val="18"/>
        </w:rPr>
        <w:t>,</w:t>
      </w:r>
      <w:r w:rsidRPr="006F0C0A">
        <w:rPr>
          <w:rFonts w:ascii="Lucida Sans" w:hAnsi="Lucida Sans" w:cs="Times New Roman"/>
          <w:sz w:val="18"/>
          <w:szCs w:val="18"/>
        </w:rPr>
        <w:t xml:space="preserve"> not only due to </w:t>
      </w:r>
      <w:r>
        <w:rPr>
          <w:rFonts w:ascii="Lucida Sans" w:hAnsi="Lucida Sans" w:cs="Times New Roman"/>
          <w:sz w:val="18"/>
          <w:szCs w:val="18"/>
        </w:rPr>
        <w:t xml:space="preserve">the </w:t>
      </w:r>
      <w:r w:rsidRPr="006F0C0A">
        <w:rPr>
          <w:rFonts w:ascii="Lucida Sans" w:hAnsi="Lucida Sans" w:cs="Times New Roman"/>
          <w:sz w:val="18"/>
          <w:szCs w:val="18"/>
        </w:rPr>
        <w:t xml:space="preserve">risk of serotonin syndrome but also in some cases </w:t>
      </w:r>
      <w:r>
        <w:rPr>
          <w:rFonts w:ascii="Lucida Sans" w:hAnsi="Lucida Sans" w:cs="Times New Roman"/>
          <w:sz w:val="18"/>
          <w:szCs w:val="18"/>
        </w:rPr>
        <w:t>because of</w:t>
      </w:r>
      <w:r w:rsidRPr="006F0C0A">
        <w:rPr>
          <w:rFonts w:ascii="Lucida Sans" w:hAnsi="Lucida Sans" w:cs="Times New Roman"/>
          <w:sz w:val="18"/>
          <w:szCs w:val="18"/>
        </w:rPr>
        <w:t xml:space="preserve"> overlapping cytochrome enzyme interactions. NHS Specialist Pharmacy Service guidance on MAOIs and opioid</w:t>
      </w:r>
      <w:r>
        <w:rPr>
          <w:rFonts w:ascii="Lucida Sans" w:hAnsi="Lucida Sans" w:cs="Times New Roman"/>
          <w:sz w:val="18"/>
          <w:szCs w:val="18"/>
        </w:rPr>
        <w:t xml:space="preserve"> co-administration</w:t>
      </w:r>
      <w:r w:rsidRPr="006F0C0A">
        <w:rPr>
          <w:rFonts w:ascii="Lucida Sans" w:hAnsi="Lucida Sans" w:cs="Times New Roman"/>
          <w:sz w:val="18"/>
          <w:szCs w:val="18"/>
        </w:rPr>
        <w:t xml:space="preserve"> </w:t>
      </w:r>
      <w:r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&lt;EndNote&gt;&lt;Cite&gt;&lt;Author&gt;Forrest&lt;/Author&gt;&lt;Year&gt;2018&lt;/Year&gt;&lt;RecNum&gt;0&lt;/RecNum&gt;&lt;IDText&gt;What is the risk of interaction between opioids and monoamine oxidase inhibitors (MAOIs)?&lt;/IDText&gt;&lt;DisplayText&gt;[71]&lt;/DisplayText&gt;&lt;record&gt;&lt;urls&gt;&lt;related-urls&gt;&lt;url&gt;https://www.sps.nhs.uk/articles/what-is-the-risk-of-interaction-between-opioids-and-monoamine-oxidase-inhibitors-maois/&lt;/url&gt;&lt;/related-urls&gt;&lt;/urls&gt;&lt;titles&gt;&lt;title&gt;What is the risk of interaction between opioids and monoamine oxidase inhibitors (MAOIs)?&lt;/title&gt;&lt;/titles&gt;&lt;contributors&gt;&lt;authors&gt;&lt;author&gt;Forrest, Jill&lt;/author&gt;&lt;/authors&gt;&lt;/contributors&gt;&lt;added-date format="utc"&gt;1600860531&lt;/added-date&gt;&lt;ref-type name="Web Page"&gt;12&lt;/ref-type&gt;&lt;dates&gt;&lt;year&gt;2018&lt;/year&gt;&lt;/dates&gt;&lt;rec-number&gt;9982&lt;/rec-number&gt;&lt;publisher&gt;NHS Specialist Pharmacy Service&lt;/publisher&gt;&lt;last-updated-date format="utc"&gt;1600860660&lt;/last-updated-date&gt;&lt;/record&gt;&lt;/Cite&gt;&lt;/EndNote&gt;</w:instrText>
      </w:r>
      <w:r w:rsidRPr="006F0C0A">
        <w:rPr>
          <w:rFonts w:ascii="Lucida Sans" w:hAnsi="Lucida Sans" w:cs="Times New Roman"/>
          <w:sz w:val="18"/>
          <w:szCs w:val="18"/>
        </w:rPr>
        <w:fldChar w:fldCharType="separate"/>
      </w:r>
      <w:r w:rsidR="00271279">
        <w:rPr>
          <w:rFonts w:ascii="Lucida Sans" w:hAnsi="Lucida Sans" w:cs="Times New Roman"/>
          <w:noProof/>
          <w:sz w:val="18"/>
          <w:szCs w:val="18"/>
        </w:rPr>
        <w:t>[71]</w:t>
      </w:r>
      <w:r w:rsidRPr="006F0C0A">
        <w:rPr>
          <w:rFonts w:ascii="Lucida Sans" w:hAnsi="Lucida Sans" w:cs="Times New Roman"/>
          <w:sz w:val="18"/>
          <w:szCs w:val="18"/>
        </w:rPr>
        <w:fldChar w:fldCharType="end"/>
      </w:r>
      <w:r w:rsidRPr="006F0C0A">
        <w:rPr>
          <w:rFonts w:ascii="Lucida Sans" w:hAnsi="Lucida Sans" w:cs="Times New Roman"/>
          <w:sz w:val="18"/>
          <w:szCs w:val="18"/>
        </w:rPr>
        <w:t xml:space="preserve"> suggest</w:t>
      </w:r>
      <w:r>
        <w:rPr>
          <w:rFonts w:ascii="Lucida Sans" w:hAnsi="Lucida Sans" w:cs="Times New Roman"/>
          <w:sz w:val="18"/>
          <w:szCs w:val="18"/>
        </w:rPr>
        <w:t>s</w:t>
      </w:r>
      <w:r w:rsidRPr="006F0C0A">
        <w:rPr>
          <w:rFonts w:ascii="Lucida Sans" w:hAnsi="Lucida Sans" w:cs="Times New Roman"/>
          <w:sz w:val="18"/>
          <w:szCs w:val="18"/>
        </w:rPr>
        <w:t xml:space="preserve"> that some opioids can be cautiously used with MAOIs if clinically necessary (such as morphine, codeine, oxycodone, or buprenorphine), starting with a minimal dose, and increasing the dose carefully whilst monitoring blood pressure, CNS effects, and respiratory status. The NHS Specialist Pharmacy Service </w:t>
      </w:r>
      <w:r>
        <w:rPr>
          <w:rFonts w:ascii="Lucida Sans" w:hAnsi="Lucida Sans" w:cs="Times New Roman"/>
          <w:sz w:val="18"/>
          <w:szCs w:val="18"/>
        </w:rPr>
        <w:t xml:space="preserve">also </w:t>
      </w:r>
      <w:r w:rsidRPr="006F0C0A">
        <w:rPr>
          <w:rFonts w:ascii="Lucida Sans" w:hAnsi="Lucida Sans" w:cs="Times New Roman"/>
          <w:sz w:val="18"/>
          <w:szCs w:val="18"/>
        </w:rPr>
        <w:t>recommends that other opioids</w:t>
      </w:r>
      <w:r>
        <w:rPr>
          <w:rFonts w:ascii="Lucida Sans" w:hAnsi="Lucida Sans" w:cs="Times New Roman"/>
          <w:sz w:val="18"/>
          <w:szCs w:val="18"/>
        </w:rPr>
        <w:t xml:space="preserve"> </w:t>
      </w:r>
      <w:r w:rsidRPr="006F0C0A">
        <w:rPr>
          <w:rFonts w:ascii="Lucida Sans" w:hAnsi="Lucida Sans" w:cs="Times New Roman"/>
          <w:sz w:val="18"/>
          <w:szCs w:val="18"/>
        </w:rPr>
        <w:t xml:space="preserve">should be avoided completely (such as </w:t>
      </w:r>
      <w:r w:rsidRPr="006F0C0A">
        <w:rPr>
          <w:rFonts w:ascii="Lucida Sans" w:eastAsia="Times New Roman" w:hAnsi="Lucida Sans" w:cs="Times New Roman"/>
          <w:sz w:val="18"/>
          <w:szCs w:val="18"/>
        </w:rPr>
        <w:t>dextromethorphan,</w:t>
      </w:r>
      <w:r>
        <w:rPr>
          <w:rFonts w:ascii="Lucida Sans" w:eastAsia="Times New Roman" w:hAnsi="Lucida Sans" w:cs="Times New Roman"/>
          <w:sz w:val="18"/>
          <w:szCs w:val="18"/>
        </w:rPr>
        <w:t xml:space="preserve"> </w:t>
      </w:r>
      <w:r w:rsidRPr="006F0C0A">
        <w:rPr>
          <w:rFonts w:ascii="Lucida Sans" w:eastAsia="Times New Roman" w:hAnsi="Lucida Sans" w:cs="Times New Roman"/>
          <w:sz w:val="18"/>
          <w:szCs w:val="18"/>
        </w:rPr>
        <w:t>methadone, pethidine</w:t>
      </w:r>
      <w:r>
        <w:rPr>
          <w:rFonts w:ascii="Lucida Sans" w:eastAsia="Times New Roman" w:hAnsi="Lucida Sans" w:cs="Times New Roman"/>
          <w:sz w:val="18"/>
          <w:szCs w:val="18"/>
        </w:rPr>
        <w:t xml:space="preserve"> [meperidine])</w:t>
      </w:r>
      <w:r w:rsidRPr="006F0C0A">
        <w:rPr>
          <w:rFonts w:ascii="Lucida Sans" w:eastAsia="Times New Roman" w:hAnsi="Lucida Sans" w:cs="Times New Roman"/>
          <w:sz w:val="18"/>
          <w:szCs w:val="18"/>
        </w:rPr>
        <w:t xml:space="preserve">, tramadol, fentanyl or tapentadol) </w:t>
      </w:r>
      <w:r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&lt;EndNote&gt;&lt;Cite&gt;&lt;Author&gt;Forrest&lt;/Author&gt;&lt;Year&gt;2018&lt;/Year&gt;&lt;RecNum&gt;0&lt;/RecNum&gt;&lt;IDText&gt;What is the risk of interaction between opioids and monoamine oxidase inhibitors (MAOIs)?&lt;/IDText&gt;&lt;DisplayText&gt;[71]&lt;/DisplayText&gt;&lt;record&gt;&lt;urls&gt;&lt;related-urls&gt;&lt;url&gt;https://www.sps.nhs.uk/articles/what-is-the-risk-of-interaction-between-opioids-and-monoamine-oxidase-inhibitors-maois/&lt;/url&gt;&lt;/related-urls&gt;&lt;/urls&gt;&lt;titles&gt;&lt;title&gt;What is the risk of interaction between opioids and monoamine oxidase inhibitors (MAOIs)?&lt;/title&gt;&lt;/titles&gt;&lt;contributors&gt;&lt;authors&gt;&lt;author&gt;Forrest, Jill&lt;/author&gt;&lt;/authors&gt;&lt;/contributors&gt;&lt;added-date format="utc"&gt;1600860531&lt;/added-date&gt;&lt;ref-type name="Web Page"&gt;12&lt;/ref-type&gt;&lt;dates&gt;&lt;year&gt;2018&lt;/year&gt;&lt;/dates&gt;&lt;rec-number&gt;9982&lt;/rec-number&gt;&lt;publisher&gt;NHS Specialist Pharmacy Service&lt;/publisher&gt;&lt;last-updated-date format="utc"&gt;1600860660&lt;/last-updated-date&gt;&lt;/record&gt;&lt;/Cite&gt;&lt;/EndNote&gt;</w:instrText>
      </w:r>
      <w:r w:rsidRPr="006F0C0A">
        <w:rPr>
          <w:rFonts w:ascii="Lucida Sans" w:hAnsi="Lucida Sans" w:cs="Times New Roman"/>
          <w:sz w:val="18"/>
          <w:szCs w:val="18"/>
        </w:rPr>
        <w:fldChar w:fldCharType="separate"/>
      </w:r>
      <w:r w:rsidR="00271279">
        <w:rPr>
          <w:rFonts w:ascii="Lucida Sans" w:hAnsi="Lucida Sans" w:cs="Times New Roman"/>
          <w:noProof/>
          <w:sz w:val="18"/>
          <w:szCs w:val="18"/>
        </w:rPr>
        <w:t>[71]</w:t>
      </w:r>
      <w:r w:rsidRPr="006F0C0A">
        <w:rPr>
          <w:rFonts w:ascii="Lucida Sans" w:hAnsi="Lucida Sans" w:cs="Times New Roman"/>
          <w:sz w:val="18"/>
          <w:szCs w:val="18"/>
        </w:rPr>
        <w:fldChar w:fldCharType="end"/>
      </w:r>
      <w:r w:rsidRPr="006F0C0A">
        <w:rPr>
          <w:rFonts w:ascii="Lucida Sans" w:hAnsi="Lucida Sans" w:cs="Times New Roman"/>
          <w:sz w:val="18"/>
          <w:szCs w:val="18"/>
        </w:rPr>
        <w:t>.</w:t>
      </w:r>
      <w:r>
        <w:rPr>
          <w:rFonts w:ascii="Lucida Sans" w:hAnsi="Lucida Sans" w:cs="Times New Roman"/>
          <w:sz w:val="18"/>
          <w:szCs w:val="18"/>
        </w:rPr>
        <w:t xml:space="preserve"> </w:t>
      </w:r>
      <w:r w:rsidRPr="006F0C0A">
        <w:rPr>
          <w:rFonts w:ascii="Lucida Sans" w:hAnsi="Lucida Sans" w:cs="Times New Roman"/>
          <w:sz w:val="18"/>
          <w:szCs w:val="18"/>
        </w:rPr>
        <w:t xml:space="preserve">These should be avoided not only during </w:t>
      </w:r>
      <w:r>
        <w:rPr>
          <w:rFonts w:ascii="Lucida Sans" w:hAnsi="Lucida Sans" w:cs="Times New Roman"/>
          <w:sz w:val="18"/>
          <w:szCs w:val="18"/>
        </w:rPr>
        <w:t>MAOI treatment,</w:t>
      </w:r>
      <w:r w:rsidRPr="006F0C0A">
        <w:rPr>
          <w:rFonts w:ascii="Lucida Sans" w:hAnsi="Lucida Sans" w:cs="Times New Roman"/>
          <w:sz w:val="18"/>
          <w:szCs w:val="18"/>
        </w:rPr>
        <w:t xml:space="preserve"> but also for at least two weeks after MAOIs are </w:t>
      </w:r>
      <w:r>
        <w:rPr>
          <w:rFonts w:ascii="Lucida Sans" w:hAnsi="Lucida Sans" w:cs="Times New Roman"/>
          <w:sz w:val="18"/>
          <w:szCs w:val="18"/>
        </w:rPr>
        <w:t>stopped</w:t>
      </w:r>
      <w:r w:rsidRPr="006F0C0A">
        <w:rPr>
          <w:rFonts w:ascii="Lucida Sans" w:hAnsi="Lucida Sans" w:cs="Times New Roman"/>
          <w:sz w:val="18"/>
          <w:szCs w:val="18"/>
        </w:rPr>
        <w:t>.</w:t>
      </w:r>
      <w:r>
        <w:rPr>
          <w:rFonts w:ascii="Lucida Sans" w:hAnsi="Lucida Sans" w:cs="Times New Roman"/>
          <w:sz w:val="18"/>
          <w:szCs w:val="18"/>
        </w:rPr>
        <w:t xml:space="preserve"> Dextromethorphan and pseudoephedrine are included in some cough suppressants and over-the-counter cold formulations, which should be avoided.</w:t>
      </w:r>
    </w:p>
    <w:p w14:paraId="57680997" w14:textId="77777777" w:rsidR="00E1605A" w:rsidRDefault="00E1605A" w:rsidP="006F0C0A">
      <w:pPr>
        <w:spacing w:line="360" w:lineRule="auto"/>
        <w:rPr>
          <w:rFonts w:ascii="Lucida Sans" w:hAnsi="Lucida Sans" w:cs="Times New Roman"/>
          <w:sz w:val="18"/>
          <w:szCs w:val="18"/>
        </w:rPr>
      </w:pPr>
    </w:p>
    <w:p w14:paraId="006B0AFD" w14:textId="19420EF4" w:rsidR="000F5335" w:rsidRPr="006F0C0A" w:rsidRDefault="000F5335" w:rsidP="006F0C0A">
      <w:pPr>
        <w:spacing w:line="360" w:lineRule="auto"/>
        <w:rPr>
          <w:rFonts w:ascii="Lucida Sans" w:hAnsi="Lucida Sans" w:cs="Times New Roman"/>
          <w:sz w:val="18"/>
          <w:szCs w:val="18"/>
        </w:rPr>
      </w:pPr>
    </w:p>
    <w:p w14:paraId="25913725" w14:textId="77777777" w:rsidR="000F5335" w:rsidRPr="006F0C0A" w:rsidRDefault="000F5335" w:rsidP="006F0C0A">
      <w:pPr>
        <w:spacing w:line="360" w:lineRule="auto"/>
        <w:rPr>
          <w:rFonts w:ascii="Lucida Sans" w:hAnsi="Lucida Sans" w:cs="Times New Roman"/>
          <w:sz w:val="18"/>
          <w:szCs w:val="18"/>
        </w:rPr>
      </w:pPr>
    </w:p>
    <w:p w14:paraId="4EFD58DD" w14:textId="7333F740" w:rsidR="000F5335" w:rsidRDefault="000F5335" w:rsidP="006F0C0A">
      <w:pPr>
        <w:spacing w:line="360" w:lineRule="auto"/>
        <w:rPr>
          <w:rFonts w:ascii="Lucida Sans" w:hAnsi="Lucida Sans" w:cs="Times New Roman"/>
          <w:sz w:val="18"/>
          <w:szCs w:val="18"/>
        </w:rPr>
      </w:pPr>
      <w:r w:rsidRPr="006F0C0A">
        <w:rPr>
          <w:rFonts w:ascii="Lucida Sans" w:hAnsi="Lucida Sans" w:cs="Times New Roman"/>
          <w:sz w:val="18"/>
          <w:szCs w:val="18"/>
        </w:rPr>
        <w:t xml:space="preserve">When switching a patient from an SSRI to a MAOI, clinicians must ensure there is a suitable </w:t>
      </w:r>
      <w:r w:rsidR="00211D33">
        <w:rPr>
          <w:rFonts w:ascii="Lucida Sans" w:hAnsi="Lucida Sans" w:cs="Times New Roman"/>
          <w:sz w:val="18"/>
          <w:szCs w:val="18"/>
        </w:rPr>
        <w:t>‘</w:t>
      </w:r>
      <w:r w:rsidRPr="006F0C0A">
        <w:rPr>
          <w:rFonts w:ascii="Lucida Sans" w:hAnsi="Lucida Sans" w:cs="Times New Roman"/>
          <w:sz w:val="18"/>
          <w:szCs w:val="18"/>
        </w:rPr>
        <w:t>washout</w:t>
      </w:r>
      <w:r w:rsidR="00211D33">
        <w:rPr>
          <w:rFonts w:ascii="Lucida Sans" w:hAnsi="Lucida Sans" w:cs="Times New Roman"/>
          <w:sz w:val="18"/>
          <w:szCs w:val="18"/>
        </w:rPr>
        <w:t>’</w:t>
      </w:r>
      <w:r w:rsidRPr="006F0C0A">
        <w:rPr>
          <w:rFonts w:ascii="Lucida Sans" w:hAnsi="Lucida Sans" w:cs="Times New Roman"/>
          <w:sz w:val="18"/>
          <w:szCs w:val="18"/>
        </w:rPr>
        <w:t xml:space="preserve"> period of at least five half-lives of the particular SSRI</w:t>
      </w:r>
      <w:r w:rsidR="00216241" w:rsidRPr="006F0C0A">
        <w:rPr>
          <w:rFonts w:ascii="Lucida Sans" w:hAnsi="Lucida Sans" w:cs="Times New Roman"/>
          <w:sz w:val="18"/>
          <w:szCs w:val="18"/>
        </w:rPr>
        <w:t xml:space="preserve"> </w:t>
      </w:r>
      <w:r w:rsidR="00216241"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&lt;EndNote&gt;&lt;Cite&gt;&lt;Author&gt;Grady&lt;/Author&gt;&lt;Year&gt;2012&lt;/Year&gt;&lt;RecNum&gt;396&lt;/RecNum&gt;&lt;IDText&gt;Practical guide for prescribing MAOIs: debunking myths and removing barriers&lt;/IDText&gt;&lt;DisplayText&gt;[72]&lt;/DisplayText&gt;&lt;record&gt;&lt;rec-number&gt;396&lt;/rec-number&gt;&lt;foreign-keys&gt;&lt;key app="EN" db-id="2xwpd9xwpest5ue9rwa5etrr9fzzxded9vfx" timestamp="0"&gt;396&lt;/key&gt;&lt;/foreign-keys&gt;&lt;ref-type name="Journal Article"&gt;17&lt;/ref-type&gt;&lt;contributors&gt;&lt;authors&gt;&lt;author&gt;Grady, Meghan M&lt;/author&gt;&lt;author&gt;Stahl, Stephen M&lt;/author&gt;&lt;/authors&gt;&lt;/contributors&gt;&lt;titles&gt;&lt;title&gt;Practical guide for prescribing MAOIs: debunking myths and removing barriers&lt;/title&gt;&lt;secondary-title&gt;CNS spectr&lt;/secondary-title&gt;&lt;/titles&gt;&lt;pages&gt;2-10&lt;/pages&gt;&lt;volume&gt;17&lt;/volume&gt;&lt;number&gt;1&lt;/number&gt;&lt;dates&gt;&lt;year&gt;2012&lt;/year&gt;&lt;/dates&gt;&lt;urls&gt;&lt;/urls&gt;&lt;/record&gt;&lt;/Cite&gt;&lt;/EndNote&gt;</w:instrText>
      </w:r>
      <w:r w:rsidR="00216241" w:rsidRPr="006F0C0A">
        <w:rPr>
          <w:rFonts w:ascii="Lucida Sans" w:hAnsi="Lucida Sans" w:cs="Times New Roman"/>
          <w:sz w:val="18"/>
          <w:szCs w:val="18"/>
        </w:rPr>
        <w:fldChar w:fldCharType="separate"/>
      </w:r>
      <w:r w:rsidR="00271279">
        <w:rPr>
          <w:rFonts w:ascii="Lucida Sans" w:hAnsi="Lucida Sans" w:cs="Times New Roman"/>
          <w:noProof/>
          <w:sz w:val="18"/>
          <w:szCs w:val="18"/>
        </w:rPr>
        <w:t>[72]</w:t>
      </w:r>
      <w:r w:rsidR="00216241" w:rsidRPr="006F0C0A">
        <w:rPr>
          <w:rFonts w:ascii="Lucida Sans" w:hAnsi="Lucida Sans" w:cs="Times New Roman"/>
          <w:sz w:val="18"/>
          <w:szCs w:val="18"/>
        </w:rPr>
        <w:fldChar w:fldCharType="end"/>
      </w:r>
      <w:r w:rsidRPr="006F0C0A">
        <w:rPr>
          <w:rFonts w:ascii="Lucida Sans" w:hAnsi="Lucida Sans" w:cs="Times New Roman"/>
          <w:sz w:val="18"/>
          <w:szCs w:val="18"/>
        </w:rPr>
        <w:t>. This would typically be approximately seven days for most SSRIs, but around six weeks for fluoxetine due to its much longer half-life.  A washout period of 2-3 weeks is always advised after stopping a MAOI, before commencing an alternative antidepressant</w:t>
      </w:r>
      <w:r w:rsidR="00211D33">
        <w:rPr>
          <w:rFonts w:ascii="Lucida Sans" w:hAnsi="Lucida Sans" w:cs="Times New Roman"/>
          <w:sz w:val="18"/>
          <w:szCs w:val="18"/>
        </w:rPr>
        <w:t>:</w:t>
      </w:r>
      <w:r w:rsidRPr="006F0C0A">
        <w:rPr>
          <w:rFonts w:ascii="Lucida Sans" w:hAnsi="Lucida Sans" w:cs="Times New Roman"/>
          <w:sz w:val="18"/>
          <w:szCs w:val="18"/>
        </w:rPr>
        <w:t xml:space="preserve"> </w:t>
      </w:r>
      <w:r w:rsidR="00211D33">
        <w:rPr>
          <w:rFonts w:ascii="Lucida Sans" w:hAnsi="Lucida Sans" w:cs="Times New Roman"/>
          <w:sz w:val="18"/>
          <w:szCs w:val="18"/>
        </w:rPr>
        <w:t>t</w:t>
      </w:r>
      <w:r w:rsidRPr="006F0C0A">
        <w:rPr>
          <w:rFonts w:ascii="Lucida Sans" w:hAnsi="Lucida Sans" w:cs="Times New Roman"/>
          <w:sz w:val="18"/>
          <w:szCs w:val="18"/>
        </w:rPr>
        <w:t>his includes when switching from one MAOI to another MAOI.</w:t>
      </w:r>
      <w:r w:rsidR="00211D33">
        <w:rPr>
          <w:rFonts w:ascii="Lucida Sans" w:hAnsi="Lucida Sans" w:cs="Times New Roman"/>
          <w:sz w:val="18"/>
          <w:szCs w:val="18"/>
        </w:rPr>
        <w:t xml:space="preserve"> </w:t>
      </w:r>
      <w:r w:rsidRPr="006F0C0A">
        <w:rPr>
          <w:rFonts w:ascii="Lucida Sans" w:hAnsi="Lucida Sans" w:cs="Times New Roman"/>
          <w:sz w:val="18"/>
          <w:szCs w:val="18"/>
        </w:rPr>
        <w:t xml:space="preserve">As there are occasional reports of the emergence of features of serotonin syndrome even 10 weeks after an MAOI is stopped, introduction of medicines with serotonin-reuptake inhibitor properties should be conducted cautiously with careful monitoring. MAOIs can be </w:t>
      </w:r>
      <w:r w:rsidR="003D1949">
        <w:rPr>
          <w:rFonts w:ascii="Lucida Sans" w:hAnsi="Lucida Sans" w:cs="Times New Roman"/>
          <w:sz w:val="18"/>
          <w:szCs w:val="18"/>
        </w:rPr>
        <w:t xml:space="preserve">cautiously </w:t>
      </w:r>
      <w:r w:rsidRPr="006F0C0A">
        <w:rPr>
          <w:rFonts w:ascii="Lucida Sans" w:hAnsi="Lucida Sans" w:cs="Times New Roman"/>
          <w:sz w:val="18"/>
          <w:szCs w:val="18"/>
        </w:rPr>
        <w:t>combined with some tricyclic medications</w:t>
      </w:r>
      <w:r w:rsidR="00521188">
        <w:rPr>
          <w:rFonts w:ascii="Lucida Sans" w:hAnsi="Lucida Sans" w:cs="Times New Roman"/>
          <w:sz w:val="18"/>
          <w:szCs w:val="18"/>
        </w:rPr>
        <w:t>, such as amitriptyline</w:t>
      </w:r>
      <w:r w:rsidRPr="006F0C0A">
        <w:rPr>
          <w:rFonts w:ascii="Lucida Sans" w:hAnsi="Lucida Sans" w:cs="Times New Roman"/>
          <w:sz w:val="18"/>
          <w:szCs w:val="18"/>
        </w:rPr>
        <w:t xml:space="preserve"> (</w:t>
      </w:r>
      <w:r w:rsidR="00211D33">
        <w:rPr>
          <w:rFonts w:ascii="Lucida Sans" w:hAnsi="Lucida Sans" w:cs="Times New Roman"/>
          <w:sz w:val="18"/>
          <w:szCs w:val="18"/>
        </w:rPr>
        <w:t xml:space="preserve">but </w:t>
      </w:r>
      <w:r w:rsidRPr="006F0C0A">
        <w:rPr>
          <w:rFonts w:ascii="Lucida Sans" w:hAnsi="Lucida Sans" w:cs="Times New Roman"/>
          <w:sz w:val="18"/>
          <w:szCs w:val="18"/>
        </w:rPr>
        <w:t>not clomipramine)</w:t>
      </w:r>
      <w:r w:rsidR="00A31CCB" w:rsidRPr="006F0C0A">
        <w:rPr>
          <w:rFonts w:ascii="Lucida Sans" w:hAnsi="Lucida Sans" w:cs="Times New Roman"/>
          <w:sz w:val="18"/>
          <w:szCs w:val="18"/>
        </w:rPr>
        <w:t xml:space="preserve"> </w:t>
      </w:r>
      <w:r w:rsidR="00A31CCB"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&lt;EndNote&gt;&lt;Cite&gt;&lt;Author&gt;Pilowsky&lt;/Author&gt;&lt;Year&gt;1997&lt;/Year&gt;&lt;RecNum&gt;606&lt;/RecNum&gt;&lt;DisplayText&gt;[73]&lt;/DisplayText&gt;&lt;record&gt;&lt;rec-number&gt;606&lt;/rec-number&gt;&lt;foreign-keys&gt;&lt;key app="EN" db-id="2xwpd9xwpest5ue9rwa5etrr9fzzxded9vfx" timestamp="1621503980"&gt;606&lt;/key&gt;&lt;/foreign-keys&gt;&lt;ref-type name="Book Section"&gt;5&lt;/ref-type&gt;&lt;contributors&gt;&lt;authors&gt;&lt;author&gt;Pilowsky, L. S.&lt;/author&gt;&lt;author&gt;Kerwin, R. W,&lt;/author&gt;&lt;/authors&gt;&lt;secondary-authors&gt;&lt;author&gt;Murray, R., Hill, P. and McGuffin, P, &lt;/author&gt;&lt;/secondary-authors&gt;&lt;/contributors&gt;&lt;titles&gt;&lt;title&gt;Biological Treatments in Psychiatry,&lt;/title&gt;&lt;secondary-title&gt;The Essentials of Postgraduate Psychiatry&lt;/secondary-title&gt;&lt;/titles&gt;&lt;pages&gt;605-634&lt;/pages&gt;&lt;edition&gt;3rd Edition&lt;/edition&gt;&lt;section&gt;24&lt;/section&gt;&lt;dates&gt;&lt;year&gt;1997&lt;/year&gt;&lt;/dates&gt;&lt;pub-location&gt;Cambridge&lt;/pub-location&gt;&lt;publisher&gt;Cambridge University Press&lt;/publisher&gt;&lt;urls&gt;&lt;/urls&gt;&lt;/record&gt;&lt;/Cite&gt;&lt;/EndNote&gt;</w:instrText>
      </w:r>
      <w:r w:rsidR="00A31CCB" w:rsidRPr="006F0C0A">
        <w:rPr>
          <w:rFonts w:ascii="Lucida Sans" w:hAnsi="Lucida Sans" w:cs="Times New Roman"/>
          <w:sz w:val="18"/>
          <w:szCs w:val="18"/>
        </w:rPr>
        <w:fldChar w:fldCharType="separate"/>
      </w:r>
      <w:r w:rsidR="00271279">
        <w:rPr>
          <w:rFonts w:ascii="Lucida Sans" w:hAnsi="Lucida Sans" w:cs="Times New Roman"/>
          <w:noProof/>
          <w:sz w:val="18"/>
          <w:szCs w:val="18"/>
        </w:rPr>
        <w:t>[73]</w:t>
      </w:r>
      <w:r w:rsidR="00A31CCB" w:rsidRPr="006F0C0A">
        <w:rPr>
          <w:rFonts w:ascii="Lucida Sans" w:hAnsi="Lucida Sans" w:cs="Times New Roman"/>
          <w:sz w:val="18"/>
          <w:szCs w:val="18"/>
        </w:rPr>
        <w:fldChar w:fldCharType="end"/>
      </w:r>
      <w:r w:rsidRPr="006F0C0A">
        <w:rPr>
          <w:rFonts w:ascii="Lucida Sans" w:hAnsi="Lucida Sans" w:cs="Times New Roman"/>
          <w:sz w:val="18"/>
          <w:szCs w:val="18"/>
        </w:rPr>
        <w:t xml:space="preserve"> but this should only be considered in psychiatric inpatient units, or specialist outpatient clinics for patients with treatment-resistant affective disorders, due to the need for cautious dose titration and close monitoring. </w:t>
      </w:r>
      <w:r w:rsidR="003D1949">
        <w:rPr>
          <w:rFonts w:ascii="Lucida Sans" w:hAnsi="Lucida Sans" w:cs="Times New Roman"/>
          <w:sz w:val="18"/>
          <w:szCs w:val="18"/>
        </w:rPr>
        <w:t>Such practice is supported</w:t>
      </w:r>
      <w:r w:rsidR="00EF25A1">
        <w:rPr>
          <w:rFonts w:ascii="Lucida Sans" w:hAnsi="Lucida Sans" w:cs="Times New Roman"/>
          <w:sz w:val="18"/>
          <w:szCs w:val="18"/>
        </w:rPr>
        <w:t xml:space="preserve"> cautiously</w:t>
      </w:r>
      <w:r w:rsidR="003D1949">
        <w:rPr>
          <w:rFonts w:ascii="Lucida Sans" w:hAnsi="Lucida Sans" w:cs="Times New Roman"/>
          <w:sz w:val="18"/>
          <w:szCs w:val="18"/>
        </w:rPr>
        <w:t xml:space="preserve"> by pilot data</w:t>
      </w:r>
      <w:r w:rsidR="008B2FFA">
        <w:rPr>
          <w:rFonts w:ascii="Lucida Sans" w:hAnsi="Lucida Sans" w:cs="Times New Roman"/>
          <w:sz w:val="18"/>
          <w:szCs w:val="18"/>
        </w:rPr>
        <w:t xml:space="preserve"> </w:t>
      </w:r>
      <w:r w:rsidR="008B2FF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&lt;EndNote&gt;&lt;Cite&gt;&lt;Author&gt;White&lt;/Author&gt;&lt;Year&gt;1980&lt;/Year&gt;&lt;RecNum&gt;498&lt;/RecNum&gt;&lt;DisplayText&gt;[74]&lt;/DisplayText&gt;&lt;record&gt;&lt;rec-number&gt;498&lt;/rec-number&gt;&lt;foreign-keys&gt;&lt;key app="EN" db-id="2xwpd9xwpest5ue9rwa5etrr9fzzxded9vfx" timestamp="1619003524"&gt;498&lt;/key&gt;&lt;/foreign-keys&gt;&lt;ref-type name="Journal Article"&gt;17&lt;/ref-type&gt;&lt;contributors&gt;&lt;authors&gt;&lt;author&gt;White, KERRIN&lt;/author&gt;&lt;author&gt;Pistole, T&lt;/author&gt;&lt;author&gt;Boyd, JEFFREY L&lt;/author&gt;&lt;/authors&gt;&lt;/contributors&gt;&lt;titles&gt;&lt;title&gt;Combined monoamine oxidase inhibitor-tricyclic antidepressant treatment: a pilot study&lt;/title&gt;&lt;secondary-title&gt;American journal of psychiatry&lt;/secondary-title&gt;&lt;/titles&gt;&lt;periodical&gt;&lt;full-title&gt;American journal of psychiatry&lt;/full-title&gt;&lt;/periodical&gt;&lt;pages&gt;1422-1425&lt;/pages&gt;&lt;volume&gt;137&lt;/volume&gt;&lt;number&gt;11&lt;/number&gt;&lt;dates&gt;&lt;year&gt;1980&lt;/year&gt;&lt;/dates&gt;&lt;isbn&gt;0002-953X&lt;/isbn&gt;&lt;urls&gt;&lt;/urls&gt;&lt;/record&gt;&lt;/Cite&gt;&lt;/EndNote&gt;</w:instrText>
      </w:r>
      <w:r w:rsidR="008B2FFA">
        <w:rPr>
          <w:rFonts w:ascii="Lucida Sans" w:hAnsi="Lucida Sans" w:cs="Times New Roman"/>
          <w:sz w:val="18"/>
          <w:szCs w:val="18"/>
        </w:rPr>
        <w:fldChar w:fldCharType="separate"/>
      </w:r>
      <w:r w:rsidR="00271279">
        <w:rPr>
          <w:rFonts w:ascii="Lucida Sans" w:hAnsi="Lucida Sans" w:cs="Times New Roman"/>
          <w:noProof/>
          <w:sz w:val="18"/>
          <w:szCs w:val="18"/>
        </w:rPr>
        <w:t>[74]</w:t>
      </w:r>
      <w:r w:rsidR="008B2FFA">
        <w:rPr>
          <w:rFonts w:ascii="Lucida Sans" w:hAnsi="Lucida Sans" w:cs="Times New Roman"/>
          <w:sz w:val="18"/>
          <w:szCs w:val="18"/>
        </w:rPr>
        <w:fldChar w:fldCharType="end"/>
      </w:r>
      <w:r w:rsidR="00EF25A1">
        <w:rPr>
          <w:rFonts w:ascii="Lucida Sans" w:hAnsi="Lucida Sans" w:cs="Times New Roman"/>
          <w:sz w:val="18"/>
          <w:szCs w:val="18"/>
        </w:rPr>
        <w:t xml:space="preserve">. </w:t>
      </w:r>
    </w:p>
    <w:p w14:paraId="6846F421" w14:textId="77777777" w:rsidR="000F5335" w:rsidRPr="006F0C0A" w:rsidRDefault="000F5335" w:rsidP="006F0C0A">
      <w:pPr>
        <w:spacing w:line="360" w:lineRule="auto"/>
        <w:rPr>
          <w:rFonts w:ascii="Lucida Sans" w:hAnsi="Lucida Sans" w:cs="Times New Roman"/>
          <w:sz w:val="18"/>
          <w:szCs w:val="18"/>
        </w:rPr>
      </w:pPr>
    </w:p>
    <w:p w14:paraId="0510966B" w14:textId="74630A6A" w:rsidR="00216241" w:rsidRDefault="000F5335" w:rsidP="006F0C0A">
      <w:pPr>
        <w:spacing w:line="360" w:lineRule="auto"/>
        <w:rPr>
          <w:rFonts w:ascii="Lucida Sans" w:hAnsi="Lucida Sans" w:cs="Times New Roman"/>
          <w:sz w:val="18"/>
          <w:szCs w:val="18"/>
        </w:rPr>
      </w:pPr>
      <w:r w:rsidRPr="006F0C0A">
        <w:rPr>
          <w:rFonts w:ascii="Lucida Sans" w:hAnsi="Lucida Sans" w:cs="Times New Roman"/>
          <w:sz w:val="18"/>
          <w:szCs w:val="18"/>
        </w:rPr>
        <w:t xml:space="preserve">Medications with potent noradrenergic effects should also be avoided whenever possible in people taking MAOI, due to the potential risk of synergistic effects on blood pressure </w:t>
      </w:r>
      <w:r w:rsidR="00216241"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&lt;EndNote&gt;&lt;Cite&gt;&lt;Author&gt;Grady&lt;/Author&gt;&lt;Year&gt;2012&lt;/Year&gt;&lt;RecNum&gt;396&lt;/RecNum&gt;&lt;IDText&gt;Practical guide for prescribing MAOIs: debunking myths and removing barriers&lt;/IDText&gt;&lt;DisplayText&gt;[72]&lt;/DisplayText&gt;&lt;record&gt;&lt;rec-number&gt;396&lt;/rec-number&gt;&lt;foreign-keys&gt;&lt;key app="EN" db-id="2xwpd9xwpest5ue9rwa5etrr9fzzxded9vfx" timestamp="0"&gt;396&lt;/key&gt;&lt;/foreign-keys&gt;&lt;ref-type name="Journal Article"&gt;17&lt;/ref-type&gt;&lt;contributors&gt;&lt;authors&gt;&lt;author&gt;Grady, Meghan M&lt;/author&gt;&lt;author&gt;Stahl, Stephen M&lt;/author&gt;&lt;/authors&gt;&lt;/contributors&gt;&lt;titles&gt;&lt;title&gt;Practical guide for prescribing MAOIs: debunking myths and removing barriers&lt;/title&gt;&lt;secondary-title&gt;CNS spectr&lt;/secondary-title&gt;&lt;/titles&gt;&lt;pages&gt;2-10&lt;/pages&gt;&lt;volume&gt;17&lt;/volume&gt;&lt;number&gt;1&lt;/number&gt;&lt;dates&gt;&lt;year&gt;2012&lt;/year&gt;&lt;/dates&gt;&lt;urls&gt;&lt;/urls&gt;&lt;/record&gt;&lt;/Cite&gt;&lt;/EndNote&gt;</w:instrText>
      </w:r>
      <w:r w:rsidR="00216241" w:rsidRPr="006F0C0A">
        <w:rPr>
          <w:rFonts w:ascii="Lucida Sans" w:hAnsi="Lucida Sans" w:cs="Times New Roman"/>
          <w:sz w:val="18"/>
          <w:szCs w:val="18"/>
        </w:rPr>
        <w:fldChar w:fldCharType="separate"/>
      </w:r>
      <w:r w:rsidR="00271279">
        <w:rPr>
          <w:rFonts w:ascii="Lucida Sans" w:hAnsi="Lucida Sans" w:cs="Times New Roman"/>
          <w:noProof/>
          <w:sz w:val="18"/>
          <w:szCs w:val="18"/>
        </w:rPr>
        <w:t>[72]</w:t>
      </w:r>
      <w:r w:rsidR="00216241" w:rsidRPr="006F0C0A">
        <w:rPr>
          <w:rFonts w:ascii="Lucida Sans" w:hAnsi="Lucida Sans" w:cs="Times New Roman"/>
          <w:sz w:val="18"/>
          <w:szCs w:val="18"/>
        </w:rPr>
        <w:fldChar w:fldCharType="end"/>
      </w:r>
      <w:r w:rsidRPr="006F0C0A">
        <w:rPr>
          <w:rFonts w:ascii="Lucida Sans" w:hAnsi="Lucida Sans" w:cs="Times New Roman"/>
          <w:sz w:val="18"/>
          <w:szCs w:val="18"/>
        </w:rPr>
        <w:t xml:space="preserve">. Examples of such medications include stimulant and stimulant-like medications (e.g. methylphenidate, amphetamine, modafinil), noradrenaline reuptake inhibitors (including atomoxetine and reboxetine), and certain anaesthetic agents. For surgical procedures needing local anaesthetic, a non-noradrenergic anaesthetic agent should be used. For surgical procedures needing general anaesthetic, input from an anaesthetist should be sought well in advance, as it is likely the MAOI will need to be discontinued at least 10 days </w:t>
      </w:r>
      <w:r w:rsidR="00F85CAB">
        <w:rPr>
          <w:rFonts w:ascii="Lucida Sans" w:hAnsi="Lucida Sans" w:cs="Times New Roman"/>
          <w:sz w:val="18"/>
          <w:szCs w:val="18"/>
        </w:rPr>
        <w:t>before</w:t>
      </w:r>
      <w:r w:rsidRPr="006F0C0A">
        <w:rPr>
          <w:rFonts w:ascii="Lucida Sans" w:hAnsi="Lucida Sans" w:cs="Times New Roman"/>
          <w:sz w:val="18"/>
          <w:szCs w:val="18"/>
        </w:rPr>
        <w:t xml:space="preserve"> surgery. </w:t>
      </w:r>
      <w:r w:rsidR="00EF0395">
        <w:rPr>
          <w:rFonts w:ascii="Lucida Sans" w:hAnsi="Lucida Sans" w:cs="Times New Roman"/>
          <w:sz w:val="18"/>
          <w:szCs w:val="18"/>
        </w:rPr>
        <w:t>Very l</w:t>
      </w:r>
      <w:r w:rsidR="001418F3">
        <w:rPr>
          <w:rFonts w:ascii="Lucida Sans" w:hAnsi="Lucida Sans" w:cs="Times New Roman"/>
          <w:sz w:val="18"/>
          <w:szCs w:val="18"/>
        </w:rPr>
        <w:t>ittle is known about the potential safety or toxicity of combining MAOIs with bupropion</w:t>
      </w:r>
      <w:r w:rsidR="00EF0395">
        <w:rPr>
          <w:rFonts w:ascii="Lucida Sans" w:hAnsi="Lucida Sans" w:cs="Times New Roman"/>
          <w:sz w:val="18"/>
          <w:szCs w:val="18"/>
        </w:rPr>
        <w:t xml:space="preserve"> </w:t>
      </w:r>
      <w:r w:rsidR="008559AF">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&lt;EndNote&gt;&lt;Cite&gt;&lt;Author&gt;Thomas&lt;/Author&gt;&lt;Year&gt;2015&lt;/Year&gt;&lt;RecNum&gt;604&lt;/RecNum&gt;&lt;DisplayText&gt;[75]&lt;/DisplayText&gt;&lt;record&gt;&lt;rec-number&gt;604&lt;/rec-number&gt;&lt;foreign-keys&gt;&lt;key app="EN" db-id="2xwpd9xwpest5ue9rwa5etrr9fzzxded9vfx" timestamp="1621418736"&gt;604&lt;/key&gt;&lt;/foreign-keys&gt;&lt;ref-type name="Journal Article"&gt;17&lt;/ref-type&gt;&lt;contributors&gt;&lt;authors&gt;&lt;author&gt;Thomas, Samantha J&lt;/author&gt;&lt;author&gt;Shin, Mirae&lt;/author&gt;&lt;author&gt;McInnis, Melvin G&lt;/author&gt;&lt;author&gt;Bostwick, Jolene R&lt;/author&gt;&lt;/authors&gt;&lt;/contributors&gt;&lt;titles&gt;&lt;title&gt;Combination therapy with monoamine oxidase inhibitors and other antidepressants or stimulants: strategies for the management of treatment</w:instrText>
      </w:r>
      <w:r w:rsidR="00271279">
        <w:rPr>
          <w:rFonts w:ascii="Cambria Math" w:hAnsi="Cambria Math" w:cs="Cambria Math"/>
          <w:sz w:val="18"/>
          <w:szCs w:val="18"/>
        </w:rPr>
        <w:instrText>‐</w:instrText>
      </w:r>
      <w:r w:rsidR="00271279">
        <w:rPr>
          <w:rFonts w:ascii="Lucida Sans" w:hAnsi="Lucida Sans" w:cs="Times New Roman"/>
          <w:sz w:val="18"/>
          <w:szCs w:val="18"/>
        </w:rPr>
        <w:instrText>resistant depression&lt;/title&gt;&lt;secondary-title&gt;Pharmacotherapy: The Journal of Human Pharmacology and Drug Therapy&lt;/secondary-title&gt;&lt;/titles&gt;&lt;periodical&gt;&lt;full-title&gt;Pharmacotherapy: The Journal of Human Pharmacology and Drug Therapy&lt;/full-title&gt;&lt;/periodical&gt;&lt;pages&gt;433-449&lt;/pages&gt;&lt;volume&gt;35&lt;/volume&gt;&lt;number&gt;4&lt;/number&gt;&lt;dates&gt;&lt;year&gt;2015&lt;/year&gt;&lt;/dates&gt;&lt;isbn&gt;0277-0008&lt;/isbn&gt;&lt;urls&gt;&lt;/urls&gt;&lt;/record&gt;&lt;/Cite&gt;&lt;/EndNote&gt;</w:instrText>
      </w:r>
      <w:r w:rsidR="008559AF">
        <w:rPr>
          <w:rFonts w:ascii="Lucida Sans" w:hAnsi="Lucida Sans" w:cs="Times New Roman"/>
          <w:sz w:val="18"/>
          <w:szCs w:val="18"/>
        </w:rPr>
        <w:fldChar w:fldCharType="separate"/>
      </w:r>
      <w:r w:rsidR="00271279">
        <w:rPr>
          <w:rFonts w:ascii="Lucida Sans" w:hAnsi="Lucida Sans" w:cs="Times New Roman"/>
          <w:noProof/>
          <w:sz w:val="18"/>
          <w:szCs w:val="18"/>
        </w:rPr>
        <w:t>[75]</w:t>
      </w:r>
      <w:r w:rsidR="008559AF">
        <w:rPr>
          <w:rFonts w:ascii="Lucida Sans" w:hAnsi="Lucida Sans" w:cs="Times New Roman"/>
          <w:sz w:val="18"/>
          <w:szCs w:val="18"/>
        </w:rPr>
        <w:fldChar w:fldCharType="end"/>
      </w:r>
      <w:r w:rsidR="00EF3C4D">
        <w:rPr>
          <w:rFonts w:ascii="Lucida Sans" w:hAnsi="Lucida Sans" w:cs="Times New Roman"/>
          <w:sz w:val="18"/>
          <w:szCs w:val="18"/>
        </w:rPr>
        <w:t xml:space="preserve">, </w:t>
      </w:r>
      <w:r w:rsidR="001418F3">
        <w:rPr>
          <w:rFonts w:ascii="Lucida Sans" w:hAnsi="Lucida Sans" w:cs="Times New Roman"/>
          <w:sz w:val="18"/>
          <w:szCs w:val="18"/>
        </w:rPr>
        <w:t xml:space="preserve">although </w:t>
      </w:r>
      <w:r w:rsidR="00EF0395">
        <w:rPr>
          <w:rFonts w:ascii="Lucida Sans" w:hAnsi="Lucida Sans" w:cs="Times New Roman"/>
          <w:sz w:val="18"/>
          <w:szCs w:val="18"/>
        </w:rPr>
        <w:t xml:space="preserve">as a </w:t>
      </w:r>
      <w:r w:rsidR="001418F3">
        <w:rPr>
          <w:rFonts w:ascii="Lucida Sans" w:hAnsi="Lucida Sans" w:cs="Times New Roman"/>
          <w:sz w:val="18"/>
          <w:szCs w:val="18"/>
        </w:rPr>
        <w:t>pharmacokinetic drug-drug interaction study suggest</w:t>
      </w:r>
      <w:r w:rsidR="00EF0395">
        <w:rPr>
          <w:rFonts w:ascii="Lucida Sans" w:hAnsi="Lucida Sans" w:cs="Times New Roman"/>
          <w:sz w:val="18"/>
          <w:szCs w:val="18"/>
        </w:rPr>
        <w:t xml:space="preserve">s </w:t>
      </w:r>
      <w:r w:rsidR="001418F3">
        <w:rPr>
          <w:rFonts w:ascii="Lucida Sans" w:hAnsi="Lucida Sans" w:cs="Times New Roman"/>
          <w:sz w:val="18"/>
          <w:szCs w:val="18"/>
        </w:rPr>
        <w:t xml:space="preserve">that phenelzine administration </w:t>
      </w:r>
      <w:r w:rsidR="00EF0395">
        <w:rPr>
          <w:rFonts w:ascii="Lucida Sans" w:hAnsi="Lucida Sans" w:cs="Times New Roman"/>
          <w:sz w:val="18"/>
          <w:szCs w:val="18"/>
        </w:rPr>
        <w:t>can increase the bioavailability of bupr</w:t>
      </w:r>
      <w:r w:rsidR="00EF3C4D">
        <w:rPr>
          <w:rFonts w:ascii="Lucida Sans" w:hAnsi="Lucida Sans" w:cs="Times New Roman"/>
          <w:sz w:val="18"/>
          <w:szCs w:val="18"/>
        </w:rPr>
        <w:t>op</w:t>
      </w:r>
      <w:r w:rsidR="00EF0395">
        <w:rPr>
          <w:rFonts w:ascii="Lucida Sans" w:hAnsi="Lucida Sans" w:cs="Times New Roman"/>
          <w:sz w:val="18"/>
          <w:szCs w:val="18"/>
        </w:rPr>
        <w:t xml:space="preserve">ion </w:t>
      </w:r>
      <w:r w:rsidR="008E1EA2">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&lt;EndNote&gt;&lt;Cite&gt;&lt;Author&gt;Nirogi&lt;/Author&gt;&lt;Year&gt;2015&lt;/Year&gt;&lt;RecNum&gt;605&lt;/RecNum&gt;&lt;DisplayText&gt;[76]&lt;/DisplayText&gt;&lt;record&gt;&lt;rec-number&gt;605&lt;/rec-number&gt;&lt;foreign-keys&gt;&lt;key app="EN" db-id="2xwpd9xwpest5ue9rwa5etrr9fzzxded9vfx" timestamp="1621418920"&gt;605&lt;/key&gt;&lt;/foreign-keys&gt;&lt;ref-type name="Journal Article"&gt;17&lt;/ref-type&gt;&lt;contributors&gt;&lt;authors&gt;&lt;author&gt;Nirogi, Ramakrishna&lt;/author&gt;&lt;author&gt;Palacharla, Raghava Choudary&lt;/author&gt;&lt;author&gt;Mohammed, Abdul Rasheed&lt;/author&gt;&lt;author&gt;Manoharan, Arunkumar&lt;/author&gt;&lt;author&gt;kumar Ponnamaneni, Ranjith&lt;/author&gt;&lt;author&gt;Bhyrapuneni, Gopinadh&lt;/author&gt;&lt;/authors&gt;&lt;/contributors&gt;&lt;titles&gt;&lt;title&gt;Evaluation of metabolism dependent inhibition of CYP2B6 mediated bupropion hydroxylation in human liver microsomes by monoamine oxidase inhibitors and prediction of potential as perpetrators of drug interaction&lt;/title&gt;&lt;secondary-title&gt;Chemico-biological interactions&lt;/secondary-title&gt;&lt;/titles&gt;&lt;periodical&gt;&lt;full-title&gt;Chemico-biological interactions&lt;/full-title&gt;&lt;/periodical&gt;&lt;pages&gt;9-20&lt;/pages&gt;&lt;volume&gt;230&lt;/volume&gt;&lt;dates&gt;&lt;year&gt;2015&lt;/year&gt;&lt;/dates&gt;&lt;isbn&gt;0009-2797&lt;/isbn&gt;&lt;urls&gt;&lt;/urls&gt;&lt;/record&gt;&lt;/Cite&gt;&lt;/EndNote&gt;</w:instrText>
      </w:r>
      <w:r w:rsidR="008E1EA2">
        <w:rPr>
          <w:rFonts w:ascii="Lucida Sans" w:hAnsi="Lucida Sans" w:cs="Times New Roman"/>
          <w:sz w:val="18"/>
          <w:szCs w:val="18"/>
        </w:rPr>
        <w:fldChar w:fldCharType="separate"/>
      </w:r>
      <w:r w:rsidR="00271279">
        <w:rPr>
          <w:rFonts w:ascii="Lucida Sans" w:hAnsi="Lucida Sans" w:cs="Times New Roman"/>
          <w:noProof/>
          <w:sz w:val="18"/>
          <w:szCs w:val="18"/>
        </w:rPr>
        <w:t>[76]</w:t>
      </w:r>
      <w:r w:rsidR="008E1EA2">
        <w:rPr>
          <w:rFonts w:ascii="Lucida Sans" w:hAnsi="Lucida Sans" w:cs="Times New Roman"/>
          <w:sz w:val="18"/>
          <w:szCs w:val="18"/>
        </w:rPr>
        <w:fldChar w:fldCharType="end"/>
      </w:r>
      <w:r w:rsidR="00EF0395">
        <w:rPr>
          <w:rFonts w:ascii="Lucida Sans" w:hAnsi="Lucida Sans" w:cs="Times New Roman"/>
          <w:sz w:val="18"/>
          <w:szCs w:val="18"/>
        </w:rPr>
        <w:t xml:space="preserve"> their combined use should probably be avoided. </w:t>
      </w:r>
    </w:p>
    <w:p w14:paraId="15EB4E8B" w14:textId="77777777" w:rsidR="00F17428" w:rsidRDefault="00F17428" w:rsidP="006F0C0A">
      <w:pPr>
        <w:spacing w:line="360" w:lineRule="auto"/>
        <w:rPr>
          <w:rFonts w:ascii="Lucida Sans" w:hAnsi="Lucida Sans" w:cs="Times New Roman"/>
          <w:sz w:val="18"/>
          <w:szCs w:val="18"/>
        </w:rPr>
      </w:pPr>
    </w:p>
    <w:p w14:paraId="7F30F9D7" w14:textId="2BA1536E" w:rsidR="00F17428" w:rsidRDefault="00F17428" w:rsidP="006F0C0A">
      <w:pPr>
        <w:spacing w:line="360" w:lineRule="auto"/>
        <w:rPr>
          <w:rFonts w:ascii="Lucida Sans" w:hAnsi="Lucida Sans" w:cs="Times New Roman"/>
          <w:sz w:val="18"/>
          <w:szCs w:val="18"/>
        </w:rPr>
      </w:pPr>
      <w:r>
        <w:rPr>
          <w:rFonts w:ascii="Lucida Sans" w:hAnsi="Lucida Sans" w:cs="Times New Roman"/>
          <w:sz w:val="18"/>
          <w:szCs w:val="18"/>
        </w:rPr>
        <w:t>The combination of an MAOI with ketamine or esketamine is not advised</w:t>
      </w:r>
      <w:r w:rsidR="00B43D6F">
        <w:rPr>
          <w:rFonts w:ascii="Lucida Sans" w:hAnsi="Lucida Sans" w:cs="Times New Roman"/>
          <w:sz w:val="18"/>
          <w:szCs w:val="18"/>
        </w:rPr>
        <w:t xml:space="preserve"> by their manufacturers</w:t>
      </w:r>
      <w:r>
        <w:rPr>
          <w:rFonts w:ascii="Lucida Sans" w:hAnsi="Lucida Sans" w:cs="Times New Roman"/>
          <w:sz w:val="18"/>
          <w:szCs w:val="18"/>
        </w:rPr>
        <w:t xml:space="preserve">, </w:t>
      </w:r>
      <w:r w:rsidR="00B43D6F">
        <w:rPr>
          <w:rFonts w:ascii="Lucida Sans" w:hAnsi="Lucida Sans" w:cs="Times New Roman"/>
          <w:sz w:val="18"/>
          <w:szCs w:val="18"/>
        </w:rPr>
        <w:t xml:space="preserve">due to concern about potential additive monoaminergic effects on cardiovascular function (principally dopamine reuptake inhibitory effects with esketamine). </w:t>
      </w:r>
      <w:r w:rsidR="00DD62CE">
        <w:rPr>
          <w:rFonts w:ascii="Lucida Sans" w:hAnsi="Lucida Sans" w:cs="Times New Roman"/>
          <w:sz w:val="18"/>
          <w:szCs w:val="18"/>
        </w:rPr>
        <w:t>As</w:t>
      </w:r>
      <w:r w:rsidR="00B43D6F">
        <w:rPr>
          <w:rFonts w:ascii="Lucida Sans" w:hAnsi="Lucida Sans" w:cs="Times New Roman"/>
          <w:sz w:val="18"/>
          <w:szCs w:val="18"/>
        </w:rPr>
        <w:t xml:space="preserve"> tranylcypromine and phenelzine are often prescribed in patients with </w:t>
      </w:r>
      <w:r w:rsidR="00B43D6F" w:rsidRPr="00727DEE">
        <w:rPr>
          <w:rFonts w:ascii="Lucida Sans" w:hAnsi="Lucida Sans" w:cs="Times New Roman"/>
          <w:sz w:val="18"/>
          <w:szCs w:val="18"/>
        </w:rPr>
        <w:t xml:space="preserve">otherwise treatment-refractory depression, there is interest in the safety and tolerability of MAOI medications when combined with ketamine/esketamine: </w:t>
      </w:r>
      <w:r w:rsidR="007640F4" w:rsidRPr="00727DEE">
        <w:rPr>
          <w:rFonts w:ascii="Lucida Sans" w:hAnsi="Lucida Sans" w:cs="Times New Roman"/>
          <w:sz w:val="18"/>
          <w:szCs w:val="18"/>
        </w:rPr>
        <w:t>observations described in</w:t>
      </w:r>
      <w:r w:rsidR="00DD62CE" w:rsidRPr="00727DEE">
        <w:rPr>
          <w:rFonts w:ascii="Lucida Sans" w:hAnsi="Lucida Sans" w:cs="Times New Roman"/>
          <w:sz w:val="18"/>
          <w:szCs w:val="18"/>
        </w:rPr>
        <w:t xml:space="preserve"> </w:t>
      </w:r>
      <w:r w:rsidR="007640F4" w:rsidRPr="00727DEE">
        <w:rPr>
          <w:rFonts w:ascii="Lucida Sans" w:hAnsi="Lucida Sans" w:cs="Times New Roman"/>
          <w:sz w:val="18"/>
          <w:szCs w:val="18"/>
        </w:rPr>
        <w:t xml:space="preserve">case reports and </w:t>
      </w:r>
      <w:r w:rsidR="00B43D6F" w:rsidRPr="00727DEE">
        <w:rPr>
          <w:rFonts w:ascii="Lucida Sans" w:hAnsi="Lucida Sans" w:cs="Times New Roman"/>
          <w:sz w:val="18"/>
          <w:szCs w:val="18"/>
        </w:rPr>
        <w:t xml:space="preserve">small case series </w:t>
      </w:r>
      <w:r w:rsidR="007640F4" w:rsidRPr="00727DEE">
        <w:rPr>
          <w:rFonts w:ascii="Lucida Sans" w:hAnsi="Lucida Sans" w:cs="Times New Roman"/>
          <w:sz w:val="18"/>
          <w:szCs w:val="18"/>
        </w:rPr>
        <w:t xml:space="preserve">(often reported as letters to editors) </w:t>
      </w:r>
      <w:r w:rsidR="00B43D6F" w:rsidRPr="00727DEE">
        <w:rPr>
          <w:rFonts w:ascii="Lucida Sans" w:hAnsi="Lucida Sans" w:cs="Times New Roman"/>
          <w:sz w:val="18"/>
          <w:szCs w:val="18"/>
        </w:rPr>
        <w:t xml:space="preserve">suggest that effects on blood pressure </w:t>
      </w:r>
      <w:r w:rsidR="00DD62CE" w:rsidRPr="00727DEE">
        <w:rPr>
          <w:rFonts w:ascii="Lucida Sans" w:hAnsi="Lucida Sans" w:cs="Times New Roman"/>
          <w:sz w:val="18"/>
          <w:szCs w:val="18"/>
        </w:rPr>
        <w:t>are variable</w:t>
      </w:r>
      <w:r w:rsidR="007640F4" w:rsidRPr="00727DEE">
        <w:rPr>
          <w:rFonts w:ascii="Lucida Sans" w:hAnsi="Lucida Sans" w:cs="Times New Roman"/>
          <w:sz w:val="18"/>
          <w:szCs w:val="18"/>
        </w:rPr>
        <w:t>,</w:t>
      </w:r>
      <w:r w:rsidR="00DD62CE" w:rsidRPr="00727DEE">
        <w:rPr>
          <w:rFonts w:ascii="Lucida Sans" w:hAnsi="Lucida Sans" w:cs="Times New Roman"/>
          <w:sz w:val="18"/>
          <w:szCs w:val="18"/>
        </w:rPr>
        <w:t xml:space="preserve"> though only transient</w:t>
      </w:r>
      <w:r w:rsidR="00ED36A7" w:rsidRPr="00727DEE">
        <w:rPr>
          <w:rFonts w:ascii="Lucida Sans" w:hAnsi="Lucida Sans" w:cs="Times New Roman"/>
          <w:sz w:val="18"/>
          <w:szCs w:val="18"/>
        </w:rPr>
        <w:t xml:space="preserve"> </w:t>
      </w:r>
      <w:r w:rsidR="00F042CD" w:rsidRPr="00727DEE">
        <w:rPr>
          <w:rFonts w:ascii="Lucida Sans" w:hAnsi="Lucida Sans" w:cs="Times New Roman"/>
          <w:sz w:val="18"/>
          <w:szCs w:val="18"/>
        </w:rPr>
        <w:fldChar w:fldCharType="begin">
          <w:fldData xml:space="preserve">PEVuZE5vdGU+PENpdGU+PEF1dGhvcj5CYXJ0b3ZhPC9BdXRob3I+PFllYXI+MjAxNTwvWWVhcj48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</w:fldData>
        </w:fldChar>
      </w:r>
      <w:r w:rsidR="00271279">
        <w:rPr>
          <w:rFonts w:ascii="Lucida Sans" w:hAnsi="Lucida Sans" w:cs="Times New Roman"/>
          <w:sz w:val="18"/>
          <w:szCs w:val="18"/>
        </w:rPr>
        <w:instrText xml:space="preserve"> ADDIN EN.CITE </w:instrText>
      </w:r>
      <w:r w:rsidR="00271279">
        <w:rPr>
          <w:rFonts w:ascii="Lucida Sans" w:hAnsi="Lucida Sans" w:cs="Times New Roman"/>
          <w:sz w:val="18"/>
          <w:szCs w:val="18"/>
        </w:rPr>
        <w:fldChar w:fldCharType="begin">
          <w:fldData xml:space="preserve">PEVuZE5vdGU+PENpdGU+PEF1dGhvcj5CYXJ0b3ZhPC9BdXRob3I+PFllYXI+MjAxNTwvWWVhcj48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</w:fldData>
        </w:fldChar>
      </w:r>
      <w:r w:rsidR="00271279">
        <w:rPr>
          <w:rFonts w:ascii="Lucida Sans" w:hAnsi="Lucida Sans" w:cs="Times New Roman"/>
          <w:sz w:val="18"/>
          <w:szCs w:val="18"/>
        </w:rPr>
        <w:instrText xml:space="preserve"> ADDIN EN.CITE.DATA </w:instrText>
      </w:r>
      <w:r w:rsidR="00271279">
        <w:rPr>
          <w:rFonts w:ascii="Lucida Sans" w:hAnsi="Lucida Sans" w:cs="Times New Roman"/>
          <w:sz w:val="18"/>
          <w:szCs w:val="18"/>
        </w:rPr>
      </w:r>
      <w:r w:rsidR="00271279">
        <w:rPr>
          <w:rFonts w:ascii="Lucida Sans" w:hAnsi="Lucida Sans" w:cs="Times New Roman"/>
          <w:sz w:val="18"/>
          <w:szCs w:val="18"/>
        </w:rPr>
        <w:fldChar w:fldCharType="end"/>
      </w:r>
      <w:r w:rsidR="00F042CD" w:rsidRPr="00727DEE">
        <w:rPr>
          <w:rFonts w:ascii="Lucida Sans" w:hAnsi="Lucida Sans" w:cs="Times New Roman"/>
          <w:sz w:val="18"/>
          <w:szCs w:val="18"/>
        </w:rPr>
      </w:r>
      <w:r w:rsidR="00F042CD" w:rsidRPr="00727DEE">
        <w:rPr>
          <w:rFonts w:ascii="Lucida Sans" w:hAnsi="Lucida Sans" w:cs="Times New Roman"/>
          <w:sz w:val="18"/>
          <w:szCs w:val="18"/>
        </w:rPr>
        <w:fldChar w:fldCharType="separate"/>
      </w:r>
      <w:r w:rsidR="00271279">
        <w:rPr>
          <w:rFonts w:ascii="Lucida Sans" w:hAnsi="Lucida Sans" w:cs="Times New Roman"/>
          <w:noProof/>
          <w:sz w:val="18"/>
          <w:szCs w:val="18"/>
        </w:rPr>
        <w:t>[77-79]</w:t>
      </w:r>
      <w:r w:rsidR="00F042CD" w:rsidRPr="00727DEE">
        <w:rPr>
          <w:rFonts w:ascii="Lucida Sans" w:hAnsi="Lucida Sans" w:cs="Times New Roman"/>
          <w:sz w:val="18"/>
          <w:szCs w:val="18"/>
        </w:rPr>
        <w:fldChar w:fldCharType="end"/>
      </w:r>
      <w:r w:rsidR="007640F4" w:rsidRPr="00727DEE">
        <w:rPr>
          <w:rFonts w:ascii="Lucida Sans" w:hAnsi="Lucida Sans" w:cs="Times New Roman"/>
          <w:sz w:val="18"/>
          <w:szCs w:val="18"/>
        </w:rPr>
        <w:t>:</w:t>
      </w:r>
      <w:r w:rsidR="00DD62CE" w:rsidRPr="00727DEE">
        <w:rPr>
          <w:rFonts w:ascii="Lucida Sans" w:hAnsi="Lucida Sans" w:cs="Times New Roman"/>
          <w:sz w:val="18"/>
          <w:szCs w:val="18"/>
        </w:rPr>
        <w:t xml:space="preserve"> </w:t>
      </w:r>
      <w:r w:rsidR="007640F4" w:rsidRPr="00727DEE">
        <w:rPr>
          <w:rFonts w:ascii="Lucida Sans" w:hAnsi="Lucida Sans" w:cs="Times New Roman"/>
          <w:sz w:val="18"/>
          <w:szCs w:val="18"/>
        </w:rPr>
        <w:t xml:space="preserve">but much </w:t>
      </w:r>
      <w:r w:rsidR="00DD62CE" w:rsidRPr="00727DEE">
        <w:rPr>
          <w:rFonts w:ascii="Lucida Sans" w:hAnsi="Lucida Sans" w:cs="Times New Roman"/>
          <w:sz w:val="18"/>
          <w:szCs w:val="18"/>
        </w:rPr>
        <w:t>more information is required before these combinations can be recommended outside of research studies.</w:t>
      </w:r>
      <w:r w:rsidR="00DD62CE">
        <w:rPr>
          <w:rFonts w:ascii="Lucida Sans" w:hAnsi="Lucida Sans" w:cs="Times New Roman"/>
          <w:sz w:val="18"/>
          <w:szCs w:val="18"/>
        </w:rPr>
        <w:t xml:space="preserve"> </w:t>
      </w:r>
    </w:p>
    <w:p w14:paraId="68674715" w14:textId="77777777" w:rsidR="00F85CAB" w:rsidRPr="006F0C0A" w:rsidRDefault="00F85CAB" w:rsidP="006F0C0A">
      <w:pPr>
        <w:spacing w:line="360" w:lineRule="auto"/>
        <w:rPr>
          <w:rFonts w:ascii="Lucida Sans" w:hAnsi="Lucida Sans" w:cs="Times New Roman"/>
          <w:sz w:val="18"/>
          <w:szCs w:val="18"/>
        </w:rPr>
      </w:pPr>
    </w:p>
    <w:p w14:paraId="79CF29CE" w14:textId="4401D6FC" w:rsidR="000F5335" w:rsidRPr="00F94A14" w:rsidRDefault="000F5335" w:rsidP="00F94A14">
      <w:pPr>
        <w:pStyle w:val="ListParagraph"/>
        <w:numPr>
          <w:ilvl w:val="0"/>
          <w:numId w:val="3"/>
        </w:numPr>
        <w:spacing w:line="360" w:lineRule="auto"/>
        <w:rPr>
          <w:rFonts w:ascii="Lucida Sans" w:hAnsi="Lucida Sans" w:cs="Times New Roman"/>
          <w:b/>
          <w:sz w:val="18"/>
          <w:szCs w:val="18"/>
          <w:lang w:val="en-US"/>
        </w:rPr>
      </w:pPr>
      <w:r w:rsidRPr="00F94A14">
        <w:rPr>
          <w:rFonts w:ascii="Lucida Sans" w:hAnsi="Lucida Sans" w:cs="Times New Roman"/>
          <w:b/>
          <w:sz w:val="18"/>
          <w:szCs w:val="18"/>
          <w:lang w:val="en-US"/>
        </w:rPr>
        <w:t>Dietary Restrictions</w:t>
      </w:r>
    </w:p>
    <w:p w14:paraId="1B83C517" w14:textId="670A5C21" w:rsidR="002961B0" w:rsidRDefault="000F5335" w:rsidP="006F0C0A">
      <w:pPr>
        <w:spacing w:line="360" w:lineRule="auto"/>
        <w:rPr>
          <w:rFonts w:ascii="Lucida Sans" w:hAnsi="Lucida Sans" w:cs="Times New Roman"/>
          <w:sz w:val="18"/>
          <w:szCs w:val="18"/>
        </w:rPr>
      </w:pPr>
      <w:r w:rsidRPr="006F0C0A">
        <w:rPr>
          <w:rFonts w:ascii="Lucida Sans" w:hAnsi="Lucida Sans" w:cs="Times New Roman"/>
          <w:sz w:val="18"/>
          <w:szCs w:val="18"/>
        </w:rPr>
        <w:t>Consuming high levels of dietary tyramine while also taking MAOI medication can lead to raised blood pressure, including in some cases serious life-threatening hypertensive crises. Tyramine is normally metabolised by MAO in the liver and intestinal cells. With MAO inhibition, tyr</w:t>
      </w:r>
      <w:r w:rsidR="00F85CAB">
        <w:rPr>
          <w:rFonts w:ascii="Lucida Sans" w:hAnsi="Lucida Sans" w:cs="Times New Roman"/>
          <w:sz w:val="18"/>
          <w:szCs w:val="18"/>
        </w:rPr>
        <w:t>amine</w:t>
      </w:r>
      <w:r w:rsidRPr="006F0C0A">
        <w:rPr>
          <w:rFonts w:ascii="Lucida Sans" w:hAnsi="Lucida Sans" w:cs="Times New Roman"/>
          <w:sz w:val="18"/>
          <w:szCs w:val="18"/>
        </w:rPr>
        <w:t xml:space="preserve"> is not metabolised in the gut and passes directly i</w:t>
      </w:r>
      <w:r w:rsidR="00733916" w:rsidRPr="006F0C0A">
        <w:rPr>
          <w:rFonts w:ascii="Lucida Sans" w:hAnsi="Lucida Sans" w:cs="Times New Roman"/>
          <w:sz w:val="18"/>
          <w:szCs w:val="18"/>
        </w:rPr>
        <w:t>nto the circulation where it can lead to</w:t>
      </w:r>
      <w:r w:rsidRPr="006F0C0A">
        <w:rPr>
          <w:rFonts w:ascii="Lucida Sans" w:hAnsi="Lucida Sans" w:cs="Times New Roman"/>
          <w:sz w:val="18"/>
          <w:szCs w:val="18"/>
        </w:rPr>
        <w:t xml:space="preserve"> release</w:t>
      </w:r>
      <w:r w:rsidR="00A366C0">
        <w:rPr>
          <w:rFonts w:ascii="Lucida Sans" w:hAnsi="Lucida Sans" w:cs="Times New Roman"/>
          <w:sz w:val="18"/>
          <w:szCs w:val="18"/>
        </w:rPr>
        <w:t xml:space="preserve"> of</w:t>
      </w:r>
      <w:r w:rsidRPr="006F0C0A">
        <w:rPr>
          <w:rFonts w:ascii="Lucida Sans" w:hAnsi="Lucida Sans" w:cs="Times New Roman"/>
          <w:sz w:val="18"/>
          <w:szCs w:val="18"/>
        </w:rPr>
        <w:t xml:space="preserve"> nor</w:t>
      </w:r>
      <w:r w:rsidR="006531B4">
        <w:rPr>
          <w:rFonts w:ascii="Lucida Sans" w:hAnsi="Lucida Sans" w:cs="Times New Roman"/>
          <w:sz w:val="18"/>
          <w:szCs w:val="18"/>
        </w:rPr>
        <w:t>adrenaline</w:t>
      </w:r>
      <w:r w:rsidRPr="006F0C0A">
        <w:rPr>
          <w:rFonts w:ascii="Lucida Sans" w:hAnsi="Lucida Sans" w:cs="Times New Roman"/>
          <w:sz w:val="18"/>
          <w:szCs w:val="18"/>
        </w:rPr>
        <w:t xml:space="preserve">, so causing hypertension. </w:t>
      </w:r>
    </w:p>
    <w:p w14:paraId="54F49A77" w14:textId="2776E5C9" w:rsidR="00826076" w:rsidRDefault="00826076" w:rsidP="006F0C0A">
      <w:pPr>
        <w:spacing w:line="360" w:lineRule="auto"/>
        <w:rPr>
          <w:rFonts w:ascii="Lucida Sans" w:hAnsi="Lucida Sans" w:cs="Times New Roman"/>
          <w:sz w:val="18"/>
          <w:szCs w:val="18"/>
        </w:rPr>
      </w:pPr>
    </w:p>
    <w:p w14:paraId="35578511" w14:textId="6F1D2ABF" w:rsidR="002961B0" w:rsidRPr="00D9704F" w:rsidRDefault="000F5335" w:rsidP="006F0C0A">
      <w:pPr>
        <w:spacing w:line="360" w:lineRule="auto"/>
        <w:rPr>
          <w:rFonts w:ascii="Lucida Sans" w:hAnsi="Lucida Sans" w:cs="Times New Roman"/>
          <w:sz w:val="18"/>
          <w:szCs w:val="18"/>
        </w:rPr>
      </w:pPr>
      <w:r w:rsidRPr="006F0C0A">
        <w:rPr>
          <w:rFonts w:ascii="Lucida Sans" w:hAnsi="Lucida Sans" w:cs="Times New Roman"/>
          <w:sz w:val="18"/>
          <w:szCs w:val="18"/>
        </w:rPr>
        <w:t xml:space="preserve">Even though reversible MAOIs theoretically have a </w:t>
      </w:r>
      <w:r w:rsidR="00F85CAB">
        <w:rPr>
          <w:rFonts w:ascii="Lucida Sans" w:hAnsi="Lucida Sans" w:cs="Times New Roman"/>
          <w:sz w:val="18"/>
          <w:szCs w:val="18"/>
        </w:rPr>
        <w:t xml:space="preserve">much </w:t>
      </w:r>
      <w:r w:rsidRPr="006F0C0A">
        <w:rPr>
          <w:rFonts w:ascii="Lucida Sans" w:hAnsi="Lucida Sans" w:cs="Times New Roman"/>
          <w:sz w:val="18"/>
          <w:szCs w:val="18"/>
        </w:rPr>
        <w:t>lower risk of this reaction, current practice is that all patients taking MAOI</w:t>
      </w:r>
      <w:r w:rsidR="00E71117">
        <w:rPr>
          <w:rFonts w:ascii="Lucida Sans" w:hAnsi="Lucida Sans" w:cs="Times New Roman"/>
          <w:sz w:val="18"/>
          <w:szCs w:val="18"/>
        </w:rPr>
        <w:t>s</w:t>
      </w:r>
      <w:r w:rsidRPr="006F0C0A">
        <w:rPr>
          <w:rFonts w:ascii="Lucida Sans" w:hAnsi="Lucida Sans" w:cs="Times New Roman"/>
          <w:sz w:val="18"/>
          <w:szCs w:val="18"/>
        </w:rPr>
        <w:t xml:space="preserve"> </w:t>
      </w:r>
      <w:r w:rsidR="00F67536">
        <w:rPr>
          <w:rFonts w:ascii="Lucida Sans" w:hAnsi="Lucida Sans" w:cs="Times New Roman"/>
          <w:sz w:val="18"/>
          <w:szCs w:val="18"/>
        </w:rPr>
        <w:t>are best</w:t>
      </w:r>
      <w:r w:rsidRPr="006F0C0A">
        <w:rPr>
          <w:rFonts w:ascii="Lucida Sans" w:hAnsi="Lucida Sans" w:cs="Times New Roman"/>
          <w:sz w:val="18"/>
          <w:szCs w:val="18"/>
        </w:rPr>
        <w:t xml:space="preserve"> advised to follow the dietary restrictions</w:t>
      </w:r>
      <w:r w:rsidR="00826076">
        <w:rPr>
          <w:rFonts w:ascii="Lucida Sans" w:hAnsi="Lucida Sans" w:cs="Times New Roman"/>
          <w:sz w:val="18"/>
          <w:szCs w:val="18"/>
        </w:rPr>
        <w:t xml:space="preserve">, except for the lowest dose </w:t>
      </w:r>
      <w:r w:rsidR="00826076" w:rsidRPr="00826076">
        <w:rPr>
          <w:rFonts w:ascii="Lucida Sans" w:hAnsi="Lucida Sans" w:cs="Times New Roman"/>
          <w:sz w:val="18"/>
          <w:szCs w:val="18"/>
        </w:rPr>
        <w:t>(6 mg/24 hours)</w:t>
      </w:r>
      <w:r w:rsidR="00826076">
        <w:rPr>
          <w:rFonts w:ascii="Lucida Sans" w:hAnsi="Lucida Sans" w:cs="Times New Roman"/>
          <w:sz w:val="18"/>
          <w:szCs w:val="18"/>
        </w:rPr>
        <w:t xml:space="preserve"> of the </w:t>
      </w:r>
      <w:r w:rsidR="00826076" w:rsidRPr="00826076">
        <w:rPr>
          <w:rFonts w:ascii="Lucida Sans" w:hAnsi="Lucida Sans" w:cs="Times New Roman"/>
          <w:sz w:val="18"/>
          <w:szCs w:val="18"/>
        </w:rPr>
        <w:t>selegiline transdermal system</w:t>
      </w:r>
      <w:r w:rsidRPr="006F0C0A">
        <w:rPr>
          <w:rFonts w:ascii="Lucida Sans" w:hAnsi="Lucida Sans" w:cs="Times New Roman"/>
          <w:sz w:val="18"/>
          <w:szCs w:val="18"/>
        </w:rPr>
        <w:t xml:space="preserve">. </w:t>
      </w:r>
      <w:r w:rsidR="00D9704F" w:rsidRPr="006F0C0A">
        <w:rPr>
          <w:rFonts w:ascii="Lucida Sans" w:hAnsi="Lucida Sans" w:cs="Times New Roman"/>
          <w:sz w:val="18"/>
          <w:szCs w:val="18"/>
        </w:rPr>
        <w:t xml:space="preserve">Studies in healthy volunteers have found that reversible MAOIs interact less with tyramine than </w:t>
      </w:r>
      <w:r w:rsidR="00E40457">
        <w:rPr>
          <w:rFonts w:ascii="Lucida Sans" w:hAnsi="Lucida Sans" w:cs="Times New Roman"/>
          <w:sz w:val="18"/>
          <w:szCs w:val="18"/>
        </w:rPr>
        <w:t xml:space="preserve">do </w:t>
      </w:r>
      <w:r w:rsidR="00D9704F" w:rsidRPr="006F0C0A">
        <w:rPr>
          <w:rFonts w:ascii="Lucida Sans" w:hAnsi="Lucida Sans" w:cs="Times New Roman"/>
          <w:sz w:val="18"/>
          <w:szCs w:val="18"/>
        </w:rPr>
        <w:t>irreversible MAOI</w:t>
      </w:r>
      <w:r w:rsidR="00826076">
        <w:rPr>
          <w:rFonts w:ascii="Lucida Sans" w:hAnsi="Lucida Sans" w:cs="Times New Roman"/>
          <w:sz w:val="18"/>
          <w:szCs w:val="18"/>
        </w:rPr>
        <w:t>s</w:t>
      </w:r>
      <w:r w:rsidR="00D9704F" w:rsidRPr="006F0C0A">
        <w:rPr>
          <w:rFonts w:ascii="Lucida Sans" w:hAnsi="Lucida Sans" w:cs="Times New Roman"/>
          <w:sz w:val="18"/>
          <w:szCs w:val="18"/>
        </w:rPr>
        <w:t xml:space="preserve"> </w:t>
      </w:r>
      <w:r w:rsidR="00D9704F"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&lt;EndNote&gt;&lt;Cite&gt;&lt;Author&gt;Finberg&lt;/Author&gt;&lt;Year&gt;2016&lt;/Year&gt;&lt;RecNum&gt;442&lt;/RecNum&gt;&lt;IDText&gt;Inhibitors of MAO-A and MAO-B in psychiatry and neurology&lt;/IDText&gt;&lt;DisplayText&gt;[80]&lt;/DisplayText&gt;&lt;record&gt;&lt;rec-number&gt;442&lt;/rec-number&gt;&lt;foreign-keys&gt;&lt;key app="EN" db-id="2xwpd9xwpest5ue9rwa5etrr9fzzxded9vfx" timestamp="0"&gt;442&lt;/key&gt;&lt;/foreign-keys&gt;&lt;ref-type name="Journal Article"&gt;17&lt;/ref-type&gt;&lt;contributors&gt;&lt;authors&gt;&lt;author&gt;Finberg, John PM&lt;/author&gt;&lt;author&gt;Rabey, Jose M&lt;/author&gt;&lt;/authors&gt;&lt;/contributors&gt;&lt;titles&gt;&lt;title&gt;Inhibitors of MAO-A and MAO-B in psychiatry and neurology&lt;/title&gt;&lt;secondary-title&gt;Frontiers in pharmacology&lt;/secondary-title&gt;&lt;/titles&gt;&lt;pages&gt;340&lt;/pages&gt;&lt;volume&gt;7&lt;/volume&gt;&lt;dates&gt;&lt;year&gt;2016&lt;/year&gt;&lt;/dates&gt;&lt;isbn&gt;1663-9812&lt;/isbn&gt;&lt;urls&gt;&lt;/urls&gt;&lt;/record&gt;&lt;/Cite&gt;&lt;/EndNote&gt;</w:instrText>
      </w:r>
      <w:r w:rsidR="00D9704F" w:rsidRPr="006F0C0A">
        <w:rPr>
          <w:rFonts w:ascii="Lucida Sans" w:hAnsi="Lucida Sans" w:cs="Times New Roman"/>
          <w:sz w:val="18"/>
          <w:szCs w:val="18"/>
        </w:rPr>
        <w:fldChar w:fldCharType="separate"/>
      </w:r>
      <w:r w:rsidR="00271279">
        <w:rPr>
          <w:rFonts w:ascii="Lucida Sans" w:hAnsi="Lucida Sans" w:cs="Times New Roman"/>
          <w:noProof/>
          <w:sz w:val="18"/>
          <w:szCs w:val="18"/>
        </w:rPr>
        <w:t>[80]</w:t>
      </w:r>
      <w:r w:rsidR="00D9704F" w:rsidRPr="006F0C0A">
        <w:rPr>
          <w:rFonts w:ascii="Lucida Sans" w:hAnsi="Lucida Sans" w:cs="Times New Roman"/>
          <w:sz w:val="18"/>
          <w:szCs w:val="18"/>
        </w:rPr>
        <w:fldChar w:fldCharType="end"/>
      </w:r>
      <w:r w:rsidR="00D9704F" w:rsidRPr="006F0C0A">
        <w:rPr>
          <w:rFonts w:ascii="Lucida Sans" w:hAnsi="Lucida Sans" w:cs="Times New Roman"/>
          <w:sz w:val="18"/>
          <w:szCs w:val="18"/>
        </w:rPr>
        <w:t xml:space="preserve">. It follows that reversible MAOIs </w:t>
      </w:r>
      <w:r w:rsidR="00E71117">
        <w:rPr>
          <w:rFonts w:ascii="Lucida Sans" w:hAnsi="Lucida Sans" w:cs="Times New Roman"/>
          <w:sz w:val="18"/>
          <w:szCs w:val="18"/>
        </w:rPr>
        <w:t>are</w:t>
      </w:r>
      <w:r w:rsidR="00D10E88" w:rsidRPr="006F0C0A">
        <w:rPr>
          <w:rFonts w:ascii="Lucida Sans" w:hAnsi="Lucida Sans" w:cs="Times New Roman"/>
          <w:sz w:val="18"/>
          <w:szCs w:val="18"/>
        </w:rPr>
        <w:t xml:space="preserve"> </w:t>
      </w:r>
      <w:r w:rsidR="00D9704F" w:rsidRPr="006F0C0A">
        <w:rPr>
          <w:rFonts w:ascii="Lucida Sans" w:hAnsi="Lucida Sans" w:cs="Times New Roman"/>
          <w:sz w:val="18"/>
          <w:szCs w:val="18"/>
        </w:rPr>
        <w:t>less likely to cause a hypertensive reaction when combined with high levels of dietary tyramine</w:t>
      </w:r>
      <w:r w:rsidR="00D9704F">
        <w:rPr>
          <w:rFonts w:ascii="Lucida Sans" w:hAnsi="Lucida Sans" w:cs="Times New Roman"/>
          <w:sz w:val="18"/>
          <w:szCs w:val="18"/>
        </w:rPr>
        <w:t>:</w:t>
      </w:r>
      <w:r w:rsidR="00D9704F" w:rsidRPr="006F0C0A">
        <w:rPr>
          <w:rFonts w:ascii="Lucida Sans" w:hAnsi="Lucida Sans" w:cs="Times New Roman"/>
          <w:sz w:val="18"/>
          <w:szCs w:val="18"/>
        </w:rPr>
        <w:t xml:space="preserve"> </w:t>
      </w:r>
      <w:r w:rsidR="00D9704F">
        <w:rPr>
          <w:rFonts w:ascii="Lucida Sans" w:hAnsi="Lucida Sans" w:cs="Times New Roman"/>
          <w:sz w:val="18"/>
          <w:szCs w:val="18"/>
        </w:rPr>
        <w:t>h</w:t>
      </w:r>
      <w:r w:rsidR="00D9704F" w:rsidRPr="006F0C0A">
        <w:rPr>
          <w:rFonts w:ascii="Lucida Sans" w:hAnsi="Lucida Sans" w:cs="Times New Roman"/>
          <w:sz w:val="18"/>
          <w:szCs w:val="18"/>
        </w:rPr>
        <w:t xml:space="preserve">owever, confirmatory prospective clinical data are not currently available. </w:t>
      </w:r>
      <w:r w:rsidR="00A30E23">
        <w:rPr>
          <w:rFonts w:ascii="Lucida Sans" w:hAnsi="Lucida Sans" w:cs="Times New Roman"/>
          <w:sz w:val="18"/>
          <w:szCs w:val="18"/>
        </w:rPr>
        <w:t>For the reversible MAOI moclobemide, current UK prescribing guidelines (</w:t>
      </w:r>
      <w:r w:rsidR="00A30E23" w:rsidRPr="009A7D3F">
        <w:rPr>
          <w:rFonts w:ascii="Lucida Sans" w:hAnsi="Lucida Sans" w:cs="Times New Roman"/>
          <w:i/>
          <w:sz w:val="18"/>
          <w:szCs w:val="18"/>
        </w:rPr>
        <w:t>British National Formulary</w:t>
      </w:r>
      <w:r w:rsidR="00A30E23">
        <w:rPr>
          <w:rFonts w:ascii="Lucida Sans" w:hAnsi="Lucida Sans" w:cs="Times New Roman"/>
          <w:sz w:val="18"/>
          <w:szCs w:val="18"/>
        </w:rPr>
        <w:t>) advise that patients should avoid consuming “large amounts” of tyramine rich foodstuffs.</w:t>
      </w:r>
      <w:r w:rsidR="00A30E23" w:rsidRPr="006F0C0A">
        <w:rPr>
          <w:rFonts w:ascii="Lucida Sans" w:hAnsi="Lucida Sans" w:cs="Times New Roman"/>
          <w:sz w:val="18"/>
          <w:szCs w:val="18"/>
        </w:rPr>
        <w:t xml:space="preserve"> </w:t>
      </w:r>
      <w:r w:rsidR="0040057D" w:rsidRPr="006F0C0A">
        <w:rPr>
          <w:rFonts w:ascii="Lucida Sans" w:hAnsi="Lucida Sans" w:cs="Times New Roman"/>
          <w:b/>
          <w:sz w:val="18"/>
          <w:szCs w:val="18"/>
        </w:rPr>
        <w:t xml:space="preserve">Table </w:t>
      </w:r>
      <w:r w:rsidR="00FE5372">
        <w:rPr>
          <w:rFonts w:ascii="Lucida Sans" w:hAnsi="Lucida Sans" w:cs="Times New Roman"/>
          <w:b/>
          <w:sz w:val="18"/>
          <w:szCs w:val="18"/>
        </w:rPr>
        <w:t>2</w:t>
      </w:r>
      <w:r w:rsidRPr="006F0C0A">
        <w:rPr>
          <w:rFonts w:ascii="Lucida Sans" w:hAnsi="Lucida Sans" w:cs="Times New Roman"/>
          <w:sz w:val="18"/>
          <w:szCs w:val="18"/>
        </w:rPr>
        <w:t xml:space="preserve"> provides a useful general guideline for common foods and drinks to avoid, and those that are allowed, in people taking MAOIs. Individual dietary practices should also be considered on a per patient basis, in case a particular patient’s usual diet includes tyramine containing food/drinks not considered in the table. </w:t>
      </w:r>
    </w:p>
    <w:p w14:paraId="7998AC86" w14:textId="77777777" w:rsidR="000F5335" w:rsidRPr="006F0C0A" w:rsidRDefault="000F5335" w:rsidP="006F0C0A">
      <w:pPr>
        <w:spacing w:line="360" w:lineRule="auto"/>
        <w:rPr>
          <w:rFonts w:ascii="Lucida Sans" w:hAnsi="Lucida Sans" w:cs="Times New Roman"/>
          <w:b/>
          <w:sz w:val="18"/>
          <w:szCs w:val="18"/>
        </w:rPr>
      </w:pPr>
    </w:p>
    <w:p w14:paraId="711F783A" w14:textId="706D0236" w:rsidR="000F5335" w:rsidRPr="006F0C0A" w:rsidRDefault="000F5335" w:rsidP="006F0C0A">
      <w:pPr>
        <w:spacing w:line="360" w:lineRule="auto"/>
        <w:rPr>
          <w:rFonts w:ascii="Lucida Sans" w:hAnsi="Lucida Sans" w:cs="Times New Roman"/>
          <w:sz w:val="18"/>
          <w:szCs w:val="18"/>
        </w:rPr>
      </w:pPr>
      <w:r w:rsidRPr="006F0C0A">
        <w:rPr>
          <w:rFonts w:ascii="Lucida Sans" w:hAnsi="Lucida Sans" w:cs="Times New Roman"/>
          <w:sz w:val="18"/>
          <w:szCs w:val="18"/>
        </w:rPr>
        <w:t xml:space="preserve">When MAOIs are stopped, patients should be advised to continue their restricted diet (with avoidance of tyramine-containing foods and beverages) and their avoidance of some proprietary cough </w:t>
      </w:r>
      <w:r w:rsidR="00335CAA">
        <w:rPr>
          <w:rFonts w:ascii="Lucida Sans" w:hAnsi="Lucida Sans" w:cs="Times New Roman"/>
          <w:sz w:val="18"/>
          <w:szCs w:val="18"/>
        </w:rPr>
        <w:t xml:space="preserve">and cold </w:t>
      </w:r>
      <w:r w:rsidRPr="006F0C0A">
        <w:rPr>
          <w:rFonts w:ascii="Lucida Sans" w:hAnsi="Lucida Sans" w:cs="Times New Roman"/>
          <w:sz w:val="18"/>
          <w:szCs w:val="18"/>
        </w:rPr>
        <w:t xml:space="preserve">medicines for 2-3 weeks after treatment is withdrawn. </w:t>
      </w:r>
    </w:p>
    <w:p w14:paraId="5F544A78" w14:textId="77777777" w:rsidR="002961B0" w:rsidRPr="006F0C0A" w:rsidRDefault="002961B0" w:rsidP="006F0C0A">
      <w:pPr>
        <w:spacing w:line="360" w:lineRule="auto"/>
        <w:rPr>
          <w:rFonts w:ascii="Lucida Sans" w:hAnsi="Lucida Sans" w:cs="Times New Roman"/>
          <w:sz w:val="18"/>
          <w:szCs w:val="18"/>
        </w:rPr>
      </w:pPr>
    </w:p>
    <w:p w14:paraId="3FB9D21C" w14:textId="4F0B9129" w:rsidR="00194E32" w:rsidRPr="00727DEE" w:rsidRDefault="00503B31" w:rsidP="00F94A14">
      <w:pPr>
        <w:pStyle w:val="ListParagraph"/>
        <w:numPr>
          <w:ilvl w:val="0"/>
          <w:numId w:val="3"/>
        </w:numPr>
        <w:spacing w:line="360" w:lineRule="auto"/>
        <w:rPr>
          <w:rFonts w:ascii="Lucida Sans" w:hAnsi="Lucida Sans" w:cs="Times New Roman"/>
          <w:b/>
          <w:sz w:val="18"/>
          <w:szCs w:val="18"/>
        </w:rPr>
      </w:pPr>
      <w:r w:rsidRPr="00F94A14">
        <w:rPr>
          <w:rFonts w:ascii="Lucida Sans" w:hAnsi="Lucida Sans" w:cs="Times New Roman"/>
          <w:b/>
          <w:sz w:val="18"/>
          <w:szCs w:val="18"/>
          <w:lang w:val="en-US"/>
        </w:rPr>
        <w:t xml:space="preserve">Practical </w:t>
      </w:r>
      <w:r w:rsidRPr="00727DEE">
        <w:rPr>
          <w:rFonts w:ascii="Lucida Sans" w:hAnsi="Lucida Sans" w:cs="Times New Roman"/>
          <w:b/>
          <w:sz w:val="18"/>
          <w:szCs w:val="18"/>
          <w:lang w:val="en-US"/>
        </w:rPr>
        <w:t xml:space="preserve">advice on </w:t>
      </w:r>
      <w:r w:rsidR="00335CAA" w:rsidRPr="00727DEE">
        <w:rPr>
          <w:rFonts w:ascii="Lucida Sans" w:hAnsi="Lucida Sans" w:cs="Times New Roman"/>
          <w:b/>
          <w:sz w:val="18"/>
          <w:szCs w:val="18"/>
          <w:lang w:val="en-US"/>
        </w:rPr>
        <w:t>c</w:t>
      </w:r>
      <w:r w:rsidR="00194E32" w:rsidRPr="00727DEE">
        <w:rPr>
          <w:rFonts w:ascii="Lucida Sans" w:hAnsi="Lucida Sans" w:cs="Times New Roman"/>
          <w:b/>
          <w:sz w:val="18"/>
          <w:szCs w:val="18"/>
          <w:lang w:val="en-US"/>
        </w:rPr>
        <w:t xml:space="preserve">hoice of MAOI and </w:t>
      </w:r>
      <w:r w:rsidRPr="00727DEE">
        <w:rPr>
          <w:rFonts w:ascii="Lucida Sans" w:hAnsi="Lucida Sans" w:cs="Times New Roman"/>
          <w:b/>
          <w:sz w:val="18"/>
          <w:szCs w:val="18"/>
          <w:lang w:val="en-US"/>
        </w:rPr>
        <w:t>sequencing</w:t>
      </w:r>
    </w:p>
    <w:p w14:paraId="66F87B42" w14:textId="75AE5B1C" w:rsidR="000E123C" w:rsidRPr="00727DEE" w:rsidRDefault="000247EF" w:rsidP="00664C02">
      <w:pPr>
        <w:spacing w:line="360" w:lineRule="auto"/>
        <w:rPr>
          <w:rFonts w:ascii="Lucida Sans" w:hAnsi="Lucida Sans" w:cs="Times New Roman"/>
          <w:sz w:val="18"/>
          <w:szCs w:val="18"/>
        </w:rPr>
      </w:pPr>
      <w:r w:rsidRPr="00727DEE">
        <w:rPr>
          <w:rFonts w:ascii="Lucida Sans" w:hAnsi="Lucida Sans" w:cs="Times New Roman"/>
          <w:sz w:val="18"/>
          <w:szCs w:val="18"/>
        </w:rPr>
        <w:t>Efficacy studies demonstrate that reversible MAOIs (principally moclobemide) are as effective as tricyclic antidepressants, but may be less effective than irreversible MAOIs</w:t>
      </w:r>
      <w:r w:rsidR="00216241" w:rsidRPr="00727DEE">
        <w:rPr>
          <w:rFonts w:ascii="Lucida Sans" w:hAnsi="Lucida Sans" w:cs="Times New Roman"/>
          <w:sz w:val="18"/>
          <w:szCs w:val="18"/>
        </w:rPr>
        <w:t xml:space="preserve"> </w:t>
      </w:r>
      <w:r w:rsidR="00216241"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&lt;EndNote&gt;&lt;Cite&gt;&lt;Author&gt;Shulman&lt;/Author&gt;&lt;Year&gt;2013&lt;/Year&gt;&lt;RecNum&gt;394&lt;/RecNum&gt;&lt;IDText&gt;Current place of monoamine oxidase inhibitors in the treatment of depression&lt;/IDText&gt;&lt;DisplayText&gt;[11]&lt;/DisplayText&gt;&lt;record&gt;&lt;rec-number&gt;394&lt;/rec-number&gt;&lt;foreign-keys&gt;&lt;key app="EN" db-id="2xwpd9xwpest5ue9rwa5etrr9fzzxded9vfx" timestamp="0"&gt;394&lt;/key&gt;&lt;/foreign-keys&gt;&lt;ref-type name="Journal Article"&gt;17&lt;/ref-type&gt;&lt;contributors&gt;&lt;authors&gt;&lt;author&gt;Shulman, Kenneth I&lt;/author&gt;&lt;author&gt;Herrmann, Nathan&lt;/author&gt;&lt;author&gt;Walker, Scott E&lt;/author&gt;&lt;/authors&gt;&lt;/contributors&gt;&lt;titles&gt;&lt;title&gt;Current place of monoamine oxidase inhibitors in the treatment of depression&lt;/title&gt;&lt;secondary-title&gt;CNS drugs&lt;/secondary-title&gt;&lt;/titles&gt;&lt;periodical&gt;&lt;full-title&gt;CNS Drugs&lt;/full-title&gt;&lt;/periodical&gt;&lt;pages&gt;789-797&lt;/pages&gt;&lt;volume&gt;27&lt;/volume&gt;&lt;number&gt;10&lt;/number&gt;&lt;dates&gt;&lt;year&gt;2013&lt;/year&gt;&lt;/dates&gt;&lt;isbn&gt;1172-7047&lt;/isbn&gt;&lt;urls&gt;&lt;/urls&gt;&lt;/record&gt;&lt;/Cite&gt;&lt;/EndNote&gt;</w:instrText>
      </w:r>
      <w:r w:rsidR="00216241" w:rsidRPr="00727DEE">
        <w:rPr>
          <w:rFonts w:ascii="Lucida Sans" w:hAnsi="Lucida Sans" w:cs="Times New Roman"/>
          <w:sz w:val="18"/>
          <w:szCs w:val="18"/>
        </w:rPr>
        <w:fldChar w:fldCharType="separate"/>
      </w:r>
      <w:r w:rsidR="00271279">
        <w:rPr>
          <w:rFonts w:ascii="Lucida Sans" w:hAnsi="Lucida Sans" w:cs="Times New Roman"/>
          <w:noProof/>
          <w:sz w:val="18"/>
          <w:szCs w:val="18"/>
        </w:rPr>
        <w:t>[11]</w:t>
      </w:r>
      <w:r w:rsidR="00216241" w:rsidRPr="00727DEE">
        <w:rPr>
          <w:rFonts w:ascii="Lucida Sans" w:hAnsi="Lucida Sans" w:cs="Times New Roman"/>
          <w:sz w:val="18"/>
          <w:szCs w:val="18"/>
        </w:rPr>
        <w:fldChar w:fldCharType="end"/>
      </w:r>
      <w:r w:rsidRPr="00727DEE">
        <w:rPr>
          <w:rFonts w:ascii="Lucida Sans" w:hAnsi="Lucida Sans" w:cs="Times New Roman"/>
          <w:sz w:val="18"/>
          <w:szCs w:val="18"/>
        </w:rPr>
        <w:t xml:space="preserve">. </w:t>
      </w:r>
      <w:r w:rsidR="00E66C91" w:rsidRPr="00727DEE">
        <w:rPr>
          <w:rFonts w:ascii="Lucida Sans" w:hAnsi="Lucida Sans" w:cs="Times New Roman"/>
          <w:sz w:val="18"/>
          <w:szCs w:val="18"/>
        </w:rPr>
        <w:t>Prescribed doses of moclobemide may need to be at the upper limit, as positron emission studies indicate that MAO-A occupancy is around 75% for doses between 300-600 mg/day</w:t>
      </w:r>
      <w:r w:rsidR="00A9719E" w:rsidRPr="00727DEE">
        <w:rPr>
          <w:rFonts w:ascii="Lucida Sans" w:hAnsi="Lucida Sans" w:cs="Times New Roman"/>
          <w:sz w:val="18"/>
          <w:szCs w:val="18"/>
        </w:rPr>
        <w:t>,</w:t>
      </w:r>
      <w:r w:rsidR="00E66C91" w:rsidRPr="00727DEE">
        <w:rPr>
          <w:rFonts w:ascii="Lucida Sans" w:hAnsi="Lucida Sans" w:cs="Times New Roman"/>
          <w:sz w:val="18"/>
          <w:szCs w:val="18"/>
        </w:rPr>
        <w:t xml:space="preserve"> but around 85% for doses </w:t>
      </w:r>
      <w:r w:rsidR="00A9719E" w:rsidRPr="00727DEE">
        <w:rPr>
          <w:rFonts w:ascii="Lucida Sans" w:hAnsi="Lucida Sans" w:cs="Times New Roman"/>
          <w:sz w:val="18"/>
          <w:szCs w:val="18"/>
        </w:rPr>
        <w:t>between 900-1200 mg/day</w:t>
      </w:r>
      <w:r w:rsidR="001F6103" w:rsidRPr="00727DEE">
        <w:rPr>
          <w:rFonts w:ascii="Lucida Sans" w:hAnsi="Lucida Sans" w:cs="Times New Roman"/>
          <w:sz w:val="18"/>
          <w:szCs w:val="18"/>
        </w:rPr>
        <w:t xml:space="preserve"> </w:t>
      </w:r>
      <w:r w:rsidR="001F6103"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&lt;EndNote&gt;&lt;Cite&gt;&lt;Author&gt;Chiuccariello&lt;/Author&gt;&lt;Year&gt;2016&lt;/Year&gt;&lt;RecNum&gt;505&lt;/RecNum&gt;&lt;DisplayText&gt;[81]&lt;/DisplayText&gt;&lt;record&gt;&lt;rec-number&gt;505&lt;/rec-number&gt;&lt;foreign-keys&gt;&lt;key app="EN" db-id="2xwpd9xwpest5ue9rwa5etrr9fzzxded9vfx" timestamp="1619082940"&gt;505&lt;/key&gt;&lt;/foreign-keys&gt;&lt;ref-type name="Journal Article"&gt;17&lt;/ref-type&gt;&lt;contributors&gt;&lt;authors&gt;&lt;author&gt;Chiuccariello, Lina&lt;/author&gt;&lt;author&gt;Cooke, Robert G&lt;/author&gt;&lt;author&gt;Miler, Laura&lt;/author&gt;&lt;author&gt;Levitan, Robert D&lt;/author&gt;&lt;author&gt;Baker, Glen B&lt;/author&gt;&lt;author&gt;Kish, Stephen J&lt;/author&gt;&lt;author&gt;Kolla, Nathan J&lt;/author&gt;&lt;author&gt;Rusjan, Pablo M&lt;/author&gt;&lt;author&gt;Houle, Sylvain&lt;/author&gt;&lt;author&gt;Wilson, Alan A&lt;/author&gt;&lt;/authors&gt;&lt;/contributors&gt;&lt;titles&gt;&lt;title&gt;Monoamine oxidase-A occupancy by moclobemide and phenelzine: implications for the development of monoamine oxidase inhibitors&lt;/title&gt;&lt;secondary-title&gt;International Journal of Neuropsychopharmacology&lt;/secondary-title&gt;&lt;/titles&gt;&lt;periodical&gt;&lt;full-title&gt;International Journal of Neuropsychopharmacology&lt;/full-title&gt;&lt;/periodical&gt;&lt;volume&gt;19&lt;/volume&gt;&lt;number&gt;1&lt;/number&gt;&lt;dates&gt;&lt;year&gt;2016&lt;/year&gt;&lt;/dates&gt;&lt;isbn&gt;1461-1457&lt;/isbn&gt;&lt;urls&gt;&lt;/urls&gt;&lt;/record&gt;&lt;/Cite&gt;&lt;/EndNote&gt;</w:instrText>
      </w:r>
      <w:r w:rsidR="001F6103" w:rsidRPr="00727DEE">
        <w:rPr>
          <w:rFonts w:ascii="Lucida Sans" w:hAnsi="Lucida Sans" w:cs="Times New Roman"/>
          <w:sz w:val="18"/>
          <w:szCs w:val="18"/>
        </w:rPr>
        <w:fldChar w:fldCharType="separate"/>
      </w:r>
      <w:r w:rsidR="00271279">
        <w:rPr>
          <w:rFonts w:ascii="Lucida Sans" w:hAnsi="Lucida Sans" w:cs="Times New Roman"/>
          <w:noProof/>
          <w:sz w:val="18"/>
          <w:szCs w:val="18"/>
        </w:rPr>
        <w:t>[81]</w:t>
      </w:r>
      <w:r w:rsidR="001F6103" w:rsidRPr="00727DEE">
        <w:rPr>
          <w:rFonts w:ascii="Lucida Sans" w:hAnsi="Lucida Sans" w:cs="Times New Roman"/>
          <w:sz w:val="18"/>
          <w:szCs w:val="18"/>
        </w:rPr>
        <w:fldChar w:fldCharType="end"/>
      </w:r>
      <w:r w:rsidR="00E66C91" w:rsidRPr="00727DEE">
        <w:rPr>
          <w:rFonts w:ascii="Lucida Sans" w:hAnsi="Lucida Sans" w:cs="Times New Roman"/>
          <w:sz w:val="18"/>
          <w:szCs w:val="18"/>
        </w:rPr>
        <w:t xml:space="preserve"> </w:t>
      </w:r>
      <w:r w:rsidR="00A9719E" w:rsidRPr="00727DEE">
        <w:rPr>
          <w:rFonts w:ascii="Lucida Sans" w:hAnsi="Lucida Sans" w:cs="Times New Roman"/>
          <w:sz w:val="18"/>
          <w:szCs w:val="18"/>
        </w:rPr>
        <w:t xml:space="preserve">(new reference needed). </w:t>
      </w:r>
      <w:r w:rsidR="00E66C91" w:rsidRPr="00727DEE">
        <w:rPr>
          <w:rFonts w:ascii="Lucida Sans" w:hAnsi="Lucida Sans" w:cs="Times New Roman"/>
          <w:sz w:val="18"/>
          <w:szCs w:val="18"/>
        </w:rPr>
        <w:t xml:space="preserve"> </w:t>
      </w:r>
    </w:p>
    <w:p w14:paraId="1B6C3D85" w14:textId="77777777" w:rsidR="000E123C" w:rsidRPr="00727DEE" w:rsidRDefault="000E123C" w:rsidP="00664C02">
      <w:pPr>
        <w:spacing w:line="360" w:lineRule="auto"/>
        <w:rPr>
          <w:rFonts w:ascii="Lucida Sans" w:hAnsi="Lucida Sans" w:cs="Times New Roman"/>
          <w:sz w:val="18"/>
          <w:szCs w:val="18"/>
        </w:rPr>
      </w:pPr>
    </w:p>
    <w:p w14:paraId="56BE40F4" w14:textId="6398EAD6" w:rsidR="000247EF" w:rsidRPr="006F0C0A" w:rsidRDefault="00BA2D45" w:rsidP="00664C02">
      <w:pPr>
        <w:spacing w:line="360" w:lineRule="auto"/>
        <w:rPr>
          <w:rFonts w:ascii="Lucida Sans" w:hAnsi="Lucida Sans" w:cs="Times New Roman"/>
          <w:sz w:val="18"/>
          <w:szCs w:val="18"/>
        </w:rPr>
      </w:pPr>
      <w:r w:rsidRPr="00727DEE">
        <w:rPr>
          <w:rFonts w:ascii="Lucida Sans" w:hAnsi="Lucida Sans" w:cs="Times New Roman"/>
          <w:sz w:val="18"/>
          <w:szCs w:val="18"/>
        </w:rPr>
        <w:t>A</w:t>
      </w:r>
      <w:r w:rsidR="000247EF" w:rsidRPr="00727DEE">
        <w:rPr>
          <w:rFonts w:ascii="Lucida Sans" w:hAnsi="Lucida Sans" w:cs="Times New Roman"/>
          <w:sz w:val="18"/>
          <w:szCs w:val="18"/>
        </w:rPr>
        <w:t xml:space="preserve">n irreversible MAOI may be preferred in patients with severe </w:t>
      </w:r>
      <w:r w:rsidR="00D9704F" w:rsidRPr="00727DEE">
        <w:rPr>
          <w:rFonts w:ascii="Lucida Sans" w:hAnsi="Lucida Sans" w:cs="Times New Roman"/>
          <w:sz w:val="18"/>
          <w:szCs w:val="18"/>
        </w:rPr>
        <w:t xml:space="preserve">previously </w:t>
      </w:r>
      <w:r w:rsidR="000247EF" w:rsidRPr="00727DEE">
        <w:rPr>
          <w:rFonts w:ascii="Lucida Sans" w:hAnsi="Lucida Sans" w:cs="Times New Roman"/>
          <w:sz w:val="18"/>
          <w:szCs w:val="18"/>
        </w:rPr>
        <w:t xml:space="preserve">treatment-resistant depression, providing they are likely to comply with the necessarily strict dietary regime. </w:t>
      </w:r>
      <w:r w:rsidR="004F46E4" w:rsidRPr="00727DEE">
        <w:rPr>
          <w:rFonts w:ascii="Lucida Sans" w:hAnsi="Lucida Sans" w:cs="Times New Roman"/>
          <w:sz w:val="18"/>
          <w:szCs w:val="18"/>
        </w:rPr>
        <w:t>Phenelzine doses may need to be as high as 90 mg/day in order to achieve the necessary level of MAO inhibition</w:t>
      </w:r>
      <w:r w:rsidR="00E826B7" w:rsidRPr="00727DEE">
        <w:rPr>
          <w:rFonts w:ascii="Lucida Sans" w:hAnsi="Lucida Sans" w:cs="Times New Roman"/>
          <w:sz w:val="18"/>
          <w:szCs w:val="18"/>
        </w:rPr>
        <w:t>,</w:t>
      </w:r>
      <w:r w:rsidR="004F46E4" w:rsidRPr="00727DEE">
        <w:rPr>
          <w:rFonts w:ascii="Lucida Sans" w:hAnsi="Lucida Sans" w:cs="Times New Roman"/>
          <w:sz w:val="18"/>
          <w:szCs w:val="18"/>
        </w:rPr>
        <w:t xml:space="preserve"> </w:t>
      </w:r>
      <w:r w:rsidR="00E826B7" w:rsidRPr="00727DEE">
        <w:rPr>
          <w:rFonts w:ascii="Lucida Sans" w:hAnsi="Lucida Sans" w:cs="Times New Roman"/>
          <w:sz w:val="18"/>
          <w:szCs w:val="18"/>
        </w:rPr>
        <w:t xml:space="preserve">as </w:t>
      </w:r>
      <w:r w:rsidR="004F46E4" w:rsidRPr="00727DEE">
        <w:rPr>
          <w:rFonts w:ascii="Lucida Sans" w:hAnsi="Lucida Sans" w:cs="Times New Roman"/>
          <w:sz w:val="18"/>
          <w:szCs w:val="18"/>
        </w:rPr>
        <w:t>the lack of efficacy of phenelzine in a pivotal MRC-funded study</w:t>
      </w:r>
      <w:r w:rsidR="00E9743A" w:rsidRPr="00727DEE">
        <w:rPr>
          <w:rFonts w:ascii="Lucida Sans" w:hAnsi="Lucida Sans" w:cs="Times New Roman"/>
          <w:sz w:val="18"/>
          <w:szCs w:val="18"/>
        </w:rPr>
        <w:t xml:space="preserve"> </w:t>
      </w:r>
      <w:r w:rsidR="00E9743A"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&lt;EndNote&gt;&lt;Cite&gt;&lt;Author&gt;Zangwill&lt;/Author&gt;&lt;Year&gt;1965&lt;/Year&gt;&lt;RecNum&gt;506&lt;/RecNum&gt;&lt;DisplayText&gt;[82]&lt;/DisplayText&gt;&lt;record&gt;&lt;rec-number&gt;506&lt;/rec-number&gt;&lt;foreign-keys&gt;&lt;key app="EN" db-id="2xwpd9xwpest5ue9rwa5etrr9fzzxded9vfx" timestamp="1619083299"&gt;506&lt;/key&gt;&lt;/foreign-keys&gt;&lt;ref-type name="Journal Article"&gt;17&lt;/ref-type&gt;&lt;contributors&gt;&lt;authors&gt;&lt;author&gt;Zangwill, Dr&lt;/author&gt;&lt;/authors&gt;&lt;/contributors&gt;&lt;titles&gt;&lt;title&gt;Clinical trial of the treatment of depressive illness&lt;/title&gt;&lt;secondary-title&gt;Brit. med. J&lt;/secondary-title&gt;&lt;/titles&gt;&lt;periodical&gt;&lt;full-title&gt;Brit. med. J&lt;/full-title&gt;&lt;/periodical&gt;&lt;pages&gt;881-886&lt;/pages&gt;&lt;volume&gt;1&lt;/volume&gt;&lt;dates&gt;&lt;year&gt;1965&lt;/year&gt;&lt;/dates&gt;&lt;urls&gt;&lt;/urls&gt;&lt;/record&gt;&lt;/Cite&gt;&lt;/EndNote&gt;</w:instrText>
      </w:r>
      <w:r w:rsidR="00E9743A" w:rsidRPr="00727DEE">
        <w:rPr>
          <w:rFonts w:ascii="Lucida Sans" w:hAnsi="Lucida Sans" w:cs="Times New Roman"/>
          <w:sz w:val="18"/>
          <w:szCs w:val="18"/>
        </w:rPr>
        <w:fldChar w:fldCharType="separate"/>
      </w:r>
      <w:r w:rsidR="00271279">
        <w:rPr>
          <w:rFonts w:ascii="Lucida Sans" w:hAnsi="Lucida Sans" w:cs="Times New Roman"/>
          <w:noProof/>
          <w:sz w:val="18"/>
          <w:szCs w:val="18"/>
        </w:rPr>
        <w:t>[82]</w:t>
      </w:r>
      <w:r w:rsidR="00E9743A" w:rsidRPr="00727DEE">
        <w:rPr>
          <w:rFonts w:ascii="Lucida Sans" w:hAnsi="Lucida Sans" w:cs="Times New Roman"/>
          <w:sz w:val="18"/>
          <w:szCs w:val="18"/>
        </w:rPr>
        <w:fldChar w:fldCharType="end"/>
      </w:r>
      <w:r w:rsidR="004F46E4" w:rsidRPr="00727DEE">
        <w:rPr>
          <w:rFonts w:ascii="Lucida Sans" w:hAnsi="Lucida Sans" w:cs="Times New Roman"/>
          <w:sz w:val="18"/>
          <w:szCs w:val="18"/>
        </w:rPr>
        <w:t xml:space="preserve"> </w:t>
      </w:r>
      <w:r w:rsidR="00E9743A" w:rsidRPr="00727DEE">
        <w:rPr>
          <w:rFonts w:ascii="Lucida Sans" w:hAnsi="Lucida Sans" w:cs="Times New Roman"/>
          <w:sz w:val="18"/>
          <w:szCs w:val="18"/>
        </w:rPr>
        <w:t xml:space="preserve"> </w:t>
      </w:r>
      <w:r w:rsidR="004F46E4" w:rsidRPr="00727DEE">
        <w:rPr>
          <w:rFonts w:ascii="Lucida Sans" w:hAnsi="Lucida Sans" w:cs="Times New Roman"/>
          <w:sz w:val="18"/>
          <w:szCs w:val="18"/>
        </w:rPr>
        <w:t xml:space="preserve">may have been due to </w:t>
      </w:r>
      <w:r w:rsidR="00E826B7" w:rsidRPr="00727DEE">
        <w:rPr>
          <w:rFonts w:ascii="Lucida Sans" w:hAnsi="Lucida Sans" w:cs="Times New Roman"/>
          <w:sz w:val="18"/>
          <w:szCs w:val="18"/>
        </w:rPr>
        <w:t>its</w:t>
      </w:r>
      <w:r w:rsidR="004F46E4" w:rsidRPr="00727DEE">
        <w:rPr>
          <w:rFonts w:ascii="Lucida Sans" w:hAnsi="Lucida Sans" w:cs="Times New Roman"/>
          <w:sz w:val="18"/>
          <w:szCs w:val="18"/>
        </w:rPr>
        <w:t xml:space="preserve"> maximum dosage of 60 mg/day</w:t>
      </w:r>
      <w:r w:rsidR="00E826B7" w:rsidRPr="00727DEE">
        <w:rPr>
          <w:rFonts w:ascii="Lucida Sans" w:hAnsi="Lucida Sans" w:cs="Times New Roman"/>
          <w:sz w:val="18"/>
          <w:szCs w:val="18"/>
        </w:rPr>
        <w:t>.</w:t>
      </w:r>
      <w:r w:rsidR="004F46E4" w:rsidRPr="00727DEE">
        <w:rPr>
          <w:rFonts w:ascii="Lucida Sans" w:hAnsi="Lucida Sans" w:cs="Times New Roman"/>
          <w:sz w:val="18"/>
          <w:szCs w:val="18"/>
        </w:rPr>
        <w:t xml:space="preserve"> </w:t>
      </w:r>
      <w:r w:rsidR="00E826B7" w:rsidRPr="00727DEE">
        <w:rPr>
          <w:rFonts w:ascii="Lucida Sans" w:hAnsi="Lucida Sans" w:cs="Times New Roman"/>
          <w:sz w:val="18"/>
          <w:szCs w:val="18"/>
        </w:rPr>
        <w:t>Treatment response appears more likely in patients with ‘slow acetylator’ status</w:t>
      </w:r>
      <w:r w:rsidR="00E9743A" w:rsidRPr="00727DEE">
        <w:rPr>
          <w:rFonts w:ascii="Lucida Sans" w:hAnsi="Lucida Sans" w:cs="Times New Roman"/>
          <w:sz w:val="18"/>
          <w:szCs w:val="18"/>
        </w:rPr>
        <w:t xml:space="preserve"> </w:t>
      </w:r>
      <w:r w:rsidR="00E9743A"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&lt;EndNote&gt;&lt;Cite&gt;&lt;Author&gt;Paykel&lt;/Author&gt;&lt;Year&gt;1982&lt;/Year&gt;&lt;RecNum&gt;507&lt;/RecNum&gt;&lt;DisplayText&gt;[83]&lt;/DisplayText&gt;&lt;record&gt;&lt;rec-number&gt;507&lt;/rec-number&gt;&lt;foreign-keys&gt;&lt;key app="EN" db-id="2xwpd9xwpest5ue9rwa5etrr9fzzxded9vfx" timestamp="1619083492"&gt;507&lt;/key&gt;&lt;/foreign-keys&gt;&lt;ref-type name="Journal Article"&gt;17&lt;/ref-type&gt;&lt;contributors&gt;&lt;authors&gt;&lt;author&gt;Paykel, Eugene S&lt;/author&gt;&lt;author&gt;West, PS&lt;/author&gt;&lt;author&gt;Rowan, Peter R&lt;/author&gt;&lt;author&gt;Parker, Robert R&lt;/author&gt;&lt;/authors&gt;&lt;/contributors&gt;&lt;titles&gt;&lt;title&gt;Influence of acetylator phenotype on antidepressant effects of phenelzine&lt;/title&gt;&lt;secondary-title&gt;The British Journal of Psychiatry&lt;/secondary-title&gt;&lt;/titles&gt;&lt;periodical&gt;&lt;full-title&gt;The British Journal of Psychiatry&lt;/full-title&gt;&lt;/periodical&gt;&lt;pages&gt;243-248&lt;/pages&gt;&lt;volume&gt;141&lt;/volume&gt;&lt;number&gt;3&lt;/number&gt;&lt;dates&gt;&lt;year&gt;1982&lt;/year&gt;&lt;/dates&gt;&lt;isbn&gt;0007-1250&lt;/isbn&gt;&lt;urls&gt;&lt;/urls&gt;&lt;/record&gt;&lt;/Cite&gt;&lt;/EndNote&gt;</w:instrText>
      </w:r>
      <w:r w:rsidR="00E9743A" w:rsidRPr="00727DEE">
        <w:rPr>
          <w:rFonts w:ascii="Lucida Sans" w:hAnsi="Lucida Sans" w:cs="Times New Roman"/>
          <w:sz w:val="18"/>
          <w:szCs w:val="18"/>
        </w:rPr>
        <w:fldChar w:fldCharType="separate"/>
      </w:r>
      <w:r w:rsidR="00271279">
        <w:rPr>
          <w:rFonts w:ascii="Lucida Sans" w:hAnsi="Lucida Sans" w:cs="Times New Roman"/>
          <w:noProof/>
          <w:sz w:val="18"/>
          <w:szCs w:val="18"/>
        </w:rPr>
        <w:t>[83]</w:t>
      </w:r>
      <w:r w:rsidR="00E9743A" w:rsidRPr="00727DEE">
        <w:rPr>
          <w:rFonts w:ascii="Lucida Sans" w:hAnsi="Lucida Sans" w:cs="Times New Roman"/>
          <w:sz w:val="18"/>
          <w:szCs w:val="18"/>
        </w:rPr>
        <w:fldChar w:fldCharType="end"/>
      </w:r>
      <w:r w:rsidR="00E826B7" w:rsidRPr="00727DEE">
        <w:rPr>
          <w:rFonts w:ascii="Lucida Sans" w:hAnsi="Lucida Sans" w:cs="Times New Roman"/>
          <w:sz w:val="18"/>
          <w:szCs w:val="18"/>
        </w:rPr>
        <w:t xml:space="preserve">. </w:t>
      </w:r>
      <w:r w:rsidR="000247EF" w:rsidRPr="00727DEE">
        <w:rPr>
          <w:rFonts w:ascii="Lucida Sans" w:hAnsi="Lucida Sans" w:cs="Times New Roman"/>
          <w:sz w:val="18"/>
          <w:szCs w:val="18"/>
        </w:rPr>
        <w:t xml:space="preserve">An initial approach would be to trial phenelzine as it appears better tolerated; and then to switch to tranylcypromine (following washout) if there is not adequate symptom remission. While </w:t>
      </w:r>
      <w:r w:rsidR="00664C02" w:rsidRPr="00727DEE">
        <w:rPr>
          <w:rFonts w:ascii="Lucida Sans" w:hAnsi="Lucida Sans" w:cs="Times New Roman"/>
          <w:sz w:val="18"/>
          <w:szCs w:val="18"/>
        </w:rPr>
        <w:t xml:space="preserve">trial </w:t>
      </w:r>
      <w:r w:rsidR="000247EF" w:rsidRPr="00727DEE">
        <w:rPr>
          <w:rFonts w:ascii="Lucida Sans" w:hAnsi="Lucida Sans" w:cs="Times New Roman"/>
          <w:sz w:val="18"/>
          <w:szCs w:val="18"/>
        </w:rPr>
        <w:t xml:space="preserve">head-to-head comparisons are </w:t>
      </w:r>
      <w:r w:rsidR="000E123C" w:rsidRPr="00727DEE">
        <w:rPr>
          <w:rFonts w:ascii="Lucida Sans" w:hAnsi="Lucida Sans" w:cs="Times New Roman"/>
          <w:sz w:val="18"/>
          <w:szCs w:val="18"/>
        </w:rPr>
        <w:t>limited</w:t>
      </w:r>
      <w:r w:rsidR="000247EF" w:rsidRPr="00727DEE">
        <w:rPr>
          <w:rFonts w:ascii="Lucida Sans" w:hAnsi="Lucida Sans" w:cs="Times New Roman"/>
          <w:sz w:val="18"/>
          <w:szCs w:val="18"/>
        </w:rPr>
        <w:t>, phenelzine may be associated with weight gain, with some other MAOIs (such as tranylcypromine and</w:t>
      </w:r>
      <w:r w:rsidR="000247EF" w:rsidRPr="006F0C0A">
        <w:rPr>
          <w:rFonts w:ascii="Lucida Sans" w:hAnsi="Lucida Sans" w:cs="Times New Roman"/>
          <w:sz w:val="18"/>
          <w:szCs w:val="18"/>
        </w:rPr>
        <w:t xml:space="preserve"> moclobemide) being weight neutral</w:t>
      </w:r>
      <w:r w:rsidR="00216241" w:rsidRPr="006F0C0A">
        <w:rPr>
          <w:rFonts w:ascii="Lucida Sans" w:hAnsi="Lucida Sans" w:cs="Times New Roman"/>
          <w:sz w:val="18"/>
          <w:szCs w:val="18"/>
        </w:rPr>
        <w:t xml:space="preserve"> </w:t>
      </w:r>
      <w:r w:rsidR="00216241" w:rsidRPr="006F0C0A">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&lt;EndNote&gt;&lt;Cite&gt;&lt;Author&gt;Ricken&lt;/Author&gt;&lt;Year&gt;2017&lt;/Year&gt;&lt;RecNum&gt;407&lt;/RecNum&gt;&lt;IDText&gt;Tranylcypromine in mind (Part II): Review of clinical pharmacology and meta-analysis of controlled studies in depression&lt;/IDText&gt;&lt;DisplayText&gt;[22]&lt;/DisplayText&gt;&lt;record&gt;&lt;rec-number&gt;407&lt;/rec-number&gt;&lt;foreign-keys&gt;&lt;key app="EN" db-id="2xwpd9xwpest5ue9rwa5etrr9fzzxded9vfx" timestamp="0"&gt;407&lt;/key&gt;&lt;/foreign-keys&gt;&lt;ref-type name="Journal Article"&gt;17&lt;/ref-type&gt;&lt;contributors&gt;&lt;authors&gt;&lt;author&gt;Ricken, Roland&lt;/author&gt;&lt;author&gt;Ulrich, Sven&lt;/author&gt;&lt;author&gt;Schlattmann, Peter&lt;/author&gt;&lt;author&gt;Adli, Mazda&lt;/author&gt;&lt;/authors&gt;&lt;/contributors&gt;&lt;titles&gt;&lt;title&gt;Tranylcypromine in mind (Part II): Review of clinical pharmacology and meta-analysis of controlled studies in depression&lt;/title&gt;&lt;secondary-title&gt;European Neuropsychopharmacology&lt;/secondary-title&gt;&lt;/titles&gt;&lt;periodical&gt;&lt;full-title&gt;European Neuropsychopharmacology&lt;/full-title&gt;&lt;/periodical&gt;&lt;pages&gt;714-731&lt;/pages&gt;&lt;volume&gt;27&lt;/volume&gt;&lt;number&gt;8&lt;/number&gt;&lt;keywords&gt;&lt;keyword&gt;Tranylcypromine&lt;/keyword&gt;&lt;keyword&gt;Monoamine oxidase inhibitors&lt;/keyword&gt;&lt;keyword&gt;Monoamine oxidase&lt;/keyword&gt;&lt;keyword&gt;Depression&lt;/keyword&gt;&lt;keyword&gt;Depressive disorder&lt;/keyword&gt;&lt;keyword&gt;Treatment-resistant&lt;/keyword&gt;&lt;/keywords&gt;&lt;dates&gt;&lt;year&gt;2017&lt;/year&gt;&lt;pub-dates&gt;&lt;date&gt;2017/08/01/&lt;/date&gt;&lt;/pub-dates&gt;&lt;/dates&gt;&lt;isbn&gt;0924-977X&lt;/isbn&gt;&lt;urls&gt;&lt;related-urls&gt;&lt;url&gt;http://www.sciencedirect.com/science/article/pii/S0924977X17302304&lt;/url&gt;&lt;/related-urls&gt;&lt;/urls&gt;&lt;electronic-resource-num&gt;https://doi.org/10.1016/j.euroneuro.2017.04.003&lt;/electronic-resource-num&gt;&lt;/record&gt;&lt;/Cite&gt;&lt;/EndNote&gt;</w:instrText>
      </w:r>
      <w:r w:rsidR="00216241" w:rsidRPr="006F0C0A">
        <w:rPr>
          <w:rFonts w:ascii="Lucida Sans" w:hAnsi="Lucida Sans" w:cs="Times New Roman"/>
          <w:sz w:val="18"/>
          <w:szCs w:val="18"/>
        </w:rPr>
        <w:fldChar w:fldCharType="separate"/>
      </w:r>
      <w:r w:rsidR="00271279">
        <w:rPr>
          <w:rFonts w:ascii="Lucida Sans" w:hAnsi="Lucida Sans" w:cs="Times New Roman"/>
          <w:noProof/>
          <w:sz w:val="18"/>
          <w:szCs w:val="18"/>
        </w:rPr>
        <w:t>[22]</w:t>
      </w:r>
      <w:r w:rsidR="00216241" w:rsidRPr="006F0C0A">
        <w:rPr>
          <w:rFonts w:ascii="Lucida Sans" w:hAnsi="Lucida Sans" w:cs="Times New Roman"/>
          <w:sz w:val="18"/>
          <w:szCs w:val="18"/>
        </w:rPr>
        <w:fldChar w:fldCharType="end"/>
      </w:r>
      <w:r w:rsidR="000247EF" w:rsidRPr="006F0C0A">
        <w:rPr>
          <w:rFonts w:ascii="Lucida Sans" w:hAnsi="Lucida Sans" w:cs="Times New Roman"/>
          <w:sz w:val="18"/>
          <w:szCs w:val="18"/>
        </w:rPr>
        <w:t xml:space="preserve">. </w:t>
      </w:r>
      <w:r w:rsidR="00664C02">
        <w:rPr>
          <w:rFonts w:ascii="Lucida Sans" w:hAnsi="Lucida Sans" w:cs="Times New Roman"/>
          <w:sz w:val="18"/>
          <w:szCs w:val="18"/>
        </w:rPr>
        <w:t>In a recent network meta-analysis of trials for depressive disorders, phenelzine showed superior efficacy (based on the network meta-analysis metrics) as compared to other treatments that were examined, including other MAOIs and also non-MAOIs (e.g. SSRIs)</w:t>
      </w:r>
      <w:r w:rsidR="00B74D7F">
        <w:rPr>
          <w:rFonts w:ascii="Lucida Sans" w:hAnsi="Lucida Sans" w:cs="Times New Roman"/>
          <w:sz w:val="18"/>
          <w:szCs w:val="18"/>
        </w:rPr>
        <w:t xml:space="preserve"> </w:t>
      </w:r>
      <w:r w:rsidR="00B74D7F">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&lt;EndNote&gt;&lt;Cite&gt;&lt;Author&gt;Suchting&lt;/Author&gt;&lt;Year&gt;2021&lt;/Year&gt;&lt;RecNum&gt;489&lt;/RecNum&gt;&lt;DisplayText&gt;[54]&lt;/DisplayText&gt;&lt;record&gt;&lt;rec-number&gt;489&lt;/rec-number&gt;&lt;foreign-keys&gt;&lt;key app="EN" db-id="2xwpd9xwpest5ue9rwa5etrr9fzzxded9vfx" timestamp="1619000948"&gt;489&lt;/key&gt;&lt;/foreign-keys&gt;&lt;ref-type name="Journal Article"&gt;17&lt;/ref-type&gt;&lt;contributors&gt;&lt;authors&gt;&lt;author&gt;Suchting, Robert&lt;/author&gt;&lt;author&gt;Tirumalajaru, Vaishali&lt;/author&gt;&lt;author&gt;Gareeb, Rida&lt;/author&gt;&lt;author&gt;Bockmann, Taya&lt;/author&gt;&lt;author&gt;de Dios, Constanza&lt;/author&gt;&lt;author&gt;Aickareth, Jacob&lt;/author&gt;&lt;author&gt;Pinjari, Omar&lt;/author&gt;&lt;author&gt;Soares, Jair C&lt;/author&gt;&lt;author&gt;Cowen, Phil J&lt;/author&gt;&lt;author&gt;Selvaraj, Sudhakar&lt;/author&gt;&lt;/authors&gt;&lt;/contributors&gt;&lt;titles&gt;&lt;title&gt;Revisiting monoamine oxidase inhibitors for the treatment of depressive disorders: A systematic review and network meta-analysis&lt;/title&gt;&lt;secondary-title&gt;Journal of Affective Disorders&lt;/secondary-title&gt;&lt;/titles&gt;&lt;periodical&gt;&lt;full-title&gt;Journal of Affective Disorders&lt;/full-title&gt;&lt;/periodical&gt;&lt;dates&gt;&lt;year&gt;2021&lt;/year&gt;&lt;/dates&gt;&lt;isbn&gt;0165-0327&lt;/isbn&gt;&lt;urls&gt;&lt;/urls&gt;&lt;/record&gt;&lt;/Cite&gt;&lt;/EndNote&gt;</w:instrText>
      </w:r>
      <w:r w:rsidR="00B74D7F">
        <w:rPr>
          <w:rFonts w:ascii="Lucida Sans" w:hAnsi="Lucida Sans" w:cs="Times New Roman"/>
          <w:sz w:val="18"/>
          <w:szCs w:val="18"/>
        </w:rPr>
        <w:fldChar w:fldCharType="separate"/>
      </w:r>
      <w:r w:rsidR="00271279">
        <w:rPr>
          <w:rFonts w:ascii="Lucida Sans" w:hAnsi="Lucida Sans" w:cs="Times New Roman"/>
          <w:noProof/>
          <w:sz w:val="18"/>
          <w:szCs w:val="18"/>
        </w:rPr>
        <w:t>[54]</w:t>
      </w:r>
      <w:r w:rsidR="00B74D7F">
        <w:rPr>
          <w:rFonts w:ascii="Lucida Sans" w:hAnsi="Lucida Sans" w:cs="Times New Roman"/>
          <w:sz w:val="18"/>
          <w:szCs w:val="18"/>
        </w:rPr>
        <w:fldChar w:fldCharType="end"/>
      </w:r>
      <w:r w:rsidR="00E40457">
        <w:rPr>
          <w:rFonts w:ascii="Lucida Sans" w:hAnsi="Lucida Sans" w:cs="Times New Roman"/>
          <w:sz w:val="18"/>
          <w:szCs w:val="18"/>
        </w:rPr>
        <w:t>:</w:t>
      </w:r>
      <w:r w:rsidR="00664C02">
        <w:rPr>
          <w:rFonts w:ascii="Lucida Sans" w:hAnsi="Lucida Sans" w:cs="Times New Roman"/>
          <w:sz w:val="18"/>
          <w:szCs w:val="18"/>
        </w:rPr>
        <w:t xml:space="preserve"> </w:t>
      </w:r>
      <w:r w:rsidR="00E40457">
        <w:rPr>
          <w:rFonts w:ascii="Lucida Sans" w:hAnsi="Lucida Sans" w:cs="Times New Roman"/>
          <w:sz w:val="18"/>
          <w:szCs w:val="18"/>
        </w:rPr>
        <w:t>t</w:t>
      </w:r>
      <w:r w:rsidR="00664C02">
        <w:rPr>
          <w:rFonts w:ascii="Lucida Sans" w:hAnsi="Lucida Sans" w:cs="Times New Roman"/>
          <w:sz w:val="18"/>
          <w:szCs w:val="18"/>
        </w:rPr>
        <w:t xml:space="preserve">he </w:t>
      </w:r>
      <w:r w:rsidR="00E40457">
        <w:rPr>
          <w:rFonts w:ascii="Lucida Sans" w:hAnsi="Lucida Sans" w:cs="Times New Roman"/>
          <w:sz w:val="18"/>
          <w:szCs w:val="18"/>
        </w:rPr>
        <w:t>include</w:t>
      </w:r>
      <w:r w:rsidR="00664C02">
        <w:rPr>
          <w:rFonts w:ascii="Lucida Sans" w:hAnsi="Lucida Sans" w:cs="Times New Roman"/>
          <w:sz w:val="18"/>
          <w:szCs w:val="18"/>
        </w:rPr>
        <w:t xml:space="preserve"> MAOIs were reported to compare favourably to non-MAOIs in terms of efficacy and tolerability. </w:t>
      </w:r>
    </w:p>
    <w:p w14:paraId="5BCEC71A" w14:textId="77777777" w:rsidR="000247EF" w:rsidRPr="006F0C0A" w:rsidRDefault="000247EF" w:rsidP="006F0C0A">
      <w:pPr>
        <w:spacing w:line="360" w:lineRule="auto"/>
        <w:rPr>
          <w:rFonts w:ascii="Lucida Sans" w:hAnsi="Lucida Sans" w:cs="Times New Roman"/>
          <w:sz w:val="18"/>
          <w:szCs w:val="18"/>
        </w:rPr>
      </w:pPr>
    </w:p>
    <w:p w14:paraId="26B910F4" w14:textId="6814A732" w:rsidR="000247EF" w:rsidRDefault="000247EF" w:rsidP="006F0C0A">
      <w:pPr>
        <w:spacing w:line="360" w:lineRule="auto"/>
        <w:rPr>
          <w:rFonts w:ascii="Lucida Sans" w:hAnsi="Lucida Sans" w:cs="Times New Roman"/>
          <w:sz w:val="18"/>
          <w:szCs w:val="18"/>
        </w:rPr>
      </w:pPr>
      <w:r w:rsidRPr="006F0C0A">
        <w:rPr>
          <w:rFonts w:ascii="Lucida Sans" w:hAnsi="Lucida Sans" w:cs="Times New Roman"/>
          <w:sz w:val="18"/>
          <w:szCs w:val="18"/>
        </w:rPr>
        <w:t xml:space="preserve">Intermittent supply issues occur with MAOIs, in part due to low prescribing rates. </w:t>
      </w:r>
      <w:r w:rsidR="00D42CB9">
        <w:rPr>
          <w:rFonts w:ascii="Lucida Sans" w:hAnsi="Lucida Sans" w:cs="Times New Roman"/>
          <w:sz w:val="18"/>
          <w:szCs w:val="18"/>
        </w:rPr>
        <w:t xml:space="preserve">It makes sense to </w:t>
      </w:r>
      <w:r w:rsidR="00D42CB9" w:rsidRPr="00D42CB9">
        <w:rPr>
          <w:rFonts w:ascii="Lucida Sans" w:hAnsi="Lucida Sans" w:cs="Times New Roman"/>
          <w:sz w:val="18"/>
          <w:szCs w:val="18"/>
        </w:rPr>
        <w:t>identify patients currently taking an MAOI</w:t>
      </w:r>
      <w:r w:rsidR="00D42CB9">
        <w:rPr>
          <w:rFonts w:ascii="Lucida Sans" w:hAnsi="Lucida Sans" w:cs="Times New Roman"/>
          <w:sz w:val="18"/>
          <w:szCs w:val="18"/>
        </w:rPr>
        <w:t>,</w:t>
      </w:r>
      <w:r w:rsidR="00D42CB9" w:rsidRPr="00D42CB9">
        <w:rPr>
          <w:rFonts w:ascii="Lucida Sans" w:hAnsi="Lucida Sans" w:cs="Times New Roman"/>
          <w:sz w:val="18"/>
          <w:szCs w:val="18"/>
        </w:rPr>
        <w:t xml:space="preserve"> </w:t>
      </w:r>
      <w:r w:rsidR="00D42CB9">
        <w:rPr>
          <w:rFonts w:ascii="Lucida Sans" w:hAnsi="Lucida Sans" w:cs="Times New Roman"/>
          <w:sz w:val="18"/>
          <w:szCs w:val="18"/>
        </w:rPr>
        <w:t xml:space="preserve">to organise their </w:t>
      </w:r>
      <w:r w:rsidR="00D42CB9" w:rsidRPr="00D42CB9">
        <w:rPr>
          <w:rFonts w:ascii="Lucida Sans" w:hAnsi="Lucida Sans" w:cs="Times New Roman"/>
          <w:sz w:val="18"/>
          <w:szCs w:val="18"/>
        </w:rPr>
        <w:t>review within secondary care mental health services</w:t>
      </w:r>
      <w:r w:rsidR="00D42CB9">
        <w:rPr>
          <w:rFonts w:ascii="Lucida Sans" w:hAnsi="Lucida Sans" w:cs="Times New Roman"/>
          <w:sz w:val="18"/>
          <w:szCs w:val="18"/>
        </w:rPr>
        <w:t xml:space="preserve">, and to </w:t>
      </w:r>
      <w:r w:rsidR="00D42CB9" w:rsidRPr="00D42CB9">
        <w:rPr>
          <w:rFonts w:ascii="Lucida Sans" w:hAnsi="Lucida Sans" w:cs="Times New Roman"/>
          <w:sz w:val="18"/>
          <w:szCs w:val="18"/>
        </w:rPr>
        <w:t xml:space="preserve">consider whether there is scope for </w:t>
      </w:r>
      <w:r w:rsidR="00D42CB9">
        <w:rPr>
          <w:rFonts w:ascii="Lucida Sans" w:hAnsi="Lucida Sans" w:cs="Times New Roman"/>
          <w:sz w:val="18"/>
          <w:szCs w:val="18"/>
        </w:rPr>
        <w:t xml:space="preserve">a </w:t>
      </w:r>
      <w:r w:rsidR="00D42CB9" w:rsidRPr="00D42CB9">
        <w:rPr>
          <w:rFonts w:ascii="Lucida Sans" w:hAnsi="Lucida Sans" w:cs="Times New Roman"/>
          <w:sz w:val="18"/>
          <w:szCs w:val="18"/>
        </w:rPr>
        <w:t>planned gradual withdrawal of treatment</w:t>
      </w:r>
      <w:r w:rsidR="00D42CB9">
        <w:rPr>
          <w:rFonts w:ascii="Lucida Sans" w:hAnsi="Lucida Sans" w:cs="Times New Roman"/>
          <w:sz w:val="18"/>
          <w:szCs w:val="18"/>
        </w:rPr>
        <w:t xml:space="preserve">. If antidepressant treatment withdrawal is not feasible (which is often the case in currently MAOI-treated patients), clinicians should </w:t>
      </w:r>
      <w:r w:rsidR="00D42CB9" w:rsidRPr="00D42CB9">
        <w:rPr>
          <w:rFonts w:ascii="Lucida Sans" w:hAnsi="Lucida Sans" w:cs="Times New Roman"/>
          <w:sz w:val="18"/>
          <w:szCs w:val="18"/>
        </w:rPr>
        <w:t>consider switch</w:t>
      </w:r>
      <w:r w:rsidR="00D42CB9">
        <w:rPr>
          <w:rFonts w:ascii="Lucida Sans" w:hAnsi="Lucida Sans" w:cs="Times New Roman"/>
          <w:sz w:val="18"/>
          <w:szCs w:val="18"/>
        </w:rPr>
        <w:t>ing</w:t>
      </w:r>
      <w:r w:rsidR="00D42CB9" w:rsidRPr="00D42CB9">
        <w:rPr>
          <w:rFonts w:ascii="Lucida Sans" w:hAnsi="Lucida Sans" w:cs="Times New Roman"/>
          <w:sz w:val="18"/>
          <w:szCs w:val="18"/>
        </w:rPr>
        <w:t xml:space="preserve"> from older MAOI</w:t>
      </w:r>
      <w:r w:rsidR="00D42CB9">
        <w:rPr>
          <w:rFonts w:ascii="Lucida Sans" w:hAnsi="Lucida Sans" w:cs="Times New Roman"/>
          <w:sz w:val="18"/>
          <w:szCs w:val="18"/>
        </w:rPr>
        <w:t>s</w:t>
      </w:r>
      <w:r w:rsidR="00D42CB9" w:rsidRPr="00D42CB9">
        <w:rPr>
          <w:rFonts w:ascii="Lucida Sans" w:hAnsi="Lucida Sans" w:cs="Times New Roman"/>
          <w:sz w:val="18"/>
          <w:szCs w:val="18"/>
        </w:rPr>
        <w:t xml:space="preserve"> </w:t>
      </w:r>
      <w:r w:rsidR="00D42CB9">
        <w:rPr>
          <w:rFonts w:ascii="Lucida Sans" w:hAnsi="Lucida Sans" w:cs="Times New Roman"/>
          <w:sz w:val="18"/>
          <w:szCs w:val="18"/>
        </w:rPr>
        <w:t xml:space="preserve">(phenelzine, tranylcypromine) </w:t>
      </w:r>
      <w:r w:rsidR="00D42CB9" w:rsidRPr="00D42CB9">
        <w:rPr>
          <w:rFonts w:ascii="Lucida Sans" w:hAnsi="Lucida Sans" w:cs="Times New Roman"/>
          <w:sz w:val="18"/>
          <w:szCs w:val="18"/>
        </w:rPr>
        <w:t>to moclobemide</w:t>
      </w:r>
      <w:r w:rsidR="00D42CB9">
        <w:rPr>
          <w:rFonts w:ascii="Lucida Sans" w:hAnsi="Lucida Sans" w:cs="Times New Roman"/>
          <w:sz w:val="18"/>
          <w:szCs w:val="18"/>
        </w:rPr>
        <w:t xml:space="preserve">, or switching </w:t>
      </w:r>
      <w:r w:rsidR="00D42CB9" w:rsidRPr="00D42CB9">
        <w:rPr>
          <w:rFonts w:ascii="Lucida Sans" w:hAnsi="Lucida Sans" w:cs="Times New Roman"/>
          <w:sz w:val="18"/>
          <w:szCs w:val="18"/>
        </w:rPr>
        <w:t>to oral or transdermal selegiline</w:t>
      </w:r>
      <w:r w:rsidR="007962DA">
        <w:rPr>
          <w:rFonts w:ascii="Lucida Sans" w:hAnsi="Lucida Sans" w:cs="Times New Roman"/>
          <w:sz w:val="18"/>
          <w:szCs w:val="18"/>
        </w:rPr>
        <w:t xml:space="preserve">, or switching to </w:t>
      </w:r>
      <w:r w:rsidR="00D42CB9" w:rsidRPr="00D42CB9">
        <w:rPr>
          <w:rFonts w:ascii="Lucida Sans" w:hAnsi="Lucida Sans" w:cs="Times New Roman"/>
          <w:sz w:val="18"/>
          <w:szCs w:val="18"/>
        </w:rPr>
        <w:t>other classes of antidepressant</w:t>
      </w:r>
      <w:r w:rsidR="007962DA">
        <w:rPr>
          <w:rFonts w:ascii="Lucida Sans" w:hAnsi="Lucida Sans" w:cs="Times New Roman"/>
          <w:sz w:val="18"/>
          <w:szCs w:val="18"/>
        </w:rPr>
        <w:t xml:space="preserve"> medication: but unfortunately, patients and their treating clinicians must </w:t>
      </w:r>
      <w:r w:rsidR="00D42CB9" w:rsidRPr="00D42CB9">
        <w:rPr>
          <w:rFonts w:ascii="Lucida Sans" w:hAnsi="Lucida Sans" w:cs="Times New Roman"/>
          <w:sz w:val="18"/>
          <w:szCs w:val="18"/>
        </w:rPr>
        <w:t xml:space="preserve">expect a </w:t>
      </w:r>
      <w:r w:rsidR="007962DA">
        <w:rPr>
          <w:rFonts w:ascii="Lucida Sans" w:hAnsi="Lucida Sans" w:cs="Times New Roman"/>
          <w:sz w:val="18"/>
          <w:szCs w:val="18"/>
        </w:rPr>
        <w:t xml:space="preserve">rather </w:t>
      </w:r>
      <w:r w:rsidR="00D42CB9" w:rsidRPr="00D42CB9">
        <w:rPr>
          <w:rFonts w:ascii="Lucida Sans" w:hAnsi="Lucida Sans" w:cs="Times New Roman"/>
          <w:sz w:val="18"/>
          <w:szCs w:val="18"/>
        </w:rPr>
        <w:t>bumpy course</w:t>
      </w:r>
      <w:r w:rsidR="007962DA">
        <w:rPr>
          <w:rFonts w:ascii="Lucida Sans" w:hAnsi="Lucida Sans" w:cs="Times New Roman"/>
          <w:sz w:val="18"/>
          <w:szCs w:val="18"/>
        </w:rPr>
        <w:t>.</w:t>
      </w:r>
      <w:r w:rsidR="00D42CB9" w:rsidRPr="00D42CB9">
        <w:rPr>
          <w:rFonts w:ascii="Lucida Sans" w:hAnsi="Lucida Sans" w:cs="Times New Roman"/>
          <w:sz w:val="18"/>
          <w:szCs w:val="18"/>
        </w:rPr>
        <w:t xml:space="preserve"> </w:t>
      </w:r>
    </w:p>
    <w:p w14:paraId="7B5F0626" w14:textId="77777777" w:rsidR="00FE5372" w:rsidRDefault="00FE5372" w:rsidP="006F0C0A">
      <w:pPr>
        <w:spacing w:line="360" w:lineRule="auto"/>
        <w:rPr>
          <w:rFonts w:ascii="Lucida Sans" w:hAnsi="Lucida Sans" w:cs="Times New Roman"/>
          <w:sz w:val="18"/>
          <w:szCs w:val="18"/>
        </w:rPr>
      </w:pPr>
    </w:p>
    <w:p w14:paraId="65117C16" w14:textId="131FA360" w:rsidR="00FE5372" w:rsidRDefault="00FE5372" w:rsidP="00FE5372">
      <w:pPr>
        <w:spacing w:line="360" w:lineRule="auto"/>
        <w:rPr>
          <w:rFonts w:ascii="Lucida Sans" w:hAnsi="Lucida Sans" w:cs="Times New Roman"/>
          <w:sz w:val="18"/>
          <w:szCs w:val="18"/>
        </w:rPr>
      </w:pPr>
      <w:r>
        <w:rPr>
          <w:rFonts w:ascii="Lucida Sans" w:hAnsi="Lucida Sans" w:cs="Times New Roman"/>
          <w:sz w:val="18"/>
          <w:szCs w:val="18"/>
        </w:rPr>
        <w:t>T</w:t>
      </w:r>
      <w:r w:rsidRPr="006F0C0A">
        <w:rPr>
          <w:rFonts w:ascii="Lucida Sans" w:hAnsi="Lucida Sans" w:cs="Times New Roman"/>
          <w:sz w:val="18"/>
          <w:szCs w:val="18"/>
        </w:rPr>
        <w:t xml:space="preserve">he MAOIs available for prescription </w:t>
      </w:r>
      <w:r>
        <w:rPr>
          <w:rFonts w:ascii="Lucida Sans" w:hAnsi="Lucida Sans" w:cs="Times New Roman"/>
          <w:sz w:val="18"/>
          <w:szCs w:val="18"/>
        </w:rPr>
        <w:t xml:space="preserve">in the UK, </w:t>
      </w:r>
      <w:r w:rsidRPr="006F0C0A">
        <w:rPr>
          <w:rFonts w:ascii="Lucida Sans" w:hAnsi="Lucida Sans" w:cs="Times New Roman"/>
          <w:sz w:val="18"/>
          <w:szCs w:val="18"/>
        </w:rPr>
        <w:t>by way of example</w:t>
      </w:r>
      <w:r>
        <w:rPr>
          <w:rFonts w:ascii="Lucida Sans" w:hAnsi="Lucida Sans" w:cs="Times New Roman"/>
          <w:sz w:val="18"/>
          <w:szCs w:val="18"/>
        </w:rPr>
        <w:t>,</w:t>
      </w:r>
      <w:r w:rsidRPr="006F0C0A">
        <w:rPr>
          <w:rFonts w:ascii="Lucida Sans" w:hAnsi="Lucida Sans" w:cs="Times New Roman"/>
          <w:sz w:val="18"/>
          <w:szCs w:val="18"/>
        </w:rPr>
        <w:t xml:space="preserve"> can be distilled into a short list</w:t>
      </w:r>
      <w:r>
        <w:rPr>
          <w:rFonts w:ascii="Lucida Sans" w:hAnsi="Lucida Sans" w:cs="Times New Roman"/>
          <w:sz w:val="18"/>
          <w:szCs w:val="18"/>
        </w:rPr>
        <w:t xml:space="preserve"> (</w:t>
      </w:r>
      <w:r w:rsidRPr="006F0C0A">
        <w:rPr>
          <w:rFonts w:ascii="Lucida Sans" w:hAnsi="Lucida Sans" w:cs="Times New Roman"/>
          <w:b/>
          <w:sz w:val="18"/>
          <w:szCs w:val="18"/>
        </w:rPr>
        <w:t>Table 1</w:t>
      </w:r>
      <w:r>
        <w:rPr>
          <w:rFonts w:ascii="Lucida Sans" w:hAnsi="Lucida Sans" w:cs="Times New Roman"/>
          <w:b/>
          <w:sz w:val="18"/>
          <w:szCs w:val="18"/>
        </w:rPr>
        <w:t>)</w:t>
      </w:r>
      <w:r>
        <w:rPr>
          <w:rFonts w:ascii="Lucida Sans" w:hAnsi="Lucida Sans" w:cs="Times New Roman"/>
          <w:sz w:val="18"/>
          <w:szCs w:val="18"/>
        </w:rPr>
        <w:t>,</w:t>
      </w:r>
      <w:r w:rsidRPr="006F0C0A">
        <w:rPr>
          <w:rFonts w:ascii="Lucida Sans" w:hAnsi="Lucida Sans" w:cs="Times New Roman"/>
          <w:sz w:val="18"/>
          <w:szCs w:val="18"/>
        </w:rPr>
        <w:t xml:space="preserve"> </w:t>
      </w:r>
      <w:r>
        <w:rPr>
          <w:rFonts w:ascii="Lucida Sans" w:hAnsi="Lucida Sans" w:cs="Times New Roman"/>
          <w:sz w:val="18"/>
          <w:szCs w:val="18"/>
        </w:rPr>
        <w:t>and cost considerations have come to influence prescribing practice. Readers are advised to consult</w:t>
      </w:r>
      <w:r w:rsidR="00671E04">
        <w:rPr>
          <w:rFonts w:ascii="Lucida Sans" w:hAnsi="Lucida Sans" w:cs="Times New Roman"/>
          <w:sz w:val="18"/>
          <w:szCs w:val="18"/>
        </w:rPr>
        <w:t xml:space="preserve"> up-to-date</w:t>
      </w:r>
      <w:r>
        <w:rPr>
          <w:rFonts w:ascii="Lucida Sans" w:hAnsi="Lucida Sans" w:cs="Times New Roman"/>
          <w:sz w:val="18"/>
          <w:szCs w:val="18"/>
        </w:rPr>
        <w:t xml:space="preserve"> local pricing and availability since these vary across countries and over time. </w:t>
      </w:r>
    </w:p>
    <w:p w14:paraId="12FC0E2E" w14:textId="5A67E520" w:rsidR="00C61CD8" w:rsidRDefault="00C61CD8" w:rsidP="006F0C0A">
      <w:pPr>
        <w:spacing w:line="360" w:lineRule="auto"/>
        <w:rPr>
          <w:rFonts w:ascii="Lucida Sans" w:hAnsi="Lucida Sans" w:cs="Times New Roman"/>
          <w:sz w:val="18"/>
          <w:szCs w:val="18"/>
        </w:rPr>
      </w:pPr>
    </w:p>
    <w:p w14:paraId="5ECDF0EA" w14:textId="5E505A24" w:rsidR="00C61CD8" w:rsidRPr="009A7D3F" w:rsidRDefault="00C61CD8" w:rsidP="009A7D3F">
      <w:pPr>
        <w:pStyle w:val="ListParagraph"/>
        <w:numPr>
          <w:ilvl w:val="0"/>
          <w:numId w:val="3"/>
        </w:numPr>
        <w:spacing w:line="360" w:lineRule="auto"/>
        <w:rPr>
          <w:rFonts w:ascii="Lucida Sans" w:hAnsi="Lucida Sans" w:cs="Times New Roman"/>
          <w:b/>
          <w:sz w:val="18"/>
          <w:szCs w:val="18"/>
        </w:rPr>
      </w:pPr>
      <w:r w:rsidRPr="009A7D3F">
        <w:rPr>
          <w:rFonts w:ascii="Lucida Sans" w:hAnsi="Lucida Sans" w:cs="Times New Roman"/>
          <w:b/>
          <w:sz w:val="18"/>
          <w:szCs w:val="18"/>
        </w:rPr>
        <w:t xml:space="preserve">Management of </w:t>
      </w:r>
      <w:r w:rsidR="00465C89">
        <w:rPr>
          <w:rFonts w:ascii="Lucida Sans" w:hAnsi="Lucida Sans" w:cs="Times New Roman"/>
          <w:b/>
          <w:sz w:val="18"/>
          <w:szCs w:val="18"/>
        </w:rPr>
        <w:t xml:space="preserve">common </w:t>
      </w:r>
      <w:r w:rsidRPr="009A7D3F">
        <w:rPr>
          <w:rFonts w:ascii="Lucida Sans" w:hAnsi="Lucida Sans" w:cs="Times New Roman"/>
          <w:b/>
          <w:sz w:val="18"/>
          <w:szCs w:val="18"/>
        </w:rPr>
        <w:t>side effects from MAOIs</w:t>
      </w:r>
    </w:p>
    <w:p w14:paraId="2CB45D97" w14:textId="7713E278" w:rsidR="0074773C" w:rsidRPr="00727DEE" w:rsidRDefault="004632C6" w:rsidP="0074773C">
      <w:pPr>
        <w:spacing w:line="360" w:lineRule="auto"/>
        <w:rPr>
          <w:rFonts w:ascii="Lucida Sans" w:hAnsi="Lucida Sans" w:cs="Times New Roman"/>
          <w:sz w:val="18"/>
          <w:szCs w:val="18"/>
        </w:rPr>
      </w:pPr>
      <w:r>
        <w:rPr>
          <w:rFonts w:ascii="Lucida Sans" w:hAnsi="Lucida Sans" w:cs="Times New Roman"/>
          <w:sz w:val="18"/>
          <w:szCs w:val="18"/>
        </w:rPr>
        <w:t xml:space="preserve">Management of </w:t>
      </w:r>
      <w:r w:rsidR="0074773C">
        <w:rPr>
          <w:rFonts w:ascii="Lucida Sans" w:hAnsi="Lucida Sans" w:cs="Times New Roman"/>
          <w:sz w:val="18"/>
          <w:szCs w:val="18"/>
        </w:rPr>
        <w:t xml:space="preserve">common and bothersome </w:t>
      </w:r>
      <w:r>
        <w:rPr>
          <w:rFonts w:ascii="Lucida Sans" w:hAnsi="Lucida Sans" w:cs="Times New Roman"/>
          <w:sz w:val="18"/>
          <w:szCs w:val="18"/>
        </w:rPr>
        <w:t xml:space="preserve">side effects from MAOIs has a very limited evidence base; as such the following strategies are suggested based on clinical experience. </w:t>
      </w:r>
      <w:r w:rsidR="0074773C">
        <w:rPr>
          <w:rFonts w:ascii="Lucida Sans" w:hAnsi="Lucida Sans" w:cs="Times New Roman"/>
          <w:sz w:val="18"/>
          <w:szCs w:val="18"/>
        </w:rPr>
        <w:t xml:space="preserve">In patients experiencing MAOI-related insomnia, consider where relevant discussing advice about sleep hygiene, adjusting dosing to earlier in the day, and/or adjustment to </w:t>
      </w:r>
      <w:r w:rsidR="0074773C" w:rsidRPr="00727DEE">
        <w:rPr>
          <w:rFonts w:ascii="Lucida Sans" w:hAnsi="Lucida Sans" w:cs="Times New Roman"/>
          <w:sz w:val="18"/>
          <w:szCs w:val="18"/>
        </w:rPr>
        <w:t xml:space="preserve">medication dosage. Where necessary, medications for insomnia can be considered, but it is important to consider safety issues including the potential for drug interactions. </w:t>
      </w:r>
      <w:r w:rsidR="001F134A" w:rsidRPr="00727DEE">
        <w:rPr>
          <w:rFonts w:ascii="Lucida Sans" w:hAnsi="Lucida Sans" w:cs="Times New Roman"/>
          <w:sz w:val="18"/>
          <w:szCs w:val="18"/>
        </w:rPr>
        <w:t xml:space="preserve">Treatment with non-selective </w:t>
      </w:r>
      <w:r w:rsidR="00465C89" w:rsidRPr="00727DEE">
        <w:rPr>
          <w:rFonts w:ascii="Lucida Sans" w:hAnsi="Lucida Sans" w:cs="Times New Roman"/>
          <w:sz w:val="18"/>
          <w:szCs w:val="18"/>
        </w:rPr>
        <w:t>MAOI is often associated with a</w:t>
      </w:r>
      <w:r w:rsidR="00AD1722" w:rsidRPr="00727DEE">
        <w:rPr>
          <w:rFonts w:ascii="Lucida Sans" w:hAnsi="Lucida Sans" w:cs="Times New Roman"/>
          <w:sz w:val="18"/>
          <w:szCs w:val="18"/>
        </w:rPr>
        <w:t>n</w:t>
      </w:r>
      <w:r w:rsidR="00465C89" w:rsidRPr="00727DEE">
        <w:rPr>
          <w:rFonts w:ascii="Lucida Sans" w:hAnsi="Lucida Sans" w:cs="Times New Roman"/>
          <w:sz w:val="18"/>
          <w:szCs w:val="18"/>
        </w:rPr>
        <w:t xml:space="preserve"> </w:t>
      </w:r>
      <w:r w:rsidR="00AD1722" w:rsidRPr="00727DEE">
        <w:rPr>
          <w:rFonts w:ascii="Lucida Sans" w:hAnsi="Lucida Sans" w:cs="Times New Roman"/>
          <w:sz w:val="18"/>
          <w:szCs w:val="18"/>
        </w:rPr>
        <w:t>a</w:t>
      </w:r>
      <w:r w:rsidR="00465C89" w:rsidRPr="00727DEE">
        <w:rPr>
          <w:rFonts w:ascii="Lucida Sans" w:hAnsi="Lucida Sans" w:cs="Times New Roman"/>
          <w:sz w:val="18"/>
          <w:szCs w:val="18"/>
        </w:rPr>
        <w:t xml:space="preserve">symptomatic postural decrease in blood pressure, although many patients experience an initial </w:t>
      </w:r>
      <w:r w:rsidR="00AD1722" w:rsidRPr="00727DEE">
        <w:rPr>
          <w:rFonts w:ascii="Lucida Sans" w:hAnsi="Lucida Sans" w:cs="Times New Roman"/>
          <w:sz w:val="18"/>
          <w:szCs w:val="18"/>
        </w:rPr>
        <w:t xml:space="preserve">symptomatic and </w:t>
      </w:r>
      <w:r w:rsidR="00465C89" w:rsidRPr="00727DEE">
        <w:rPr>
          <w:rFonts w:ascii="Lucida Sans" w:hAnsi="Lucida Sans" w:cs="Times New Roman"/>
          <w:sz w:val="18"/>
          <w:szCs w:val="18"/>
        </w:rPr>
        <w:t>significant postural drop (between 10-15 mmHg)</w:t>
      </w:r>
      <w:r w:rsidR="00AD1722" w:rsidRPr="00727DEE">
        <w:rPr>
          <w:rFonts w:ascii="Lucida Sans" w:hAnsi="Lucida Sans" w:cs="Times New Roman"/>
          <w:sz w:val="18"/>
          <w:szCs w:val="18"/>
        </w:rPr>
        <w:t>:</w:t>
      </w:r>
      <w:r w:rsidR="00465C89" w:rsidRPr="00727DEE">
        <w:rPr>
          <w:rFonts w:ascii="Lucida Sans" w:hAnsi="Lucida Sans" w:cs="Times New Roman"/>
          <w:sz w:val="18"/>
          <w:szCs w:val="18"/>
        </w:rPr>
        <w:t xml:space="preserve"> </w:t>
      </w:r>
      <w:r w:rsidR="00AD1722" w:rsidRPr="00727DEE">
        <w:rPr>
          <w:rFonts w:ascii="Lucida Sans" w:hAnsi="Lucida Sans" w:cs="Times New Roman"/>
          <w:sz w:val="18"/>
          <w:szCs w:val="18"/>
        </w:rPr>
        <w:t>the latter</w:t>
      </w:r>
      <w:r w:rsidR="00465C89" w:rsidRPr="00727DEE">
        <w:rPr>
          <w:rFonts w:ascii="Lucida Sans" w:hAnsi="Lucida Sans" w:cs="Times New Roman"/>
          <w:sz w:val="18"/>
          <w:szCs w:val="18"/>
        </w:rPr>
        <w:t xml:space="preserve"> often resolves within two weeks despite maintaining the same daily dosage </w:t>
      </w:r>
      <w:r w:rsidR="00B74D7F"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&lt;EndNote&gt;&lt;Cite&gt;&lt;Author&gt;Gillman&lt;/Author&gt;&lt;Year&gt;2018&lt;/Year&gt;&lt;RecNum&gt;497&lt;/RecNum&gt;&lt;DisplayText&gt;[69]&lt;/DisplayText&gt;&lt;record&gt;&lt;rec-number&gt;497&lt;/rec-number&gt;&lt;foreign-keys&gt;&lt;key app="EN" db-id="2xwpd9xwpest5ue9rwa5etrr9fzzxded9vfx" timestamp="1619003381"&gt;497&lt;/key&gt;&lt;/foreign-keys&gt;&lt;ref-type name="Journal Article"&gt;17&lt;/ref-type&gt;&lt;contributors&gt;&lt;authors&gt;&lt;author&gt;Gillman, Peter Kenneth&lt;/author&gt;&lt;/authors&gt;&lt;/contributors&gt;&lt;titles&gt;&lt;title&gt;A reassessment of the safety profile of monoamine oxidase inhibitors: elucidating tired old tyramine myths&lt;/title&gt;&lt;secondary-title&gt;Journal of Neural Transmission&lt;/secondary-title&gt;&lt;/titles&gt;&lt;periodical&gt;&lt;full-title&gt;Journal of Neural Transmission&lt;/full-title&gt;&lt;/periodical&gt;&lt;pages&gt;1707-1717&lt;/pages&gt;&lt;volume&gt;125&lt;/volume&gt;&lt;number&gt;11&lt;/number&gt;&lt;dates&gt;&lt;year&gt;2018&lt;/year&gt;&lt;/dates&gt;&lt;isbn&gt;1435-1463&lt;/isbn&gt;&lt;urls&gt;&lt;/urls&gt;&lt;/record&gt;&lt;/Cite&gt;&lt;/EndNote&gt;</w:instrText>
      </w:r>
      <w:r w:rsidR="00B74D7F" w:rsidRPr="00727DEE">
        <w:rPr>
          <w:rFonts w:ascii="Lucida Sans" w:hAnsi="Lucida Sans" w:cs="Times New Roman"/>
          <w:sz w:val="18"/>
          <w:szCs w:val="18"/>
        </w:rPr>
        <w:fldChar w:fldCharType="separate"/>
      </w:r>
      <w:r w:rsidR="00271279">
        <w:rPr>
          <w:rFonts w:ascii="Lucida Sans" w:hAnsi="Lucida Sans" w:cs="Times New Roman"/>
          <w:noProof/>
          <w:sz w:val="18"/>
          <w:szCs w:val="18"/>
        </w:rPr>
        <w:t>[69]</w:t>
      </w:r>
      <w:r w:rsidR="00B74D7F" w:rsidRPr="00727DEE">
        <w:rPr>
          <w:rFonts w:ascii="Lucida Sans" w:hAnsi="Lucida Sans" w:cs="Times New Roman"/>
          <w:sz w:val="18"/>
          <w:szCs w:val="18"/>
        </w:rPr>
        <w:fldChar w:fldCharType="end"/>
      </w:r>
      <w:r w:rsidR="00465C89" w:rsidRPr="00727DEE">
        <w:rPr>
          <w:rFonts w:ascii="Lucida Sans" w:hAnsi="Lucida Sans" w:cs="Times New Roman"/>
          <w:sz w:val="18"/>
          <w:szCs w:val="18"/>
        </w:rPr>
        <w:t xml:space="preserve">. Persistent symptomatic hypotension can sometimes be managed by dose reduction, although some patients will need to be switched to alternative treatments. </w:t>
      </w:r>
      <w:r w:rsidR="003F513D" w:rsidRPr="00727DEE">
        <w:rPr>
          <w:rFonts w:ascii="Lucida Sans" w:hAnsi="Lucida Sans" w:cs="Times New Roman"/>
          <w:sz w:val="18"/>
          <w:szCs w:val="18"/>
        </w:rPr>
        <w:t xml:space="preserve">The incidence of treatment-emergent sexual dysfunction with older MAOIs is uncertain, </w:t>
      </w:r>
      <w:r w:rsidR="00AD1722" w:rsidRPr="00727DEE">
        <w:rPr>
          <w:rFonts w:ascii="Lucida Sans" w:hAnsi="Lucida Sans" w:cs="Times New Roman"/>
          <w:sz w:val="18"/>
          <w:szCs w:val="18"/>
        </w:rPr>
        <w:t>but</w:t>
      </w:r>
      <w:r w:rsidR="003F513D" w:rsidRPr="00727DEE">
        <w:rPr>
          <w:rFonts w:ascii="Lucida Sans" w:hAnsi="Lucida Sans" w:cs="Times New Roman"/>
          <w:sz w:val="18"/>
          <w:szCs w:val="18"/>
        </w:rPr>
        <w:t xml:space="preserve"> sexual difficulties and dissatisfaction a</w:t>
      </w:r>
      <w:r w:rsidR="00AD1722" w:rsidRPr="00727DEE">
        <w:rPr>
          <w:rFonts w:ascii="Lucida Sans" w:hAnsi="Lucida Sans" w:cs="Times New Roman"/>
          <w:sz w:val="18"/>
          <w:szCs w:val="18"/>
        </w:rPr>
        <w:t>re</w:t>
      </w:r>
      <w:r w:rsidR="003F513D" w:rsidRPr="00727DEE">
        <w:rPr>
          <w:rFonts w:ascii="Lucida Sans" w:hAnsi="Lucida Sans" w:cs="Times New Roman"/>
          <w:sz w:val="18"/>
          <w:szCs w:val="18"/>
        </w:rPr>
        <w:t xml:space="preserve"> less common with moclobemide than with SSRIs </w:t>
      </w:r>
      <w:r w:rsidR="00B74D7F"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&lt;EndNote&gt;&lt;Cite&gt;&lt;Author&gt;Philipp&lt;/Author&gt;&lt;Year&gt;2000&lt;/Year&gt;&lt;RecNum&gt;420&lt;/RecNum&gt;&lt;DisplayText&gt;[39]&lt;/DisplayText&gt;&lt;record&gt;&lt;rec-number&gt;420&lt;/rec-number&gt;&lt;foreign-keys&gt;&lt;key app="EN" db-id="2xwpd9xwpest5ue9rwa5etrr9fzzxded9vfx" timestamp="0"&gt;420&lt;/key&gt;&lt;/foreign-keys&gt;&lt;ref-type name="Journal Article"&gt;17&lt;/ref-type&gt;&lt;contributors&gt;&lt;authors&gt;&lt;author&gt;Philipp, M&lt;/author&gt;&lt;author&gt;Tiller, JW&lt;/author&gt;&lt;author&gt;Baier, D&lt;/author&gt;&lt;/authors&gt;&lt;/contributors&gt;&lt;titles&gt;&lt;title&gt;for the The Australian and German Study Groups. Comparison of moclobemide with selective serotonin reuptake inhibitors (SSRIs) on sexual function in depressed adults&lt;/title&gt;&lt;secondary-title&gt;Eur Neuropsychopharmacol&lt;/secondary-title&gt;&lt;/titles&gt;&lt;pages&gt;305-314&lt;/pages&gt;&lt;volume&gt;10&lt;/volume&gt;&lt;number&gt;5&lt;/number&gt;&lt;dates&gt;&lt;year&gt;2000&lt;/year&gt;&lt;/dates&gt;&lt;urls&gt;&lt;/urls&gt;&lt;/record&gt;&lt;/Cite&gt;&lt;/EndNote&gt;</w:instrText>
      </w:r>
      <w:r w:rsidR="00B74D7F" w:rsidRPr="00727DEE">
        <w:rPr>
          <w:rFonts w:ascii="Lucida Sans" w:hAnsi="Lucida Sans" w:cs="Times New Roman"/>
          <w:sz w:val="18"/>
          <w:szCs w:val="18"/>
        </w:rPr>
        <w:fldChar w:fldCharType="separate"/>
      </w:r>
      <w:r w:rsidR="00271279">
        <w:rPr>
          <w:rFonts w:ascii="Lucida Sans" w:hAnsi="Lucida Sans" w:cs="Times New Roman"/>
          <w:noProof/>
          <w:sz w:val="18"/>
          <w:szCs w:val="18"/>
        </w:rPr>
        <w:t>[39]</w:t>
      </w:r>
      <w:r w:rsidR="00B74D7F" w:rsidRPr="00727DEE">
        <w:rPr>
          <w:rFonts w:ascii="Lucida Sans" w:hAnsi="Lucida Sans" w:cs="Times New Roman"/>
          <w:sz w:val="18"/>
          <w:szCs w:val="18"/>
        </w:rPr>
        <w:fldChar w:fldCharType="end"/>
      </w:r>
      <w:r w:rsidR="00AD1722" w:rsidRPr="00727DEE">
        <w:rPr>
          <w:rFonts w:ascii="Lucida Sans" w:hAnsi="Lucida Sans" w:cs="Times New Roman"/>
          <w:sz w:val="18"/>
          <w:szCs w:val="18"/>
        </w:rPr>
        <w:t xml:space="preserve">: switching from an SSRI to moclobemide </w:t>
      </w:r>
      <w:r w:rsidR="001F134A" w:rsidRPr="00727DEE">
        <w:rPr>
          <w:rFonts w:ascii="Lucida Sans" w:hAnsi="Lucida Sans" w:cs="Times New Roman"/>
          <w:sz w:val="18"/>
          <w:szCs w:val="18"/>
        </w:rPr>
        <w:t xml:space="preserve">(of course, with appropriate washout) </w:t>
      </w:r>
      <w:r w:rsidR="00AD1722" w:rsidRPr="00727DEE">
        <w:rPr>
          <w:rFonts w:ascii="Lucida Sans" w:hAnsi="Lucida Sans" w:cs="Times New Roman"/>
          <w:sz w:val="18"/>
          <w:szCs w:val="18"/>
        </w:rPr>
        <w:t xml:space="preserve">can </w:t>
      </w:r>
      <w:r w:rsidR="006742FA" w:rsidRPr="00727DEE">
        <w:rPr>
          <w:rFonts w:ascii="Lucida Sans" w:hAnsi="Lucida Sans" w:cs="Times New Roman"/>
          <w:sz w:val="18"/>
          <w:szCs w:val="18"/>
        </w:rPr>
        <w:t xml:space="preserve">sometimes </w:t>
      </w:r>
      <w:r w:rsidR="00AD1722" w:rsidRPr="00727DEE">
        <w:rPr>
          <w:rFonts w:ascii="Lucida Sans" w:hAnsi="Lucida Sans" w:cs="Times New Roman"/>
          <w:sz w:val="18"/>
          <w:szCs w:val="18"/>
        </w:rPr>
        <w:t>be beneficial in enhancing sexual functioning in depressed patients</w:t>
      </w:r>
      <w:r w:rsidR="00B74D7F" w:rsidRPr="00727DEE">
        <w:rPr>
          <w:rFonts w:ascii="Lucida Sans" w:hAnsi="Lucida Sans" w:cs="Times New Roman"/>
          <w:sz w:val="18"/>
          <w:szCs w:val="18"/>
        </w:rPr>
        <w:t xml:space="preserve"> </w:t>
      </w:r>
      <w:r w:rsidR="00B74D7F" w:rsidRPr="00727DEE">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&lt;EndNote&gt;&lt;Cite&gt;&lt;Author&gt;Rothmore&lt;/Author&gt;&lt;Year&gt;2020&lt;/Year&gt;&lt;RecNum&gt;503&lt;/RecNum&gt;&lt;DisplayText&gt;[84]&lt;/DisplayText&gt;&lt;record&gt;&lt;rec-number&gt;503&lt;/rec-number&gt;&lt;foreign-keys&gt;&lt;key app="EN" db-id="2xwpd9xwpest5ue9rwa5etrr9fzzxded9vfx" timestamp="1619011549"&gt;503&lt;/key&gt;&lt;/foreign-keys&gt;&lt;ref-type name="Journal Article"&gt;17&lt;/ref-type&gt;&lt;contributors&gt;&lt;authors&gt;&lt;author&gt;Rothmore, Jody&lt;/author&gt;&lt;/authors&gt;&lt;/contributors&gt;&lt;titles&gt;&lt;title&gt;Antidepressant-induced sexual dysfunction&lt;/title&gt;&lt;secondary-title&gt;Med J Aust&lt;/secondary-title&gt;&lt;/titles&gt;&lt;periodical&gt;&lt;full-title&gt;Med J Aust&lt;/full-title&gt;&lt;/periodical&gt;&lt;pages&gt;329-34&lt;/pages&gt;&lt;volume&gt;212&lt;/volume&gt;&lt;number&gt;7&lt;/number&gt;&lt;dates&gt;&lt;year&gt;2020&lt;/year&gt;&lt;/dates&gt;&lt;urls&gt;&lt;/urls&gt;&lt;/record&gt;&lt;/Cite&gt;&lt;/EndNote&gt;</w:instrText>
      </w:r>
      <w:r w:rsidR="00B74D7F" w:rsidRPr="00727DEE">
        <w:rPr>
          <w:rFonts w:ascii="Lucida Sans" w:hAnsi="Lucida Sans" w:cs="Times New Roman"/>
          <w:sz w:val="18"/>
          <w:szCs w:val="18"/>
        </w:rPr>
        <w:fldChar w:fldCharType="separate"/>
      </w:r>
      <w:r w:rsidR="00271279">
        <w:rPr>
          <w:rFonts w:ascii="Lucida Sans" w:hAnsi="Lucida Sans" w:cs="Times New Roman"/>
          <w:noProof/>
          <w:sz w:val="18"/>
          <w:szCs w:val="18"/>
        </w:rPr>
        <w:t>[84]</w:t>
      </w:r>
      <w:r w:rsidR="00B74D7F" w:rsidRPr="00727DEE">
        <w:rPr>
          <w:rFonts w:ascii="Lucida Sans" w:hAnsi="Lucida Sans" w:cs="Times New Roman"/>
          <w:sz w:val="18"/>
          <w:szCs w:val="18"/>
        </w:rPr>
        <w:fldChar w:fldCharType="end"/>
      </w:r>
      <w:r w:rsidR="006742FA" w:rsidRPr="00727DEE">
        <w:rPr>
          <w:rFonts w:ascii="Lucida Sans" w:hAnsi="Lucida Sans" w:cs="Times New Roman"/>
          <w:sz w:val="18"/>
          <w:szCs w:val="18"/>
        </w:rPr>
        <w:t xml:space="preserve">. </w:t>
      </w:r>
    </w:p>
    <w:p w14:paraId="455AE8D4" w14:textId="45F3E91C" w:rsidR="004632C6" w:rsidRPr="00727DEE" w:rsidRDefault="004632C6" w:rsidP="00C61CD8">
      <w:pPr>
        <w:spacing w:line="360" w:lineRule="auto"/>
        <w:rPr>
          <w:rFonts w:ascii="Lucida Sans" w:hAnsi="Lucida Sans" w:cs="Times New Roman"/>
          <w:sz w:val="18"/>
          <w:szCs w:val="18"/>
        </w:rPr>
      </w:pPr>
    </w:p>
    <w:p w14:paraId="24CC38AF" w14:textId="77777777" w:rsidR="000247EF" w:rsidRPr="006F0C0A" w:rsidRDefault="000247EF" w:rsidP="006F0C0A">
      <w:pPr>
        <w:spacing w:line="360" w:lineRule="auto"/>
        <w:rPr>
          <w:rFonts w:ascii="Lucida Sans" w:hAnsi="Lucida Sans" w:cs="Times New Roman"/>
          <w:sz w:val="18"/>
          <w:szCs w:val="18"/>
          <w:u w:val="single"/>
          <w:lang w:val="en-US"/>
        </w:rPr>
      </w:pPr>
    </w:p>
    <w:p w14:paraId="49A75576" w14:textId="0424F65E" w:rsidR="00194E32" w:rsidRPr="00F94A14" w:rsidRDefault="00194E32" w:rsidP="00F94A14">
      <w:pPr>
        <w:pStyle w:val="ListParagraph"/>
        <w:numPr>
          <w:ilvl w:val="0"/>
          <w:numId w:val="3"/>
        </w:numPr>
        <w:spacing w:line="360" w:lineRule="auto"/>
        <w:rPr>
          <w:rFonts w:ascii="Lucida Sans" w:hAnsi="Lucida Sans" w:cs="Times New Roman"/>
          <w:b/>
          <w:sz w:val="18"/>
          <w:szCs w:val="18"/>
          <w:lang w:val="en-US"/>
        </w:rPr>
      </w:pPr>
      <w:r w:rsidRPr="00F94A14">
        <w:rPr>
          <w:rFonts w:ascii="Lucida Sans" w:hAnsi="Lucida Sans" w:cs="Times New Roman"/>
          <w:b/>
          <w:sz w:val="18"/>
          <w:szCs w:val="18"/>
          <w:lang w:val="en-US"/>
        </w:rPr>
        <w:t xml:space="preserve">Symptoms </w:t>
      </w:r>
      <w:r w:rsidR="00E40457">
        <w:rPr>
          <w:rFonts w:ascii="Lucida Sans" w:hAnsi="Lucida Sans" w:cs="Times New Roman"/>
          <w:b/>
          <w:sz w:val="18"/>
          <w:szCs w:val="18"/>
          <w:lang w:val="en-US"/>
        </w:rPr>
        <w:t>whilst</w:t>
      </w:r>
      <w:r w:rsidR="00E40457" w:rsidRPr="00F94A14">
        <w:rPr>
          <w:rFonts w:ascii="Lucida Sans" w:hAnsi="Lucida Sans" w:cs="Times New Roman"/>
          <w:b/>
          <w:sz w:val="18"/>
          <w:szCs w:val="18"/>
          <w:lang w:val="en-US"/>
        </w:rPr>
        <w:t xml:space="preserve"> </w:t>
      </w:r>
      <w:r w:rsidRPr="00F94A14">
        <w:rPr>
          <w:rFonts w:ascii="Lucida Sans" w:hAnsi="Lucida Sans" w:cs="Times New Roman"/>
          <w:b/>
          <w:sz w:val="18"/>
          <w:szCs w:val="18"/>
          <w:lang w:val="en-US"/>
        </w:rPr>
        <w:t>and after stopping MAOIs</w:t>
      </w:r>
    </w:p>
    <w:p w14:paraId="4413F323" w14:textId="190C31F8" w:rsidR="00AD7F98" w:rsidRPr="00AD7F98" w:rsidRDefault="0027412D" w:rsidP="00633B5B">
      <w:pPr>
        <w:spacing w:line="360" w:lineRule="auto"/>
        <w:rPr>
          <w:rFonts w:ascii="Lucida Sans" w:hAnsi="Lucida Sans" w:cs="Times New Roman"/>
          <w:sz w:val="18"/>
          <w:szCs w:val="18"/>
          <w:lang w:val="en-US"/>
        </w:rPr>
      </w:pPr>
      <w:r w:rsidRPr="006F0C0A">
        <w:rPr>
          <w:rFonts w:ascii="Lucida Sans" w:hAnsi="Lucida Sans" w:cs="Times New Roman"/>
          <w:sz w:val="18"/>
          <w:szCs w:val="18"/>
        </w:rPr>
        <w:t xml:space="preserve">As with </w:t>
      </w:r>
      <w:r w:rsidR="00EC4A69">
        <w:rPr>
          <w:rFonts w:ascii="Lucida Sans" w:hAnsi="Lucida Sans" w:cs="Times New Roman"/>
          <w:sz w:val="18"/>
          <w:szCs w:val="18"/>
        </w:rPr>
        <w:t xml:space="preserve">many </w:t>
      </w:r>
      <w:r w:rsidRPr="006F0C0A">
        <w:rPr>
          <w:rFonts w:ascii="Lucida Sans" w:hAnsi="Lucida Sans" w:cs="Times New Roman"/>
          <w:sz w:val="18"/>
          <w:szCs w:val="18"/>
        </w:rPr>
        <w:t>other antidepressant medicines</w:t>
      </w:r>
      <w:r w:rsidR="00EC4A69">
        <w:rPr>
          <w:rFonts w:ascii="Lucida Sans" w:hAnsi="Lucida Sans" w:cs="Times New Roman"/>
          <w:sz w:val="18"/>
          <w:szCs w:val="18"/>
        </w:rPr>
        <w:t xml:space="preserve"> </w:t>
      </w:r>
      <w:r w:rsidR="00C740E3">
        <w:rPr>
          <w:rFonts w:ascii="Lucida Sans" w:hAnsi="Lucida Sans" w:cs="Times New Roman"/>
          <w:sz w:val="18"/>
          <w:szCs w:val="18"/>
        </w:rPr>
        <w:fldChar w:fldCharType="begin"/>
      </w:r>
      <w:r w:rsidR="00271279">
        <w:rPr>
          <w:rFonts w:ascii="Lucida Sans" w:hAnsi="Lucida Sans" w:cs="Times New Roman"/>
          <w:sz w:val="18"/>
          <w:szCs w:val="18"/>
        </w:rPr>
        <w:instrText xml:space="preserve"> ADDIN EN.CITE &lt;EndNote&gt;&lt;Cite&gt;&lt;Author&gt;Baldwin&lt;/Author&gt;&lt;Year&gt;2007&lt;/Year&gt;&lt;RecNum&gt;204&lt;/RecNum&gt;&lt;DisplayText&gt;[85]&lt;/DisplayText&gt;&lt;record&gt;&lt;rec-number&gt;204&lt;/rec-number&gt;&lt;foreign-keys&gt;&lt;key app="EN" db-id="2xwpd9xwpest5ue9rwa5etrr9fzzxded9vfx" timestamp="0"&gt;204&lt;/key&gt;&lt;/foreign-keys&gt;&lt;ref-type name="Journal Article"&gt;17&lt;/ref-type&gt;&lt;contributors&gt;&lt;authors&gt;&lt;author&gt;Baldwin, D.S., &lt;/author&gt;&lt;author&gt;Montgomery, S.A., &lt;/author&gt;&lt;author&gt;Nil, R. &lt;/author&gt;&lt;author&gt;Lader, M. &lt;/author&gt;&lt;/authors&gt;&lt;/contributors&gt;&lt;titles&gt;&lt;title&gt;Discontinuation symptoms in depression and anxiety disorder&lt;/title&gt;&lt;secondary-title&gt;International Journal of Neuropsychopharmacology&lt;/secondary-title&gt;&lt;/titles&gt;&lt;periodical&gt;&lt;full-title&gt;International Journal of Neuropsychopharmacology&lt;/full-title&gt;&lt;/periodical&gt;&lt;pages&gt;73-84&lt;/pages&gt;&lt;volume&gt;10&lt;/volume&gt;&lt;number&gt;1&lt;/number&gt;&lt;dates&gt;&lt;year&gt;2007&lt;/year&gt;&lt;/dates&gt;&lt;urls&gt;&lt;/urls&gt;&lt;/record&gt;&lt;/Cite&gt;&lt;/EndNote&gt;</w:instrText>
      </w:r>
      <w:r w:rsidR="00C740E3">
        <w:rPr>
          <w:rFonts w:ascii="Lucida Sans" w:hAnsi="Lucida Sans" w:cs="Times New Roman"/>
          <w:sz w:val="18"/>
          <w:szCs w:val="18"/>
        </w:rPr>
        <w:fldChar w:fldCharType="separate"/>
      </w:r>
      <w:r w:rsidR="00271279">
        <w:rPr>
          <w:rFonts w:ascii="Lucida Sans" w:hAnsi="Lucida Sans" w:cs="Times New Roman"/>
          <w:noProof/>
          <w:sz w:val="18"/>
          <w:szCs w:val="18"/>
        </w:rPr>
        <w:t>[85]</w:t>
      </w:r>
      <w:r w:rsidR="00C740E3">
        <w:rPr>
          <w:rFonts w:ascii="Lucida Sans" w:hAnsi="Lucida Sans" w:cs="Times New Roman"/>
          <w:sz w:val="18"/>
          <w:szCs w:val="18"/>
        </w:rPr>
        <w:fldChar w:fldCharType="end"/>
      </w:r>
      <w:r w:rsidRPr="006F0C0A">
        <w:rPr>
          <w:rFonts w:ascii="Lucida Sans" w:hAnsi="Lucida Sans" w:cs="Times New Roman"/>
          <w:sz w:val="18"/>
          <w:szCs w:val="18"/>
        </w:rPr>
        <w:t xml:space="preserve">, abrupt withdrawal of MAOIs can be associated with distressing psychological and physical symptoms. </w:t>
      </w:r>
      <w:r w:rsidR="00AD7F98">
        <w:rPr>
          <w:rFonts w:ascii="Lucida Sans" w:hAnsi="Lucida Sans" w:cs="Times New Roman"/>
          <w:sz w:val="18"/>
          <w:szCs w:val="18"/>
          <w:lang w:val="en-US"/>
        </w:rPr>
        <w:t xml:space="preserve">Discontinuation or withdrawal symptoms were described </w:t>
      </w:r>
      <w:r w:rsidR="00AD7F98" w:rsidRPr="00AD7F98">
        <w:rPr>
          <w:rFonts w:ascii="Lucida Sans" w:hAnsi="Lucida Sans" w:cs="Times New Roman"/>
          <w:sz w:val="18"/>
          <w:szCs w:val="18"/>
          <w:lang w:val="en-US"/>
        </w:rPr>
        <w:t xml:space="preserve">in </w:t>
      </w:r>
      <w:r w:rsidR="00AD7F98">
        <w:rPr>
          <w:rFonts w:ascii="Lucida Sans" w:hAnsi="Lucida Sans" w:cs="Times New Roman"/>
          <w:sz w:val="18"/>
          <w:szCs w:val="18"/>
          <w:lang w:val="en-US"/>
        </w:rPr>
        <w:t xml:space="preserve">early </w:t>
      </w:r>
      <w:r w:rsidR="00AD7F98" w:rsidRPr="00AD7F98">
        <w:rPr>
          <w:rFonts w:ascii="Lucida Sans" w:hAnsi="Lucida Sans" w:cs="Times New Roman"/>
          <w:sz w:val="18"/>
          <w:szCs w:val="18"/>
          <w:lang w:val="en-US"/>
        </w:rPr>
        <w:t xml:space="preserve">case reports </w:t>
      </w:r>
      <w:r w:rsidR="00AD7F98">
        <w:rPr>
          <w:rFonts w:ascii="Lucida Sans" w:hAnsi="Lucida Sans" w:cs="Times New Roman"/>
          <w:sz w:val="18"/>
          <w:szCs w:val="18"/>
          <w:lang w:val="en-US"/>
        </w:rPr>
        <w:t xml:space="preserve">of treatment of patients </w:t>
      </w:r>
      <w:r w:rsidR="00AD7F98" w:rsidRPr="00AD7F98">
        <w:rPr>
          <w:rFonts w:ascii="Lucida Sans" w:hAnsi="Lucida Sans" w:cs="Times New Roman"/>
          <w:sz w:val="18"/>
          <w:szCs w:val="18"/>
          <w:lang w:val="en-US"/>
        </w:rPr>
        <w:t xml:space="preserve">with tranylcypromine </w:t>
      </w:r>
      <w:r w:rsidR="008B0FC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&lt;EndNote&gt;&lt;Cite&gt;&lt;Author&gt;Le Gassicke&lt;/Author&gt;&lt;Year&gt;1963&lt;/Year&gt;&lt;RecNum&gt;427&lt;/RecNum&gt;&lt;DisplayText&gt;[86, 87]&lt;/DisplayText&gt;&lt;record&gt;&lt;rec-number&gt;427&lt;/rec-number&gt;&lt;foreign-keys&gt;&lt;key app="EN" db-id="2xwpd9xwpest5ue9rwa5etrr9fzzxded9vfx" timestamp="0"&gt;427&lt;/key&gt;&lt;/foreign-keys&gt;&lt;ref-type name="Journal Article"&gt;17&lt;/ref-type&gt;&lt;contributors&gt;&lt;authors&gt;&lt;author&gt;Le Gassicke, J&lt;/author&gt;&lt;/authors&gt;&lt;/contributors&gt;&lt;titles&gt;&lt;title&gt;Tranylcypromine&lt;/title&gt;&lt;secondary-title&gt;Lancet&lt;/secondary-title&gt;&lt;/titles&gt;&lt;pages&gt;269-270&lt;/pages&gt;&lt;volume&gt;1&lt;/volume&gt;&lt;dates&gt;&lt;year&gt;1963&lt;/year&gt;&lt;/dates&gt;&lt;urls&gt;&lt;/urls&gt;&lt;/record&gt;&lt;/Cite&gt;&lt;Cite&gt;&lt;Author&gt;Ben-Arie&lt;/Author&gt;&lt;Year&gt;1979&lt;/Year&gt;&lt;RecNum&gt;428&lt;/RecNum&gt;&lt;record&gt;&lt;rec-number&gt;428&lt;/rec-number&gt;&lt;foreign-keys&gt;&lt;key app="EN" db-id="2xwpd9xwpest5ue9rwa5etrr9fzzxded9vfx" timestamp="0"&gt;428&lt;/key&gt;&lt;/foreign-keys&gt;&lt;ref-type name="Journal Article"&gt;17&lt;/ref-type&gt;&lt;contributors&gt;&lt;authors&gt;&lt;author&gt;Ben-Arie, O&lt;/author&gt;&lt;author&gt;George, GCW&lt;/author&gt;&lt;/authors&gt;&lt;/contributors&gt;&lt;titles&gt;&lt;title&gt;A case of tranylcypromine (‘Parnate’) addiction&lt;/title&gt;&lt;secondary-title&gt;The British Journal of Psychiatry&lt;/secondary-title&gt;&lt;/titles&gt;&lt;periodical&gt;&lt;full-title&gt;The British Journal of Psychiatry&lt;/full-title&gt;&lt;/periodical&gt;&lt;pages&gt;273-274&lt;/pages&gt;&lt;volume&gt;135&lt;/volume&gt;&lt;number&gt;3&lt;/number&gt;&lt;dates&gt;&lt;year&gt;1979&lt;/year&gt;&lt;/dates&gt;&lt;isbn&gt;0007-1250&lt;/isbn&gt;&lt;urls&gt;&lt;/urls&gt;&lt;/record&gt;&lt;/Cite&gt;&lt;/EndNote&gt;</w:instrText>
      </w:r>
      <w:r w:rsidR="008B0FC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[86, 87]</w:t>
      </w:r>
      <w:r w:rsidR="008B0FCA">
        <w:rPr>
          <w:rFonts w:ascii="Lucida Sans" w:hAnsi="Lucida Sans" w:cs="Times New Roman"/>
          <w:sz w:val="18"/>
          <w:szCs w:val="18"/>
          <w:lang w:val="en-US"/>
        </w:rPr>
        <w:fldChar w:fldCharType="end"/>
      </w:r>
      <w:r w:rsidR="00AD7F98">
        <w:rPr>
          <w:rFonts w:ascii="Lucida Sans" w:hAnsi="Lucida Sans" w:cs="Times New Roman"/>
          <w:sz w:val="18"/>
          <w:szCs w:val="18"/>
          <w:lang w:val="en-US"/>
        </w:rPr>
        <w:t xml:space="preserve"> and </w:t>
      </w:r>
      <w:r w:rsidR="00AD7F98" w:rsidRPr="00AD7F98">
        <w:rPr>
          <w:rFonts w:ascii="Lucida Sans" w:hAnsi="Lucida Sans" w:cs="Times New Roman"/>
          <w:sz w:val="18"/>
          <w:szCs w:val="18"/>
          <w:lang w:val="en-US"/>
        </w:rPr>
        <w:t>phenelzine</w:t>
      </w:r>
      <w:r w:rsidR="008B0FCA">
        <w:rPr>
          <w:rFonts w:ascii="Lucida Sans" w:hAnsi="Lucida Sans" w:cs="Times New Roman"/>
          <w:sz w:val="18"/>
          <w:szCs w:val="18"/>
          <w:lang w:val="en-US"/>
        </w:rPr>
        <w:t xml:space="preserve"> </w:t>
      </w:r>
      <w:r w:rsidR="008B0FC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&lt;EndNote&gt;&lt;Cite&gt;&lt;Author&gt;Pitt&lt;/Author&gt;&lt;Year&gt;1974&lt;/Year&gt;&lt;RecNum&gt;429&lt;/RecNum&gt;&lt;DisplayText&gt;[88]&lt;/DisplayText&gt;&lt;record&gt;&lt;rec-number&gt;429&lt;/rec-number&gt;&lt;foreign-keys&gt;&lt;key app="EN" db-id="2xwpd9xwpest5ue9rwa5etrr9fzzxded9vfx" timestamp="0"&gt;429&lt;/key&gt;&lt;/foreign-keys&gt;&lt;ref-type name="Journal Article"&gt;17&lt;/ref-type&gt;&lt;contributors&gt;&lt;authors&gt;&lt;author&gt;Pitt, Brice&lt;/author&gt;&lt;/authors&gt;&lt;/contributors&gt;&lt;titles&gt;&lt;title&gt;Withdrawal symptoms after stopping phenelzine?&lt;/title&gt;&lt;secondary-title&gt;British medical journal&lt;/secondary-title&gt;&lt;/titles&gt;&lt;pages&gt;332&lt;/pages&gt;&lt;volume&gt;2&lt;/volume&gt;&lt;number&gt;5914&lt;/number&gt;&lt;dates&gt;&lt;year&gt;1974&lt;/year&gt;&lt;/dates&gt;&lt;urls&gt;&lt;/urls&gt;&lt;/record&gt;&lt;/Cite&gt;&lt;/EndNote&gt;</w:instrText>
      </w:r>
      <w:r w:rsidR="008B0FC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[88]</w:t>
      </w:r>
      <w:r w:rsidR="008B0FCA">
        <w:rPr>
          <w:rFonts w:ascii="Lucida Sans" w:hAnsi="Lucida Sans" w:cs="Times New Roman"/>
          <w:sz w:val="18"/>
          <w:szCs w:val="18"/>
          <w:lang w:val="en-US"/>
        </w:rPr>
        <w:fldChar w:fldCharType="end"/>
      </w:r>
      <w:r w:rsidR="00AD7F98">
        <w:rPr>
          <w:rFonts w:ascii="Lucida Sans" w:hAnsi="Lucida Sans" w:cs="Times New Roman"/>
          <w:sz w:val="18"/>
          <w:szCs w:val="18"/>
          <w:lang w:val="en-US"/>
        </w:rPr>
        <w:t xml:space="preserve">; and appear to be </w:t>
      </w:r>
      <w:r w:rsidR="00AD7F98" w:rsidRPr="00AD7F98">
        <w:rPr>
          <w:rFonts w:ascii="Lucida Sans" w:hAnsi="Lucida Sans" w:cs="Times New Roman"/>
          <w:sz w:val="18"/>
          <w:szCs w:val="18"/>
          <w:lang w:val="en-US"/>
        </w:rPr>
        <w:t xml:space="preserve">associated with </w:t>
      </w:r>
      <w:r w:rsidR="00AD7F98">
        <w:rPr>
          <w:rFonts w:ascii="Lucida Sans" w:hAnsi="Lucida Sans" w:cs="Times New Roman"/>
          <w:sz w:val="18"/>
          <w:szCs w:val="18"/>
          <w:lang w:val="en-US"/>
        </w:rPr>
        <w:t xml:space="preserve">a </w:t>
      </w:r>
      <w:r w:rsidR="00AD7F98" w:rsidRPr="00AD7F98">
        <w:rPr>
          <w:rFonts w:ascii="Lucida Sans" w:hAnsi="Lucida Sans" w:cs="Times New Roman"/>
          <w:sz w:val="18"/>
          <w:szCs w:val="18"/>
          <w:lang w:val="en-US"/>
        </w:rPr>
        <w:t>longer duration of phenelzine treatment</w:t>
      </w:r>
      <w:r w:rsidR="008B0FCA">
        <w:rPr>
          <w:rFonts w:ascii="Lucida Sans" w:hAnsi="Lucida Sans" w:cs="Times New Roman"/>
          <w:sz w:val="18"/>
          <w:szCs w:val="18"/>
          <w:lang w:val="en-US"/>
        </w:rPr>
        <w:t xml:space="preserve"> </w:t>
      </w:r>
      <w:r w:rsidR="008B0FC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&lt;EndNote&gt;&lt;Cite&gt;&lt;Author&gt;Tyrer&lt;/Author&gt;&lt;Year&gt;1984&lt;/Year&gt;&lt;RecNum&gt;430&lt;/RecNum&gt;&lt;DisplayText&gt;[89]&lt;/DisplayText&gt;&lt;record&gt;&lt;rec-number&gt;430&lt;/rec-number&gt;&lt;foreign-keys&gt;&lt;key app="EN" db-id="2xwpd9xwpest5ue9rwa5etrr9fzzxded9vfx" timestamp="0"&gt;430&lt;/key&gt;&lt;/foreign-keys&gt;&lt;ref-type name="Journal Article"&gt;17&lt;/ref-type&gt;&lt;contributors&gt;&lt;authors&gt;&lt;author&gt;Tyrer, Peter&lt;/author&gt;&lt;/authors&gt;&lt;/contributors&gt;&lt;titles&gt;&lt;title&gt;Clinical effects of abrupt withdrawal from tri-cyclic antidepressants and monoamine oxidase inhibitors after long-term treatment&lt;/title&gt;&lt;secondary-title&gt;Journal of affective disorders&lt;/secondary-title&gt;&lt;/titles&gt;&lt;periodical&gt;&lt;full-title&gt;Journal of Affective Disorders&lt;/full-title&gt;&lt;/periodical&gt;&lt;pages&gt;1-7&lt;/pages&gt;&lt;volume&gt;6&lt;/volume&gt;&lt;number&gt;1&lt;/number&gt;&lt;dates&gt;&lt;year&gt;1984&lt;/year&gt;&lt;/dates&gt;&lt;isbn&gt;0165-0327&lt;/isbn&gt;&lt;urls&gt;&lt;/urls&gt;&lt;/record&gt;&lt;/Cite&gt;&lt;/EndNote&gt;</w:instrText>
      </w:r>
      <w:r w:rsidR="008B0FC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[89]</w:t>
      </w:r>
      <w:r w:rsidR="008B0FCA">
        <w:rPr>
          <w:rFonts w:ascii="Lucida Sans" w:hAnsi="Lucida Sans" w:cs="Times New Roman"/>
          <w:sz w:val="18"/>
          <w:szCs w:val="18"/>
          <w:lang w:val="en-US"/>
        </w:rPr>
        <w:fldChar w:fldCharType="end"/>
      </w:r>
      <w:r w:rsidR="00AD7F98">
        <w:rPr>
          <w:rFonts w:ascii="Lucida Sans" w:hAnsi="Lucida Sans" w:cs="Times New Roman"/>
          <w:sz w:val="18"/>
          <w:szCs w:val="18"/>
          <w:lang w:val="en-US"/>
        </w:rPr>
        <w:t>. Symptoms</w:t>
      </w:r>
      <w:r w:rsidR="0033324A">
        <w:rPr>
          <w:rFonts w:ascii="Lucida Sans" w:hAnsi="Lucida Sans" w:cs="Times New Roman"/>
          <w:sz w:val="18"/>
          <w:szCs w:val="18"/>
          <w:lang w:val="en-US"/>
        </w:rPr>
        <w:t xml:space="preserve"> may</w:t>
      </w:r>
      <w:r w:rsidR="00AD7F98">
        <w:rPr>
          <w:rFonts w:ascii="Lucida Sans" w:hAnsi="Lucida Sans" w:cs="Times New Roman"/>
          <w:sz w:val="18"/>
          <w:szCs w:val="18"/>
          <w:lang w:val="en-US"/>
        </w:rPr>
        <w:t xml:space="preserve"> include</w:t>
      </w:r>
      <w:r w:rsidR="00AD7F98" w:rsidRPr="00AD7F98">
        <w:rPr>
          <w:rFonts w:ascii="Lucida Sans" w:hAnsi="Lucida Sans" w:cs="Times New Roman"/>
          <w:sz w:val="18"/>
          <w:szCs w:val="18"/>
          <w:lang w:val="en-US"/>
        </w:rPr>
        <w:t xml:space="preserve"> anxiety, mania, delirium, psychotic symptoms, </w:t>
      </w:r>
      <w:r w:rsidR="00AD7F98">
        <w:rPr>
          <w:rFonts w:ascii="Lucida Sans" w:hAnsi="Lucida Sans" w:cs="Times New Roman"/>
          <w:sz w:val="18"/>
          <w:szCs w:val="18"/>
          <w:lang w:val="en-US"/>
        </w:rPr>
        <w:t>and</w:t>
      </w:r>
      <w:r w:rsidR="0033324A">
        <w:rPr>
          <w:rFonts w:ascii="Lucida Sans" w:hAnsi="Lucida Sans" w:cs="Times New Roman"/>
          <w:sz w:val="18"/>
          <w:szCs w:val="18"/>
          <w:lang w:val="en-US"/>
        </w:rPr>
        <w:t>/or</w:t>
      </w:r>
      <w:r w:rsidR="00AD7F98">
        <w:rPr>
          <w:rFonts w:ascii="Lucida Sans" w:hAnsi="Lucida Sans" w:cs="Times New Roman"/>
          <w:sz w:val="18"/>
          <w:szCs w:val="18"/>
          <w:lang w:val="en-US"/>
        </w:rPr>
        <w:t xml:space="preserve"> </w:t>
      </w:r>
      <w:r w:rsidR="00AD7F98" w:rsidRPr="00AD7F98">
        <w:rPr>
          <w:rFonts w:ascii="Lucida Sans" w:hAnsi="Lucida Sans" w:cs="Times New Roman"/>
          <w:sz w:val="18"/>
          <w:szCs w:val="18"/>
          <w:lang w:val="en-US"/>
        </w:rPr>
        <w:t>autonomic disturbance</w:t>
      </w:r>
      <w:r w:rsidR="00AD7F98">
        <w:rPr>
          <w:rFonts w:ascii="Lucida Sans" w:hAnsi="Lucida Sans" w:cs="Times New Roman"/>
          <w:sz w:val="18"/>
          <w:szCs w:val="18"/>
          <w:lang w:val="en-US"/>
        </w:rPr>
        <w:t>s</w:t>
      </w:r>
      <w:r w:rsidR="00AD7F98" w:rsidRPr="00AD7F98">
        <w:rPr>
          <w:rFonts w:ascii="Lucida Sans" w:hAnsi="Lucida Sans" w:cs="Times New Roman"/>
          <w:sz w:val="18"/>
          <w:szCs w:val="18"/>
          <w:lang w:val="en-US"/>
        </w:rPr>
        <w:t xml:space="preserve"> </w:t>
      </w:r>
      <w:r w:rsidR="008B0FCA">
        <w:rPr>
          <w:rFonts w:ascii="Lucida Sans" w:hAnsi="Lucida Sans" w:cs="Times New Roman"/>
          <w:sz w:val="18"/>
          <w:szCs w:val="18"/>
          <w:lang w:val="en-US"/>
        </w:rPr>
        <w:t xml:space="preserve"> </w:t>
      </w:r>
      <w:r w:rsidR="008B0FC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&lt;EndNote&gt;&lt;Cite&gt;&lt;Author&gt;Dilsaver&lt;/Author&gt;&lt;Year&gt;1988&lt;/Year&gt;&lt;RecNum&gt;431&lt;/RecNum&gt;&lt;DisplayText&gt;[90, 91]&lt;/DisplayText&gt;&lt;record&gt;&lt;rec-number&gt;431&lt;/rec-number&gt;&lt;foreign-keys&gt;&lt;key app="EN" db-id="2xwpd9xwpest5ue9rwa5etrr9fzzxded9vfx" timestamp="0"&gt;431&lt;/key&gt;&lt;/foreign-keys&gt;&lt;ref-type name="Journal Article"&gt;17&lt;/ref-type&gt;&lt;contributors&gt;&lt;authors&gt;&lt;author&gt;Dilsaver, Steven C&lt;/author&gt;&lt;/authors&gt;&lt;/contributors&gt;&lt;titles&gt;&lt;title&gt;Monoamine oxidase inhibitor withdrawal phenomena: symptoms and pathophysiology&lt;/title&gt;&lt;secondary-title&gt;Acta Psychiatrica Scandinavica&lt;/secondary-title&gt;&lt;/titles&gt;&lt;periodical&gt;&lt;full-title&gt;Acta Psychiatrica Scandinavica&lt;/full-title&gt;&lt;/periodical&gt;&lt;pages&gt;1-7&lt;/pages&gt;&lt;volume&gt;78&lt;/volume&gt;&lt;number&gt;1&lt;/number&gt;&lt;dates&gt;&lt;year&gt;1988&lt;/year&gt;&lt;/dates&gt;&lt;isbn&gt;0001-690X&lt;/isbn&gt;&lt;urls&gt;&lt;/urls&gt;&lt;/record&gt;&lt;/Cite&gt;&lt;Cite&gt;&lt;Author&gt;Gahr&lt;/Author&gt;&lt;Year&gt;2013&lt;/Year&gt;&lt;RecNum&gt;432&lt;/RecNum&gt;&lt;record&gt;&lt;rec-number&gt;432&lt;/rec-number&gt;&lt;foreign-keys&gt;&lt;key app="EN" db-id="2xwpd9xwpest5ue9rwa5etrr9fzzxded9vfx" timestamp="0"&gt;432&lt;/key&gt;&lt;/foreign-keys&gt;&lt;ref-type name="Journal Article"&gt;17&lt;/ref-type&gt;&lt;contributors&gt;&lt;authors&gt;&lt;author&gt;Gahr, Maximilian&lt;/author&gt;&lt;author&gt;Schoenfeldt-Lecuona, Carlos&lt;/author&gt;&lt;author&gt;Kölle, Markus A&lt;/author&gt;&lt;author&gt;Freudenmann, Roland W&lt;/author&gt;&lt;/authors&gt;&lt;/contributors&gt;&lt;titles&gt;&lt;title&gt;Withdrawal and discontinuation phenomena associated with tranylcypromine: a systematic review&lt;/title&gt;&lt;secondary-title&gt;Pharmacopsychiatry&lt;/secondary-title&gt;&lt;/titles&gt;&lt;pages&gt;123-129&lt;/pages&gt;&lt;volume&gt;2&lt;/volume&gt;&lt;number&gt;04&lt;/number&gt;&lt;dates&gt;&lt;year&gt;2013&lt;/year&gt;&lt;/dates&gt;&lt;isbn&gt;0176-3679&lt;/isbn&gt;&lt;urls&gt;&lt;/urls&gt;&lt;/record&gt;&lt;/Cite&gt;&lt;/EndNote&gt;</w:instrText>
      </w:r>
      <w:r w:rsidR="008B0FC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[90, 91]</w:t>
      </w:r>
      <w:r w:rsidR="008B0FCA">
        <w:rPr>
          <w:rFonts w:ascii="Lucida Sans" w:hAnsi="Lucida Sans" w:cs="Times New Roman"/>
          <w:sz w:val="18"/>
          <w:szCs w:val="18"/>
          <w:lang w:val="en-US"/>
        </w:rPr>
        <w:fldChar w:fldCharType="end"/>
      </w:r>
      <w:r w:rsidR="00AD7F98">
        <w:rPr>
          <w:rFonts w:ascii="Lucida Sans" w:hAnsi="Lucida Sans" w:cs="Times New Roman"/>
          <w:sz w:val="18"/>
          <w:szCs w:val="18"/>
          <w:lang w:val="en-US"/>
        </w:rPr>
        <w:t>. M</w:t>
      </w:r>
      <w:r w:rsidR="00AD7F98" w:rsidRPr="00AD7F98">
        <w:rPr>
          <w:rFonts w:ascii="Lucida Sans" w:hAnsi="Lucida Sans" w:cs="Times New Roman"/>
          <w:sz w:val="18"/>
          <w:szCs w:val="18"/>
          <w:lang w:val="en-US"/>
        </w:rPr>
        <w:t xml:space="preserve">oclobemide </w:t>
      </w:r>
      <w:r w:rsidR="00AD7F98">
        <w:rPr>
          <w:rFonts w:ascii="Lucida Sans" w:hAnsi="Lucida Sans" w:cs="Times New Roman"/>
          <w:sz w:val="18"/>
          <w:szCs w:val="18"/>
          <w:lang w:val="en-US"/>
        </w:rPr>
        <w:t xml:space="preserve">appears less likely to be associated with such symptoms after stopping treatment, although its </w:t>
      </w:r>
      <w:r w:rsidR="00AD7F98" w:rsidRPr="00AD7F98">
        <w:rPr>
          <w:rFonts w:ascii="Lucida Sans" w:hAnsi="Lucida Sans" w:cs="Times New Roman"/>
          <w:sz w:val="18"/>
          <w:szCs w:val="18"/>
          <w:lang w:val="en-US"/>
        </w:rPr>
        <w:t xml:space="preserve">withdrawal </w:t>
      </w:r>
      <w:r w:rsidR="00AD7F98">
        <w:rPr>
          <w:rFonts w:ascii="Lucida Sans" w:hAnsi="Lucida Sans" w:cs="Times New Roman"/>
          <w:sz w:val="18"/>
          <w:szCs w:val="18"/>
          <w:lang w:val="en-US"/>
        </w:rPr>
        <w:t xml:space="preserve">has been </w:t>
      </w:r>
      <w:r w:rsidR="00AD7F98" w:rsidRPr="00AD7F98">
        <w:rPr>
          <w:rFonts w:ascii="Lucida Sans" w:hAnsi="Lucida Sans" w:cs="Times New Roman"/>
          <w:sz w:val="18"/>
          <w:szCs w:val="18"/>
          <w:lang w:val="en-US"/>
        </w:rPr>
        <w:t xml:space="preserve">linked to rebound </w:t>
      </w:r>
      <w:r w:rsidR="00335CAA">
        <w:rPr>
          <w:rFonts w:ascii="Lucida Sans" w:hAnsi="Lucida Sans" w:cs="Times New Roman"/>
          <w:sz w:val="18"/>
          <w:szCs w:val="18"/>
          <w:lang w:val="en-US"/>
        </w:rPr>
        <w:t>rapid eye movement (</w:t>
      </w:r>
      <w:r w:rsidR="00AD7F98" w:rsidRPr="00AD7F98">
        <w:rPr>
          <w:rFonts w:ascii="Lucida Sans" w:hAnsi="Lucida Sans" w:cs="Times New Roman"/>
          <w:sz w:val="18"/>
          <w:szCs w:val="18"/>
          <w:lang w:val="en-US"/>
        </w:rPr>
        <w:t>REM</w:t>
      </w:r>
      <w:r w:rsidR="00335CAA">
        <w:rPr>
          <w:rFonts w:ascii="Lucida Sans" w:hAnsi="Lucida Sans" w:cs="Times New Roman"/>
          <w:sz w:val="18"/>
          <w:szCs w:val="18"/>
          <w:lang w:val="en-US"/>
        </w:rPr>
        <w:t>)</w:t>
      </w:r>
      <w:r w:rsidR="00AD7F98" w:rsidRPr="00AD7F98">
        <w:rPr>
          <w:rFonts w:ascii="Lucida Sans" w:hAnsi="Lucida Sans" w:cs="Times New Roman"/>
          <w:sz w:val="18"/>
          <w:szCs w:val="18"/>
          <w:lang w:val="en-US"/>
        </w:rPr>
        <w:t xml:space="preserve"> sleep </w:t>
      </w:r>
      <w:r w:rsidR="00D04FD7">
        <w:rPr>
          <w:rFonts w:ascii="Lucida Sans" w:hAnsi="Lucida Sans" w:cs="Times New Roman"/>
          <w:sz w:val="18"/>
          <w:szCs w:val="18"/>
          <w:lang w:val="en-US"/>
        </w:rPr>
        <w:t>(24)</w:t>
      </w:r>
      <w:r w:rsidR="00AD7F98" w:rsidRPr="00AD7F98">
        <w:rPr>
          <w:rFonts w:ascii="Lucida Sans" w:hAnsi="Lucida Sans" w:cs="Times New Roman"/>
          <w:sz w:val="18"/>
          <w:szCs w:val="18"/>
          <w:lang w:val="en-US"/>
        </w:rPr>
        <w:t xml:space="preserve">, and </w:t>
      </w:r>
      <w:r w:rsidR="00AD7F98">
        <w:rPr>
          <w:rFonts w:ascii="Lucida Sans" w:hAnsi="Lucida Sans" w:cs="Times New Roman"/>
          <w:sz w:val="18"/>
          <w:szCs w:val="18"/>
          <w:lang w:val="en-US"/>
        </w:rPr>
        <w:t>‘</w:t>
      </w:r>
      <w:r w:rsidR="00AD7F98" w:rsidRPr="00AD7F98">
        <w:rPr>
          <w:rFonts w:ascii="Lucida Sans" w:hAnsi="Lucida Sans" w:cs="Times New Roman"/>
          <w:sz w:val="18"/>
          <w:szCs w:val="18"/>
          <w:lang w:val="en-US"/>
        </w:rPr>
        <w:t>flu-like</w:t>
      </w:r>
      <w:r w:rsidR="0033324A">
        <w:rPr>
          <w:rFonts w:ascii="Lucida Sans" w:hAnsi="Lucida Sans" w:cs="Times New Roman"/>
          <w:sz w:val="18"/>
          <w:szCs w:val="18"/>
          <w:lang w:val="en-US"/>
        </w:rPr>
        <w:t>’</w:t>
      </w:r>
      <w:r w:rsidR="00AD7F98" w:rsidRPr="00AD7F98">
        <w:rPr>
          <w:rFonts w:ascii="Lucida Sans" w:hAnsi="Lucida Sans" w:cs="Times New Roman"/>
          <w:sz w:val="18"/>
          <w:szCs w:val="18"/>
          <w:lang w:val="en-US"/>
        </w:rPr>
        <w:t xml:space="preserve"> symptoms </w:t>
      </w:r>
      <w:r w:rsidR="008B0FC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&lt;EndNote&gt;&lt;Cite&gt;&lt;Author&gt;Curtin&lt;/Author&gt;&lt;Year&gt;2002&lt;/Year&gt;&lt;RecNum&gt;433&lt;/RecNum&gt;&lt;DisplayText&gt;[92]&lt;/DisplayText&gt;&lt;record&gt;&lt;rec-number&gt;433&lt;/rec-number&gt;&lt;foreign-keys&gt;&lt;key app="EN" db-id="2xwpd9xwpest5ue9rwa5etrr9fzzxded9vfx" timestamp="0"&gt;433&lt;/key&gt;&lt;/foreign-keys&gt;&lt;ref-type name="Journal Article"&gt;17&lt;/ref-type&gt;&lt;contributors&gt;&lt;authors&gt;&lt;author&gt;Curtin, Francois&lt;/author&gt;&lt;author&gt;Berney, Patricia&lt;/author&gt;&lt;author&gt;Kaufmann, Christophe&lt;/author&gt;&lt;/authors&gt;&lt;/contributors&gt;&lt;titles&gt;&lt;title&gt;Moclobemide discontinuation syndrome predominantly presenting with influenza-like symptoms&lt;/title&gt;&lt;secondary-title&gt;Journal of Psychopharmacology&lt;/secondary-title&gt;&lt;/titles&gt;&lt;periodical&gt;&lt;full-title&gt;Journal of Psychopharmacology&lt;/full-title&gt;&lt;/periodical&gt;&lt;pages&gt;271-272&lt;/pages&gt;&lt;volume&gt;16&lt;/volume&gt;&lt;number&gt;3&lt;/number&gt;&lt;dates&gt;&lt;year&gt;2002&lt;/year&gt;&lt;/dates&gt;&lt;isbn&gt;0269-8811&lt;/isbn&gt;&lt;urls&gt;&lt;/urls&gt;&lt;/record&gt;&lt;/Cite&gt;&lt;/EndNote&gt;</w:instrText>
      </w:r>
      <w:r w:rsidR="008B0FC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[92]</w:t>
      </w:r>
      <w:r w:rsidR="008B0FCA">
        <w:rPr>
          <w:rFonts w:ascii="Lucida Sans" w:hAnsi="Lucida Sans" w:cs="Times New Roman"/>
          <w:sz w:val="18"/>
          <w:szCs w:val="18"/>
          <w:lang w:val="en-US"/>
        </w:rPr>
        <w:fldChar w:fldCharType="end"/>
      </w:r>
      <w:r w:rsidR="00AD7F98">
        <w:rPr>
          <w:rFonts w:ascii="Lucida Sans" w:hAnsi="Lucida Sans" w:cs="Times New Roman"/>
          <w:sz w:val="18"/>
          <w:szCs w:val="18"/>
          <w:lang w:val="en-US"/>
        </w:rPr>
        <w:t xml:space="preserve">. </w:t>
      </w:r>
      <w:r w:rsidR="00EC4A69" w:rsidRPr="006F0C0A">
        <w:rPr>
          <w:rFonts w:ascii="Lucida Sans" w:hAnsi="Lucida Sans" w:cs="Times New Roman"/>
          <w:sz w:val="18"/>
          <w:szCs w:val="18"/>
        </w:rPr>
        <w:t>Particular caution needs to be</w:t>
      </w:r>
      <w:r w:rsidR="0050323A">
        <w:rPr>
          <w:rFonts w:ascii="Lucida Sans" w:hAnsi="Lucida Sans" w:cs="Times New Roman"/>
          <w:sz w:val="18"/>
          <w:szCs w:val="18"/>
        </w:rPr>
        <w:t xml:space="preserve"> </w:t>
      </w:r>
      <w:r w:rsidR="00EC4A69" w:rsidRPr="006F0C0A">
        <w:rPr>
          <w:rFonts w:ascii="Lucida Sans" w:hAnsi="Lucida Sans" w:cs="Times New Roman"/>
          <w:sz w:val="18"/>
          <w:szCs w:val="18"/>
        </w:rPr>
        <w:t xml:space="preserve">exercised when considering potential further pharmacological management of patients with these </w:t>
      </w:r>
      <w:r w:rsidR="00EC4A69">
        <w:rPr>
          <w:rFonts w:ascii="Lucida Sans" w:hAnsi="Lucida Sans" w:cs="Times New Roman"/>
          <w:sz w:val="18"/>
          <w:szCs w:val="18"/>
        </w:rPr>
        <w:t xml:space="preserve">emergent </w:t>
      </w:r>
      <w:r w:rsidR="00EC4A69" w:rsidRPr="006F0C0A">
        <w:rPr>
          <w:rFonts w:ascii="Lucida Sans" w:hAnsi="Lucida Sans" w:cs="Times New Roman"/>
          <w:sz w:val="18"/>
          <w:szCs w:val="18"/>
        </w:rPr>
        <w:t>symptoms, due to the risk of potential severe drug-drug interactions.</w:t>
      </w:r>
    </w:p>
    <w:p w14:paraId="4C635942" w14:textId="77777777" w:rsidR="00A649C0" w:rsidRPr="00AD7F98" w:rsidRDefault="00A649C0" w:rsidP="006F0C0A">
      <w:pPr>
        <w:spacing w:line="360" w:lineRule="auto"/>
        <w:rPr>
          <w:rFonts w:ascii="Lucida Sans" w:hAnsi="Lucida Sans" w:cs="Times New Roman"/>
          <w:sz w:val="18"/>
          <w:szCs w:val="18"/>
          <w:lang w:val="en-US"/>
        </w:rPr>
      </w:pPr>
    </w:p>
    <w:p w14:paraId="1A642720" w14:textId="5BD0DCF0" w:rsidR="004D091C" w:rsidRPr="00F94A14" w:rsidRDefault="0010717F" w:rsidP="00F94A14">
      <w:pPr>
        <w:pStyle w:val="ListParagraph"/>
        <w:numPr>
          <w:ilvl w:val="0"/>
          <w:numId w:val="3"/>
        </w:numPr>
        <w:spacing w:line="360" w:lineRule="auto"/>
        <w:rPr>
          <w:rFonts w:ascii="Lucida Sans" w:hAnsi="Lucida Sans" w:cs="Times New Roman"/>
          <w:b/>
          <w:sz w:val="18"/>
          <w:szCs w:val="18"/>
          <w:lang w:val="en-US"/>
        </w:rPr>
      </w:pPr>
      <w:r w:rsidRPr="00F94A14">
        <w:rPr>
          <w:rFonts w:ascii="Lucida Sans" w:hAnsi="Lucida Sans" w:cs="Times New Roman"/>
          <w:b/>
          <w:sz w:val="18"/>
          <w:szCs w:val="18"/>
          <w:lang w:val="en-US"/>
        </w:rPr>
        <w:t>Future directions</w:t>
      </w:r>
    </w:p>
    <w:p w14:paraId="0F3DAA8E" w14:textId="11773A18" w:rsidR="00027BB6" w:rsidRDefault="004447D0" w:rsidP="003A5F60">
      <w:pPr>
        <w:spacing w:line="360" w:lineRule="auto"/>
        <w:rPr>
          <w:rFonts w:ascii="Lucida Sans" w:hAnsi="Lucida Sans"/>
          <w:sz w:val="18"/>
          <w:szCs w:val="18"/>
        </w:rPr>
      </w:pPr>
      <w:r w:rsidRPr="003A5F60">
        <w:rPr>
          <w:rFonts w:ascii="Lucida Sans" w:hAnsi="Lucida Sans" w:cs="Times New Roman"/>
          <w:sz w:val="18"/>
          <w:szCs w:val="18"/>
          <w:lang w:val="en-US"/>
        </w:rPr>
        <w:t xml:space="preserve">MAO inhibition is </w:t>
      </w:r>
      <w:r>
        <w:rPr>
          <w:rFonts w:ascii="Lucida Sans" w:hAnsi="Lucida Sans" w:cs="Times New Roman"/>
          <w:sz w:val="18"/>
          <w:szCs w:val="18"/>
          <w:lang w:val="en-US"/>
        </w:rPr>
        <w:t xml:space="preserve">a </w:t>
      </w:r>
      <w:r w:rsidRPr="003A5F60">
        <w:rPr>
          <w:rFonts w:ascii="Lucida Sans" w:hAnsi="Lucida Sans" w:cs="Times New Roman"/>
          <w:sz w:val="18"/>
          <w:szCs w:val="18"/>
          <w:lang w:val="en-US"/>
        </w:rPr>
        <w:t xml:space="preserve">proven mechanism for </w:t>
      </w:r>
      <w:r>
        <w:rPr>
          <w:rFonts w:ascii="Lucida Sans" w:hAnsi="Lucida Sans" w:cs="Times New Roman"/>
          <w:sz w:val="18"/>
          <w:szCs w:val="18"/>
          <w:lang w:val="en-US"/>
        </w:rPr>
        <w:t xml:space="preserve">exerting </w:t>
      </w:r>
      <w:r w:rsidRPr="003A5F60">
        <w:rPr>
          <w:rFonts w:ascii="Lucida Sans" w:hAnsi="Lucida Sans" w:cs="Times New Roman"/>
          <w:sz w:val="18"/>
          <w:szCs w:val="18"/>
          <w:lang w:val="en-US"/>
        </w:rPr>
        <w:t>antidepressant efficacy</w:t>
      </w:r>
      <w:r>
        <w:rPr>
          <w:rFonts w:ascii="Lucida Sans" w:hAnsi="Lucida Sans" w:cs="Times New Roman"/>
          <w:sz w:val="18"/>
          <w:szCs w:val="18"/>
          <w:lang w:val="en-US"/>
        </w:rPr>
        <w:t xml:space="preserve">, yet for various reasons existing MAOIs are widely </w:t>
      </w:r>
      <w:r>
        <w:rPr>
          <w:rFonts w:ascii="Lucida Sans" w:hAnsi="Lucida Sans"/>
          <w:sz w:val="18"/>
          <w:szCs w:val="18"/>
        </w:rPr>
        <w:t>neglected, often misunderstood, and largely disappearing from clinical practice. Cohorts of psychiatry trainees - and possibly some consultants - have never seen a currently MAOI-treated patient.</w:t>
      </w:r>
      <w:r w:rsidR="005877DF">
        <w:rPr>
          <w:rFonts w:ascii="Lucida Sans" w:hAnsi="Lucida Sans"/>
          <w:sz w:val="18"/>
          <w:szCs w:val="18"/>
        </w:rPr>
        <w:t xml:space="preserve"> </w:t>
      </w:r>
      <w:r w:rsidR="00D508E5">
        <w:rPr>
          <w:rFonts w:ascii="Lucida Sans" w:hAnsi="Lucida Sans"/>
          <w:sz w:val="18"/>
          <w:szCs w:val="18"/>
        </w:rPr>
        <w:t xml:space="preserve">However, </w:t>
      </w:r>
      <w:r w:rsidR="00D508E5" w:rsidRPr="00D508E5">
        <w:rPr>
          <w:rFonts w:ascii="Lucida Sans" w:hAnsi="Lucida Sans"/>
          <w:sz w:val="18"/>
          <w:szCs w:val="18"/>
        </w:rPr>
        <w:t xml:space="preserve">MAOIs are </w:t>
      </w:r>
      <w:r w:rsidR="00D508E5">
        <w:rPr>
          <w:rFonts w:ascii="Lucida Sans" w:hAnsi="Lucida Sans"/>
          <w:sz w:val="18"/>
          <w:szCs w:val="18"/>
        </w:rPr>
        <w:t xml:space="preserve">still </w:t>
      </w:r>
      <w:r w:rsidR="00D508E5" w:rsidRPr="00D508E5">
        <w:rPr>
          <w:rFonts w:ascii="Lucida Sans" w:hAnsi="Lucida Sans"/>
          <w:sz w:val="18"/>
          <w:szCs w:val="18"/>
        </w:rPr>
        <w:t xml:space="preserve">recommended as a possible treatment option in patients with refractory depression in both NICE and BAP guidelines. </w:t>
      </w:r>
      <w:r w:rsidR="000E72A1">
        <w:rPr>
          <w:rFonts w:ascii="Lucida Sans" w:hAnsi="Lucida Sans"/>
          <w:sz w:val="18"/>
          <w:szCs w:val="18"/>
        </w:rPr>
        <w:t>As noted above</w:t>
      </w:r>
      <w:r w:rsidR="00D508E5" w:rsidRPr="00D508E5">
        <w:rPr>
          <w:rFonts w:ascii="Lucida Sans" w:hAnsi="Lucida Sans"/>
          <w:sz w:val="18"/>
          <w:szCs w:val="18"/>
        </w:rPr>
        <w:t xml:space="preserve">, the MAOI phenelzine performed rather well in a network meta-analysis of randomised controlled treatment trials in patients with </w:t>
      </w:r>
      <w:r w:rsidR="005877DF">
        <w:rPr>
          <w:rFonts w:ascii="Lucida Sans" w:hAnsi="Lucida Sans"/>
          <w:sz w:val="18"/>
          <w:szCs w:val="18"/>
        </w:rPr>
        <w:t>PTSD</w:t>
      </w:r>
      <w:r w:rsidR="00542E9C">
        <w:rPr>
          <w:rFonts w:ascii="Lucida Sans" w:hAnsi="Lucida Sans"/>
          <w:sz w:val="18"/>
          <w:szCs w:val="18"/>
        </w:rPr>
        <w:t xml:space="preserve"> </w:t>
      </w:r>
      <w:r w:rsidR="00542E9C">
        <w:rPr>
          <w:rFonts w:ascii="Lucida Sans" w:hAnsi="Lucida Sans"/>
          <w:sz w:val="18"/>
          <w:szCs w:val="18"/>
        </w:rPr>
        <w:fldChar w:fldCharType="begin"/>
      </w:r>
      <w:r w:rsidR="00271279">
        <w:rPr>
          <w:rFonts w:ascii="Lucida Sans" w:hAnsi="Lucida Sans"/>
          <w:sz w:val="18"/>
          <w:szCs w:val="18"/>
        </w:rPr>
        <w:instrText xml:space="preserve"> ADDIN EN.CITE &lt;EndNote&gt;&lt;Cite&gt;&lt;Author&gt;Cipriani&lt;/Author&gt;&lt;Year&gt;2018&lt;/Year&gt;&lt;RecNum&gt;399&lt;/RecNum&gt;&lt;DisplayText&gt;[57]&lt;/DisplayText&gt;&lt;record&gt;&lt;rec-number&gt;399&lt;/rec-number&gt;&lt;foreign-keys&gt;&lt;key app="EN" db-id="2xwpd9xwpest5ue9rwa5etrr9fzzxded9vfx" timestamp="0"&gt;399&lt;/key&gt;&lt;/foreign-keys&gt;&lt;ref-type name="Journal Article"&gt;17&lt;/ref-type&gt;&lt;contributors&gt;&lt;authors&gt;&lt;author&gt;Cipriani, Andrea&lt;/author&gt;&lt;author&gt;Williams, Taryn&lt;/author&gt;&lt;author&gt;Nikolakopoulou, Adriani&lt;/author&gt;&lt;author&gt;Salanti, Georgia&lt;/author&gt;&lt;author&gt;Chaimani, Anna&lt;/author&gt;&lt;author&gt;Ipser, Jonathan&lt;/author&gt;&lt;author&gt;Cowen, Phil J&lt;/author&gt;&lt;author&gt;Geddes, John R&lt;/author&gt;&lt;author&gt;Stein, Dan J&lt;/author&gt;&lt;/authors&gt;&lt;/contributors&gt;&lt;titles&gt;&lt;title&gt;Comparative efficacy and acceptability of pharmacological treatments for post-traumatic stress disorder in adults: a network meta-analysis&lt;/title&gt;&lt;secondary-title&gt;Psychological medicine&lt;/secondary-title&gt;&lt;/titles&gt;&lt;periodical&gt;&lt;full-title&gt;Psychological Medicine&lt;/full-title&gt;&lt;/periodical&gt;&lt;pages&gt;1975-1984&lt;/pages&gt;&lt;volume&gt;48&lt;/volume&gt;&lt;number&gt;12&lt;/number&gt;&lt;dates&gt;&lt;year&gt;2018&lt;/year&gt;&lt;/dates&gt;&lt;isbn&gt;0033-2917&lt;/isbn&gt;&lt;urls&gt;&lt;/urls&gt;&lt;/record&gt;&lt;/Cite&gt;&lt;/EndNote&gt;</w:instrText>
      </w:r>
      <w:r w:rsidR="00542E9C">
        <w:rPr>
          <w:rFonts w:ascii="Lucida Sans" w:hAnsi="Lucida Sans"/>
          <w:sz w:val="18"/>
          <w:szCs w:val="18"/>
        </w:rPr>
        <w:fldChar w:fldCharType="separate"/>
      </w:r>
      <w:r w:rsidR="00271279">
        <w:rPr>
          <w:rFonts w:ascii="Lucida Sans" w:hAnsi="Lucida Sans"/>
          <w:noProof/>
          <w:sz w:val="18"/>
          <w:szCs w:val="18"/>
        </w:rPr>
        <w:t>[57]</w:t>
      </w:r>
      <w:r w:rsidR="00542E9C">
        <w:rPr>
          <w:rFonts w:ascii="Lucida Sans" w:hAnsi="Lucida Sans"/>
          <w:sz w:val="18"/>
          <w:szCs w:val="18"/>
        </w:rPr>
        <w:fldChar w:fldCharType="end"/>
      </w:r>
      <w:r w:rsidR="00D508E5" w:rsidRPr="00D508E5">
        <w:rPr>
          <w:rFonts w:ascii="Lucida Sans" w:hAnsi="Lucida Sans"/>
          <w:sz w:val="18"/>
          <w:szCs w:val="18"/>
        </w:rPr>
        <w:t xml:space="preserve">, </w:t>
      </w:r>
      <w:r w:rsidR="00542E9C">
        <w:rPr>
          <w:rFonts w:ascii="Lucida Sans" w:hAnsi="Lucida Sans"/>
          <w:sz w:val="18"/>
          <w:szCs w:val="18"/>
        </w:rPr>
        <w:t xml:space="preserve">and </w:t>
      </w:r>
      <w:r w:rsidR="0028757D">
        <w:rPr>
          <w:rFonts w:ascii="Lucida Sans" w:hAnsi="Lucida Sans"/>
          <w:sz w:val="18"/>
          <w:szCs w:val="18"/>
        </w:rPr>
        <w:t xml:space="preserve">again </w:t>
      </w:r>
      <w:r w:rsidR="00542E9C">
        <w:rPr>
          <w:rFonts w:ascii="Lucida Sans" w:hAnsi="Lucida Sans"/>
          <w:sz w:val="18"/>
          <w:szCs w:val="18"/>
        </w:rPr>
        <w:t>in depression</w:t>
      </w:r>
      <w:r w:rsidR="00D2200E">
        <w:rPr>
          <w:rFonts w:ascii="Lucida Sans" w:hAnsi="Lucida Sans"/>
          <w:sz w:val="18"/>
          <w:szCs w:val="18"/>
        </w:rPr>
        <w:t xml:space="preserve"> </w:t>
      </w:r>
      <w:r w:rsidR="00D2200E">
        <w:rPr>
          <w:rFonts w:ascii="Lucida Sans" w:hAnsi="Lucida Sans"/>
          <w:sz w:val="18"/>
          <w:szCs w:val="18"/>
        </w:rPr>
        <w:fldChar w:fldCharType="begin"/>
      </w:r>
      <w:r w:rsidR="00271279">
        <w:rPr>
          <w:rFonts w:ascii="Lucida Sans" w:hAnsi="Lucida Sans"/>
          <w:sz w:val="18"/>
          <w:szCs w:val="18"/>
        </w:rPr>
        <w:instrText xml:space="preserve"> ADDIN EN.CITE &lt;EndNote&gt;&lt;Cite&gt;&lt;Author&gt;Suchting&lt;/Author&gt;&lt;Year&gt;2021&lt;/Year&gt;&lt;RecNum&gt;489&lt;/RecNum&gt;&lt;DisplayText&gt;[54]&lt;/DisplayText&gt;&lt;record&gt;&lt;rec-number&gt;489&lt;/rec-number&gt;&lt;foreign-keys&gt;&lt;key app="EN" db-id="2xwpd9xwpest5ue9rwa5etrr9fzzxded9vfx" timestamp="1619000948"&gt;489&lt;/key&gt;&lt;/foreign-keys&gt;&lt;ref-type name="Journal Article"&gt;17&lt;/ref-type&gt;&lt;contributors&gt;&lt;authors&gt;&lt;author&gt;Suchting, Robert&lt;/author&gt;&lt;author&gt;Tirumalajaru, Vaishali&lt;/author&gt;&lt;author&gt;Gareeb, Rida&lt;/author&gt;&lt;author&gt;Bockmann, Taya&lt;/author&gt;&lt;author&gt;de Dios, Constanza&lt;/author&gt;&lt;author&gt;Aickareth, Jacob&lt;/author&gt;&lt;author&gt;Pinjari, Omar&lt;/author&gt;&lt;author&gt;Soares, Jair C&lt;/author&gt;&lt;author&gt;Cowen, Phil J&lt;/author&gt;&lt;author&gt;Selvaraj, Sudhakar&lt;/author&gt;&lt;/authors&gt;&lt;/contributors&gt;&lt;titles&gt;&lt;title&gt;Revisiting monoamine oxidase inhibitors for the treatment of depressive disorders: A systematic review and network meta-analysis&lt;/title&gt;&lt;secondary-title&gt;Journal of Affective Disorders&lt;/secondary-title&gt;&lt;/titles&gt;&lt;periodical&gt;&lt;full-title&gt;Journal of Affective Disorders&lt;/full-title&gt;&lt;/periodical&gt;&lt;dates&gt;&lt;year&gt;2021&lt;/year&gt;&lt;/dates&gt;&lt;isbn&gt;0165-0327&lt;/isbn&gt;&lt;urls&gt;&lt;/urls&gt;&lt;/record&gt;&lt;/Cite&gt;&lt;/EndNote&gt;</w:instrText>
      </w:r>
      <w:r w:rsidR="00D2200E">
        <w:rPr>
          <w:rFonts w:ascii="Lucida Sans" w:hAnsi="Lucida Sans"/>
          <w:sz w:val="18"/>
          <w:szCs w:val="18"/>
        </w:rPr>
        <w:fldChar w:fldCharType="separate"/>
      </w:r>
      <w:r w:rsidR="00271279">
        <w:rPr>
          <w:rFonts w:ascii="Lucida Sans" w:hAnsi="Lucida Sans"/>
          <w:noProof/>
          <w:sz w:val="18"/>
          <w:szCs w:val="18"/>
        </w:rPr>
        <w:t>[54]</w:t>
      </w:r>
      <w:r w:rsidR="00D2200E">
        <w:rPr>
          <w:rFonts w:ascii="Lucida Sans" w:hAnsi="Lucida Sans"/>
          <w:sz w:val="18"/>
          <w:szCs w:val="18"/>
        </w:rPr>
        <w:fldChar w:fldCharType="end"/>
      </w:r>
      <w:r w:rsidR="00542E9C">
        <w:rPr>
          <w:rFonts w:ascii="Lucida Sans" w:hAnsi="Lucida Sans"/>
          <w:sz w:val="18"/>
          <w:szCs w:val="18"/>
        </w:rPr>
        <w:t xml:space="preserve">, </w:t>
      </w:r>
      <w:r w:rsidR="00D508E5" w:rsidRPr="00D508E5">
        <w:rPr>
          <w:rFonts w:ascii="Lucida Sans" w:hAnsi="Lucida Sans"/>
          <w:sz w:val="18"/>
          <w:szCs w:val="18"/>
        </w:rPr>
        <w:t xml:space="preserve">leading to the suggestion that it should be prioritised in future trials </w:t>
      </w:r>
      <w:r w:rsidR="004703C8">
        <w:rPr>
          <w:rFonts w:ascii="Lucida Sans" w:hAnsi="Lucida Sans"/>
          <w:sz w:val="18"/>
          <w:szCs w:val="18"/>
        </w:rPr>
        <w:t xml:space="preserve"> for these disorders </w:t>
      </w:r>
      <w:r w:rsidR="00542E9C">
        <w:rPr>
          <w:rFonts w:ascii="Lucida Sans" w:hAnsi="Lucida Sans"/>
          <w:sz w:val="18"/>
          <w:szCs w:val="18"/>
        </w:rPr>
        <w:t xml:space="preserve">. </w:t>
      </w:r>
      <w:r w:rsidR="004F2C67">
        <w:rPr>
          <w:rFonts w:ascii="Lucida Sans" w:hAnsi="Lucida Sans"/>
          <w:sz w:val="18"/>
          <w:szCs w:val="18"/>
        </w:rPr>
        <w:t xml:space="preserve">Future work should aim to address ‘number needed to treat’ and ‘number needed to harm’ for MAOIs, since much of the literature to date </w:t>
      </w:r>
      <w:r w:rsidR="0028757D">
        <w:rPr>
          <w:rFonts w:ascii="Lucida Sans" w:hAnsi="Lucida Sans"/>
          <w:sz w:val="18"/>
          <w:szCs w:val="18"/>
        </w:rPr>
        <w:t>does not permit evaluation of</w:t>
      </w:r>
      <w:r w:rsidR="004F2C67">
        <w:rPr>
          <w:rFonts w:ascii="Lucida Sans" w:hAnsi="Lucida Sans"/>
          <w:sz w:val="18"/>
          <w:szCs w:val="18"/>
        </w:rPr>
        <w:t xml:space="preserve"> these parameters. </w:t>
      </w:r>
    </w:p>
    <w:p w14:paraId="4BC4B857" w14:textId="77777777" w:rsidR="00027BB6" w:rsidRDefault="00027BB6" w:rsidP="003A5F60">
      <w:pPr>
        <w:spacing w:line="360" w:lineRule="auto"/>
        <w:rPr>
          <w:rFonts w:ascii="Lucida Sans" w:hAnsi="Lucida Sans"/>
          <w:sz w:val="18"/>
          <w:szCs w:val="18"/>
        </w:rPr>
      </w:pPr>
    </w:p>
    <w:p w14:paraId="54E0C8A2" w14:textId="136E9A7C" w:rsidR="004447D0" w:rsidRDefault="00027BB6" w:rsidP="003A5F60">
      <w:pPr>
        <w:spacing w:line="360" w:lineRule="auto"/>
        <w:rPr>
          <w:rFonts w:ascii="Lucida Sans" w:hAnsi="Lucida Sans" w:cs="Times New Roman"/>
          <w:sz w:val="18"/>
          <w:szCs w:val="18"/>
          <w:lang w:val="en-US"/>
        </w:rPr>
      </w:pPr>
      <w:r>
        <w:rPr>
          <w:rFonts w:ascii="Lucida Sans" w:hAnsi="Lucida Sans"/>
          <w:sz w:val="18"/>
          <w:szCs w:val="18"/>
        </w:rPr>
        <w:t xml:space="preserve">The efficacy and tolerability of the selegiline patch in some patients with treatment-resistant depression </w:t>
      </w:r>
      <w:r w:rsidR="005F165C">
        <w:rPr>
          <w:rFonts w:ascii="Lucida Sans" w:hAnsi="Lucida Sans"/>
          <w:sz w:val="18"/>
          <w:szCs w:val="18"/>
        </w:rPr>
        <w:t xml:space="preserve">suggests there is scope for a renaissance of interest in MAOI treatment. </w:t>
      </w:r>
      <w:r>
        <w:rPr>
          <w:rFonts w:ascii="Lucida Sans" w:hAnsi="Lucida Sans"/>
          <w:sz w:val="18"/>
          <w:szCs w:val="18"/>
        </w:rPr>
        <w:t>There is certainly scope for the development of new compounds with MAOI as a core mechanism, but with pharmacokinetic and pharmacodynamic features which might lead to enhanced efficacy and improved tolerability and safety, when compared to other antidepressants</w:t>
      </w:r>
      <w:r w:rsidR="005F165C">
        <w:rPr>
          <w:rFonts w:ascii="Lucida Sans" w:hAnsi="Lucida Sans"/>
          <w:sz w:val="18"/>
          <w:szCs w:val="18"/>
        </w:rPr>
        <w:t>.</w:t>
      </w:r>
      <w:r>
        <w:rPr>
          <w:rFonts w:ascii="Lucida Sans" w:hAnsi="Lucida Sans"/>
          <w:sz w:val="18"/>
          <w:szCs w:val="18"/>
        </w:rPr>
        <w:t xml:space="preserve"> </w:t>
      </w:r>
      <w:r w:rsidR="005F165C">
        <w:rPr>
          <w:rFonts w:ascii="Lucida Sans" w:hAnsi="Lucida Sans"/>
          <w:sz w:val="18"/>
          <w:szCs w:val="18"/>
        </w:rPr>
        <w:t xml:space="preserve">Furthermore, </w:t>
      </w:r>
      <w:r w:rsidRPr="00027BB6">
        <w:rPr>
          <w:rFonts w:ascii="Lucida Sans" w:hAnsi="Lucida Sans"/>
          <w:sz w:val="18"/>
          <w:szCs w:val="18"/>
        </w:rPr>
        <w:t xml:space="preserve">MAO-A </w:t>
      </w:r>
      <w:r w:rsidR="00C36824">
        <w:rPr>
          <w:rFonts w:ascii="Lucida Sans" w:hAnsi="Lucida Sans"/>
          <w:sz w:val="18"/>
          <w:szCs w:val="18"/>
        </w:rPr>
        <w:t>and/or</w:t>
      </w:r>
      <w:r w:rsidRPr="00027BB6">
        <w:rPr>
          <w:rFonts w:ascii="Lucida Sans" w:hAnsi="Lucida Sans"/>
          <w:sz w:val="18"/>
          <w:szCs w:val="18"/>
        </w:rPr>
        <w:t xml:space="preserve"> MAO-B inhibition </w:t>
      </w:r>
      <w:r>
        <w:rPr>
          <w:rFonts w:ascii="Lucida Sans" w:hAnsi="Lucida Sans"/>
          <w:sz w:val="18"/>
          <w:szCs w:val="18"/>
        </w:rPr>
        <w:t xml:space="preserve">is an established property </w:t>
      </w:r>
      <w:r w:rsidRPr="00027BB6">
        <w:rPr>
          <w:rFonts w:ascii="Lucida Sans" w:hAnsi="Lucida Sans"/>
          <w:sz w:val="18"/>
          <w:szCs w:val="18"/>
        </w:rPr>
        <w:t>in many plant-derived substituted flavonoids</w:t>
      </w:r>
      <w:r w:rsidR="008B0FCA">
        <w:rPr>
          <w:rFonts w:ascii="Lucida Sans" w:hAnsi="Lucida Sans"/>
          <w:sz w:val="18"/>
          <w:szCs w:val="18"/>
        </w:rPr>
        <w:t xml:space="preserve"> </w:t>
      </w:r>
      <w:r w:rsidR="008B0FCA">
        <w:rPr>
          <w:rFonts w:ascii="Lucida Sans" w:hAnsi="Lucida Sans"/>
          <w:sz w:val="18"/>
          <w:szCs w:val="18"/>
        </w:rPr>
        <w:fldChar w:fldCharType="begin"/>
      </w:r>
      <w:r w:rsidR="00271279">
        <w:rPr>
          <w:rFonts w:ascii="Lucida Sans" w:hAnsi="Lucida Sans"/>
          <w:sz w:val="18"/>
          <w:szCs w:val="18"/>
        </w:rPr>
        <w:instrText xml:space="preserve"> ADDIN EN.CITE &lt;EndNote&gt;&lt;Cite&gt;&lt;Author&gt;Dhiman&lt;/Author&gt;&lt;Year&gt;2019&lt;/Year&gt;&lt;RecNum&gt;441&lt;/RecNum&gt;&lt;DisplayText&gt;[93]&lt;/DisplayText&gt;&lt;record&gt;&lt;rec-number&gt;441&lt;/rec-number&gt;&lt;foreign-keys&gt;&lt;key app="EN" db-id="2xwpd9xwpest5ue9rwa5etrr9fzzxded9vfx" timestamp="0"&gt;441&lt;/key&gt;&lt;/foreign-keys&gt;&lt;ref-type name="Journal Article"&gt;17&lt;/ref-type&gt;&lt;contributors&gt;&lt;authors&gt;&lt;author&gt;Dhiman, Priyanka&lt;/author&gt;&lt;author&gt;Malik, Neelam&lt;/author&gt;&lt;author&gt;Sobarzo-Sánchez, Eduardo&lt;/author&gt;&lt;author&gt;Uriarte, Eugenio&lt;/author&gt;&lt;author&gt;Khatkar, Anurag&lt;/author&gt;&lt;/authors&gt;&lt;/contributors&gt;&lt;titles&gt;&lt;title&gt;Quercetin and related chromenone derivatives as monoamine oxidase inhibitors: targeting neurological and mental disorders&lt;/title&gt;&lt;secondary-title&gt;Molecules&lt;/secondary-title&gt;&lt;/titles&gt;&lt;pages&gt;418&lt;/pages&gt;&lt;volume&gt;24&lt;/volume&gt;&lt;number&gt;3&lt;/number&gt;&lt;dates&gt;&lt;year&gt;2019&lt;/year&gt;&lt;/dates&gt;&lt;urls&gt;&lt;/urls&gt;&lt;/record&gt;&lt;/Cite&gt;&lt;/EndNote&gt;</w:instrText>
      </w:r>
      <w:r w:rsidR="008B0FCA">
        <w:rPr>
          <w:rFonts w:ascii="Lucida Sans" w:hAnsi="Lucida Sans"/>
          <w:sz w:val="18"/>
          <w:szCs w:val="18"/>
        </w:rPr>
        <w:fldChar w:fldCharType="separate"/>
      </w:r>
      <w:r w:rsidR="00271279">
        <w:rPr>
          <w:rFonts w:ascii="Lucida Sans" w:hAnsi="Lucida Sans"/>
          <w:noProof/>
          <w:sz w:val="18"/>
          <w:szCs w:val="18"/>
        </w:rPr>
        <w:t>[93]</w:t>
      </w:r>
      <w:r w:rsidR="008B0FCA">
        <w:rPr>
          <w:rFonts w:ascii="Lucida Sans" w:hAnsi="Lucida Sans"/>
          <w:sz w:val="18"/>
          <w:szCs w:val="18"/>
        </w:rPr>
        <w:fldChar w:fldCharType="end"/>
      </w:r>
      <w:r w:rsidRPr="00027BB6">
        <w:rPr>
          <w:rFonts w:ascii="Lucida Sans" w:hAnsi="Lucida Sans"/>
          <w:sz w:val="18"/>
          <w:szCs w:val="18"/>
        </w:rPr>
        <w:t xml:space="preserve"> </w:t>
      </w:r>
      <w:r w:rsidR="005F165C">
        <w:rPr>
          <w:rFonts w:ascii="Lucida Sans" w:hAnsi="Lucida Sans"/>
          <w:sz w:val="18"/>
          <w:szCs w:val="18"/>
        </w:rPr>
        <w:t xml:space="preserve">suggesting the potential for development of novel pharmaceutical compounds. </w:t>
      </w:r>
    </w:p>
    <w:p w14:paraId="4E7DBF53" w14:textId="77777777" w:rsidR="004447D0" w:rsidRDefault="004447D0" w:rsidP="003A5F60">
      <w:pPr>
        <w:spacing w:line="360" w:lineRule="auto"/>
        <w:rPr>
          <w:rFonts w:ascii="Lucida Sans" w:hAnsi="Lucida Sans" w:cs="Times New Roman"/>
          <w:sz w:val="18"/>
          <w:szCs w:val="18"/>
          <w:lang w:val="en-US"/>
        </w:rPr>
      </w:pPr>
    </w:p>
    <w:p w14:paraId="4921B023" w14:textId="5E8857E5" w:rsidR="00E61A41" w:rsidRDefault="00E61A41" w:rsidP="003A5F60">
      <w:pPr>
        <w:spacing w:line="360" w:lineRule="auto"/>
        <w:rPr>
          <w:rFonts w:ascii="Lucida Sans" w:hAnsi="Lucida Sans" w:cs="Times New Roman"/>
          <w:sz w:val="18"/>
          <w:szCs w:val="18"/>
          <w:lang w:val="en-US"/>
        </w:rPr>
      </w:pPr>
      <w:r>
        <w:rPr>
          <w:rFonts w:ascii="Lucida Sans" w:hAnsi="Lucida Sans" w:cs="Times New Roman"/>
          <w:sz w:val="18"/>
          <w:szCs w:val="18"/>
          <w:lang w:val="en-US"/>
        </w:rPr>
        <w:t>It is somewhat ironic</w:t>
      </w:r>
      <w:r w:rsidRPr="00E61A41">
        <w:rPr>
          <w:rFonts w:ascii="Lucida Sans" w:hAnsi="Lucida Sans" w:cs="Times New Roman"/>
          <w:sz w:val="18"/>
          <w:szCs w:val="18"/>
          <w:lang w:val="en-US"/>
        </w:rPr>
        <w:t xml:space="preserve"> that the possible demise of MAOIs from </w:t>
      </w:r>
      <w:r>
        <w:rPr>
          <w:rFonts w:ascii="Lucida Sans" w:hAnsi="Lucida Sans" w:cs="Times New Roman"/>
          <w:sz w:val="18"/>
          <w:szCs w:val="18"/>
          <w:lang w:val="en-US"/>
        </w:rPr>
        <w:t xml:space="preserve">mainstream </w:t>
      </w:r>
      <w:r w:rsidRPr="00E61A41">
        <w:rPr>
          <w:rFonts w:ascii="Lucida Sans" w:hAnsi="Lucida Sans" w:cs="Times New Roman"/>
          <w:sz w:val="18"/>
          <w:szCs w:val="18"/>
          <w:lang w:val="en-US"/>
        </w:rPr>
        <w:t xml:space="preserve">psychiatric practice is occurring during a period when </w:t>
      </w:r>
      <w:r>
        <w:rPr>
          <w:rFonts w:ascii="Lucida Sans" w:hAnsi="Lucida Sans" w:cs="Times New Roman"/>
          <w:sz w:val="18"/>
          <w:szCs w:val="18"/>
          <w:lang w:val="en-US"/>
        </w:rPr>
        <w:t xml:space="preserve">potential </w:t>
      </w:r>
      <w:r w:rsidRPr="00E61A41">
        <w:rPr>
          <w:rFonts w:ascii="Lucida Sans" w:hAnsi="Lucida Sans" w:cs="Times New Roman"/>
          <w:sz w:val="18"/>
          <w:szCs w:val="18"/>
          <w:lang w:val="en-US"/>
        </w:rPr>
        <w:t>novel applications in non-psychiatric indications are being explored</w:t>
      </w:r>
      <w:r>
        <w:rPr>
          <w:rFonts w:ascii="Lucida Sans" w:hAnsi="Lucida Sans" w:cs="Times New Roman"/>
          <w:sz w:val="18"/>
          <w:szCs w:val="18"/>
          <w:lang w:val="en-US"/>
        </w:rPr>
        <w:t xml:space="preserve"> </w:t>
      </w:r>
      <w:r w:rsidR="008B0FC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&lt;EndNote&gt;&lt;Cite&gt;&lt;Author&gt;Moreira-Silva&lt;/Author&gt;&lt;Year&gt;2020&lt;/Year&gt;&lt;RecNum&gt;440&lt;/RecNum&gt;&lt;DisplayText&gt;[94]&lt;/DisplayText&gt;&lt;record&gt;&lt;rec-number&gt;440&lt;/rec-number&gt;&lt;foreign-keys&gt;&lt;key app="EN" db-id="2xwpd9xwpest5ue9rwa5etrr9fzzxded9vfx" timestamp="0"&gt;440&lt;/key&gt;&lt;/foreign-keys&gt;&lt;ref-type name="Journal Article"&gt;17&lt;/ref-type&gt;&lt;contributors&gt;&lt;authors&gt;&lt;author&gt;Moreira-Silva, Filipa&lt;/author&gt;&lt;author&gt;Camilo, Vânia&lt;/author&gt;&lt;author&gt;Gaspar, Vítor&lt;/author&gt;&lt;author&gt;Mano, João F&lt;/author&gt;&lt;author&gt;Henrique, Rui&lt;/author&gt;&lt;author&gt;Jerónimo, Carmen&lt;/author&gt;&lt;/authors&gt;&lt;/contributors&gt;&lt;titles&gt;&lt;title&gt;Repurposing Old Drugs into New Epigenetic Inhibitors: Promising Candidates for Cancer Treatment?&lt;/title&gt;&lt;secondary-title&gt;Pharmaceutics&lt;/secondary-title&gt;&lt;/titles&gt;&lt;pages&gt;410&lt;/pages&gt;&lt;volume&gt;12&lt;/volume&gt;&lt;number&gt;5&lt;/number&gt;&lt;dates&gt;&lt;year&gt;2020&lt;/year&gt;&lt;/dates&gt;&lt;urls&gt;&lt;/urls&gt;&lt;/record&gt;&lt;/Cite&gt;&lt;/EndNote&gt;</w:instrText>
      </w:r>
      <w:r w:rsidR="008B0FC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[94]</w:t>
      </w:r>
      <w:r w:rsidR="008B0FCA">
        <w:rPr>
          <w:rFonts w:ascii="Lucida Sans" w:hAnsi="Lucida Sans" w:cs="Times New Roman"/>
          <w:sz w:val="18"/>
          <w:szCs w:val="18"/>
          <w:lang w:val="en-US"/>
        </w:rPr>
        <w:fldChar w:fldCharType="end"/>
      </w:r>
      <w:r>
        <w:rPr>
          <w:rFonts w:ascii="Lucida Sans" w:hAnsi="Lucida Sans" w:cs="Times New Roman"/>
          <w:sz w:val="18"/>
          <w:szCs w:val="18"/>
          <w:lang w:val="en-US"/>
        </w:rPr>
        <w:t>.</w:t>
      </w:r>
      <w:r w:rsidRPr="00E61A41">
        <w:rPr>
          <w:rFonts w:ascii="Lucida Sans" w:hAnsi="Lucida Sans" w:cs="Times New Roman"/>
          <w:sz w:val="18"/>
          <w:szCs w:val="18"/>
          <w:lang w:val="en-US"/>
        </w:rPr>
        <w:t xml:space="preserve"> </w:t>
      </w:r>
      <w:r>
        <w:rPr>
          <w:rFonts w:ascii="Lucida Sans" w:hAnsi="Lucida Sans" w:cs="Times New Roman"/>
          <w:sz w:val="18"/>
          <w:szCs w:val="18"/>
          <w:lang w:val="en-US"/>
        </w:rPr>
        <w:t>P</w:t>
      </w:r>
      <w:r w:rsidRPr="00E61A41">
        <w:rPr>
          <w:rFonts w:ascii="Lucida Sans" w:hAnsi="Lucida Sans" w:cs="Times New Roman"/>
          <w:sz w:val="18"/>
          <w:szCs w:val="18"/>
          <w:lang w:val="en-US"/>
        </w:rPr>
        <w:t xml:space="preserve">henelzine can </w:t>
      </w:r>
      <w:r>
        <w:rPr>
          <w:rFonts w:ascii="Lucida Sans" w:hAnsi="Lucida Sans" w:cs="Times New Roman"/>
          <w:sz w:val="18"/>
          <w:szCs w:val="18"/>
          <w:lang w:val="en-US"/>
        </w:rPr>
        <w:t>disrupt androgen receptor signa</w:t>
      </w:r>
      <w:r w:rsidRPr="00E61A41">
        <w:rPr>
          <w:rFonts w:ascii="Lucida Sans" w:hAnsi="Lucida Sans" w:cs="Times New Roman"/>
          <w:sz w:val="18"/>
          <w:szCs w:val="18"/>
          <w:lang w:val="en-US"/>
        </w:rPr>
        <w:t xml:space="preserve">ling, so could be used in </w:t>
      </w:r>
      <w:r>
        <w:rPr>
          <w:rFonts w:ascii="Lucida Sans" w:hAnsi="Lucida Sans" w:cs="Times New Roman"/>
          <w:sz w:val="18"/>
          <w:szCs w:val="18"/>
          <w:lang w:val="en-US"/>
        </w:rPr>
        <w:t xml:space="preserve">patients with </w:t>
      </w:r>
      <w:r w:rsidRPr="00E61A41">
        <w:rPr>
          <w:rFonts w:ascii="Lucida Sans" w:hAnsi="Lucida Sans" w:cs="Times New Roman"/>
          <w:sz w:val="18"/>
          <w:szCs w:val="18"/>
          <w:lang w:val="en-US"/>
        </w:rPr>
        <w:t>recurrent prostate cancer</w:t>
      </w:r>
      <w:r w:rsidR="00327E60">
        <w:rPr>
          <w:rFonts w:ascii="Lucida Sans" w:hAnsi="Lucida Sans" w:cs="Times New Roman"/>
          <w:sz w:val="18"/>
          <w:szCs w:val="18"/>
          <w:lang w:val="en-US"/>
        </w:rPr>
        <w:t xml:space="preserve"> </w:t>
      </w:r>
      <w:r w:rsidR="000B422E">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&lt;EndNote&gt;&lt;Cite&gt;&lt;Author&gt;Gross&lt;/Author&gt;&lt;Year&gt;2021&lt;/Year&gt;&lt;RecNum&gt;611&lt;/RecNum&gt;&lt;DisplayText&gt;[95]&lt;/DisplayText&gt;&lt;record&gt;&lt;rec-number&gt;611&lt;/rec-number&gt;&lt;foreign-keys&gt;&lt;key app="EN" db-id="2xwpd9xwpest5ue9rwa5etrr9fzzxded9vfx" timestamp="1621506207"&gt;611&lt;/key&gt;&lt;/foreign-keys&gt;&lt;ref-type name="Journal Article"&gt;17&lt;/ref-type&gt;&lt;contributors&gt;&lt;authors&gt;&lt;author&gt;Gross, Mitchell E&lt;/author&gt;&lt;author&gt;Agus, David B&lt;/author&gt;&lt;author&gt;Dorff, Tanya B&lt;/author&gt;&lt;author&gt;Pinski, Jacek K&lt;/author&gt;&lt;author&gt;Quinn, David I&lt;/author&gt;&lt;author&gt;Castellanos, Olga&lt;/author&gt;&lt;author&gt;Gilmore, Patrick&lt;/author&gt;&lt;author&gt;Shih, Jean C&lt;/author&gt;&lt;/authors&gt;&lt;/contributors&gt;&lt;titles&gt;&lt;title&gt;Phase 2 trial of monoamine oxidase inhibitor phenelzine in biochemical recurrent prostate cancer&lt;/title&gt;&lt;secondary-title&gt;Prostate cancer and prostatic diseases&lt;/secondary-title&gt;&lt;/titles&gt;&lt;periodical&gt;&lt;full-title&gt;Prostate cancer and prostatic diseases&lt;/full-title&gt;&lt;/periodical&gt;&lt;pages&gt;61-68&lt;/pages&gt;&lt;volume&gt;24&lt;/volume&gt;&lt;number&gt;1&lt;/number&gt;&lt;dates&gt;&lt;year&gt;2021&lt;/year&gt;&lt;/dates&gt;&lt;isbn&gt;1476-5608&lt;/isbn&gt;&lt;urls&gt;&lt;/urls&gt;&lt;/record&gt;&lt;/Cite&gt;&lt;/EndNote&gt;</w:instrText>
      </w:r>
      <w:r w:rsidR="000B422E">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[95]</w:t>
      </w:r>
      <w:r w:rsidR="000B422E">
        <w:rPr>
          <w:rFonts w:ascii="Lucida Sans" w:hAnsi="Lucida Sans" w:cs="Times New Roman"/>
          <w:sz w:val="18"/>
          <w:szCs w:val="18"/>
          <w:lang w:val="en-US"/>
        </w:rPr>
        <w:fldChar w:fldCharType="end"/>
      </w:r>
      <w:r w:rsidR="00EF3C4D">
        <w:rPr>
          <w:rFonts w:ascii="Lucida Sans" w:hAnsi="Lucida Sans" w:cs="Times New Roman"/>
          <w:sz w:val="18"/>
          <w:szCs w:val="18"/>
          <w:lang w:val="en-US"/>
        </w:rPr>
        <w:t>;</w:t>
      </w:r>
      <w:r w:rsidRPr="00E61A41">
        <w:rPr>
          <w:rFonts w:ascii="Lucida Sans" w:hAnsi="Lucida Sans" w:cs="Times New Roman"/>
          <w:sz w:val="18"/>
          <w:szCs w:val="18"/>
          <w:lang w:val="en-US"/>
        </w:rPr>
        <w:t xml:space="preserve"> tranylcypromine can induce myeloid differentiation and might be useful in </w:t>
      </w:r>
      <w:r>
        <w:rPr>
          <w:rFonts w:ascii="Lucida Sans" w:hAnsi="Lucida Sans" w:cs="Times New Roman"/>
          <w:sz w:val="18"/>
          <w:szCs w:val="18"/>
          <w:lang w:val="en-US"/>
        </w:rPr>
        <w:t xml:space="preserve">the treatment of patients with </w:t>
      </w:r>
      <w:r w:rsidRPr="00E61A41">
        <w:rPr>
          <w:rFonts w:ascii="Lucida Sans" w:hAnsi="Lucida Sans" w:cs="Times New Roman"/>
          <w:sz w:val="18"/>
          <w:szCs w:val="18"/>
          <w:lang w:val="en-US"/>
        </w:rPr>
        <w:t>acute myeloid leukaemia</w:t>
      </w:r>
      <w:r w:rsidR="000B422E">
        <w:rPr>
          <w:rFonts w:ascii="Lucida Sans" w:hAnsi="Lucida Sans" w:cs="Times New Roman"/>
          <w:sz w:val="18"/>
          <w:szCs w:val="18"/>
          <w:lang w:val="en-US"/>
        </w:rPr>
        <w:t xml:space="preserve"> </w:t>
      </w:r>
      <w:r w:rsidR="000B422E">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&lt;EndNote&gt;&lt;Cite&gt;&lt;Author&gt;Wass&lt;/Author&gt;&lt;Year&gt;2021&lt;/Year&gt;&lt;RecNum&gt;612&lt;/RecNum&gt;&lt;DisplayText&gt;[96]&lt;/DisplayText&gt;&lt;record&gt;&lt;rec-number&gt;612&lt;/rec-number&gt;&lt;foreign-keys&gt;&lt;key app="EN" db-id="2xwpd9xwpest5ue9rwa5etrr9fzzxded9vfx" timestamp="1621506286"&gt;612&lt;/key&gt;&lt;/foreign-keys&gt;&lt;ref-type name="Journal Article"&gt;17&lt;/ref-type&gt;&lt;contributors&gt;&lt;authors&gt;&lt;author&gt;Wass, Maxi&lt;/author&gt;&lt;author&gt;Göllner, Stefanie&lt;/author&gt;&lt;author&gt;Besenbeck, Birgit&lt;/author&gt;&lt;author&gt;Schlenk, Richard F&lt;/author&gt;&lt;author&gt;Mundmann, Petra&lt;/author&gt;&lt;author&gt;Göthert, Joachim R&lt;/author&gt;&lt;author&gt;Noppeney, Richard&lt;/author&gt;&lt;author&gt;Schliemann, Christoph&lt;/author&gt;&lt;author&gt;Mikesch, Jan-Henrik&lt;/author&gt;&lt;author&gt;Lenz, Georg&lt;/author&gt;&lt;/authors&gt;&lt;/contributors&gt;&lt;titles&gt;&lt;title&gt;A proof of concept phase I/II pilot trial of LSD1 inhibition by tranylcypromine combined with ATRA in refractory/relapsed AML patients not eligible for intensive therapy&lt;/title&gt;&lt;secondary-title&gt;Leukemia&lt;/secondary-title&gt;&lt;/titles&gt;&lt;periodical&gt;&lt;full-title&gt;Leukemia&lt;/full-title&gt;&lt;/periodical&gt;&lt;pages&gt;701-711&lt;/pages&gt;&lt;volume&gt;35&lt;/volume&gt;&lt;number&gt;3&lt;/number&gt;&lt;dates&gt;&lt;year&gt;2021&lt;/year&gt;&lt;/dates&gt;&lt;isbn&gt;1476-5551&lt;/isbn&gt;&lt;urls&gt;&lt;/urls&gt;&lt;/record&gt;&lt;/Cite&gt;&lt;/EndNote&gt;</w:instrText>
      </w:r>
      <w:r w:rsidR="000B422E">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[96]</w:t>
      </w:r>
      <w:r w:rsidR="000B422E">
        <w:rPr>
          <w:rFonts w:ascii="Lucida Sans" w:hAnsi="Lucida Sans" w:cs="Times New Roman"/>
          <w:sz w:val="18"/>
          <w:szCs w:val="18"/>
          <w:lang w:val="en-US"/>
        </w:rPr>
        <w:fldChar w:fldCharType="end"/>
      </w:r>
      <w:r w:rsidRPr="00E61A41">
        <w:rPr>
          <w:rFonts w:ascii="Lucida Sans" w:hAnsi="Lucida Sans" w:cs="Times New Roman"/>
          <w:sz w:val="18"/>
          <w:szCs w:val="18"/>
          <w:lang w:val="en-US"/>
        </w:rPr>
        <w:t>; and selegiline can induce apoptotic cell death in melanoma lines</w:t>
      </w:r>
      <w:r>
        <w:rPr>
          <w:rFonts w:ascii="Lucida Sans" w:hAnsi="Lucida Sans" w:cs="Times New Roman"/>
          <w:sz w:val="18"/>
          <w:szCs w:val="18"/>
          <w:lang w:val="en-US"/>
        </w:rPr>
        <w:t xml:space="preserve"> and so might be useful in treating patients with that malignancy</w:t>
      </w:r>
      <w:r w:rsidR="000B422E">
        <w:rPr>
          <w:rFonts w:ascii="Lucida Sans" w:hAnsi="Lucida Sans" w:cs="Times New Roman"/>
          <w:sz w:val="18"/>
          <w:szCs w:val="18"/>
          <w:lang w:val="en-US"/>
        </w:rPr>
        <w:t xml:space="preserve"> </w:t>
      </w:r>
      <w:r w:rsidR="000B422E">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&lt;EndNote&gt;&lt;Cite&gt;&lt;Author&gt;Magyar&lt;/Author&gt;&lt;Year&gt;2004&lt;/Year&gt;&lt;RecNum&gt;613&lt;/RecNum&gt;&lt;DisplayText&gt;[97]&lt;/DisplayText&gt;&lt;record&gt;&lt;rec-number&gt;613&lt;/rec-number&gt;&lt;foreign-keys&gt;&lt;key app="EN" db-id="2xwpd9xwpest5ue9rwa5etrr9fzzxded9vfx" timestamp="1621506383"&gt;613&lt;/key&gt;&lt;/foreign-keys&gt;&lt;ref-type name="Journal Article"&gt;17&lt;/ref-type&gt;&lt;contributors&gt;&lt;authors&gt;&lt;author&gt;Magyar, Kálmán&lt;/author&gt;&lt;author&gt;Szende, Béla&lt;/author&gt;&lt;/authors&gt;&lt;/contributors&gt;&lt;titles&gt;&lt;title&gt;(</w:instrText>
      </w:r>
      <w:r w:rsidR="00271279">
        <w:rPr>
          <w:sz w:val="18"/>
          <w:szCs w:val="18"/>
          <w:lang w:val="en-US"/>
        </w:rPr>
        <w:instrText>−</w:instrText>
      </w:r>
      <w:r w:rsidR="00271279">
        <w:rPr>
          <w:rFonts w:ascii="Lucida Sans" w:hAnsi="Lucida Sans" w:cs="Times New Roman"/>
          <w:sz w:val="18"/>
          <w:szCs w:val="18"/>
          <w:lang w:val="en-US"/>
        </w:rPr>
        <w:instrText>)-Deprenyl, a selective MAO-B inhibitor, with apoptotic and anti-apoptotic properties&lt;/title&gt;&lt;secondary-title&gt;Neurotoxicology&lt;/secondary-title&gt;&lt;/titles&gt;&lt;periodical&gt;&lt;full-title&gt;Neurotoxicology&lt;/full-title&gt;&lt;/periodical&gt;&lt;pages&gt;233-242&lt;/pages&gt;&lt;volume&gt;25&lt;/volume&gt;&lt;number&gt;1-2&lt;/number&gt;&lt;dates&gt;&lt;year&gt;2004&lt;/year&gt;&lt;/dates&gt;&lt;isbn&gt;0161-813X&lt;/isbn&gt;&lt;urls&gt;&lt;/urls&gt;&lt;/record&gt;&lt;/Cite&gt;&lt;/EndNote&gt;</w:instrText>
      </w:r>
      <w:r w:rsidR="000B422E">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[97]</w:t>
      </w:r>
      <w:r w:rsidR="000B422E">
        <w:rPr>
          <w:rFonts w:ascii="Lucida Sans" w:hAnsi="Lucida Sans" w:cs="Times New Roman"/>
          <w:sz w:val="18"/>
          <w:szCs w:val="18"/>
          <w:lang w:val="en-US"/>
        </w:rPr>
        <w:fldChar w:fldCharType="end"/>
      </w:r>
      <w:r w:rsidR="000E123C">
        <w:rPr>
          <w:rFonts w:ascii="Lucida Sans" w:hAnsi="Lucida Sans" w:cs="Times New Roman"/>
          <w:sz w:val="18"/>
          <w:szCs w:val="18"/>
          <w:lang w:val="en-US"/>
        </w:rPr>
        <w:t>, in addition to its use in patients with Parkinson’s disease</w:t>
      </w:r>
      <w:r w:rsidRPr="00E61A41">
        <w:rPr>
          <w:rFonts w:ascii="Lucida Sans" w:hAnsi="Lucida Sans" w:cs="Times New Roman"/>
          <w:sz w:val="18"/>
          <w:szCs w:val="18"/>
          <w:lang w:val="en-US"/>
        </w:rPr>
        <w:t xml:space="preserve">. </w:t>
      </w:r>
      <w:r w:rsidR="00D508E5">
        <w:rPr>
          <w:rFonts w:ascii="Lucida Sans" w:hAnsi="Lucida Sans" w:cs="Times New Roman"/>
          <w:sz w:val="18"/>
          <w:szCs w:val="18"/>
          <w:lang w:val="en-US"/>
        </w:rPr>
        <w:t xml:space="preserve">In addition, </w:t>
      </w:r>
      <w:r w:rsidR="00D508E5" w:rsidRPr="003A5F60">
        <w:rPr>
          <w:rFonts w:ascii="Lucida Sans" w:hAnsi="Lucida Sans" w:cs="Times New Roman"/>
          <w:sz w:val="18"/>
          <w:szCs w:val="18"/>
          <w:lang w:val="en-US"/>
        </w:rPr>
        <w:t>MAOI</w:t>
      </w:r>
      <w:r w:rsidR="00D508E5">
        <w:rPr>
          <w:rFonts w:ascii="Lucida Sans" w:hAnsi="Lucida Sans" w:cs="Times New Roman"/>
          <w:sz w:val="18"/>
          <w:szCs w:val="18"/>
          <w:lang w:val="en-US"/>
        </w:rPr>
        <w:t>s</w:t>
      </w:r>
      <w:r w:rsidR="00D508E5" w:rsidRPr="003A5F60">
        <w:rPr>
          <w:rFonts w:ascii="Lucida Sans" w:hAnsi="Lucida Sans" w:cs="Times New Roman"/>
          <w:sz w:val="18"/>
          <w:szCs w:val="18"/>
          <w:lang w:val="en-US"/>
        </w:rPr>
        <w:t xml:space="preserve"> have indirect neuroprotective properties due to inhibition of </w:t>
      </w:r>
      <w:r w:rsidR="00D508E5">
        <w:rPr>
          <w:rFonts w:ascii="Lucida Sans" w:hAnsi="Lucida Sans" w:cs="Times New Roman"/>
          <w:sz w:val="18"/>
          <w:szCs w:val="18"/>
          <w:lang w:val="en-US"/>
        </w:rPr>
        <w:t xml:space="preserve">hydrogen peroxide and aldehyde release, and </w:t>
      </w:r>
      <w:r w:rsidR="00D508E5" w:rsidRPr="003A5F60">
        <w:rPr>
          <w:rFonts w:ascii="Lucida Sans" w:hAnsi="Lucida Sans" w:cs="Times New Roman"/>
          <w:sz w:val="18"/>
          <w:szCs w:val="18"/>
          <w:lang w:val="en-US"/>
        </w:rPr>
        <w:t xml:space="preserve">individual drugs may also have direct neuroprotective effects </w:t>
      </w:r>
      <w:r w:rsidR="008B0FCA">
        <w:rPr>
          <w:rFonts w:ascii="Lucida Sans" w:hAnsi="Lucida Sans" w:cs="Times New Roman"/>
          <w:sz w:val="18"/>
          <w:szCs w:val="18"/>
          <w:lang w:val="en-US"/>
        </w:rPr>
        <w:fldChar w:fldCharType="begin"/>
      </w:r>
      <w:r w:rsidR="00271279">
        <w:rPr>
          <w:rFonts w:ascii="Lucida Sans" w:hAnsi="Lucida Sans" w:cs="Times New Roman"/>
          <w:sz w:val="18"/>
          <w:szCs w:val="18"/>
          <w:lang w:val="en-US"/>
        </w:rPr>
        <w:instrText xml:space="preserve"> ADDIN EN.CITE &lt;EndNote&gt;&lt;Cite&gt;&lt;Author&gt;Finberg&lt;/Author&gt;&lt;Year&gt;2016&lt;/Year&gt;&lt;RecNum&gt;442&lt;/RecNum&gt;&lt;DisplayText&gt;[80]&lt;/DisplayText&gt;&lt;record&gt;&lt;rec-number&gt;442&lt;/rec-number&gt;&lt;foreign-keys&gt;&lt;key app="EN" db-id="2xwpd9xwpest5ue9rwa5etrr9fzzxded9vfx" timestamp="0"&gt;442&lt;/key&gt;&lt;/foreign-keys&gt;&lt;ref-type name="Journal Article"&gt;17&lt;/ref-type&gt;&lt;contributors&gt;&lt;authors&gt;&lt;author&gt;Finberg, John PM&lt;/author&gt;&lt;author&gt;Rabey, Jose M&lt;/author&gt;&lt;/authors&gt;&lt;/contributors&gt;&lt;titles&gt;&lt;title&gt;Inhibitors of MAO-A and MAO-B in psychiatry and neurology&lt;/title&gt;&lt;secondary-title&gt;Frontiers in pharmacology&lt;/secondary-title&gt;&lt;/titles&gt;&lt;pages&gt;340&lt;/pages&gt;&lt;volume&gt;7&lt;/volume&gt;&lt;dates&gt;&lt;year&gt;2016&lt;/year&gt;&lt;/dates&gt;&lt;isbn&gt;1663-9812&lt;/isbn&gt;&lt;urls&gt;&lt;/urls&gt;&lt;/record&gt;&lt;/Cite&gt;&lt;/EndNote&gt;</w:instrText>
      </w:r>
      <w:r w:rsidR="008B0FCA">
        <w:rPr>
          <w:rFonts w:ascii="Lucida Sans" w:hAnsi="Lucida Sans" w:cs="Times New Roman"/>
          <w:sz w:val="18"/>
          <w:szCs w:val="18"/>
          <w:lang w:val="en-US"/>
        </w:rPr>
        <w:fldChar w:fldCharType="separate"/>
      </w:r>
      <w:r w:rsidR="00271279">
        <w:rPr>
          <w:rFonts w:ascii="Lucida Sans" w:hAnsi="Lucida Sans" w:cs="Times New Roman"/>
          <w:noProof/>
          <w:sz w:val="18"/>
          <w:szCs w:val="18"/>
          <w:lang w:val="en-US"/>
        </w:rPr>
        <w:t>[80]</w:t>
      </w:r>
      <w:r w:rsidR="008B0FCA">
        <w:rPr>
          <w:rFonts w:ascii="Lucida Sans" w:hAnsi="Lucida Sans" w:cs="Times New Roman"/>
          <w:sz w:val="18"/>
          <w:szCs w:val="18"/>
          <w:lang w:val="en-US"/>
        </w:rPr>
        <w:fldChar w:fldCharType="end"/>
      </w:r>
      <w:r w:rsidR="00D508E5">
        <w:rPr>
          <w:rFonts w:ascii="Lucida Sans" w:hAnsi="Lucida Sans" w:cs="Times New Roman"/>
          <w:sz w:val="18"/>
          <w:szCs w:val="18"/>
          <w:lang w:val="en-US"/>
        </w:rPr>
        <w:t xml:space="preserve">. </w:t>
      </w:r>
      <w:r w:rsidRPr="00E61A41">
        <w:rPr>
          <w:rFonts w:ascii="Lucida Sans" w:hAnsi="Lucida Sans" w:cs="Times New Roman"/>
          <w:sz w:val="18"/>
          <w:szCs w:val="18"/>
          <w:lang w:val="en-US"/>
        </w:rPr>
        <w:t>Perhaps a subsequent repurposing of MAOIs into other areas of medicine might extend their availability</w:t>
      </w:r>
      <w:r w:rsidR="00471FAF">
        <w:rPr>
          <w:rFonts w:ascii="Lucida Sans" w:hAnsi="Lucida Sans" w:cs="Times New Roman"/>
          <w:sz w:val="18"/>
          <w:szCs w:val="18"/>
          <w:lang w:val="en-US"/>
        </w:rPr>
        <w:t xml:space="preserve"> for psychiatry</w:t>
      </w:r>
      <w:r w:rsidRPr="00E61A41">
        <w:rPr>
          <w:rFonts w:ascii="Lucida Sans" w:hAnsi="Lucida Sans" w:cs="Times New Roman"/>
          <w:sz w:val="18"/>
          <w:szCs w:val="18"/>
          <w:lang w:val="en-US"/>
        </w:rPr>
        <w:t xml:space="preserve">, and so allow their continuing use in the original indications. </w:t>
      </w:r>
    </w:p>
    <w:p w14:paraId="5E01694F" w14:textId="77777777" w:rsidR="00F94A14" w:rsidRDefault="00F94A14" w:rsidP="00F94A14">
      <w:pPr>
        <w:spacing w:line="360" w:lineRule="auto"/>
        <w:rPr>
          <w:rFonts w:ascii="Lucida Sans" w:hAnsi="Lucida Sans" w:cs="Times New Roman"/>
          <w:sz w:val="18"/>
          <w:szCs w:val="18"/>
        </w:rPr>
      </w:pPr>
    </w:p>
    <w:p w14:paraId="1E2CC5E4" w14:textId="72EFCF45" w:rsidR="004862B6" w:rsidRPr="00F94A14" w:rsidRDefault="00AE7017" w:rsidP="00F94A14">
      <w:pPr>
        <w:pStyle w:val="ListParagraph"/>
        <w:numPr>
          <w:ilvl w:val="0"/>
          <w:numId w:val="3"/>
        </w:numPr>
        <w:spacing w:line="360" w:lineRule="auto"/>
        <w:rPr>
          <w:rFonts w:ascii="Lucida Sans" w:hAnsi="Lucida Sans" w:cs="Times New Roman"/>
          <w:b/>
          <w:sz w:val="18"/>
          <w:szCs w:val="18"/>
          <w:lang w:val="en-US"/>
        </w:rPr>
      </w:pPr>
      <w:r w:rsidRPr="00F94A14">
        <w:rPr>
          <w:rFonts w:ascii="Lucida Sans" w:hAnsi="Lucida Sans" w:cs="Times New Roman"/>
          <w:b/>
          <w:sz w:val="18"/>
          <w:szCs w:val="18"/>
          <w:lang w:val="en-US"/>
        </w:rPr>
        <w:t>Conclu</w:t>
      </w:r>
      <w:r w:rsidR="00F94A14" w:rsidRPr="00F94A14">
        <w:rPr>
          <w:rFonts w:ascii="Lucida Sans" w:hAnsi="Lucida Sans" w:cs="Times New Roman"/>
          <w:b/>
          <w:sz w:val="18"/>
          <w:szCs w:val="18"/>
          <w:lang w:val="en-US"/>
        </w:rPr>
        <w:t>sion</w:t>
      </w:r>
      <w:r w:rsidR="00F64682" w:rsidRPr="00F94A14">
        <w:rPr>
          <w:rFonts w:ascii="Lucida Sans" w:hAnsi="Lucida Sans" w:cs="Times New Roman"/>
          <w:b/>
          <w:sz w:val="18"/>
          <w:szCs w:val="18"/>
          <w:lang w:val="en-US"/>
        </w:rPr>
        <w:t xml:space="preserve"> </w:t>
      </w:r>
    </w:p>
    <w:p w14:paraId="24FD9C74" w14:textId="36B08ACE" w:rsidR="00AC0999" w:rsidRPr="00B35813" w:rsidRDefault="00AC0999" w:rsidP="00771808">
      <w:pPr>
        <w:spacing w:line="360" w:lineRule="auto"/>
        <w:rPr>
          <w:rFonts w:ascii="Lucida Sans" w:hAnsi="Lucida Sans" w:cs="Times New Roman"/>
          <w:sz w:val="18"/>
          <w:szCs w:val="18"/>
        </w:rPr>
      </w:pPr>
      <w:r w:rsidRPr="00771808">
        <w:rPr>
          <w:rFonts w:ascii="Lucida Sans" w:hAnsi="Lucida Sans" w:cs="Times New Roman"/>
          <w:sz w:val="18"/>
          <w:szCs w:val="18"/>
          <w:lang w:val="en-US"/>
        </w:rPr>
        <w:t xml:space="preserve">MAOIs </w:t>
      </w:r>
      <w:r w:rsidR="00953ED9">
        <w:rPr>
          <w:rFonts w:ascii="Lucida Sans" w:hAnsi="Lucida Sans" w:cs="Times New Roman"/>
          <w:sz w:val="18"/>
          <w:szCs w:val="18"/>
          <w:lang w:val="en-US"/>
        </w:rPr>
        <w:t>are</w:t>
      </w:r>
      <w:r w:rsidRPr="00771808">
        <w:rPr>
          <w:rFonts w:ascii="Lucida Sans" w:hAnsi="Lucida Sans" w:cs="Times New Roman"/>
          <w:sz w:val="18"/>
          <w:szCs w:val="18"/>
          <w:lang w:val="en-US"/>
        </w:rPr>
        <w:t xml:space="preserve"> valuable </w:t>
      </w:r>
      <w:r w:rsidR="00953ED9">
        <w:rPr>
          <w:rFonts w:ascii="Lucida Sans" w:hAnsi="Lucida Sans" w:cs="Times New Roman"/>
          <w:sz w:val="18"/>
          <w:szCs w:val="18"/>
          <w:lang w:val="en-US"/>
        </w:rPr>
        <w:t>medicines</w:t>
      </w:r>
      <w:r w:rsidRPr="00771808">
        <w:rPr>
          <w:rFonts w:ascii="Lucida Sans" w:hAnsi="Lucida Sans" w:cs="Times New Roman"/>
          <w:sz w:val="18"/>
          <w:szCs w:val="18"/>
          <w:lang w:val="en-US"/>
        </w:rPr>
        <w:t xml:space="preserve"> in the treatment of several </w:t>
      </w:r>
      <w:r w:rsidR="00953ED9">
        <w:rPr>
          <w:rFonts w:ascii="Lucida Sans" w:hAnsi="Lucida Sans" w:cs="Times New Roman"/>
          <w:sz w:val="18"/>
          <w:szCs w:val="18"/>
          <w:lang w:val="en-US"/>
        </w:rPr>
        <w:t>common</w:t>
      </w:r>
      <w:r w:rsidRPr="00771808">
        <w:rPr>
          <w:rFonts w:ascii="Lucida Sans" w:hAnsi="Lucida Sans" w:cs="Times New Roman"/>
          <w:sz w:val="18"/>
          <w:szCs w:val="18"/>
          <w:lang w:val="en-US"/>
        </w:rPr>
        <w:t xml:space="preserve"> mental disorders, including treatment-resistant depression, and certain anxiety disorders (especially social phobia and PTSD). However, expertise in prescribing MAOIs, as well as availability of these medications, has been declining for a variety of reasons. This paper has provided a concise overview on the safe and effective prescribing of MAOIs, whilst noting the need for more research on their relative efficacy and safety profiles both within the medication class and between classes. The growing interest in using MAOIs for non-psychiatric indications was also mentioned, which we hope will support their continued availability. </w:t>
      </w:r>
      <w:r w:rsidR="00953ED9">
        <w:rPr>
          <w:rFonts w:ascii="Lucida Sans" w:hAnsi="Lucida Sans" w:cs="Times New Roman"/>
          <w:sz w:val="18"/>
          <w:szCs w:val="18"/>
          <w:lang w:val="en-US"/>
        </w:rPr>
        <w:t>Th</w:t>
      </w:r>
      <w:r w:rsidRPr="00771808">
        <w:rPr>
          <w:rFonts w:ascii="Lucida Sans" w:hAnsi="Lucida Sans" w:cs="Times New Roman"/>
          <w:sz w:val="18"/>
          <w:szCs w:val="18"/>
        </w:rPr>
        <w:t xml:space="preserve">ere should be greater emphasis on enabling psychiatrists to gain experience </w:t>
      </w:r>
      <w:r w:rsidR="00953ED9">
        <w:rPr>
          <w:rFonts w:ascii="Lucida Sans" w:hAnsi="Lucida Sans" w:cs="Times New Roman"/>
          <w:sz w:val="18"/>
          <w:szCs w:val="18"/>
        </w:rPr>
        <w:t>of</w:t>
      </w:r>
      <w:r w:rsidRPr="00771808">
        <w:rPr>
          <w:rFonts w:ascii="Lucida Sans" w:hAnsi="Lucida Sans" w:cs="Times New Roman"/>
          <w:sz w:val="18"/>
          <w:szCs w:val="18"/>
        </w:rPr>
        <w:t xml:space="preserve"> prescribing MAOIs, so that patients continue to have access to </w:t>
      </w:r>
      <w:r w:rsidR="00953ED9">
        <w:rPr>
          <w:rFonts w:ascii="Lucida Sans" w:hAnsi="Lucida Sans" w:cs="Times New Roman"/>
          <w:sz w:val="18"/>
          <w:szCs w:val="18"/>
        </w:rPr>
        <w:t xml:space="preserve">the </w:t>
      </w:r>
      <w:r w:rsidR="00953ED9" w:rsidRPr="00B35813">
        <w:rPr>
          <w:rFonts w:ascii="Lucida Sans" w:hAnsi="Lucida Sans" w:cs="Times New Roman"/>
          <w:sz w:val="18"/>
          <w:szCs w:val="18"/>
        </w:rPr>
        <w:t>necessarily</w:t>
      </w:r>
      <w:r w:rsidRPr="00B35813">
        <w:rPr>
          <w:rFonts w:ascii="Lucida Sans" w:hAnsi="Lucida Sans" w:cs="Times New Roman"/>
          <w:sz w:val="18"/>
          <w:szCs w:val="18"/>
        </w:rPr>
        <w:t xml:space="preserve"> wide </w:t>
      </w:r>
      <w:r w:rsidR="00953ED9" w:rsidRPr="00B35813">
        <w:rPr>
          <w:rFonts w:ascii="Lucida Sans" w:hAnsi="Lucida Sans" w:cs="Times New Roman"/>
          <w:sz w:val="18"/>
          <w:szCs w:val="18"/>
        </w:rPr>
        <w:t>range</w:t>
      </w:r>
      <w:r w:rsidRPr="00B35813">
        <w:rPr>
          <w:rFonts w:ascii="Lucida Sans" w:hAnsi="Lucida Sans" w:cs="Times New Roman"/>
          <w:sz w:val="18"/>
          <w:szCs w:val="18"/>
        </w:rPr>
        <w:t xml:space="preserve"> of treatment options.  </w:t>
      </w:r>
    </w:p>
    <w:p w14:paraId="03B98254" w14:textId="77777777" w:rsidR="00A2294A" w:rsidRPr="006F0C0A" w:rsidRDefault="00A2294A" w:rsidP="006F0C0A">
      <w:pPr>
        <w:pStyle w:val="ListParagraph"/>
        <w:spacing w:line="360" w:lineRule="auto"/>
        <w:rPr>
          <w:rFonts w:ascii="Lucida Sans" w:hAnsi="Lucida Sans" w:cs="Times New Roman"/>
          <w:sz w:val="18"/>
          <w:szCs w:val="18"/>
          <w:lang w:val="en-US"/>
        </w:rPr>
      </w:pPr>
    </w:p>
    <w:p w14:paraId="282D564E" w14:textId="36CC7AE6" w:rsidR="00E71117" w:rsidRDefault="00977E54" w:rsidP="006F0C0A">
      <w:pPr>
        <w:spacing w:line="360" w:lineRule="auto"/>
        <w:rPr>
          <w:rFonts w:ascii="Lucida Sans" w:eastAsia="Times" w:hAnsi="Lucida Sans" w:cs="Times New Roman"/>
          <w:sz w:val="18"/>
          <w:szCs w:val="18"/>
        </w:rPr>
      </w:pPr>
      <w:r w:rsidRPr="006F0C0A">
        <w:rPr>
          <w:rFonts w:ascii="Lucida Sans" w:eastAsia="Times" w:hAnsi="Lucida Sans" w:cs="Times New Roman"/>
          <w:sz w:val="18"/>
          <w:szCs w:val="18"/>
          <w:u w:val="single"/>
        </w:rPr>
        <w:t>Acknowledgements</w:t>
      </w:r>
      <w:r w:rsidRPr="006F0C0A">
        <w:rPr>
          <w:rFonts w:ascii="Lucida Sans" w:eastAsia="Times" w:hAnsi="Lucida Sans" w:cs="Times New Roman"/>
          <w:sz w:val="18"/>
          <w:szCs w:val="18"/>
        </w:rPr>
        <w:t xml:space="preserve">: </w:t>
      </w:r>
      <w:r w:rsidR="002A391F">
        <w:rPr>
          <w:rFonts w:ascii="Lucida Sans" w:eastAsia="Times" w:hAnsi="Lucida Sans" w:cs="Times New Roman"/>
          <w:sz w:val="18"/>
          <w:szCs w:val="18"/>
        </w:rPr>
        <w:t xml:space="preserve">Many thanks to Dr Mary Houston for </w:t>
      </w:r>
      <w:r w:rsidR="00D447C2">
        <w:rPr>
          <w:rFonts w:ascii="Lucida Sans" w:eastAsia="Times" w:hAnsi="Lucida Sans" w:cs="Times New Roman"/>
          <w:sz w:val="18"/>
          <w:szCs w:val="18"/>
        </w:rPr>
        <w:t xml:space="preserve">expert </w:t>
      </w:r>
      <w:r w:rsidR="002A391F">
        <w:rPr>
          <w:rFonts w:ascii="Lucida Sans" w:eastAsia="Times" w:hAnsi="Lucida Sans" w:cs="Times New Roman"/>
          <w:sz w:val="18"/>
          <w:szCs w:val="18"/>
        </w:rPr>
        <w:t xml:space="preserve">technical support in the preparation of this article. </w:t>
      </w:r>
      <w:r w:rsidRPr="006F0C0A">
        <w:rPr>
          <w:rFonts w:ascii="Lucida Sans" w:eastAsia="Times" w:hAnsi="Lucida Sans" w:cs="Times New Roman"/>
          <w:sz w:val="18"/>
          <w:szCs w:val="18"/>
        </w:rPr>
        <w:t>We would like to thank</w:t>
      </w:r>
      <w:r w:rsidR="00A2294A" w:rsidRPr="006F0C0A">
        <w:rPr>
          <w:rFonts w:ascii="Lucida Sans" w:eastAsia="Times" w:hAnsi="Lucida Sans" w:cs="Times New Roman"/>
          <w:sz w:val="18"/>
          <w:szCs w:val="18"/>
        </w:rPr>
        <w:t xml:space="preserve"> and acknowledge</w:t>
      </w:r>
      <w:r w:rsidRPr="006F0C0A">
        <w:rPr>
          <w:rFonts w:ascii="Lucida Sans" w:eastAsia="Times" w:hAnsi="Lucida Sans" w:cs="Times New Roman"/>
          <w:sz w:val="18"/>
          <w:szCs w:val="18"/>
        </w:rPr>
        <w:t xml:space="preserve"> the RCPsych Psychopharmacology Committee and all authors of the RCPsych Position Statement on “</w:t>
      </w:r>
      <w:r w:rsidRPr="009A7D3F">
        <w:rPr>
          <w:rFonts w:ascii="Lucida Sans" w:eastAsia="Times" w:hAnsi="Lucida Sans" w:cs="Times New Roman"/>
          <w:i/>
          <w:sz w:val="18"/>
          <w:szCs w:val="18"/>
        </w:rPr>
        <w:t xml:space="preserve">Use of monoamine oxidase inhibitors in </w:t>
      </w:r>
      <w:r w:rsidR="00A649C0" w:rsidRPr="009A7D3F">
        <w:rPr>
          <w:rFonts w:ascii="Lucida Sans" w:eastAsia="Times" w:hAnsi="Lucida Sans" w:cs="Times New Roman"/>
          <w:i/>
          <w:sz w:val="18"/>
          <w:szCs w:val="18"/>
        </w:rPr>
        <w:t>psychiatric practice</w:t>
      </w:r>
      <w:r w:rsidR="00A649C0" w:rsidRPr="006F0C0A">
        <w:rPr>
          <w:rFonts w:ascii="Lucida Sans" w:eastAsia="Times" w:hAnsi="Lucida Sans" w:cs="Times New Roman"/>
          <w:sz w:val="18"/>
          <w:szCs w:val="18"/>
        </w:rPr>
        <w:t xml:space="preserve"> (PS03/20)”. The current article is based </w:t>
      </w:r>
      <w:r w:rsidR="00E0181E">
        <w:rPr>
          <w:rFonts w:ascii="Lucida Sans" w:eastAsia="Times" w:hAnsi="Lucida Sans" w:cs="Times New Roman"/>
          <w:sz w:val="18"/>
          <w:szCs w:val="18"/>
        </w:rPr>
        <w:t xml:space="preserve">partly </w:t>
      </w:r>
      <w:r w:rsidR="00A649C0" w:rsidRPr="006F0C0A">
        <w:rPr>
          <w:rFonts w:ascii="Lucida Sans" w:eastAsia="Times" w:hAnsi="Lucida Sans" w:cs="Times New Roman"/>
          <w:sz w:val="18"/>
          <w:szCs w:val="18"/>
        </w:rPr>
        <w:t>on this Position Statement and text is reused and adapted with permission.</w:t>
      </w:r>
      <w:r w:rsidR="00A2294A" w:rsidRPr="006F0C0A">
        <w:rPr>
          <w:rFonts w:ascii="Lucida Sans" w:eastAsia="Times" w:hAnsi="Lucida Sans" w:cs="Times New Roman"/>
          <w:sz w:val="18"/>
          <w:szCs w:val="18"/>
        </w:rPr>
        <w:t xml:space="preserve"> We would like to thank Professor Stephen Stahl for kind permission to reuse and adapt figures and tables from </w:t>
      </w:r>
      <w:r w:rsidR="00A2294A" w:rsidRPr="009A7D3F">
        <w:rPr>
          <w:rFonts w:ascii="Lucida Sans" w:eastAsia="Times" w:hAnsi="Lucida Sans" w:cs="Times New Roman"/>
          <w:i/>
          <w:sz w:val="18"/>
          <w:szCs w:val="18"/>
        </w:rPr>
        <w:t>Essential Psychopharmacology</w:t>
      </w:r>
      <w:r w:rsidR="00A2294A" w:rsidRPr="006F0C0A">
        <w:rPr>
          <w:rFonts w:ascii="Lucida Sans" w:eastAsia="Times" w:hAnsi="Lucida Sans" w:cs="Times New Roman"/>
          <w:sz w:val="18"/>
          <w:szCs w:val="18"/>
        </w:rPr>
        <w:t xml:space="preserve"> and other publications; and we would like to thank the authors of the MAOI dietary guide at the Sunnybrook Health Centre, for permission to adapt and reprint their dietary guidelines. </w:t>
      </w:r>
    </w:p>
    <w:p w14:paraId="447684B2" w14:textId="77777777" w:rsidR="00E71117" w:rsidRDefault="00E71117" w:rsidP="006F0C0A">
      <w:pPr>
        <w:spacing w:line="360" w:lineRule="auto"/>
        <w:rPr>
          <w:rFonts w:ascii="Lucida Sans" w:eastAsia="Times" w:hAnsi="Lucida Sans" w:cs="Times New Roman"/>
          <w:sz w:val="18"/>
          <w:szCs w:val="18"/>
        </w:rPr>
      </w:pPr>
    </w:p>
    <w:p w14:paraId="52ACE73B" w14:textId="77777777" w:rsidR="00E71117" w:rsidRDefault="00E71117" w:rsidP="006F0C0A">
      <w:pPr>
        <w:spacing w:line="360" w:lineRule="auto"/>
        <w:rPr>
          <w:rFonts w:ascii="Lucida Sans" w:eastAsia="Times" w:hAnsi="Lucida Sans" w:cs="Times New Roman"/>
          <w:sz w:val="18"/>
          <w:szCs w:val="18"/>
          <w:u w:val="single"/>
        </w:rPr>
      </w:pPr>
    </w:p>
    <w:p w14:paraId="04A1D542" w14:textId="4F7EE891" w:rsidR="00E71117" w:rsidRDefault="00E71117" w:rsidP="006F0C0A">
      <w:pPr>
        <w:spacing w:line="360" w:lineRule="auto"/>
        <w:rPr>
          <w:rFonts w:ascii="Lucida Sans" w:eastAsia="Times" w:hAnsi="Lucida Sans" w:cs="Times New Roman"/>
          <w:sz w:val="18"/>
          <w:szCs w:val="18"/>
        </w:rPr>
      </w:pPr>
      <w:r w:rsidRPr="00CE4BE3">
        <w:rPr>
          <w:rFonts w:ascii="Lucida Sans" w:eastAsia="Times" w:hAnsi="Lucida Sans" w:cs="Times New Roman"/>
          <w:sz w:val="18"/>
          <w:szCs w:val="18"/>
          <w:u w:val="single"/>
        </w:rPr>
        <w:t>Declarations</w:t>
      </w:r>
      <w:r>
        <w:rPr>
          <w:rFonts w:ascii="Lucida Sans" w:eastAsia="Times" w:hAnsi="Lucida Sans" w:cs="Times New Roman"/>
          <w:sz w:val="18"/>
          <w:szCs w:val="18"/>
        </w:rPr>
        <w:t xml:space="preserve">: </w:t>
      </w:r>
    </w:p>
    <w:p w14:paraId="18191556" w14:textId="77777777" w:rsidR="00E71117" w:rsidRDefault="00E71117" w:rsidP="006F0C0A">
      <w:pPr>
        <w:spacing w:line="360" w:lineRule="auto"/>
        <w:rPr>
          <w:rFonts w:ascii="Lucida Sans" w:eastAsia="Times" w:hAnsi="Lucida Sans" w:cs="Times New Roman"/>
          <w:sz w:val="18"/>
          <w:szCs w:val="18"/>
        </w:rPr>
      </w:pPr>
      <w:r>
        <w:rPr>
          <w:rFonts w:ascii="Lucida Sans" w:eastAsia="Times" w:hAnsi="Lucida Sans" w:cs="Times New Roman"/>
          <w:sz w:val="18"/>
          <w:szCs w:val="18"/>
        </w:rPr>
        <w:t xml:space="preserve">Funding: </w:t>
      </w:r>
      <w:r w:rsidR="00977E54" w:rsidRPr="006F0C0A">
        <w:rPr>
          <w:rFonts w:ascii="Lucida Sans" w:eastAsia="Times" w:hAnsi="Lucida Sans" w:cs="Times New Roman"/>
          <w:sz w:val="18"/>
          <w:szCs w:val="18"/>
        </w:rPr>
        <w:t xml:space="preserve">Prof. Chamberlain’s role in this paper was funded by a Clinical Fellowship from the Wellcome Trust (reference 110049/Z/15/Z &amp; 110049/Z/15/A). </w:t>
      </w:r>
    </w:p>
    <w:p w14:paraId="7EC9778D" w14:textId="03D92C67" w:rsidR="00AF1E35" w:rsidRDefault="00E71117" w:rsidP="006F0C0A">
      <w:pPr>
        <w:spacing w:line="360" w:lineRule="auto"/>
        <w:rPr>
          <w:rFonts w:ascii="Lucida Sans" w:eastAsia="Times" w:hAnsi="Lucida Sans" w:cs="Times New Roman"/>
          <w:sz w:val="18"/>
          <w:szCs w:val="18"/>
        </w:rPr>
      </w:pPr>
      <w:r>
        <w:rPr>
          <w:rFonts w:ascii="Lucida Sans" w:eastAsia="Times" w:hAnsi="Lucida Sans" w:cs="Times New Roman"/>
          <w:sz w:val="18"/>
          <w:szCs w:val="18"/>
        </w:rPr>
        <w:t xml:space="preserve">Conflicts of interest: </w:t>
      </w:r>
      <w:r w:rsidR="00977E54" w:rsidRPr="006F0C0A">
        <w:rPr>
          <w:rFonts w:ascii="Lucida Sans" w:eastAsia="Times" w:hAnsi="Lucida Sans" w:cs="Times New Roman"/>
          <w:sz w:val="18"/>
          <w:szCs w:val="18"/>
        </w:rPr>
        <w:t>Prof. Chamberlain</w:t>
      </w:r>
      <w:r w:rsidR="00E0181E">
        <w:rPr>
          <w:rFonts w:ascii="Lucida Sans" w:eastAsia="Times" w:hAnsi="Lucida Sans" w:cs="Times New Roman"/>
          <w:sz w:val="18"/>
          <w:szCs w:val="18"/>
        </w:rPr>
        <w:t xml:space="preserve"> previously</w:t>
      </w:r>
      <w:r w:rsidR="00977E54" w:rsidRPr="006F0C0A">
        <w:rPr>
          <w:rFonts w:ascii="Lucida Sans" w:eastAsia="Times" w:hAnsi="Lucida Sans" w:cs="Times New Roman"/>
          <w:sz w:val="18"/>
          <w:szCs w:val="18"/>
        </w:rPr>
        <w:t xml:space="preserve"> consult</w:t>
      </w:r>
      <w:r w:rsidR="00E0181E">
        <w:rPr>
          <w:rFonts w:ascii="Lucida Sans" w:eastAsia="Times" w:hAnsi="Lucida Sans" w:cs="Times New Roman"/>
          <w:sz w:val="18"/>
          <w:szCs w:val="18"/>
        </w:rPr>
        <w:t>ed</w:t>
      </w:r>
      <w:r w:rsidR="00977E54" w:rsidRPr="006F0C0A">
        <w:rPr>
          <w:rFonts w:ascii="Lucida Sans" w:eastAsia="Times" w:hAnsi="Lucida Sans" w:cs="Times New Roman"/>
          <w:sz w:val="18"/>
          <w:szCs w:val="18"/>
        </w:rPr>
        <w:t xml:space="preserve"> for Promentis on work not related to monoamine oxidase inhibitors. He also receives </w:t>
      </w:r>
      <w:r w:rsidR="00E0181E">
        <w:rPr>
          <w:rFonts w:ascii="Lucida Sans" w:eastAsia="Times" w:hAnsi="Lucida Sans" w:cs="Times New Roman"/>
          <w:sz w:val="18"/>
          <w:szCs w:val="18"/>
        </w:rPr>
        <w:t>honoraria</w:t>
      </w:r>
      <w:r w:rsidR="00E0181E" w:rsidRPr="006F0C0A">
        <w:rPr>
          <w:rFonts w:ascii="Lucida Sans" w:eastAsia="Times" w:hAnsi="Lucida Sans" w:cs="Times New Roman"/>
          <w:sz w:val="18"/>
          <w:szCs w:val="18"/>
        </w:rPr>
        <w:t xml:space="preserve"> </w:t>
      </w:r>
      <w:r w:rsidR="00977E54" w:rsidRPr="006F0C0A">
        <w:rPr>
          <w:rFonts w:ascii="Lucida Sans" w:eastAsia="Times" w:hAnsi="Lucida Sans" w:cs="Times New Roman"/>
          <w:sz w:val="18"/>
          <w:szCs w:val="18"/>
        </w:rPr>
        <w:t>from Elsevier from editorial work</w:t>
      </w:r>
      <w:r w:rsidR="00E0181E">
        <w:rPr>
          <w:rFonts w:ascii="Lucida Sans" w:eastAsia="Times" w:hAnsi="Lucida Sans" w:cs="Times New Roman"/>
          <w:sz w:val="18"/>
          <w:szCs w:val="18"/>
        </w:rPr>
        <w:t xml:space="preserve"> at the journals </w:t>
      </w:r>
      <w:r w:rsidR="00E0181E">
        <w:rPr>
          <w:rFonts w:ascii="Lucida Sans" w:eastAsia="Times" w:hAnsi="Lucida Sans" w:cs="Times New Roman"/>
          <w:i/>
          <w:sz w:val="18"/>
          <w:szCs w:val="18"/>
        </w:rPr>
        <w:t>Neuroscience and Biobehavioral Reviews</w:t>
      </w:r>
      <w:r w:rsidR="00E0181E">
        <w:rPr>
          <w:rFonts w:ascii="Lucida Sans" w:eastAsia="Times" w:hAnsi="Lucida Sans" w:cs="Times New Roman"/>
          <w:sz w:val="18"/>
          <w:szCs w:val="18"/>
        </w:rPr>
        <w:t xml:space="preserve"> and </w:t>
      </w:r>
      <w:r w:rsidR="00E0181E">
        <w:rPr>
          <w:rFonts w:ascii="Lucida Sans" w:eastAsia="Times" w:hAnsi="Lucida Sans" w:cs="Times New Roman"/>
          <w:i/>
          <w:sz w:val="18"/>
          <w:szCs w:val="18"/>
        </w:rPr>
        <w:t>Comprehensive Psychiatry</w:t>
      </w:r>
      <w:r w:rsidR="00977E54" w:rsidRPr="006F0C0A">
        <w:rPr>
          <w:rFonts w:ascii="Lucida Sans" w:eastAsia="Times" w:hAnsi="Lucida Sans" w:cs="Times New Roman"/>
          <w:sz w:val="18"/>
          <w:szCs w:val="18"/>
        </w:rPr>
        <w:t xml:space="preserve">. </w:t>
      </w:r>
      <w:r w:rsidR="00F57BD9">
        <w:rPr>
          <w:rFonts w:ascii="Lucida Sans" w:eastAsia="Times" w:hAnsi="Lucida Sans" w:cs="Times New Roman"/>
          <w:sz w:val="18"/>
          <w:szCs w:val="18"/>
        </w:rPr>
        <w:t>Prof. Baldwin is President-Elect of the British Association for Psychopharmacology and a Medical Patron o</w:t>
      </w:r>
      <w:r w:rsidR="00186D82">
        <w:rPr>
          <w:rFonts w:ascii="Lucida Sans" w:eastAsia="Times" w:hAnsi="Lucida Sans" w:cs="Times New Roman"/>
          <w:sz w:val="18"/>
          <w:szCs w:val="18"/>
        </w:rPr>
        <w:t>f</w:t>
      </w:r>
      <w:r w:rsidR="00F57BD9">
        <w:rPr>
          <w:rFonts w:ascii="Lucida Sans" w:eastAsia="Times" w:hAnsi="Lucida Sans" w:cs="Times New Roman"/>
          <w:sz w:val="18"/>
          <w:szCs w:val="18"/>
        </w:rPr>
        <w:t xml:space="preserve"> Anxiety UK. </w:t>
      </w:r>
      <w:r w:rsidR="00F57BD9" w:rsidRPr="006F0C0A">
        <w:rPr>
          <w:rFonts w:ascii="Lucida Sans" w:eastAsia="Times" w:hAnsi="Lucida Sans" w:cs="Times New Roman"/>
          <w:sz w:val="18"/>
          <w:szCs w:val="18"/>
        </w:rPr>
        <w:t xml:space="preserve">He also receives stipends from </w:t>
      </w:r>
      <w:r w:rsidR="00F57BD9">
        <w:rPr>
          <w:rFonts w:ascii="Lucida Sans" w:eastAsia="Times" w:hAnsi="Lucida Sans" w:cs="Times New Roman"/>
          <w:sz w:val="18"/>
          <w:szCs w:val="18"/>
        </w:rPr>
        <w:t xml:space="preserve">Wiley from editorial work relating to the journal </w:t>
      </w:r>
      <w:r w:rsidR="00F57BD9" w:rsidRPr="00F57BD9">
        <w:rPr>
          <w:rFonts w:ascii="Lucida Sans" w:eastAsia="Times" w:hAnsi="Lucida Sans" w:cs="Times New Roman"/>
          <w:i/>
          <w:sz w:val="18"/>
          <w:szCs w:val="18"/>
        </w:rPr>
        <w:t>Human Psychopharmacology</w:t>
      </w:r>
      <w:r w:rsidR="00F57BD9">
        <w:rPr>
          <w:rFonts w:ascii="Lucida Sans" w:eastAsia="Times" w:hAnsi="Lucida Sans" w:cs="Times New Roman"/>
          <w:sz w:val="18"/>
          <w:szCs w:val="18"/>
        </w:rPr>
        <w:t>.</w:t>
      </w:r>
    </w:p>
    <w:p w14:paraId="5DB61F50" w14:textId="1D49249E" w:rsidR="00E71117" w:rsidRDefault="00E71117" w:rsidP="006F0C0A">
      <w:pPr>
        <w:spacing w:line="360" w:lineRule="auto"/>
        <w:rPr>
          <w:rFonts w:ascii="Lucida Sans" w:eastAsia="Times" w:hAnsi="Lucida Sans" w:cs="Times New Roman"/>
          <w:sz w:val="18"/>
          <w:szCs w:val="18"/>
        </w:rPr>
      </w:pPr>
      <w:r>
        <w:rPr>
          <w:rFonts w:ascii="Lucida Sans" w:eastAsia="Times" w:hAnsi="Lucida Sans" w:cs="Times New Roman"/>
          <w:sz w:val="18"/>
          <w:szCs w:val="18"/>
        </w:rPr>
        <w:t>Authors’ contributions: Professors Baldwin and Chamberlain were both involved in all aspects of manuscript development, from conception to submission.</w:t>
      </w:r>
    </w:p>
    <w:p w14:paraId="1A0E90D3" w14:textId="2DF8225B" w:rsidR="00E71117" w:rsidRDefault="00E71117" w:rsidP="006F0C0A">
      <w:pPr>
        <w:spacing w:line="360" w:lineRule="auto"/>
        <w:rPr>
          <w:rFonts w:ascii="Lucida Sans" w:eastAsia="Times" w:hAnsi="Lucida Sans" w:cs="Times New Roman"/>
          <w:sz w:val="18"/>
          <w:szCs w:val="18"/>
        </w:rPr>
      </w:pPr>
      <w:r>
        <w:rPr>
          <w:rFonts w:ascii="Lucida Sans" w:eastAsia="Times" w:hAnsi="Lucida Sans" w:cs="Times New Roman"/>
          <w:sz w:val="18"/>
          <w:szCs w:val="18"/>
        </w:rPr>
        <w:t>Availability of data and material: not applicable</w:t>
      </w:r>
    </w:p>
    <w:p w14:paraId="3527BB98" w14:textId="77777777" w:rsidR="004F6F4A" w:rsidRDefault="004F6F4A" w:rsidP="006F0C0A">
      <w:pPr>
        <w:spacing w:line="360" w:lineRule="auto"/>
        <w:rPr>
          <w:rFonts w:ascii="Verdana" w:hAnsi="Verdana"/>
          <w:color w:val="000033"/>
          <w:sz w:val="17"/>
          <w:szCs w:val="17"/>
          <w:shd w:val="clear" w:color="auto" w:fill="FFFFFF"/>
        </w:rPr>
      </w:pPr>
      <w:r>
        <w:rPr>
          <w:rFonts w:ascii="Verdana" w:hAnsi="Verdana"/>
          <w:color w:val="000033"/>
          <w:sz w:val="17"/>
          <w:szCs w:val="17"/>
          <w:shd w:val="clear" w:color="auto" w:fill="FFFFFF"/>
        </w:rPr>
        <w:t>Code availability: not applicable</w:t>
      </w:r>
    </w:p>
    <w:p w14:paraId="67D468CB" w14:textId="77777777" w:rsidR="004F6F4A" w:rsidRDefault="004F6F4A" w:rsidP="006F0C0A">
      <w:pPr>
        <w:spacing w:line="360" w:lineRule="auto"/>
        <w:rPr>
          <w:rFonts w:ascii="Verdana" w:hAnsi="Verdana"/>
          <w:color w:val="000033"/>
          <w:sz w:val="17"/>
          <w:szCs w:val="17"/>
          <w:shd w:val="clear" w:color="auto" w:fill="FFFFFF"/>
        </w:rPr>
      </w:pPr>
      <w:r>
        <w:rPr>
          <w:rFonts w:ascii="Verdana" w:hAnsi="Verdana"/>
          <w:color w:val="000033"/>
          <w:sz w:val="17"/>
          <w:szCs w:val="17"/>
          <w:shd w:val="clear" w:color="auto" w:fill="FFFFFF"/>
        </w:rPr>
        <w:t>Ethics approval: not applicable</w:t>
      </w:r>
    </w:p>
    <w:p w14:paraId="1924110F" w14:textId="77777777" w:rsidR="004F6F4A" w:rsidRDefault="004F6F4A" w:rsidP="006F0C0A">
      <w:pPr>
        <w:spacing w:line="360" w:lineRule="auto"/>
        <w:rPr>
          <w:rFonts w:ascii="Verdana" w:hAnsi="Verdana"/>
          <w:color w:val="000033"/>
          <w:sz w:val="17"/>
          <w:szCs w:val="17"/>
          <w:shd w:val="clear" w:color="auto" w:fill="FFFFFF"/>
        </w:rPr>
      </w:pPr>
      <w:r>
        <w:rPr>
          <w:rFonts w:ascii="Verdana" w:hAnsi="Verdana"/>
          <w:color w:val="000033"/>
          <w:sz w:val="17"/>
          <w:szCs w:val="17"/>
          <w:shd w:val="clear" w:color="auto" w:fill="FFFFFF"/>
        </w:rPr>
        <w:t>Consent to participate: not applicable</w:t>
      </w:r>
    </w:p>
    <w:p w14:paraId="234AD0AE" w14:textId="55FD507F" w:rsidR="00E71117" w:rsidRPr="006F0C0A" w:rsidRDefault="004F6F4A" w:rsidP="006F0C0A">
      <w:pPr>
        <w:spacing w:line="360" w:lineRule="auto"/>
        <w:rPr>
          <w:rFonts w:ascii="Lucida Sans" w:eastAsia="Times" w:hAnsi="Lucida Sans" w:cs="Times New Roman"/>
          <w:sz w:val="18"/>
          <w:szCs w:val="18"/>
        </w:rPr>
      </w:pPr>
      <w:r>
        <w:rPr>
          <w:rFonts w:ascii="Verdana" w:hAnsi="Verdana"/>
          <w:color w:val="000033"/>
          <w:sz w:val="17"/>
          <w:szCs w:val="17"/>
          <w:shd w:val="clear" w:color="auto" w:fill="FFFFFF"/>
        </w:rPr>
        <w:t>Consent for publication: not applicable</w:t>
      </w:r>
      <w:r>
        <w:rPr>
          <w:rFonts w:ascii="Verdana" w:hAnsi="Verdana"/>
          <w:color w:val="000033"/>
          <w:sz w:val="17"/>
          <w:szCs w:val="17"/>
        </w:rPr>
        <w:br/>
      </w:r>
    </w:p>
    <w:p w14:paraId="11FC4E6B" w14:textId="77777777" w:rsidR="00A2294A" w:rsidRPr="006F0C0A" w:rsidRDefault="00A2294A" w:rsidP="006F0C0A">
      <w:pPr>
        <w:spacing w:line="360" w:lineRule="auto"/>
        <w:rPr>
          <w:rFonts w:ascii="Lucida Sans" w:eastAsia="Times" w:hAnsi="Lucida Sans" w:cs="Times New Roman"/>
          <w:sz w:val="18"/>
          <w:szCs w:val="18"/>
        </w:rPr>
      </w:pPr>
    </w:p>
    <w:p w14:paraId="17590B75" w14:textId="77777777" w:rsidR="001313CC" w:rsidRPr="006F0C0A" w:rsidRDefault="001313CC" w:rsidP="006F0C0A">
      <w:pPr>
        <w:spacing w:line="360" w:lineRule="auto"/>
        <w:rPr>
          <w:rFonts w:ascii="Lucida Sans" w:eastAsia="Times" w:hAnsi="Lucida Sans" w:cs="Times New Roman"/>
          <w:sz w:val="18"/>
          <w:szCs w:val="18"/>
        </w:rPr>
      </w:pPr>
    </w:p>
    <w:p w14:paraId="4E193DE7" w14:textId="77777777" w:rsidR="003954F1" w:rsidRDefault="003954F1">
      <w:pPr>
        <w:rPr>
          <w:rFonts w:ascii="Lucida Sans" w:eastAsia="Times" w:hAnsi="Lucida Sans" w:cs="Times New Roman"/>
          <w:sz w:val="18"/>
          <w:szCs w:val="18"/>
          <w:u w:val="single"/>
        </w:rPr>
      </w:pPr>
      <w:r>
        <w:rPr>
          <w:rFonts w:ascii="Lucida Sans" w:eastAsia="Times" w:hAnsi="Lucida Sans" w:cs="Times New Roman"/>
          <w:sz w:val="18"/>
          <w:szCs w:val="18"/>
          <w:u w:val="single"/>
        </w:rPr>
        <w:br w:type="page"/>
      </w:r>
    </w:p>
    <w:p w14:paraId="39689BD0" w14:textId="28D77022" w:rsidR="001313CC" w:rsidRPr="0068621F" w:rsidRDefault="001313CC" w:rsidP="0068621F">
      <w:pPr>
        <w:pStyle w:val="ListParagraph"/>
        <w:numPr>
          <w:ilvl w:val="0"/>
          <w:numId w:val="3"/>
        </w:numPr>
        <w:spacing w:line="360" w:lineRule="auto"/>
        <w:rPr>
          <w:rFonts w:ascii="Lucida Sans" w:eastAsia="Times" w:hAnsi="Lucida Sans" w:cs="Times New Roman"/>
          <w:b/>
          <w:sz w:val="18"/>
          <w:szCs w:val="18"/>
        </w:rPr>
      </w:pPr>
      <w:r w:rsidRPr="0068621F">
        <w:rPr>
          <w:rFonts w:ascii="Lucida Sans" w:eastAsia="Times" w:hAnsi="Lucida Sans" w:cs="Times New Roman"/>
          <w:b/>
          <w:sz w:val="18"/>
          <w:szCs w:val="18"/>
        </w:rPr>
        <w:t>References</w:t>
      </w:r>
    </w:p>
    <w:p w14:paraId="7D2E4CAE" w14:textId="77777777" w:rsidR="00AF1E35" w:rsidRPr="006F0C0A" w:rsidRDefault="00AF1E35" w:rsidP="006F0C0A">
      <w:pPr>
        <w:spacing w:line="360" w:lineRule="auto"/>
        <w:rPr>
          <w:rFonts w:ascii="Lucida Sans" w:eastAsia="Times" w:hAnsi="Lucida Sans" w:cs="Times New Roman"/>
          <w:sz w:val="18"/>
          <w:szCs w:val="18"/>
        </w:rPr>
      </w:pPr>
    </w:p>
    <w:p w14:paraId="2E6DDD22" w14:textId="77777777" w:rsidR="00271279" w:rsidRPr="00271279" w:rsidRDefault="00AF1E35" w:rsidP="00271279">
      <w:pPr>
        <w:pStyle w:val="EndNoteBibliography"/>
        <w:ind w:left="720" w:hanging="720"/>
      </w:pPr>
      <w:r w:rsidRPr="006F0C0A">
        <w:rPr>
          <w:rFonts w:ascii="Lucida Sans" w:eastAsia="Times" w:hAnsi="Lucida Sans" w:cs="Times New Roman"/>
          <w:sz w:val="18"/>
          <w:szCs w:val="18"/>
        </w:rPr>
        <w:fldChar w:fldCharType="begin"/>
      </w:r>
      <w:r w:rsidRPr="006F0C0A">
        <w:rPr>
          <w:rFonts w:ascii="Lucida Sans" w:eastAsia="Times" w:hAnsi="Lucida Sans" w:cs="Times New Roman"/>
          <w:sz w:val="18"/>
          <w:szCs w:val="18"/>
        </w:rPr>
        <w:instrText xml:space="preserve"> ADDIN EN.REFLIST </w:instrText>
      </w:r>
      <w:r w:rsidRPr="006F0C0A">
        <w:rPr>
          <w:rFonts w:ascii="Lucida Sans" w:eastAsia="Times" w:hAnsi="Lucida Sans" w:cs="Times New Roman"/>
          <w:sz w:val="18"/>
          <w:szCs w:val="18"/>
        </w:rPr>
        <w:fldChar w:fldCharType="separate"/>
      </w:r>
      <w:r w:rsidR="00271279" w:rsidRPr="00271279">
        <w:t>1.</w:t>
      </w:r>
      <w:r w:rsidR="00271279" w:rsidRPr="00271279">
        <w:tab/>
        <w:t xml:space="preserve">Loomer, H.P., J.C. Saunders, and N.S. Kline, </w:t>
      </w:r>
      <w:r w:rsidR="00271279" w:rsidRPr="00271279">
        <w:rPr>
          <w:i/>
        </w:rPr>
        <w:t>A clinical and pharmacodynamic evaluation of iproniazid as a psychic energizer.</w:t>
      </w:r>
      <w:r w:rsidR="00271279" w:rsidRPr="00271279">
        <w:t xml:space="preserve"> Psychiatric research reports, 1957. </w:t>
      </w:r>
      <w:r w:rsidR="00271279" w:rsidRPr="00271279">
        <w:rPr>
          <w:b/>
        </w:rPr>
        <w:t>8</w:t>
      </w:r>
      <w:r w:rsidR="00271279" w:rsidRPr="00271279">
        <w:t>: p. 129-141.</w:t>
      </w:r>
    </w:p>
    <w:p w14:paraId="28FC8BC9" w14:textId="77777777" w:rsidR="00271279" w:rsidRPr="00271279" w:rsidRDefault="00271279" w:rsidP="00271279">
      <w:pPr>
        <w:pStyle w:val="EndNoteBibliography"/>
        <w:ind w:left="720" w:hanging="720"/>
      </w:pPr>
      <w:r w:rsidRPr="00271279">
        <w:t>2.</w:t>
      </w:r>
      <w:r w:rsidRPr="00271279">
        <w:tab/>
        <w:t xml:space="preserve">National Institute for Health and Care Excellence, </w:t>
      </w:r>
      <w:r w:rsidRPr="00271279">
        <w:rPr>
          <w:i/>
        </w:rPr>
        <w:t>Depression in adults: recognition and management,</w:t>
      </w:r>
      <w:r w:rsidRPr="00271279">
        <w:t xml:space="preserve">, in </w:t>
      </w:r>
      <w:r w:rsidRPr="00271279">
        <w:rPr>
          <w:i/>
        </w:rPr>
        <w:t>Clinical Guidelines CG90</w:t>
      </w:r>
      <w:r w:rsidRPr="00271279">
        <w:t>. 2009.</w:t>
      </w:r>
    </w:p>
    <w:p w14:paraId="24D4B1D2" w14:textId="77777777" w:rsidR="00271279" w:rsidRPr="00271279" w:rsidRDefault="00271279" w:rsidP="00271279">
      <w:pPr>
        <w:pStyle w:val="EndNoteBibliography"/>
        <w:ind w:left="720" w:hanging="720"/>
      </w:pPr>
      <w:r w:rsidRPr="00271279">
        <w:t>3.</w:t>
      </w:r>
      <w:r w:rsidRPr="00271279">
        <w:tab/>
        <w:t xml:space="preserve">Cleare, A., et al., </w:t>
      </w:r>
      <w:r w:rsidRPr="00271279">
        <w:rPr>
          <w:i/>
        </w:rPr>
        <w:t>Evidence-based guidelines for treating depressive disorders with antidepressants: a revision of the 2008 British Association for Psychopharmacology guidelines.</w:t>
      </w:r>
      <w:r w:rsidRPr="00271279">
        <w:t xml:space="preserve"> Journal of Psychopharmacology, 2015. </w:t>
      </w:r>
      <w:r w:rsidRPr="00271279">
        <w:rPr>
          <w:b/>
        </w:rPr>
        <w:t>29</w:t>
      </w:r>
      <w:r w:rsidRPr="00271279">
        <w:t>(5): p. 459-525.</w:t>
      </w:r>
    </w:p>
    <w:p w14:paraId="0A3DDDA1" w14:textId="77777777" w:rsidR="00271279" w:rsidRPr="00271279" w:rsidRDefault="00271279" w:rsidP="00271279">
      <w:pPr>
        <w:pStyle w:val="EndNoteBibliography"/>
        <w:ind w:left="720" w:hanging="720"/>
      </w:pPr>
      <w:r w:rsidRPr="00271279">
        <w:t>4.</w:t>
      </w:r>
      <w:r w:rsidRPr="00271279">
        <w:tab/>
        <w:t xml:space="preserve">Gelenberg, A., et al., </w:t>
      </w:r>
      <w:r w:rsidRPr="00271279">
        <w:rPr>
          <w:i/>
        </w:rPr>
        <w:t>American Psychiatric Association practice guidelines for the treatment of patients with major depressive disorder.</w:t>
      </w:r>
      <w:r w:rsidRPr="00271279">
        <w:t xml:space="preserve"> Am J Psychiatry, 2010. </w:t>
      </w:r>
      <w:r w:rsidRPr="00271279">
        <w:rPr>
          <w:b/>
        </w:rPr>
        <w:t>167</w:t>
      </w:r>
      <w:r w:rsidRPr="00271279">
        <w:t>(Suppl 10): p. 9-118.</w:t>
      </w:r>
    </w:p>
    <w:p w14:paraId="290CF3D2" w14:textId="77777777" w:rsidR="00271279" w:rsidRPr="00271279" w:rsidRDefault="00271279" w:rsidP="00271279">
      <w:pPr>
        <w:pStyle w:val="EndNoteBibliography"/>
        <w:ind w:left="720" w:hanging="720"/>
      </w:pPr>
      <w:r w:rsidRPr="00271279">
        <w:t>5.</w:t>
      </w:r>
      <w:r w:rsidRPr="00271279">
        <w:tab/>
        <w:t xml:space="preserve">Kennedy, S.H., et al., </w:t>
      </w:r>
      <w:r w:rsidRPr="00271279">
        <w:rPr>
          <w:i/>
        </w:rPr>
        <w:t>Canadian Network for Mood and Anxiety Treatments (CANMAT) 2016 clinical guidelines for the management of adults with major depressive disorder: section 3. Pharmacological treatments.</w:t>
      </w:r>
      <w:r w:rsidRPr="00271279">
        <w:t xml:space="preserve"> The Canadian Journal of Psychiatry, 2016. </w:t>
      </w:r>
      <w:r w:rsidRPr="00271279">
        <w:rPr>
          <w:b/>
        </w:rPr>
        <w:t>61</w:t>
      </w:r>
      <w:r w:rsidRPr="00271279">
        <w:t>(9): p. 540-560.</w:t>
      </w:r>
    </w:p>
    <w:p w14:paraId="5728E103" w14:textId="77777777" w:rsidR="00271279" w:rsidRPr="00271279" w:rsidRDefault="00271279" w:rsidP="00271279">
      <w:pPr>
        <w:pStyle w:val="EndNoteBibliography"/>
        <w:ind w:left="720" w:hanging="720"/>
      </w:pPr>
      <w:r w:rsidRPr="00271279">
        <w:t>6.</w:t>
      </w:r>
      <w:r w:rsidRPr="00271279">
        <w:tab/>
      </w:r>
      <w:r w:rsidRPr="00271279">
        <w:rPr>
          <w:i/>
        </w:rPr>
        <w:t>Corrigendum.</w:t>
      </w:r>
      <w:r w:rsidRPr="00271279">
        <w:t xml:space="preserve"> The Canadian Journal of Psychiatry, 2017. </w:t>
      </w:r>
      <w:r w:rsidRPr="00271279">
        <w:rPr>
          <w:b/>
        </w:rPr>
        <w:t>62</w:t>
      </w:r>
      <w:r w:rsidRPr="00271279">
        <w:t>(5): p. 356-356.</w:t>
      </w:r>
    </w:p>
    <w:p w14:paraId="08FFD5B4" w14:textId="77777777" w:rsidR="00271279" w:rsidRPr="00271279" w:rsidRDefault="00271279" w:rsidP="00271279">
      <w:pPr>
        <w:pStyle w:val="EndNoteBibliography"/>
        <w:ind w:left="720" w:hanging="720"/>
      </w:pPr>
      <w:r w:rsidRPr="00271279">
        <w:t>7.</w:t>
      </w:r>
      <w:r w:rsidRPr="00271279">
        <w:tab/>
        <w:t xml:space="preserve">Malhi, G.S., et al., </w:t>
      </w:r>
      <w:r w:rsidRPr="00271279">
        <w:rPr>
          <w:i/>
        </w:rPr>
        <w:t>Royal Australian and New Zealand College of Psychiatrists clinical practice guidelines for mood disorders.</w:t>
      </w:r>
      <w:r w:rsidRPr="00271279">
        <w:t xml:space="preserve"> Australian &amp; New Zealand Journal of Psychiatry, 2015. </w:t>
      </w:r>
      <w:r w:rsidRPr="00271279">
        <w:rPr>
          <w:b/>
        </w:rPr>
        <w:t>49</w:t>
      </w:r>
      <w:r w:rsidRPr="00271279">
        <w:t>(12): p. 1087-1206.</w:t>
      </w:r>
    </w:p>
    <w:p w14:paraId="141553E5" w14:textId="77777777" w:rsidR="00271279" w:rsidRPr="00271279" w:rsidRDefault="00271279" w:rsidP="00271279">
      <w:pPr>
        <w:pStyle w:val="EndNoteBibliography"/>
        <w:ind w:left="720" w:hanging="720"/>
      </w:pPr>
      <w:r w:rsidRPr="00271279">
        <w:t>8.</w:t>
      </w:r>
      <w:r w:rsidRPr="00271279">
        <w:tab/>
        <w:t xml:space="preserve">Dold, M., et al., </w:t>
      </w:r>
      <w:r w:rsidRPr="00271279">
        <w:rPr>
          <w:i/>
        </w:rPr>
        <w:t>Pharmacological treatment strategies in unipolar depression in European tertiary psychiatric treatment centers–A pharmacoepidemiological cross-sectional multicenter study.</w:t>
      </w:r>
      <w:r w:rsidRPr="00271279">
        <w:t xml:space="preserve"> European Neuropsychopharmacology, 2016. </w:t>
      </w:r>
      <w:r w:rsidRPr="00271279">
        <w:rPr>
          <w:b/>
        </w:rPr>
        <w:t>26</w:t>
      </w:r>
      <w:r w:rsidRPr="00271279">
        <w:t>(12): p. 1960-1971.</w:t>
      </w:r>
    </w:p>
    <w:p w14:paraId="6681A929" w14:textId="77777777" w:rsidR="00271279" w:rsidRPr="00271279" w:rsidRDefault="00271279" w:rsidP="00271279">
      <w:pPr>
        <w:pStyle w:val="EndNoteBibliography"/>
        <w:ind w:left="720" w:hanging="720"/>
      </w:pPr>
      <w:r w:rsidRPr="00271279">
        <w:t>9.</w:t>
      </w:r>
      <w:r w:rsidRPr="00271279">
        <w:tab/>
        <w:t xml:space="preserve">Paton, C., et al., </w:t>
      </w:r>
      <w:r w:rsidRPr="00271279">
        <w:rPr>
          <w:i/>
        </w:rPr>
        <w:t>Prescribing for moderate or severe unipolar depression in patients under the long-term care of UK adult mental health services.</w:t>
      </w:r>
      <w:r w:rsidRPr="00271279">
        <w:t xml:space="preserve"> Therapeutic Advances in Psychopharmacology, 2020. </w:t>
      </w:r>
      <w:r w:rsidRPr="00271279">
        <w:rPr>
          <w:b/>
        </w:rPr>
        <w:t>10</w:t>
      </w:r>
      <w:r w:rsidRPr="00271279">
        <w:t>: p. 2045125320930492.</w:t>
      </w:r>
    </w:p>
    <w:p w14:paraId="613B6513" w14:textId="77777777" w:rsidR="00271279" w:rsidRPr="00271279" w:rsidRDefault="00271279" w:rsidP="00271279">
      <w:pPr>
        <w:pStyle w:val="EndNoteBibliography"/>
        <w:ind w:left="720" w:hanging="720"/>
      </w:pPr>
      <w:r w:rsidRPr="00271279">
        <w:t>10.</w:t>
      </w:r>
      <w:r w:rsidRPr="00271279">
        <w:tab/>
        <w:t xml:space="preserve">Menkes, D., P. Bosanac, and D. Castle, </w:t>
      </w:r>
      <w:r w:rsidRPr="00271279">
        <w:rPr>
          <w:i/>
        </w:rPr>
        <w:t>MAOIs–does the evidence warrant their resurrection?</w:t>
      </w:r>
      <w:r w:rsidRPr="00271279">
        <w:t xml:space="preserve"> Australasian Psychiatry, 2016. </w:t>
      </w:r>
      <w:r w:rsidRPr="00271279">
        <w:rPr>
          <w:b/>
        </w:rPr>
        <w:t>24</w:t>
      </w:r>
      <w:r w:rsidRPr="00271279">
        <w:t>(4): p. 371-373.</w:t>
      </w:r>
    </w:p>
    <w:p w14:paraId="16CA61E6" w14:textId="77777777" w:rsidR="00271279" w:rsidRPr="00271279" w:rsidRDefault="00271279" w:rsidP="00271279">
      <w:pPr>
        <w:pStyle w:val="EndNoteBibliography"/>
        <w:ind w:left="720" w:hanging="720"/>
      </w:pPr>
      <w:r w:rsidRPr="00271279">
        <w:t>11.</w:t>
      </w:r>
      <w:r w:rsidRPr="00271279">
        <w:tab/>
        <w:t xml:space="preserve">Shulman, K.I., N. Herrmann, and S.E. Walker, </w:t>
      </w:r>
      <w:r w:rsidRPr="00271279">
        <w:rPr>
          <w:i/>
        </w:rPr>
        <w:t>Current place of monoamine oxidase inhibitors in the treatment of depression.</w:t>
      </w:r>
      <w:r w:rsidRPr="00271279">
        <w:t xml:space="preserve"> CNS drugs, 2013. </w:t>
      </w:r>
      <w:r w:rsidRPr="00271279">
        <w:rPr>
          <w:b/>
        </w:rPr>
        <w:t>27</w:t>
      </w:r>
      <w:r w:rsidRPr="00271279">
        <w:t>(10): p. 789-797.</w:t>
      </w:r>
    </w:p>
    <w:p w14:paraId="2BA24F39" w14:textId="77777777" w:rsidR="00271279" w:rsidRPr="00271279" w:rsidRDefault="00271279" w:rsidP="00271279">
      <w:pPr>
        <w:pStyle w:val="EndNoteBibliography"/>
        <w:ind w:left="720" w:hanging="720"/>
      </w:pPr>
      <w:r w:rsidRPr="00271279">
        <w:t>12.</w:t>
      </w:r>
      <w:r w:rsidRPr="00271279">
        <w:tab/>
        <w:t xml:space="preserve">Raft, D., et al., </w:t>
      </w:r>
      <w:r w:rsidRPr="00271279">
        <w:rPr>
          <w:i/>
        </w:rPr>
        <w:t>Relationship between response to phenelzine and MAO inhibition in a clinical trial of phenelzine, amitriptyline and placebo.</w:t>
      </w:r>
      <w:r w:rsidRPr="00271279">
        <w:t xml:space="preserve"> Neuropsychobiology, 1981. </w:t>
      </w:r>
      <w:r w:rsidRPr="00271279">
        <w:rPr>
          <w:b/>
        </w:rPr>
        <w:t>7</w:t>
      </w:r>
      <w:r w:rsidRPr="00271279">
        <w:t>(3): p. 122-126.</w:t>
      </w:r>
    </w:p>
    <w:p w14:paraId="66A3D7E1" w14:textId="77777777" w:rsidR="00271279" w:rsidRPr="00271279" w:rsidRDefault="00271279" w:rsidP="00271279">
      <w:pPr>
        <w:pStyle w:val="EndNoteBibliography"/>
        <w:ind w:left="720" w:hanging="720"/>
      </w:pPr>
      <w:r w:rsidRPr="00271279">
        <w:t>13.</w:t>
      </w:r>
      <w:r w:rsidRPr="00271279">
        <w:tab/>
        <w:t xml:space="preserve">Cantú, T.G. and J.S. Korek, </w:t>
      </w:r>
      <w:r w:rsidRPr="00271279">
        <w:rPr>
          <w:i/>
        </w:rPr>
        <w:t>Monoamine oxidase inhibitors and weight gain.</w:t>
      </w:r>
      <w:r w:rsidRPr="00271279">
        <w:t xml:space="preserve"> Drug Intell Clin Pharm, 1988. </w:t>
      </w:r>
      <w:r w:rsidRPr="00271279">
        <w:rPr>
          <w:b/>
        </w:rPr>
        <w:t>22</w:t>
      </w:r>
      <w:r w:rsidRPr="00271279">
        <w:t>(10): p. 755-9.</w:t>
      </w:r>
    </w:p>
    <w:p w14:paraId="1681C684" w14:textId="77777777" w:rsidR="00271279" w:rsidRPr="00271279" w:rsidRDefault="00271279" w:rsidP="00271279">
      <w:pPr>
        <w:pStyle w:val="EndNoteBibliography"/>
        <w:ind w:left="720" w:hanging="720"/>
      </w:pPr>
      <w:r w:rsidRPr="00271279">
        <w:t>14.</w:t>
      </w:r>
      <w:r w:rsidRPr="00271279">
        <w:tab/>
        <w:t xml:space="preserve">Thase, M.E., M.H. Trivedi, and A.J. Rush, </w:t>
      </w:r>
      <w:r w:rsidRPr="00271279">
        <w:rPr>
          <w:i/>
        </w:rPr>
        <w:t>MAOIs in the contemporary treatment of depression.</w:t>
      </w:r>
      <w:r w:rsidRPr="00271279">
        <w:t xml:space="preserve"> Neuropsychopharmacology, 1995. </w:t>
      </w:r>
      <w:r w:rsidRPr="00271279">
        <w:rPr>
          <w:b/>
        </w:rPr>
        <w:t>12</w:t>
      </w:r>
      <w:r w:rsidRPr="00271279">
        <w:t>(3): p. 185-219.</w:t>
      </w:r>
    </w:p>
    <w:p w14:paraId="7F15DD6B" w14:textId="77777777" w:rsidR="00271279" w:rsidRPr="00271279" w:rsidRDefault="00271279" w:rsidP="00271279">
      <w:pPr>
        <w:pStyle w:val="EndNoteBibliography"/>
        <w:ind w:left="720" w:hanging="720"/>
      </w:pPr>
      <w:r w:rsidRPr="00271279">
        <w:t>15.</w:t>
      </w:r>
      <w:r w:rsidRPr="00271279">
        <w:tab/>
        <w:t xml:space="preserve">Meister, R., et al., </w:t>
      </w:r>
      <w:r w:rsidRPr="00271279">
        <w:rPr>
          <w:i/>
        </w:rPr>
        <w:t>Comparative safety of pharmacologic treatments for persistent depressive disorder: A systematic review and network meta-analysis.</w:t>
      </w:r>
      <w:r w:rsidRPr="00271279">
        <w:t xml:space="preserve"> PloS one, 2016. </w:t>
      </w:r>
      <w:r w:rsidRPr="00271279">
        <w:rPr>
          <w:b/>
        </w:rPr>
        <w:t>11</w:t>
      </w:r>
      <w:r w:rsidRPr="00271279">
        <w:t>(5): p. e0153380.</w:t>
      </w:r>
    </w:p>
    <w:p w14:paraId="42DB7BE3" w14:textId="77777777" w:rsidR="00271279" w:rsidRPr="00271279" w:rsidRDefault="00271279" w:rsidP="00271279">
      <w:pPr>
        <w:pStyle w:val="EndNoteBibliography"/>
        <w:ind w:left="720" w:hanging="720"/>
      </w:pPr>
      <w:r w:rsidRPr="00271279">
        <w:t>16.</w:t>
      </w:r>
      <w:r w:rsidRPr="00271279">
        <w:tab/>
        <w:t xml:space="preserve">Baldwin, D.S., et al., </w:t>
      </w:r>
      <w:r w:rsidRPr="00271279">
        <w:rPr>
          <w:i/>
        </w:rPr>
        <w:t>Evidence-based pharmacological treatment of anxiety disorders, post-traumatic stress disorder and obsessive-compulsive disorder: A revision of the 2005 guidelines from the British Association for Psychopharmacology.</w:t>
      </w:r>
      <w:r w:rsidRPr="00271279">
        <w:t xml:space="preserve"> Journal of Psychopharmacology, 2014. </w:t>
      </w:r>
      <w:r w:rsidRPr="00271279">
        <w:rPr>
          <w:b/>
        </w:rPr>
        <w:t>28</w:t>
      </w:r>
      <w:r w:rsidRPr="00271279">
        <w:t>(5): p. 403-439.</w:t>
      </w:r>
    </w:p>
    <w:p w14:paraId="080A6457" w14:textId="77777777" w:rsidR="00271279" w:rsidRPr="00271279" w:rsidRDefault="00271279" w:rsidP="00271279">
      <w:pPr>
        <w:pStyle w:val="EndNoteBibliography"/>
        <w:ind w:left="720" w:hanging="720"/>
      </w:pPr>
      <w:r w:rsidRPr="00271279">
        <w:t>17.</w:t>
      </w:r>
      <w:r w:rsidRPr="00271279">
        <w:tab/>
        <w:t xml:space="preserve">Davies, G., </w:t>
      </w:r>
      <w:r w:rsidRPr="00271279">
        <w:rPr>
          <w:i/>
        </w:rPr>
        <w:t>Side-effects of phenelzine.</w:t>
      </w:r>
      <w:r w:rsidRPr="00271279">
        <w:t xml:space="preserve"> British Medical Journal, 1960. </w:t>
      </w:r>
      <w:r w:rsidRPr="00271279">
        <w:rPr>
          <w:b/>
        </w:rPr>
        <w:t>2</w:t>
      </w:r>
      <w:r w:rsidRPr="00271279">
        <w:t>(5204): p. 1019.</w:t>
      </w:r>
    </w:p>
    <w:p w14:paraId="5F1AB14A" w14:textId="77777777" w:rsidR="00271279" w:rsidRPr="00271279" w:rsidRDefault="00271279" w:rsidP="00271279">
      <w:pPr>
        <w:pStyle w:val="EndNoteBibliography"/>
        <w:ind w:left="720" w:hanging="720"/>
      </w:pPr>
      <w:r w:rsidRPr="00271279">
        <w:t>18.</w:t>
      </w:r>
      <w:r w:rsidRPr="00271279">
        <w:tab/>
        <w:t xml:space="preserve">MacLeod, I., </w:t>
      </w:r>
      <w:r w:rsidRPr="00271279">
        <w:rPr>
          <w:i/>
        </w:rPr>
        <w:t>Fatal reaction to phenelzine.</w:t>
      </w:r>
      <w:r w:rsidRPr="00271279">
        <w:t xml:space="preserve"> British medical journal, 1965. </w:t>
      </w:r>
      <w:r w:rsidRPr="00271279">
        <w:rPr>
          <w:b/>
        </w:rPr>
        <w:t>1</w:t>
      </w:r>
      <w:r w:rsidRPr="00271279">
        <w:t>(5449): p. 1554.</w:t>
      </w:r>
    </w:p>
    <w:p w14:paraId="19F55F16" w14:textId="77777777" w:rsidR="00271279" w:rsidRPr="00271279" w:rsidRDefault="00271279" w:rsidP="00271279">
      <w:pPr>
        <w:pStyle w:val="EndNoteBibliography"/>
        <w:ind w:left="720" w:hanging="720"/>
      </w:pPr>
      <w:r w:rsidRPr="00271279">
        <w:t>19.</w:t>
      </w:r>
      <w:r w:rsidRPr="00271279">
        <w:tab/>
        <w:t xml:space="preserve">Rabkin, J.G., et al., </w:t>
      </w:r>
      <w:r w:rsidRPr="00271279">
        <w:rPr>
          <w:i/>
        </w:rPr>
        <w:t>Adverse reactions to monoamine oxidase inhibitors. Part II. Treatment correlates and clinical management.</w:t>
      </w:r>
      <w:r w:rsidRPr="00271279">
        <w:t xml:space="preserve"> Journal of clinical psychopharmacology, 1985. </w:t>
      </w:r>
      <w:r w:rsidRPr="00271279">
        <w:rPr>
          <w:b/>
        </w:rPr>
        <w:t>5</w:t>
      </w:r>
      <w:r w:rsidRPr="00271279">
        <w:t>(1): p. 2-9.</w:t>
      </w:r>
    </w:p>
    <w:p w14:paraId="3D86D9BE" w14:textId="77777777" w:rsidR="00271279" w:rsidRPr="00271279" w:rsidRDefault="00271279" w:rsidP="00271279">
      <w:pPr>
        <w:pStyle w:val="EndNoteBibliography"/>
        <w:ind w:left="720" w:hanging="720"/>
      </w:pPr>
      <w:r w:rsidRPr="00271279">
        <w:t>20.</w:t>
      </w:r>
      <w:r w:rsidRPr="00271279">
        <w:tab/>
        <w:t xml:space="preserve">Stewart, J.W., et al., </w:t>
      </w:r>
      <w:r w:rsidRPr="00271279">
        <w:rPr>
          <w:i/>
        </w:rPr>
        <w:t>Phenelzine-induced pyridoxine deficiency.</w:t>
      </w:r>
      <w:r w:rsidRPr="00271279">
        <w:t xml:space="preserve"> Journal of clinical psychopharmacology, 1984. </w:t>
      </w:r>
      <w:r w:rsidRPr="00271279">
        <w:rPr>
          <w:b/>
        </w:rPr>
        <w:t>4</w:t>
      </w:r>
      <w:r w:rsidRPr="00271279">
        <w:t>(4): p. 225-226.</w:t>
      </w:r>
    </w:p>
    <w:p w14:paraId="58CF107C" w14:textId="77777777" w:rsidR="00271279" w:rsidRPr="00271279" w:rsidRDefault="00271279" w:rsidP="00271279">
      <w:pPr>
        <w:pStyle w:val="EndNoteBibliography"/>
        <w:ind w:left="720" w:hanging="720"/>
      </w:pPr>
      <w:r w:rsidRPr="00271279">
        <w:t>21.</w:t>
      </w:r>
      <w:r w:rsidRPr="00271279">
        <w:tab/>
        <w:t xml:space="preserve">Ulrich, S., R. Ricken, and M. Adli, </w:t>
      </w:r>
      <w:r w:rsidRPr="00271279">
        <w:rPr>
          <w:i/>
        </w:rPr>
        <w:t>Tranylcypromine in mind (Part I): Review of pharmacology.</w:t>
      </w:r>
      <w:r w:rsidRPr="00271279">
        <w:t xml:space="preserve"> European Neuropsychopharmacology, 2017. </w:t>
      </w:r>
      <w:r w:rsidRPr="00271279">
        <w:rPr>
          <w:b/>
        </w:rPr>
        <w:t>27</w:t>
      </w:r>
      <w:r w:rsidRPr="00271279">
        <w:t>(8): p. 697-713.</w:t>
      </w:r>
    </w:p>
    <w:p w14:paraId="2581D467" w14:textId="77777777" w:rsidR="00271279" w:rsidRPr="00271279" w:rsidRDefault="00271279" w:rsidP="00271279">
      <w:pPr>
        <w:pStyle w:val="EndNoteBibliography"/>
        <w:ind w:left="720" w:hanging="720"/>
      </w:pPr>
      <w:r w:rsidRPr="00271279">
        <w:t>22.</w:t>
      </w:r>
      <w:r w:rsidRPr="00271279">
        <w:tab/>
        <w:t xml:space="preserve">Ricken, R., et al., </w:t>
      </w:r>
      <w:r w:rsidRPr="00271279">
        <w:rPr>
          <w:i/>
        </w:rPr>
        <w:t>Tranylcypromine in mind (Part II): Review of clinical pharmacology and meta-analysis of controlled studies in depression.</w:t>
      </w:r>
      <w:r w:rsidRPr="00271279">
        <w:t xml:space="preserve"> European Neuropsychopharmacology, 2017. </w:t>
      </w:r>
      <w:r w:rsidRPr="00271279">
        <w:rPr>
          <w:b/>
        </w:rPr>
        <w:t>27</w:t>
      </w:r>
      <w:r w:rsidRPr="00271279">
        <w:t>(8): p. 714-731.</w:t>
      </w:r>
    </w:p>
    <w:p w14:paraId="5903641F" w14:textId="77777777" w:rsidR="00271279" w:rsidRPr="00271279" w:rsidRDefault="00271279" w:rsidP="00271279">
      <w:pPr>
        <w:pStyle w:val="EndNoteBibliography"/>
        <w:ind w:left="720" w:hanging="720"/>
      </w:pPr>
      <w:r w:rsidRPr="00271279">
        <w:t>23.</w:t>
      </w:r>
      <w:r w:rsidRPr="00271279">
        <w:tab/>
        <w:t xml:space="preserve">McGrath, P.J., et al., </w:t>
      </w:r>
      <w:r w:rsidRPr="00271279">
        <w:rPr>
          <w:i/>
        </w:rPr>
        <w:t>Tranylcypromine versus venlafaxine plus mirtazapine following three failed antidepressant medication trials for depression: a STAR* D report.</w:t>
      </w:r>
      <w:r w:rsidRPr="00271279">
        <w:t xml:space="preserve"> American Journal of Psychiatry, 2006. </w:t>
      </w:r>
      <w:r w:rsidRPr="00271279">
        <w:rPr>
          <w:b/>
        </w:rPr>
        <w:t>163</w:t>
      </w:r>
      <w:r w:rsidRPr="00271279">
        <w:t>(9): p. 1531-1541.</w:t>
      </w:r>
    </w:p>
    <w:p w14:paraId="0C656FC2" w14:textId="77777777" w:rsidR="00271279" w:rsidRPr="00271279" w:rsidRDefault="00271279" w:rsidP="00271279">
      <w:pPr>
        <w:pStyle w:val="EndNoteBibliography"/>
        <w:ind w:left="720" w:hanging="720"/>
      </w:pPr>
      <w:r w:rsidRPr="00271279">
        <w:t>24.</w:t>
      </w:r>
      <w:r w:rsidRPr="00271279">
        <w:tab/>
        <w:t xml:space="preserve">Pare, C., </w:t>
      </w:r>
      <w:r w:rsidRPr="00271279">
        <w:rPr>
          <w:i/>
        </w:rPr>
        <w:t>The present status of monoamine oxidase inhibitors.</w:t>
      </w:r>
      <w:r w:rsidRPr="00271279">
        <w:t xml:space="preserve"> The British Journal of Psychiatry, 1985. </w:t>
      </w:r>
      <w:r w:rsidRPr="00271279">
        <w:rPr>
          <w:b/>
        </w:rPr>
        <w:t>146</w:t>
      </w:r>
      <w:r w:rsidRPr="00271279">
        <w:t>(6): p. 576-584.</w:t>
      </w:r>
    </w:p>
    <w:p w14:paraId="2ED010A3" w14:textId="77777777" w:rsidR="00271279" w:rsidRPr="00271279" w:rsidRDefault="00271279" w:rsidP="00271279">
      <w:pPr>
        <w:pStyle w:val="EndNoteBibliography"/>
        <w:ind w:left="720" w:hanging="720"/>
      </w:pPr>
      <w:r w:rsidRPr="00271279">
        <w:t>25.</w:t>
      </w:r>
      <w:r w:rsidRPr="00271279">
        <w:tab/>
        <w:t xml:space="preserve">Baldessarini, R., </w:t>
      </w:r>
      <w:r w:rsidRPr="00271279">
        <w:rPr>
          <w:i/>
        </w:rPr>
        <w:t>Drugs and the treatment of psychiatric disorders; psychosis and anxiety.</w:t>
      </w:r>
      <w:r w:rsidRPr="00271279">
        <w:t xml:space="preserve"> The Pharmacological Basis of Therapeutics., 1996: p. 399-430.</w:t>
      </w:r>
    </w:p>
    <w:p w14:paraId="4903574A" w14:textId="77777777" w:rsidR="00271279" w:rsidRPr="00271279" w:rsidRDefault="00271279" w:rsidP="00271279">
      <w:pPr>
        <w:pStyle w:val="EndNoteBibliography"/>
        <w:ind w:left="720" w:hanging="720"/>
      </w:pPr>
      <w:r w:rsidRPr="00271279">
        <w:t>26.</w:t>
      </w:r>
      <w:r w:rsidRPr="00271279">
        <w:tab/>
        <w:t xml:space="preserve">Haase, H.J. and BUHR H.J., </w:t>
      </w:r>
      <w:r w:rsidRPr="00271279">
        <w:rPr>
          <w:i/>
        </w:rPr>
        <w:t>UNTERSUCHUNGEN ZUR VERTRAEGLICHKEIT DES ANTIDEPRESSIVUMS JATROSOM.</w:t>
      </w:r>
      <w:r w:rsidRPr="00271279">
        <w:t xml:space="preserve"> MED. WELT; DTSCH.; DA. , 1973. </w:t>
      </w:r>
      <w:r w:rsidRPr="00271279">
        <w:rPr>
          <w:b/>
        </w:rPr>
        <w:t>6</w:t>
      </w:r>
      <w:r w:rsidRPr="00271279">
        <w:t>: p. 221-224.</w:t>
      </w:r>
    </w:p>
    <w:p w14:paraId="081CF6B2" w14:textId="77777777" w:rsidR="00271279" w:rsidRPr="00271279" w:rsidRDefault="00271279" w:rsidP="00271279">
      <w:pPr>
        <w:pStyle w:val="EndNoteBibliography"/>
        <w:ind w:left="720" w:hanging="720"/>
      </w:pPr>
      <w:r w:rsidRPr="00271279">
        <w:t>27.</w:t>
      </w:r>
      <w:r w:rsidRPr="00271279">
        <w:tab/>
        <w:t xml:space="preserve">Larsen, J., et al., </w:t>
      </w:r>
      <w:r w:rsidRPr="00271279">
        <w:rPr>
          <w:i/>
        </w:rPr>
        <w:t>Moclobemide in depression: a randomized, multicentre trial against isocarboxazide and clomipramine emphasizing atypical depression.</w:t>
      </w:r>
      <w:r w:rsidRPr="00271279">
        <w:t xml:space="preserve"> Acta Psychiatrica Scandinavica, 1991. </w:t>
      </w:r>
      <w:r w:rsidRPr="00271279">
        <w:rPr>
          <w:b/>
        </w:rPr>
        <w:t>84</w:t>
      </w:r>
      <w:r w:rsidRPr="00271279">
        <w:t>(6): p. 564-570.</w:t>
      </w:r>
    </w:p>
    <w:p w14:paraId="6438F0E9" w14:textId="77777777" w:rsidR="00271279" w:rsidRPr="00271279" w:rsidRDefault="00271279" w:rsidP="00271279">
      <w:pPr>
        <w:pStyle w:val="EndNoteBibliography"/>
        <w:ind w:left="720" w:hanging="720"/>
      </w:pPr>
      <w:r w:rsidRPr="00271279">
        <w:t>28.</w:t>
      </w:r>
      <w:r w:rsidRPr="00271279">
        <w:tab/>
        <w:t xml:space="preserve">Larsen, J.K., L. Krogh-Nielsen, and K. Brøsen, </w:t>
      </w:r>
      <w:r w:rsidRPr="00271279">
        <w:rPr>
          <w:i/>
        </w:rPr>
        <w:t>The Monoamine Oxidase Inhibitor Isocarboxazid is a Relevant Treatment Option in Treatment-Resistant Depression-Experience-Based Strategies in Danish Psychiatry.</w:t>
      </w:r>
      <w:r w:rsidRPr="00271279">
        <w:t xml:space="preserve"> Health Care: Current Reviews, 2016: p. 1-4.</w:t>
      </w:r>
    </w:p>
    <w:p w14:paraId="5A7CC606" w14:textId="77777777" w:rsidR="00271279" w:rsidRPr="00271279" w:rsidRDefault="00271279" w:rsidP="00271279">
      <w:pPr>
        <w:pStyle w:val="EndNoteBibliography"/>
        <w:ind w:left="720" w:hanging="720"/>
      </w:pPr>
      <w:r w:rsidRPr="00271279">
        <w:t>29.</w:t>
      </w:r>
      <w:r w:rsidRPr="00271279">
        <w:tab/>
        <w:t xml:space="preserve">Larsen, J.K., B.B. Bendsen, and P. Bech, </w:t>
      </w:r>
      <w:r w:rsidRPr="00271279">
        <w:rPr>
          <w:i/>
        </w:rPr>
        <w:t>Vitamin B6 treatment of oedema induced by mirtazapine and isocarboxazid.</w:t>
      </w:r>
      <w:r w:rsidRPr="00271279">
        <w:t xml:space="preserve"> Acta Psychiatrica Scandinavica, 2011. </w:t>
      </w:r>
      <w:r w:rsidRPr="00271279">
        <w:rPr>
          <w:b/>
        </w:rPr>
        <w:t>124</w:t>
      </w:r>
      <w:r w:rsidRPr="00271279">
        <w:t>(1): p. 76-77.</w:t>
      </w:r>
    </w:p>
    <w:p w14:paraId="58C6C9BD" w14:textId="77777777" w:rsidR="00271279" w:rsidRPr="00271279" w:rsidRDefault="00271279" w:rsidP="00271279">
      <w:pPr>
        <w:pStyle w:val="EndNoteBibliography"/>
        <w:ind w:left="720" w:hanging="720"/>
      </w:pPr>
      <w:r w:rsidRPr="00271279">
        <w:t>30.</w:t>
      </w:r>
      <w:r w:rsidRPr="00271279">
        <w:tab/>
        <w:t xml:space="preserve">Keller, H.H., et al., </w:t>
      </w:r>
      <w:r w:rsidRPr="00271279">
        <w:rPr>
          <w:i/>
        </w:rPr>
        <w:t>SHORT-ACTING NOVEL MAO INHIBITORS - INVITRO EVIDENCE FOR THE REVERSIBILITY OF MAO INHIBITION BY MOCLOBEMIDE AND RO 16-6491.</w:t>
      </w:r>
      <w:r w:rsidRPr="00271279">
        <w:t xml:space="preserve"> Naunyn-Schmiedebergs Archives of Pharmacology, 1987. </w:t>
      </w:r>
      <w:r w:rsidRPr="00271279">
        <w:rPr>
          <w:b/>
        </w:rPr>
        <w:t>335</w:t>
      </w:r>
      <w:r w:rsidRPr="00271279">
        <w:t>(1): p. 12-20.</w:t>
      </w:r>
    </w:p>
    <w:p w14:paraId="02DF2FA2" w14:textId="77777777" w:rsidR="00271279" w:rsidRPr="00271279" w:rsidRDefault="00271279" w:rsidP="00271279">
      <w:pPr>
        <w:pStyle w:val="EndNoteBibliography"/>
        <w:ind w:left="720" w:hanging="720"/>
      </w:pPr>
      <w:r w:rsidRPr="00271279">
        <w:t>31.</w:t>
      </w:r>
      <w:r w:rsidRPr="00271279">
        <w:tab/>
        <w:t xml:space="preserve">Haefely, W., et al., </w:t>
      </w:r>
      <w:r w:rsidRPr="00271279">
        <w:rPr>
          <w:i/>
        </w:rPr>
        <w:t>Biochemistry and pharmacology of moclobemide, a prototype RIMA.</w:t>
      </w:r>
      <w:r w:rsidRPr="00271279">
        <w:t xml:space="preserve"> Psychopharmacology, 1992. </w:t>
      </w:r>
      <w:r w:rsidRPr="00271279">
        <w:rPr>
          <w:b/>
        </w:rPr>
        <w:t>106</w:t>
      </w:r>
      <w:r w:rsidRPr="00271279">
        <w:t>(1): p. S6-S14.</w:t>
      </w:r>
    </w:p>
    <w:p w14:paraId="798D5330" w14:textId="77777777" w:rsidR="00271279" w:rsidRPr="00271279" w:rsidRDefault="00271279" w:rsidP="00271279">
      <w:pPr>
        <w:pStyle w:val="EndNoteBibliography"/>
        <w:ind w:left="720" w:hanging="720"/>
      </w:pPr>
      <w:r w:rsidRPr="00271279">
        <w:t>32.</w:t>
      </w:r>
      <w:r w:rsidRPr="00271279">
        <w:tab/>
        <w:t xml:space="preserve">Audebert, C., et al., </w:t>
      </w:r>
      <w:r w:rsidRPr="00271279">
        <w:rPr>
          <w:i/>
        </w:rPr>
        <w:t>Influence of food on the tyramine pressor effect during chronic moclobemide treatment of healthy volunteers.</w:t>
      </w:r>
      <w:r w:rsidRPr="00271279">
        <w:t xml:space="preserve"> European journal of clinical pharmacology, 1992. </w:t>
      </w:r>
      <w:r w:rsidRPr="00271279">
        <w:rPr>
          <w:b/>
        </w:rPr>
        <w:t>43</w:t>
      </w:r>
      <w:r w:rsidRPr="00271279">
        <w:t>(5): p. 507-512.</w:t>
      </w:r>
    </w:p>
    <w:p w14:paraId="5B08D55B" w14:textId="77777777" w:rsidR="00271279" w:rsidRPr="00271279" w:rsidRDefault="00271279" w:rsidP="00271279">
      <w:pPr>
        <w:pStyle w:val="EndNoteBibliography"/>
        <w:ind w:left="720" w:hanging="720"/>
      </w:pPr>
      <w:r w:rsidRPr="00271279">
        <w:t>33.</w:t>
      </w:r>
      <w:r w:rsidRPr="00271279">
        <w:tab/>
        <w:t xml:space="preserve">Bonnet, U., </w:t>
      </w:r>
      <w:r w:rsidRPr="00271279">
        <w:rPr>
          <w:i/>
        </w:rPr>
        <w:t>Moclobemide: therapeutic use and clinical studies.</w:t>
      </w:r>
      <w:r w:rsidRPr="00271279">
        <w:t xml:space="preserve"> CNS drug reviews, 2003. </w:t>
      </w:r>
      <w:r w:rsidRPr="00271279">
        <w:rPr>
          <w:b/>
        </w:rPr>
        <w:t>9</w:t>
      </w:r>
      <w:r w:rsidRPr="00271279">
        <w:t>(1): p. 97-140.</w:t>
      </w:r>
    </w:p>
    <w:p w14:paraId="4F632FD3" w14:textId="77777777" w:rsidR="00271279" w:rsidRPr="00271279" w:rsidRDefault="00271279" w:rsidP="00271279">
      <w:pPr>
        <w:pStyle w:val="EndNoteBibliography"/>
        <w:ind w:left="720" w:hanging="720"/>
      </w:pPr>
      <w:r w:rsidRPr="00271279">
        <w:t>34.</w:t>
      </w:r>
      <w:r w:rsidRPr="00271279">
        <w:tab/>
        <w:t xml:space="preserve">Angst, J., R. Amrein, and M. Stabl, </w:t>
      </w:r>
      <w:r w:rsidRPr="00271279">
        <w:rPr>
          <w:i/>
        </w:rPr>
        <w:t>Moclobemide and tricyclic antidepressants in severe depression: meta-analysis and prospective studies.</w:t>
      </w:r>
      <w:r w:rsidRPr="00271279">
        <w:t xml:space="preserve"> Journal of clinical psychopharmacology, 1995. </w:t>
      </w:r>
      <w:r w:rsidRPr="00271279">
        <w:rPr>
          <w:b/>
        </w:rPr>
        <w:t>15</w:t>
      </w:r>
      <w:r w:rsidRPr="00271279">
        <w:t>(4): p. 16S-23S.</w:t>
      </w:r>
    </w:p>
    <w:p w14:paraId="271CD00D" w14:textId="77777777" w:rsidR="00271279" w:rsidRPr="00271279" w:rsidRDefault="00271279" w:rsidP="00271279">
      <w:pPr>
        <w:pStyle w:val="EndNoteBibliography"/>
        <w:ind w:left="720" w:hanging="720"/>
      </w:pPr>
      <w:r w:rsidRPr="00271279">
        <w:t>35.</w:t>
      </w:r>
      <w:r w:rsidRPr="00271279">
        <w:tab/>
        <w:t xml:space="preserve">Baldwin, D.S., M. Green, and S.A. Montgomery, </w:t>
      </w:r>
      <w:r w:rsidRPr="00271279">
        <w:rPr>
          <w:i/>
        </w:rPr>
        <w:t>Lack of efficacy of moclobemide or imipramine in the treatment of recurrent brief depression: results from an exploratory randomized, double-blind, placebo-controlled treatment study.</w:t>
      </w:r>
      <w:r w:rsidRPr="00271279">
        <w:t xml:space="preserve"> Int Clin Psychopharmacol, 2014. </w:t>
      </w:r>
      <w:r w:rsidRPr="00271279">
        <w:rPr>
          <w:b/>
        </w:rPr>
        <w:t>29</w:t>
      </w:r>
      <w:r w:rsidRPr="00271279">
        <w:t>(6): p. 339-43.</w:t>
      </w:r>
    </w:p>
    <w:p w14:paraId="483708D1" w14:textId="77777777" w:rsidR="00271279" w:rsidRPr="00271279" w:rsidRDefault="00271279" w:rsidP="00271279">
      <w:pPr>
        <w:pStyle w:val="EndNoteBibliography"/>
        <w:ind w:left="720" w:hanging="720"/>
      </w:pPr>
      <w:r w:rsidRPr="00271279">
        <w:t>36.</w:t>
      </w:r>
      <w:r w:rsidRPr="00271279">
        <w:tab/>
        <w:t xml:space="preserve">Lotufo-Neto, F., M. Trivedi, and M.E. Thase, </w:t>
      </w:r>
      <w:r w:rsidRPr="00271279">
        <w:rPr>
          <w:i/>
        </w:rPr>
        <w:t>Meta-analysis of the reversible inhibitors of monoamine oxidase type A moclobemide and brofaromine for the treatment of depression.</w:t>
      </w:r>
      <w:r w:rsidRPr="00271279">
        <w:t xml:space="preserve"> Neuropsychopharmacology, 1999. </w:t>
      </w:r>
      <w:r w:rsidRPr="00271279">
        <w:rPr>
          <w:b/>
        </w:rPr>
        <w:t>20</w:t>
      </w:r>
      <w:r w:rsidRPr="00271279">
        <w:t>(3): p. 226-247.</w:t>
      </w:r>
    </w:p>
    <w:p w14:paraId="49BF1BCF" w14:textId="77777777" w:rsidR="00271279" w:rsidRPr="00271279" w:rsidRDefault="00271279" w:rsidP="00271279">
      <w:pPr>
        <w:pStyle w:val="EndNoteBibliography"/>
        <w:ind w:left="720" w:hanging="720"/>
      </w:pPr>
      <w:r w:rsidRPr="00271279">
        <w:t>37.</w:t>
      </w:r>
      <w:r w:rsidRPr="00271279">
        <w:tab/>
        <w:t xml:space="preserve">Mayo-Wilson, E., et al., </w:t>
      </w:r>
      <w:r w:rsidRPr="00271279">
        <w:rPr>
          <w:i/>
        </w:rPr>
        <w:t>Psychological and pharmacological interventions for social anxiety disorder in adults: a systematic review and network meta-analysis.</w:t>
      </w:r>
      <w:r w:rsidRPr="00271279">
        <w:t xml:space="preserve"> The Lancet Psychiatry, 2014. </w:t>
      </w:r>
      <w:r w:rsidRPr="00271279">
        <w:rPr>
          <w:b/>
        </w:rPr>
        <w:t>1</w:t>
      </w:r>
      <w:r w:rsidRPr="00271279">
        <w:t>(5): p. 368-376.</w:t>
      </w:r>
    </w:p>
    <w:p w14:paraId="2060CA42" w14:textId="77777777" w:rsidR="00271279" w:rsidRPr="00271279" w:rsidRDefault="00271279" w:rsidP="00271279">
      <w:pPr>
        <w:pStyle w:val="EndNoteBibliography"/>
        <w:ind w:left="720" w:hanging="720"/>
      </w:pPr>
      <w:r w:rsidRPr="00271279">
        <w:t>38.</w:t>
      </w:r>
      <w:r w:rsidRPr="00271279">
        <w:tab/>
        <w:t xml:space="preserve">Uhlenhuth, E., T.D. Warner, and W. Matuzas, </w:t>
      </w:r>
      <w:r w:rsidRPr="00271279">
        <w:rPr>
          <w:i/>
        </w:rPr>
        <w:t>Interactive model of therapeutic response in panic disorder: moclobemide, a case in point.</w:t>
      </w:r>
      <w:r w:rsidRPr="00271279">
        <w:t xml:space="preserve"> Journal of clinical psychopharmacology, 2002. </w:t>
      </w:r>
      <w:r w:rsidRPr="00271279">
        <w:rPr>
          <w:b/>
        </w:rPr>
        <w:t>22</w:t>
      </w:r>
      <w:r w:rsidRPr="00271279">
        <w:t>(3): p. 275-284.</w:t>
      </w:r>
    </w:p>
    <w:p w14:paraId="6A92C392" w14:textId="77777777" w:rsidR="00271279" w:rsidRPr="00271279" w:rsidRDefault="00271279" w:rsidP="00271279">
      <w:pPr>
        <w:pStyle w:val="EndNoteBibliography"/>
        <w:ind w:left="720" w:hanging="720"/>
      </w:pPr>
      <w:r w:rsidRPr="00271279">
        <w:t>39.</w:t>
      </w:r>
      <w:r w:rsidRPr="00271279">
        <w:tab/>
        <w:t xml:space="preserve">Philipp, M., J. Tiller, and D. Baier, </w:t>
      </w:r>
      <w:r w:rsidRPr="00271279">
        <w:rPr>
          <w:i/>
        </w:rPr>
        <w:t>for the The Australian and German Study Groups. Comparison of moclobemide with selective serotonin reuptake inhibitors (SSRIs) on sexual function in depressed adults.</w:t>
      </w:r>
      <w:r w:rsidRPr="00271279">
        <w:t xml:space="preserve"> Eur Neuropsychopharmacol, 2000. </w:t>
      </w:r>
      <w:r w:rsidRPr="00271279">
        <w:rPr>
          <w:b/>
        </w:rPr>
        <w:t>10</w:t>
      </w:r>
      <w:r w:rsidRPr="00271279">
        <w:t>(5): p. 305-314.</w:t>
      </w:r>
    </w:p>
    <w:p w14:paraId="5790178B" w14:textId="77777777" w:rsidR="00271279" w:rsidRPr="00271279" w:rsidRDefault="00271279" w:rsidP="00271279">
      <w:pPr>
        <w:pStyle w:val="EndNoteBibliography"/>
        <w:ind w:left="720" w:hanging="720"/>
      </w:pPr>
      <w:r w:rsidRPr="00271279">
        <w:t>40.</w:t>
      </w:r>
      <w:r w:rsidRPr="00271279">
        <w:tab/>
        <w:t xml:space="preserve">Amrein, R., et al., </w:t>
      </w:r>
      <w:r w:rsidRPr="00271279">
        <w:rPr>
          <w:i/>
        </w:rPr>
        <w:t>Interactions of moclobemide with concomitantly administered medication: evidence from pharmacological and clinical studies.</w:t>
      </w:r>
      <w:r w:rsidRPr="00271279">
        <w:t xml:space="preserve"> Psychopharmacology, 1992. </w:t>
      </w:r>
      <w:r w:rsidRPr="00271279">
        <w:rPr>
          <w:b/>
        </w:rPr>
        <w:t>106</w:t>
      </w:r>
      <w:r w:rsidRPr="00271279">
        <w:t>(1): p. S24-S31.</w:t>
      </w:r>
    </w:p>
    <w:p w14:paraId="41694CDA" w14:textId="77777777" w:rsidR="00271279" w:rsidRPr="00271279" w:rsidRDefault="00271279" w:rsidP="00271279">
      <w:pPr>
        <w:pStyle w:val="EndNoteBibliography"/>
        <w:ind w:left="720" w:hanging="720"/>
      </w:pPr>
      <w:r w:rsidRPr="00271279">
        <w:t>41.</w:t>
      </w:r>
      <w:r w:rsidRPr="00271279">
        <w:tab/>
        <w:t xml:space="preserve">Spigset, O., T. Mjörndal, and O. Lövheim, </w:t>
      </w:r>
      <w:r w:rsidRPr="00271279">
        <w:rPr>
          <w:i/>
        </w:rPr>
        <w:t>Serotonin syndrome caused by a moclobemide-clomipramine interaction.</w:t>
      </w:r>
      <w:r w:rsidRPr="00271279">
        <w:t xml:space="preserve"> BMJ: British Medical Journal, 1993. </w:t>
      </w:r>
      <w:r w:rsidRPr="00271279">
        <w:rPr>
          <w:b/>
        </w:rPr>
        <w:t>306</w:t>
      </w:r>
      <w:r w:rsidRPr="00271279">
        <w:t>(6872): p. 248.</w:t>
      </w:r>
    </w:p>
    <w:p w14:paraId="7A768040" w14:textId="77777777" w:rsidR="00271279" w:rsidRPr="00271279" w:rsidRDefault="00271279" w:rsidP="00271279">
      <w:pPr>
        <w:pStyle w:val="EndNoteBibliography"/>
        <w:ind w:left="720" w:hanging="720"/>
      </w:pPr>
      <w:r w:rsidRPr="00271279">
        <w:t>42.</w:t>
      </w:r>
      <w:r w:rsidRPr="00271279">
        <w:tab/>
        <w:t xml:space="preserve">Benazzi, F., </w:t>
      </w:r>
      <w:r w:rsidRPr="00271279">
        <w:rPr>
          <w:i/>
        </w:rPr>
        <w:t>Serotonin syndrome with moclobemide-fluoxetine combination.</w:t>
      </w:r>
      <w:r w:rsidRPr="00271279">
        <w:t xml:space="preserve"> Pharmacopsychiatry, 1996. </w:t>
      </w:r>
      <w:r w:rsidRPr="00271279">
        <w:rPr>
          <w:b/>
        </w:rPr>
        <w:t>29</w:t>
      </w:r>
      <w:r w:rsidRPr="00271279">
        <w:t>(04): p. 162-162.</w:t>
      </w:r>
    </w:p>
    <w:p w14:paraId="6DD20B22" w14:textId="77777777" w:rsidR="00271279" w:rsidRPr="00271279" w:rsidRDefault="00271279" w:rsidP="00271279">
      <w:pPr>
        <w:pStyle w:val="EndNoteBibliography"/>
        <w:ind w:left="720" w:hanging="720"/>
      </w:pPr>
      <w:r w:rsidRPr="00271279">
        <w:t>43.</w:t>
      </w:r>
      <w:r w:rsidRPr="00271279">
        <w:tab/>
        <w:t xml:space="preserve">Chan, B.S., et al., </w:t>
      </w:r>
      <w:r w:rsidRPr="00271279">
        <w:rPr>
          <w:i/>
        </w:rPr>
        <w:t>Serotonin syndrome resulting from drug interactions.</w:t>
      </w:r>
      <w:r w:rsidRPr="00271279">
        <w:t xml:space="preserve"> Medical journal of Australia, 1998. </w:t>
      </w:r>
      <w:r w:rsidRPr="00271279">
        <w:rPr>
          <w:b/>
        </w:rPr>
        <w:t>169</w:t>
      </w:r>
      <w:r w:rsidRPr="00271279">
        <w:t>(10): p. 523-525.</w:t>
      </w:r>
    </w:p>
    <w:p w14:paraId="1757A256" w14:textId="77777777" w:rsidR="00271279" w:rsidRPr="00271279" w:rsidRDefault="00271279" w:rsidP="00271279">
      <w:pPr>
        <w:pStyle w:val="EndNoteBibliography"/>
        <w:ind w:left="720" w:hanging="720"/>
      </w:pPr>
      <w:r w:rsidRPr="00271279">
        <w:t>44.</w:t>
      </w:r>
      <w:r w:rsidRPr="00271279">
        <w:tab/>
        <w:t xml:space="preserve">Robakis, D. and S. Fahn, </w:t>
      </w:r>
      <w:r w:rsidRPr="00271279">
        <w:rPr>
          <w:i/>
        </w:rPr>
        <w:t>Defining the Role of the Monoamine Oxidase-B Inhibitors for Parkinson’s Disease.</w:t>
      </w:r>
      <w:r w:rsidRPr="00271279">
        <w:t xml:space="preserve"> CNS Drugs, 2015. </w:t>
      </w:r>
      <w:r w:rsidRPr="00271279">
        <w:rPr>
          <w:b/>
        </w:rPr>
        <w:t>29</w:t>
      </w:r>
      <w:r w:rsidRPr="00271279">
        <w:t>(6): p. 433-441.</w:t>
      </w:r>
    </w:p>
    <w:p w14:paraId="30E6A680" w14:textId="77777777" w:rsidR="00271279" w:rsidRPr="00271279" w:rsidRDefault="00271279" w:rsidP="00271279">
      <w:pPr>
        <w:pStyle w:val="EndNoteBibliography"/>
        <w:ind w:left="720" w:hanging="720"/>
      </w:pPr>
      <w:r w:rsidRPr="00271279">
        <w:t>45.</w:t>
      </w:r>
      <w:r w:rsidRPr="00271279">
        <w:tab/>
        <w:t xml:space="preserve">Bied, A.M., J. Kim, and T.L. Schwartz, </w:t>
      </w:r>
      <w:r w:rsidRPr="00271279">
        <w:rPr>
          <w:i/>
        </w:rPr>
        <w:t>A critical appraisal of the selegiline transdermal system for major depressive disorder.</w:t>
      </w:r>
      <w:r w:rsidRPr="00271279">
        <w:t xml:space="preserve"> Expert Rev Clin Pharmacol, 2015. </w:t>
      </w:r>
      <w:r w:rsidRPr="00271279">
        <w:rPr>
          <w:b/>
        </w:rPr>
        <w:t>8</w:t>
      </w:r>
      <w:r w:rsidRPr="00271279">
        <w:t>(6): p. 673-81.</w:t>
      </w:r>
    </w:p>
    <w:p w14:paraId="675D3AEA" w14:textId="77777777" w:rsidR="00271279" w:rsidRPr="00271279" w:rsidRDefault="00271279" w:rsidP="00271279">
      <w:pPr>
        <w:pStyle w:val="EndNoteBibliography"/>
        <w:ind w:left="720" w:hanging="720"/>
      </w:pPr>
      <w:r w:rsidRPr="00271279">
        <w:t>46.</w:t>
      </w:r>
      <w:r w:rsidRPr="00271279">
        <w:tab/>
        <w:t xml:space="preserve">Amsterdam, J.D. and J.A. Bodkin, </w:t>
      </w:r>
      <w:r w:rsidRPr="00271279">
        <w:rPr>
          <w:i/>
        </w:rPr>
        <w:t>Selegiline transdermal system in the prevention of relapse of major depressive disorder: a 52-week, double-blind, placebo-substitution, parallel-group clinical trial.</w:t>
      </w:r>
      <w:r w:rsidRPr="00271279">
        <w:t xml:space="preserve"> Journal of clinical psychopharmacology, 2006. </w:t>
      </w:r>
      <w:r w:rsidRPr="00271279">
        <w:rPr>
          <w:b/>
        </w:rPr>
        <w:t>26</w:t>
      </w:r>
      <w:r w:rsidRPr="00271279">
        <w:t>(6): p. 579-586.</w:t>
      </w:r>
    </w:p>
    <w:p w14:paraId="1BAF3F0A" w14:textId="77777777" w:rsidR="00271279" w:rsidRPr="00271279" w:rsidRDefault="00271279" w:rsidP="00271279">
      <w:pPr>
        <w:pStyle w:val="EndNoteBibliography"/>
        <w:ind w:left="720" w:hanging="720"/>
      </w:pPr>
      <w:r w:rsidRPr="00271279">
        <w:t>47.</w:t>
      </w:r>
      <w:r w:rsidRPr="00271279">
        <w:tab/>
        <w:t xml:space="preserve">Bodkin, J.A. and J.D. Amsterdam, </w:t>
      </w:r>
      <w:r w:rsidRPr="00271279">
        <w:rPr>
          <w:i/>
        </w:rPr>
        <w:t>Transdermal selegiline in major depression: a double-blind, placebo-controlled, parallel-group study in outpatients.</w:t>
      </w:r>
      <w:r w:rsidRPr="00271279">
        <w:t xml:space="preserve"> American Journal of Psychiatry, 2002. </w:t>
      </w:r>
      <w:r w:rsidRPr="00271279">
        <w:rPr>
          <w:b/>
        </w:rPr>
        <w:t>159</w:t>
      </w:r>
      <w:r w:rsidRPr="00271279">
        <w:t>(11): p. 1869-1875.</w:t>
      </w:r>
    </w:p>
    <w:p w14:paraId="0E2DA89A" w14:textId="77777777" w:rsidR="00271279" w:rsidRPr="00271279" w:rsidRDefault="00271279" w:rsidP="00271279">
      <w:pPr>
        <w:pStyle w:val="EndNoteBibliography"/>
        <w:ind w:left="720" w:hanging="720"/>
      </w:pPr>
      <w:r w:rsidRPr="00271279">
        <w:t>48.</w:t>
      </w:r>
      <w:r w:rsidRPr="00271279">
        <w:tab/>
        <w:t xml:space="preserve">Feiger, A.D., et al., </w:t>
      </w:r>
      <w:r w:rsidRPr="00271279">
        <w:rPr>
          <w:i/>
        </w:rPr>
        <w:t>Selegiline transdermal system for the treatment of major depressive disorder: an 8-week, double-blind, placebo-controlled, flexible-dose titration trial.</w:t>
      </w:r>
      <w:r w:rsidRPr="00271279">
        <w:t xml:space="preserve"> The Journal of clinical psychiatry, 2006. </w:t>
      </w:r>
      <w:r w:rsidRPr="00271279">
        <w:rPr>
          <w:b/>
        </w:rPr>
        <w:t>67</w:t>
      </w:r>
      <w:r w:rsidRPr="00271279">
        <w:t>(9): p. 1354-1361.</w:t>
      </w:r>
    </w:p>
    <w:p w14:paraId="3D14A24D" w14:textId="77777777" w:rsidR="00271279" w:rsidRPr="00271279" w:rsidRDefault="00271279" w:rsidP="00271279">
      <w:pPr>
        <w:pStyle w:val="EndNoteBibliography"/>
        <w:ind w:left="720" w:hanging="720"/>
      </w:pPr>
      <w:r w:rsidRPr="00271279">
        <w:t>49.</w:t>
      </w:r>
      <w:r w:rsidRPr="00271279">
        <w:tab/>
        <w:t xml:space="preserve">Citrome, L., J.F. Goldberg, and K.B. Portland, </w:t>
      </w:r>
      <w:r w:rsidRPr="00271279">
        <w:rPr>
          <w:i/>
        </w:rPr>
        <w:t>Placing transdermal selegiline for major depressive disorder into clinical context: number needed to treat, number needed to harm, and likelihood to be helped or harmed.</w:t>
      </w:r>
      <w:r w:rsidRPr="00271279">
        <w:t xml:space="preserve"> Journal of affective disorders, 2013. </w:t>
      </w:r>
      <w:r w:rsidRPr="00271279">
        <w:rPr>
          <w:b/>
        </w:rPr>
        <w:t>151</w:t>
      </w:r>
      <w:r w:rsidRPr="00271279">
        <w:t>(2): p. 409-417.</w:t>
      </w:r>
    </w:p>
    <w:p w14:paraId="227B4FBC" w14:textId="77777777" w:rsidR="00271279" w:rsidRPr="00271279" w:rsidRDefault="00271279" w:rsidP="00271279">
      <w:pPr>
        <w:pStyle w:val="EndNoteBibliography"/>
        <w:ind w:left="720" w:hanging="720"/>
      </w:pPr>
      <w:r w:rsidRPr="00271279">
        <w:t>50.</w:t>
      </w:r>
      <w:r w:rsidRPr="00271279">
        <w:tab/>
        <w:t xml:space="preserve">American Psychiatric Association, </w:t>
      </w:r>
      <w:r w:rsidRPr="00271279">
        <w:rPr>
          <w:i/>
        </w:rPr>
        <w:t>Desk reference to the diagnostic criteria from DSM-5™</w:t>
      </w:r>
      <w:r w:rsidRPr="00271279">
        <w:t>. 2013, Arlington, VA, US: American Psychiatric Publishing, Inc.</w:t>
      </w:r>
    </w:p>
    <w:p w14:paraId="41CAD7DE" w14:textId="77777777" w:rsidR="00271279" w:rsidRPr="00271279" w:rsidRDefault="00271279" w:rsidP="00271279">
      <w:pPr>
        <w:pStyle w:val="EndNoteBibliography"/>
        <w:ind w:left="720" w:hanging="720"/>
      </w:pPr>
      <w:r w:rsidRPr="00271279">
        <w:t>51.</w:t>
      </w:r>
      <w:r w:rsidRPr="00271279">
        <w:tab/>
        <w:t xml:space="preserve">Henkel, V., et al., </w:t>
      </w:r>
      <w:r w:rsidRPr="00271279">
        <w:rPr>
          <w:i/>
        </w:rPr>
        <w:t>Treatment of depression with atypical features: a meta-analytic approach.</w:t>
      </w:r>
      <w:r w:rsidRPr="00271279">
        <w:t xml:space="preserve"> Psychiatry research, 2006. </w:t>
      </w:r>
      <w:r w:rsidRPr="00271279">
        <w:rPr>
          <w:b/>
        </w:rPr>
        <w:t>141</w:t>
      </w:r>
      <w:r w:rsidRPr="00271279">
        <w:t>(1): p. 89-101.</w:t>
      </w:r>
    </w:p>
    <w:p w14:paraId="01A7987F" w14:textId="77777777" w:rsidR="00271279" w:rsidRPr="00271279" w:rsidRDefault="00271279" w:rsidP="00271279">
      <w:pPr>
        <w:pStyle w:val="EndNoteBibliography"/>
        <w:ind w:left="720" w:hanging="720"/>
      </w:pPr>
      <w:r w:rsidRPr="00271279">
        <w:t>52.</w:t>
      </w:r>
      <w:r w:rsidRPr="00271279">
        <w:tab/>
        <w:t xml:space="preserve">Baldwin, D., et al., </w:t>
      </w:r>
      <w:r w:rsidRPr="00271279">
        <w:rPr>
          <w:i/>
        </w:rPr>
        <w:t>Placebo-controlled studies in depression: necessary, ethical and feasible.</w:t>
      </w:r>
      <w:r w:rsidRPr="00271279">
        <w:t xml:space="preserve"> European Archives of Psychiatry and Clinical Neuroscience, 2003. </w:t>
      </w:r>
      <w:r w:rsidRPr="00271279">
        <w:rPr>
          <w:b/>
        </w:rPr>
        <w:t>253</w:t>
      </w:r>
      <w:r w:rsidRPr="00271279">
        <w:t>(1): p. 22-28.</w:t>
      </w:r>
    </w:p>
    <w:p w14:paraId="1DA883C7" w14:textId="77777777" w:rsidR="00271279" w:rsidRPr="00271279" w:rsidRDefault="00271279" w:rsidP="00271279">
      <w:pPr>
        <w:pStyle w:val="EndNoteBibliography"/>
        <w:ind w:left="720" w:hanging="720"/>
      </w:pPr>
      <w:r w:rsidRPr="00271279">
        <w:t>53.</w:t>
      </w:r>
      <w:r w:rsidRPr="00271279">
        <w:tab/>
        <w:t xml:space="preserve">Fekadu, A., et al., </w:t>
      </w:r>
      <w:r w:rsidRPr="00271279">
        <w:rPr>
          <w:i/>
        </w:rPr>
        <w:t>Prediction of longer-term outcome of treatment-resistant depression in tertiary care.</w:t>
      </w:r>
      <w:r w:rsidRPr="00271279">
        <w:t xml:space="preserve"> The British Journal of Psychiatry, 2012. </w:t>
      </w:r>
      <w:r w:rsidRPr="00271279">
        <w:rPr>
          <w:b/>
        </w:rPr>
        <w:t>201</w:t>
      </w:r>
      <w:r w:rsidRPr="00271279">
        <w:t>(5): p. 369-375.</w:t>
      </w:r>
    </w:p>
    <w:p w14:paraId="268E92C2" w14:textId="77777777" w:rsidR="00271279" w:rsidRPr="00271279" w:rsidRDefault="00271279" w:rsidP="00271279">
      <w:pPr>
        <w:pStyle w:val="EndNoteBibliography"/>
        <w:ind w:left="720" w:hanging="720"/>
      </w:pPr>
      <w:r w:rsidRPr="00271279">
        <w:t>54.</w:t>
      </w:r>
      <w:r w:rsidRPr="00271279">
        <w:tab/>
        <w:t xml:space="preserve">Suchting, R., et al., </w:t>
      </w:r>
      <w:r w:rsidRPr="00271279">
        <w:rPr>
          <w:i/>
        </w:rPr>
        <w:t>Revisiting monoamine oxidase inhibitors for the treatment of depressive disorders: A systematic review and network meta-analysis.</w:t>
      </w:r>
      <w:r w:rsidRPr="00271279">
        <w:t xml:space="preserve"> Journal of Affective Disorders, 2021.</w:t>
      </w:r>
    </w:p>
    <w:p w14:paraId="197B79B7" w14:textId="77777777" w:rsidR="00271279" w:rsidRPr="00271279" w:rsidRDefault="00271279" w:rsidP="00271279">
      <w:pPr>
        <w:pStyle w:val="EndNoteBibliography"/>
        <w:ind w:left="720" w:hanging="720"/>
      </w:pPr>
      <w:r w:rsidRPr="00271279">
        <w:t>55.</w:t>
      </w:r>
      <w:r w:rsidRPr="00271279">
        <w:tab/>
        <w:t xml:space="preserve">Tiller, J., C. Bouwer, and K. Behnke, </w:t>
      </w:r>
      <w:r w:rsidRPr="00271279">
        <w:rPr>
          <w:i/>
        </w:rPr>
        <w:t>Moclobemide for anxiety disorders: a focus on moclobemide for panic disorder.</w:t>
      </w:r>
      <w:r w:rsidRPr="00271279">
        <w:t xml:space="preserve"> International clinical psychopharmacology, 1997. </w:t>
      </w:r>
      <w:r w:rsidRPr="00271279">
        <w:rPr>
          <w:b/>
        </w:rPr>
        <w:t>12</w:t>
      </w:r>
      <w:r w:rsidRPr="00271279">
        <w:t>: p. S27-30.</w:t>
      </w:r>
    </w:p>
    <w:p w14:paraId="1172C073" w14:textId="77777777" w:rsidR="00271279" w:rsidRPr="00271279" w:rsidRDefault="00271279" w:rsidP="00271279">
      <w:pPr>
        <w:pStyle w:val="EndNoteBibliography"/>
        <w:ind w:left="720" w:hanging="720"/>
      </w:pPr>
      <w:r w:rsidRPr="00271279">
        <w:t>56.</w:t>
      </w:r>
      <w:r w:rsidRPr="00271279">
        <w:tab/>
        <w:t xml:space="preserve">Mayo-Wilson, E., et al., </w:t>
      </w:r>
      <w:r w:rsidRPr="00271279">
        <w:rPr>
          <w:i/>
        </w:rPr>
        <w:t>Psychological and pharmacological interventions for social anxiety disorder in adults: a systematic review and network meta-analysis.</w:t>
      </w:r>
      <w:r w:rsidRPr="00271279">
        <w:t xml:space="preserve"> The Lancet Psychiatry, 2014. </w:t>
      </w:r>
      <w:r w:rsidRPr="00271279">
        <w:rPr>
          <w:b/>
        </w:rPr>
        <w:t>1</w:t>
      </w:r>
      <w:r w:rsidRPr="00271279">
        <w:t>(5): p. 368-376.</w:t>
      </w:r>
    </w:p>
    <w:p w14:paraId="13F54382" w14:textId="77777777" w:rsidR="00271279" w:rsidRPr="00271279" w:rsidRDefault="00271279" w:rsidP="00271279">
      <w:pPr>
        <w:pStyle w:val="EndNoteBibliography"/>
        <w:ind w:left="720" w:hanging="720"/>
      </w:pPr>
      <w:r w:rsidRPr="00271279">
        <w:t>57.</w:t>
      </w:r>
      <w:r w:rsidRPr="00271279">
        <w:tab/>
        <w:t xml:space="preserve">Cipriani, A., et al., </w:t>
      </w:r>
      <w:r w:rsidRPr="00271279">
        <w:rPr>
          <w:i/>
        </w:rPr>
        <w:t>Comparative efficacy and acceptability of pharmacological treatments for post-traumatic stress disorder in adults: a network meta-analysis.</w:t>
      </w:r>
      <w:r w:rsidRPr="00271279">
        <w:t xml:space="preserve"> Psychological medicine, 2018. </w:t>
      </w:r>
      <w:r w:rsidRPr="00271279">
        <w:rPr>
          <w:b/>
        </w:rPr>
        <w:t>48</w:t>
      </w:r>
      <w:r w:rsidRPr="00271279">
        <w:t>(12): p. 1975-1984.</w:t>
      </w:r>
    </w:p>
    <w:p w14:paraId="123B23FE" w14:textId="77777777" w:rsidR="00271279" w:rsidRPr="00271279" w:rsidRDefault="00271279" w:rsidP="00271279">
      <w:pPr>
        <w:pStyle w:val="EndNoteBibliography"/>
        <w:ind w:left="720" w:hanging="720"/>
      </w:pPr>
      <w:r w:rsidRPr="00271279">
        <w:t>58.</w:t>
      </w:r>
      <w:r w:rsidRPr="00271279">
        <w:tab/>
        <w:t xml:space="preserve">Baldwin, D.S., et al., </w:t>
      </w:r>
      <w:r w:rsidRPr="00271279">
        <w:rPr>
          <w:i/>
        </w:rPr>
        <w:t>Evidence-based pharmacological treatment of anxiety disorders, post-traumatic stress disorder and obsessive-compulsive disorder: a revision of the 2005 guidelines from the British Association for Psychopharmacology.</w:t>
      </w:r>
      <w:r w:rsidRPr="00271279">
        <w:t xml:space="preserve"> Journal of Psychopharmacology, 2014. </w:t>
      </w:r>
      <w:r w:rsidRPr="00271279">
        <w:rPr>
          <w:b/>
        </w:rPr>
        <w:t>28</w:t>
      </w:r>
      <w:r w:rsidRPr="00271279">
        <w:t>(5): p. 403-439.</w:t>
      </w:r>
    </w:p>
    <w:p w14:paraId="1BBDCA54" w14:textId="77777777" w:rsidR="00271279" w:rsidRPr="00271279" w:rsidRDefault="00271279" w:rsidP="00271279">
      <w:pPr>
        <w:pStyle w:val="EndNoteBibliography"/>
        <w:ind w:left="720" w:hanging="720"/>
      </w:pPr>
      <w:r w:rsidRPr="00271279">
        <w:t>59.</w:t>
      </w:r>
      <w:r w:rsidRPr="00271279">
        <w:tab/>
        <w:t xml:space="preserve">Vallejo, J., et al., </w:t>
      </w:r>
      <w:r w:rsidRPr="00271279">
        <w:rPr>
          <w:i/>
        </w:rPr>
        <w:t>Clomipramine versus phenelzine in obsessive-compulsive disorder.</w:t>
      </w:r>
      <w:r w:rsidRPr="00271279">
        <w:t xml:space="preserve"> A controlled clinical trial. Br J Psychiatry, 1992. </w:t>
      </w:r>
      <w:r w:rsidRPr="00271279">
        <w:rPr>
          <w:b/>
        </w:rPr>
        <w:t>161</w:t>
      </w:r>
      <w:r w:rsidRPr="00271279">
        <w:t>: p. 665-670.</w:t>
      </w:r>
    </w:p>
    <w:p w14:paraId="07085A2A" w14:textId="77777777" w:rsidR="00271279" w:rsidRPr="00271279" w:rsidRDefault="00271279" w:rsidP="00271279">
      <w:pPr>
        <w:pStyle w:val="EndNoteBibliography"/>
        <w:ind w:left="720" w:hanging="720"/>
      </w:pPr>
      <w:r w:rsidRPr="00271279">
        <w:t>60.</w:t>
      </w:r>
      <w:r w:rsidRPr="00271279">
        <w:tab/>
        <w:t xml:space="preserve">Insel, T.R., et al., </w:t>
      </w:r>
      <w:r w:rsidRPr="00271279">
        <w:rPr>
          <w:i/>
        </w:rPr>
        <w:t>Obsessive-compulsive disorder: a double-blind trial of clomipramine and clorgyline.</w:t>
      </w:r>
      <w:r w:rsidRPr="00271279">
        <w:t xml:space="preserve"> Archives of General Psychiatry, 1983. </w:t>
      </w:r>
      <w:r w:rsidRPr="00271279">
        <w:rPr>
          <w:b/>
        </w:rPr>
        <w:t>40</w:t>
      </w:r>
      <w:r w:rsidRPr="00271279">
        <w:t>(6): p. 605-612.</w:t>
      </w:r>
    </w:p>
    <w:p w14:paraId="4CB00AFA" w14:textId="77777777" w:rsidR="00271279" w:rsidRPr="00271279" w:rsidRDefault="00271279" w:rsidP="00271279">
      <w:pPr>
        <w:pStyle w:val="EndNoteBibliography"/>
        <w:ind w:left="720" w:hanging="720"/>
      </w:pPr>
      <w:r w:rsidRPr="00271279">
        <w:t>61.</w:t>
      </w:r>
      <w:r w:rsidRPr="00271279">
        <w:tab/>
        <w:t xml:space="preserve">Jenike, M.A., et al., </w:t>
      </w:r>
      <w:r w:rsidRPr="00271279">
        <w:rPr>
          <w:i/>
        </w:rPr>
        <w:t>Placebo-controlled trial of fluoxetine and phenelzine for obsessive-compulsive disorder.</w:t>
      </w:r>
      <w:r w:rsidRPr="00271279">
        <w:t xml:space="preserve"> The American journal of psychiatry, 1997.</w:t>
      </w:r>
    </w:p>
    <w:p w14:paraId="16BC1C85" w14:textId="77777777" w:rsidR="00271279" w:rsidRPr="00271279" w:rsidRDefault="00271279" w:rsidP="00271279">
      <w:pPr>
        <w:pStyle w:val="EndNoteBibliography"/>
        <w:ind w:left="720" w:hanging="720"/>
      </w:pPr>
      <w:r w:rsidRPr="00271279">
        <w:t>62.</w:t>
      </w:r>
      <w:r w:rsidRPr="00271279">
        <w:tab/>
        <w:t xml:space="preserve">Grant JE, Baldwin DS, and C. SR., </w:t>
      </w:r>
      <w:r w:rsidRPr="00271279">
        <w:rPr>
          <w:i/>
        </w:rPr>
        <w:t xml:space="preserve">Time to reconsider monoamine oxidase inhibitors (MAOIs) for Obsessive Compulsive Disorder? A case series using phenelzine.  </w:t>
      </w:r>
      <w:r w:rsidRPr="00271279">
        <w:t>. 2021.</w:t>
      </w:r>
    </w:p>
    <w:p w14:paraId="3575EB4C" w14:textId="77777777" w:rsidR="00271279" w:rsidRPr="00271279" w:rsidRDefault="00271279" w:rsidP="00271279">
      <w:pPr>
        <w:pStyle w:val="EndNoteBibliography"/>
        <w:ind w:left="720" w:hanging="720"/>
      </w:pPr>
      <w:r w:rsidRPr="00271279">
        <w:t>63.</w:t>
      </w:r>
      <w:r w:rsidRPr="00271279">
        <w:tab/>
        <w:t xml:space="preserve">Himmelhoch, J.M., et al., </w:t>
      </w:r>
      <w:r w:rsidRPr="00271279">
        <w:rPr>
          <w:i/>
        </w:rPr>
        <w:t>Tranylcypromine versus imipramine in anergic bipolar depression.</w:t>
      </w:r>
      <w:r w:rsidRPr="00271279">
        <w:t xml:space="preserve"> The American journal of psychiatry, 1991.</w:t>
      </w:r>
    </w:p>
    <w:p w14:paraId="2E836629" w14:textId="77777777" w:rsidR="00271279" w:rsidRPr="00271279" w:rsidRDefault="00271279" w:rsidP="00271279">
      <w:pPr>
        <w:pStyle w:val="EndNoteBibliography"/>
        <w:ind w:left="720" w:hanging="720"/>
      </w:pPr>
      <w:r w:rsidRPr="00271279">
        <w:t>64.</w:t>
      </w:r>
      <w:r w:rsidRPr="00271279">
        <w:tab/>
        <w:t xml:space="preserve">Baumhackl, U., et al., </w:t>
      </w:r>
      <w:r w:rsidRPr="00271279">
        <w:rPr>
          <w:i/>
        </w:rPr>
        <w:t>Efficacy and Tolerability of Moclobemide Compared with Imipramine in Depressive Disorder (DSM-III): An Austrian Double-blind, Multicentre Study</w:t>
      </w:r>
      <w:r w:rsidRPr="00271279">
        <w:rPr>
          <w:rFonts w:ascii="Cambria Math" w:hAnsi="Cambria Math" w:cs="Cambria Math"/>
          <w:i/>
        </w:rPr>
        <w:t>∗</w:t>
      </w:r>
      <w:r w:rsidRPr="00271279">
        <w:rPr>
          <w:i/>
        </w:rPr>
        <w:t>.</w:t>
      </w:r>
      <w:r w:rsidRPr="00271279">
        <w:t xml:space="preserve"> The British Journal of Psychiatry, 1989. </w:t>
      </w:r>
      <w:r w:rsidRPr="00271279">
        <w:rPr>
          <w:b/>
        </w:rPr>
        <w:t>155</w:t>
      </w:r>
      <w:r w:rsidRPr="00271279">
        <w:t>(S6): p. 78-83.</w:t>
      </w:r>
    </w:p>
    <w:p w14:paraId="5F9EEF1F" w14:textId="77777777" w:rsidR="00271279" w:rsidRPr="00271279" w:rsidRDefault="00271279" w:rsidP="00271279">
      <w:pPr>
        <w:pStyle w:val="EndNoteBibliography"/>
        <w:ind w:left="720" w:hanging="720"/>
      </w:pPr>
      <w:r w:rsidRPr="00271279">
        <w:t>65.</w:t>
      </w:r>
      <w:r w:rsidRPr="00271279">
        <w:tab/>
        <w:t xml:space="preserve">Fiedorowicz, J.G. and K.L. Swartz, </w:t>
      </w:r>
      <w:r w:rsidRPr="00271279">
        <w:rPr>
          <w:i/>
        </w:rPr>
        <w:t>The role of monoamine oxidase inhibitors in current psychiatric practice.</w:t>
      </w:r>
      <w:r w:rsidRPr="00271279">
        <w:t xml:space="preserve"> J Psychiatr Pract, 2004. </w:t>
      </w:r>
      <w:r w:rsidRPr="00271279">
        <w:rPr>
          <w:b/>
        </w:rPr>
        <w:t>10</w:t>
      </w:r>
      <w:r w:rsidRPr="00271279">
        <w:t>(4): p. 239-48.</w:t>
      </w:r>
    </w:p>
    <w:p w14:paraId="769A0BD2" w14:textId="77777777" w:rsidR="00271279" w:rsidRPr="00271279" w:rsidRDefault="00271279" w:rsidP="00271279">
      <w:pPr>
        <w:pStyle w:val="EndNoteBibliography"/>
        <w:ind w:left="720" w:hanging="720"/>
      </w:pPr>
      <w:r w:rsidRPr="00271279">
        <w:t>66.</w:t>
      </w:r>
      <w:r w:rsidRPr="00271279">
        <w:tab/>
        <w:t xml:space="preserve">Volpi-Abadie, J., A.M. Kaye, and A.D. Kaye, </w:t>
      </w:r>
      <w:r w:rsidRPr="00271279">
        <w:rPr>
          <w:i/>
        </w:rPr>
        <w:t>Serotonin syndrome.</w:t>
      </w:r>
      <w:r w:rsidRPr="00271279">
        <w:t xml:space="preserve"> Ochsner J, 2013. </w:t>
      </w:r>
      <w:r w:rsidRPr="00271279">
        <w:rPr>
          <w:b/>
        </w:rPr>
        <w:t>13</w:t>
      </w:r>
      <w:r w:rsidRPr="00271279">
        <w:t>(4): p. 533-40.</w:t>
      </w:r>
    </w:p>
    <w:p w14:paraId="1EC7B586" w14:textId="77777777" w:rsidR="00271279" w:rsidRPr="00271279" w:rsidRDefault="00271279" w:rsidP="00271279">
      <w:pPr>
        <w:pStyle w:val="EndNoteBibliography"/>
        <w:ind w:left="720" w:hanging="720"/>
      </w:pPr>
      <w:r w:rsidRPr="00271279">
        <w:t>67.</w:t>
      </w:r>
      <w:r w:rsidRPr="00271279">
        <w:tab/>
        <w:t xml:space="preserve">Ables, A.Z. and R. Nagubilli, </w:t>
      </w:r>
      <w:r w:rsidRPr="00271279">
        <w:rPr>
          <w:i/>
        </w:rPr>
        <w:t>Prevention, recognition, and management of serotonin syndrome.</w:t>
      </w:r>
      <w:r w:rsidRPr="00271279">
        <w:t xml:space="preserve"> American family physician, 2010. </w:t>
      </w:r>
      <w:r w:rsidRPr="00271279">
        <w:rPr>
          <w:b/>
        </w:rPr>
        <w:t>81</w:t>
      </w:r>
      <w:r w:rsidRPr="00271279">
        <w:t>(9): p. 1139-1142.</w:t>
      </w:r>
    </w:p>
    <w:p w14:paraId="7508F4FA" w14:textId="77777777" w:rsidR="00271279" w:rsidRPr="00271279" w:rsidRDefault="00271279" w:rsidP="00271279">
      <w:pPr>
        <w:pStyle w:val="EndNoteBibliography"/>
        <w:ind w:left="720" w:hanging="720"/>
      </w:pPr>
      <w:r w:rsidRPr="00271279">
        <w:t>68.</w:t>
      </w:r>
      <w:r w:rsidRPr="00271279">
        <w:tab/>
        <w:t xml:space="preserve">Lavin, M.R., A. Mendelowitz, and M.H. Kronig, </w:t>
      </w:r>
      <w:r w:rsidRPr="00271279">
        <w:rPr>
          <w:i/>
        </w:rPr>
        <w:t>Spontaneous hypertensive reactions with monoamine oxidase inhibitors.</w:t>
      </w:r>
      <w:r w:rsidRPr="00271279">
        <w:t xml:space="preserve"> Biological psychiatry, 1993. </w:t>
      </w:r>
      <w:r w:rsidRPr="00271279">
        <w:rPr>
          <w:b/>
        </w:rPr>
        <w:t>34</w:t>
      </w:r>
      <w:r w:rsidRPr="00271279">
        <w:t>(3): p. 146-151.</w:t>
      </w:r>
    </w:p>
    <w:p w14:paraId="443EA53C" w14:textId="77777777" w:rsidR="00271279" w:rsidRPr="00271279" w:rsidRDefault="00271279" w:rsidP="00271279">
      <w:pPr>
        <w:pStyle w:val="EndNoteBibliography"/>
        <w:ind w:left="720" w:hanging="720"/>
      </w:pPr>
      <w:r w:rsidRPr="00271279">
        <w:t>69.</w:t>
      </w:r>
      <w:r w:rsidRPr="00271279">
        <w:tab/>
        <w:t xml:space="preserve">Gillman, P.K., </w:t>
      </w:r>
      <w:r w:rsidRPr="00271279">
        <w:rPr>
          <w:i/>
        </w:rPr>
        <w:t>A reassessment of the safety profile of monoamine oxidase inhibitors: elucidating tired old tyramine myths.</w:t>
      </w:r>
      <w:r w:rsidRPr="00271279">
        <w:t xml:space="preserve"> Journal of Neural Transmission, 2018. </w:t>
      </w:r>
      <w:r w:rsidRPr="00271279">
        <w:rPr>
          <w:b/>
        </w:rPr>
        <w:t>125</w:t>
      </w:r>
      <w:r w:rsidRPr="00271279">
        <w:t>(11): p. 1707-1717.</w:t>
      </w:r>
    </w:p>
    <w:p w14:paraId="21CDC912" w14:textId="77777777" w:rsidR="00271279" w:rsidRPr="00271279" w:rsidRDefault="00271279" w:rsidP="00271279">
      <w:pPr>
        <w:pStyle w:val="EndNoteBibliography"/>
        <w:ind w:left="720" w:hanging="720"/>
      </w:pPr>
      <w:r w:rsidRPr="00271279">
        <w:t>70.</w:t>
      </w:r>
      <w:r w:rsidRPr="00271279">
        <w:tab/>
        <w:t xml:space="preserve">Culpepper, L., </w:t>
      </w:r>
      <w:r w:rsidRPr="00271279">
        <w:rPr>
          <w:i/>
        </w:rPr>
        <w:t>Reducing the Burden of Difficult-to-Treat Major Depressive Disorder: Revisiting Monoamine Oxidase Inhibitor Therapy.</w:t>
      </w:r>
      <w:r w:rsidRPr="00271279">
        <w:t xml:space="preserve"> Prim Care Companion CNS Disord, 2013. </w:t>
      </w:r>
      <w:r w:rsidRPr="00271279">
        <w:rPr>
          <w:b/>
        </w:rPr>
        <w:t>15</w:t>
      </w:r>
      <w:r w:rsidRPr="00271279">
        <w:t>(5).</w:t>
      </w:r>
    </w:p>
    <w:p w14:paraId="09A2516F" w14:textId="420CC91E" w:rsidR="00271279" w:rsidRPr="00271279" w:rsidRDefault="00271279" w:rsidP="00271279">
      <w:pPr>
        <w:pStyle w:val="EndNoteBibliography"/>
        <w:ind w:left="720" w:hanging="720"/>
      </w:pPr>
      <w:r w:rsidRPr="00271279">
        <w:t>71.</w:t>
      </w:r>
      <w:r w:rsidRPr="00271279">
        <w:tab/>
        <w:t xml:space="preserve">Forrest, J. </w:t>
      </w:r>
      <w:r w:rsidRPr="00271279">
        <w:rPr>
          <w:i/>
        </w:rPr>
        <w:t>What is the risk of interaction between opioids and monoamine oxidase inhibitors (MAOIs)?</w:t>
      </w:r>
      <w:r w:rsidRPr="00271279">
        <w:t xml:space="preserve"> 2018; Available from: </w:t>
      </w:r>
      <w:hyperlink r:id="rId8" w:history="1">
        <w:r w:rsidRPr="00271279">
          <w:rPr>
            <w:rStyle w:val="Hyperlink"/>
          </w:rPr>
          <w:t>https://www.sps.nhs.uk/articles/what-is-the-risk-of-interaction-between-opioids-and-monoamine-oxidase-inhibitors-maois/</w:t>
        </w:r>
      </w:hyperlink>
      <w:r w:rsidRPr="00271279">
        <w:t>.</w:t>
      </w:r>
    </w:p>
    <w:p w14:paraId="2F221FD1" w14:textId="77777777" w:rsidR="00271279" w:rsidRPr="00271279" w:rsidRDefault="00271279" w:rsidP="00271279">
      <w:pPr>
        <w:pStyle w:val="EndNoteBibliography"/>
        <w:ind w:left="720" w:hanging="720"/>
      </w:pPr>
      <w:r w:rsidRPr="00271279">
        <w:t>72.</w:t>
      </w:r>
      <w:r w:rsidRPr="00271279">
        <w:tab/>
        <w:t xml:space="preserve">Grady, M.M. and S.M. Stahl, </w:t>
      </w:r>
      <w:r w:rsidRPr="00271279">
        <w:rPr>
          <w:i/>
        </w:rPr>
        <w:t>Practical guide for prescribing MAOIs: debunking myths and removing barriers.</w:t>
      </w:r>
      <w:r w:rsidRPr="00271279">
        <w:t xml:space="preserve"> CNS spectr, 2012. </w:t>
      </w:r>
      <w:r w:rsidRPr="00271279">
        <w:rPr>
          <w:b/>
        </w:rPr>
        <w:t>17</w:t>
      </w:r>
      <w:r w:rsidRPr="00271279">
        <w:t>(1): p. 2-10.</w:t>
      </w:r>
    </w:p>
    <w:p w14:paraId="3CEE7EA2" w14:textId="77777777" w:rsidR="00271279" w:rsidRPr="00271279" w:rsidRDefault="00271279" w:rsidP="00271279">
      <w:pPr>
        <w:pStyle w:val="EndNoteBibliography"/>
        <w:ind w:left="720" w:hanging="720"/>
      </w:pPr>
      <w:r w:rsidRPr="00271279">
        <w:t>73.</w:t>
      </w:r>
      <w:r w:rsidRPr="00271279">
        <w:tab/>
        <w:t xml:space="preserve">Pilowsky, L.S. and R.W. Kerwin, </w:t>
      </w:r>
      <w:r w:rsidRPr="00271279">
        <w:rPr>
          <w:i/>
        </w:rPr>
        <w:t>Biological Treatments in Psychiatry,</w:t>
      </w:r>
      <w:r w:rsidRPr="00271279">
        <w:t xml:space="preserve">, in </w:t>
      </w:r>
      <w:r w:rsidRPr="00271279">
        <w:rPr>
          <w:i/>
        </w:rPr>
        <w:t>The Essentials of Postgraduate Psychiatry</w:t>
      </w:r>
      <w:r w:rsidRPr="00271279">
        <w:t>, R. Murray, Hill, P. and McGuffin, P, , Editor. 1997, Cambridge University Press: Cambridge. p. 605-634.</w:t>
      </w:r>
    </w:p>
    <w:p w14:paraId="573D2B2B" w14:textId="77777777" w:rsidR="00271279" w:rsidRPr="00271279" w:rsidRDefault="00271279" w:rsidP="00271279">
      <w:pPr>
        <w:pStyle w:val="EndNoteBibliography"/>
        <w:ind w:left="720" w:hanging="720"/>
      </w:pPr>
      <w:r w:rsidRPr="00271279">
        <w:t>74.</w:t>
      </w:r>
      <w:r w:rsidRPr="00271279">
        <w:tab/>
        <w:t xml:space="preserve">White, K., T. Pistole, and J.L. Boyd, </w:t>
      </w:r>
      <w:r w:rsidRPr="00271279">
        <w:rPr>
          <w:i/>
        </w:rPr>
        <w:t>Combined monoamine oxidase inhibitor-tricyclic antidepressant treatment: a pilot study.</w:t>
      </w:r>
      <w:r w:rsidRPr="00271279">
        <w:t xml:space="preserve"> American journal of psychiatry, 1980. </w:t>
      </w:r>
      <w:r w:rsidRPr="00271279">
        <w:rPr>
          <w:b/>
        </w:rPr>
        <w:t>137</w:t>
      </w:r>
      <w:r w:rsidRPr="00271279">
        <w:t>(11): p. 1422-1425.</w:t>
      </w:r>
    </w:p>
    <w:p w14:paraId="0F614621" w14:textId="77777777" w:rsidR="00271279" w:rsidRPr="00271279" w:rsidRDefault="00271279" w:rsidP="00271279">
      <w:pPr>
        <w:pStyle w:val="EndNoteBibliography"/>
        <w:ind w:left="720" w:hanging="720"/>
      </w:pPr>
      <w:r w:rsidRPr="00271279">
        <w:t>75.</w:t>
      </w:r>
      <w:r w:rsidRPr="00271279">
        <w:tab/>
        <w:t xml:space="preserve">Thomas, S.J., et al., </w:t>
      </w:r>
      <w:r w:rsidRPr="00271279">
        <w:rPr>
          <w:i/>
        </w:rPr>
        <w:t>Combination therapy with monoamine oxidase inhibitors and other antidepressants or stimulants: strategies for the management of treatment</w:t>
      </w:r>
      <w:r w:rsidRPr="00271279">
        <w:rPr>
          <w:rFonts w:ascii="Cambria Math" w:hAnsi="Cambria Math" w:cs="Cambria Math"/>
          <w:i/>
        </w:rPr>
        <w:t>‐</w:t>
      </w:r>
      <w:r w:rsidRPr="00271279">
        <w:rPr>
          <w:i/>
        </w:rPr>
        <w:t>resistant depression.</w:t>
      </w:r>
      <w:r w:rsidRPr="00271279">
        <w:t xml:space="preserve"> Pharmacotherapy: The Journal of Human Pharmacology and Drug Therapy, 2015. </w:t>
      </w:r>
      <w:r w:rsidRPr="00271279">
        <w:rPr>
          <w:b/>
        </w:rPr>
        <w:t>35</w:t>
      </w:r>
      <w:r w:rsidRPr="00271279">
        <w:t>(4): p. 433-449.</w:t>
      </w:r>
    </w:p>
    <w:p w14:paraId="6E3C9A39" w14:textId="77777777" w:rsidR="00271279" w:rsidRPr="00271279" w:rsidRDefault="00271279" w:rsidP="00271279">
      <w:pPr>
        <w:pStyle w:val="EndNoteBibliography"/>
        <w:ind w:left="720" w:hanging="720"/>
      </w:pPr>
      <w:r w:rsidRPr="00271279">
        <w:t>76.</w:t>
      </w:r>
      <w:r w:rsidRPr="00271279">
        <w:tab/>
        <w:t xml:space="preserve">Nirogi, R., et al., </w:t>
      </w:r>
      <w:r w:rsidRPr="00271279">
        <w:rPr>
          <w:i/>
        </w:rPr>
        <w:t>Evaluation of metabolism dependent inhibition of CYP2B6 mediated bupropion hydroxylation in human liver microsomes by monoamine oxidase inhibitors and prediction of potential as perpetrators of drug interaction.</w:t>
      </w:r>
      <w:r w:rsidRPr="00271279">
        <w:t xml:space="preserve"> Chemico-biological interactions, 2015. </w:t>
      </w:r>
      <w:r w:rsidRPr="00271279">
        <w:rPr>
          <w:b/>
        </w:rPr>
        <w:t>230</w:t>
      </w:r>
      <w:r w:rsidRPr="00271279">
        <w:t>: p. 9-20.</w:t>
      </w:r>
    </w:p>
    <w:p w14:paraId="23EFC13E" w14:textId="77777777" w:rsidR="00271279" w:rsidRPr="00271279" w:rsidRDefault="00271279" w:rsidP="00271279">
      <w:pPr>
        <w:pStyle w:val="EndNoteBibliography"/>
        <w:ind w:left="720" w:hanging="720"/>
      </w:pPr>
      <w:r w:rsidRPr="00271279">
        <w:t>77.</w:t>
      </w:r>
      <w:r w:rsidRPr="00271279">
        <w:tab/>
        <w:t xml:space="preserve">Bartova, L., et al., </w:t>
      </w:r>
      <w:r w:rsidRPr="00271279">
        <w:rPr>
          <w:i/>
        </w:rPr>
        <w:t>Combination of intravenous S-ketamine and oral tranylcypromine in treatment-resistant depression: a report of two cases.</w:t>
      </w:r>
      <w:r w:rsidRPr="00271279">
        <w:t xml:space="preserve"> European Neuropsychopharmacology, 2015. </w:t>
      </w:r>
      <w:r w:rsidRPr="00271279">
        <w:rPr>
          <w:b/>
        </w:rPr>
        <w:t>25</w:t>
      </w:r>
      <w:r w:rsidRPr="00271279">
        <w:t>(11): p. 2183-2184.</w:t>
      </w:r>
    </w:p>
    <w:p w14:paraId="71CF2EC0" w14:textId="77777777" w:rsidR="00271279" w:rsidRPr="00271279" w:rsidRDefault="00271279" w:rsidP="00271279">
      <w:pPr>
        <w:pStyle w:val="EndNoteBibliography"/>
        <w:ind w:left="720" w:hanging="720"/>
      </w:pPr>
      <w:r w:rsidRPr="00271279">
        <w:t>78.</w:t>
      </w:r>
      <w:r w:rsidRPr="00271279">
        <w:tab/>
        <w:t xml:space="preserve">Katz, R., et al., </w:t>
      </w:r>
      <w:r w:rsidRPr="00271279">
        <w:rPr>
          <w:i/>
        </w:rPr>
        <w:t>Concurrent use of ketamine and monoamine oxidase inhibitors in the treatment of depression: a letter to the editor.</w:t>
      </w:r>
      <w:r w:rsidRPr="00271279">
        <w:t xml:space="preserve"> General hospital psychiatry, 2018. </w:t>
      </w:r>
      <w:r w:rsidRPr="00271279">
        <w:rPr>
          <w:b/>
        </w:rPr>
        <w:t>54</w:t>
      </w:r>
      <w:r w:rsidRPr="00271279">
        <w:t>: p. 62.</w:t>
      </w:r>
    </w:p>
    <w:p w14:paraId="59B3F600" w14:textId="77777777" w:rsidR="00271279" w:rsidRPr="00271279" w:rsidRDefault="00271279" w:rsidP="00271279">
      <w:pPr>
        <w:pStyle w:val="EndNoteBibliography"/>
        <w:ind w:left="720" w:hanging="720"/>
      </w:pPr>
      <w:r w:rsidRPr="00271279">
        <w:t>79.</w:t>
      </w:r>
      <w:r w:rsidRPr="00271279">
        <w:tab/>
        <w:t xml:space="preserve">Wang, J.C.C. and J. Swainson, </w:t>
      </w:r>
      <w:r w:rsidRPr="00271279">
        <w:rPr>
          <w:i/>
        </w:rPr>
        <w:t>The concurrent treatment with intravenous ketamine and an irreversible monoamine oxidase inhibitor for treatment-resistant depression without hypertensive crises.</w:t>
      </w:r>
      <w:r w:rsidRPr="00271279">
        <w:t xml:space="preserve"> Journal of Clinical Psychopharmacology, 2020. </w:t>
      </w:r>
      <w:r w:rsidRPr="00271279">
        <w:rPr>
          <w:b/>
        </w:rPr>
        <w:t>40</w:t>
      </w:r>
      <w:r w:rsidRPr="00271279">
        <w:t>(5): p. 515-517.</w:t>
      </w:r>
    </w:p>
    <w:p w14:paraId="0E03F819" w14:textId="77777777" w:rsidR="00271279" w:rsidRPr="00271279" w:rsidRDefault="00271279" w:rsidP="00271279">
      <w:pPr>
        <w:pStyle w:val="EndNoteBibliography"/>
        <w:ind w:left="720" w:hanging="720"/>
      </w:pPr>
      <w:r w:rsidRPr="00271279">
        <w:t>80.</w:t>
      </w:r>
      <w:r w:rsidRPr="00271279">
        <w:tab/>
        <w:t xml:space="preserve">Finberg, J.P. and J.M. Rabey, </w:t>
      </w:r>
      <w:r w:rsidRPr="00271279">
        <w:rPr>
          <w:i/>
        </w:rPr>
        <w:t>Inhibitors of MAO-A and MAO-B in psychiatry and neurology.</w:t>
      </w:r>
      <w:r w:rsidRPr="00271279">
        <w:t xml:space="preserve"> Frontiers in pharmacology, 2016. </w:t>
      </w:r>
      <w:r w:rsidRPr="00271279">
        <w:rPr>
          <w:b/>
        </w:rPr>
        <w:t>7</w:t>
      </w:r>
      <w:r w:rsidRPr="00271279">
        <w:t>: p. 340.</w:t>
      </w:r>
    </w:p>
    <w:p w14:paraId="42283F21" w14:textId="77777777" w:rsidR="00271279" w:rsidRPr="00271279" w:rsidRDefault="00271279" w:rsidP="00271279">
      <w:pPr>
        <w:pStyle w:val="EndNoteBibliography"/>
        <w:ind w:left="720" w:hanging="720"/>
      </w:pPr>
      <w:r w:rsidRPr="00271279">
        <w:t>81.</w:t>
      </w:r>
      <w:r w:rsidRPr="00271279">
        <w:tab/>
        <w:t xml:space="preserve">Chiuccariello, L., et al., </w:t>
      </w:r>
      <w:r w:rsidRPr="00271279">
        <w:rPr>
          <w:i/>
        </w:rPr>
        <w:t>Monoamine oxidase-A occupancy by moclobemide and phenelzine: implications for the development of monoamine oxidase inhibitors.</w:t>
      </w:r>
      <w:r w:rsidRPr="00271279">
        <w:t xml:space="preserve"> International Journal of Neuropsychopharmacology, 2016. </w:t>
      </w:r>
      <w:r w:rsidRPr="00271279">
        <w:rPr>
          <w:b/>
        </w:rPr>
        <w:t>19</w:t>
      </w:r>
      <w:r w:rsidRPr="00271279">
        <w:t>(1).</w:t>
      </w:r>
    </w:p>
    <w:p w14:paraId="3FF2B4E4" w14:textId="77777777" w:rsidR="00271279" w:rsidRPr="00271279" w:rsidRDefault="00271279" w:rsidP="00271279">
      <w:pPr>
        <w:pStyle w:val="EndNoteBibliography"/>
        <w:ind w:left="720" w:hanging="720"/>
      </w:pPr>
      <w:r w:rsidRPr="00271279">
        <w:t>82.</w:t>
      </w:r>
      <w:r w:rsidRPr="00271279">
        <w:tab/>
        <w:t xml:space="preserve">Zangwill, D., </w:t>
      </w:r>
      <w:r w:rsidRPr="00271279">
        <w:rPr>
          <w:i/>
        </w:rPr>
        <w:t>Clinical trial of the treatment of depressive illness.</w:t>
      </w:r>
      <w:r w:rsidRPr="00271279">
        <w:t xml:space="preserve"> Brit. med. J, 1965. </w:t>
      </w:r>
      <w:r w:rsidRPr="00271279">
        <w:rPr>
          <w:b/>
        </w:rPr>
        <w:t>1</w:t>
      </w:r>
      <w:r w:rsidRPr="00271279">
        <w:t>: p. 881-886.</w:t>
      </w:r>
    </w:p>
    <w:p w14:paraId="0A7F21AD" w14:textId="77777777" w:rsidR="00271279" w:rsidRPr="00271279" w:rsidRDefault="00271279" w:rsidP="00271279">
      <w:pPr>
        <w:pStyle w:val="EndNoteBibliography"/>
        <w:ind w:left="720" w:hanging="720"/>
      </w:pPr>
      <w:r w:rsidRPr="00271279">
        <w:t>83.</w:t>
      </w:r>
      <w:r w:rsidRPr="00271279">
        <w:tab/>
        <w:t xml:space="preserve">Paykel, E.S., et al., </w:t>
      </w:r>
      <w:r w:rsidRPr="00271279">
        <w:rPr>
          <w:i/>
        </w:rPr>
        <w:t>Influence of acetylator phenotype on antidepressant effects of phenelzine.</w:t>
      </w:r>
      <w:r w:rsidRPr="00271279">
        <w:t xml:space="preserve"> The British Journal of Psychiatry, 1982. </w:t>
      </w:r>
      <w:r w:rsidRPr="00271279">
        <w:rPr>
          <w:b/>
        </w:rPr>
        <w:t>141</w:t>
      </w:r>
      <w:r w:rsidRPr="00271279">
        <w:t>(3): p. 243-248.</w:t>
      </w:r>
    </w:p>
    <w:p w14:paraId="6AF8775E" w14:textId="77777777" w:rsidR="00271279" w:rsidRPr="00271279" w:rsidRDefault="00271279" w:rsidP="00271279">
      <w:pPr>
        <w:pStyle w:val="EndNoteBibliography"/>
        <w:ind w:left="720" w:hanging="720"/>
      </w:pPr>
      <w:r w:rsidRPr="00271279">
        <w:t>84.</w:t>
      </w:r>
      <w:r w:rsidRPr="00271279">
        <w:tab/>
        <w:t xml:space="preserve">Rothmore, J., </w:t>
      </w:r>
      <w:r w:rsidRPr="00271279">
        <w:rPr>
          <w:i/>
        </w:rPr>
        <w:t>Antidepressant-induced sexual dysfunction.</w:t>
      </w:r>
      <w:r w:rsidRPr="00271279">
        <w:t xml:space="preserve"> Med J Aust, 2020. </w:t>
      </w:r>
      <w:r w:rsidRPr="00271279">
        <w:rPr>
          <w:b/>
        </w:rPr>
        <w:t>212</w:t>
      </w:r>
      <w:r w:rsidRPr="00271279">
        <w:t>(7): p. 329-34.</w:t>
      </w:r>
    </w:p>
    <w:p w14:paraId="503A89AB" w14:textId="77777777" w:rsidR="00271279" w:rsidRPr="00271279" w:rsidRDefault="00271279" w:rsidP="00271279">
      <w:pPr>
        <w:pStyle w:val="EndNoteBibliography"/>
        <w:ind w:left="720" w:hanging="720"/>
      </w:pPr>
      <w:r w:rsidRPr="00271279">
        <w:t>85.</w:t>
      </w:r>
      <w:r w:rsidRPr="00271279">
        <w:tab/>
        <w:t xml:space="preserve">Baldwin, D.S., et al., </w:t>
      </w:r>
      <w:r w:rsidRPr="00271279">
        <w:rPr>
          <w:i/>
        </w:rPr>
        <w:t>Discontinuation symptoms in depression and anxiety disorder.</w:t>
      </w:r>
      <w:r w:rsidRPr="00271279">
        <w:t xml:space="preserve"> International Journal of Neuropsychopharmacology, 2007. </w:t>
      </w:r>
      <w:r w:rsidRPr="00271279">
        <w:rPr>
          <w:b/>
        </w:rPr>
        <w:t>10</w:t>
      </w:r>
      <w:r w:rsidRPr="00271279">
        <w:t>(1): p. 73-84.</w:t>
      </w:r>
    </w:p>
    <w:p w14:paraId="18BB065F" w14:textId="77777777" w:rsidR="00271279" w:rsidRPr="00271279" w:rsidRDefault="00271279" w:rsidP="00271279">
      <w:pPr>
        <w:pStyle w:val="EndNoteBibliography"/>
        <w:ind w:left="720" w:hanging="720"/>
      </w:pPr>
      <w:r w:rsidRPr="00271279">
        <w:t>86.</w:t>
      </w:r>
      <w:r w:rsidRPr="00271279">
        <w:tab/>
        <w:t xml:space="preserve">Le Gassicke, J., </w:t>
      </w:r>
      <w:r w:rsidRPr="00271279">
        <w:rPr>
          <w:i/>
        </w:rPr>
        <w:t>Tranylcypromine.</w:t>
      </w:r>
      <w:r w:rsidRPr="00271279">
        <w:t xml:space="preserve"> Lancet, 1963. </w:t>
      </w:r>
      <w:r w:rsidRPr="00271279">
        <w:rPr>
          <w:b/>
        </w:rPr>
        <w:t>1</w:t>
      </w:r>
      <w:r w:rsidRPr="00271279">
        <w:t>: p. 269-270.</w:t>
      </w:r>
    </w:p>
    <w:p w14:paraId="782BF416" w14:textId="77777777" w:rsidR="00271279" w:rsidRPr="00271279" w:rsidRDefault="00271279" w:rsidP="00271279">
      <w:pPr>
        <w:pStyle w:val="EndNoteBibliography"/>
        <w:ind w:left="720" w:hanging="720"/>
      </w:pPr>
      <w:r w:rsidRPr="00271279">
        <w:t>87.</w:t>
      </w:r>
      <w:r w:rsidRPr="00271279">
        <w:tab/>
        <w:t xml:space="preserve">Ben-Arie, O. and G. George, </w:t>
      </w:r>
      <w:r w:rsidRPr="00271279">
        <w:rPr>
          <w:i/>
        </w:rPr>
        <w:t>A case of tranylcypromine (‘Parnate’) addiction.</w:t>
      </w:r>
      <w:r w:rsidRPr="00271279">
        <w:t xml:space="preserve"> The British Journal of Psychiatry, 1979. </w:t>
      </w:r>
      <w:r w:rsidRPr="00271279">
        <w:rPr>
          <w:b/>
        </w:rPr>
        <w:t>135</w:t>
      </w:r>
      <w:r w:rsidRPr="00271279">
        <w:t>(3): p. 273-274.</w:t>
      </w:r>
    </w:p>
    <w:p w14:paraId="32B55985" w14:textId="77777777" w:rsidR="00271279" w:rsidRPr="00271279" w:rsidRDefault="00271279" w:rsidP="00271279">
      <w:pPr>
        <w:pStyle w:val="EndNoteBibliography"/>
        <w:ind w:left="720" w:hanging="720"/>
      </w:pPr>
      <w:r w:rsidRPr="00271279">
        <w:t>88.</w:t>
      </w:r>
      <w:r w:rsidRPr="00271279">
        <w:tab/>
        <w:t xml:space="preserve">Pitt, B., </w:t>
      </w:r>
      <w:r w:rsidRPr="00271279">
        <w:rPr>
          <w:i/>
        </w:rPr>
        <w:t>Withdrawal symptoms after stopping phenelzine?</w:t>
      </w:r>
      <w:r w:rsidRPr="00271279">
        <w:t xml:space="preserve"> British medical journal, 1974. </w:t>
      </w:r>
      <w:r w:rsidRPr="00271279">
        <w:rPr>
          <w:b/>
        </w:rPr>
        <w:t>2</w:t>
      </w:r>
      <w:r w:rsidRPr="00271279">
        <w:t>(5914): p. 332.</w:t>
      </w:r>
    </w:p>
    <w:p w14:paraId="595142BC" w14:textId="77777777" w:rsidR="00271279" w:rsidRPr="00271279" w:rsidRDefault="00271279" w:rsidP="00271279">
      <w:pPr>
        <w:pStyle w:val="EndNoteBibliography"/>
        <w:ind w:left="720" w:hanging="720"/>
      </w:pPr>
      <w:r w:rsidRPr="00271279">
        <w:t>89.</w:t>
      </w:r>
      <w:r w:rsidRPr="00271279">
        <w:tab/>
        <w:t xml:space="preserve">Tyrer, P., </w:t>
      </w:r>
      <w:r w:rsidRPr="00271279">
        <w:rPr>
          <w:i/>
        </w:rPr>
        <w:t>Clinical effects of abrupt withdrawal from tri-cyclic antidepressants and monoamine oxidase inhibitors after long-term treatment.</w:t>
      </w:r>
      <w:r w:rsidRPr="00271279">
        <w:t xml:space="preserve"> Journal of affective disorders, 1984. </w:t>
      </w:r>
      <w:r w:rsidRPr="00271279">
        <w:rPr>
          <w:b/>
        </w:rPr>
        <w:t>6</w:t>
      </w:r>
      <w:r w:rsidRPr="00271279">
        <w:t>(1): p. 1-7.</w:t>
      </w:r>
    </w:p>
    <w:p w14:paraId="6CD42B57" w14:textId="77777777" w:rsidR="00271279" w:rsidRPr="00271279" w:rsidRDefault="00271279" w:rsidP="00271279">
      <w:pPr>
        <w:pStyle w:val="EndNoteBibliography"/>
        <w:ind w:left="720" w:hanging="720"/>
      </w:pPr>
      <w:r w:rsidRPr="00271279">
        <w:t>90.</w:t>
      </w:r>
      <w:r w:rsidRPr="00271279">
        <w:tab/>
        <w:t xml:space="preserve">Dilsaver, S.C., </w:t>
      </w:r>
      <w:r w:rsidRPr="00271279">
        <w:rPr>
          <w:i/>
        </w:rPr>
        <w:t>Monoamine oxidase inhibitor withdrawal phenomena: symptoms and pathophysiology.</w:t>
      </w:r>
      <w:r w:rsidRPr="00271279">
        <w:t xml:space="preserve"> Acta Psychiatrica Scandinavica, 1988. </w:t>
      </w:r>
      <w:r w:rsidRPr="00271279">
        <w:rPr>
          <w:b/>
        </w:rPr>
        <w:t>78</w:t>
      </w:r>
      <w:r w:rsidRPr="00271279">
        <w:t>(1): p. 1-7.</w:t>
      </w:r>
    </w:p>
    <w:p w14:paraId="275D4FAA" w14:textId="77777777" w:rsidR="00271279" w:rsidRPr="00271279" w:rsidRDefault="00271279" w:rsidP="00271279">
      <w:pPr>
        <w:pStyle w:val="EndNoteBibliography"/>
        <w:ind w:left="720" w:hanging="720"/>
      </w:pPr>
      <w:r w:rsidRPr="00271279">
        <w:t>91.</w:t>
      </w:r>
      <w:r w:rsidRPr="00271279">
        <w:tab/>
        <w:t xml:space="preserve">Gahr, M., et al., </w:t>
      </w:r>
      <w:r w:rsidRPr="00271279">
        <w:rPr>
          <w:i/>
        </w:rPr>
        <w:t>Withdrawal and discontinuation phenomena associated with tranylcypromine: a systematic review.</w:t>
      </w:r>
      <w:r w:rsidRPr="00271279">
        <w:t xml:space="preserve"> Pharmacopsychiatry, 2013. </w:t>
      </w:r>
      <w:r w:rsidRPr="00271279">
        <w:rPr>
          <w:b/>
        </w:rPr>
        <w:t>2</w:t>
      </w:r>
      <w:r w:rsidRPr="00271279">
        <w:t>(04): p. 123-129.</w:t>
      </w:r>
    </w:p>
    <w:p w14:paraId="636D290F" w14:textId="77777777" w:rsidR="00271279" w:rsidRPr="00271279" w:rsidRDefault="00271279" w:rsidP="00271279">
      <w:pPr>
        <w:pStyle w:val="EndNoteBibliography"/>
        <w:ind w:left="720" w:hanging="720"/>
      </w:pPr>
      <w:r w:rsidRPr="00271279">
        <w:t>92.</w:t>
      </w:r>
      <w:r w:rsidRPr="00271279">
        <w:tab/>
        <w:t xml:space="preserve">Curtin, F., P. Berney, and C. Kaufmann, </w:t>
      </w:r>
      <w:r w:rsidRPr="00271279">
        <w:rPr>
          <w:i/>
        </w:rPr>
        <w:t>Moclobemide discontinuation syndrome predominantly presenting with influenza-like symptoms.</w:t>
      </w:r>
      <w:r w:rsidRPr="00271279">
        <w:t xml:space="preserve"> Journal of Psychopharmacology, 2002. </w:t>
      </w:r>
      <w:r w:rsidRPr="00271279">
        <w:rPr>
          <w:b/>
        </w:rPr>
        <w:t>16</w:t>
      </w:r>
      <w:r w:rsidRPr="00271279">
        <w:t>(3): p. 271-272.</w:t>
      </w:r>
    </w:p>
    <w:p w14:paraId="6D44030B" w14:textId="77777777" w:rsidR="00271279" w:rsidRPr="00271279" w:rsidRDefault="00271279" w:rsidP="00271279">
      <w:pPr>
        <w:pStyle w:val="EndNoteBibliography"/>
        <w:ind w:left="720" w:hanging="720"/>
      </w:pPr>
      <w:r w:rsidRPr="00271279">
        <w:t>93.</w:t>
      </w:r>
      <w:r w:rsidRPr="00271279">
        <w:tab/>
        <w:t xml:space="preserve">Dhiman, P., et al., </w:t>
      </w:r>
      <w:r w:rsidRPr="00271279">
        <w:rPr>
          <w:i/>
        </w:rPr>
        <w:t>Quercetin and related chromenone derivatives as monoamine oxidase inhibitors: targeting neurological and mental disorders.</w:t>
      </w:r>
      <w:r w:rsidRPr="00271279">
        <w:t xml:space="preserve"> Molecules, 2019. </w:t>
      </w:r>
      <w:r w:rsidRPr="00271279">
        <w:rPr>
          <w:b/>
        </w:rPr>
        <w:t>24</w:t>
      </w:r>
      <w:r w:rsidRPr="00271279">
        <w:t>(3): p. 418.</w:t>
      </w:r>
    </w:p>
    <w:p w14:paraId="5660C509" w14:textId="77777777" w:rsidR="00271279" w:rsidRPr="00271279" w:rsidRDefault="00271279" w:rsidP="00271279">
      <w:pPr>
        <w:pStyle w:val="EndNoteBibliography"/>
        <w:ind w:left="720" w:hanging="720"/>
      </w:pPr>
      <w:r w:rsidRPr="00271279">
        <w:t>94.</w:t>
      </w:r>
      <w:r w:rsidRPr="00271279">
        <w:tab/>
        <w:t xml:space="preserve">Moreira-Silva, F., et al., </w:t>
      </w:r>
      <w:r w:rsidRPr="00271279">
        <w:rPr>
          <w:i/>
        </w:rPr>
        <w:t>Repurposing Old Drugs into New Epigenetic Inhibitors: Promising Candidates for Cancer Treatment?</w:t>
      </w:r>
      <w:r w:rsidRPr="00271279">
        <w:t xml:space="preserve"> Pharmaceutics, 2020. </w:t>
      </w:r>
      <w:r w:rsidRPr="00271279">
        <w:rPr>
          <w:b/>
        </w:rPr>
        <w:t>12</w:t>
      </w:r>
      <w:r w:rsidRPr="00271279">
        <w:t>(5): p. 410.</w:t>
      </w:r>
    </w:p>
    <w:p w14:paraId="5C09F2CA" w14:textId="77777777" w:rsidR="00271279" w:rsidRPr="00271279" w:rsidRDefault="00271279" w:rsidP="00271279">
      <w:pPr>
        <w:pStyle w:val="EndNoteBibliography"/>
        <w:ind w:left="720" w:hanging="720"/>
      </w:pPr>
      <w:r w:rsidRPr="00271279">
        <w:t>95.</w:t>
      </w:r>
      <w:r w:rsidRPr="00271279">
        <w:tab/>
        <w:t xml:space="preserve">Gross, M.E., et al., </w:t>
      </w:r>
      <w:r w:rsidRPr="00271279">
        <w:rPr>
          <w:i/>
        </w:rPr>
        <w:t>Phase 2 trial of monoamine oxidase inhibitor phenelzine in biochemical recurrent prostate cancer.</w:t>
      </w:r>
      <w:r w:rsidRPr="00271279">
        <w:t xml:space="preserve"> Prostate cancer and prostatic diseases, 2021. </w:t>
      </w:r>
      <w:r w:rsidRPr="00271279">
        <w:rPr>
          <w:b/>
        </w:rPr>
        <w:t>24</w:t>
      </w:r>
      <w:r w:rsidRPr="00271279">
        <w:t>(1): p. 61-68.</w:t>
      </w:r>
    </w:p>
    <w:p w14:paraId="5E6EF232" w14:textId="77777777" w:rsidR="00271279" w:rsidRPr="00271279" w:rsidRDefault="00271279" w:rsidP="00271279">
      <w:pPr>
        <w:pStyle w:val="EndNoteBibliography"/>
        <w:ind w:left="720" w:hanging="720"/>
      </w:pPr>
      <w:r w:rsidRPr="00271279">
        <w:t>96.</w:t>
      </w:r>
      <w:r w:rsidRPr="00271279">
        <w:tab/>
        <w:t xml:space="preserve">Wass, M., et al., </w:t>
      </w:r>
      <w:r w:rsidRPr="00271279">
        <w:rPr>
          <w:i/>
        </w:rPr>
        <w:t>A proof of concept phase I/II pilot trial of LSD1 inhibition by tranylcypromine combined with ATRA in refractory/relapsed AML patients not eligible for intensive therapy.</w:t>
      </w:r>
      <w:r w:rsidRPr="00271279">
        <w:t xml:space="preserve"> Leukemia, 2021. </w:t>
      </w:r>
      <w:r w:rsidRPr="00271279">
        <w:rPr>
          <w:b/>
        </w:rPr>
        <w:t>35</w:t>
      </w:r>
      <w:r w:rsidRPr="00271279">
        <w:t>(3): p. 701-711.</w:t>
      </w:r>
    </w:p>
    <w:p w14:paraId="15CAA98F" w14:textId="77777777" w:rsidR="00271279" w:rsidRPr="00271279" w:rsidRDefault="00271279" w:rsidP="00271279">
      <w:pPr>
        <w:pStyle w:val="EndNoteBibliography"/>
        <w:ind w:left="720" w:hanging="720"/>
      </w:pPr>
      <w:r w:rsidRPr="00271279">
        <w:t>97.</w:t>
      </w:r>
      <w:r w:rsidRPr="00271279">
        <w:tab/>
        <w:t xml:space="preserve">Magyar, K. and B. Szende, </w:t>
      </w:r>
      <w:r w:rsidRPr="00271279">
        <w:rPr>
          <w:i/>
        </w:rPr>
        <w:t>(−)-Deprenyl, a selective MAO-B inhibitor, with apoptotic and anti-apoptotic properties.</w:t>
      </w:r>
      <w:r w:rsidRPr="00271279">
        <w:t xml:space="preserve"> Neurotoxicology, 2004. </w:t>
      </w:r>
      <w:r w:rsidRPr="00271279">
        <w:rPr>
          <w:b/>
        </w:rPr>
        <w:t>25</w:t>
      </w:r>
      <w:r w:rsidRPr="00271279">
        <w:t>(1-2): p. 233-242.</w:t>
      </w:r>
    </w:p>
    <w:p w14:paraId="0DFD99A6" w14:textId="1D7B584F" w:rsidR="00271279" w:rsidRPr="00271279" w:rsidRDefault="00271279" w:rsidP="00271279">
      <w:pPr>
        <w:pStyle w:val="EndNoteBibliography"/>
        <w:ind w:left="720" w:hanging="720"/>
      </w:pPr>
      <w:r w:rsidRPr="00271279">
        <w:t>98.</w:t>
      </w:r>
      <w:r w:rsidRPr="00271279">
        <w:tab/>
        <w:t xml:space="preserve"> </w:t>
      </w:r>
    </w:p>
    <w:p w14:paraId="049A51F7" w14:textId="5BA71C97" w:rsidR="00271279" w:rsidRPr="00271279" w:rsidRDefault="00271279" w:rsidP="00271279">
      <w:pPr>
        <w:pStyle w:val="EndNoteBibliography"/>
        <w:ind w:left="720" w:hanging="720"/>
      </w:pPr>
      <w:r w:rsidRPr="00271279">
        <w:t>99.</w:t>
      </w:r>
      <w:r w:rsidRPr="00271279">
        <w:tab/>
      </w:r>
    </w:p>
    <w:p w14:paraId="55286F3D" w14:textId="3500BC80" w:rsidR="00271279" w:rsidRPr="00271279" w:rsidRDefault="00EF3C4D" w:rsidP="00271279">
      <w:pPr>
        <w:pStyle w:val="EndNoteBibliography"/>
        <w:ind w:left="720" w:hanging="720"/>
      </w:pPr>
      <w:r>
        <w:t>98</w:t>
      </w:r>
      <w:r w:rsidR="00271279" w:rsidRPr="00271279">
        <w:t>.</w:t>
      </w:r>
      <w:r w:rsidR="00271279" w:rsidRPr="00271279">
        <w:tab/>
        <w:t xml:space="preserve">Stahl, S., M.,. </w:t>
      </w:r>
      <w:r w:rsidR="00271279" w:rsidRPr="00271279">
        <w:rPr>
          <w:i/>
        </w:rPr>
        <w:t>Stahl Online</w:t>
      </w:r>
      <w:r w:rsidR="00271279" w:rsidRPr="00271279">
        <w:t xml:space="preserve">.  22-4-2021]; Available from: </w:t>
      </w:r>
      <w:hyperlink r:id="rId9" w:history="1">
        <w:r w:rsidR="00271279" w:rsidRPr="00271279">
          <w:rPr>
            <w:rStyle w:val="Hyperlink"/>
          </w:rPr>
          <w:t>https://stahlonline.cambridge.org</w:t>
        </w:r>
      </w:hyperlink>
      <w:r w:rsidR="00271279" w:rsidRPr="00271279">
        <w:t xml:space="preserve"> </w:t>
      </w:r>
    </w:p>
    <w:p w14:paraId="176AFD9A" w14:textId="2F47161F" w:rsidR="00414588" w:rsidRDefault="00AF1E35" w:rsidP="006F0C0A">
      <w:pPr>
        <w:spacing w:line="360" w:lineRule="auto"/>
        <w:rPr>
          <w:rFonts w:ascii="Lucida Sans" w:eastAsia="Times" w:hAnsi="Lucida Sans" w:cs="Times New Roman"/>
          <w:sz w:val="18"/>
          <w:szCs w:val="18"/>
        </w:rPr>
      </w:pPr>
      <w:r w:rsidRPr="006F0C0A">
        <w:rPr>
          <w:rFonts w:ascii="Lucida Sans" w:eastAsia="Times" w:hAnsi="Lucida Sans" w:cs="Times New Roman"/>
          <w:sz w:val="18"/>
          <w:szCs w:val="18"/>
        </w:rPr>
        <w:fldChar w:fldCharType="end"/>
      </w:r>
    </w:p>
    <w:p w14:paraId="2D257269" w14:textId="77777777" w:rsidR="00414588" w:rsidRDefault="00414588">
      <w:pPr>
        <w:rPr>
          <w:rFonts w:ascii="Lucida Sans" w:eastAsia="Times" w:hAnsi="Lucida Sans" w:cs="Times New Roman"/>
          <w:sz w:val="18"/>
          <w:szCs w:val="18"/>
        </w:rPr>
      </w:pPr>
      <w:r>
        <w:rPr>
          <w:rFonts w:ascii="Lucida Sans" w:eastAsia="Times" w:hAnsi="Lucida Sans" w:cs="Times New Roman"/>
          <w:sz w:val="18"/>
          <w:szCs w:val="18"/>
        </w:rPr>
        <w:br w:type="page"/>
      </w:r>
    </w:p>
    <w:p w14:paraId="6579638D" w14:textId="40D32410" w:rsidR="00414588" w:rsidRDefault="00414588">
      <w:pPr>
        <w:rPr>
          <w:rFonts w:ascii="Lucida Sans" w:eastAsia="Times" w:hAnsi="Lucida Sans" w:cs="Times New Roman"/>
          <w:sz w:val="18"/>
          <w:szCs w:val="18"/>
        </w:rPr>
      </w:pPr>
      <w:r>
        <w:rPr>
          <w:rFonts w:ascii="Lucida Sans" w:eastAsia="Times" w:hAnsi="Lucida Sans" w:cs="Times New Roman"/>
          <w:sz w:val="18"/>
          <w:szCs w:val="18"/>
        </w:rPr>
        <w:br w:type="page"/>
      </w:r>
    </w:p>
    <w:p w14:paraId="724A515A" w14:textId="1078B943" w:rsidR="00414588" w:rsidRPr="0040057D" w:rsidRDefault="00414588" w:rsidP="00414588">
      <w:pPr>
        <w:spacing w:line="480" w:lineRule="auto"/>
        <w:rPr>
          <w:rFonts w:ascii="Times New Roman" w:hAnsi="Times New Roman" w:cs="Times New Roman"/>
          <w:i/>
          <w:sz w:val="24"/>
          <w:szCs w:val="24"/>
        </w:rPr>
      </w:pPr>
      <w:r w:rsidRPr="0040057D">
        <w:rPr>
          <w:rFonts w:ascii="Times New Roman" w:hAnsi="Times New Roman" w:cs="Times New Roman"/>
          <w:b/>
          <w:i/>
          <w:sz w:val="24"/>
          <w:szCs w:val="24"/>
        </w:rPr>
        <w:t xml:space="preserve">Table </w:t>
      </w:r>
      <w:r w:rsidR="00FE5372">
        <w:rPr>
          <w:rFonts w:ascii="Times New Roman" w:hAnsi="Times New Roman" w:cs="Times New Roman"/>
          <w:b/>
          <w:i/>
          <w:sz w:val="24"/>
          <w:szCs w:val="24"/>
        </w:rPr>
        <w:t>1</w:t>
      </w:r>
      <w:r w:rsidRPr="0040057D">
        <w:rPr>
          <w:rFonts w:ascii="Times New Roman" w:hAnsi="Times New Roman" w:cs="Times New Roman"/>
          <w:i/>
          <w:sz w:val="24"/>
          <w:szCs w:val="24"/>
        </w:rPr>
        <w:t xml:space="preserve">. </w:t>
      </w:r>
      <w:r>
        <w:rPr>
          <w:rFonts w:ascii="Times New Roman" w:hAnsi="Times New Roman" w:cs="Times New Roman"/>
          <w:i/>
          <w:sz w:val="24"/>
          <w:szCs w:val="24"/>
        </w:rPr>
        <w:t>Common f</w:t>
      </w:r>
      <w:r w:rsidRPr="0040057D">
        <w:rPr>
          <w:rFonts w:ascii="Times New Roman" w:hAnsi="Times New Roman" w:cs="Times New Roman"/>
          <w:i/>
          <w:sz w:val="24"/>
          <w:szCs w:val="24"/>
        </w:rPr>
        <w:t>eatures of serotonin syndrome (left) and hypertensi</w:t>
      </w:r>
      <w:r>
        <w:rPr>
          <w:rFonts w:ascii="Times New Roman" w:hAnsi="Times New Roman" w:cs="Times New Roman"/>
          <w:i/>
          <w:sz w:val="24"/>
          <w:szCs w:val="24"/>
        </w:rPr>
        <w:t>ve crises (right). Adapted from Grady &amp; Stahl, 2012</w:t>
      </w:r>
      <w:r w:rsidRPr="0040057D">
        <w:rPr>
          <w:rFonts w:ascii="Times New Roman" w:hAnsi="Times New Roman" w:cs="Times New Roman"/>
          <w:i/>
          <w:sz w:val="24"/>
          <w:szCs w:val="24"/>
        </w:rPr>
        <w:t>.</w:t>
      </w:r>
      <w:r>
        <w:rPr>
          <w:rFonts w:ascii="Times New Roman" w:hAnsi="Times New Roman" w:cs="Times New Roman"/>
          <w:i/>
          <w:sz w:val="24"/>
          <w:szCs w:val="24"/>
        </w:rPr>
        <w:t xml:space="preserve"> Note: only some features may be present. </w:t>
      </w:r>
    </w:p>
    <w:tbl>
      <w:tblPr>
        <w:tblStyle w:val="TableGrid"/>
        <w:tblW w:w="0" w:type="auto"/>
        <w:tblLook w:val="04A0" w:firstRow="1" w:lastRow="0" w:firstColumn="1" w:lastColumn="0" w:noHBand="0" w:noVBand="1"/>
      </w:tblPr>
      <w:tblGrid>
        <w:gridCol w:w="3006"/>
        <w:gridCol w:w="3006"/>
        <w:gridCol w:w="3007"/>
      </w:tblGrid>
      <w:tr w:rsidR="00414588" w14:paraId="613B787C" w14:textId="77777777" w:rsidTr="00615C72">
        <w:tc>
          <w:tcPr>
            <w:tcW w:w="3006" w:type="dxa"/>
            <w:tcBorders>
              <w:right w:val="single" w:sz="4" w:space="0" w:color="auto"/>
            </w:tcBorders>
          </w:tcPr>
          <w:p w14:paraId="281FCF26" w14:textId="77777777" w:rsidR="00414588" w:rsidRPr="0040057D" w:rsidRDefault="00414588" w:rsidP="00615C72">
            <w:pPr>
              <w:spacing w:line="480" w:lineRule="auto"/>
              <w:rPr>
                <w:rFonts w:ascii="Times New Roman" w:hAnsi="Times New Roman" w:cs="Times New Roman"/>
                <w:b/>
                <w:sz w:val="24"/>
                <w:szCs w:val="24"/>
              </w:rPr>
            </w:pPr>
            <w:r w:rsidRPr="0040057D">
              <w:rPr>
                <w:rFonts w:ascii="Times New Roman" w:hAnsi="Times New Roman" w:cs="Times New Roman"/>
                <w:b/>
                <w:sz w:val="24"/>
                <w:szCs w:val="24"/>
              </w:rPr>
              <w:t>Serotonin syndrome</w:t>
            </w:r>
          </w:p>
        </w:tc>
        <w:tc>
          <w:tcPr>
            <w:tcW w:w="3006" w:type="dxa"/>
            <w:tcBorders>
              <w:top w:val="nil"/>
              <w:left w:val="single" w:sz="4" w:space="0" w:color="auto"/>
              <w:bottom w:val="nil"/>
              <w:right w:val="single" w:sz="4" w:space="0" w:color="auto"/>
            </w:tcBorders>
          </w:tcPr>
          <w:p w14:paraId="675ABC8B"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1F00153D" w14:textId="77777777" w:rsidR="00414588" w:rsidRPr="0040057D" w:rsidRDefault="00414588" w:rsidP="00615C72">
            <w:pPr>
              <w:spacing w:line="480" w:lineRule="auto"/>
              <w:rPr>
                <w:rFonts w:ascii="Times New Roman" w:hAnsi="Times New Roman" w:cs="Times New Roman"/>
                <w:b/>
                <w:sz w:val="24"/>
                <w:szCs w:val="24"/>
              </w:rPr>
            </w:pPr>
            <w:r w:rsidRPr="0040057D">
              <w:rPr>
                <w:rFonts w:ascii="Times New Roman" w:hAnsi="Times New Roman" w:cs="Times New Roman"/>
                <w:b/>
                <w:sz w:val="24"/>
                <w:szCs w:val="24"/>
              </w:rPr>
              <w:t>Hypertensive crisis</w:t>
            </w:r>
          </w:p>
        </w:tc>
      </w:tr>
      <w:tr w:rsidR="00414588" w14:paraId="1009B20A" w14:textId="77777777" w:rsidTr="00615C72">
        <w:tc>
          <w:tcPr>
            <w:tcW w:w="3006" w:type="dxa"/>
            <w:tcBorders>
              <w:right w:val="single" w:sz="4" w:space="0" w:color="auto"/>
            </w:tcBorders>
          </w:tcPr>
          <w:p w14:paraId="418A1725"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Psychomotor agitation</w:t>
            </w:r>
          </w:p>
        </w:tc>
        <w:tc>
          <w:tcPr>
            <w:tcW w:w="3006" w:type="dxa"/>
            <w:tcBorders>
              <w:top w:val="nil"/>
              <w:left w:val="single" w:sz="4" w:space="0" w:color="auto"/>
              <w:bottom w:val="nil"/>
              <w:right w:val="single" w:sz="4" w:space="0" w:color="auto"/>
            </w:tcBorders>
          </w:tcPr>
          <w:p w14:paraId="69A6C812"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3E564E61"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Elevated blood pressure (e.g. &gt;120mmHg diastolic)</w:t>
            </w:r>
          </w:p>
        </w:tc>
      </w:tr>
      <w:tr w:rsidR="00414588" w14:paraId="3F2C5F57" w14:textId="77777777" w:rsidTr="00615C72">
        <w:tc>
          <w:tcPr>
            <w:tcW w:w="3006" w:type="dxa"/>
            <w:tcBorders>
              <w:right w:val="single" w:sz="4" w:space="0" w:color="auto"/>
            </w:tcBorders>
          </w:tcPr>
          <w:p w14:paraId="5EFFD218"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Excessive sweating</w:t>
            </w:r>
          </w:p>
        </w:tc>
        <w:tc>
          <w:tcPr>
            <w:tcW w:w="3006" w:type="dxa"/>
            <w:tcBorders>
              <w:top w:val="nil"/>
              <w:left w:val="single" w:sz="4" w:space="0" w:color="auto"/>
              <w:bottom w:val="nil"/>
              <w:right w:val="single" w:sz="4" w:space="0" w:color="auto"/>
            </w:tcBorders>
          </w:tcPr>
          <w:p w14:paraId="172BBFDC"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046C05EF"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Bradycardia or tachycardia</w:t>
            </w:r>
          </w:p>
        </w:tc>
      </w:tr>
      <w:tr w:rsidR="00414588" w14:paraId="0A28A903" w14:textId="77777777" w:rsidTr="00615C72">
        <w:tc>
          <w:tcPr>
            <w:tcW w:w="3006" w:type="dxa"/>
            <w:tcBorders>
              <w:right w:val="single" w:sz="4" w:space="0" w:color="auto"/>
            </w:tcBorders>
          </w:tcPr>
          <w:p w14:paraId="24526B51"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Tremor</w:t>
            </w:r>
          </w:p>
        </w:tc>
        <w:tc>
          <w:tcPr>
            <w:tcW w:w="3006" w:type="dxa"/>
            <w:tcBorders>
              <w:top w:val="nil"/>
              <w:left w:val="single" w:sz="4" w:space="0" w:color="auto"/>
              <w:bottom w:val="nil"/>
              <w:right w:val="single" w:sz="4" w:space="0" w:color="auto"/>
            </w:tcBorders>
          </w:tcPr>
          <w:p w14:paraId="08EBCCAF"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59180946"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Palpitations</w:t>
            </w:r>
          </w:p>
        </w:tc>
      </w:tr>
      <w:tr w:rsidR="00414588" w14:paraId="4C4AAAE9" w14:textId="77777777" w:rsidTr="00615C72">
        <w:tc>
          <w:tcPr>
            <w:tcW w:w="3006" w:type="dxa"/>
            <w:tcBorders>
              <w:right w:val="single" w:sz="4" w:space="0" w:color="auto"/>
            </w:tcBorders>
          </w:tcPr>
          <w:p w14:paraId="54E87EC0"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Hyperreflexia</w:t>
            </w:r>
          </w:p>
        </w:tc>
        <w:tc>
          <w:tcPr>
            <w:tcW w:w="3006" w:type="dxa"/>
            <w:tcBorders>
              <w:top w:val="nil"/>
              <w:left w:val="single" w:sz="4" w:space="0" w:color="auto"/>
              <w:bottom w:val="nil"/>
              <w:right w:val="single" w:sz="4" w:space="0" w:color="auto"/>
            </w:tcBorders>
          </w:tcPr>
          <w:p w14:paraId="76538176"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7C9A736A"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Headache</w:t>
            </w:r>
          </w:p>
        </w:tc>
      </w:tr>
      <w:tr w:rsidR="00414588" w14:paraId="02AADC78" w14:textId="77777777" w:rsidTr="00615C72">
        <w:tc>
          <w:tcPr>
            <w:tcW w:w="3006" w:type="dxa"/>
            <w:tcBorders>
              <w:right w:val="single" w:sz="4" w:space="0" w:color="auto"/>
            </w:tcBorders>
          </w:tcPr>
          <w:p w14:paraId="678B7ACB"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Elevated temperature</w:t>
            </w:r>
          </w:p>
        </w:tc>
        <w:tc>
          <w:tcPr>
            <w:tcW w:w="3006" w:type="dxa"/>
            <w:tcBorders>
              <w:top w:val="nil"/>
              <w:left w:val="single" w:sz="4" w:space="0" w:color="auto"/>
              <w:bottom w:val="nil"/>
              <w:right w:val="single" w:sz="4" w:space="0" w:color="auto"/>
            </w:tcBorders>
          </w:tcPr>
          <w:p w14:paraId="6CF2A8E4"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3446294A"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Nausea and/or vomiting</w:t>
            </w:r>
          </w:p>
        </w:tc>
      </w:tr>
      <w:tr w:rsidR="00414588" w14:paraId="4D68693D" w14:textId="77777777" w:rsidTr="00615C72">
        <w:tc>
          <w:tcPr>
            <w:tcW w:w="3006" w:type="dxa"/>
            <w:tcBorders>
              <w:right w:val="single" w:sz="4" w:space="0" w:color="auto"/>
            </w:tcBorders>
          </w:tcPr>
          <w:p w14:paraId="6FD8A03D"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Involuntary muscle contractions (clonus)</w:t>
            </w:r>
          </w:p>
        </w:tc>
        <w:tc>
          <w:tcPr>
            <w:tcW w:w="3006" w:type="dxa"/>
            <w:tcBorders>
              <w:top w:val="nil"/>
              <w:left w:val="single" w:sz="4" w:space="0" w:color="auto"/>
              <w:bottom w:val="nil"/>
              <w:right w:val="single" w:sz="4" w:space="0" w:color="auto"/>
            </w:tcBorders>
          </w:tcPr>
          <w:p w14:paraId="64882A4A"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56CB3977"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Neck pain or stiffness</w:t>
            </w:r>
          </w:p>
        </w:tc>
      </w:tr>
      <w:tr w:rsidR="00414588" w14:paraId="576B4BED" w14:textId="77777777" w:rsidTr="00615C72">
        <w:tc>
          <w:tcPr>
            <w:tcW w:w="3006" w:type="dxa"/>
            <w:tcBorders>
              <w:right w:val="single" w:sz="4" w:space="0" w:color="auto"/>
            </w:tcBorders>
          </w:tcPr>
          <w:p w14:paraId="399A2F4A"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Increased muscle tone and rigidity (hypertonia)</w:t>
            </w:r>
          </w:p>
        </w:tc>
        <w:tc>
          <w:tcPr>
            <w:tcW w:w="3006" w:type="dxa"/>
            <w:tcBorders>
              <w:top w:val="nil"/>
              <w:left w:val="single" w:sz="4" w:space="0" w:color="auto"/>
              <w:bottom w:val="nil"/>
              <w:right w:val="single" w:sz="4" w:space="0" w:color="auto"/>
            </w:tcBorders>
          </w:tcPr>
          <w:p w14:paraId="6B14F376"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1DCCDDF2"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Excessive sweating</w:t>
            </w:r>
          </w:p>
        </w:tc>
      </w:tr>
      <w:tr w:rsidR="00414588" w14:paraId="410DAB50" w14:textId="77777777" w:rsidTr="00615C72">
        <w:tc>
          <w:tcPr>
            <w:tcW w:w="3006" w:type="dxa"/>
            <w:tcBorders>
              <w:right w:val="single" w:sz="4" w:space="0" w:color="auto"/>
            </w:tcBorders>
          </w:tcPr>
          <w:p w14:paraId="4A4CBA15" w14:textId="77777777" w:rsidR="00414588" w:rsidRDefault="00414588" w:rsidP="00615C72">
            <w:pPr>
              <w:spacing w:line="480" w:lineRule="auto"/>
              <w:rPr>
                <w:rFonts w:ascii="Times New Roman" w:hAnsi="Times New Roman" w:cs="Times New Roman"/>
                <w:sz w:val="24"/>
                <w:szCs w:val="24"/>
              </w:rPr>
            </w:pPr>
          </w:p>
        </w:tc>
        <w:tc>
          <w:tcPr>
            <w:tcW w:w="3006" w:type="dxa"/>
            <w:tcBorders>
              <w:top w:val="nil"/>
              <w:left w:val="single" w:sz="4" w:space="0" w:color="auto"/>
              <w:bottom w:val="nil"/>
              <w:right w:val="single" w:sz="4" w:space="0" w:color="auto"/>
            </w:tcBorders>
          </w:tcPr>
          <w:p w14:paraId="7C8BA28C"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13E7DCC8" w14:textId="0267EAA7" w:rsidR="00414588" w:rsidRDefault="00414588" w:rsidP="008A6039">
            <w:pPr>
              <w:spacing w:line="480" w:lineRule="auto"/>
              <w:rPr>
                <w:rFonts w:ascii="Times New Roman" w:hAnsi="Times New Roman" w:cs="Times New Roman"/>
                <w:sz w:val="24"/>
                <w:szCs w:val="24"/>
              </w:rPr>
            </w:pPr>
            <w:r>
              <w:rPr>
                <w:rFonts w:ascii="Times New Roman" w:hAnsi="Times New Roman" w:cs="Times New Roman"/>
                <w:sz w:val="24"/>
                <w:szCs w:val="24"/>
              </w:rPr>
              <w:t>Ocular system changes such as photophobia or dilated pupils</w:t>
            </w:r>
          </w:p>
        </w:tc>
      </w:tr>
      <w:tr w:rsidR="00414588" w14:paraId="1ABA8EEC" w14:textId="77777777" w:rsidTr="00615C72">
        <w:tc>
          <w:tcPr>
            <w:tcW w:w="3006" w:type="dxa"/>
            <w:tcBorders>
              <w:right w:val="single" w:sz="4" w:space="0" w:color="auto"/>
            </w:tcBorders>
          </w:tcPr>
          <w:p w14:paraId="447200EB" w14:textId="77777777" w:rsidR="00414588" w:rsidRDefault="00414588" w:rsidP="00615C72">
            <w:pPr>
              <w:spacing w:line="480" w:lineRule="auto"/>
              <w:rPr>
                <w:rFonts w:ascii="Times New Roman" w:hAnsi="Times New Roman" w:cs="Times New Roman"/>
                <w:sz w:val="24"/>
                <w:szCs w:val="24"/>
              </w:rPr>
            </w:pPr>
          </w:p>
        </w:tc>
        <w:tc>
          <w:tcPr>
            <w:tcW w:w="3006" w:type="dxa"/>
            <w:tcBorders>
              <w:top w:val="nil"/>
              <w:left w:val="single" w:sz="4" w:space="0" w:color="auto"/>
              <w:bottom w:val="nil"/>
              <w:right w:val="single" w:sz="4" w:space="0" w:color="auto"/>
            </w:tcBorders>
          </w:tcPr>
          <w:p w14:paraId="6499FD94" w14:textId="77777777" w:rsidR="00414588" w:rsidRDefault="00414588" w:rsidP="00615C72">
            <w:pPr>
              <w:spacing w:line="480" w:lineRule="auto"/>
              <w:rPr>
                <w:rFonts w:ascii="Times New Roman" w:hAnsi="Times New Roman" w:cs="Times New Roman"/>
                <w:sz w:val="24"/>
                <w:szCs w:val="24"/>
              </w:rPr>
            </w:pPr>
          </w:p>
        </w:tc>
        <w:tc>
          <w:tcPr>
            <w:tcW w:w="3007" w:type="dxa"/>
            <w:tcBorders>
              <w:left w:val="single" w:sz="4" w:space="0" w:color="auto"/>
            </w:tcBorders>
          </w:tcPr>
          <w:p w14:paraId="02A1F82D" w14:textId="77777777" w:rsidR="00414588" w:rsidRDefault="00414588" w:rsidP="00615C72">
            <w:pPr>
              <w:spacing w:line="480" w:lineRule="auto"/>
              <w:rPr>
                <w:rFonts w:ascii="Times New Roman" w:hAnsi="Times New Roman" w:cs="Times New Roman"/>
                <w:sz w:val="24"/>
                <w:szCs w:val="24"/>
              </w:rPr>
            </w:pPr>
            <w:r>
              <w:rPr>
                <w:rFonts w:ascii="Times New Roman" w:hAnsi="Times New Roman" w:cs="Times New Roman"/>
                <w:sz w:val="24"/>
                <w:szCs w:val="24"/>
              </w:rPr>
              <w:t>Chest pain</w:t>
            </w:r>
          </w:p>
        </w:tc>
      </w:tr>
    </w:tbl>
    <w:p w14:paraId="0209AC89" w14:textId="77777777" w:rsidR="00414588" w:rsidRDefault="00414588" w:rsidP="00414588">
      <w:pPr>
        <w:spacing w:line="480" w:lineRule="auto"/>
        <w:rPr>
          <w:rFonts w:ascii="Times New Roman" w:hAnsi="Times New Roman" w:cs="Times New Roman"/>
          <w:sz w:val="24"/>
          <w:szCs w:val="24"/>
        </w:rPr>
      </w:pPr>
    </w:p>
    <w:p w14:paraId="482CC21C" w14:textId="77777777" w:rsidR="00414588" w:rsidRDefault="00414588" w:rsidP="00414588">
      <w:pPr>
        <w:spacing w:line="480" w:lineRule="auto"/>
        <w:rPr>
          <w:rFonts w:ascii="Times New Roman" w:hAnsi="Times New Roman" w:cs="Times New Roman"/>
          <w:sz w:val="24"/>
          <w:szCs w:val="24"/>
        </w:rPr>
      </w:pPr>
    </w:p>
    <w:p w14:paraId="781F8ACE" w14:textId="77777777" w:rsidR="00414588" w:rsidRPr="00E62BC4" w:rsidRDefault="00414588" w:rsidP="00414588">
      <w:pPr>
        <w:spacing w:line="480" w:lineRule="auto"/>
        <w:rPr>
          <w:rFonts w:ascii="Times New Roman" w:hAnsi="Times New Roman" w:cs="Times New Roman"/>
          <w:sz w:val="24"/>
          <w:szCs w:val="24"/>
        </w:rPr>
      </w:pPr>
    </w:p>
    <w:p w14:paraId="7F1B5EF6" w14:textId="34F7FDB2" w:rsidR="00414588" w:rsidRDefault="00414588">
      <w:pPr>
        <w:rPr>
          <w:rFonts w:ascii="Lucida Sans" w:eastAsia="Times" w:hAnsi="Lucida Sans" w:cs="Times New Roman"/>
          <w:sz w:val="18"/>
          <w:szCs w:val="18"/>
        </w:rPr>
      </w:pPr>
      <w:r>
        <w:rPr>
          <w:rFonts w:ascii="Lucida Sans" w:eastAsia="Times" w:hAnsi="Lucida Sans" w:cs="Times New Roman"/>
          <w:sz w:val="18"/>
          <w:szCs w:val="18"/>
        </w:rPr>
        <w:br w:type="page"/>
      </w:r>
    </w:p>
    <w:p w14:paraId="4B7F6535" w14:textId="67A1BBB1" w:rsidR="00414588" w:rsidRPr="00E62BC4" w:rsidRDefault="00414588" w:rsidP="00414588">
      <w:pPr>
        <w:spacing w:line="480" w:lineRule="auto"/>
        <w:rPr>
          <w:rFonts w:ascii="Times New Roman" w:hAnsi="Times New Roman" w:cs="Times New Roman"/>
          <w:b/>
          <w:i/>
          <w:sz w:val="24"/>
          <w:szCs w:val="24"/>
        </w:rPr>
      </w:pPr>
      <w:r w:rsidRPr="00E62BC4">
        <w:rPr>
          <w:rFonts w:ascii="Times New Roman" w:hAnsi="Times New Roman" w:cs="Times New Roman"/>
          <w:b/>
          <w:i/>
          <w:sz w:val="24"/>
          <w:szCs w:val="24"/>
        </w:rPr>
        <w:t>Table</w:t>
      </w:r>
      <w:r>
        <w:rPr>
          <w:rFonts w:ascii="Times New Roman" w:hAnsi="Times New Roman" w:cs="Times New Roman"/>
          <w:b/>
          <w:i/>
          <w:sz w:val="24"/>
          <w:szCs w:val="24"/>
        </w:rPr>
        <w:t xml:space="preserve"> </w:t>
      </w:r>
      <w:r w:rsidR="00FE5372">
        <w:rPr>
          <w:rFonts w:ascii="Times New Roman" w:hAnsi="Times New Roman" w:cs="Times New Roman"/>
          <w:b/>
          <w:i/>
          <w:sz w:val="24"/>
          <w:szCs w:val="24"/>
        </w:rPr>
        <w:t>2</w:t>
      </w:r>
      <w:r w:rsidRPr="00E62BC4">
        <w:rPr>
          <w:rFonts w:ascii="Times New Roman" w:hAnsi="Times New Roman" w:cs="Times New Roman"/>
          <w:b/>
          <w:i/>
          <w:sz w:val="24"/>
          <w:szCs w:val="24"/>
        </w:rPr>
        <w:t xml:space="preserve">. </w:t>
      </w:r>
      <w:r w:rsidRPr="00E62BC4">
        <w:rPr>
          <w:rFonts w:ascii="Times New Roman" w:hAnsi="Times New Roman" w:cs="Times New Roman"/>
          <w:i/>
          <w:sz w:val="24"/>
          <w:szCs w:val="24"/>
        </w:rPr>
        <w:t>Foods/drinks to avoid, and those that are allowed, in people taking MAOI. Table reprinted and adapted with permission of the authors from the Sunnybrook Health Sciences Centre</w:t>
      </w:r>
      <w:r>
        <w:rPr>
          <w:rFonts w:ascii="Times New Roman" w:hAnsi="Times New Roman" w:cs="Times New Roman"/>
          <w:i/>
          <w:sz w:val="24"/>
          <w:szCs w:val="24"/>
        </w:rPr>
        <w:t>.</w:t>
      </w:r>
    </w:p>
    <w:p w14:paraId="715A8083" w14:textId="77777777" w:rsidR="00414588" w:rsidRPr="00E62BC4" w:rsidRDefault="00414588" w:rsidP="00414588">
      <w:pPr>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4508"/>
        <w:gridCol w:w="4508"/>
      </w:tblGrid>
      <w:tr w:rsidR="00414588" w:rsidRPr="00E62BC4" w14:paraId="6845C3E7" w14:textId="77777777" w:rsidTr="00615C72">
        <w:tc>
          <w:tcPr>
            <w:tcW w:w="4508" w:type="dxa"/>
          </w:tcPr>
          <w:p w14:paraId="38010EC3" w14:textId="77777777" w:rsidR="00414588" w:rsidRPr="00E62BC4" w:rsidRDefault="00414588" w:rsidP="00615C72">
            <w:pPr>
              <w:rPr>
                <w:rFonts w:ascii="Times New Roman" w:hAnsi="Times New Roman" w:cs="Times New Roman"/>
                <w:b/>
                <w:sz w:val="24"/>
                <w:szCs w:val="24"/>
              </w:rPr>
            </w:pPr>
            <w:r w:rsidRPr="00E62BC4">
              <w:rPr>
                <w:rFonts w:ascii="Times New Roman" w:hAnsi="Times New Roman" w:cs="Times New Roman"/>
                <w:b/>
                <w:sz w:val="24"/>
                <w:szCs w:val="24"/>
              </w:rPr>
              <w:t>Foods and drinks to avoid</w:t>
            </w:r>
          </w:p>
        </w:tc>
        <w:tc>
          <w:tcPr>
            <w:tcW w:w="4508" w:type="dxa"/>
          </w:tcPr>
          <w:p w14:paraId="1BA01B58" w14:textId="77777777" w:rsidR="00414588" w:rsidRPr="00E62BC4" w:rsidRDefault="00414588" w:rsidP="00615C72">
            <w:pPr>
              <w:rPr>
                <w:rFonts w:ascii="Times New Roman" w:hAnsi="Times New Roman" w:cs="Times New Roman"/>
                <w:b/>
                <w:sz w:val="24"/>
                <w:szCs w:val="24"/>
              </w:rPr>
            </w:pPr>
            <w:r w:rsidRPr="00E62BC4">
              <w:rPr>
                <w:rFonts w:ascii="Times New Roman" w:hAnsi="Times New Roman" w:cs="Times New Roman"/>
                <w:b/>
                <w:sz w:val="24"/>
                <w:szCs w:val="24"/>
              </w:rPr>
              <w:t>Foods and drinks allowed</w:t>
            </w:r>
          </w:p>
        </w:tc>
      </w:tr>
      <w:tr w:rsidR="00414588" w:rsidRPr="00E62BC4" w14:paraId="3F5DC712" w14:textId="77777777" w:rsidTr="00615C72">
        <w:tc>
          <w:tcPr>
            <w:tcW w:w="4508" w:type="dxa"/>
          </w:tcPr>
          <w:p w14:paraId="577952F4" w14:textId="77777777" w:rsidR="00414588" w:rsidRPr="00E62BC4" w:rsidRDefault="00414588" w:rsidP="00615C72">
            <w:pPr>
              <w:rPr>
                <w:rFonts w:ascii="Times New Roman" w:hAnsi="Times New Roman" w:cs="Times New Roman"/>
                <w:i/>
                <w:sz w:val="24"/>
                <w:szCs w:val="24"/>
                <w:u w:val="single"/>
              </w:rPr>
            </w:pPr>
            <w:r w:rsidRPr="00E62BC4">
              <w:rPr>
                <w:rFonts w:ascii="Times New Roman" w:hAnsi="Times New Roman" w:cs="Times New Roman"/>
                <w:i/>
                <w:sz w:val="24"/>
                <w:szCs w:val="24"/>
                <w:u w:val="single"/>
              </w:rPr>
              <w:t>Cheese</w:t>
            </w:r>
          </w:p>
        </w:tc>
        <w:tc>
          <w:tcPr>
            <w:tcW w:w="4508" w:type="dxa"/>
          </w:tcPr>
          <w:p w14:paraId="647032E7" w14:textId="77777777" w:rsidR="00414588" w:rsidRPr="00E62BC4" w:rsidRDefault="00414588" w:rsidP="00615C72">
            <w:pPr>
              <w:rPr>
                <w:rFonts w:ascii="Times New Roman" w:hAnsi="Times New Roman" w:cs="Times New Roman"/>
                <w:i/>
                <w:sz w:val="24"/>
                <w:szCs w:val="24"/>
                <w:u w:val="single"/>
              </w:rPr>
            </w:pPr>
          </w:p>
        </w:tc>
      </w:tr>
      <w:tr w:rsidR="00414588" w:rsidRPr="00E62BC4" w14:paraId="0EBAF95F" w14:textId="77777777" w:rsidTr="00615C72">
        <w:tc>
          <w:tcPr>
            <w:tcW w:w="4508" w:type="dxa"/>
          </w:tcPr>
          <w:p w14:paraId="0BAAE0BF"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All matured or aged cheese</w:t>
            </w:r>
          </w:p>
        </w:tc>
        <w:tc>
          <w:tcPr>
            <w:tcW w:w="4508" w:type="dxa"/>
          </w:tcPr>
          <w:p w14:paraId="357CC5BF"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Fresh cottage cheese, cream cheese, ricotta cheese, and processed cheese slices. All fresh milk products that have been stored properly (e.g. sour cream, yoghurt, ice cream)</w:t>
            </w:r>
          </w:p>
        </w:tc>
      </w:tr>
      <w:tr w:rsidR="00414588" w:rsidRPr="00E62BC4" w14:paraId="7F8D411B" w14:textId="77777777" w:rsidTr="00615C72">
        <w:tc>
          <w:tcPr>
            <w:tcW w:w="4508" w:type="dxa"/>
          </w:tcPr>
          <w:p w14:paraId="35FD61D7"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All casseroles made with these mature/aged cheeses e.g. lasagne</w:t>
            </w:r>
          </w:p>
        </w:tc>
        <w:tc>
          <w:tcPr>
            <w:tcW w:w="4508" w:type="dxa"/>
          </w:tcPr>
          <w:p w14:paraId="549F5503" w14:textId="77777777" w:rsidR="00414588" w:rsidRPr="00E62BC4" w:rsidRDefault="00414588" w:rsidP="00615C72">
            <w:pPr>
              <w:rPr>
                <w:rFonts w:ascii="Times New Roman" w:hAnsi="Times New Roman" w:cs="Times New Roman"/>
                <w:sz w:val="24"/>
                <w:szCs w:val="24"/>
              </w:rPr>
            </w:pPr>
          </w:p>
        </w:tc>
      </w:tr>
      <w:tr w:rsidR="00414588" w:rsidRPr="00E62BC4" w14:paraId="6F5104E5" w14:textId="77777777" w:rsidTr="00615C72">
        <w:tc>
          <w:tcPr>
            <w:tcW w:w="4508" w:type="dxa"/>
          </w:tcPr>
          <w:p w14:paraId="6907B406"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Please note: all cheeses are considered matured or aged except for those listed opposite</w:t>
            </w:r>
          </w:p>
        </w:tc>
        <w:tc>
          <w:tcPr>
            <w:tcW w:w="4508" w:type="dxa"/>
          </w:tcPr>
          <w:p w14:paraId="679236E6" w14:textId="77777777" w:rsidR="00414588" w:rsidRPr="00E62BC4" w:rsidRDefault="00414588" w:rsidP="00615C72">
            <w:pPr>
              <w:rPr>
                <w:rFonts w:ascii="Times New Roman" w:hAnsi="Times New Roman" w:cs="Times New Roman"/>
                <w:sz w:val="24"/>
                <w:szCs w:val="24"/>
              </w:rPr>
            </w:pPr>
          </w:p>
        </w:tc>
      </w:tr>
      <w:tr w:rsidR="00414588" w:rsidRPr="00E62BC4" w14:paraId="7C989AA2" w14:textId="77777777" w:rsidTr="00615C72">
        <w:tc>
          <w:tcPr>
            <w:tcW w:w="4508" w:type="dxa"/>
          </w:tcPr>
          <w:p w14:paraId="1235C240" w14:textId="77777777" w:rsidR="00414588" w:rsidRPr="00E62BC4" w:rsidRDefault="00414588" w:rsidP="00615C72">
            <w:pPr>
              <w:rPr>
                <w:rFonts w:ascii="Times New Roman" w:hAnsi="Times New Roman" w:cs="Times New Roman"/>
                <w:i/>
                <w:sz w:val="24"/>
                <w:szCs w:val="24"/>
              </w:rPr>
            </w:pPr>
          </w:p>
        </w:tc>
        <w:tc>
          <w:tcPr>
            <w:tcW w:w="4508" w:type="dxa"/>
          </w:tcPr>
          <w:p w14:paraId="3369CADF" w14:textId="77777777" w:rsidR="00414588" w:rsidRPr="00E62BC4" w:rsidRDefault="00414588" w:rsidP="00615C72">
            <w:pPr>
              <w:rPr>
                <w:rFonts w:ascii="Times New Roman" w:hAnsi="Times New Roman" w:cs="Times New Roman"/>
                <w:i/>
                <w:sz w:val="24"/>
                <w:szCs w:val="24"/>
              </w:rPr>
            </w:pPr>
          </w:p>
        </w:tc>
      </w:tr>
      <w:tr w:rsidR="00414588" w:rsidRPr="00E62BC4" w14:paraId="2B9C9CAE" w14:textId="77777777" w:rsidTr="00615C72">
        <w:tc>
          <w:tcPr>
            <w:tcW w:w="4508" w:type="dxa"/>
          </w:tcPr>
          <w:p w14:paraId="05713FF4" w14:textId="77777777" w:rsidR="00414588" w:rsidRPr="00E62BC4" w:rsidRDefault="00414588" w:rsidP="00615C72">
            <w:pPr>
              <w:rPr>
                <w:rFonts w:ascii="Times New Roman" w:hAnsi="Times New Roman" w:cs="Times New Roman"/>
                <w:i/>
                <w:sz w:val="24"/>
                <w:szCs w:val="24"/>
                <w:u w:val="single"/>
              </w:rPr>
            </w:pPr>
            <w:r w:rsidRPr="00E62BC4">
              <w:rPr>
                <w:rFonts w:ascii="Times New Roman" w:hAnsi="Times New Roman" w:cs="Times New Roman"/>
                <w:i/>
                <w:sz w:val="24"/>
                <w:szCs w:val="24"/>
                <w:u w:val="single"/>
              </w:rPr>
              <w:t>Meat, fish, and poultry</w:t>
            </w:r>
          </w:p>
        </w:tc>
        <w:tc>
          <w:tcPr>
            <w:tcW w:w="4508" w:type="dxa"/>
          </w:tcPr>
          <w:p w14:paraId="64AF13EF" w14:textId="77777777" w:rsidR="00414588" w:rsidRPr="00E62BC4" w:rsidRDefault="00414588" w:rsidP="00615C72">
            <w:pPr>
              <w:rPr>
                <w:rFonts w:ascii="Times New Roman" w:hAnsi="Times New Roman" w:cs="Times New Roman"/>
                <w:i/>
                <w:sz w:val="24"/>
                <w:szCs w:val="24"/>
                <w:u w:val="single"/>
              </w:rPr>
            </w:pPr>
          </w:p>
        </w:tc>
      </w:tr>
      <w:tr w:rsidR="00414588" w:rsidRPr="00E62BC4" w14:paraId="6DF8F1BA" w14:textId="77777777" w:rsidTr="00615C72">
        <w:tc>
          <w:tcPr>
            <w:tcW w:w="4508" w:type="dxa"/>
          </w:tcPr>
          <w:p w14:paraId="3233856B"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Fermented/dry sausage: e.g. salami</w:t>
            </w:r>
          </w:p>
        </w:tc>
        <w:tc>
          <w:tcPr>
            <w:tcW w:w="4508" w:type="dxa"/>
          </w:tcPr>
          <w:p w14:paraId="7D923B46"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All fresh packaged or processed meat, fish, or poultry. Store in refrigerator and eat as soon as possible</w:t>
            </w:r>
          </w:p>
        </w:tc>
      </w:tr>
      <w:tr w:rsidR="00414588" w:rsidRPr="00E62BC4" w14:paraId="64FD0250" w14:textId="77777777" w:rsidTr="00615C72">
        <w:tc>
          <w:tcPr>
            <w:tcW w:w="4508" w:type="dxa"/>
          </w:tcPr>
          <w:p w14:paraId="025E4BCF"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Improperly stored meat, fish, or poultry</w:t>
            </w:r>
          </w:p>
        </w:tc>
        <w:tc>
          <w:tcPr>
            <w:tcW w:w="4508" w:type="dxa"/>
          </w:tcPr>
          <w:p w14:paraId="768EF294" w14:textId="77777777" w:rsidR="00414588" w:rsidRPr="00E62BC4" w:rsidRDefault="00414588" w:rsidP="00615C72">
            <w:pPr>
              <w:rPr>
                <w:rFonts w:ascii="Times New Roman" w:hAnsi="Times New Roman" w:cs="Times New Roman"/>
                <w:sz w:val="24"/>
                <w:szCs w:val="24"/>
              </w:rPr>
            </w:pPr>
          </w:p>
        </w:tc>
      </w:tr>
      <w:tr w:rsidR="00414588" w:rsidRPr="00E62BC4" w14:paraId="5ED14F2B" w14:textId="77777777" w:rsidTr="00615C72">
        <w:tc>
          <w:tcPr>
            <w:tcW w:w="4508" w:type="dxa"/>
          </w:tcPr>
          <w:p w14:paraId="594EB338"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Improperly stored pickled herring</w:t>
            </w:r>
          </w:p>
        </w:tc>
        <w:tc>
          <w:tcPr>
            <w:tcW w:w="4508" w:type="dxa"/>
          </w:tcPr>
          <w:p w14:paraId="3B3E445C" w14:textId="77777777" w:rsidR="00414588" w:rsidRPr="00E62BC4" w:rsidRDefault="00414588" w:rsidP="00615C72">
            <w:pPr>
              <w:rPr>
                <w:rFonts w:ascii="Times New Roman" w:hAnsi="Times New Roman" w:cs="Times New Roman"/>
                <w:sz w:val="24"/>
                <w:szCs w:val="24"/>
              </w:rPr>
            </w:pPr>
          </w:p>
        </w:tc>
      </w:tr>
      <w:tr w:rsidR="00414588" w:rsidRPr="00E62BC4" w14:paraId="68777202" w14:textId="77777777" w:rsidTr="00615C72">
        <w:tc>
          <w:tcPr>
            <w:tcW w:w="4508" w:type="dxa"/>
          </w:tcPr>
          <w:p w14:paraId="1ED704FB" w14:textId="77777777" w:rsidR="00414588" w:rsidRPr="00E62BC4" w:rsidRDefault="00414588" w:rsidP="00615C72">
            <w:pPr>
              <w:rPr>
                <w:rFonts w:ascii="Times New Roman" w:hAnsi="Times New Roman" w:cs="Times New Roman"/>
                <w:i/>
                <w:sz w:val="24"/>
                <w:szCs w:val="24"/>
              </w:rPr>
            </w:pPr>
          </w:p>
        </w:tc>
        <w:tc>
          <w:tcPr>
            <w:tcW w:w="4508" w:type="dxa"/>
          </w:tcPr>
          <w:p w14:paraId="39E6DB4A" w14:textId="77777777" w:rsidR="00414588" w:rsidRPr="00E62BC4" w:rsidRDefault="00414588" w:rsidP="00615C72">
            <w:pPr>
              <w:rPr>
                <w:rFonts w:ascii="Times New Roman" w:hAnsi="Times New Roman" w:cs="Times New Roman"/>
                <w:sz w:val="24"/>
                <w:szCs w:val="24"/>
              </w:rPr>
            </w:pPr>
          </w:p>
        </w:tc>
      </w:tr>
      <w:tr w:rsidR="00414588" w:rsidRPr="00E62BC4" w14:paraId="5238ED1B" w14:textId="77777777" w:rsidTr="00615C72">
        <w:tc>
          <w:tcPr>
            <w:tcW w:w="4508" w:type="dxa"/>
          </w:tcPr>
          <w:p w14:paraId="495DA58C" w14:textId="77777777" w:rsidR="00414588" w:rsidRPr="00E62BC4" w:rsidRDefault="00414588" w:rsidP="00615C72">
            <w:pPr>
              <w:rPr>
                <w:rFonts w:ascii="Times New Roman" w:hAnsi="Times New Roman" w:cs="Times New Roman"/>
                <w:i/>
                <w:sz w:val="24"/>
                <w:szCs w:val="24"/>
                <w:u w:val="single"/>
              </w:rPr>
            </w:pPr>
            <w:r w:rsidRPr="00E62BC4">
              <w:rPr>
                <w:rFonts w:ascii="Times New Roman" w:hAnsi="Times New Roman" w:cs="Times New Roman"/>
                <w:i/>
                <w:sz w:val="24"/>
                <w:szCs w:val="24"/>
                <w:u w:val="single"/>
              </w:rPr>
              <w:t>Fruit and vegetables</w:t>
            </w:r>
          </w:p>
        </w:tc>
        <w:tc>
          <w:tcPr>
            <w:tcW w:w="4508" w:type="dxa"/>
          </w:tcPr>
          <w:p w14:paraId="28A4B823" w14:textId="77777777" w:rsidR="00414588" w:rsidRPr="00E62BC4" w:rsidRDefault="00414588" w:rsidP="00615C72">
            <w:pPr>
              <w:rPr>
                <w:rFonts w:ascii="Times New Roman" w:hAnsi="Times New Roman" w:cs="Times New Roman"/>
                <w:sz w:val="24"/>
                <w:szCs w:val="24"/>
                <w:u w:val="single"/>
              </w:rPr>
            </w:pPr>
          </w:p>
        </w:tc>
      </w:tr>
      <w:tr w:rsidR="00414588" w:rsidRPr="00E62BC4" w14:paraId="428C751F" w14:textId="77777777" w:rsidTr="00615C72">
        <w:tc>
          <w:tcPr>
            <w:tcW w:w="4508" w:type="dxa"/>
          </w:tcPr>
          <w:p w14:paraId="6CED0F34"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Fava or broad bean pods</w:t>
            </w:r>
          </w:p>
        </w:tc>
        <w:tc>
          <w:tcPr>
            <w:tcW w:w="4508" w:type="dxa"/>
          </w:tcPr>
          <w:p w14:paraId="5D6D3B65"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Banana pulp</w:t>
            </w:r>
          </w:p>
        </w:tc>
      </w:tr>
      <w:tr w:rsidR="00414588" w:rsidRPr="00E62BC4" w14:paraId="7E2DAF35" w14:textId="77777777" w:rsidTr="00615C72">
        <w:tc>
          <w:tcPr>
            <w:tcW w:w="4508" w:type="dxa"/>
          </w:tcPr>
          <w:p w14:paraId="21760187"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Banana peel</w:t>
            </w:r>
          </w:p>
        </w:tc>
        <w:tc>
          <w:tcPr>
            <w:tcW w:w="4508" w:type="dxa"/>
          </w:tcPr>
          <w:p w14:paraId="472554A9"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All others</w:t>
            </w:r>
          </w:p>
        </w:tc>
      </w:tr>
      <w:tr w:rsidR="00414588" w:rsidRPr="00E62BC4" w14:paraId="0AF2FC2C" w14:textId="77777777" w:rsidTr="00615C72">
        <w:tc>
          <w:tcPr>
            <w:tcW w:w="4508" w:type="dxa"/>
          </w:tcPr>
          <w:p w14:paraId="39A77FF6" w14:textId="77777777" w:rsidR="00414588" w:rsidRPr="00E62BC4" w:rsidRDefault="00414588" w:rsidP="00615C72">
            <w:pPr>
              <w:rPr>
                <w:rFonts w:ascii="Times New Roman" w:hAnsi="Times New Roman" w:cs="Times New Roman"/>
                <w:i/>
                <w:sz w:val="24"/>
                <w:szCs w:val="24"/>
              </w:rPr>
            </w:pPr>
          </w:p>
        </w:tc>
        <w:tc>
          <w:tcPr>
            <w:tcW w:w="4508" w:type="dxa"/>
          </w:tcPr>
          <w:p w14:paraId="69E4D602" w14:textId="77777777" w:rsidR="00414588" w:rsidRPr="00E62BC4" w:rsidRDefault="00414588" w:rsidP="00615C72">
            <w:pPr>
              <w:rPr>
                <w:rFonts w:ascii="Times New Roman" w:hAnsi="Times New Roman" w:cs="Times New Roman"/>
                <w:i/>
                <w:sz w:val="24"/>
                <w:szCs w:val="24"/>
              </w:rPr>
            </w:pPr>
          </w:p>
        </w:tc>
      </w:tr>
      <w:tr w:rsidR="00414588" w:rsidRPr="00E62BC4" w14:paraId="0DE6AA4F" w14:textId="77777777" w:rsidTr="00615C72">
        <w:tc>
          <w:tcPr>
            <w:tcW w:w="4508" w:type="dxa"/>
          </w:tcPr>
          <w:p w14:paraId="26C0D79D" w14:textId="77777777" w:rsidR="00414588" w:rsidRPr="00E62BC4" w:rsidRDefault="00414588" w:rsidP="00615C72">
            <w:pPr>
              <w:rPr>
                <w:rFonts w:ascii="Times New Roman" w:hAnsi="Times New Roman" w:cs="Times New Roman"/>
                <w:i/>
                <w:sz w:val="24"/>
                <w:szCs w:val="24"/>
                <w:u w:val="single"/>
              </w:rPr>
            </w:pPr>
            <w:r w:rsidRPr="00E62BC4">
              <w:rPr>
                <w:rFonts w:ascii="Times New Roman" w:hAnsi="Times New Roman" w:cs="Times New Roman"/>
                <w:i/>
                <w:sz w:val="24"/>
                <w:szCs w:val="24"/>
                <w:u w:val="single"/>
              </w:rPr>
              <w:t>Drinks</w:t>
            </w:r>
          </w:p>
        </w:tc>
        <w:tc>
          <w:tcPr>
            <w:tcW w:w="4508" w:type="dxa"/>
          </w:tcPr>
          <w:p w14:paraId="4F1C5B48" w14:textId="77777777" w:rsidR="00414588" w:rsidRPr="00E62BC4" w:rsidRDefault="00414588" w:rsidP="00615C72">
            <w:pPr>
              <w:rPr>
                <w:rFonts w:ascii="Times New Roman" w:hAnsi="Times New Roman" w:cs="Times New Roman"/>
                <w:i/>
                <w:sz w:val="24"/>
                <w:szCs w:val="24"/>
                <w:u w:val="single"/>
              </w:rPr>
            </w:pPr>
          </w:p>
        </w:tc>
      </w:tr>
      <w:tr w:rsidR="00414588" w:rsidRPr="00E62BC4" w14:paraId="551E9B0F" w14:textId="77777777" w:rsidTr="00615C72">
        <w:tc>
          <w:tcPr>
            <w:tcW w:w="4508" w:type="dxa"/>
          </w:tcPr>
          <w:p w14:paraId="6520414F"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All on-tap beer</w:t>
            </w:r>
          </w:p>
        </w:tc>
        <w:tc>
          <w:tcPr>
            <w:tcW w:w="4508" w:type="dxa"/>
          </w:tcPr>
          <w:p w14:paraId="21765EC6"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 xml:space="preserve">Other alcohol (NB: no more than two bottled or canned beers or two standard glasses of wine per day. This applies also for low alcohol / alcohol free beer). </w:t>
            </w:r>
          </w:p>
        </w:tc>
      </w:tr>
      <w:tr w:rsidR="00414588" w:rsidRPr="00E62BC4" w14:paraId="65DDA13B" w14:textId="77777777" w:rsidTr="00615C72">
        <w:tc>
          <w:tcPr>
            <w:tcW w:w="4508" w:type="dxa"/>
          </w:tcPr>
          <w:p w14:paraId="122F7315" w14:textId="77777777" w:rsidR="00414588" w:rsidRPr="00E62BC4" w:rsidRDefault="00414588" w:rsidP="00615C72">
            <w:pPr>
              <w:rPr>
                <w:rFonts w:ascii="Times New Roman" w:hAnsi="Times New Roman" w:cs="Times New Roman"/>
                <w:i/>
                <w:sz w:val="24"/>
                <w:szCs w:val="24"/>
              </w:rPr>
            </w:pPr>
          </w:p>
        </w:tc>
        <w:tc>
          <w:tcPr>
            <w:tcW w:w="4508" w:type="dxa"/>
          </w:tcPr>
          <w:p w14:paraId="415E9DEF" w14:textId="77777777" w:rsidR="00414588" w:rsidRPr="00E62BC4" w:rsidRDefault="00414588" w:rsidP="00615C72">
            <w:pPr>
              <w:rPr>
                <w:rFonts w:ascii="Times New Roman" w:hAnsi="Times New Roman" w:cs="Times New Roman"/>
                <w:i/>
                <w:sz w:val="24"/>
                <w:szCs w:val="24"/>
              </w:rPr>
            </w:pPr>
          </w:p>
        </w:tc>
      </w:tr>
      <w:tr w:rsidR="00414588" w:rsidRPr="00E62BC4" w14:paraId="69A77C0A" w14:textId="77777777" w:rsidTr="00615C72">
        <w:tc>
          <w:tcPr>
            <w:tcW w:w="4508" w:type="dxa"/>
          </w:tcPr>
          <w:p w14:paraId="027F323F" w14:textId="77777777" w:rsidR="00414588" w:rsidRPr="00E62BC4" w:rsidRDefault="00414588" w:rsidP="00615C72">
            <w:pPr>
              <w:rPr>
                <w:rFonts w:ascii="Times New Roman" w:hAnsi="Times New Roman" w:cs="Times New Roman"/>
                <w:i/>
                <w:sz w:val="24"/>
                <w:szCs w:val="24"/>
                <w:u w:val="single"/>
              </w:rPr>
            </w:pPr>
            <w:r w:rsidRPr="00E62BC4">
              <w:rPr>
                <w:rFonts w:ascii="Times New Roman" w:hAnsi="Times New Roman" w:cs="Times New Roman"/>
                <w:i/>
                <w:sz w:val="24"/>
                <w:szCs w:val="24"/>
                <w:u w:val="single"/>
              </w:rPr>
              <w:t>Miscellaneous</w:t>
            </w:r>
          </w:p>
        </w:tc>
        <w:tc>
          <w:tcPr>
            <w:tcW w:w="4508" w:type="dxa"/>
          </w:tcPr>
          <w:p w14:paraId="64B75E3F" w14:textId="77777777" w:rsidR="00414588" w:rsidRPr="00E62BC4" w:rsidRDefault="00414588" w:rsidP="00615C72">
            <w:pPr>
              <w:rPr>
                <w:rFonts w:ascii="Times New Roman" w:hAnsi="Times New Roman" w:cs="Times New Roman"/>
                <w:i/>
                <w:sz w:val="24"/>
                <w:szCs w:val="24"/>
                <w:u w:val="single"/>
              </w:rPr>
            </w:pPr>
          </w:p>
        </w:tc>
      </w:tr>
      <w:tr w:rsidR="00414588" w:rsidRPr="00E62BC4" w14:paraId="08460A4A" w14:textId="77777777" w:rsidTr="00615C72">
        <w:tc>
          <w:tcPr>
            <w:tcW w:w="4508" w:type="dxa"/>
          </w:tcPr>
          <w:p w14:paraId="594E84B7"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Marmite concentrated yeast extract</w:t>
            </w:r>
          </w:p>
        </w:tc>
        <w:tc>
          <w:tcPr>
            <w:tcW w:w="4508" w:type="dxa"/>
          </w:tcPr>
          <w:p w14:paraId="34464EB3"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Other yeast extract (e.g. brewer’s yeast)</w:t>
            </w:r>
          </w:p>
        </w:tc>
      </w:tr>
      <w:tr w:rsidR="00414588" w:rsidRPr="00E62BC4" w14:paraId="3D45BE03" w14:textId="77777777" w:rsidTr="00615C72">
        <w:tc>
          <w:tcPr>
            <w:tcW w:w="4508" w:type="dxa"/>
          </w:tcPr>
          <w:p w14:paraId="02056385"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Sauerkraut</w:t>
            </w:r>
          </w:p>
        </w:tc>
        <w:tc>
          <w:tcPr>
            <w:tcW w:w="4508" w:type="dxa"/>
          </w:tcPr>
          <w:p w14:paraId="23C7A65B"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Pizza without aged cheeses</w:t>
            </w:r>
          </w:p>
        </w:tc>
      </w:tr>
      <w:tr w:rsidR="00414588" w:rsidRPr="00E62BC4" w14:paraId="19CAFBA7" w14:textId="77777777" w:rsidTr="00615C72">
        <w:tc>
          <w:tcPr>
            <w:tcW w:w="4508" w:type="dxa"/>
          </w:tcPr>
          <w:p w14:paraId="37975879"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Soy sauce and other soy bean condiments</w:t>
            </w:r>
          </w:p>
        </w:tc>
        <w:tc>
          <w:tcPr>
            <w:tcW w:w="4508" w:type="dxa"/>
          </w:tcPr>
          <w:p w14:paraId="4429FC90" w14:textId="77777777" w:rsidR="00414588" w:rsidRPr="00E62BC4" w:rsidRDefault="00414588" w:rsidP="00615C72">
            <w:pPr>
              <w:rPr>
                <w:rFonts w:ascii="Times New Roman" w:hAnsi="Times New Roman" w:cs="Times New Roman"/>
                <w:sz w:val="24"/>
                <w:szCs w:val="24"/>
              </w:rPr>
            </w:pPr>
            <w:r w:rsidRPr="00E62BC4">
              <w:rPr>
                <w:rFonts w:ascii="Times New Roman" w:hAnsi="Times New Roman" w:cs="Times New Roman"/>
                <w:sz w:val="24"/>
                <w:szCs w:val="24"/>
              </w:rPr>
              <w:t>Soy milk, tofu</w:t>
            </w:r>
          </w:p>
        </w:tc>
      </w:tr>
    </w:tbl>
    <w:p w14:paraId="1B24F942" w14:textId="4EB77912" w:rsidR="00414588" w:rsidRDefault="00414588" w:rsidP="00414588">
      <w:pPr>
        <w:rPr>
          <w:rFonts w:ascii="Times New Roman" w:hAnsi="Times New Roman" w:cs="Times New Roman"/>
          <w:b/>
          <w:sz w:val="24"/>
          <w:szCs w:val="24"/>
        </w:rPr>
      </w:pPr>
    </w:p>
    <w:p w14:paraId="6FAC8F50" w14:textId="0885BD36" w:rsidR="00FE5372" w:rsidRDefault="00FE5372" w:rsidP="00414588">
      <w:pPr>
        <w:rPr>
          <w:rFonts w:ascii="Times New Roman" w:hAnsi="Times New Roman" w:cs="Times New Roman"/>
          <w:b/>
          <w:sz w:val="24"/>
          <w:szCs w:val="24"/>
        </w:rPr>
      </w:pPr>
    </w:p>
    <w:p w14:paraId="0DB87359" w14:textId="2B228C5B" w:rsidR="00FE5372" w:rsidRDefault="00FE5372">
      <w:pPr>
        <w:rPr>
          <w:rFonts w:ascii="Times New Roman" w:hAnsi="Times New Roman" w:cs="Times New Roman"/>
          <w:b/>
          <w:sz w:val="24"/>
          <w:szCs w:val="24"/>
        </w:rPr>
      </w:pPr>
      <w:r>
        <w:rPr>
          <w:rFonts w:ascii="Times New Roman" w:hAnsi="Times New Roman" w:cs="Times New Roman"/>
          <w:b/>
          <w:sz w:val="24"/>
          <w:szCs w:val="24"/>
        </w:rPr>
        <w:br w:type="page"/>
      </w:r>
    </w:p>
    <w:p w14:paraId="5C098B47" w14:textId="57AD51A7" w:rsidR="00FE5372" w:rsidRPr="00E62BC4" w:rsidRDefault="00FE5372" w:rsidP="00FE5372">
      <w:pPr>
        <w:spacing w:line="480" w:lineRule="auto"/>
        <w:rPr>
          <w:rFonts w:ascii="Times New Roman" w:hAnsi="Times New Roman" w:cs="Times New Roman"/>
          <w:i/>
          <w:sz w:val="24"/>
          <w:szCs w:val="24"/>
          <w:lang w:val="en-US"/>
        </w:rPr>
      </w:pPr>
      <w:r>
        <w:rPr>
          <w:rFonts w:ascii="Times New Roman" w:hAnsi="Times New Roman" w:cs="Times New Roman"/>
          <w:b/>
          <w:i/>
          <w:sz w:val="24"/>
          <w:szCs w:val="24"/>
          <w:lang w:val="en-US"/>
        </w:rPr>
        <w:t>Table 3</w:t>
      </w:r>
      <w:r w:rsidRPr="00E62BC4">
        <w:rPr>
          <w:rFonts w:ascii="Times New Roman" w:hAnsi="Times New Roman" w:cs="Times New Roman"/>
          <w:i/>
          <w:sz w:val="24"/>
          <w:szCs w:val="24"/>
          <w:lang w:val="en-US"/>
        </w:rPr>
        <w:t xml:space="preserve">. Summary of MAOIs currently listed in the UK British National Formulary (BNF) available for prescription. Note that readers </w:t>
      </w:r>
      <w:r>
        <w:rPr>
          <w:rFonts w:ascii="Times New Roman" w:hAnsi="Times New Roman" w:cs="Times New Roman"/>
          <w:i/>
          <w:sz w:val="24"/>
          <w:szCs w:val="24"/>
          <w:lang w:val="en-US"/>
        </w:rPr>
        <w:t>should</w:t>
      </w:r>
      <w:r w:rsidRPr="00E62BC4">
        <w:rPr>
          <w:rFonts w:ascii="Times New Roman" w:hAnsi="Times New Roman" w:cs="Times New Roman"/>
          <w:i/>
          <w:sz w:val="24"/>
          <w:szCs w:val="24"/>
          <w:lang w:val="en-US"/>
        </w:rPr>
        <w:t xml:space="preserve"> consult local prescribing guidelines to check appropriate dosing</w:t>
      </w:r>
      <w:r>
        <w:rPr>
          <w:rFonts w:ascii="Times New Roman" w:hAnsi="Times New Roman" w:cs="Times New Roman"/>
          <w:i/>
          <w:sz w:val="24"/>
          <w:szCs w:val="24"/>
          <w:lang w:val="en-US"/>
        </w:rPr>
        <w:t xml:space="preserve"> and availability</w:t>
      </w:r>
      <w:r w:rsidRPr="00E62BC4">
        <w:rPr>
          <w:rFonts w:ascii="Times New Roman" w:hAnsi="Times New Roman" w:cs="Times New Roman"/>
          <w:i/>
          <w:sz w:val="24"/>
          <w:szCs w:val="24"/>
          <w:lang w:val="en-US"/>
        </w:rPr>
        <w:t xml:space="preserve">. Dosing </w:t>
      </w:r>
      <w:r>
        <w:rPr>
          <w:rFonts w:ascii="Times New Roman" w:hAnsi="Times New Roman" w:cs="Times New Roman"/>
          <w:i/>
          <w:sz w:val="24"/>
          <w:szCs w:val="24"/>
          <w:lang w:val="en-US"/>
        </w:rPr>
        <w:t xml:space="preserve">suggestions are </w:t>
      </w:r>
      <w:r w:rsidRPr="00E62BC4">
        <w:rPr>
          <w:rFonts w:ascii="Times New Roman" w:hAnsi="Times New Roman" w:cs="Times New Roman"/>
          <w:i/>
          <w:sz w:val="24"/>
          <w:szCs w:val="24"/>
          <w:lang w:val="en-US"/>
        </w:rPr>
        <w:t xml:space="preserve">based on BNF guidelines </w:t>
      </w:r>
      <w:r>
        <w:rPr>
          <w:rFonts w:ascii="Times New Roman" w:hAnsi="Times New Roman" w:cs="Times New Roman"/>
          <w:i/>
          <w:sz w:val="24"/>
          <w:szCs w:val="24"/>
          <w:lang w:val="en-US"/>
        </w:rPr>
        <w:t>and/</w:t>
      </w:r>
      <w:r w:rsidRPr="00E62BC4">
        <w:rPr>
          <w:rFonts w:ascii="Times New Roman" w:hAnsi="Times New Roman" w:cs="Times New Roman"/>
          <w:i/>
          <w:sz w:val="24"/>
          <w:szCs w:val="24"/>
          <w:lang w:val="en-US"/>
        </w:rPr>
        <w:t xml:space="preserve">or established clinical practice. Therapeutic dose refers to during acute psychiatric illnesses; maintenance doses may be lower. </w:t>
      </w:r>
    </w:p>
    <w:tbl>
      <w:tblPr>
        <w:tblStyle w:val="TableGrid"/>
        <w:tblW w:w="0" w:type="auto"/>
        <w:tblLook w:val="04A0" w:firstRow="1" w:lastRow="0" w:firstColumn="1" w:lastColumn="0" w:noHBand="0" w:noVBand="1"/>
      </w:tblPr>
      <w:tblGrid>
        <w:gridCol w:w="1883"/>
        <w:gridCol w:w="1651"/>
        <w:gridCol w:w="1842"/>
        <w:gridCol w:w="1276"/>
        <w:gridCol w:w="1096"/>
        <w:gridCol w:w="1653"/>
      </w:tblGrid>
      <w:tr w:rsidR="00FE5372" w:rsidRPr="00E62BC4" w14:paraId="46A83051" w14:textId="77777777" w:rsidTr="00AD5828">
        <w:tc>
          <w:tcPr>
            <w:tcW w:w="1605" w:type="dxa"/>
          </w:tcPr>
          <w:p w14:paraId="75310279"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Name of MAOI</w:t>
            </w:r>
          </w:p>
        </w:tc>
        <w:tc>
          <w:tcPr>
            <w:tcW w:w="1651" w:type="dxa"/>
          </w:tcPr>
          <w:p w14:paraId="7438DA6F"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Type</w:t>
            </w:r>
          </w:p>
        </w:tc>
        <w:tc>
          <w:tcPr>
            <w:tcW w:w="1842" w:type="dxa"/>
          </w:tcPr>
          <w:p w14:paraId="4420C58A"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Major differentiation points</w:t>
            </w:r>
          </w:p>
        </w:tc>
        <w:tc>
          <w:tcPr>
            <w:tcW w:w="1276" w:type="dxa"/>
          </w:tcPr>
          <w:p w14:paraId="38472AA8"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Current cost in British National Formulary</w:t>
            </w:r>
          </w:p>
        </w:tc>
        <w:tc>
          <w:tcPr>
            <w:tcW w:w="992" w:type="dxa"/>
          </w:tcPr>
          <w:p w14:paraId="1D3C3B9C"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Relative cost to prescribe</w:t>
            </w:r>
          </w:p>
        </w:tc>
        <w:tc>
          <w:tcPr>
            <w:tcW w:w="1653" w:type="dxa"/>
          </w:tcPr>
          <w:p w14:paraId="2AC79B93"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 xml:space="preserve">Suggested dosing in physically healthy non-elderly adults </w:t>
            </w:r>
          </w:p>
        </w:tc>
      </w:tr>
      <w:tr w:rsidR="00FE5372" w:rsidRPr="00E62BC4" w14:paraId="64B1D149" w14:textId="77777777" w:rsidTr="00AD5828">
        <w:tc>
          <w:tcPr>
            <w:tcW w:w="1605" w:type="dxa"/>
          </w:tcPr>
          <w:p w14:paraId="3D526C11"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Tranylcypromine</w:t>
            </w:r>
          </w:p>
        </w:tc>
        <w:tc>
          <w:tcPr>
            <w:tcW w:w="1651" w:type="dxa"/>
          </w:tcPr>
          <w:p w14:paraId="1E089D72"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Irreversible inhibitor of MAO-A and MAO-B</w:t>
            </w:r>
          </w:p>
        </w:tc>
        <w:tc>
          <w:tcPr>
            <w:tcW w:w="1842" w:type="dxa"/>
          </w:tcPr>
          <w:p w14:paraId="4B8CED03"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Greater stimulant-like activity than others.</w:t>
            </w:r>
            <w:r>
              <w:rPr>
                <w:rFonts w:ascii="Times New Roman" w:hAnsi="Times New Roman" w:cs="Times New Roman"/>
                <w:sz w:val="24"/>
                <w:szCs w:val="24"/>
                <w:lang w:val="en-US"/>
              </w:rPr>
              <w:t xml:space="preserve"> Insomnia, nausea, nervousness, elevated blood pressure may be more common. Less likely to lead to weight gain. </w:t>
            </w:r>
          </w:p>
        </w:tc>
        <w:tc>
          <w:tcPr>
            <w:tcW w:w="1276" w:type="dxa"/>
          </w:tcPr>
          <w:p w14:paraId="786D7AAE"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£288.36 / 28 10mg tabs</w:t>
            </w:r>
          </w:p>
        </w:tc>
        <w:tc>
          <w:tcPr>
            <w:tcW w:w="992" w:type="dxa"/>
          </w:tcPr>
          <w:p w14:paraId="1B086950"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w:t>
            </w:r>
          </w:p>
        </w:tc>
        <w:tc>
          <w:tcPr>
            <w:tcW w:w="1653" w:type="dxa"/>
          </w:tcPr>
          <w:p w14:paraId="2CBCDE88"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Initially 10mg twice daily, prior to 3pm. Usual therapeutic dose</w:t>
            </w:r>
            <w:r>
              <w:rPr>
                <w:rFonts w:ascii="Times New Roman" w:hAnsi="Times New Roman" w:cs="Times New Roman"/>
                <w:sz w:val="24"/>
                <w:szCs w:val="24"/>
                <w:lang w:val="en-US"/>
              </w:rPr>
              <w:t xml:space="preserve"> total of</w:t>
            </w:r>
            <w:r w:rsidRPr="00E62BC4">
              <w:rPr>
                <w:rFonts w:ascii="Times New Roman" w:hAnsi="Times New Roman" w:cs="Times New Roman"/>
                <w:sz w:val="24"/>
                <w:szCs w:val="24"/>
                <w:lang w:val="en-US"/>
              </w:rPr>
              <w:t xml:space="preserve"> 20mg to </w:t>
            </w:r>
            <w:r>
              <w:rPr>
                <w:rFonts w:ascii="Times New Roman" w:hAnsi="Times New Roman" w:cs="Times New Roman"/>
                <w:sz w:val="24"/>
                <w:szCs w:val="24"/>
                <w:lang w:val="en-US"/>
              </w:rPr>
              <w:t>60</w:t>
            </w:r>
            <w:r w:rsidRPr="00E62BC4">
              <w:rPr>
                <w:rFonts w:ascii="Times New Roman" w:hAnsi="Times New Roman" w:cs="Times New Roman"/>
                <w:sz w:val="24"/>
                <w:szCs w:val="24"/>
                <w:lang w:val="en-US"/>
              </w:rPr>
              <w:t xml:space="preserve">mg per day in divided doses. </w:t>
            </w:r>
          </w:p>
        </w:tc>
      </w:tr>
      <w:tr w:rsidR="00FE5372" w:rsidRPr="00E62BC4" w14:paraId="437F37F4" w14:textId="77777777" w:rsidTr="00AD5828">
        <w:tc>
          <w:tcPr>
            <w:tcW w:w="1605" w:type="dxa"/>
          </w:tcPr>
          <w:p w14:paraId="14B6BB1C"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Phenelzine</w:t>
            </w:r>
          </w:p>
        </w:tc>
        <w:tc>
          <w:tcPr>
            <w:tcW w:w="1651" w:type="dxa"/>
          </w:tcPr>
          <w:p w14:paraId="4134CFA1"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Irreversible MAO-A inhibitor</w:t>
            </w:r>
          </w:p>
        </w:tc>
        <w:tc>
          <w:tcPr>
            <w:tcW w:w="1842" w:type="dxa"/>
          </w:tcPr>
          <w:p w14:paraId="220E1EA5" w14:textId="77777777" w:rsidR="00FE5372" w:rsidRPr="00E62BC4" w:rsidRDefault="00FE5372" w:rsidP="00AD5828">
            <w:pPr>
              <w:rPr>
                <w:rFonts w:ascii="Times New Roman" w:hAnsi="Times New Roman" w:cs="Times New Roman"/>
                <w:sz w:val="24"/>
                <w:szCs w:val="24"/>
                <w:lang w:val="en-US"/>
              </w:rPr>
            </w:pPr>
            <w:r>
              <w:rPr>
                <w:rFonts w:ascii="Times New Roman" w:hAnsi="Times New Roman" w:cs="Times New Roman"/>
                <w:sz w:val="24"/>
                <w:szCs w:val="24"/>
                <w:lang w:val="en-US"/>
              </w:rPr>
              <w:t xml:space="preserve">Less hepatotoxicity; more common postural hypotension. Higher risk of weight gain. </w:t>
            </w:r>
          </w:p>
        </w:tc>
        <w:tc>
          <w:tcPr>
            <w:tcW w:w="1276" w:type="dxa"/>
          </w:tcPr>
          <w:p w14:paraId="12BA5A8A"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£22.50 / 100 15mg tabs</w:t>
            </w:r>
          </w:p>
        </w:tc>
        <w:tc>
          <w:tcPr>
            <w:tcW w:w="992" w:type="dxa"/>
          </w:tcPr>
          <w:p w14:paraId="12301543"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w:t>
            </w:r>
          </w:p>
        </w:tc>
        <w:tc>
          <w:tcPr>
            <w:tcW w:w="1653" w:type="dxa"/>
          </w:tcPr>
          <w:p w14:paraId="59AC567F"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 xml:space="preserve">Initially 15mg given three times daily (total daily dose 45mg per day). Usual therapeutic dose total 45mg to 60mg per day, given in divided doses. </w:t>
            </w:r>
          </w:p>
        </w:tc>
      </w:tr>
      <w:tr w:rsidR="00FE5372" w:rsidRPr="00E62BC4" w14:paraId="6D58488E" w14:textId="77777777" w:rsidTr="00AD5828">
        <w:tc>
          <w:tcPr>
            <w:tcW w:w="1605" w:type="dxa"/>
          </w:tcPr>
          <w:p w14:paraId="0292621D"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Isocarboxazid</w:t>
            </w:r>
          </w:p>
        </w:tc>
        <w:tc>
          <w:tcPr>
            <w:tcW w:w="1651" w:type="dxa"/>
          </w:tcPr>
          <w:p w14:paraId="44CA972D"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Irreversible MAO-A inhibitor</w:t>
            </w:r>
          </w:p>
        </w:tc>
        <w:tc>
          <w:tcPr>
            <w:tcW w:w="1842" w:type="dxa"/>
          </w:tcPr>
          <w:p w14:paraId="2B166C5F" w14:textId="77777777" w:rsidR="00FE5372" w:rsidRPr="00E62BC4" w:rsidRDefault="00FE5372" w:rsidP="00AD5828">
            <w:pPr>
              <w:rPr>
                <w:rFonts w:ascii="Times New Roman" w:hAnsi="Times New Roman" w:cs="Times New Roman"/>
                <w:sz w:val="24"/>
                <w:szCs w:val="24"/>
                <w:lang w:val="en-US"/>
              </w:rPr>
            </w:pPr>
          </w:p>
        </w:tc>
        <w:tc>
          <w:tcPr>
            <w:tcW w:w="1276" w:type="dxa"/>
          </w:tcPr>
          <w:p w14:paraId="16484CE2"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£217.75 / 56 10mg tabs</w:t>
            </w:r>
          </w:p>
        </w:tc>
        <w:tc>
          <w:tcPr>
            <w:tcW w:w="992" w:type="dxa"/>
          </w:tcPr>
          <w:p w14:paraId="6EBA41CE"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w:t>
            </w:r>
          </w:p>
        </w:tc>
        <w:tc>
          <w:tcPr>
            <w:tcW w:w="1653" w:type="dxa"/>
          </w:tcPr>
          <w:p w14:paraId="7A7B7584"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 xml:space="preserve">Initially 30mg per day in single or divided doses. Usual therapeutic dose 20mg to 40mg per day. </w:t>
            </w:r>
          </w:p>
        </w:tc>
      </w:tr>
      <w:tr w:rsidR="00FE5372" w:rsidRPr="00E62BC4" w14:paraId="5AECCC83" w14:textId="77777777" w:rsidTr="00AD5828">
        <w:tc>
          <w:tcPr>
            <w:tcW w:w="1605" w:type="dxa"/>
          </w:tcPr>
          <w:p w14:paraId="6EE4564F"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Mocolobemide</w:t>
            </w:r>
          </w:p>
        </w:tc>
        <w:tc>
          <w:tcPr>
            <w:tcW w:w="1651" w:type="dxa"/>
          </w:tcPr>
          <w:p w14:paraId="48D0161A"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Reversible MAO-A inhibitor</w:t>
            </w:r>
          </w:p>
        </w:tc>
        <w:tc>
          <w:tcPr>
            <w:tcW w:w="1842" w:type="dxa"/>
          </w:tcPr>
          <w:p w14:paraId="71ECB198"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Potential tolerability advantages</w:t>
            </w:r>
            <w:r>
              <w:rPr>
                <w:rFonts w:ascii="Times New Roman" w:hAnsi="Times New Roman" w:cs="Times New Roman"/>
                <w:sz w:val="24"/>
                <w:szCs w:val="24"/>
                <w:lang w:val="en-US"/>
              </w:rPr>
              <w:t xml:space="preserve">. Theoretical safety advantages due to being reversible.  </w:t>
            </w:r>
          </w:p>
        </w:tc>
        <w:tc>
          <w:tcPr>
            <w:tcW w:w="1276" w:type="dxa"/>
          </w:tcPr>
          <w:p w14:paraId="2065FF5E"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£10.00 / 30 150mg tabs</w:t>
            </w:r>
          </w:p>
        </w:tc>
        <w:tc>
          <w:tcPr>
            <w:tcW w:w="992" w:type="dxa"/>
          </w:tcPr>
          <w:p w14:paraId="04028967"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w:t>
            </w:r>
          </w:p>
        </w:tc>
        <w:tc>
          <w:tcPr>
            <w:tcW w:w="1653" w:type="dxa"/>
          </w:tcPr>
          <w:p w14:paraId="705DD622"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 xml:space="preserve">Initially 300mg per day, in divided doses. Usual therapeutic dose 150mg – 600mg per day. </w:t>
            </w:r>
          </w:p>
        </w:tc>
      </w:tr>
      <w:tr w:rsidR="00FE5372" w:rsidRPr="00E62BC4" w14:paraId="45D2E7D1" w14:textId="77777777" w:rsidTr="00AD5828">
        <w:tc>
          <w:tcPr>
            <w:tcW w:w="1605" w:type="dxa"/>
          </w:tcPr>
          <w:p w14:paraId="496EA8AA"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(Selegiline)</w:t>
            </w:r>
          </w:p>
        </w:tc>
        <w:tc>
          <w:tcPr>
            <w:tcW w:w="1651" w:type="dxa"/>
          </w:tcPr>
          <w:p w14:paraId="35494AE4"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MAO-B inhibitor</w:t>
            </w:r>
          </w:p>
        </w:tc>
        <w:tc>
          <w:tcPr>
            <w:tcW w:w="1842" w:type="dxa"/>
          </w:tcPr>
          <w:p w14:paraId="57CACB18"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Marked MAO-A effects only at higher doses; available in ‘patch’ form in USA for depression (see ‘future directions’)</w:t>
            </w:r>
          </w:p>
        </w:tc>
        <w:tc>
          <w:tcPr>
            <w:tcW w:w="1276" w:type="dxa"/>
          </w:tcPr>
          <w:p w14:paraId="19DE2F63"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£32.23 / 100 10mg tabs</w:t>
            </w:r>
          </w:p>
        </w:tc>
        <w:tc>
          <w:tcPr>
            <w:tcW w:w="992" w:type="dxa"/>
          </w:tcPr>
          <w:p w14:paraId="7BCCB05E"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w:t>
            </w:r>
          </w:p>
        </w:tc>
        <w:tc>
          <w:tcPr>
            <w:tcW w:w="1653" w:type="dxa"/>
          </w:tcPr>
          <w:p w14:paraId="76970A52"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 xml:space="preserve">Initially 10mg in the morning, then increasing in 10mg steps cautiously, at least one week between dose increases. </w:t>
            </w:r>
          </w:p>
          <w:p w14:paraId="1B73D584" w14:textId="77777777" w:rsidR="00FE5372" w:rsidRPr="00E62BC4" w:rsidRDefault="00FE5372" w:rsidP="00AD5828">
            <w:pPr>
              <w:rPr>
                <w:rFonts w:ascii="Times New Roman" w:hAnsi="Times New Roman" w:cs="Times New Roman"/>
                <w:sz w:val="24"/>
                <w:szCs w:val="24"/>
                <w:lang w:val="en-US"/>
              </w:rPr>
            </w:pPr>
            <w:r w:rsidRPr="00E62BC4">
              <w:rPr>
                <w:rFonts w:ascii="Times New Roman" w:hAnsi="Times New Roman" w:cs="Times New Roman"/>
                <w:sz w:val="24"/>
                <w:szCs w:val="24"/>
                <w:lang w:val="en-US"/>
              </w:rPr>
              <w:t xml:space="preserve">Usual therapeutic dose for depression 30mg to 60mg per day. </w:t>
            </w:r>
          </w:p>
        </w:tc>
      </w:tr>
    </w:tbl>
    <w:p w14:paraId="471425FA" w14:textId="77777777" w:rsidR="00FE5372" w:rsidRPr="00E62BC4" w:rsidRDefault="00FE5372" w:rsidP="00FE5372">
      <w:pPr>
        <w:rPr>
          <w:rFonts w:ascii="Times New Roman" w:hAnsi="Times New Roman" w:cs="Times New Roman"/>
          <w:sz w:val="24"/>
          <w:szCs w:val="24"/>
          <w:lang w:val="en-US"/>
        </w:rPr>
      </w:pPr>
    </w:p>
    <w:p w14:paraId="676F4AF5" w14:textId="77777777" w:rsidR="00FE5372" w:rsidRPr="00E62BC4" w:rsidRDefault="00FE5372" w:rsidP="00414588">
      <w:pPr>
        <w:rPr>
          <w:rFonts w:ascii="Times New Roman" w:hAnsi="Times New Roman" w:cs="Times New Roman"/>
          <w:b/>
          <w:sz w:val="24"/>
          <w:szCs w:val="24"/>
        </w:rPr>
      </w:pPr>
    </w:p>
    <w:p w14:paraId="28CC6ED5" w14:textId="25D7BF26" w:rsidR="00414588" w:rsidRDefault="00414588">
      <w:pPr>
        <w:rPr>
          <w:rFonts w:ascii="Lucida Sans" w:eastAsia="Times" w:hAnsi="Lucida Sans" w:cs="Times New Roman"/>
          <w:sz w:val="18"/>
          <w:szCs w:val="18"/>
        </w:rPr>
      </w:pPr>
      <w:r>
        <w:rPr>
          <w:rFonts w:ascii="Lucida Sans" w:eastAsia="Times" w:hAnsi="Lucida Sans" w:cs="Times New Roman"/>
          <w:sz w:val="18"/>
          <w:szCs w:val="18"/>
        </w:rPr>
        <w:br w:type="page"/>
      </w:r>
    </w:p>
    <w:p w14:paraId="3BFF8D76" w14:textId="77777777" w:rsidR="00414588" w:rsidRPr="00E62BC4" w:rsidRDefault="00414588" w:rsidP="00414588">
      <w:pPr>
        <w:spacing w:line="480" w:lineRule="auto"/>
        <w:rPr>
          <w:rFonts w:ascii="Times New Roman" w:hAnsi="Times New Roman" w:cs="Times New Roman"/>
          <w:sz w:val="24"/>
          <w:szCs w:val="24"/>
          <w:lang w:val="en-US"/>
        </w:rPr>
      </w:pPr>
      <w:r w:rsidRPr="00E62BC4">
        <w:rPr>
          <w:rFonts w:ascii="Times New Roman" w:hAnsi="Times New Roman" w:cs="Times New Roman"/>
          <w:noProof/>
          <w:sz w:val="24"/>
          <w:szCs w:val="24"/>
        </w:rPr>
        <w:drawing>
          <wp:inline distT="0" distB="0" distL="0" distR="0" wp14:anchorId="75DADDAF" wp14:editId="687775E3">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5E2B8DD" w14:textId="77777777" w:rsidR="00414588" w:rsidRPr="00E62BC4" w:rsidRDefault="00414588" w:rsidP="00414588">
      <w:pPr>
        <w:spacing w:line="480" w:lineRule="auto"/>
        <w:rPr>
          <w:rFonts w:ascii="Times New Roman" w:hAnsi="Times New Roman" w:cs="Times New Roman"/>
          <w:i/>
          <w:sz w:val="24"/>
          <w:szCs w:val="24"/>
          <w:lang w:val="en-US"/>
        </w:rPr>
      </w:pPr>
      <w:r w:rsidRPr="00E62BC4">
        <w:rPr>
          <w:rFonts w:ascii="Times New Roman" w:hAnsi="Times New Roman" w:cs="Times New Roman"/>
          <w:b/>
          <w:i/>
          <w:sz w:val="24"/>
          <w:szCs w:val="24"/>
          <w:lang w:val="en-US"/>
        </w:rPr>
        <w:t>Figure 1</w:t>
      </w:r>
      <w:r w:rsidRPr="00E62BC4">
        <w:rPr>
          <w:rFonts w:ascii="Times New Roman" w:hAnsi="Times New Roman" w:cs="Times New Roman"/>
          <w:i/>
          <w:sz w:val="24"/>
          <w:szCs w:val="24"/>
          <w:lang w:val="en-US"/>
        </w:rPr>
        <w:t xml:space="preserve">. PubMed search for articles of type ‘clinical trial’ using search terms (monoamine oxidase inhibitor) and (depression OR anxiety OR PTSD). The Y-Axis shows the number of articles identified for each year (X-Axis). The graph exemplifies the decline of research into existing and new MAOIs for such psychiatric indications. </w:t>
      </w:r>
    </w:p>
    <w:p w14:paraId="60CCDDDC" w14:textId="197EB7FE" w:rsidR="00414588" w:rsidRDefault="00414588">
      <w:pPr>
        <w:rPr>
          <w:rFonts w:ascii="Lucida Sans" w:eastAsia="Times" w:hAnsi="Lucida Sans" w:cs="Times New Roman"/>
          <w:sz w:val="18"/>
          <w:szCs w:val="18"/>
        </w:rPr>
      </w:pPr>
      <w:r>
        <w:rPr>
          <w:rFonts w:ascii="Lucida Sans" w:eastAsia="Times" w:hAnsi="Lucida Sans" w:cs="Times New Roman"/>
          <w:sz w:val="18"/>
          <w:szCs w:val="18"/>
        </w:rPr>
        <w:br w:type="page"/>
      </w:r>
    </w:p>
    <w:p w14:paraId="131E57F4" w14:textId="77777777" w:rsidR="00414588" w:rsidRPr="00E62BC4" w:rsidRDefault="00414588" w:rsidP="00414588">
      <w:pPr>
        <w:spacing w:line="480" w:lineRule="auto"/>
        <w:rPr>
          <w:rFonts w:ascii="Times New Roman" w:hAnsi="Times New Roman" w:cs="Times New Roman"/>
          <w:sz w:val="24"/>
          <w:szCs w:val="24"/>
        </w:rPr>
      </w:pPr>
    </w:p>
    <w:p w14:paraId="0E20F8BF" w14:textId="77777777" w:rsidR="00414588" w:rsidRPr="00E62BC4" w:rsidRDefault="00414588" w:rsidP="00414588">
      <w:pPr>
        <w:spacing w:line="480" w:lineRule="auto"/>
        <w:rPr>
          <w:rFonts w:ascii="Times New Roman" w:hAnsi="Times New Roman" w:cs="Times New Roman"/>
          <w:sz w:val="24"/>
          <w:szCs w:val="24"/>
        </w:rPr>
      </w:pPr>
      <w:r w:rsidRPr="00E62BC4">
        <w:rPr>
          <w:rFonts w:ascii="Times New Roman" w:hAnsi="Times New Roman" w:cs="Times New Roman"/>
          <w:noProof/>
          <w:sz w:val="24"/>
          <w:szCs w:val="24"/>
        </w:rPr>
        <w:drawing>
          <wp:inline distT="0" distB="0" distL="0" distR="0" wp14:anchorId="11D0580A" wp14:editId="00CE2C89">
            <wp:extent cx="5591175" cy="3123565"/>
            <wp:effectExtent l="0" t="0" r="9525" b="635"/>
            <wp:docPr id="1" name="Picture 1" descr="https://stahlonline.cambridge.org/content/ep4/images/02598fig7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hlonline.cambridge.org/content/ep4/images/02598fig7_5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7" t="487" r="933" b="59594"/>
                    <a:stretch/>
                  </pic:blipFill>
                  <pic:spPr bwMode="auto">
                    <a:xfrm>
                      <a:off x="0" y="0"/>
                      <a:ext cx="5592360" cy="3124227"/>
                    </a:xfrm>
                    <a:prstGeom prst="rect">
                      <a:avLst/>
                    </a:prstGeom>
                    <a:noFill/>
                    <a:ln>
                      <a:noFill/>
                    </a:ln>
                    <a:extLst>
                      <a:ext uri="{53640926-AAD7-44D8-BBD7-CCE9431645EC}">
                        <a14:shadowObscured xmlns:a14="http://schemas.microsoft.com/office/drawing/2010/main"/>
                      </a:ext>
                    </a:extLst>
                  </pic:spPr>
                </pic:pic>
              </a:graphicData>
            </a:graphic>
          </wp:inline>
        </w:drawing>
      </w:r>
    </w:p>
    <w:p w14:paraId="21F36758" w14:textId="42AA69E4" w:rsidR="00414588" w:rsidRPr="00E62BC4" w:rsidRDefault="00414588" w:rsidP="00414588">
      <w:pPr>
        <w:spacing w:line="480" w:lineRule="auto"/>
        <w:rPr>
          <w:rFonts w:ascii="Times New Roman" w:hAnsi="Times New Roman" w:cs="Times New Roman"/>
          <w:i/>
          <w:sz w:val="24"/>
          <w:szCs w:val="24"/>
        </w:rPr>
      </w:pPr>
      <w:r w:rsidRPr="00E62BC4">
        <w:rPr>
          <w:rFonts w:ascii="Times New Roman" w:hAnsi="Times New Roman" w:cs="Times New Roman"/>
          <w:b/>
          <w:i/>
          <w:sz w:val="24"/>
          <w:szCs w:val="24"/>
        </w:rPr>
        <w:t>Figure 2</w:t>
      </w:r>
      <w:r w:rsidRPr="00E62BC4">
        <w:rPr>
          <w:rFonts w:ascii="Times New Roman" w:hAnsi="Times New Roman" w:cs="Times New Roman"/>
          <w:i/>
          <w:sz w:val="24"/>
          <w:szCs w:val="24"/>
        </w:rPr>
        <w:t>. Enzyme MAO-A metabolises serotonin. By blocking this enzyme, MAOIs act to increase serotonin levels (and noradrenaline). MAO-B’s role in breaking down serotonin (and noradrenaline) is much less prominent, because it only does so at high concentrations. From Stahl SM, Stahl’s Essential Psychopharmacology, 3</w:t>
      </w:r>
      <w:r w:rsidRPr="00E62BC4">
        <w:rPr>
          <w:rFonts w:ascii="Times New Roman" w:hAnsi="Times New Roman" w:cs="Times New Roman"/>
          <w:i/>
          <w:sz w:val="24"/>
          <w:szCs w:val="24"/>
          <w:vertAlign w:val="superscript"/>
        </w:rPr>
        <w:t>rd</w:t>
      </w:r>
      <w:r w:rsidRPr="00E62BC4">
        <w:rPr>
          <w:rFonts w:ascii="Times New Roman" w:hAnsi="Times New Roman" w:cs="Times New Roman"/>
          <w:i/>
          <w:sz w:val="24"/>
          <w:szCs w:val="24"/>
        </w:rPr>
        <w:t xml:space="preserve"> edition, New York, 2008, with permission</w:t>
      </w:r>
      <w:r w:rsidR="00EF3C4D">
        <w:rPr>
          <w:rFonts w:ascii="Times New Roman" w:hAnsi="Times New Roman" w:cs="Times New Roman"/>
          <w:i/>
          <w:sz w:val="24"/>
          <w:szCs w:val="24"/>
        </w:rPr>
        <w:t xml:space="preserve"> </w:t>
      </w:r>
      <w:r w:rsidR="00EF3C4D" w:rsidRPr="00CE4BE3">
        <w:rPr>
          <w:rFonts w:ascii="Times New Roman" w:hAnsi="Times New Roman" w:cs="Times New Roman"/>
          <w:iCs/>
          <w:sz w:val="24"/>
          <w:szCs w:val="24"/>
        </w:rPr>
        <w:t>(98)</w:t>
      </w:r>
    </w:p>
    <w:p w14:paraId="0CC1E8BA" w14:textId="19DDEFA6" w:rsidR="00977E54" w:rsidRPr="006F0C0A" w:rsidRDefault="00977E54" w:rsidP="00414588">
      <w:pPr>
        <w:rPr>
          <w:rFonts w:ascii="Lucida Sans" w:eastAsia="Times" w:hAnsi="Lucida Sans" w:cs="Times New Roman"/>
          <w:sz w:val="18"/>
          <w:szCs w:val="18"/>
        </w:rPr>
      </w:pPr>
    </w:p>
    <w:sectPr w:rsidR="00977E54" w:rsidRPr="006F0C0A" w:rsidSect="00D72326">
      <w:footerReference w:type="default" r:id="rId12"/>
      <w:headerReference w:type="first" r:id="rId13"/>
      <w:footerReference w:type="first" r:id="rId14"/>
      <w:pgSz w:w="11909" w:h="16834"/>
      <w:pgMar w:top="1134" w:right="1134" w:bottom="1134" w:left="1134"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46C94" w14:textId="77777777" w:rsidR="001F03FD" w:rsidRDefault="001F03FD">
      <w:pPr>
        <w:spacing w:line="240" w:lineRule="auto"/>
      </w:pPr>
      <w:r>
        <w:separator/>
      </w:r>
    </w:p>
  </w:endnote>
  <w:endnote w:type="continuationSeparator" w:id="0">
    <w:p w14:paraId="428AC43C" w14:textId="77777777" w:rsidR="001F03FD" w:rsidRDefault="001F03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540971"/>
      <w:docPartObj>
        <w:docPartGallery w:val="Page Numbers (Bottom of Page)"/>
        <w:docPartUnique/>
      </w:docPartObj>
    </w:sdtPr>
    <w:sdtEndPr>
      <w:rPr>
        <w:rFonts w:ascii="Lucida Sans" w:hAnsi="Lucida Sans"/>
        <w:noProof/>
        <w:sz w:val="16"/>
        <w:szCs w:val="16"/>
      </w:rPr>
    </w:sdtEndPr>
    <w:sdtContent>
      <w:p w14:paraId="32338236" w14:textId="5E786A3C" w:rsidR="001F03FD" w:rsidRPr="00637CE0" w:rsidRDefault="001F03FD">
        <w:pPr>
          <w:pStyle w:val="Footer"/>
          <w:jc w:val="right"/>
          <w:rPr>
            <w:rFonts w:ascii="Lucida Sans" w:hAnsi="Lucida Sans"/>
            <w:sz w:val="16"/>
            <w:szCs w:val="16"/>
          </w:rPr>
        </w:pPr>
        <w:r w:rsidRPr="00637CE0">
          <w:rPr>
            <w:rFonts w:ascii="Lucida Sans" w:hAnsi="Lucida Sans"/>
            <w:sz w:val="16"/>
            <w:szCs w:val="16"/>
          </w:rPr>
          <w:fldChar w:fldCharType="begin"/>
        </w:r>
        <w:r w:rsidRPr="00637CE0">
          <w:rPr>
            <w:rFonts w:ascii="Lucida Sans" w:hAnsi="Lucida Sans"/>
            <w:sz w:val="16"/>
            <w:szCs w:val="16"/>
          </w:rPr>
          <w:instrText xml:space="preserve"> PAGE   \* MERGEFORMAT </w:instrText>
        </w:r>
        <w:r w:rsidRPr="00637CE0">
          <w:rPr>
            <w:rFonts w:ascii="Lucida Sans" w:hAnsi="Lucida Sans"/>
            <w:sz w:val="16"/>
            <w:szCs w:val="16"/>
          </w:rPr>
          <w:fldChar w:fldCharType="separate"/>
        </w:r>
        <w:r w:rsidR="00EF49B3">
          <w:rPr>
            <w:rFonts w:ascii="Lucida Sans" w:hAnsi="Lucida Sans"/>
            <w:noProof/>
            <w:sz w:val="16"/>
            <w:szCs w:val="16"/>
          </w:rPr>
          <w:t>3</w:t>
        </w:r>
        <w:r w:rsidRPr="00637CE0">
          <w:rPr>
            <w:rFonts w:ascii="Lucida Sans" w:hAnsi="Lucida Sans"/>
            <w:noProof/>
            <w:sz w:val="16"/>
            <w:szCs w:val="16"/>
          </w:rPr>
          <w:fldChar w:fldCharType="end"/>
        </w:r>
      </w:p>
    </w:sdtContent>
  </w:sdt>
  <w:p w14:paraId="010CC924" w14:textId="77777777" w:rsidR="001F03FD" w:rsidRDefault="001F0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334751"/>
      <w:docPartObj>
        <w:docPartGallery w:val="Page Numbers (Bottom of Page)"/>
        <w:docPartUnique/>
      </w:docPartObj>
    </w:sdtPr>
    <w:sdtEndPr>
      <w:rPr>
        <w:rFonts w:ascii="Lucida Sans" w:hAnsi="Lucida Sans"/>
        <w:noProof/>
        <w:sz w:val="16"/>
        <w:szCs w:val="16"/>
      </w:rPr>
    </w:sdtEndPr>
    <w:sdtContent>
      <w:p w14:paraId="7C760587" w14:textId="7207B847" w:rsidR="001F03FD" w:rsidRPr="00A3130B" w:rsidRDefault="001F03FD">
        <w:pPr>
          <w:pStyle w:val="Footer"/>
          <w:jc w:val="right"/>
          <w:rPr>
            <w:rFonts w:ascii="Lucida Sans" w:hAnsi="Lucida Sans"/>
            <w:sz w:val="16"/>
            <w:szCs w:val="16"/>
          </w:rPr>
        </w:pPr>
        <w:r w:rsidRPr="00A3130B">
          <w:rPr>
            <w:rFonts w:ascii="Lucida Sans" w:hAnsi="Lucida Sans"/>
            <w:sz w:val="16"/>
            <w:szCs w:val="16"/>
          </w:rPr>
          <w:fldChar w:fldCharType="begin"/>
        </w:r>
        <w:r w:rsidRPr="00A3130B">
          <w:rPr>
            <w:rFonts w:ascii="Lucida Sans" w:hAnsi="Lucida Sans"/>
            <w:sz w:val="16"/>
            <w:szCs w:val="16"/>
          </w:rPr>
          <w:instrText xml:space="preserve"> PAGE   \* MERGEFORMAT </w:instrText>
        </w:r>
        <w:r w:rsidRPr="00A3130B">
          <w:rPr>
            <w:rFonts w:ascii="Lucida Sans" w:hAnsi="Lucida Sans"/>
            <w:sz w:val="16"/>
            <w:szCs w:val="16"/>
          </w:rPr>
          <w:fldChar w:fldCharType="separate"/>
        </w:r>
        <w:r w:rsidR="00EF49B3">
          <w:rPr>
            <w:rFonts w:ascii="Lucida Sans" w:hAnsi="Lucida Sans"/>
            <w:noProof/>
            <w:sz w:val="16"/>
            <w:szCs w:val="16"/>
          </w:rPr>
          <w:t>1</w:t>
        </w:r>
        <w:r w:rsidRPr="00A3130B">
          <w:rPr>
            <w:rFonts w:ascii="Lucida Sans" w:hAnsi="Lucida Sans"/>
            <w:noProof/>
            <w:sz w:val="16"/>
            <w:szCs w:val="16"/>
          </w:rPr>
          <w:fldChar w:fldCharType="end"/>
        </w:r>
      </w:p>
    </w:sdtContent>
  </w:sdt>
  <w:p w14:paraId="56BF0859" w14:textId="77777777" w:rsidR="001F03FD" w:rsidRDefault="001F0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A2F32" w14:textId="77777777" w:rsidR="001F03FD" w:rsidRDefault="001F03FD">
      <w:pPr>
        <w:spacing w:line="240" w:lineRule="auto"/>
      </w:pPr>
      <w:r>
        <w:separator/>
      </w:r>
    </w:p>
  </w:footnote>
  <w:footnote w:type="continuationSeparator" w:id="0">
    <w:p w14:paraId="16D9C759" w14:textId="77777777" w:rsidR="001F03FD" w:rsidRDefault="001F03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2AB01" w14:textId="1B132415" w:rsidR="001F03FD" w:rsidRPr="009A7D3F" w:rsidRDefault="001F03FD">
    <w:pPr>
      <w:pStyle w:val="Header"/>
      <w:rPr>
        <w:rFonts w:ascii="Lucida Sans" w:hAnsi="Lucida Sans"/>
        <w:sz w:val="16"/>
        <w:szCs w:val="16"/>
        <w:lang w:val="en-US"/>
      </w:rPr>
    </w:pPr>
    <w:r w:rsidRPr="00B35813">
      <w:rPr>
        <w:rFonts w:ascii="Lucida Sans" w:hAnsi="Lucida Sans"/>
        <w:sz w:val="16"/>
        <w:szCs w:val="16"/>
        <w:lang w:val="en-US"/>
      </w:rPr>
      <w:t>Monoamine Oxidase Inhibitors in psychiatr</w:t>
    </w:r>
    <w:r>
      <w:rPr>
        <w:rFonts w:ascii="Lucida Sans" w:hAnsi="Lucida Sans"/>
        <w:sz w:val="16"/>
        <w:szCs w:val="16"/>
        <w:lang w:val="en-US"/>
      </w:rPr>
      <w:t>ic practice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78D1"/>
    <w:multiLevelType w:val="hybridMultilevel"/>
    <w:tmpl w:val="EA0C62E0"/>
    <w:lvl w:ilvl="0" w:tplc="81AAB6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972A9"/>
    <w:multiLevelType w:val="hybridMultilevel"/>
    <w:tmpl w:val="157213EC"/>
    <w:lvl w:ilvl="0" w:tplc="D274572E">
      <w:start w:val="1"/>
      <w:numFmt w:val="bullet"/>
      <w:lvlText w:val=""/>
      <w:lvlJc w:val="left"/>
      <w:pPr>
        <w:ind w:left="360" w:hanging="360"/>
      </w:pPr>
      <w:rPr>
        <w:rFonts w:ascii="Symbol" w:eastAsia="Arial"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C959F7"/>
    <w:multiLevelType w:val="hybridMultilevel"/>
    <w:tmpl w:val="5A9A3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BF4637"/>
    <w:multiLevelType w:val="hybridMultilevel"/>
    <w:tmpl w:val="56D209AA"/>
    <w:lvl w:ilvl="0" w:tplc="BD44539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B2250E"/>
    <w:multiLevelType w:val="hybridMultilevel"/>
    <w:tmpl w:val="BBEA744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wpd9xwpest5ue9rwa5etrr9fzzxded9vfx&quot;&gt;David Baldwin CES Medicine v2&lt;record-ids&gt;&lt;item&gt;14&lt;/item&gt;&lt;item&gt;44&lt;/item&gt;&lt;item&gt;45&lt;/item&gt;&lt;item&gt;204&lt;/item&gt;&lt;item&gt;345&lt;/item&gt;&lt;item&gt;382&lt;/item&gt;&lt;item&gt;383&lt;/item&gt;&lt;item&gt;385&lt;/item&gt;&lt;item&gt;386&lt;/item&gt;&lt;item&gt;387&lt;/item&gt;&lt;item&gt;389&lt;/item&gt;&lt;item&gt;391&lt;/item&gt;&lt;item&gt;394&lt;/item&gt;&lt;item&gt;396&lt;/item&gt;&lt;item&gt;397&lt;/item&gt;&lt;item&gt;399&lt;/item&gt;&lt;item&gt;400&lt;/item&gt;&lt;item&gt;401&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2&lt;/item&gt;&lt;item&gt;423&lt;/item&gt;&lt;item&gt;424&lt;/item&gt;&lt;item&gt;425&lt;/item&gt;&lt;item&gt;426&lt;/item&gt;&lt;item&gt;427&lt;/item&gt;&lt;item&gt;428&lt;/item&gt;&lt;item&gt;429&lt;/item&gt;&lt;item&gt;430&lt;/item&gt;&lt;item&gt;431&lt;/item&gt;&lt;item&gt;432&lt;/item&gt;&lt;item&gt;433&lt;/item&gt;&lt;item&gt;436&lt;/item&gt;&lt;item&gt;437&lt;/item&gt;&lt;item&gt;438&lt;/item&gt;&lt;item&gt;439&lt;/item&gt;&lt;item&gt;440&lt;/item&gt;&lt;item&gt;441&lt;/item&gt;&lt;item&gt;44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3&lt;/item&gt;&lt;item&gt;504&lt;/item&gt;&lt;item&gt;505&lt;/item&gt;&lt;item&gt;506&lt;/item&gt;&lt;item&gt;507&lt;/item&gt;&lt;item&gt;508&lt;/item&gt;&lt;item&gt;509&lt;/item&gt;&lt;item&gt;510&lt;/item&gt;&lt;item&gt;604&lt;/item&gt;&lt;item&gt;605&lt;/item&gt;&lt;item&gt;606&lt;/item&gt;&lt;item&gt;607&lt;/item&gt;&lt;item&gt;608&lt;/item&gt;&lt;item&gt;609&lt;/item&gt;&lt;item&gt;610&lt;/item&gt;&lt;item&gt;611&lt;/item&gt;&lt;item&gt;612&lt;/item&gt;&lt;item&gt;613&lt;/item&gt;&lt;item&gt;614&lt;/item&gt;&lt;item&gt;615&lt;/item&gt;&lt;item&gt;616&lt;/item&gt;&lt;/record-ids&gt;&lt;/item&gt;&lt;/Libraries&gt;"/>
  </w:docVars>
  <w:rsids>
    <w:rsidRoot w:val="00DF062F"/>
    <w:rsid w:val="000247EF"/>
    <w:rsid w:val="00027BB6"/>
    <w:rsid w:val="000504D8"/>
    <w:rsid w:val="00060FE5"/>
    <w:rsid w:val="00071800"/>
    <w:rsid w:val="000863F2"/>
    <w:rsid w:val="00086B54"/>
    <w:rsid w:val="00096847"/>
    <w:rsid w:val="00097824"/>
    <w:rsid w:val="000A3704"/>
    <w:rsid w:val="000A41E6"/>
    <w:rsid w:val="000A4556"/>
    <w:rsid w:val="000A64FA"/>
    <w:rsid w:val="000B422E"/>
    <w:rsid w:val="000B660A"/>
    <w:rsid w:val="000B6DC4"/>
    <w:rsid w:val="000C0DAC"/>
    <w:rsid w:val="000C6BFC"/>
    <w:rsid w:val="000D6C6C"/>
    <w:rsid w:val="000D7520"/>
    <w:rsid w:val="000E123C"/>
    <w:rsid w:val="000E72A1"/>
    <w:rsid w:val="000F17A9"/>
    <w:rsid w:val="000F5335"/>
    <w:rsid w:val="0010148F"/>
    <w:rsid w:val="0010717F"/>
    <w:rsid w:val="00107958"/>
    <w:rsid w:val="00120225"/>
    <w:rsid w:val="00120C7E"/>
    <w:rsid w:val="00124540"/>
    <w:rsid w:val="001247AD"/>
    <w:rsid w:val="001313CC"/>
    <w:rsid w:val="00140CCC"/>
    <w:rsid w:val="001418F3"/>
    <w:rsid w:val="00164C3C"/>
    <w:rsid w:val="001656C4"/>
    <w:rsid w:val="00174072"/>
    <w:rsid w:val="00174F80"/>
    <w:rsid w:val="00186D82"/>
    <w:rsid w:val="00194E32"/>
    <w:rsid w:val="001A64C3"/>
    <w:rsid w:val="001B1C14"/>
    <w:rsid w:val="001B27F8"/>
    <w:rsid w:val="001B3CAB"/>
    <w:rsid w:val="001B5A4D"/>
    <w:rsid w:val="001B7950"/>
    <w:rsid w:val="001C5CE0"/>
    <w:rsid w:val="001E4218"/>
    <w:rsid w:val="001F03FD"/>
    <w:rsid w:val="001F0F46"/>
    <w:rsid w:val="001F134A"/>
    <w:rsid w:val="001F6103"/>
    <w:rsid w:val="001F77DF"/>
    <w:rsid w:val="00200820"/>
    <w:rsid w:val="0020727E"/>
    <w:rsid w:val="00211D33"/>
    <w:rsid w:val="00211DB8"/>
    <w:rsid w:val="00216241"/>
    <w:rsid w:val="00216BA9"/>
    <w:rsid w:val="002413A2"/>
    <w:rsid w:val="0025000B"/>
    <w:rsid w:val="002552B9"/>
    <w:rsid w:val="0026013B"/>
    <w:rsid w:val="0027026F"/>
    <w:rsid w:val="00271279"/>
    <w:rsid w:val="0027412D"/>
    <w:rsid w:val="0028757D"/>
    <w:rsid w:val="00294294"/>
    <w:rsid w:val="002961B0"/>
    <w:rsid w:val="002965C9"/>
    <w:rsid w:val="002A391F"/>
    <w:rsid w:val="002A4D8C"/>
    <w:rsid w:val="002B365C"/>
    <w:rsid w:val="002D2008"/>
    <w:rsid w:val="002D3F64"/>
    <w:rsid w:val="002D6C8D"/>
    <w:rsid w:val="002E7298"/>
    <w:rsid w:val="002F0216"/>
    <w:rsid w:val="002F13D3"/>
    <w:rsid w:val="00300618"/>
    <w:rsid w:val="00307EA8"/>
    <w:rsid w:val="003119B6"/>
    <w:rsid w:val="00315C0F"/>
    <w:rsid w:val="0032136A"/>
    <w:rsid w:val="00323970"/>
    <w:rsid w:val="00327E60"/>
    <w:rsid w:val="0033051D"/>
    <w:rsid w:val="0033324A"/>
    <w:rsid w:val="00335CAA"/>
    <w:rsid w:val="0033751E"/>
    <w:rsid w:val="003419B3"/>
    <w:rsid w:val="003471C1"/>
    <w:rsid w:val="0035191E"/>
    <w:rsid w:val="00352888"/>
    <w:rsid w:val="00362AFC"/>
    <w:rsid w:val="003637D9"/>
    <w:rsid w:val="00365F8B"/>
    <w:rsid w:val="00372903"/>
    <w:rsid w:val="00374581"/>
    <w:rsid w:val="003807A9"/>
    <w:rsid w:val="00380AE3"/>
    <w:rsid w:val="00390D88"/>
    <w:rsid w:val="003954F1"/>
    <w:rsid w:val="003A4557"/>
    <w:rsid w:val="003A5F60"/>
    <w:rsid w:val="003A78D4"/>
    <w:rsid w:val="003D1949"/>
    <w:rsid w:val="003D7F3E"/>
    <w:rsid w:val="003F3CC9"/>
    <w:rsid w:val="003F513D"/>
    <w:rsid w:val="0040057D"/>
    <w:rsid w:val="004017EA"/>
    <w:rsid w:val="00405636"/>
    <w:rsid w:val="00411857"/>
    <w:rsid w:val="00412F8B"/>
    <w:rsid w:val="00414588"/>
    <w:rsid w:val="0043605D"/>
    <w:rsid w:val="004447D0"/>
    <w:rsid w:val="00453C4B"/>
    <w:rsid w:val="004632C6"/>
    <w:rsid w:val="00464B41"/>
    <w:rsid w:val="00465C89"/>
    <w:rsid w:val="004703C8"/>
    <w:rsid w:val="00471FAF"/>
    <w:rsid w:val="004814E9"/>
    <w:rsid w:val="004862B6"/>
    <w:rsid w:val="00486B26"/>
    <w:rsid w:val="004A2227"/>
    <w:rsid w:val="004B10CB"/>
    <w:rsid w:val="004C377F"/>
    <w:rsid w:val="004D091C"/>
    <w:rsid w:val="004D24C3"/>
    <w:rsid w:val="004E0092"/>
    <w:rsid w:val="004E00FC"/>
    <w:rsid w:val="004F2C67"/>
    <w:rsid w:val="004F46E4"/>
    <w:rsid w:val="004F6F4A"/>
    <w:rsid w:val="0050323A"/>
    <w:rsid w:val="00503B31"/>
    <w:rsid w:val="00515365"/>
    <w:rsid w:val="00516843"/>
    <w:rsid w:val="00520EE3"/>
    <w:rsid w:val="00521188"/>
    <w:rsid w:val="00531296"/>
    <w:rsid w:val="00536F6F"/>
    <w:rsid w:val="00542E9C"/>
    <w:rsid w:val="00545682"/>
    <w:rsid w:val="00551623"/>
    <w:rsid w:val="00551C61"/>
    <w:rsid w:val="00552E7A"/>
    <w:rsid w:val="00557E4D"/>
    <w:rsid w:val="005617C2"/>
    <w:rsid w:val="00581970"/>
    <w:rsid w:val="00585768"/>
    <w:rsid w:val="005877DF"/>
    <w:rsid w:val="00590A83"/>
    <w:rsid w:val="005922AA"/>
    <w:rsid w:val="00596F5D"/>
    <w:rsid w:val="005A550B"/>
    <w:rsid w:val="005A60FC"/>
    <w:rsid w:val="005B13D3"/>
    <w:rsid w:val="005B4760"/>
    <w:rsid w:val="005C1FA0"/>
    <w:rsid w:val="005D0185"/>
    <w:rsid w:val="005D7CD0"/>
    <w:rsid w:val="005F165C"/>
    <w:rsid w:val="005F3333"/>
    <w:rsid w:val="0060241A"/>
    <w:rsid w:val="006056C6"/>
    <w:rsid w:val="00611827"/>
    <w:rsid w:val="0061332F"/>
    <w:rsid w:val="00614355"/>
    <w:rsid w:val="00615C72"/>
    <w:rsid w:val="00623106"/>
    <w:rsid w:val="006320CB"/>
    <w:rsid w:val="00633B5B"/>
    <w:rsid w:val="00637CE0"/>
    <w:rsid w:val="00645A02"/>
    <w:rsid w:val="006531B4"/>
    <w:rsid w:val="0065405A"/>
    <w:rsid w:val="00664C02"/>
    <w:rsid w:val="00671E04"/>
    <w:rsid w:val="006742FA"/>
    <w:rsid w:val="006775AD"/>
    <w:rsid w:val="0068621F"/>
    <w:rsid w:val="00690D2F"/>
    <w:rsid w:val="0069219B"/>
    <w:rsid w:val="006971C0"/>
    <w:rsid w:val="006A130E"/>
    <w:rsid w:val="006B1E39"/>
    <w:rsid w:val="006B4CA2"/>
    <w:rsid w:val="006B7504"/>
    <w:rsid w:val="006C4422"/>
    <w:rsid w:val="006D6387"/>
    <w:rsid w:val="006D6B0E"/>
    <w:rsid w:val="006E7B1A"/>
    <w:rsid w:val="006F0C0A"/>
    <w:rsid w:val="006F2319"/>
    <w:rsid w:val="00701CE3"/>
    <w:rsid w:val="007020A2"/>
    <w:rsid w:val="00704E0A"/>
    <w:rsid w:val="007122DD"/>
    <w:rsid w:val="0071285A"/>
    <w:rsid w:val="007134D2"/>
    <w:rsid w:val="00725C5F"/>
    <w:rsid w:val="00727DEE"/>
    <w:rsid w:val="0073378F"/>
    <w:rsid w:val="00733916"/>
    <w:rsid w:val="0074773C"/>
    <w:rsid w:val="00753FC3"/>
    <w:rsid w:val="00760B8F"/>
    <w:rsid w:val="007640F4"/>
    <w:rsid w:val="00771808"/>
    <w:rsid w:val="00790682"/>
    <w:rsid w:val="007962DA"/>
    <w:rsid w:val="00796FF6"/>
    <w:rsid w:val="007A142F"/>
    <w:rsid w:val="007A2763"/>
    <w:rsid w:val="007A7DD3"/>
    <w:rsid w:val="007C1C2B"/>
    <w:rsid w:val="007C464E"/>
    <w:rsid w:val="007E62E4"/>
    <w:rsid w:val="007F4412"/>
    <w:rsid w:val="007F442B"/>
    <w:rsid w:val="00813049"/>
    <w:rsid w:val="008238EA"/>
    <w:rsid w:val="00825B7D"/>
    <w:rsid w:val="00826076"/>
    <w:rsid w:val="008424EC"/>
    <w:rsid w:val="00845B36"/>
    <w:rsid w:val="008514ED"/>
    <w:rsid w:val="008559AF"/>
    <w:rsid w:val="00856668"/>
    <w:rsid w:val="0085740A"/>
    <w:rsid w:val="00867CA9"/>
    <w:rsid w:val="00872CF4"/>
    <w:rsid w:val="008773C9"/>
    <w:rsid w:val="00880689"/>
    <w:rsid w:val="00886EE8"/>
    <w:rsid w:val="00886FB4"/>
    <w:rsid w:val="00887C2A"/>
    <w:rsid w:val="008A6039"/>
    <w:rsid w:val="008B0FCA"/>
    <w:rsid w:val="008B2021"/>
    <w:rsid w:val="008B2FFA"/>
    <w:rsid w:val="008D7816"/>
    <w:rsid w:val="008E1EA2"/>
    <w:rsid w:val="008E64FE"/>
    <w:rsid w:val="008F0793"/>
    <w:rsid w:val="00902E21"/>
    <w:rsid w:val="009046BA"/>
    <w:rsid w:val="00904ED3"/>
    <w:rsid w:val="0091501D"/>
    <w:rsid w:val="009154CE"/>
    <w:rsid w:val="00923BF3"/>
    <w:rsid w:val="00924211"/>
    <w:rsid w:val="0092708F"/>
    <w:rsid w:val="00930133"/>
    <w:rsid w:val="00931A89"/>
    <w:rsid w:val="00932411"/>
    <w:rsid w:val="009458F0"/>
    <w:rsid w:val="00945CA6"/>
    <w:rsid w:val="00952CE1"/>
    <w:rsid w:val="00953ED9"/>
    <w:rsid w:val="00966B4A"/>
    <w:rsid w:val="00973239"/>
    <w:rsid w:val="009774DC"/>
    <w:rsid w:val="00977E54"/>
    <w:rsid w:val="0098443C"/>
    <w:rsid w:val="00986D2F"/>
    <w:rsid w:val="00991C9A"/>
    <w:rsid w:val="009942CF"/>
    <w:rsid w:val="00995FD2"/>
    <w:rsid w:val="009A76B2"/>
    <w:rsid w:val="009A7D3F"/>
    <w:rsid w:val="009B04BE"/>
    <w:rsid w:val="009C107B"/>
    <w:rsid w:val="009C3518"/>
    <w:rsid w:val="009C4C22"/>
    <w:rsid w:val="009D2A8B"/>
    <w:rsid w:val="009E2860"/>
    <w:rsid w:val="009E2A8E"/>
    <w:rsid w:val="00A2294A"/>
    <w:rsid w:val="00A231E2"/>
    <w:rsid w:val="00A26C5E"/>
    <w:rsid w:val="00A30E23"/>
    <w:rsid w:val="00A3130B"/>
    <w:rsid w:val="00A31CCB"/>
    <w:rsid w:val="00A322F4"/>
    <w:rsid w:val="00A340D1"/>
    <w:rsid w:val="00A366C0"/>
    <w:rsid w:val="00A36CCB"/>
    <w:rsid w:val="00A4121D"/>
    <w:rsid w:val="00A420D2"/>
    <w:rsid w:val="00A615DF"/>
    <w:rsid w:val="00A648F9"/>
    <w:rsid w:val="00A649C0"/>
    <w:rsid w:val="00A67BEA"/>
    <w:rsid w:val="00A77133"/>
    <w:rsid w:val="00A9719E"/>
    <w:rsid w:val="00AB138F"/>
    <w:rsid w:val="00AC0999"/>
    <w:rsid w:val="00AC76BD"/>
    <w:rsid w:val="00AC7CCF"/>
    <w:rsid w:val="00AD1722"/>
    <w:rsid w:val="00AD5828"/>
    <w:rsid w:val="00AD7F98"/>
    <w:rsid w:val="00AE37FA"/>
    <w:rsid w:val="00AE7017"/>
    <w:rsid w:val="00AE7380"/>
    <w:rsid w:val="00AF19E8"/>
    <w:rsid w:val="00AF1E35"/>
    <w:rsid w:val="00AF38A5"/>
    <w:rsid w:val="00AF5A93"/>
    <w:rsid w:val="00AF6063"/>
    <w:rsid w:val="00B07824"/>
    <w:rsid w:val="00B10D97"/>
    <w:rsid w:val="00B15BE3"/>
    <w:rsid w:val="00B15C33"/>
    <w:rsid w:val="00B2581B"/>
    <w:rsid w:val="00B3472C"/>
    <w:rsid w:val="00B34BF1"/>
    <w:rsid w:val="00B34EA9"/>
    <w:rsid w:val="00B35813"/>
    <w:rsid w:val="00B36212"/>
    <w:rsid w:val="00B37837"/>
    <w:rsid w:val="00B420FD"/>
    <w:rsid w:val="00B43D6F"/>
    <w:rsid w:val="00B46F0F"/>
    <w:rsid w:val="00B524A8"/>
    <w:rsid w:val="00B54E7B"/>
    <w:rsid w:val="00B711E7"/>
    <w:rsid w:val="00B72EA2"/>
    <w:rsid w:val="00B74D7F"/>
    <w:rsid w:val="00B77D8D"/>
    <w:rsid w:val="00B82D17"/>
    <w:rsid w:val="00B8344E"/>
    <w:rsid w:val="00BA26B8"/>
    <w:rsid w:val="00BA2D45"/>
    <w:rsid w:val="00BB1374"/>
    <w:rsid w:val="00BB2B5C"/>
    <w:rsid w:val="00BC339F"/>
    <w:rsid w:val="00BE1E5C"/>
    <w:rsid w:val="00BE4594"/>
    <w:rsid w:val="00BF2566"/>
    <w:rsid w:val="00BF3A25"/>
    <w:rsid w:val="00C009A2"/>
    <w:rsid w:val="00C00A9A"/>
    <w:rsid w:val="00C04E44"/>
    <w:rsid w:val="00C05FFE"/>
    <w:rsid w:val="00C216AC"/>
    <w:rsid w:val="00C36824"/>
    <w:rsid w:val="00C37372"/>
    <w:rsid w:val="00C41B44"/>
    <w:rsid w:val="00C61CD8"/>
    <w:rsid w:val="00C740E3"/>
    <w:rsid w:val="00C7582C"/>
    <w:rsid w:val="00C9537E"/>
    <w:rsid w:val="00CA0E3C"/>
    <w:rsid w:val="00CA1A14"/>
    <w:rsid w:val="00CA2A90"/>
    <w:rsid w:val="00CA6CC7"/>
    <w:rsid w:val="00CC4233"/>
    <w:rsid w:val="00CC51FF"/>
    <w:rsid w:val="00CD5DA1"/>
    <w:rsid w:val="00CE0D48"/>
    <w:rsid w:val="00CE0E63"/>
    <w:rsid w:val="00CE4BE3"/>
    <w:rsid w:val="00CF0A2A"/>
    <w:rsid w:val="00CF43A2"/>
    <w:rsid w:val="00D018F2"/>
    <w:rsid w:val="00D04FD7"/>
    <w:rsid w:val="00D06D89"/>
    <w:rsid w:val="00D10D4F"/>
    <w:rsid w:val="00D10E88"/>
    <w:rsid w:val="00D1426F"/>
    <w:rsid w:val="00D2200E"/>
    <w:rsid w:val="00D225A4"/>
    <w:rsid w:val="00D3154D"/>
    <w:rsid w:val="00D32863"/>
    <w:rsid w:val="00D42CB9"/>
    <w:rsid w:val="00D447C2"/>
    <w:rsid w:val="00D4792D"/>
    <w:rsid w:val="00D508E5"/>
    <w:rsid w:val="00D702EF"/>
    <w:rsid w:val="00D72326"/>
    <w:rsid w:val="00D8058D"/>
    <w:rsid w:val="00D81178"/>
    <w:rsid w:val="00D86153"/>
    <w:rsid w:val="00D95DA5"/>
    <w:rsid w:val="00D9704F"/>
    <w:rsid w:val="00D972B0"/>
    <w:rsid w:val="00D978CB"/>
    <w:rsid w:val="00DA5FEA"/>
    <w:rsid w:val="00DB1ABE"/>
    <w:rsid w:val="00DC77F8"/>
    <w:rsid w:val="00DC7BDD"/>
    <w:rsid w:val="00DD04E0"/>
    <w:rsid w:val="00DD4231"/>
    <w:rsid w:val="00DD62CE"/>
    <w:rsid w:val="00DD7632"/>
    <w:rsid w:val="00DF062F"/>
    <w:rsid w:val="00DF7B87"/>
    <w:rsid w:val="00E0181E"/>
    <w:rsid w:val="00E14268"/>
    <w:rsid w:val="00E1605A"/>
    <w:rsid w:val="00E32B4E"/>
    <w:rsid w:val="00E36F99"/>
    <w:rsid w:val="00E373EC"/>
    <w:rsid w:val="00E40457"/>
    <w:rsid w:val="00E544B1"/>
    <w:rsid w:val="00E54928"/>
    <w:rsid w:val="00E61A41"/>
    <w:rsid w:val="00E62BC4"/>
    <w:rsid w:val="00E63959"/>
    <w:rsid w:val="00E65DF9"/>
    <w:rsid w:val="00E66C91"/>
    <w:rsid w:val="00E71117"/>
    <w:rsid w:val="00E826B7"/>
    <w:rsid w:val="00E85ED9"/>
    <w:rsid w:val="00E9743A"/>
    <w:rsid w:val="00EA08ED"/>
    <w:rsid w:val="00EA1D52"/>
    <w:rsid w:val="00EA4119"/>
    <w:rsid w:val="00EB0083"/>
    <w:rsid w:val="00EB11F2"/>
    <w:rsid w:val="00EC4A69"/>
    <w:rsid w:val="00ED36A7"/>
    <w:rsid w:val="00EE0A6F"/>
    <w:rsid w:val="00EF0395"/>
    <w:rsid w:val="00EF25A1"/>
    <w:rsid w:val="00EF3C4D"/>
    <w:rsid w:val="00EF49B3"/>
    <w:rsid w:val="00F025E9"/>
    <w:rsid w:val="00F042CD"/>
    <w:rsid w:val="00F17428"/>
    <w:rsid w:val="00F200EC"/>
    <w:rsid w:val="00F228D2"/>
    <w:rsid w:val="00F4255D"/>
    <w:rsid w:val="00F460FF"/>
    <w:rsid w:val="00F5399B"/>
    <w:rsid w:val="00F573D1"/>
    <w:rsid w:val="00F57BD9"/>
    <w:rsid w:val="00F633E9"/>
    <w:rsid w:val="00F64682"/>
    <w:rsid w:val="00F67536"/>
    <w:rsid w:val="00F70A52"/>
    <w:rsid w:val="00F810AD"/>
    <w:rsid w:val="00F85CAB"/>
    <w:rsid w:val="00F91ACD"/>
    <w:rsid w:val="00F94A14"/>
    <w:rsid w:val="00F94FC5"/>
    <w:rsid w:val="00F9579B"/>
    <w:rsid w:val="00FA2884"/>
    <w:rsid w:val="00FB2451"/>
    <w:rsid w:val="00FB473D"/>
    <w:rsid w:val="00FB487C"/>
    <w:rsid w:val="00FC3E6D"/>
    <w:rsid w:val="00FC5647"/>
    <w:rsid w:val="00FD1AD0"/>
    <w:rsid w:val="00FE1F44"/>
    <w:rsid w:val="00FE5372"/>
    <w:rsid w:val="00FE7064"/>
    <w:rsid w:val="00FF1A23"/>
    <w:rsid w:val="00FF3BEC"/>
    <w:rsid w:val="00FF7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40F7F7"/>
  <w15:docId w15:val="{922364E0-7674-43EB-8A95-78862DD73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4C377F"/>
    <w:pPr>
      <w:tabs>
        <w:tab w:val="center" w:pos="4513"/>
        <w:tab w:val="right" w:pos="9026"/>
      </w:tabs>
      <w:spacing w:line="240" w:lineRule="auto"/>
    </w:pPr>
  </w:style>
  <w:style w:type="character" w:customStyle="1" w:styleId="HeaderChar">
    <w:name w:val="Header Char"/>
    <w:basedOn w:val="DefaultParagraphFont"/>
    <w:link w:val="Header"/>
    <w:uiPriority w:val="99"/>
    <w:rsid w:val="004C377F"/>
  </w:style>
  <w:style w:type="paragraph" w:styleId="Footer">
    <w:name w:val="footer"/>
    <w:basedOn w:val="Normal"/>
    <w:link w:val="FooterChar"/>
    <w:uiPriority w:val="99"/>
    <w:unhideWhenUsed/>
    <w:rsid w:val="004C377F"/>
    <w:pPr>
      <w:tabs>
        <w:tab w:val="center" w:pos="4513"/>
        <w:tab w:val="right" w:pos="9026"/>
      </w:tabs>
      <w:spacing w:line="240" w:lineRule="auto"/>
    </w:pPr>
  </w:style>
  <w:style w:type="character" w:customStyle="1" w:styleId="FooterChar">
    <w:name w:val="Footer Char"/>
    <w:basedOn w:val="DefaultParagraphFont"/>
    <w:link w:val="Footer"/>
    <w:uiPriority w:val="99"/>
    <w:rsid w:val="004C377F"/>
  </w:style>
  <w:style w:type="character" w:styleId="Hyperlink">
    <w:name w:val="Hyperlink"/>
    <w:basedOn w:val="DefaultParagraphFont"/>
    <w:uiPriority w:val="99"/>
    <w:unhideWhenUsed/>
    <w:rsid w:val="004D091C"/>
    <w:rPr>
      <w:color w:val="0000FF" w:themeColor="hyperlink"/>
      <w:u w:val="single"/>
    </w:rPr>
  </w:style>
  <w:style w:type="paragraph" w:customStyle="1" w:styleId="EndNoteBibliographyTitle">
    <w:name w:val="EndNote Bibliography Title"/>
    <w:basedOn w:val="Normal"/>
    <w:link w:val="EndNoteBibliographyTitleChar"/>
    <w:rsid w:val="00AF1E35"/>
    <w:pPr>
      <w:jc w:val="center"/>
    </w:pPr>
    <w:rPr>
      <w:noProof/>
    </w:rPr>
  </w:style>
  <w:style w:type="character" w:customStyle="1" w:styleId="EndNoteBibliographyTitleChar">
    <w:name w:val="EndNote Bibliography Title Char"/>
    <w:basedOn w:val="DefaultParagraphFont"/>
    <w:link w:val="EndNoteBibliographyTitle"/>
    <w:rsid w:val="00AF1E35"/>
    <w:rPr>
      <w:noProof/>
    </w:rPr>
  </w:style>
  <w:style w:type="paragraph" w:customStyle="1" w:styleId="EndNoteBibliography">
    <w:name w:val="EndNote Bibliography"/>
    <w:basedOn w:val="Normal"/>
    <w:link w:val="EndNoteBibliographyChar"/>
    <w:rsid w:val="00AF1E35"/>
    <w:pPr>
      <w:spacing w:line="240" w:lineRule="auto"/>
    </w:pPr>
    <w:rPr>
      <w:noProof/>
    </w:rPr>
  </w:style>
  <w:style w:type="character" w:customStyle="1" w:styleId="EndNoteBibliographyChar">
    <w:name w:val="EndNote Bibliography Char"/>
    <w:basedOn w:val="DefaultParagraphFont"/>
    <w:link w:val="EndNoteBibliography"/>
    <w:rsid w:val="00AF1E35"/>
    <w:rPr>
      <w:noProof/>
    </w:rPr>
  </w:style>
  <w:style w:type="table" w:styleId="TableGrid">
    <w:name w:val="Table Grid"/>
    <w:basedOn w:val="TableNormal"/>
    <w:uiPriority w:val="39"/>
    <w:rsid w:val="008806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068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13CC"/>
    <w:pPr>
      <w:spacing w:after="160" w:line="259" w:lineRule="auto"/>
      <w:ind w:left="720"/>
      <w:contextualSpacing/>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362AFC"/>
    <w:rPr>
      <w:sz w:val="16"/>
      <w:szCs w:val="16"/>
    </w:rPr>
  </w:style>
  <w:style w:type="paragraph" w:styleId="CommentText">
    <w:name w:val="annotation text"/>
    <w:basedOn w:val="Normal"/>
    <w:link w:val="CommentTextChar"/>
    <w:uiPriority w:val="99"/>
    <w:semiHidden/>
    <w:unhideWhenUsed/>
    <w:rsid w:val="00362AFC"/>
    <w:pPr>
      <w:spacing w:line="240" w:lineRule="auto"/>
    </w:pPr>
    <w:rPr>
      <w:sz w:val="20"/>
      <w:szCs w:val="20"/>
    </w:rPr>
  </w:style>
  <w:style w:type="character" w:customStyle="1" w:styleId="CommentTextChar">
    <w:name w:val="Comment Text Char"/>
    <w:basedOn w:val="DefaultParagraphFont"/>
    <w:link w:val="CommentText"/>
    <w:uiPriority w:val="99"/>
    <w:semiHidden/>
    <w:rsid w:val="00362AFC"/>
    <w:rPr>
      <w:sz w:val="20"/>
      <w:szCs w:val="20"/>
    </w:rPr>
  </w:style>
  <w:style w:type="paragraph" w:styleId="CommentSubject">
    <w:name w:val="annotation subject"/>
    <w:basedOn w:val="CommentText"/>
    <w:next w:val="CommentText"/>
    <w:link w:val="CommentSubjectChar"/>
    <w:uiPriority w:val="99"/>
    <w:semiHidden/>
    <w:unhideWhenUsed/>
    <w:rsid w:val="00362AFC"/>
    <w:rPr>
      <w:b/>
      <w:bCs/>
    </w:rPr>
  </w:style>
  <w:style w:type="character" w:customStyle="1" w:styleId="CommentSubjectChar">
    <w:name w:val="Comment Subject Char"/>
    <w:basedOn w:val="CommentTextChar"/>
    <w:link w:val="CommentSubject"/>
    <w:uiPriority w:val="99"/>
    <w:semiHidden/>
    <w:rsid w:val="00362AFC"/>
    <w:rPr>
      <w:b/>
      <w:bCs/>
      <w:sz w:val="20"/>
      <w:szCs w:val="20"/>
    </w:rPr>
  </w:style>
  <w:style w:type="paragraph" w:styleId="BalloonText">
    <w:name w:val="Balloon Text"/>
    <w:basedOn w:val="Normal"/>
    <w:link w:val="BalloonTextChar"/>
    <w:uiPriority w:val="99"/>
    <w:semiHidden/>
    <w:unhideWhenUsed/>
    <w:rsid w:val="00362AF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A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352888"/>
    <w:rPr>
      <w:color w:val="605E5C"/>
      <w:shd w:val="clear" w:color="auto" w:fill="E1DFDD"/>
    </w:rPr>
  </w:style>
  <w:style w:type="character" w:customStyle="1" w:styleId="ref-journal">
    <w:name w:val="ref-journal"/>
    <w:basedOn w:val="DefaultParagraphFont"/>
    <w:rsid w:val="00557E4D"/>
  </w:style>
  <w:style w:type="character" w:customStyle="1" w:styleId="ref-vol">
    <w:name w:val="ref-vol"/>
    <w:basedOn w:val="DefaultParagraphFont"/>
    <w:rsid w:val="00557E4D"/>
  </w:style>
  <w:style w:type="paragraph" w:styleId="Revision">
    <w:name w:val="Revision"/>
    <w:hidden/>
    <w:uiPriority w:val="99"/>
    <w:semiHidden/>
    <w:rsid w:val="00B72EA2"/>
    <w:pPr>
      <w:spacing w:line="240" w:lineRule="auto"/>
    </w:pPr>
  </w:style>
  <w:style w:type="character" w:customStyle="1" w:styleId="UnresolvedMention2">
    <w:name w:val="Unresolved Mention2"/>
    <w:basedOn w:val="DefaultParagraphFont"/>
    <w:uiPriority w:val="99"/>
    <w:semiHidden/>
    <w:unhideWhenUsed/>
    <w:rsid w:val="00855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0008">
      <w:bodyDiv w:val="1"/>
      <w:marLeft w:val="0"/>
      <w:marRight w:val="0"/>
      <w:marTop w:val="0"/>
      <w:marBottom w:val="0"/>
      <w:divBdr>
        <w:top w:val="none" w:sz="0" w:space="0" w:color="auto"/>
        <w:left w:val="none" w:sz="0" w:space="0" w:color="auto"/>
        <w:bottom w:val="none" w:sz="0" w:space="0" w:color="auto"/>
        <w:right w:val="none" w:sz="0" w:space="0" w:color="auto"/>
      </w:divBdr>
      <w:divsChild>
        <w:div w:id="1637562315">
          <w:marLeft w:val="274"/>
          <w:marRight w:val="0"/>
          <w:marTop w:val="0"/>
          <w:marBottom w:val="0"/>
          <w:divBdr>
            <w:top w:val="none" w:sz="0" w:space="0" w:color="auto"/>
            <w:left w:val="none" w:sz="0" w:space="0" w:color="auto"/>
            <w:bottom w:val="none" w:sz="0" w:space="0" w:color="auto"/>
            <w:right w:val="none" w:sz="0" w:space="0" w:color="auto"/>
          </w:divBdr>
        </w:div>
      </w:divsChild>
    </w:div>
    <w:div w:id="62263313">
      <w:bodyDiv w:val="1"/>
      <w:marLeft w:val="0"/>
      <w:marRight w:val="0"/>
      <w:marTop w:val="0"/>
      <w:marBottom w:val="0"/>
      <w:divBdr>
        <w:top w:val="none" w:sz="0" w:space="0" w:color="auto"/>
        <w:left w:val="none" w:sz="0" w:space="0" w:color="auto"/>
        <w:bottom w:val="none" w:sz="0" w:space="0" w:color="auto"/>
        <w:right w:val="none" w:sz="0" w:space="0" w:color="auto"/>
      </w:divBdr>
    </w:div>
    <w:div w:id="115953459">
      <w:bodyDiv w:val="1"/>
      <w:marLeft w:val="0"/>
      <w:marRight w:val="0"/>
      <w:marTop w:val="0"/>
      <w:marBottom w:val="0"/>
      <w:divBdr>
        <w:top w:val="none" w:sz="0" w:space="0" w:color="auto"/>
        <w:left w:val="none" w:sz="0" w:space="0" w:color="auto"/>
        <w:bottom w:val="none" w:sz="0" w:space="0" w:color="auto"/>
        <w:right w:val="none" w:sz="0" w:space="0" w:color="auto"/>
      </w:divBdr>
      <w:divsChild>
        <w:div w:id="1977566372">
          <w:marLeft w:val="547"/>
          <w:marRight w:val="0"/>
          <w:marTop w:val="0"/>
          <w:marBottom w:val="269"/>
          <w:divBdr>
            <w:top w:val="none" w:sz="0" w:space="0" w:color="auto"/>
            <w:left w:val="none" w:sz="0" w:space="0" w:color="auto"/>
            <w:bottom w:val="none" w:sz="0" w:space="0" w:color="auto"/>
            <w:right w:val="none" w:sz="0" w:space="0" w:color="auto"/>
          </w:divBdr>
        </w:div>
        <w:div w:id="1075935741">
          <w:marLeft w:val="547"/>
          <w:marRight w:val="0"/>
          <w:marTop w:val="0"/>
          <w:marBottom w:val="269"/>
          <w:divBdr>
            <w:top w:val="none" w:sz="0" w:space="0" w:color="auto"/>
            <w:left w:val="none" w:sz="0" w:space="0" w:color="auto"/>
            <w:bottom w:val="none" w:sz="0" w:space="0" w:color="auto"/>
            <w:right w:val="none" w:sz="0" w:space="0" w:color="auto"/>
          </w:divBdr>
        </w:div>
      </w:divsChild>
    </w:div>
    <w:div w:id="274095031">
      <w:bodyDiv w:val="1"/>
      <w:marLeft w:val="0"/>
      <w:marRight w:val="0"/>
      <w:marTop w:val="0"/>
      <w:marBottom w:val="0"/>
      <w:divBdr>
        <w:top w:val="none" w:sz="0" w:space="0" w:color="auto"/>
        <w:left w:val="none" w:sz="0" w:space="0" w:color="auto"/>
        <w:bottom w:val="none" w:sz="0" w:space="0" w:color="auto"/>
        <w:right w:val="none" w:sz="0" w:space="0" w:color="auto"/>
      </w:divBdr>
      <w:divsChild>
        <w:div w:id="1644188336">
          <w:marLeft w:val="547"/>
          <w:marRight w:val="0"/>
          <w:marTop w:val="0"/>
          <w:marBottom w:val="302"/>
          <w:divBdr>
            <w:top w:val="none" w:sz="0" w:space="0" w:color="auto"/>
            <w:left w:val="none" w:sz="0" w:space="0" w:color="auto"/>
            <w:bottom w:val="none" w:sz="0" w:space="0" w:color="auto"/>
            <w:right w:val="none" w:sz="0" w:space="0" w:color="auto"/>
          </w:divBdr>
        </w:div>
        <w:div w:id="1882597075">
          <w:marLeft w:val="547"/>
          <w:marRight w:val="0"/>
          <w:marTop w:val="0"/>
          <w:marBottom w:val="302"/>
          <w:divBdr>
            <w:top w:val="none" w:sz="0" w:space="0" w:color="auto"/>
            <w:left w:val="none" w:sz="0" w:space="0" w:color="auto"/>
            <w:bottom w:val="none" w:sz="0" w:space="0" w:color="auto"/>
            <w:right w:val="none" w:sz="0" w:space="0" w:color="auto"/>
          </w:divBdr>
        </w:div>
        <w:div w:id="1412921362">
          <w:marLeft w:val="547"/>
          <w:marRight w:val="0"/>
          <w:marTop w:val="0"/>
          <w:marBottom w:val="302"/>
          <w:divBdr>
            <w:top w:val="none" w:sz="0" w:space="0" w:color="auto"/>
            <w:left w:val="none" w:sz="0" w:space="0" w:color="auto"/>
            <w:bottom w:val="none" w:sz="0" w:space="0" w:color="auto"/>
            <w:right w:val="none" w:sz="0" w:space="0" w:color="auto"/>
          </w:divBdr>
        </w:div>
        <w:div w:id="936131527">
          <w:marLeft w:val="547"/>
          <w:marRight w:val="0"/>
          <w:marTop w:val="0"/>
          <w:marBottom w:val="302"/>
          <w:divBdr>
            <w:top w:val="none" w:sz="0" w:space="0" w:color="auto"/>
            <w:left w:val="none" w:sz="0" w:space="0" w:color="auto"/>
            <w:bottom w:val="none" w:sz="0" w:space="0" w:color="auto"/>
            <w:right w:val="none" w:sz="0" w:space="0" w:color="auto"/>
          </w:divBdr>
        </w:div>
        <w:div w:id="1216894112">
          <w:marLeft w:val="547"/>
          <w:marRight w:val="0"/>
          <w:marTop w:val="0"/>
          <w:marBottom w:val="302"/>
          <w:divBdr>
            <w:top w:val="none" w:sz="0" w:space="0" w:color="auto"/>
            <w:left w:val="none" w:sz="0" w:space="0" w:color="auto"/>
            <w:bottom w:val="none" w:sz="0" w:space="0" w:color="auto"/>
            <w:right w:val="none" w:sz="0" w:space="0" w:color="auto"/>
          </w:divBdr>
        </w:div>
        <w:div w:id="1685084260">
          <w:marLeft w:val="547"/>
          <w:marRight w:val="0"/>
          <w:marTop w:val="0"/>
          <w:marBottom w:val="302"/>
          <w:divBdr>
            <w:top w:val="none" w:sz="0" w:space="0" w:color="auto"/>
            <w:left w:val="none" w:sz="0" w:space="0" w:color="auto"/>
            <w:bottom w:val="none" w:sz="0" w:space="0" w:color="auto"/>
            <w:right w:val="none" w:sz="0" w:space="0" w:color="auto"/>
          </w:divBdr>
        </w:div>
      </w:divsChild>
    </w:div>
    <w:div w:id="283343950">
      <w:bodyDiv w:val="1"/>
      <w:marLeft w:val="0"/>
      <w:marRight w:val="0"/>
      <w:marTop w:val="0"/>
      <w:marBottom w:val="0"/>
      <w:divBdr>
        <w:top w:val="none" w:sz="0" w:space="0" w:color="auto"/>
        <w:left w:val="none" w:sz="0" w:space="0" w:color="auto"/>
        <w:bottom w:val="none" w:sz="0" w:space="0" w:color="auto"/>
        <w:right w:val="none" w:sz="0" w:space="0" w:color="auto"/>
      </w:divBdr>
    </w:div>
    <w:div w:id="369493488">
      <w:bodyDiv w:val="1"/>
      <w:marLeft w:val="0"/>
      <w:marRight w:val="0"/>
      <w:marTop w:val="0"/>
      <w:marBottom w:val="0"/>
      <w:divBdr>
        <w:top w:val="none" w:sz="0" w:space="0" w:color="auto"/>
        <w:left w:val="none" w:sz="0" w:space="0" w:color="auto"/>
        <w:bottom w:val="none" w:sz="0" w:space="0" w:color="auto"/>
        <w:right w:val="none" w:sz="0" w:space="0" w:color="auto"/>
      </w:divBdr>
    </w:div>
    <w:div w:id="411052798">
      <w:bodyDiv w:val="1"/>
      <w:marLeft w:val="0"/>
      <w:marRight w:val="0"/>
      <w:marTop w:val="0"/>
      <w:marBottom w:val="0"/>
      <w:divBdr>
        <w:top w:val="none" w:sz="0" w:space="0" w:color="auto"/>
        <w:left w:val="none" w:sz="0" w:space="0" w:color="auto"/>
        <w:bottom w:val="none" w:sz="0" w:space="0" w:color="auto"/>
        <w:right w:val="none" w:sz="0" w:space="0" w:color="auto"/>
      </w:divBdr>
      <w:divsChild>
        <w:div w:id="632490727">
          <w:marLeft w:val="720"/>
          <w:marRight w:val="0"/>
          <w:marTop w:val="0"/>
          <w:marBottom w:val="336"/>
          <w:divBdr>
            <w:top w:val="none" w:sz="0" w:space="0" w:color="auto"/>
            <w:left w:val="none" w:sz="0" w:space="0" w:color="auto"/>
            <w:bottom w:val="none" w:sz="0" w:space="0" w:color="auto"/>
            <w:right w:val="none" w:sz="0" w:space="0" w:color="auto"/>
          </w:divBdr>
        </w:div>
        <w:div w:id="733545812">
          <w:marLeft w:val="720"/>
          <w:marRight w:val="0"/>
          <w:marTop w:val="0"/>
          <w:marBottom w:val="336"/>
          <w:divBdr>
            <w:top w:val="none" w:sz="0" w:space="0" w:color="auto"/>
            <w:left w:val="none" w:sz="0" w:space="0" w:color="auto"/>
            <w:bottom w:val="none" w:sz="0" w:space="0" w:color="auto"/>
            <w:right w:val="none" w:sz="0" w:space="0" w:color="auto"/>
          </w:divBdr>
        </w:div>
        <w:div w:id="1527594725">
          <w:marLeft w:val="1541"/>
          <w:marRight w:val="0"/>
          <w:marTop w:val="0"/>
          <w:marBottom w:val="216"/>
          <w:divBdr>
            <w:top w:val="none" w:sz="0" w:space="0" w:color="auto"/>
            <w:left w:val="none" w:sz="0" w:space="0" w:color="auto"/>
            <w:bottom w:val="none" w:sz="0" w:space="0" w:color="auto"/>
            <w:right w:val="none" w:sz="0" w:space="0" w:color="auto"/>
          </w:divBdr>
        </w:div>
        <w:div w:id="2016229928">
          <w:marLeft w:val="1541"/>
          <w:marRight w:val="0"/>
          <w:marTop w:val="0"/>
          <w:marBottom w:val="216"/>
          <w:divBdr>
            <w:top w:val="none" w:sz="0" w:space="0" w:color="auto"/>
            <w:left w:val="none" w:sz="0" w:space="0" w:color="auto"/>
            <w:bottom w:val="none" w:sz="0" w:space="0" w:color="auto"/>
            <w:right w:val="none" w:sz="0" w:space="0" w:color="auto"/>
          </w:divBdr>
        </w:div>
        <w:div w:id="2060938497">
          <w:marLeft w:val="1541"/>
          <w:marRight w:val="0"/>
          <w:marTop w:val="0"/>
          <w:marBottom w:val="216"/>
          <w:divBdr>
            <w:top w:val="none" w:sz="0" w:space="0" w:color="auto"/>
            <w:left w:val="none" w:sz="0" w:space="0" w:color="auto"/>
            <w:bottom w:val="none" w:sz="0" w:space="0" w:color="auto"/>
            <w:right w:val="none" w:sz="0" w:space="0" w:color="auto"/>
          </w:divBdr>
        </w:div>
        <w:div w:id="613249499">
          <w:marLeft w:val="1541"/>
          <w:marRight w:val="0"/>
          <w:marTop w:val="0"/>
          <w:marBottom w:val="216"/>
          <w:divBdr>
            <w:top w:val="none" w:sz="0" w:space="0" w:color="auto"/>
            <w:left w:val="none" w:sz="0" w:space="0" w:color="auto"/>
            <w:bottom w:val="none" w:sz="0" w:space="0" w:color="auto"/>
            <w:right w:val="none" w:sz="0" w:space="0" w:color="auto"/>
          </w:divBdr>
        </w:div>
        <w:div w:id="1304656161">
          <w:marLeft w:val="720"/>
          <w:marRight w:val="0"/>
          <w:marTop w:val="0"/>
          <w:marBottom w:val="336"/>
          <w:divBdr>
            <w:top w:val="none" w:sz="0" w:space="0" w:color="auto"/>
            <w:left w:val="none" w:sz="0" w:space="0" w:color="auto"/>
            <w:bottom w:val="none" w:sz="0" w:space="0" w:color="auto"/>
            <w:right w:val="none" w:sz="0" w:space="0" w:color="auto"/>
          </w:divBdr>
        </w:div>
      </w:divsChild>
    </w:div>
    <w:div w:id="435028733">
      <w:bodyDiv w:val="1"/>
      <w:marLeft w:val="0"/>
      <w:marRight w:val="0"/>
      <w:marTop w:val="0"/>
      <w:marBottom w:val="0"/>
      <w:divBdr>
        <w:top w:val="none" w:sz="0" w:space="0" w:color="auto"/>
        <w:left w:val="none" w:sz="0" w:space="0" w:color="auto"/>
        <w:bottom w:val="none" w:sz="0" w:space="0" w:color="auto"/>
        <w:right w:val="none" w:sz="0" w:space="0" w:color="auto"/>
      </w:divBdr>
      <w:divsChild>
        <w:div w:id="850022507">
          <w:marLeft w:val="547"/>
          <w:marRight w:val="0"/>
          <w:marTop w:val="0"/>
          <w:marBottom w:val="302"/>
          <w:divBdr>
            <w:top w:val="none" w:sz="0" w:space="0" w:color="auto"/>
            <w:left w:val="none" w:sz="0" w:space="0" w:color="auto"/>
            <w:bottom w:val="none" w:sz="0" w:space="0" w:color="auto"/>
            <w:right w:val="none" w:sz="0" w:space="0" w:color="auto"/>
          </w:divBdr>
        </w:div>
        <w:div w:id="1853376388">
          <w:marLeft w:val="547"/>
          <w:marRight w:val="0"/>
          <w:marTop w:val="0"/>
          <w:marBottom w:val="302"/>
          <w:divBdr>
            <w:top w:val="none" w:sz="0" w:space="0" w:color="auto"/>
            <w:left w:val="none" w:sz="0" w:space="0" w:color="auto"/>
            <w:bottom w:val="none" w:sz="0" w:space="0" w:color="auto"/>
            <w:right w:val="none" w:sz="0" w:space="0" w:color="auto"/>
          </w:divBdr>
        </w:div>
        <w:div w:id="60640495">
          <w:marLeft w:val="547"/>
          <w:marRight w:val="0"/>
          <w:marTop w:val="0"/>
          <w:marBottom w:val="302"/>
          <w:divBdr>
            <w:top w:val="none" w:sz="0" w:space="0" w:color="auto"/>
            <w:left w:val="none" w:sz="0" w:space="0" w:color="auto"/>
            <w:bottom w:val="none" w:sz="0" w:space="0" w:color="auto"/>
            <w:right w:val="none" w:sz="0" w:space="0" w:color="auto"/>
          </w:divBdr>
        </w:div>
        <w:div w:id="1167790966">
          <w:marLeft w:val="547"/>
          <w:marRight w:val="0"/>
          <w:marTop w:val="0"/>
          <w:marBottom w:val="302"/>
          <w:divBdr>
            <w:top w:val="none" w:sz="0" w:space="0" w:color="auto"/>
            <w:left w:val="none" w:sz="0" w:space="0" w:color="auto"/>
            <w:bottom w:val="none" w:sz="0" w:space="0" w:color="auto"/>
            <w:right w:val="none" w:sz="0" w:space="0" w:color="auto"/>
          </w:divBdr>
        </w:div>
      </w:divsChild>
    </w:div>
    <w:div w:id="525293547">
      <w:bodyDiv w:val="1"/>
      <w:marLeft w:val="0"/>
      <w:marRight w:val="0"/>
      <w:marTop w:val="0"/>
      <w:marBottom w:val="0"/>
      <w:divBdr>
        <w:top w:val="none" w:sz="0" w:space="0" w:color="auto"/>
        <w:left w:val="none" w:sz="0" w:space="0" w:color="auto"/>
        <w:bottom w:val="none" w:sz="0" w:space="0" w:color="auto"/>
        <w:right w:val="none" w:sz="0" w:space="0" w:color="auto"/>
      </w:divBdr>
    </w:div>
    <w:div w:id="552084864">
      <w:bodyDiv w:val="1"/>
      <w:marLeft w:val="0"/>
      <w:marRight w:val="0"/>
      <w:marTop w:val="0"/>
      <w:marBottom w:val="0"/>
      <w:divBdr>
        <w:top w:val="none" w:sz="0" w:space="0" w:color="auto"/>
        <w:left w:val="none" w:sz="0" w:space="0" w:color="auto"/>
        <w:bottom w:val="none" w:sz="0" w:space="0" w:color="auto"/>
        <w:right w:val="none" w:sz="0" w:space="0" w:color="auto"/>
      </w:divBdr>
      <w:divsChild>
        <w:div w:id="365956358">
          <w:marLeft w:val="547"/>
          <w:marRight w:val="0"/>
          <w:marTop w:val="0"/>
          <w:marBottom w:val="302"/>
          <w:divBdr>
            <w:top w:val="none" w:sz="0" w:space="0" w:color="auto"/>
            <w:left w:val="none" w:sz="0" w:space="0" w:color="auto"/>
            <w:bottom w:val="none" w:sz="0" w:space="0" w:color="auto"/>
            <w:right w:val="none" w:sz="0" w:space="0" w:color="auto"/>
          </w:divBdr>
        </w:div>
        <w:div w:id="14618004">
          <w:marLeft w:val="1282"/>
          <w:marRight w:val="0"/>
          <w:marTop w:val="0"/>
          <w:marBottom w:val="192"/>
          <w:divBdr>
            <w:top w:val="none" w:sz="0" w:space="0" w:color="auto"/>
            <w:left w:val="none" w:sz="0" w:space="0" w:color="auto"/>
            <w:bottom w:val="none" w:sz="0" w:space="0" w:color="auto"/>
            <w:right w:val="none" w:sz="0" w:space="0" w:color="auto"/>
          </w:divBdr>
        </w:div>
        <w:div w:id="1168253253">
          <w:marLeft w:val="1282"/>
          <w:marRight w:val="0"/>
          <w:marTop w:val="0"/>
          <w:marBottom w:val="192"/>
          <w:divBdr>
            <w:top w:val="none" w:sz="0" w:space="0" w:color="auto"/>
            <w:left w:val="none" w:sz="0" w:space="0" w:color="auto"/>
            <w:bottom w:val="none" w:sz="0" w:space="0" w:color="auto"/>
            <w:right w:val="none" w:sz="0" w:space="0" w:color="auto"/>
          </w:divBdr>
        </w:div>
        <w:div w:id="1156266589">
          <w:marLeft w:val="1282"/>
          <w:marRight w:val="0"/>
          <w:marTop w:val="0"/>
          <w:marBottom w:val="192"/>
          <w:divBdr>
            <w:top w:val="none" w:sz="0" w:space="0" w:color="auto"/>
            <w:left w:val="none" w:sz="0" w:space="0" w:color="auto"/>
            <w:bottom w:val="none" w:sz="0" w:space="0" w:color="auto"/>
            <w:right w:val="none" w:sz="0" w:space="0" w:color="auto"/>
          </w:divBdr>
        </w:div>
      </w:divsChild>
    </w:div>
    <w:div w:id="600651273">
      <w:bodyDiv w:val="1"/>
      <w:marLeft w:val="0"/>
      <w:marRight w:val="0"/>
      <w:marTop w:val="0"/>
      <w:marBottom w:val="0"/>
      <w:divBdr>
        <w:top w:val="none" w:sz="0" w:space="0" w:color="auto"/>
        <w:left w:val="none" w:sz="0" w:space="0" w:color="auto"/>
        <w:bottom w:val="none" w:sz="0" w:space="0" w:color="auto"/>
        <w:right w:val="none" w:sz="0" w:space="0" w:color="auto"/>
      </w:divBdr>
      <w:divsChild>
        <w:div w:id="50732319">
          <w:marLeft w:val="547"/>
          <w:marRight w:val="0"/>
          <w:marTop w:val="0"/>
          <w:marBottom w:val="302"/>
          <w:divBdr>
            <w:top w:val="none" w:sz="0" w:space="0" w:color="auto"/>
            <w:left w:val="none" w:sz="0" w:space="0" w:color="auto"/>
            <w:bottom w:val="none" w:sz="0" w:space="0" w:color="auto"/>
            <w:right w:val="none" w:sz="0" w:space="0" w:color="auto"/>
          </w:divBdr>
        </w:div>
        <w:div w:id="1473059172">
          <w:marLeft w:val="547"/>
          <w:marRight w:val="0"/>
          <w:marTop w:val="0"/>
          <w:marBottom w:val="302"/>
          <w:divBdr>
            <w:top w:val="none" w:sz="0" w:space="0" w:color="auto"/>
            <w:left w:val="none" w:sz="0" w:space="0" w:color="auto"/>
            <w:bottom w:val="none" w:sz="0" w:space="0" w:color="auto"/>
            <w:right w:val="none" w:sz="0" w:space="0" w:color="auto"/>
          </w:divBdr>
        </w:div>
        <w:div w:id="405883920">
          <w:marLeft w:val="547"/>
          <w:marRight w:val="0"/>
          <w:marTop w:val="0"/>
          <w:marBottom w:val="302"/>
          <w:divBdr>
            <w:top w:val="none" w:sz="0" w:space="0" w:color="auto"/>
            <w:left w:val="none" w:sz="0" w:space="0" w:color="auto"/>
            <w:bottom w:val="none" w:sz="0" w:space="0" w:color="auto"/>
            <w:right w:val="none" w:sz="0" w:space="0" w:color="auto"/>
          </w:divBdr>
        </w:div>
        <w:div w:id="299697594">
          <w:marLeft w:val="547"/>
          <w:marRight w:val="0"/>
          <w:marTop w:val="0"/>
          <w:marBottom w:val="302"/>
          <w:divBdr>
            <w:top w:val="none" w:sz="0" w:space="0" w:color="auto"/>
            <w:left w:val="none" w:sz="0" w:space="0" w:color="auto"/>
            <w:bottom w:val="none" w:sz="0" w:space="0" w:color="auto"/>
            <w:right w:val="none" w:sz="0" w:space="0" w:color="auto"/>
          </w:divBdr>
        </w:div>
        <w:div w:id="1514765192">
          <w:marLeft w:val="547"/>
          <w:marRight w:val="0"/>
          <w:marTop w:val="0"/>
          <w:marBottom w:val="302"/>
          <w:divBdr>
            <w:top w:val="none" w:sz="0" w:space="0" w:color="auto"/>
            <w:left w:val="none" w:sz="0" w:space="0" w:color="auto"/>
            <w:bottom w:val="none" w:sz="0" w:space="0" w:color="auto"/>
            <w:right w:val="none" w:sz="0" w:space="0" w:color="auto"/>
          </w:divBdr>
        </w:div>
        <w:div w:id="1248729880">
          <w:marLeft w:val="547"/>
          <w:marRight w:val="0"/>
          <w:marTop w:val="0"/>
          <w:marBottom w:val="302"/>
          <w:divBdr>
            <w:top w:val="none" w:sz="0" w:space="0" w:color="auto"/>
            <w:left w:val="none" w:sz="0" w:space="0" w:color="auto"/>
            <w:bottom w:val="none" w:sz="0" w:space="0" w:color="auto"/>
            <w:right w:val="none" w:sz="0" w:space="0" w:color="auto"/>
          </w:divBdr>
        </w:div>
        <w:div w:id="1663004794">
          <w:marLeft w:val="547"/>
          <w:marRight w:val="0"/>
          <w:marTop w:val="0"/>
          <w:marBottom w:val="302"/>
          <w:divBdr>
            <w:top w:val="none" w:sz="0" w:space="0" w:color="auto"/>
            <w:left w:val="none" w:sz="0" w:space="0" w:color="auto"/>
            <w:bottom w:val="none" w:sz="0" w:space="0" w:color="auto"/>
            <w:right w:val="none" w:sz="0" w:space="0" w:color="auto"/>
          </w:divBdr>
        </w:div>
        <w:div w:id="1163738441">
          <w:marLeft w:val="547"/>
          <w:marRight w:val="0"/>
          <w:marTop w:val="0"/>
          <w:marBottom w:val="302"/>
          <w:divBdr>
            <w:top w:val="none" w:sz="0" w:space="0" w:color="auto"/>
            <w:left w:val="none" w:sz="0" w:space="0" w:color="auto"/>
            <w:bottom w:val="none" w:sz="0" w:space="0" w:color="auto"/>
            <w:right w:val="none" w:sz="0" w:space="0" w:color="auto"/>
          </w:divBdr>
        </w:div>
      </w:divsChild>
    </w:div>
    <w:div w:id="604773703">
      <w:bodyDiv w:val="1"/>
      <w:marLeft w:val="0"/>
      <w:marRight w:val="0"/>
      <w:marTop w:val="0"/>
      <w:marBottom w:val="0"/>
      <w:divBdr>
        <w:top w:val="none" w:sz="0" w:space="0" w:color="auto"/>
        <w:left w:val="none" w:sz="0" w:space="0" w:color="auto"/>
        <w:bottom w:val="none" w:sz="0" w:space="0" w:color="auto"/>
        <w:right w:val="none" w:sz="0" w:space="0" w:color="auto"/>
      </w:divBdr>
      <w:divsChild>
        <w:div w:id="322856855">
          <w:marLeft w:val="547"/>
          <w:marRight w:val="0"/>
          <w:marTop w:val="0"/>
          <w:marBottom w:val="302"/>
          <w:divBdr>
            <w:top w:val="none" w:sz="0" w:space="0" w:color="auto"/>
            <w:left w:val="none" w:sz="0" w:space="0" w:color="auto"/>
            <w:bottom w:val="none" w:sz="0" w:space="0" w:color="auto"/>
            <w:right w:val="none" w:sz="0" w:space="0" w:color="auto"/>
          </w:divBdr>
        </w:div>
      </w:divsChild>
    </w:div>
    <w:div w:id="660739026">
      <w:bodyDiv w:val="1"/>
      <w:marLeft w:val="0"/>
      <w:marRight w:val="0"/>
      <w:marTop w:val="0"/>
      <w:marBottom w:val="0"/>
      <w:divBdr>
        <w:top w:val="none" w:sz="0" w:space="0" w:color="auto"/>
        <w:left w:val="none" w:sz="0" w:space="0" w:color="auto"/>
        <w:bottom w:val="none" w:sz="0" w:space="0" w:color="auto"/>
        <w:right w:val="none" w:sz="0" w:space="0" w:color="auto"/>
      </w:divBdr>
      <w:divsChild>
        <w:div w:id="1665161836">
          <w:marLeft w:val="547"/>
          <w:marRight w:val="0"/>
          <w:marTop w:val="0"/>
          <w:marBottom w:val="302"/>
          <w:divBdr>
            <w:top w:val="none" w:sz="0" w:space="0" w:color="auto"/>
            <w:left w:val="none" w:sz="0" w:space="0" w:color="auto"/>
            <w:bottom w:val="none" w:sz="0" w:space="0" w:color="auto"/>
            <w:right w:val="none" w:sz="0" w:space="0" w:color="auto"/>
          </w:divBdr>
        </w:div>
        <w:div w:id="1733235778">
          <w:marLeft w:val="547"/>
          <w:marRight w:val="0"/>
          <w:marTop w:val="0"/>
          <w:marBottom w:val="302"/>
          <w:divBdr>
            <w:top w:val="none" w:sz="0" w:space="0" w:color="auto"/>
            <w:left w:val="none" w:sz="0" w:space="0" w:color="auto"/>
            <w:bottom w:val="none" w:sz="0" w:space="0" w:color="auto"/>
            <w:right w:val="none" w:sz="0" w:space="0" w:color="auto"/>
          </w:divBdr>
        </w:div>
        <w:div w:id="101074817">
          <w:marLeft w:val="547"/>
          <w:marRight w:val="0"/>
          <w:marTop w:val="0"/>
          <w:marBottom w:val="302"/>
          <w:divBdr>
            <w:top w:val="none" w:sz="0" w:space="0" w:color="auto"/>
            <w:left w:val="none" w:sz="0" w:space="0" w:color="auto"/>
            <w:bottom w:val="none" w:sz="0" w:space="0" w:color="auto"/>
            <w:right w:val="none" w:sz="0" w:space="0" w:color="auto"/>
          </w:divBdr>
        </w:div>
        <w:div w:id="1909415099">
          <w:marLeft w:val="547"/>
          <w:marRight w:val="0"/>
          <w:marTop w:val="0"/>
          <w:marBottom w:val="302"/>
          <w:divBdr>
            <w:top w:val="none" w:sz="0" w:space="0" w:color="auto"/>
            <w:left w:val="none" w:sz="0" w:space="0" w:color="auto"/>
            <w:bottom w:val="none" w:sz="0" w:space="0" w:color="auto"/>
            <w:right w:val="none" w:sz="0" w:space="0" w:color="auto"/>
          </w:divBdr>
        </w:div>
        <w:div w:id="703988555">
          <w:marLeft w:val="547"/>
          <w:marRight w:val="0"/>
          <w:marTop w:val="0"/>
          <w:marBottom w:val="302"/>
          <w:divBdr>
            <w:top w:val="none" w:sz="0" w:space="0" w:color="auto"/>
            <w:left w:val="none" w:sz="0" w:space="0" w:color="auto"/>
            <w:bottom w:val="none" w:sz="0" w:space="0" w:color="auto"/>
            <w:right w:val="none" w:sz="0" w:space="0" w:color="auto"/>
          </w:divBdr>
        </w:div>
        <w:div w:id="630671479">
          <w:marLeft w:val="547"/>
          <w:marRight w:val="0"/>
          <w:marTop w:val="0"/>
          <w:marBottom w:val="302"/>
          <w:divBdr>
            <w:top w:val="none" w:sz="0" w:space="0" w:color="auto"/>
            <w:left w:val="none" w:sz="0" w:space="0" w:color="auto"/>
            <w:bottom w:val="none" w:sz="0" w:space="0" w:color="auto"/>
            <w:right w:val="none" w:sz="0" w:space="0" w:color="auto"/>
          </w:divBdr>
        </w:div>
      </w:divsChild>
    </w:div>
    <w:div w:id="675617132">
      <w:bodyDiv w:val="1"/>
      <w:marLeft w:val="0"/>
      <w:marRight w:val="0"/>
      <w:marTop w:val="0"/>
      <w:marBottom w:val="0"/>
      <w:divBdr>
        <w:top w:val="none" w:sz="0" w:space="0" w:color="auto"/>
        <w:left w:val="none" w:sz="0" w:space="0" w:color="auto"/>
        <w:bottom w:val="none" w:sz="0" w:space="0" w:color="auto"/>
        <w:right w:val="none" w:sz="0" w:space="0" w:color="auto"/>
      </w:divBdr>
    </w:div>
    <w:div w:id="679165008">
      <w:bodyDiv w:val="1"/>
      <w:marLeft w:val="0"/>
      <w:marRight w:val="0"/>
      <w:marTop w:val="0"/>
      <w:marBottom w:val="0"/>
      <w:divBdr>
        <w:top w:val="none" w:sz="0" w:space="0" w:color="auto"/>
        <w:left w:val="none" w:sz="0" w:space="0" w:color="auto"/>
        <w:bottom w:val="none" w:sz="0" w:space="0" w:color="auto"/>
        <w:right w:val="none" w:sz="0" w:space="0" w:color="auto"/>
      </w:divBdr>
    </w:div>
    <w:div w:id="690183093">
      <w:bodyDiv w:val="1"/>
      <w:marLeft w:val="0"/>
      <w:marRight w:val="0"/>
      <w:marTop w:val="0"/>
      <w:marBottom w:val="0"/>
      <w:divBdr>
        <w:top w:val="none" w:sz="0" w:space="0" w:color="auto"/>
        <w:left w:val="none" w:sz="0" w:space="0" w:color="auto"/>
        <w:bottom w:val="none" w:sz="0" w:space="0" w:color="auto"/>
        <w:right w:val="none" w:sz="0" w:space="0" w:color="auto"/>
      </w:divBdr>
    </w:div>
    <w:div w:id="719791199">
      <w:bodyDiv w:val="1"/>
      <w:marLeft w:val="0"/>
      <w:marRight w:val="0"/>
      <w:marTop w:val="0"/>
      <w:marBottom w:val="0"/>
      <w:divBdr>
        <w:top w:val="none" w:sz="0" w:space="0" w:color="auto"/>
        <w:left w:val="none" w:sz="0" w:space="0" w:color="auto"/>
        <w:bottom w:val="none" w:sz="0" w:space="0" w:color="auto"/>
        <w:right w:val="none" w:sz="0" w:space="0" w:color="auto"/>
      </w:divBdr>
    </w:div>
    <w:div w:id="1002053011">
      <w:bodyDiv w:val="1"/>
      <w:marLeft w:val="0"/>
      <w:marRight w:val="0"/>
      <w:marTop w:val="0"/>
      <w:marBottom w:val="0"/>
      <w:divBdr>
        <w:top w:val="none" w:sz="0" w:space="0" w:color="auto"/>
        <w:left w:val="none" w:sz="0" w:space="0" w:color="auto"/>
        <w:bottom w:val="none" w:sz="0" w:space="0" w:color="auto"/>
        <w:right w:val="none" w:sz="0" w:space="0" w:color="auto"/>
      </w:divBdr>
      <w:divsChild>
        <w:div w:id="1121219534">
          <w:marLeft w:val="547"/>
          <w:marRight w:val="0"/>
          <w:marTop w:val="0"/>
          <w:marBottom w:val="302"/>
          <w:divBdr>
            <w:top w:val="none" w:sz="0" w:space="0" w:color="auto"/>
            <w:left w:val="none" w:sz="0" w:space="0" w:color="auto"/>
            <w:bottom w:val="none" w:sz="0" w:space="0" w:color="auto"/>
            <w:right w:val="none" w:sz="0" w:space="0" w:color="auto"/>
          </w:divBdr>
        </w:div>
        <w:div w:id="1015307731">
          <w:marLeft w:val="547"/>
          <w:marRight w:val="0"/>
          <w:marTop w:val="0"/>
          <w:marBottom w:val="302"/>
          <w:divBdr>
            <w:top w:val="none" w:sz="0" w:space="0" w:color="auto"/>
            <w:left w:val="none" w:sz="0" w:space="0" w:color="auto"/>
            <w:bottom w:val="none" w:sz="0" w:space="0" w:color="auto"/>
            <w:right w:val="none" w:sz="0" w:space="0" w:color="auto"/>
          </w:divBdr>
        </w:div>
        <w:div w:id="289553209">
          <w:marLeft w:val="547"/>
          <w:marRight w:val="0"/>
          <w:marTop w:val="0"/>
          <w:marBottom w:val="302"/>
          <w:divBdr>
            <w:top w:val="none" w:sz="0" w:space="0" w:color="auto"/>
            <w:left w:val="none" w:sz="0" w:space="0" w:color="auto"/>
            <w:bottom w:val="none" w:sz="0" w:space="0" w:color="auto"/>
            <w:right w:val="none" w:sz="0" w:space="0" w:color="auto"/>
          </w:divBdr>
        </w:div>
        <w:div w:id="174737001">
          <w:marLeft w:val="547"/>
          <w:marRight w:val="0"/>
          <w:marTop w:val="0"/>
          <w:marBottom w:val="302"/>
          <w:divBdr>
            <w:top w:val="none" w:sz="0" w:space="0" w:color="auto"/>
            <w:left w:val="none" w:sz="0" w:space="0" w:color="auto"/>
            <w:bottom w:val="none" w:sz="0" w:space="0" w:color="auto"/>
            <w:right w:val="none" w:sz="0" w:space="0" w:color="auto"/>
          </w:divBdr>
        </w:div>
        <w:div w:id="1638757643">
          <w:marLeft w:val="547"/>
          <w:marRight w:val="0"/>
          <w:marTop w:val="0"/>
          <w:marBottom w:val="302"/>
          <w:divBdr>
            <w:top w:val="none" w:sz="0" w:space="0" w:color="auto"/>
            <w:left w:val="none" w:sz="0" w:space="0" w:color="auto"/>
            <w:bottom w:val="none" w:sz="0" w:space="0" w:color="auto"/>
            <w:right w:val="none" w:sz="0" w:space="0" w:color="auto"/>
          </w:divBdr>
        </w:div>
        <w:div w:id="1460763625">
          <w:marLeft w:val="547"/>
          <w:marRight w:val="0"/>
          <w:marTop w:val="0"/>
          <w:marBottom w:val="302"/>
          <w:divBdr>
            <w:top w:val="none" w:sz="0" w:space="0" w:color="auto"/>
            <w:left w:val="none" w:sz="0" w:space="0" w:color="auto"/>
            <w:bottom w:val="none" w:sz="0" w:space="0" w:color="auto"/>
            <w:right w:val="none" w:sz="0" w:space="0" w:color="auto"/>
          </w:divBdr>
        </w:div>
        <w:div w:id="1240945055">
          <w:marLeft w:val="547"/>
          <w:marRight w:val="0"/>
          <w:marTop w:val="0"/>
          <w:marBottom w:val="302"/>
          <w:divBdr>
            <w:top w:val="none" w:sz="0" w:space="0" w:color="auto"/>
            <w:left w:val="none" w:sz="0" w:space="0" w:color="auto"/>
            <w:bottom w:val="none" w:sz="0" w:space="0" w:color="auto"/>
            <w:right w:val="none" w:sz="0" w:space="0" w:color="auto"/>
          </w:divBdr>
        </w:div>
        <w:div w:id="456995558">
          <w:marLeft w:val="547"/>
          <w:marRight w:val="0"/>
          <w:marTop w:val="0"/>
          <w:marBottom w:val="302"/>
          <w:divBdr>
            <w:top w:val="none" w:sz="0" w:space="0" w:color="auto"/>
            <w:left w:val="none" w:sz="0" w:space="0" w:color="auto"/>
            <w:bottom w:val="none" w:sz="0" w:space="0" w:color="auto"/>
            <w:right w:val="none" w:sz="0" w:space="0" w:color="auto"/>
          </w:divBdr>
        </w:div>
      </w:divsChild>
    </w:div>
    <w:div w:id="1029574160">
      <w:bodyDiv w:val="1"/>
      <w:marLeft w:val="0"/>
      <w:marRight w:val="0"/>
      <w:marTop w:val="0"/>
      <w:marBottom w:val="0"/>
      <w:divBdr>
        <w:top w:val="none" w:sz="0" w:space="0" w:color="auto"/>
        <w:left w:val="none" w:sz="0" w:space="0" w:color="auto"/>
        <w:bottom w:val="none" w:sz="0" w:space="0" w:color="auto"/>
        <w:right w:val="none" w:sz="0" w:space="0" w:color="auto"/>
      </w:divBdr>
      <w:divsChild>
        <w:div w:id="801576623">
          <w:marLeft w:val="274"/>
          <w:marRight w:val="0"/>
          <w:marTop w:val="0"/>
          <w:marBottom w:val="0"/>
          <w:divBdr>
            <w:top w:val="none" w:sz="0" w:space="0" w:color="auto"/>
            <w:left w:val="none" w:sz="0" w:space="0" w:color="auto"/>
            <w:bottom w:val="none" w:sz="0" w:space="0" w:color="auto"/>
            <w:right w:val="none" w:sz="0" w:space="0" w:color="auto"/>
          </w:divBdr>
        </w:div>
      </w:divsChild>
    </w:div>
    <w:div w:id="1037582228">
      <w:bodyDiv w:val="1"/>
      <w:marLeft w:val="0"/>
      <w:marRight w:val="0"/>
      <w:marTop w:val="0"/>
      <w:marBottom w:val="0"/>
      <w:divBdr>
        <w:top w:val="none" w:sz="0" w:space="0" w:color="auto"/>
        <w:left w:val="none" w:sz="0" w:space="0" w:color="auto"/>
        <w:bottom w:val="none" w:sz="0" w:space="0" w:color="auto"/>
        <w:right w:val="none" w:sz="0" w:space="0" w:color="auto"/>
      </w:divBdr>
      <w:divsChild>
        <w:div w:id="84152703">
          <w:marLeft w:val="274"/>
          <w:marRight w:val="0"/>
          <w:marTop w:val="0"/>
          <w:marBottom w:val="0"/>
          <w:divBdr>
            <w:top w:val="none" w:sz="0" w:space="0" w:color="auto"/>
            <w:left w:val="none" w:sz="0" w:space="0" w:color="auto"/>
            <w:bottom w:val="none" w:sz="0" w:space="0" w:color="auto"/>
            <w:right w:val="none" w:sz="0" w:space="0" w:color="auto"/>
          </w:divBdr>
        </w:div>
      </w:divsChild>
    </w:div>
    <w:div w:id="1148941295">
      <w:bodyDiv w:val="1"/>
      <w:marLeft w:val="0"/>
      <w:marRight w:val="0"/>
      <w:marTop w:val="0"/>
      <w:marBottom w:val="0"/>
      <w:divBdr>
        <w:top w:val="none" w:sz="0" w:space="0" w:color="auto"/>
        <w:left w:val="none" w:sz="0" w:space="0" w:color="auto"/>
        <w:bottom w:val="none" w:sz="0" w:space="0" w:color="auto"/>
        <w:right w:val="none" w:sz="0" w:space="0" w:color="auto"/>
      </w:divBdr>
      <w:divsChild>
        <w:div w:id="1744833222">
          <w:marLeft w:val="547"/>
          <w:marRight w:val="0"/>
          <w:marTop w:val="0"/>
          <w:marBottom w:val="302"/>
          <w:divBdr>
            <w:top w:val="none" w:sz="0" w:space="0" w:color="auto"/>
            <w:left w:val="none" w:sz="0" w:space="0" w:color="auto"/>
            <w:bottom w:val="none" w:sz="0" w:space="0" w:color="auto"/>
            <w:right w:val="none" w:sz="0" w:space="0" w:color="auto"/>
          </w:divBdr>
        </w:div>
        <w:div w:id="290676851">
          <w:marLeft w:val="547"/>
          <w:marRight w:val="0"/>
          <w:marTop w:val="0"/>
          <w:marBottom w:val="302"/>
          <w:divBdr>
            <w:top w:val="none" w:sz="0" w:space="0" w:color="auto"/>
            <w:left w:val="none" w:sz="0" w:space="0" w:color="auto"/>
            <w:bottom w:val="none" w:sz="0" w:space="0" w:color="auto"/>
            <w:right w:val="none" w:sz="0" w:space="0" w:color="auto"/>
          </w:divBdr>
        </w:div>
        <w:div w:id="1439174567">
          <w:marLeft w:val="547"/>
          <w:marRight w:val="0"/>
          <w:marTop w:val="0"/>
          <w:marBottom w:val="302"/>
          <w:divBdr>
            <w:top w:val="none" w:sz="0" w:space="0" w:color="auto"/>
            <w:left w:val="none" w:sz="0" w:space="0" w:color="auto"/>
            <w:bottom w:val="none" w:sz="0" w:space="0" w:color="auto"/>
            <w:right w:val="none" w:sz="0" w:space="0" w:color="auto"/>
          </w:divBdr>
        </w:div>
        <w:div w:id="1111241927">
          <w:marLeft w:val="547"/>
          <w:marRight w:val="0"/>
          <w:marTop w:val="0"/>
          <w:marBottom w:val="302"/>
          <w:divBdr>
            <w:top w:val="none" w:sz="0" w:space="0" w:color="auto"/>
            <w:left w:val="none" w:sz="0" w:space="0" w:color="auto"/>
            <w:bottom w:val="none" w:sz="0" w:space="0" w:color="auto"/>
            <w:right w:val="none" w:sz="0" w:space="0" w:color="auto"/>
          </w:divBdr>
        </w:div>
        <w:div w:id="2029793454">
          <w:marLeft w:val="547"/>
          <w:marRight w:val="0"/>
          <w:marTop w:val="0"/>
          <w:marBottom w:val="302"/>
          <w:divBdr>
            <w:top w:val="none" w:sz="0" w:space="0" w:color="auto"/>
            <w:left w:val="none" w:sz="0" w:space="0" w:color="auto"/>
            <w:bottom w:val="none" w:sz="0" w:space="0" w:color="auto"/>
            <w:right w:val="none" w:sz="0" w:space="0" w:color="auto"/>
          </w:divBdr>
        </w:div>
        <w:div w:id="2052145254">
          <w:marLeft w:val="547"/>
          <w:marRight w:val="0"/>
          <w:marTop w:val="0"/>
          <w:marBottom w:val="302"/>
          <w:divBdr>
            <w:top w:val="none" w:sz="0" w:space="0" w:color="auto"/>
            <w:left w:val="none" w:sz="0" w:space="0" w:color="auto"/>
            <w:bottom w:val="none" w:sz="0" w:space="0" w:color="auto"/>
            <w:right w:val="none" w:sz="0" w:space="0" w:color="auto"/>
          </w:divBdr>
        </w:div>
        <w:div w:id="1647319083">
          <w:marLeft w:val="547"/>
          <w:marRight w:val="0"/>
          <w:marTop w:val="0"/>
          <w:marBottom w:val="302"/>
          <w:divBdr>
            <w:top w:val="none" w:sz="0" w:space="0" w:color="auto"/>
            <w:left w:val="none" w:sz="0" w:space="0" w:color="auto"/>
            <w:bottom w:val="none" w:sz="0" w:space="0" w:color="auto"/>
            <w:right w:val="none" w:sz="0" w:space="0" w:color="auto"/>
          </w:divBdr>
        </w:div>
      </w:divsChild>
    </w:div>
    <w:div w:id="1186292763">
      <w:bodyDiv w:val="1"/>
      <w:marLeft w:val="0"/>
      <w:marRight w:val="0"/>
      <w:marTop w:val="0"/>
      <w:marBottom w:val="0"/>
      <w:divBdr>
        <w:top w:val="none" w:sz="0" w:space="0" w:color="auto"/>
        <w:left w:val="none" w:sz="0" w:space="0" w:color="auto"/>
        <w:bottom w:val="none" w:sz="0" w:space="0" w:color="auto"/>
        <w:right w:val="none" w:sz="0" w:space="0" w:color="auto"/>
      </w:divBdr>
      <w:divsChild>
        <w:div w:id="1786582977">
          <w:marLeft w:val="274"/>
          <w:marRight w:val="0"/>
          <w:marTop w:val="0"/>
          <w:marBottom w:val="0"/>
          <w:divBdr>
            <w:top w:val="none" w:sz="0" w:space="0" w:color="auto"/>
            <w:left w:val="none" w:sz="0" w:space="0" w:color="auto"/>
            <w:bottom w:val="none" w:sz="0" w:space="0" w:color="auto"/>
            <w:right w:val="none" w:sz="0" w:space="0" w:color="auto"/>
          </w:divBdr>
        </w:div>
      </w:divsChild>
    </w:div>
    <w:div w:id="1239906010">
      <w:bodyDiv w:val="1"/>
      <w:marLeft w:val="0"/>
      <w:marRight w:val="0"/>
      <w:marTop w:val="0"/>
      <w:marBottom w:val="0"/>
      <w:divBdr>
        <w:top w:val="none" w:sz="0" w:space="0" w:color="auto"/>
        <w:left w:val="none" w:sz="0" w:space="0" w:color="auto"/>
        <w:bottom w:val="none" w:sz="0" w:space="0" w:color="auto"/>
        <w:right w:val="none" w:sz="0" w:space="0" w:color="auto"/>
      </w:divBdr>
      <w:divsChild>
        <w:div w:id="1854687029">
          <w:marLeft w:val="547"/>
          <w:marRight w:val="0"/>
          <w:marTop w:val="0"/>
          <w:marBottom w:val="269"/>
          <w:divBdr>
            <w:top w:val="none" w:sz="0" w:space="0" w:color="auto"/>
            <w:left w:val="none" w:sz="0" w:space="0" w:color="auto"/>
            <w:bottom w:val="none" w:sz="0" w:space="0" w:color="auto"/>
            <w:right w:val="none" w:sz="0" w:space="0" w:color="auto"/>
          </w:divBdr>
        </w:div>
        <w:div w:id="1107651620">
          <w:marLeft w:val="547"/>
          <w:marRight w:val="0"/>
          <w:marTop w:val="0"/>
          <w:marBottom w:val="269"/>
          <w:divBdr>
            <w:top w:val="none" w:sz="0" w:space="0" w:color="auto"/>
            <w:left w:val="none" w:sz="0" w:space="0" w:color="auto"/>
            <w:bottom w:val="none" w:sz="0" w:space="0" w:color="auto"/>
            <w:right w:val="none" w:sz="0" w:space="0" w:color="auto"/>
          </w:divBdr>
        </w:div>
        <w:div w:id="702174971">
          <w:marLeft w:val="547"/>
          <w:marRight w:val="0"/>
          <w:marTop w:val="0"/>
          <w:marBottom w:val="269"/>
          <w:divBdr>
            <w:top w:val="none" w:sz="0" w:space="0" w:color="auto"/>
            <w:left w:val="none" w:sz="0" w:space="0" w:color="auto"/>
            <w:bottom w:val="none" w:sz="0" w:space="0" w:color="auto"/>
            <w:right w:val="none" w:sz="0" w:space="0" w:color="auto"/>
          </w:divBdr>
        </w:div>
        <w:div w:id="231627061">
          <w:marLeft w:val="547"/>
          <w:marRight w:val="0"/>
          <w:marTop w:val="0"/>
          <w:marBottom w:val="269"/>
          <w:divBdr>
            <w:top w:val="none" w:sz="0" w:space="0" w:color="auto"/>
            <w:left w:val="none" w:sz="0" w:space="0" w:color="auto"/>
            <w:bottom w:val="none" w:sz="0" w:space="0" w:color="auto"/>
            <w:right w:val="none" w:sz="0" w:space="0" w:color="auto"/>
          </w:divBdr>
        </w:div>
        <w:div w:id="77757335">
          <w:marLeft w:val="547"/>
          <w:marRight w:val="0"/>
          <w:marTop w:val="0"/>
          <w:marBottom w:val="269"/>
          <w:divBdr>
            <w:top w:val="none" w:sz="0" w:space="0" w:color="auto"/>
            <w:left w:val="none" w:sz="0" w:space="0" w:color="auto"/>
            <w:bottom w:val="none" w:sz="0" w:space="0" w:color="auto"/>
            <w:right w:val="none" w:sz="0" w:space="0" w:color="auto"/>
          </w:divBdr>
        </w:div>
        <w:div w:id="1951161613">
          <w:marLeft w:val="547"/>
          <w:marRight w:val="0"/>
          <w:marTop w:val="0"/>
          <w:marBottom w:val="269"/>
          <w:divBdr>
            <w:top w:val="none" w:sz="0" w:space="0" w:color="auto"/>
            <w:left w:val="none" w:sz="0" w:space="0" w:color="auto"/>
            <w:bottom w:val="none" w:sz="0" w:space="0" w:color="auto"/>
            <w:right w:val="none" w:sz="0" w:space="0" w:color="auto"/>
          </w:divBdr>
        </w:div>
        <w:div w:id="826945735">
          <w:marLeft w:val="547"/>
          <w:marRight w:val="0"/>
          <w:marTop w:val="0"/>
          <w:marBottom w:val="269"/>
          <w:divBdr>
            <w:top w:val="none" w:sz="0" w:space="0" w:color="auto"/>
            <w:left w:val="none" w:sz="0" w:space="0" w:color="auto"/>
            <w:bottom w:val="none" w:sz="0" w:space="0" w:color="auto"/>
            <w:right w:val="none" w:sz="0" w:space="0" w:color="auto"/>
          </w:divBdr>
        </w:div>
        <w:div w:id="113329869">
          <w:marLeft w:val="547"/>
          <w:marRight w:val="0"/>
          <w:marTop w:val="0"/>
          <w:marBottom w:val="269"/>
          <w:divBdr>
            <w:top w:val="none" w:sz="0" w:space="0" w:color="auto"/>
            <w:left w:val="none" w:sz="0" w:space="0" w:color="auto"/>
            <w:bottom w:val="none" w:sz="0" w:space="0" w:color="auto"/>
            <w:right w:val="none" w:sz="0" w:space="0" w:color="auto"/>
          </w:divBdr>
        </w:div>
        <w:div w:id="1486817378">
          <w:marLeft w:val="547"/>
          <w:marRight w:val="0"/>
          <w:marTop w:val="0"/>
          <w:marBottom w:val="269"/>
          <w:divBdr>
            <w:top w:val="none" w:sz="0" w:space="0" w:color="auto"/>
            <w:left w:val="none" w:sz="0" w:space="0" w:color="auto"/>
            <w:bottom w:val="none" w:sz="0" w:space="0" w:color="auto"/>
            <w:right w:val="none" w:sz="0" w:space="0" w:color="auto"/>
          </w:divBdr>
        </w:div>
        <w:div w:id="1621448308">
          <w:marLeft w:val="547"/>
          <w:marRight w:val="0"/>
          <w:marTop w:val="0"/>
          <w:marBottom w:val="269"/>
          <w:divBdr>
            <w:top w:val="none" w:sz="0" w:space="0" w:color="auto"/>
            <w:left w:val="none" w:sz="0" w:space="0" w:color="auto"/>
            <w:bottom w:val="none" w:sz="0" w:space="0" w:color="auto"/>
            <w:right w:val="none" w:sz="0" w:space="0" w:color="auto"/>
          </w:divBdr>
        </w:div>
        <w:div w:id="1744135073">
          <w:marLeft w:val="547"/>
          <w:marRight w:val="0"/>
          <w:marTop w:val="0"/>
          <w:marBottom w:val="269"/>
          <w:divBdr>
            <w:top w:val="none" w:sz="0" w:space="0" w:color="auto"/>
            <w:left w:val="none" w:sz="0" w:space="0" w:color="auto"/>
            <w:bottom w:val="none" w:sz="0" w:space="0" w:color="auto"/>
            <w:right w:val="none" w:sz="0" w:space="0" w:color="auto"/>
          </w:divBdr>
        </w:div>
      </w:divsChild>
    </w:div>
    <w:div w:id="1448894839">
      <w:bodyDiv w:val="1"/>
      <w:marLeft w:val="0"/>
      <w:marRight w:val="0"/>
      <w:marTop w:val="0"/>
      <w:marBottom w:val="0"/>
      <w:divBdr>
        <w:top w:val="none" w:sz="0" w:space="0" w:color="auto"/>
        <w:left w:val="none" w:sz="0" w:space="0" w:color="auto"/>
        <w:bottom w:val="none" w:sz="0" w:space="0" w:color="auto"/>
        <w:right w:val="none" w:sz="0" w:space="0" w:color="auto"/>
      </w:divBdr>
    </w:div>
    <w:div w:id="1456673300">
      <w:bodyDiv w:val="1"/>
      <w:marLeft w:val="0"/>
      <w:marRight w:val="0"/>
      <w:marTop w:val="0"/>
      <w:marBottom w:val="0"/>
      <w:divBdr>
        <w:top w:val="none" w:sz="0" w:space="0" w:color="auto"/>
        <w:left w:val="none" w:sz="0" w:space="0" w:color="auto"/>
        <w:bottom w:val="none" w:sz="0" w:space="0" w:color="auto"/>
        <w:right w:val="none" w:sz="0" w:space="0" w:color="auto"/>
      </w:divBdr>
    </w:div>
    <w:div w:id="1463229999">
      <w:bodyDiv w:val="1"/>
      <w:marLeft w:val="0"/>
      <w:marRight w:val="0"/>
      <w:marTop w:val="0"/>
      <w:marBottom w:val="0"/>
      <w:divBdr>
        <w:top w:val="none" w:sz="0" w:space="0" w:color="auto"/>
        <w:left w:val="none" w:sz="0" w:space="0" w:color="auto"/>
        <w:bottom w:val="none" w:sz="0" w:space="0" w:color="auto"/>
        <w:right w:val="none" w:sz="0" w:space="0" w:color="auto"/>
      </w:divBdr>
      <w:divsChild>
        <w:div w:id="1208223087">
          <w:marLeft w:val="547"/>
          <w:marRight w:val="0"/>
          <w:marTop w:val="0"/>
          <w:marBottom w:val="269"/>
          <w:divBdr>
            <w:top w:val="none" w:sz="0" w:space="0" w:color="auto"/>
            <w:left w:val="none" w:sz="0" w:space="0" w:color="auto"/>
            <w:bottom w:val="none" w:sz="0" w:space="0" w:color="auto"/>
            <w:right w:val="none" w:sz="0" w:space="0" w:color="auto"/>
          </w:divBdr>
        </w:div>
        <w:div w:id="209071977">
          <w:marLeft w:val="547"/>
          <w:marRight w:val="0"/>
          <w:marTop w:val="0"/>
          <w:marBottom w:val="269"/>
          <w:divBdr>
            <w:top w:val="none" w:sz="0" w:space="0" w:color="auto"/>
            <w:left w:val="none" w:sz="0" w:space="0" w:color="auto"/>
            <w:bottom w:val="none" w:sz="0" w:space="0" w:color="auto"/>
            <w:right w:val="none" w:sz="0" w:space="0" w:color="auto"/>
          </w:divBdr>
        </w:div>
        <w:div w:id="1390767293">
          <w:marLeft w:val="547"/>
          <w:marRight w:val="0"/>
          <w:marTop w:val="0"/>
          <w:marBottom w:val="269"/>
          <w:divBdr>
            <w:top w:val="none" w:sz="0" w:space="0" w:color="auto"/>
            <w:left w:val="none" w:sz="0" w:space="0" w:color="auto"/>
            <w:bottom w:val="none" w:sz="0" w:space="0" w:color="auto"/>
            <w:right w:val="none" w:sz="0" w:space="0" w:color="auto"/>
          </w:divBdr>
        </w:div>
        <w:div w:id="326790882">
          <w:marLeft w:val="547"/>
          <w:marRight w:val="0"/>
          <w:marTop w:val="0"/>
          <w:marBottom w:val="269"/>
          <w:divBdr>
            <w:top w:val="none" w:sz="0" w:space="0" w:color="auto"/>
            <w:left w:val="none" w:sz="0" w:space="0" w:color="auto"/>
            <w:bottom w:val="none" w:sz="0" w:space="0" w:color="auto"/>
            <w:right w:val="none" w:sz="0" w:space="0" w:color="auto"/>
          </w:divBdr>
        </w:div>
        <w:div w:id="1551845021">
          <w:marLeft w:val="547"/>
          <w:marRight w:val="0"/>
          <w:marTop w:val="0"/>
          <w:marBottom w:val="269"/>
          <w:divBdr>
            <w:top w:val="none" w:sz="0" w:space="0" w:color="auto"/>
            <w:left w:val="none" w:sz="0" w:space="0" w:color="auto"/>
            <w:bottom w:val="none" w:sz="0" w:space="0" w:color="auto"/>
            <w:right w:val="none" w:sz="0" w:space="0" w:color="auto"/>
          </w:divBdr>
        </w:div>
        <w:div w:id="874318593">
          <w:marLeft w:val="547"/>
          <w:marRight w:val="0"/>
          <w:marTop w:val="0"/>
          <w:marBottom w:val="269"/>
          <w:divBdr>
            <w:top w:val="none" w:sz="0" w:space="0" w:color="auto"/>
            <w:left w:val="none" w:sz="0" w:space="0" w:color="auto"/>
            <w:bottom w:val="none" w:sz="0" w:space="0" w:color="auto"/>
            <w:right w:val="none" w:sz="0" w:space="0" w:color="auto"/>
          </w:divBdr>
        </w:div>
        <w:div w:id="841243933">
          <w:marLeft w:val="547"/>
          <w:marRight w:val="0"/>
          <w:marTop w:val="0"/>
          <w:marBottom w:val="269"/>
          <w:divBdr>
            <w:top w:val="none" w:sz="0" w:space="0" w:color="auto"/>
            <w:left w:val="none" w:sz="0" w:space="0" w:color="auto"/>
            <w:bottom w:val="none" w:sz="0" w:space="0" w:color="auto"/>
            <w:right w:val="none" w:sz="0" w:space="0" w:color="auto"/>
          </w:divBdr>
        </w:div>
      </w:divsChild>
    </w:div>
    <w:div w:id="1484739861">
      <w:bodyDiv w:val="1"/>
      <w:marLeft w:val="0"/>
      <w:marRight w:val="0"/>
      <w:marTop w:val="0"/>
      <w:marBottom w:val="0"/>
      <w:divBdr>
        <w:top w:val="none" w:sz="0" w:space="0" w:color="auto"/>
        <w:left w:val="none" w:sz="0" w:space="0" w:color="auto"/>
        <w:bottom w:val="none" w:sz="0" w:space="0" w:color="auto"/>
        <w:right w:val="none" w:sz="0" w:space="0" w:color="auto"/>
      </w:divBdr>
      <w:divsChild>
        <w:div w:id="2140491991">
          <w:marLeft w:val="547"/>
          <w:marRight w:val="0"/>
          <w:marTop w:val="0"/>
          <w:marBottom w:val="269"/>
          <w:divBdr>
            <w:top w:val="none" w:sz="0" w:space="0" w:color="auto"/>
            <w:left w:val="none" w:sz="0" w:space="0" w:color="auto"/>
            <w:bottom w:val="none" w:sz="0" w:space="0" w:color="auto"/>
            <w:right w:val="none" w:sz="0" w:space="0" w:color="auto"/>
          </w:divBdr>
        </w:div>
        <w:div w:id="1490170672">
          <w:marLeft w:val="547"/>
          <w:marRight w:val="0"/>
          <w:marTop w:val="0"/>
          <w:marBottom w:val="269"/>
          <w:divBdr>
            <w:top w:val="none" w:sz="0" w:space="0" w:color="auto"/>
            <w:left w:val="none" w:sz="0" w:space="0" w:color="auto"/>
            <w:bottom w:val="none" w:sz="0" w:space="0" w:color="auto"/>
            <w:right w:val="none" w:sz="0" w:space="0" w:color="auto"/>
          </w:divBdr>
        </w:div>
      </w:divsChild>
    </w:div>
    <w:div w:id="1516848722">
      <w:bodyDiv w:val="1"/>
      <w:marLeft w:val="0"/>
      <w:marRight w:val="0"/>
      <w:marTop w:val="0"/>
      <w:marBottom w:val="0"/>
      <w:divBdr>
        <w:top w:val="none" w:sz="0" w:space="0" w:color="auto"/>
        <w:left w:val="none" w:sz="0" w:space="0" w:color="auto"/>
        <w:bottom w:val="none" w:sz="0" w:space="0" w:color="auto"/>
        <w:right w:val="none" w:sz="0" w:space="0" w:color="auto"/>
      </w:divBdr>
      <w:divsChild>
        <w:div w:id="42364159">
          <w:marLeft w:val="547"/>
          <w:marRight w:val="0"/>
          <w:marTop w:val="0"/>
          <w:marBottom w:val="302"/>
          <w:divBdr>
            <w:top w:val="none" w:sz="0" w:space="0" w:color="auto"/>
            <w:left w:val="none" w:sz="0" w:space="0" w:color="auto"/>
            <w:bottom w:val="none" w:sz="0" w:space="0" w:color="auto"/>
            <w:right w:val="none" w:sz="0" w:space="0" w:color="auto"/>
          </w:divBdr>
        </w:div>
        <w:div w:id="643510786">
          <w:marLeft w:val="547"/>
          <w:marRight w:val="0"/>
          <w:marTop w:val="0"/>
          <w:marBottom w:val="302"/>
          <w:divBdr>
            <w:top w:val="none" w:sz="0" w:space="0" w:color="auto"/>
            <w:left w:val="none" w:sz="0" w:space="0" w:color="auto"/>
            <w:bottom w:val="none" w:sz="0" w:space="0" w:color="auto"/>
            <w:right w:val="none" w:sz="0" w:space="0" w:color="auto"/>
          </w:divBdr>
        </w:div>
        <w:div w:id="1954244958">
          <w:marLeft w:val="547"/>
          <w:marRight w:val="0"/>
          <w:marTop w:val="0"/>
          <w:marBottom w:val="302"/>
          <w:divBdr>
            <w:top w:val="none" w:sz="0" w:space="0" w:color="auto"/>
            <w:left w:val="none" w:sz="0" w:space="0" w:color="auto"/>
            <w:bottom w:val="none" w:sz="0" w:space="0" w:color="auto"/>
            <w:right w:val="none" w:sz="0" w:space="0" w:color="auto"/>
          </w:divBdr>
        </w:div>
        <w:div w:id="196818266">
          <w:marLeft w:val="547"/>
          <w:marRight w:val="0"/>
          <w:marTop w:val="0"/>
          <w:marBottom w:val="302"/>
          <w:divBdr>
            <w:top w:val="none" w:sz="0" w:space="0" w:color="auto"/>
            <w:left w:val="none" w:sz="0" w:space="0" w:color="auto"/>
            <w:bottom w:val="none" w:sz="0" w:space="0" w:color="auto"/>
            <w:right w:val="none" w:sz="0" w:space="0" w:color="auto"/>
          </w:divBdr>
        </w:div>
      </w:divsChild>
    </w:div>
    <w:div w:id="1623145548">
      <w:bodyDiv w:val="1"/>
      <w:marLeft w:val="0"/>
      <w:marRight w:val="0"/>
      <w:marTop w:val="0"/>
      <w:marBottom w:val="0"/>
      <w:divBdr>
        <w:top w:val="none" w:sz="0" w:space="0" w:color="auto"/>
        <w:left w:val="none" w:sz="0" w:space="0" w:color="auto"/>
        <w:bottom w:val="none" w:sz="0" w:space="0" w:color="auto"/>
        <w:right w:val="none" w:sz="0" w:space="0" w:color="auto"/>
      </w:divBdr>
    </w:div>
    <w:div w:id="1665007836">
      <w:bodyDiv w:val="1"/>
      <w:marLeft w:val="0"/>
      <w:marRight w:val="0"/>
      <w:marTop w:val="0"/>
      <w:marBottom w:val="0"/>
      <w:divBdr>
        <w:top w:val="none" w:sz="0" w:space="0" w:color="auto"/>
        <w:left w:val="none" w:sz="0" w:space="0" w:color="auto"/>
        <w:bottom w:val="none" w:sz="0" w:space="0" w:color="auto"/>
        <w:right w:val="none" w:sz="0" w:space="0" w:color="auto"/>
      </w:divBdr>
      <w:divsChild>
        <w:div w:id="834612349">
          <w:marLeft w:val="547"/>
          <w:marRight w:val="0"/>
          <w:marTop w:val="0"/>
          <w:marBottom w:val="302"/>
          <w:divBdr>
            <w:top w:val="none" w:sz="0" w:space="0" w:color="auto"/>
            <w:left w:val="none" w:sz="0" w:space="0" w:color="auto"/>
            <w:bottom w:val="none" w:sz="0" w:space="0" w:color="auto"/>
            <w:right w:val="none" w:sz="0" w:space="0" w:color="auto"/>
          </w:divBdr>
        </w:div>
        <w:div w:id="453325858">
          <w:marLeft w:val="547"/>
          <w:marRight w:val="0"/>
          <w:marTop w:val="0"/>
          <w:marBottom w:val="302"/>
          <w:divBdr>
            <w:top w:val="none" w:sz="0" w:space="0" w:color="auto"/>
            <w:left w:val="none" w:sz="0" w:space="0" w:color="auto"/>
            <w:bottom w:val="none" w:sz="0" w:space="0" w:color="auto"/>
            <w:right w:val="none" w:sz="0" w:space="0" w:color="auto"/>
          </w:divBdr>
        </w:div>
        <w:div w:id="1873958863">
          <w:marLeft w:val="547"/>
          <w:marRight w:val="0"/>
          <w:marTop w:val="0"/>
          <w:marBottom w:val="302"/>
          <w:divBdr>
            <w:top w:val="none" w:sz="0" w:space="0" w:color="auto"/>
            <w:left w:val="none" w:sz="0" w:space="0" w:color="auto"/>
            <w:bottom w:val="none" w:sz="0" w:space="0" w:color="auto"/>
            <w:right w:val="none" w:sz="0" w:space="0" w:color="auto"/>
          </w:divBdr>
        </w:div>
        <w:div w:id="1955476392">
          <w:marLeft w:val="547"/>
          <w:marRight w:val="0"/>
          <w:marTop w:val="0"/>
          <w:marBottom w:val="302"/>
          <w:divBdr>
            <w:top w:val="none" w:sz="0" w:space="0" w:color="auto"/>
            <w:left w:val="none" w:sz="0" w:space="0" w:color="auto"/>
            <w:bottom w:val="none" w:sz="0" w:space="0" w:color="auto"/>
            <w:right w:val="none" w:sz="0" w:space="0" w:color="auto"/>
          </w:divBdr>
        </w:div>
        <w:div w:id="983661653">
          <w:marLeft w:val="547"/>
          <w:marRight w:val="0"/>
          <w:marTop w:val="0"/>
          <w:marBottom w:val="302"/>
          <w:divBdr>
            <w:top w:val="none" w:sz="0" w:space="0" w:color="auto"/>
            <w:left w:val="none" w:sz="0" w:space="0" w:color="auto"/>
            <w:bottom w:val="none" w:sz="0" w:space="0" w:color="auto"/>
            <w:right w:val="none" w:sz="0" w:space="0" w:color="auto"/>
          </w:divBdr>
        </w:div>
      </w:divsChild>
    </w:div>
    <w:div w:id="1687563078">
      <w:bodyDiv w:val="1"/>
      <w:marLeft w:val="0"/>
      <w:marRight w:val="0"/>
      <w:marTop w:val="0"/>
      <w:marBottom w:val="0"/>
      <w:divBdr>
        <w:top w:val="none" w:sz="0" w:space="0" w:color="auto"/>
        <w:left w:val="none" w:sz="0" w:space="0" w:color="auto"/>
        <w:bottom w:val="none" w:sz="0" w:space="0" w:color="auto"/>
        <w:right w:val="none" w:sz="0" w:space="0" w:color="auto"/>
      </w:divBdr>
    </w:div>
    <w:div w:id="1689256249">
      <w:bodyDiv w:val="1"/>
      <w:marLeft w:val="0"/>
      <w:marRight w:val="0"/>
      <w:marTop w:val="0"/>
      <w:marBottom w:val="0"/>
      <w:divBdr>
        <w:top w:val="none" w:sz="0" w:space="0" w:color="auto"/>
        <w:left w:val="none" w:sz="0" w:space="0" w:color="auto"/>
        <w:bottom w:val="none" w:sz="0" w:space="0" w:color="auto"/>
        <w:right w:val="none" w:sz="0" w:space="0" w:color="auto"/>
      </w:divBdr>
      <w:divsChild>
        <w:div w:id="1332877364">
          <w:marLeft w:val="547"/>
          <w:marRight w:val="0"/>
          <w:marTop w:val="0"/>
          <w:marBottom w:val="302"/>
          <w:divBdr>
            <w:top w:val="none" w:sz="0" w:space="0" w:color="auto"/>
            <w:left w:val="none" w:sz="0" w:space="0" w:color="auto"/>
            <w:bottom w:val="none" w:sz="0" w:space="0" w:color="auto"/>
            <w:right w:val="none" w:sz="0" w:space="0" w:color="auto"/>
          </w:divBdr>
        </w:div>
        <w:div w:id="928124562">
          <w:marLeft w:val="547"/>
          <w:marRight w:val="0"/>
          <w:marTop w:val="0"/>
          <w:marBottom w:val="302"/>
          <w:divBdr>
            <w:top w:val="none" w:sz="0" w:space="0" w:color="auto"/>
            <w:left w:val="none" w:sz="0" w:space="0" w:color="auto"/>
            <w:bottom w:val="none" w:sz="0" w:space="0" w:color="auto"/>
            <w:right w:val="none" w:sz="0" w:space="0" w:color="auto"/>
          </w:divBdr>
        </w:div>
        <w:div w:id="2023818467">
          <w:marLeft w:val="547"/>
          <w:marRight w:val="0"/>
          <w:marTop w:val="0"/>
          <w:marBottom w:val="302"/>
          <w:divBdr>
            <w:top w:val="none" w:sz="0" w:space="0" w:color="auto"/>
            <w:left w:val="none" w:sz="0" w:space="0" w:color="auto"/>
            <w:bottom w:val="none" w:sz="0" w:space="0" w:color="auto"/>
            <w:right w:val="none" w:sz="0" w:space="0" w:color="auto"/>
          </w:divBdr>
        </w:div>
        <w:div w:id="210313689">
          <w:marLeft w:val="547"/>
          <w:marRight w:val="0"/>
          <w:marTop w:val="0"/>
          <w:marBottom w:val="302"/>
          <w:divBdr>
            <w:top w:val="none" w:sz="0" w:space="0" w:color="auto"/>
            <w:left w:val="none" w:sz="0" w:space="0" w:color="auto"/>
            <w:bottom w:val="none" w:sz="0" w:space="0" w:color="auto"/>
            <w:right w:val="none" w:sz="0" w:space="0" w:color="auto"/>
          </w:divBdr>
        </w:div>
        <w:div w:id="1191526366">
          <w:marLeft w:val="547"/>
          <w:marRight w:val="0"/>
          <w:marTop w:val="0"/>
          <w:marBottom w:val="302"/>
          <w:divBdr>
            <w:top w:val="none" w:sz="0" w:space="0" w:color="auto"/>
            <w:left w:val="none" w:sz="0" w:space="0" w:color="auto"/>
            <w:bottom w:val="none" w:sz="0" w:space="0" w:color="auto"/>
            <w:right w:val="none" w:sz="0" w:space="0" w:color="auto"/>
          </w:divBdr>
        </w:div>
        <w:div w:id="1521892368">
          <w:marLeft w:val="547"/>
          <w:marRight w:val="0"/>
          <w:marTop w:val="0"/>
          <w:marBottom w:val="302"/>
          <w:divBdr>
            <w:top w:val="none" w:sz="0" w:space="0" w:color="auto"/>
            <w:left w:val="none" w:sz="0" w:space="0" w:color="auto"/>
            <w:bottom w:val="none" w:sz="0" w:space="0" w:color="auto"/>
            <w:right w:val="none" w:sz="0" w:space="0" w:color="auto"/>
          </w:divBdr>
        </w:div>
        <w:div w:id="1580676896">
          <w:marLeft w:val="547"/>
          <w:marRight w:val="0"/>
          <w:marTop w:val="0"/>
          <w:marBottom w:val="302"/>
          <w:divBdr>
            <w:top w:val="none" w:sz="0" w:space="0" w:color="auto"/>
            <w:left w:val="none" w:sz="0" w:space="0" w:color="auto"/>
            <w:bottom w:val="none" w:sz="0" w:space="0" w:color="auto"/>
            <w:right w:val="none" w:sz="0" w:space="0" w:color="auto"/>
          </w:divBdr>
        </w:div>
      </w:divsChild>
    </w:div>
    <w:div w:id="1692755814">
      <w:bodyDiv w:val="1"/>
      <w:marLeft w:val="0"/>
      <w:marRight w:val="0"/>
      <w:marTop w:val="0"/>
      <w:marBottom w:val="0"/>
      <w:divBdr>
        <w:top w:val="none" w:sz="0" w:space="0" w:color="auto"/>
        <w:left w:val="none" w:sz="0" w:space="0" w:color="auto"/>
        <w:bottom w:val="none" w:sz="0" w:space="0" w:color="auto"/>
        <w:right w:val="none" w:sz="0" w:space="0" w:color="auto"/>
      </w:divBdr>
    </w:div>
    <w:div w:id="1747532286">
      <w:bodyDiv w:val="1"/>
      <w:marLeft w:val="0"/>
      <w:marRight w:val="0"/>
      <w:marTop w:val="0"/>
      <w:marBottom w:val="0"/>
      <w:divBdr>
        <w:top w:val="none" w:sz="0" w:space="0" w:color="auto"/>
        <w:left w:val="none" w:sz="0" w:space="0" w:color="auto"/>
        <w:bottom w:val="none" w:sz="0" w:space="0" w:color="auto"/>
        <w:right w:val="none" w:sz="0" w:space="0" w:color="auto"/>
      </w:divBdr>
      <w:divsChild>
        <w:div w:id="1977252008">
          <w:marLeft w:val="360"/>
          <w:marRight w:val="0"/>
          <w:marTop w:val="0"/>
          <w:marBottom w:val="0"/>
          <w:divBdr>
            <w:top w:val="none" w:sz="0" w:space="0" w:color="auto"/>
            <w:left w:val="none" w:sz="0" w:space="0" w:color="auto"/>
            <w:bottom w:val="none" w:sz="0" w:space="0" w:color="auto"/>
            <w:right w:val="none" w:sz="0" w:space="0" w:color="auto"/>
          </w:divBdr>
        </w:div>
      </w:divsChild>
    </w:div>
    <w:div w:id="1792701706">
      <w:bodyDiv w:val="1"/>
      <w:marLeft w:val="0"/>
      <w:marRight w:val="0"/>
      <w:marTop w:val="0"/>
      <w:marBottom w:val="0"/>
      <w:divBdr>
        <w:top w:val="none" w:sz="0" w:space="0" w:color="auto"/>
        <w:left w:val="none" w:sz="0" w:space="0" w:color="auto"/>
        <w:bottom w:val="none" w:sz="0" w:space="0" w:color="auto"/>
        <w:right w:val="none" w:sz="0" w:space="0" w:color="auto"/>
      </w:divBdr>
      <w:divsChild>
        <w:div w:id="1727728250">
          <w:marLeft w:val="274"/>
          <w:marRight w:val="0"/>
          <w:marTop w:val="0"/>
          <w:marBottom w:val="0"/>
          <w:divBdr>
            <w:top w:val="none" w:sz="0" w:space="0" w:color="auto"/>
            <w:left w:val="none" w:sz="0" w:space="0" w:color="auto"/>
            <w:bottom w:val="none" w:sz="0" w:space="0" w:color="auto"/>
            <w:right w:val="none" w:sz="0" w:space="0" w:color="auto"/>
          </w:divBdr>
        </w:div>
      </w:divsChild>
    </w:div>
    <w:div w:id="1803572753">
      <w:bodyDiv w:val="1"/>
      <w:marLeft w:val="0"/>
      <w:marRight w:val="0"/>
      <w:marTop w:val="0"/>
      <w:marBottom w:val="0"/>
      <w:divBdr>
        <w:top w:val="none" w:sz="0" w:space="0" w:color="auto"/>
        <w:left w:val="none" w:sz="0" w:space="0" w:color="auto"/>
        <w:bottom w:val="none" w:sz="0" w:space="0" w:color="auto"/>
        <w:right w:val="none" w:sz="0" w:space="0" w:color="auto"/>
      </w:divBdr>
      <w:divsChild>
        <w:div w:id="687029191">
          <w:marLeft w:val="547"/>
          <w:marRight w:val="0"/>
          <w:marTop w:val="0"/>
          <w:marBottom w:val="269"/>
          <w:divBdr>
            <w:top w:val="none" w:sz="0" w:space="0" w:color="auto"/>
            <w:left w:val="none" w:sz="0" w:space="0" w:color="auto"/>
            <w:bottom w:val="none" w:sz="0" w:space="0" w:color="auto"/>
            <w:right w:val="none" w:sz="0" w:space="0" w:color="auto"/>
          </w:divBdr>
        </w:div>
        <w:div w:id="499083368">
          <w:marLeft w:val="547"/>
          <w:marRight w:val="0"/>
          <w:marTop w:val="0"/>
          <w:marBottom w:val="269"/>
          <w:divBdr>
            <w:top w:val="none" w:sz="0" w:space="0" w:color="auto"/>
            <w:left w:val="none" w:sz="0" w:space="0" w:color="auto"/>
            <w:bottom w:val="none" w:sz="0" w:space="0" w:color="auto"/>
            <w:right w:val="none" w:sz="0" w:space="0" w:color="auto"/>
          </w:divBdr>
        </w:div>
        <w:div w:id="503978273">
          <w:marLeft w:val="547"/>
          <w:marRight w:val="0"/>
          <w:marTop w:val="0"/>
          <w:marBottom w:val="269"/>
          <w:divBdr>
            <w:top w:val="none" w:sz="0" w:space="0" w:color="auto"/>
            <w:left w:val="none" w:sz="0" w:space="0" w:color="auto"/>
            <w:bottom w:val="none" w:sz="0" w:space="0" w:color="auto"/>
            <w:right w:val="none" w:sz="0" w:space="0" w:color="auto"/>
          </w:divBdr>
        </w:div>
        <w:div w:id="1668557119">
          <w:marLeft w:val="547"/>
          <w:marRight w:val="0"/>
          <w:marTop w:val="0"/>
          <w:marBottom w:val="269"/>
          <w:divBdr>
            <w:top w:val="none" w:sz="0" w:space="0" w:color="auto"/>
            <w:left w:val="none" w:sz="0" w:space="0" w:color="auto"/>
            <w:bottom w:val="none" w:sz="0" w:space="0" w:color="auto"/>
            <w:right w:val="none" w:sz="0" w:space="0" w:color="auto"/>
          </w:divBdr>
        </w:div>
        <w:div w:id="407189426">
          <w:marLeft w:val="547"/>
          <w:marRight w:val="0"/>
          <w:marTop w:val="0"/>
          <w:marBottom w:val="269"/>
          <w:divBdr>
            <w:top w:val="none" w:sz="0" w:space="0" w:color="auto"/>
            <w:left w:val="none" w:sz="0" w:space="0" w:color="auto"/>
            <w:bottom w:val="none" w:sz="0" w:space="0" w:color="auto"/>
            <w:right w:val="none" w:sz="0" w:space="0" w:color="auto"/>
          </w:divBdr>
        </w:div>
        <w:div w:id="293829204">
          <w:marLeft w:val="547"/>
          <w:marRight w:val="0"/>
          <w:marTop w:val="0"/>
          <w:marBottom w:val="269"/>
          <w:divBdr>
            <w:top w:val="none" w:sz="0" w:space="0" w:color="auto"/>
            <w:left w:val="none" w:sz="0" w:space="0" w:color="auto"/>
            <w:bottom w:val="none" w:sz="0" w:space="0" w:color="auto"/>
            <w:right w:val="none" w:sz="0" w:space="0" w:color="auto"/>
          </w:divBdr>
        </w:div>
        <w:div w:id="1908227594">
          <w:marLeft w:val="547"/>
          <w:marRight w:val="0"/>
          <w:marTop w:val="0"/>
          <w:marBottom w:val="269"/>
          <w:divBdr>
            <w:top w:val="none" w:sz="0" w:space="0" w:color="auto"/>
            <w:left w:val="none" w:sz="0" w:space="0" w:color="auto"/>
            <w:bottom w:val="none" w:sz="0" w:space="0" w:color="auto"/>
            <w:right w:val="none" w:sz="0" w:space="0" w:color="auto"/>
          </w:divBdr>
        </w:div>
        <w:div w:id="1793745172">
          <w:marLeft w:val="547"/>
          <w:marRight w:val="0"/>
          <w:marTop w:val="0"/>
          <w:marBottom w:val="269"/>
          <w:divBdr>
            <w:top w:val="none" w:sz="0" w:space="0" w:color="auto"/>
            <w:left w:val="none" w:sz="0" w:space="0" w:color="auto"/>
            <w:bottom w:val="none" w:sz="0" w:space="0" w:color="auto"/>
            <w:right w:val="none" w:sz="0" w:space="0" w:color="auto"/>
          </w:divBdr>
        </w:div>
        <w:div w:id="838815485">
          <w:marLeft w:val="547"/>
          <w:marRight w:val="0"/>
          <w:marTop w:val="0"/>
          <w:marBottom w:val="269"/>
          <w:divBdr>
            <w:top w:val="none" w:sz="0" w:space="0" w:color="auto"/>
            <w:left w:val="none" w:sz="0" w:space="0" w:color="auto"/>
            <w:bottom w:val="none" w:sz="0" w:space="0" w:color="auto"/>
            <w:right w:val="none" w:sz="0" w:space="0" w:color="auto"/>
          </w:divBdr>
        </w:div>
      </w:divsChild>
    </w:div>
    <w:div w:id="1823816124">
      <w:bodyDiv w:val="1"/>
      <w:marLeft w:val="0"/>
      <w:marRight w:val="0"/>
      <w:marTop w:val="0"/>
      <w:marBottom w:val="0"/>
      <w:divBdr>
        <w:top w:val="none" w:sz="0" w:space="0" w:color="auto"/>
        <w:left w:val="none" w:sz="0" w:space="0" w:color="auto"/>
        <w:bottom w:val="none" w:sz="0" w:space="0" w:color="auto"/>
        <w:right w:val="none" w:sz="0" w:space="0" w:color="auto"/>
      </w:divBdr>
      <w:divsChild>
        <w:div w:id="812865768">
          <w:marLeft w:val="274"/>
          <w:marRight w:val="0"/>
          <w:marTop w:val="0"/>
          <w:marBottom w:val="0"/>
          <w:divBdr>
            <w:top w:val="none" w:sz="0" w:space="0" w:color="auto"/>
            <w:left w:val="none" w:sz="0" w:space="0" w:color="auto"/>
            <w:bottom w:val="none" w:sz="0" w:space="0" w:color="auto"/>
            <w:right w:val="none" w:sz="0" w:space="0" w:color="auto"/>
          </w:divBdr>
        </w:div>
      </w:divsChild>
    </w:div>
    <w:div w:id="1937403114">
      <w:bodyDiv w:val="1"/>
      <w:marLeft w:val="0"/>
      <w:marRight w:val="0"/>
      <w:marTop w:val="0"/>
      <w:marBottom w:val="0"/>
      <w:divBdr>
        <w:top w:val="none" w:sz="0" w:space="0" w:color="auto"/>
        <w:left w:val="none" w:sz="0" w:space="0" w:color="auto"/>
        <w:bottom w:val="none" w:sz="0" w:space="0" w:color="auto"/>
        <w:right w:val="none" w:sz="0" w:space="0" w:color="auto"/>
      </w:divBdr>
    </w:div>
    <w:div w:id="1976326074">
      <w:bodyDiv w:val="1"/>
      <w:marLeft w:val="0"/>
      <w:marRight w:val="0"/>
      <w:marTop w:val="0"/>
      <w:marBottom w:val="0"/>
      <w:divBdr>
        <w:top w:val="none" w:sz="0" w:space="0" w:color="auto"/>
        <w:left w:val="none" w:sz="0" w:space="0" w:color="auto"/>
        <w:bottom w:val="none" w:sz="0" w:space="0" w:color="auto"/>
        <w:right w:val="none" w:sz="0" w:space="0" w:color="auto"/>
      </w:divBdr>
      <w:divsChild>
        <w:div w:id="429006343">
          <w:marLeft w:val="547"/>
          <w:marRight w:val="0"/>
          <w:marTop w:val="0"/>
          <w:marBottom w:val="302"/>
          <w:divBdr>
            <w:top w:val="none" w:sz="0" w:space="0" w:color="auto"/>
            <w:left w:val="none" w:sz="0" w:space="0" w:color="auto"/>
            <w:bottom w:val="none" w:sz="0" w:space="0" w:color="auto"/>
            <w:right w:val="none" w:sz="0" w:space="0" w:color="auto"/>
          </w:divBdr>
        </w:div>
        <w:div w:id="1286737979">
          <w:marLeft w:val="547"/>
          <w:marRight w:val="0"/>
          <w:marTop w:val="0"/>
          <w:marBottom w:val="302"/>
          <w:divBdr>
            <w:top w:val="none" w:sz="0" w:space="0" w:color="auto"/>
            <w:left w:val="none" w:sz="0" w:space="0" w:color="auto"/>
            <w:bottom w:val="none" w:sz="0" w:space="0" w:color="auto"/>
            <w:right w:val="none" w:sz="0" w:space="0" w:color="auto"/>
          </w:divBdr>
        </w:div>
        <w:div w:id="1100876834">
          <w:marLeft w:val="547"/>
          <w:marRight w:val="0"/>
          <w:marTop w:val="0"/>
          <w:marBottom w:val="302"/>
          <w:divBdr>
            <w:top w:val="none" w:sz="0" w:space="0" w:color="auto"/>
            <w:left w:val="none" w:sz="0" w:space="0" w:color="auto"/>
            <w:bottom w:val="none" w:sz="0" w:space="0" w:color="auto"/>
            <w:right w:val="none" w:sz="0" w:space="0" w:color="auto"/>
          </w:divBdr>
        </w:div>
        <w:div w:id="1673223224">
          <w:marLeft w:val="547"/>
          <w:marRight w:val="0"/>
          <w:marTop w:val="0"/>
          <w:marBottom w:val="302"/>
          <w:divBdr>
            <w:top w:val="none" w:sz="0" w:space="0" w:color="auto"/>
            <w:left w:val="none" w:sz="0" w:space="0" w:color="auto"/>
            <w:bottom w:val="none" w:sz="0" w:space="0" w:color="auto"/>
            <w:right w:val="none" w:sz="0" w:space="0" w:color="auto"/>
          </w:divBdr>
        </w:div>
      </w:divsChild>
    </w:div>
    <w:div w:id="1996298087">
      <w:bodyDiv w:val="1"/>
      <w:marLeft w:val="0"/>
      <w:marRight w:val="0"/>
      <w:marTop w:val="0"/>
      <w:marBottom w:val="0"/>
      <w:divBdr>
        <w:top w:val="none" w:sz="0" w:space="0" w:color="auto"/>
        <w:left w:val="none" w:sz="0" w:space="0" w:color="auto"/>
        <w:bottom w:val="none" w:sz="0" w:space="0" w:color="auto"/>
        <w:right w:val="none" w:sz="0" w:space="0" w:color="auto"/>
      </w:divBdr>
    </w:div>
    <w:div w:id="1999964750">
      <w:bodyDiv w:val="1"/>
      <w:marLeft w:val="0"/>
      <w:marRight w:val="0"/>
      <w:marTop w:val="0"/>
      <w:marBottom w:val="0"/>
      <w:divBdr>
        <w:top w:val="none" w:sz="0" w:space="0" w:color="auto"/>
        <w:left w:val="none" w:sz="0" w:space="0" w:color="auto"/>
        <w:bottom w:val="none" w:sz="0" w:space="0" w:color="auto"/>
        <w:right w:val="none" w:sz="0" w:space="0" w:color="auto"/>
      </w:divBdr>
      <w:divsChild>
        <w:div w:id="1628243504">
          <w:marLeft w:val="274"/>
          <w:marRight w:val="0"/>
          <w:marTop w:val="0"/>
          <w:marBottom w:val="0"/>
          <w:divBdr>
            <w:top w:val="none" w:sz="0" w:space="0" w:color="auto"/>
            <w:left w:val="none" w:sz="0" w:space="0" w:color="auto"/>
            <w:bottom w:val="none" w:sz="0" w:space="0" w:color="auto"/>
            <w:right w:val="none" w:sz="0" w:space="0" w:color="auto"/>
          </w:divBdr>
        </w:div>
      </w:divsChild>
    </w:div>
    <w:div w:id="2019963084">
      <w:bodyDiv w:val="1"/>
      <w:marLeft w:val="0"/>
      <w:marRight w:val="0"/>
      <w:marTop w:val="0"/>
      <w:marBottom w:val="0"/>
      <w:divBdr>
        <w:top w:val="none" w:sz="0" w:space="0" w:color="auto"/>
        <w:left w:val="none" w:sz="0" w:space="0" w:color="auto"/>
        <w:bottom w:val="none" w:sz="0" w:space="0" w:color="auto"/>
        <w:right w:val="none" w:sz="0" w:space="0" w:color="auto"/>
      </w:divBdr>
      <w:divsChild>
        <w:div w:id="397556109">
          <w:marLeft w:val="547"/>
          <w:marRight w:val="0"/>
          <w:marTop w:val="0"/>
          <w:marBottom w:val="269"/>
          <w:divBdr>
            <w:top w:val="none" w:sz="0" w:space="0" w:color="auto"/>
            <w:left w:val="none" w:sz="0" w:space="0" w:color="auto"/>
            <w:bottom w:val="none" w:sz="0" w:space="0" w:color="auto"/>
            <w:right w:val="none" w:sz="0" w:space="0" w:color="auto"/>
          </w:divBdr>
        </w:div>
      </w:divsChild>
    </w:div>
    <w:div w:id="2028365078">
      <w:bodyDiv w:val="1"/>
      <w:marLeft w:val="0"/>
      <w:marRight w:val="0"/>
      <w:marTop w:val="0"/>
      <w:marBottom w:val="0"/>
      <w:divBdr>
        <w:top w:val="none" w:sz="0" w:space="0" w:color="auto"/>
        <w:left w:val="none" w:sz="0" w:space="0" w:color="auto"/>
        <w:bottom w:val="none" w:sz="0" w:space="0" w:color="auto"/>
        <w:right w:val="none" w:sz="0" w:space="0" w:color="auto"/>
      </w:divBdr>
      <w:divsChild>
        <w:div w:id="1311519467">
          <w:marLeft w:val="360"/>
          <w:marRight w:val="0"/>
          <w:marTop w:val="0"/>
          <w:marBottom w:val="0"/>
          <w:divBdr>
            <w:top w:val="none" w:sz="0" w:space="0" w:color="auto"/>
            <w:left w:val="none" w:sz="0" w:space="0" w:color="auto"/>
            <w:bottom w:val="none" w:sz="0" w:space="0" w:color="auto"/>
            <w:right w:val="none" w:sz="0" w:space="0" w:color="auto"/>
          </w:divBdr>
        </w:div>
      </w:divsChild>
    </w:div>
    <w:div w:id="2071885092">
      <w:bodyDiv w:val="1"/>
      <w:marLeft w:val="0"/>
      <w:marRight w:val="0"/>
      <w:marTop w:val="0"/>
      <w:marBottom w:val="0"/>
      <w:divBdr>
        <w:top w:val="none" w:sz="0" w:space="0" w:color="auto"/>
        <w:left w:val="none" w:sz="0" w:space="0" w:color="auto"/>
        <w:bottom w:val="none" w:sz="0" w:space="0" w:color="auto"/>
        <w:right w:val="none" w:sz="0" w:space="0" w:color="auto"/>
      </w:divBdr>
      <w:divsChild>
        <w:div w:id="523059114">
          <w:marLeft w:val="547"/>
          <w:marRight w:val="0"/>
          <w:marTop w:val="0"/>
          <w:marBottom w:val="269"/>
          <w:divBdr>
            <w:top w:val="none" w:sz="0" w:space="0" w:color="auto"/>
            <w:left w:val="none" w:sz="0" w:space="0" w:color="auto"/>
            <w:bottom w:val="none" w:sz="0" w:space="0" w:color="auto"/>
            <w:right w:val="none" w:sz="0" w:space="0" w:color="auto"/>
          </w:divBdr>
        </w:div>
      </w:divsChild>
    </w:div>
    <w:div w:id="2082481419">
      <w:bodyDiv w:val="1"/>
      <w:marLeft w:val="0"/>
      <w:marRight w:val="0"/>
      <w:marTop w:val="0"/>
      <w:marBottom w:val="0"/>
      <w:divBdr>
        <w:top w:val="none" w:sz="0" w:space="0" w:color="auto"/>
        <w:left w:val="none" w:sz="0" w:space="0" w:color="auto"/>
        <w:bottom w:val="none" w:sz="0" w:space="0" w:color="auto"/>
        <w:right w:val="none" w:sz="0" w:space="0" w:color="auto"/>
      </w:divBdr>
      <w:divsChild>
        <w:div w:id="410541429">
          <w:marLeft w:val="547"/>
          <w:marRight w:val="0"/>
          <w:marTop w:val="0"/>
          <w:marBottom w:val="302"/>
          <w:divBdr>
            <w:top w:val="none" w:sz="0" w:space="0" w:color="auto"/>
            <w:left w:val="none" w:sz="0" w:space="0" w:color="auto"/>
            <w:bottom w:val="none" w:sz="0" w:space="0" w:color="auto"/>
            <w:right w:val="none" w:sz="0" w:space="0" w:color="auto"/>
          </w:divBdr>
        </w:div>
      </w:divsChild>
    </w:div>
    <w:div w:id="2103136665">
      <w:bodyDiv w:val="1"/>
      <w:marLeft w:val="0"/>
      <w:marRight w:val="0"/>
      <w:marTop w:val="0"/>
      <w:marBottom w:val="0"/>
      <w:divBdr>
        <w:top w:val="none" w:sz="0" w:space="0" w:color="auto"/>
        <w:left w:val="none" w:sz="0" w:space="0" w:color="auto"/>
        <w:bottom w:val="none" w:sz="0" w:space="0" w:color="auto"/>
        <w:right w:val="none" w:sz="0" w:space="0" w:color="auto"/>
      </w:divBdr>
      <w:divsChild>
        <w:div w:id="1960449191">
          <w:marLeft w:val="360"/>
          <w:marRight w:val="0"/>
          <w:marTop w:val="0"/>
          <w:marBottom w:val="0"/>
          <w:divBdr>
            <w:top w:val="none" w:sz="0" w:space="0" w:color="auto"/>
            <w:left w:val="none" w:sz="0" w:space="0" w:color="auto"/>
            <w:bottom w:val="none" w:sz="0" w:space="0" w:color="auto"/>
            <w:right w:val="none" w:sz="0" w:space="0" w:color="auto"/>
          </w:divBdr>
        </w:div>
        <w:div w:id="761419249">
          <w:marLeft w:val="360"/>
          <w:marRight w:val="0"/>
          <w:marTop w:val="0"/>
          <w:marBottom w:val="0"/>
          <w:divBdr>
            <w:top w:val="none" w:sz="0" w:space="0" w:color="auto"/>
            <w:left w:val="none" w:sz="0" w:space="0" w:color="auto"/>
            <w:bottom w:val="none" w:sz="0" w:space="0" w:color="auto"/>
            <w:right w:val="none" w:sz="0" w:space="0" w:color="auto"/>
          </w:divBdr>
        </w:div>
        <w:div w:id="239871025">
          <w:marLeft w:val="360"/>
          <w:marRight w:val="0"/>
          <w:marTop w:val="0"/>
          <w:marBottom w:val="0"/>
          <w:divBdr>
            <w:top w:val="none" w:sz="0" w:space="0" w:color="auto"/>
            <w:left w:val="none" w:sz="0" w:space="0" w:color="auto"/>
            <w:bottom w:val="none" w:sz="0" w:space="0" w:color="auto"/>
            <w:right w:val="none" w:sz="0" w:space="0" w:color="auto"/>
          </w:divBdr>
        </w:div>
      </w:divsChild>
    </w:div>
    <w:div w:id="2138063296">
      <w:bodyDiv w:val="1"/>
      <w:marLeft w:val="0"/>
      <w:marRight w:val="0"/>
      <w:marTop w:val="0"/>
      <w:marBottom w:val="0"/>
      <w:divBdr>
        <w:top w:val="none" w:sz="0" w:space="0" w:color="auto"/>
        <w:left w:val="none" w:sz="0" w:space="0" w:color="auto"/>
        <w:bottom w:val="none" w:sz="0" w:space="0" w:color="auto"/>
        <w:right w:val="none" w:sz="0" w:space="0" w:color="auto"/>
      </w:divBdr>
      <w:divsChild>
        <w:div w:id="1295327204">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s.nhs.uk/articles/what-is-the-risk-of-interaction-between-opioids-and-monoamine-oxidase-inhibitors-maoi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tahlonline.cambridge.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09D60-A8BB-4C39-9FF4-5EBBB7053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26133</Words>
  <Characters>148963</Characters>
  <Application>Microsoft Office Word</Application>
  <DocSecurity>4</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SRC</dc:creator>
  <cp:lastModifiedBy>Mary Houston</cp:lastModifiedBy>
  <cp:revision>2</cp:revision>
  <cp:lastPrinted>2021-05-20T08:41:00Z</cp:lastPrinted>
  <dcterms:created xsi:type="dcterms:W3CDTF">2021-06-01T12:49:00Z</dcterms:created>
  <dcterms:modified xsi:type="dcterms:W3CDTF">2021-06-01T12:49:00Z</dcterms:modified>
</cp:coreProperties>
</file>